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37B" w:rsidRPr="00EC7846" w:rsidRDefault="009F737B" w:rsidP="008B7CD3">
      <w:pPr>
        <w:pStyle w:val="ListParagraph"/>
        <w:spacing w:line="480" w:lineRule="auto"/>
        <w:ind w:left="0"/>
        <w:jc w:val="center"/>
        <w:rPr>
          <w:rFonts w:ascii="Times New Roman" w:hAnsi="Times New Roman"/>
          <w:b/>
          <w:i/>
          <w:sz w:val="24"/>
          <w:szCs w:val="24"/>
        </w:rPr>
      </w:pPr>
      <w:bookmarkStart w:id="0" w:name="_GoBack"/>
      <w:bookmarkEnd w:id="0"/>
      <w:r w:rsidRPr="00EC7846">
        <w:rPr>
          <w:rFonts w:ascii="Times New Roman" w:hAnsi="Times New Roman"/>
          <w:b/>
          <w:i/>
          <w:sz w:val="24"/>
          <w:szCs w:val="24"/>
        </w:rPr>
        <w:t>Participation in the</w:t>
      </w:r>
      <w:r w:rsidR="002B4E41">
        <w:rPr>
          <w:rFonts w:ascii="Times New Roman" w:hAnsi="Times New Roman"/>
          <w:b/>
          <w:i/>
          <w:sz w:val="24"/>
          <w:szCs w:val="24"/>
        </w:rPr>
        <w:t xml:space="preserve"> U.S.</w:t>
      </w:r>
      <w:r w:rsidRPr="00EC7846">
        <w:rPr>
          <w:rFonts w:ascii="Times New Roman" w:hAnsi="Times New Roman"/>
          <w:b/>
          <w:i/>
          <w:sz w:val="24"/>
          <w:szCs w:val="24"/>
        </w:rPr>
        <w:t xml:space="preserve"> Administrative </w:t>
      </w:r>
      <w:r w:rsidR="005D6A76" w:rsidRPr="00EC7846">
        <w:rPr>
          <w:rFonts w:ascii="Times New Roman" w:hAnsi="Times New Roman"/>
          <w:b/>
          <w:i/>
          <w:sz w:val="24"/>
          <w:szCs w:val="24"/>
        </w:rPr>
        <w:t>Process</w:t>
      </w:r>
    </w:p>
    <w:p w:rsidR="009F737B" w:rsidRPr="00EC7846" w:rsidRDefault="009F737B" w:rsidP="008B7CD3">
      <w:pPr>
        <w:pStyle w:val="ListParagraph"/>
        <w:spacing w:line="480" w:lineRule="auto"/>
        <w:ind w:left="0"/>
        <w:jc w:val="center"/>
        <w:rPr>
          <w:rFonts w:ascii="Times New Roman" w:hAnsi="Times New Roman"/>
          <w:sz w:val="24"/>
          <w:szCs w:val="24"/>
        </w:rPr>
      </w:pPr>
      <w:r w:rsidRPr="00EC7846">
        <w:rPr>
          <w:rFonts w:ascii="Times New Roman" w:hAnsi="Times New Roman"/>
          <w:sz w:val="24"/>
          <w:szCs w:val="24"/>
        </w:rPr>
        <w:t>Wendy Wagner</w:t>
      </w:r>
      <w:r w:rsidR="00FE6812" w:rsidRPr="00EC7846">
        <w:rPr>
          <w:rFonts w:ascii="Times New Roman" w:hAnsi="Times New Roman"/>
          <w:sz w:val="24"/>
          <w:szCs w:val="24"/>
        </w:rPr>
        <w:t>, University of Texas School of Law (</w:t>
      </w:r>
      <w:hyperlink r:id="rId8" w:history="1">
        <w:r w:rsidR="00FE6812" w:rsidRPr="00EC7846">
          <w:rPr>
            <w:rStyle w:val="Hyperlink"/>
            <w:rFonts w:ascii="Times New Roman" w:hAnsi="Times New Roman"/>
            <w:sz w:val="24"/>
            <w:szCs w:val="24"/>
          </w:rPr>
          <w:t>wwagner@law.utexas.edu</w:t>
        </w:r>
      </w:hyperlink>
      <w:r w:rsidR="00FE6812" w:rsidRPr="00EC7846">
        <w:rPr>
          <w:rFonts w:ascii="Times New Roman" w:hAnsi="Times New Roman"/>
          <w:sz w:val="24"/>
          <w:szCs w:val="24"/>
        </w:rPr>
        <w:t xml:space="preserve">) </w:t>
      </w:r>
    </w:p>
    <w:p w:rsidR="009F737B" w:rsidRPr="00EC7846" w:rsidRDefault="009F737B" w:rsidP="008B7CD3">
      <w:pPr>
        <w:pStyle w:val="ListParagraph"/>
        <w:spacing w:line="480" w:lineRule="auto"/>
        <w:ind w:left="0"/>
        <w:rPr>
          <w:rFonts w:ascii="Times New Roman" w:hAnsi="Times New Roman"/>
          <w:sz w:val="24"/>
          <w:szCs w:val="24"/>
        </w:rPr>
      </w:pPr>
    </w:p>
    <w:p w:rsidR="009F737B" w:rsidRPr="00EC7846" w:rsidRDefault="009F737B" w:rsidP="008B7CD3">
      <w:pPr>
        <w:pStyle w:val="ListParagraph"/>
        <w:spacing w:line="480" w:lineRule="auto"/>
        <w:ind w:left="0"/>
        <w:rPr>
          <w:rFonts w:ascii="Times New Roman" w:hAnsi="Times New Roman"/>
          <w:sz w:val="24"/>
          <w:szCs w:val="24"/>
        </w:rPr>
      </w:pPr>
    </w:p>
    <w:p w:rsidR="00F54C8F"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F54C8F" w:rsidRPr="00EC7846">
        <w:rPr>
          <w:rFonts w:ascii="Times New Roman" w:hAnsi="Times New Roman"/>
          <w:sz w:val="24"/>
          <w:szCs w:val="24"/>
        </w:rPr>
        <w:t xml:space="preserve">At least on paper, U.S. administrative law places a premium on ensuring complete and meaningful participation in agency rulemakings.  Participants are not only guaranteed the opportunity to comment on agency proposals, but agencies </w:t>
      </w:r>
      <w:r w:rsidR="002C62CD">
        <w:rPr>
          <w:rFonts w:ascii="Times New Roman" w:hAnsi="Times New Roman"/>
          <w:sz w:val="24"/>
          <w:szCs w:val="24"/>
        </w:rPr>
        <w:t>are legally required to</w:t>
      </w:r>
      <w:r w:rsidR="00F54C8F" w:rsidRPr="00EC7846">
        <w:rPr>
          <w:rFonts w:ascii="Times New Roman" w:hAnsi="Times New Roman"/>
          <w:sz w:val="24"/>
          <w:szCs w:val="24"/>
        </w:rPr>
        <w:t xml:space="preserve"> consider their co</w:t>
      </w:r>
      <w:r w:rsidR="002C62CD">
        <w:rPr>
          <w:rFonts w:ascii="Times New Roman" w:hAnsi="Times New Roman"/>
          <w:sz w:val="24"/>
          <w:szCs w:val="24"/>
        </w:rPr>
        <w:t>mments</w:t>
      </w:r>
      <w:r w:rsidR="00F54C8F" w:rsidRPr="00EC7846">
        <w:rPr>
          <w:rFonts w:ascii="Times New Roman" w:hAnsi="Times New Roman"/>
          <w:sz w:val="24"/>
          <w:szCs w:val="24"/>
        </w:rPr>
        <w:t xml:space="preserve">.  If an agency fails to comply with these requirements, it can find itself defending its rule in court.  </w:t>
      </w:r>
      <w:r w:rsidR="00DF31C1">
        <w:rPr>
          <w:rFonts w:ascii="Times New Roman" w:hAnsi="Times New Roman"/>
          <w:sz w:val="24"/>
          <w:szCs w:val="24"/>
        </w:rPr>
        <w:t>S</w:t>
      </w:r>
      <w:r w:rsidR="00F54C8F" w:rsidRPr="00EC7846">
        <w:rPr>
          <w:rFonts w:ascii="Times New Roman" w:hAnsi="Times New Roman"/>
          <w:sz w:val="24"/>
          <w:szCs w:val="24"/>
        </w:rPr>
        <w:t>ince each commenter is a potential litigant,</w:t>
      </w:r>
      <w:r w:rsidR="002B4E41">
        <w:rPr>
          <w:rFonts w:ascii="Times New Roman" w:hAnsi="Times New Roman"/>
          <w:sz w:val="24"/>
          <w:szCs w:val="24"/>
        </w:rPr>
        <w:t xml:space="preserve"> U.S.</w:t>
      </w:r>
      <w:r w:rsidR="00F54C8F" w:rsidRPr="00EC7846">
        <w:rPr>
          <w:rFonts w:ascii="Times New Roman" w:hAnsi="Times New Roman"/>
          <w:sz w:val="24"/>
          <w:szCs w:val="24"/>
        </w:rPr>
        <w:t xml:space="preserve"> agencies have </w:t>
      </w:r>
      <w:r w:rsidR="0054395F">
        <w:rPr>
          <w:rFonts w:ascii="Times New Roman" w:hAnsi="Times New Roman"/>
          <w:sz w:val="24"/>
          <w:szCs w:val="24"/>
        </w:rPr>
        <w:t>legal</w:t>
      </w:r>
      <w:r w:rsidR="00F54C8F" w:rsidRPr="00EC7846">
        <w:rPr>
          <w:rFonts w:ascii="Times New Roman" w:hAnsi="Times New Roman"/>
          <w:sz w:val="24"/>
          <w:szCs w:val="24"/>
        </w:rPr>
        <w:t xml:space="preserve"> incentives to take the comments seriously. </w:t>
      </w:r>
    </w:p>
    <w:p w:rsidR="008B7CD3"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DF31C1">
        <w:rPr>
          <w:rFonts w:ascii="Times New Roman" w:hAnsi="Times New Roman"/>
          <w:sz w:val="24"/>
          <w:szCs w:val="24"/>
        </w:rPr>
        <w:t>W</w:t>
      </w:r>
      <w:r w:rsidR="0054395F">
        <w:rPr>
          <w:rFonts w:ascii="Times New Roman" w:hAnsi="Times New Roman"/>
          <w:sz w:val="24"/>
          <w:szCs w:val="24"/>
        </w:rPr>
        <w:t>hat</w:t>
      </w:r>
      <w:r w:rsidR="00DF31C1">
        <w:rPr>
          <w:rFonts w:ascii="Times New Roman" w:hAnsi="Times New Roman"/>
          <w:sz w:val="24"/>
          <w:szCs w:val="24"/>
        </w:rPr>
        <w:t xml:space="preserve"> actually</w:t>
      </w:r>
      <w:r w:rsidR="0054395F">
        <w:rPr>
          <w:rFonts w:ascii="Times New Roman" w:hAnsi="Times New Roman"/>
          <w:sz w:val="24"/>
          <w:szCs w:val="24"/>
        </w:rPr>
        <w:t xml:space="preserve"> happens in practice</w:t>
      </w:r>
      <w:r w:rsidR="00424AF4">
        <w:rPr>
          <w:rFonts w:ascii="Times New Roman" w:hAnsi="Times New Roman"/>
          <w:sz w:val="24"/>
          <w:szCs w:val="24"/>
        </w:rPr>
        <w:t>, however,</w:t>
      </w:r>
      <w:r w:rsidR="0054395F">
        <w:rPr>
          <w:rFonts w:ascii="Times New Roman" w:hAnsi="Times New Roman"/>
          <w:sz w:val="24"/>
          <w:szCs w:val="24"/>
        </w:rPr>
        <w:t xml:space="preserve"> is slightly different</w:t>
      </w:r>
      <w:r w:rsidR="003E1B61">
        <w:rPr>
          <w:rFonts w:ascii="Times New Roman" w:hAnsi="Times New Roman"/>
          <w:sz w:val="24"/>
          <w:szCs w:val="24"/>
        </w:rPr>
        <w:t xml:space="preserve">.  </w:t>
      </w:r>
      <w:r w:rsidR="000037C5">
        <w:rPr>
          <w:rFonts w:ascii="Times New Roman" w:hAnsi="Times New Roman"/>
          <w:sz w:val="24"/>
          <w:szCs w:val="24"/>
        </w:rPr>
        <w:t>Even though</w:t>
      </w:r>
      <w:r w:rsidR="0054395F">
        <w:rPr>
          <w:rFonts w:ascii="Times New Roman" w:hAnsi="Times New Roman"/>
          <w:sz w:val="24"/>
          <w:szCs w:val="24"/>
        </w:rPr>
        <w:t xml:space="preserve"> </w:t>
      </w:r>
      <w:r w:rsidR="003E1B61">
        <w:rPr>
          <w:rFonts w:ascii="Times New Roman" w:hAnsi="Times New Roman"/>
          <w:sz w:val="24"/>
          <w:szCs w:val="24"/>
        </w:rPr>
        <w:t>legal</w:t>
      </w:r>
      <w:r w:rsidR="00F54C8F" w:rsidRPr="00EC7846">
        <w:rPr>
          <w:rFonts w:ascii="Times New Roman" w:hAnsi="Times New Roman"/>
          <w:sz w:val="24"/>
          <w:szCs w:val="24"/>
        </w:rPr>
        <w:t xml:space="preserve"> requirements</w:t>
      </w:r>
      <w:r w:rsidR="0054395F">
        <w:rPr>
          <w:rFonts w:ascii="Times New Roman" w:hAnsi="Times New Roman"/>
          <w:sz w:val="24"/>
          <w:szCs w:val="24"/>
        </w:rPr>
        <w:t xml:space="preserve"> </w:t>
      </w:r>
      <w:r w:rsidR="00F54C8F" w:rsidRPr="00EC7846">
        <w:rPr>
          <w:rFonts w:ascii="Times New Roman" w:hAnsi="Times New Roman"/>
          <w:sz w:val="24"/>
          <w:szCs w:val="24"/>
        </w:rPr>
        <w:t xml:space="preserve">impress upon agencies the need to </w:t>
      </w:r>
      <w:r w:rsidR="00E547E0">
        <w:rPr>
          <w:rFonts w:ascii="Times New Roman" w:hAnsi="Times New Roman"/>
          <w:sz w:val="24"/>
          <w:szCs w:val="24"/>
        </w:rPr>
        <w:t xml:space="preserve">provide </w:t>
      </w:r>
      <w:r w:rsidR="00347023">
        <w:rPr>
          <w:rFonts w:ascii="Times New Roman" w:hAnsi="Times New Roman"/>
          <w:sz w:val="24"/>
          <w:szCs w:val="24"/>
        </w:rPr>
        <w:t xml:space="preserve">formal </w:t>
      </w:r>
      <w:r w:rsidR="00E547E0">
        <w:rPr>
          <w:rFonts w:ascii="Times New Roman" w:hAnsi="Times New Roman"/>
          <w:sz w:val="24"/>
          <w:szCs w:val="24"/>
        </w:rPr>
        <w:t>opportunities for participa</w:t>
      </w:r>
      <w:r w:rsidR="00BD0D93">
        <w:rPr>
          <w:rFonts w:ascii="Times New Roman" w:hAnsi="Times New Roman"/>
          <w:sz w:val="24"/>
          <w:szCs w:val="24"/>
        </w:rPr>
        <w:t>tion</w:t>
      </w:r>
      <w:r w:rsidR="00E547E0">
        <w:rPr>
          <w:rFonts w:ascii="Times New Roman" w:hAnsi="Times New Roman"/>
          <w:sz w:val="24"/>
          <w:szCs w:val="24"/>
        </w:rPr>
        <w:t xml:space="preserve">, agencies </w:t>
      </w:r>
      <w:r w:rsidR="00424AF4">
        <w:rPr>
          <w:rFonts w:ascii="Times New Roman" w:hAnsi="Times New Roman"/>
          <w:sz w:val="24"/>
          <w:szCs w:val="24"/>
        </w:rPr>
        <w:t xml:space="preserve">are not required </w:t>
      </w:r>
      <w:r w:rsidR="00E547E0">
        <w:rPr>
          <w:rFonts w:ascii="Times New Roman" w:hAnsi="Times New Roman"/>
          <w:sz w:val="24"/>
          <w:szCs w:val="24"/>
        </w:rPr>
        <w:t>to ensu</w:t>
      </w:r>
      <w:r w:rsidR="00347023">
        <w:rPr>
          <w:rFonts w:ascii="Times New Roman" w:hAnsi="Times New Roman"/>
          <w:sz w:val="24"/>
          <w:szCs w:val="24"/>
        </w:rPr>
        <w:t xml:space="preserve">re that </w:t>
      </w:r>
      <w:r w:rsidR="0054395F">
        <w:rPr>
          <w:rFonts w:ascii="Times New Roman" w:hAnsi="Times New Roman"/>
          <w:sz w:val="24"/>
          <w:szCs w:val="24"/>
        </w:rPr>
        <w:t xml:space="preserve">the </w:t>
      </w:r>
      <w:r w:rsidR="00347023">
        <w:rPr>
          <w:rFonts w:ascii="Times New Roman" w:hAnsi="Times New Roman"/>
          <w:sz w:val="24"/>
          <w:szCs w:val="24"/>
        </w:rPr>
        <w:t xml:space="preserve">opportunities </w:t>
      </w:r>
      <w:r w:rsidR="0054395F">
        <w:rPr>
          <w:rFonts w:ascii="Times New Roman" w:hAnsi="Times New Roman"/>
          <w:sz w:val="24"/>
          <w:szCs w:val="24"/>
        </w:rPr>
        <w:t xml:space="preserve">they provide </w:t>
      </w:r>
      <w:r w:rsidR="00347023">
        <w:rPr>
          <w:rFonts w:ascii="Times New Roman" w:hAnsi="Times New Roman"/>
          <w:sz w:val="24"/>
          <w:szCs w:val="24"/>
        </w:rPr>
        <w:t xml:space="preserve">are </w:t>
      </w:r>
      <w:r w:rsidR="00E547E0">
        <w:rPr>
          <w:rFonts w:ascii="Times New Roman" w:hAnsi="Times New Roman"/>
          <w:sz w:val="24"/>
          <w:szCs w:val="24"/>
        </w:rPr>
        <w:t>effective</w:t>
      </w:r>
      <w:r w:rsidR="004A4725">
        <w:rPr>
          <w:rFonts w:ascii="Times New Roman" w:hAnsi="Times New Roman"/>
          <w:sz w:val="24"/>
          <w:szCs w:val="24"/>
        </w:rPr>
        <w:t xml:space="preserve">.  Administrative law </w:t>
      </w:r>
      <w:r w:rsidR="005F4549">
        <w:rPr>
          <w:rFonts w:ascii="Times New Roman" w:hAnsi="Times New Roman"/>
          <w:sz w:val="24"/>
          <w:szCs w:val="24"/>
        </w:rPr>
        <w:t xml:space="preserve">also </w:t>
      </w:r>
      <w:r w:rsidR="004A4725">
        <w:rPr>
          <w:rFonts w:ascii="Times New Roman" w:hAnsi="Times New Roman"/>
          <w:sz w:val="24"/>
          <w:szCs w:val="24"/>
        </w:rPr>
        <w:t>does not</w:t>
      </w:r>
      <w:r w:rsidR="00E547E0">
        <w:rPr>
          <w:rFonts w:ascii="Times New Roman" w:hAnsi="Times New Roman"/>
          <w:sz w:val="24"/>
          <w:szCs w:val="24"/>
        </w:rPr>
        <w:t xml:space="preserve"> require</w:t>
      </w:r>
      <w:r w:rsidR="004A4725">
        <w:rPr>
          <w:rFonts w:ascii="Times New Roman" w:hAnsi="Times New Roman"/>
          <w:sz w:val="24"/>
          <w:szCs w:val="24"/>
        </w:rPr>
        <w:t xml:space="preserve"> that</w:t>
      </w:r>
      <w:r w:rsidR="00E547E0">
        <w:rPr>
          <w:rFonts w:ascii="Times New Roman" w:hAnsi="Times New Roman"/>
          <w:sz w:val="24"/>
          <w:szCs w:val="24"/>
        </w:rPr>
        <w:t xml:space="preserve"> all significant</w:t>
      </w:r>
      <w:r w:rsidR="0054395F">
        <w:rPr>
          <w:rFonts w:ascii="Times New Roman" w:hAnsi="Times New Roman"/>
          <w:sz w:val="24"/>
          <w:szCs w:val="24"/>
        </w:rPr>
        <w:t>ly</w:t>
      </w:r>
      <w:r w:rsidR="00E547E0">
        <w:rPr>
          <w:rFonts w:ascii="Times New Roman" w:hAnsi="Times New Roman"/>
          <w:sz w:val="24"/>
          <w:szCs w:val="24"/>
        </w:rPr>
        <w:t xml:space="preserve"> affected parties be </w:t>
      </w:r>
      <w:r w:rsidR="004A4725">
        <w:rPr>
          <w:rFonts w:ascii="Times New Roman" w:hAnsi="Times New Roman"/>
          <w:sz w:val="24"/>
          <w:szCs w:val="24"/>
        </w:rPr>
        <w:t xml:space="preserve">actively </w:t>
      </w:r>
      <w:r w:rsidR="00E547E0">
        <w:rPr>
          <w:rFonts w:ascii="Times New Roman" w:hAnsi="Times New Roman"/>
          <w:sz w:val="24"/>
          <w:szCs w:val="24"/>
        </w:rPr>
        <w:t>represented</w:t>
      </w:r>
      <w:r w:rsidR="00DF31C1">
        <w:rPr>
          <w:rFonts w:ascii="Times New Roman" w:hAnsi="Times New Roman"/>
          <w:sz w:val="24"/>
          <w:szCs w:val="24"/>
        </w:rPr>
        <w:t xml:space="preserve"> in </w:t>
      </w:r>
      <w:r w:rsidR="004A4725">
        <w:rPr>
          <w:rFonts w:ascii="Times New Roman" w:hAnsi="Times New Roman"/>
          <w:sz w:val="24"/>
          <w:szCs w:val="24"/>
        </w:rPr>
        <w:t>rule</w:t>
      </w:r>
      <w:r w:rsidR="00424AF4">
        <w:rPr>
          <w:rFonts w:ascii="Times New Roman" w:hAnsi="Times New Roman"/>
          <w:sz w:val="24"/>
          <w:szCs w:val="24"/>
        </w:rPr>
        <w:t xml:space="preserve">making </w:t>
      </w:r>
      <w:r w:rsidR="004A4725">
        <w:rPr>
          <w:rFonts w:ascii="Times New Roman" w:hAnsi="Times New Roman"/>
          <w:sz w:val="24"/>
          <w:szCs w:val="24"/>
        </w:rPr>
        <w:t>that affec</w:t>
      </w:r>
      <w:r w:rsidR="00DF31C1">
        <w:rPr>
          <w:rFonts w:ascii="Times New Roman" w:hAnsi="Times New Roman"/>
          <w:sz w:val="24"/>
          <w:szCs w:val="24"/>
        </w:rPr>
        <w:t>t</w:t>
      </w:r>
      <w:r w:rsidR="00424AF4">
        <w:rPr>
          <w:rFonts w:ascii="Times New Roman" w:hAnsi="Times New Roman"/>
          <w:sz w:val="24"/>
          <w:szCs w:val="24"/>
        </w:rPr>
        <w:t>s</w:t>
      </w:r>
      <w:r w:rsidR="004A4725">
        <w:rPr>
          <w:rFonts w:ascii="Times New Roman" w:hAnsi="Times New Roman"/>
          <w:sz w:val="24"/>
          <w:szCs w:val="24"/>
        </w:rPr>
        <w:t xml:space="preserve"> their interests</w:t>
      </w:r>
      <w:r w:rsidR="00E547E0">
        <w:rPr>
          <w:rFonts w:ascii="Times New Roman" w:hAnsi="Times New Roman"/>
          <w:sz w:val="24"/>
          <w:szCs w:val="24"/>
        </w:rPr>
        <w:t xml:space="preserve">.  </w:t>
      </w:r>
      <w:r w:rsidR="000B23DC">
        <w:rPr>
          <w:rFonts w:ascii="Times New Roman" w:hAnsi="Times New Roman"/>
          <w:sz w:val="24"/>
          <w:szCs w:val="24"/>
        </w:rPr>
        <w:t xml:space="preserve">Instead, </w:t>
      </w:r>
      <w:r w:rsidR="00424AF4">
        <w:rPr>
          <w:rFonts w:ascii="Times New Roman" w:hAnsi="Times New Roman"/>
          <w:sz w:val="24"/>
          <w:szCs w:val="24"/>
        </w:rPr>
        <w:t xml:space="preserve">in the model contained in </w:t>
      </w:r>
      <w:r w:rsidR="000B23DC">
        <w:rPr>
          <w:rFonts w:ascii="Times New Roman" w:hAnsi="Times New Roman"/>
          <w:sz w:val="24"/>
          <w:szCs w:val="24"/>
        </w:rPr>
        <w:t>the Administrative Procedure Act (A</w:t>
      </w:r>
      <w:r w:rsidR="00347023">
        <w:rPr>
          <w:rFonts w:ascii="Times New Roman" w:hAnsi="Times New Roman"/>
          <w:sz w:val="24"/>
          <w:szCs w:val="24"/>
        </w:rPr>
        <w:t>PA</w:t>
      </w:r>
      <w:r w:rsidR="000B23DC">
        <w:rPr>
          <w:rFonts w:ascii="Times New Roman" w:hAnsi="Times New Roman"/>
          <w:sz w:val="24"/>
          <w:szCs w:val="24"/>
        </w:rPr>
        <w:t>)</w:t>
      </w:r>
      <w:r w:rsidR="00347023">
        <w:rPr>
          <w:rFonts w:ascii="Times New Roman" w:hAnsi="Times New Roman"/>
          <w:sz w:val="24"/>
          <w:szCs w:val="24"/>
        </w:rPr>
        <w:t xml:space="preserve"> </w:t>
      </w:r>
      <w:r w:rsidR="00854620">
        <w:rPr>
          <w:rFonts w:ascii="Times New Roman" w:hAnsi="Times New Roman"/>
          <w:sz w:val="24"/>
          <w:szCs w:val="24"/>
        </w:rPr>
        <w:t xml:space="preserve">the agency </w:t>
      </w:r>
      <w:r w:rsidR="00424AF4">
        <w:rPr>
          <w:rFonts w:ascii="Times New Roman" w:hAnsi="Times New Roman"/>
          <w:sz w:val="24"/>
          <w:szCs w:val="24"/>
        </w:rPr>
        <w:t>operates as a</w:t>
      </w:r>
      <w:r w:rsidR="00854620">
        <w:rPr>
          <w:rFonts w:ascii="Times New Roman" w:hAnsi="Times New Roman"/>
          <w:sz w:val="24"/>
          <w:szCs w:val="24"/>
        </w:rPr>
        <w:t xml:space="preserve"> passive</w:t>
      </w:r>
      <w:r w:rsidR="004A4725">
        <w:rPr>
          <w:rFonts w:ascii="Times New Roman" w:hAnsi="Times New Roman"/>
          <w:sz w:val="24"/>
          <w:szCs w:val="24"/>
        </w:rPr>
        <w:t xml:space="preserve"> </w:t>
      </w:r>
      <w:r w:rsidR="00424AF4">
        <w:rPr>
          <w:rFonts w:ascii="Times New Roman" w:hAnsi="Times New Roman"/>
          <w:sz w:val="24"/>
          <w:szCs w:val="24"/>
        </w:rPr>
        <w:t>recipient of stakeholder input.  A</w:t>
      </w:r>
      <w:r w:rsidR="00571974" w:rsidRPr="00D222FF">
        <w:rPr>
          <w:rFonts w:ascii="Times New Roman" w:hAnsi="Times New Roman"/>
          <w:sz w:val="24"/>
          <w:szCs w:val="24"/>
        </w:rPr>
        <w:t>gencies are</w:t>
      </w:r>
      <w:r w:rsidR="005F4549">
        <w:rPr>
          <w:rFonts w:ascii="Times New Roman" w:hAnsi="Times New Roman"/>
          <w:sz w:val="24"/>
          <w:szCs w:val="24"/>
        </w:rPr>
        <w:t xml:space="preserve"> generally </w:t>
      </w:r>
      <w:r w:rsidR="00571974" w:rsidRPr="00D222FF">
        <w:rPr>
          <w:rFonts w:ascii="Times New Roman" w:hAnsi="Times New Roman"/>
          <w:sz w:val="24"/>
          <w:szCs w:val="24"/>
        </w:rPr>
        <w:t xml:space="preserve">not required to monitor the intensity or diversity of stakeholder engagement, subsidize or actively solicit underrepresented groups, or otherwise ensure that the actual participants bear any resemblance </w:t>
      </w:r>
      <w:r w:rsidR="00571974" w:rsidRPr="00FB22B6">
        <w:rPr>
          <w:rFonts w:ascii="Times New Roman" w:hAnsi="Times New Roman"/>
          <w:sz w:val="24"/>
          <w:szCs w:val="24"/>
        </w:rPr>
        <w:t>to</w:t>
      </w:r>
      <w:r w:rsidR="00571974" w:rsidRPr="00D222FF">
        <w:rPr>
          <w:rFonts w:ascii="Times New Roman" w:hAnsi="Times New Roman"/>
          <w:sz w:val="24"/>
          <w:szCs w:val="24"/>
        </w:rPr>
        <w:t xml:space="preserve"> those who are actually affected by the agency’s action.</w:t>
      </w:r>
      <w:r w:rsidR="00D222FF" w:rsidRPr="00D222FF">
        <w:rPr>
          <w:rStyle w:val="EndnoteReference"/>
          <w:rFonts w:ascii="Times New Roman" w:hAnsi="Times New Roman"/>
          <w:sz w:val="24"/>
          <w:szCs w:val="24"/>
        </w:rPr>
        <w:t xml:space="preserve"> </w:t>
      </w:r>
      <w:r w:rsidR="00D222FF" w:rsidRPr="00EC7846">
        <w:rPr>
          <w:rStyle w:val="EndnoteReference"/>
          <w:rFonts w:ascii="Times New Roman" w:hAnsi="Times New Roman"/>
          <w:sz w:val="24"/>
          <w:szCs w:val="24"/>
        </w:rPr>
        <w:endnoteReference w:id="1"/>
      </w:r>
      <w:r w:rsidR="00571974">
        <w:rPr>
          <w:rFonts w:ascii="Times New Roman" w:hAnsi="Times New Roman"/>
          <w:sz w:val="24"/>
          <w:szCs w:val="24"/>
        </w:rPr>
        <w:t xml:space="preserve"> </w:t>
      </w:r>
      <w:r w:rsidR="00632E52">
        <w:rPr>
          <w:rFonts w:ascii="Times New Roman" w:hAnsi="Times New Roman"/>
          <w:sz w:val="24"/>
          <w:szCs w:val="24"/>
        </w:rPr>
        <w:t>T</w:t>
      </w:r>
      <w:r w:rsidR="00571974">
        <w:rPr>
          <w:rFonts w:ascii="Times New Roman" w:hAnsi="Times New Roman"/>
          <w:sz w:val="24"/>
          <w:szCs w:val="24"/>
        </w:rPr>
        <w:t>h</w:t>
      </w:r>
      <w:r w:rsidR="00632E52">
        <w:rPr>
          <w:rFonts w:ascii="Times New Roman" w:hAnsi="Times New Roman"/>
          <w:sz w:val="24"/>
          <w:szCs w:val="24"/>
        </w:rPr>
        <w:t xml:space="preserve">e </w:t>
      </w:r>
      <w:r w:rsidR="00571974">
        <w:rPr>
          <w:rFonts w:ascii="Times New Roman" w:hAnsi="Times New Roman"/>
          <w:sz w:val="24"/>
          <w:szCs w:val="24"/>
        </w:rPr>
        <w:t xml:space="preserve">success </w:t>
      </w:r>
      <w:r w:rsidR="00632E52">
        <w:rPr>
          <w:rFonts w:ascii="Times New Roman" w:hAnsi="Times New Roman"/>
          <w:sz w:val="24"/>
          <w:szCs w:val="24"/>
        </w:rPr>
        <w:t xml:space="preserve">of </w:t>
      </w:r>
      <w:r w:rsidR="00571974">
        <w:rPr>
          <w:rFonts w:ascii="Times New Roman" w:hAnsi="Times New Roman"/>
          <w:sz w:val="24"/>
          <w:szCs w:val="24"/>
        </w:rPr>
        <w:t>U.S.</w:t>
      </w:r>
      <w:r w:rsidR="00632E52">
        <w:rPr>
          <w:rFonts w:ascii="Times New Roman" w:hAnsi="Times New Roman"/>
          <w:sz w:val="24"/>
          <w:szCs w:val="24"/>
        </w:rPr>
        <w:t xml:space="preserve"> participation requirements </w:t>
      </w:r>
      <w:r w:rsidR="000B674F">
        <w:rPr>
          <w:rFonts w:ascii="Times New Roman" w:hAnsi="Times New Roman"/>
          <w:sz w:val="24"/>
          <w:szCs w:val="24"/>
        </w:rPr>
        <w:t>ultimately</w:t>
      </w:r>
      <w:r w:rsidR="00FE7284">
        <w:rPr>
          <w:rFonts w:ascii="Times New Roman" w:hAnsi="Times New Roman"/>
          <w:sz w:val="24"/>
          <w:szCs w:val="24"/>
        </w:rPr>
        <w:t xml:space="preserve"> relies</w:t>
      </w:r>
      <w:r w:rsidR="00632E52">
        <w:rPr>
          <w:rFonts w:ascii="Times New Roman" w:hAnsi="Times New Roman"/>
          <w:sz w:val="24"/>
          <w:szCs w:val="24"/>
        </w:rPr>
        <w:t xml:space="preserve"> on the stamina and </w:t>
      </w:r>
      <w:r w:rsidR="00571974">
        <w:rPr>
          <w:rFonts w:ascii="Times New Roman" w:hAnsi="Times New Roman"/>
          <w:sz w:val="24"/>
          <w:szCs w:val="24"/>
        </w:rPr>
        <w:t xml:space="preserve">resources </w:t>
      </w:r>
      <w:r w:rsidR="00632E52">
        <w:rPr>
          <w:rFonts w:ascii="Times New Roman" w:hAnsi="Times New Roman"/>
          <w:sz w:val="24"/>
          <w:szCs w:val="24"/>
        </w:rPr>
        <w:t>of the affected parties</w:t>
      </w:r>
      <w:r w:rsidR="00D222FF">
        <w:rPr>
          <w:rFonts w:ascii="Times New Roman" w:hAnsi="Times New Roman"/>
          <w:sz w:val="24"/>
          <w:szCs w:val="24"/>
        </w:rPr>
        <w:t xml:space="preserve">, a dependence that can lead to significant imbalances in </w:t>
      </w:r>
      <w:r w:rsidR="005F4549">
        <w:rPr>
          <w:rFonts w:ascii="Times New Roman" w:hAnsi="Times New Roman"/>
          <w:sz w:val="24"/>
          <w:szCs w:val="24"/>
        </w:rPr>
        <w:t>representation</w:t>
      </w:r>
      <w:r w:rsidR="00632E52">
        <w:rPr>
          <w:rFonts w:ascii="Times New Roman" w:hAnsi="Times New Roman"/>
          <w:sz w:val="24"/>
          <w:szCs w:val="24"/>
        </w:rPr>
        <w:t>.</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lastRenderedPageBreak/>
        <w:tab/>
      </w:r>
      <w:r w:rsidR="00D222FF">
        <w:rPr>
          <w:rFonts w:ascii="Times New Roman" w:hAnsi="Times New Roman"/>
          <w:sz w:val="24"/>
          <w:szCs w:val="24"/>
        </w:rPr>
        <w:t xml:space="preserve">Exacerbating </w:t>
      </w:r>
      <w:r w:rsidR="00573C5F">
        <w:rPr>
          <w:rFonts w:ascii="Times New Roman" w:hAnsi="Times New Roman"/>
          <w:sz w:val="24"/>
          <w:szCs w:val="24"/>
        </w:rPr>
        <w:t>these</w:t>
      </w:r>
      <w:r w:rsidR="0081728C">
        <w:rPr>
          <w:rFonts w:ascii="Times New Roman" w:hAnsi="Times New Roman"/>
          <w:sz w:val="24"/>
          <w:szCs w:val="24"/>
        </w:rPr>
        <w:t xml:space="preserve"> </w:t>
      </w:r>
      <w:r w:rsidR="00573C5F">
        <w:rPr>
          <w:rFonts w:ascii="Times New Roman" w:hAnsi="Times New Roman"/>
          <w:sz w:val="24"/>
          <w:szCs w:val="24"/>
        </w:rPr>
        <w:t>limitations</w:t>
      </w:r>
      <w:r w:rsidR="000B674F">
        <w:rPr>
          <w:rFonts w:ascii="Times New Roman" w:hAnsi="Times New Roman"/>
          <w:sz w:val="24"/>
          <w:szCs w:val="24"/>
        </w:rPr>
        <w:t xml:space="preserve"> </w:t>
      </w:r>
      <w:r w:rsidR="0081728C">
        <w:rPr>
          <w:rFonts w:ascii="Times New Roman" w:hAnsi="Times New Roman"/>
          <w:sz w:val="24"/>
          <w:szCs w:val="24"/>
        </w:rPr>
        <w:t xml:space="preserve">are gaps in the formal </w:t>
      </w:r>
      <w:r w:rsidR="002F130B">
        <w:rPr>
          <w:rFonts w:ascii="Times New Roman" w:hAnsi="Times New Roman"/>
          <w:sz w:val="24"/>
          <w:szCs w:val="24"/>
        </w:rPr>
        <w:t xml:space="preserve">participation </w:t>
      </w:r>
      <w:r w:rsidR="00A97489">
        <w:rPr>
          <w:rFonts w:ascii="Times New Roman" w:hAnsi="Times New Roman"/>
          <w:sz w:val="24"/>
          <w:szCs w:val="24"/>
        </w:rPr>
        <w:t>requirements</w:t>
      </w:r>
      <w:r w:rsidR="000B674F">
        <w:rPr>
          <w:rFonts w:ascii="Times New Roman" w:hAnsi="Times New Roman"/>
          <w:sz w:val="24"/>
          <w:szCs w:val="24"/>
        </w:rPr>
        <w:t xml:space="preserve"> themselves</w:t>
      </w:r>
      <w:r w:rsidR="0081728C">
        <w:rPr>
          <w:rFonts w:ascii="Times New Roman" w:hAnsi="Times New Roman"/>
          <w:sz w:val="24"/>
          <w:szCs w:val="24"/>
        </w:rPr>
        <w:t xml:space="preserve">.  Over time, </w:t>
      </w:r>
      <w:r w:rsidR="00632E52" w:rsidRPr="00EC7846">
        <w:rPr>
          <w:rFonts w:ascii="Times New Roman" w:hAnsi="Times New Roman"/>
          <w:sz w:val="24"/>
          <w:szCs w:val="24"/>
        </w:rPr>
        <w:t>eager participants and overburdened agencies</w:t>
      </w:r>
      <w:r w:rsidR="00FE7284">
        <w:rPr>
          <w:rFonts w:ascii="Times New Roman" w:hAnsi="Times New Roman"/>
          <w:sz w:val="24"/>
          <w:szCs w:val="24"/>
        </w:rPr>
        <w:t xml:space="preserve"> have</w:t>
      </w:r>
      <w:r w:rsidR="00DF31C1">
        <w:rPr>
          <w:rFonts w:ascii="Times New Roman" w:hAnsi="Times New Roman"/>
          <w:sz w:val="24"/>
          <w:szCs w:val="24"/>
        </w:rPr>
        <w:t xml:space="preserve"> </w:t>
      </w:r>
      <w:r w:rsidR="00BD0D93">
        <w:rPr>
          <w:rFonts w:ascii="Times New Roman" w:hAnsi="Times New Roman"/>
          <w:sz w:val="24"/>
          <w:szCs w:val="24"/>
        </w:rPr>
        <w:t>learn</w:t>
      </w:r>
      <w:r w:rsidR="00DF31C1">
        <w:rPr>
          <w:rFonts w:ascii="Times New Roman" w:hAnsi="Times New Roman"/>
          <w:sz w:val="24"/>
          <w:szCs w:val="24"/>
        </w:rPr>
        <w:t xml:space="preserve">ed to </w:t>
      </w:r>
      <w:r w:rsidR="00B96708">
        <w:rPr>
          <w:rFonts w:ascii="Times New Roman" w:hAnsi="Times New Roman"/>
          <w:sz w:val="24"/>
          <w:szCs w:val="24"/>
        </w:rPr>
        <w:t>exploit these gaps and</w:t>
      </w:r>
      <w:r w:rsidR="00FE7284">
        <w:rPr>
          <w:rFonts w:ascii="Times New Roman" w:hAnsi="Times New Roman"/>
          <w:sz w:val="24"/>
          <w:szCs w:val="24"/>
        </w:rPr>
        <w:t xml:space="preserve"> have</w:t>
      </w:r>
      <w:r w:rsidR="00B96708">
        <w:rPr>
          <w:rFonts w:ascii="Times New Roman" w:hAnsi="Times New Roman"/>
          <w:sz w:val="24"/>
          <w:szCs w:val="24"/>
        </w:rPr>
        <w:t xml:space="preserve"> created a number of</w:t>
      </w:r>
      <w:r w:rsidR="00DF31C1">
        <w:rPr>
          <w:rFonts w:ascii="Times New Roman" w:hAnsi="Times New Roman"/>
          <w:sz w:val="24"/>
          <w:szCs w:val="24"/>
        </w:rPr>
        <w:t xml:space="preserve"> shortcuts and end-runs around the </w:t>
      </w:r>
      <w:r w:rsidR="00A97489">
        <w:rPr>
          <w:rFonts w:ascii="Times New Roman" w:hAnsi="Times New Roman"/>
          <w:sz w:val="24"/>
          <w:szCs w:val="24"/>
        </w:rPr>
        <w:t>rules</w:t>
      </w:r>
      <w:r w:rsidR="00632E52" w:rsidRPr="00EC7846">
        <w:rPr>
          <w:rFonts w:ascii="Times New Roman" w:hAnsi="Times New Roman"/>
          <w:sz w:val="24"/>
          <w:szCs w:val="24"/>
        </w:rPr>
        <w:t xml:space="preserve">.  </w:t>
      </w:r>
      <w:r w:rsidR="005869BD">
        <w:rPr>
          <w:rFonts w:ascii="Times New Roman" w:hAnsi="Times New Roman"/>
          <w:sz w:val="24"/>
          <w:szCs w:val="24"/>
        </w:rPr>
        <w:t xml:space="preserve">As just one example, while agencies must carefully attend to commenters during the public comment period, there are effectively no restrictions on the processes </w:t>
      </w:r>
      <w:r w:rsidR="00DF31C1">
        <w:rPr>
          <w:rFonts w:ascii="Times New Roman" w:hAnsi="Times New Roman"/>
          <w:sz w:val="24"/>
          <w:szCs w:val="24"/>
        </w:rPr>
        <w:t xml:space="preserve">agencies </w:t>
      </w:r>
      <w:r w:rsidR="005F4549">
        <w:rPr>
          <w:rFonts w:ascii="Times New Roman" w:hAnsi="Times New Roman"/>
          <w:sz w:val="24"/>
          <w:szCs w:val="24"/>
        </w:rPr>
        <w:t xml:space="preserve">may </w:t>
      </w:r>
      <w:r w:rsidR="005869BD">
        <w:rPr>
          <w:rFonts w:ascii="Times New Roman" w:hAnsi="Times New Roman"/>
          <w:sz w:val="24"/>
          <w:szCs w:val="24"/>
        </w:rPr>
        <w:t>use</w:t>
      </w:r>
      <w:r w:rsidR="00DF31C1">
        <w:rPr>
          <w:rFonts w:ascii="Times New Roman" w:hAnsi="Times New Roman"/>
          <w:sz w:val="24"/>
          <w:szCs w:val="24"/>
        </w:rPr>
        <w:t xml:space="preserve"> to develop the initial</w:t>
      </w:r>
      <w:r w:rsidR="005869BD">
        <w:rPr>
          <w:rFonts w:ascii="Times New Roman" w:hAnsi="Times New Roman"/>
          <w:sz w:val="24"/>
          <w:szCs w:val="24"/>
        </w:rPr>
        <w:t xml:space="preserve"> rule proposal</w:t>
      </w:r>
      <w:r w:rsidR="0081728C">
        <w:rPr>
          <w:rFonts w:ascii="Times New Roman" w:hAnsi="Times New Roman"/>
          <w:sz w:val="24"/>
          <w:szCs w:val="24"/>
        </w:rPr>
        <w:t xml:space="preserve">.  </w:t>
      </w:r>
      <w:r w:rsidR="00571974">
        <w:rPr>
          <w:rFonts w:ascii="Times New Roman" w:hAnsi="Times New Roman"/>
          <w:sz w:val="24"/>
          <w:szCs w:val="24"/>
        </w:rPr>
        <w:t xml:space="preserve">As a result, agencies </w:t>
      </w:r>
      <w:r w:rsidR="00BD0D93">
        <w:rPr>
          <w:rFonts w:ascii="Times New Roman" w:hAnsi="Times New Roman"/>
          <w:sz w:val="24"/>
          <w:szCs w:val="24"/>
        </w:rPr>
        <w:t>can</w:t>
      </w:r>
      <w:r w:rsidR="00D222FF">
        <w:rPr>
          <w:rFonts w:ascii="Times New Roman" w:hAnsi="Times New Roman"/>
          <w:sz w:val="24"/>
          <w:szCs w:val="24"/>
        </w:rPr>
        <w:t xml:space="preserve"> manage</w:t>
      </w:r>
      <w:r w:rsidR="00571974">
        <w:rPr>
          <w:rFonts w:ascii="Times New Roman" w:hAnsi="Times New Roman"/>
          <w:sz w:val="24"/>
          <w:szCs w:val="24"/>
        </w:rPr>
        <w:t xml:space="preserve"> litigation risks by negotiating the rule proposal </w:t>
      </w:r>
      <w:r w:rsidR="0081728C">
        <w:rPr>
          <w:rFonts w:ascii="Times New Roman" w:hAnsi="Times New Roman"/>
          <w:sz w:val="24"/>
          <w:szCs w:val="24"/>
        </w:rPr>
        <w:t>with the most litigious stakeholders</w:t>
      </w:r>
      <w:r w:rsidR="00571974">
        <w:rPr>
          <w:rFonts w:ascii="Times New Roman" w:hAnsi="Times New Roman"/>
          <w:sz w:val="24"/>
          <w:szCs w:val="24"/>
        </w:rPr>
        <w:t xml:space="preserve"> in advance</w:t>
      </w:r>
      <w:r w:rsidR="00D222FF">
        <w:rPr>
          <w:rFonts w:ascii="Times New Roman" w:hAnsi="Times New Roman"/>
          <w:sz w:val="24"/>
          <w:szCs w:val="24"/>
        </w:rPr>
        <w:t xml:space="preserve">, outside the formal </w:t>
      </w:r>
      <w:r w:rsidR="00BD0D93">
        <w:rPr>
          <w:rFonts w:ascii="Times New Roman" w:hAnsi="Times New Roman"/>
          <w:sz w:val="24"/>
          <w:szCs w:val="24"/>
        </w:rPr>
        <w:t>comment</w:t>
      </w:r>
      <w:r w:rsidR="00D222FF">
        <w:rPr>
          <w:rFonts w:ascii="Times New Roman" w:hAnsi="Times New Roman"/>
          <w:sz w:val="24"/>
          <w:szCs w:val="24"/>
        </w:rPr>
        <w:t xml:space="preserve"> and recordkeeping requirements</w:t>
      </w:r>
      <w:r w:rsidR="0081728C">
        <w:rPr>
          <w:rFonts w:ascii="Times New Roman" w:hAnsi="Times New Roman"/>
          <w:sz w:val="24"/>
          <w:szCs w:val="24"/>
        </w:rPr>
        <w:t xml:space="preserve">.  </w:t>
      </w:r>
      <w:r w:rsidR="00632E52" w:rsidRPr="00EC7846">
        <w:rPr>
          <w:rFonts w:ascii="Times New Roman" w:hAnsi="Times New Roman"/>
          <w:sz w:val="24"/>
          <w:szCs w:val="24"/>
        </w:rPr>
        <w:t>In</w:t>
      </w:r>
      <w:r w:rsidR="0081728C">
        <w:rPr>
          <w:rFonts w:ascii="Times New Roman" w:hAnsi="Times New Roman"/>
          <w:sz w:val="24"/>
          <w:szCs w:val="24"/>
        </w:rPr>
        <w:t>deed</w:t>
      </w:r>
      <w:r w:rsidR="00BD0D93">
        <w:rPr>
          <w:rFonts w:ascii="Times New Roman" w:hAnsi="Times New Roman"/>
          <w:sz w:val="24"/>
          <w:szCs w:val="24"/>
        </w:rPr>
        <w:t>,</w:t>
      </w:r>
      <w:r w:rsidR="0081728C">
        <w:rPr>
          <w:rFonts w:ascii="Times New Roman" w:hAnsi="Times New Roman"/>
          <w:sz w:val="24"/>
          <w:szCs w:val="24"/>
        </w:rPr>
        <w:t xml:space="preserve"> in some</w:t>
      </w:r>
      <w:r w:rsidR="00632E52" w:rsidRPr="00EC7846">
        <w:rPr>
          <w:rFonts w:ascii="Times New Roman" w:hAnsi="Times New Roman"/>
          <w:sz w:val="24"/>
          <w:szCs w:val="24"/>
        </w:rPr>
        <w:t xml:space="preserve"> rulemaking settings these </w:t>
      </w:r>
      <w:r w:rsidR="000B674F">
        <w:rPr>
          <w:rFonts w:ascii="Times New Roman" w:hAnsi="Times New Roman"/>
          <w:sz w:val="24"/>
          <w:szCs w:val="24"/>
        </w:rPr>
        <w:t>work-arounds</w:t>
      </w:r>
      <w:r w:rsidR="00632E52" w:rsidRPr="00EC7846">
        <w:rPr>
          <w:rFonts w:ascii="Times New Roman" w:hAnsi="Times New Roman"/>
          <w:sz w:val="24"/>
          <w:szCs w:val="24"/>
        </w:rPr>
        <w:t xml:space="preserve"> </w:t>
      </w:r>
      <w:r w:rsidR="00B90A38">
        <w:rPr>
          <w:rFonts w:ascii="Times New Roman" w:hAnsi="Times New Roman"/>
          <w:sz w:val="24"/>
          <w:szCs w:val="24"/>
        </w:rPr>
        <w:t xml:space="preserve">have </w:t>
      </w:r>
      <w:r w:rsidR="00632E52" w:rsidRPr="00EC7846">
        <w:rPr>
          <w:rFonts w:ascii="Times New Roman" w:hAnsi="Times New Roman"/>
          <w:sz w:val="24"/>
          <w:szCs w:val="24"/>
        </w:rPr>
        <w:t xml:space="preserve">become so </w:t>
      </w:r>
      <w:r w:rsidR="00BD0D93">
        <w:rPr>
          <w:rFonts w:ascii="Times New Roman" w:hAnsi="Times New Roman"/>
          <w:sz w:val="24"/>
          <w:szCs w:val="24"/>
        </w:rPr>
        <w:t>important</w:t>
      </w:r>
      <w:r w:rsidR="00571974" w:rsidRPr="00EC7846">
        <w:rPr>
          <w:rFonts w:ascii="Times New Roman" w:hAnsi="Times New Roman"/>
          <w:sz w:val="24"/>
          <w:szCs w:val="24"/>
        </w:rPr>
        <w:t xml:space="preserve"> </w:t>
      </w:r>
      <w:r w:rsidR="00632E52" w:rsidRPr="00EC7846">
        <w:rPr>
          <w:rFonts w:ascii="Times New Roman" w:hAnsi="Times New Roman"/>
          <w:sz w:val="24"/>
          <w:szCs w:val="24"/>
        </w:rPr>
        <w:t>that they serve as the</w:t>
      </w:r>
      <w:r w:rsidR="002F5936">
        <w:rPr>
          <w:rFonts w:ascii="Times New Roman" w:hAnsi="Times New Roman"/>
          <w:sz w:val="24"/>
          <w:szCs w:val="24"/>
        </w:rPr>
        <w:t xml:space="preserve"> primary </w:t>
      </w:r>
      <w:r w:rsidR="00A97489">
        <w:rPr>
          <w:rFonts w:ascii="Times New Roman" w:hAnsi="Times New Roman"/>
          <w:sz w:val="24"/>
          <w:szCs w:val="24"/>
        </w:rPr>
        <w:t>means for</w:t>
      </w:r>
      <w:r w:rsidR="002F5936">
        <w:rPr>
          <w:rFonts w:ascii="Times New Roman" w:hAnsi="Times New Roman"/>
          <w:sz w:val="24"/>
          <w:szCs w:val="24"/>
        </w:rPr>
        <w:t xml:space="preserve"> agencies </w:t>
      </w:r>
      <w:r w:rsidR="00A97489">
        <w:rPr>
          <w:rFonts w:ascii="Times New Roman" w:hAnsi="Times New Roman"/>
          <w:sz w:val="24"/>
          <w:szCs w:val="24"/>
        </w:rPr>
        <w:t xml:space="preserve">to </w:t>
      </w:r>
      <w:r w:rsidR="002F5936">
        <w:rPr>
          <w:rFonts w:ascii="Times New Roman" w:hAnsi="Times New Roman"/>
          <w:sz w:val="24"/>
          <w:szCs w:val="24"/>
        </w:rPr>
        <w:t>advance their policies.</w:t>
      </w:r>
    </w:p>
    <w:p w:rsidR="00632E52" w:rsidRPr="008B7CD3" w:rsidRDefault="008B7CD3" w:rsidP="008B7CD3">
      <w:pPr>
        <w:pStyle w:val="ListParagraph"/>
        <w:spacing w:line="480" w:lineRule="auto"/>
        <w:ind w:left="0"/>
        <w:rPr>
          <w:rFonts w:ascii="Times New Roman" w:hAnsi="Times New Roman"/>
          <w:i/>
          <w:sz w:val="24"/>
          <w:szCs w:val="24"/>
        </w:rPr>
      </w:pPr>
      <w:r>
        <w:rPr>
          <w:rFonts w:ascii="Times New Roman" w:hAnsi="Times New Roman"/>
          <w:sz w:val="24"/>
          <w:szCs w:val="24"/>
        </w:rPr>
        <w:tab/>
      </w:r>
      <w:r w:rsidR="00B96708">
        <w:rPr>
          <w:rFonts w:ascii="Times New Roman" w:hAnsi="Times New Roman"/>
          <w:sz w:val="24"/>
          <w:szCs w:val="24"/>
        </w:rPr>
        <w:t>Consequently</w:t>
      </w:r>
      <w:r w:rsidR="00632E52">
        <w:rPr>
          <w:rFonts w:ascii="Times New Roman" w:hAnsi="Times New Roman"/>
          <w:sz w:val="24"/>
          <w:szCs w:val="24"/>
        </w:rPr>
        <w:t xml:space="preserve">, there </w:t>
      </w:r>
      <w:r w:rsidR="00A97489">
        <w:rPr>
          <w:rFonts w:ascii="Times New Roman" w:hAnsi="Times New Roman"/>
          <w:sz w:val="24"/>
          <w:szCs w:val="24"/>
        </w:rPr>
        <w:t>is</w:t>
      </w:r>
      <w:r w:rsidR="00632E52">
        <w:rPr>
          <w:rFonts w:ascii="Times New Roman" w:hAnsi="Times New Roman"/>
          <w:sz w:val="24"/>
          <w:szCs w:val="24"/>
        </w:rPr>
        <w:t xml:space="preserve"> a significant difference</w:t>
      </w:r>
      <w:r w:rsidR="00632E52" w:rsidRPr="00EC7846">
        <w:rPr>
          <w:rFonts w:ascii="Times New Roman" w:hAnsi="Times New Roman"/>
          <w:sz w:val="24"/>
          <w:szCs w:val="24"/>
        </w:rPr>
        <w:t xml:space="preserve"> between what</w:t>
      </w:r>
      <w:r w:rsidR="00795E16">
        <w:rPr>
          <w:rFonts w:ascii="Times New Roman" w:hAnsi="Times New Roman"/>
          <w:sz w:val="24"/>
          <w:szCs w:val="24"/>
        </w:rPr>
        <w:t xml:space="preserve"> is promised by</w:t>
      </w:r>
      <w:r w:rsidR="00632E52" w:rsidRPr="00EC7846">
        <w:rPr>
          <w:rFonts w:ascii="Times New Roman" w:hAnsi="Times New Roman"/>
          <w:sz w:val="24"/>
          <w:szCs w:val="24"/>
        </w:rPr>
        <w:t xml:space="preserve"> the formal </w:t>
      </w:r>
      <w:r w:rsidR="00632E52">
        <w:rPr>
          <w:rFonts w:ascii="Times New Roman" w:hAnsi="Times New Roman"/>
          <w:sz w:val="24"/>
          <w:szCs w:val="24"/>
        </w:rPr>
        <w:t xml:space="preserve">U.S. administrative </w:t>
      </w:r>
      <w:r w:rsidR="00632E52" w:rsidRPr="00EC7846">
        <w:rPr>
          <w:rFonts w:ascii="Times New Roman" w:hAnsi="Times New Roman"/>
          <w:sz w:val="24"/>
          <w:szCs w:val="24"/>
        </w:rPr>
        <w:t>process</w:t>
      </w:r>
      <w:r w:rsidR="00F349D9">
        <w:rPr>
          <w:rFonts w:ascii="Times New Roman" w:hAnsi="Times New Roman"/>
          <w:sz w:val="24"/>
          <w:szCs w:val="24"/>
        </w:rPr>
        <w:t xml:space="preserve"> on paper</w:t>
      </w:r>
      <w:r w:rsidR="00795E16">
        <w:rPr>
          <w:rFonts w:ascii="Times New Roman" w:hAnsi="Times New Roman"/>
          <w:sz w:val="24"/>
          <w:szCs w:val="24"/>
        </w:rPr>
        <w:t xml:space="preserve"> and </w:t>
      </w:r>
      <w:r w:rsidR="00632E52" w:rsidRPr="00EC7846">
        <w:rPr>
          <w:rFonts w:ascii="Times New Roman" w:hAnsi="Times New Roman"/>
          <w:sz w:val="24"/>
          <w:szCs w:val="24"/>
        </w:rPr>
        <w:t xml:space="preserve">what </w:t>
      </w:r>
      <w:r w:rsidR="00A97489">
        <w:rPr>
          <w:rFonts w:ascii="Times New Roman" w:hAnsi="Times New Roman"/>
          <w:sz w:val="24"/>
          <w:szCs w:val="24"/>
        </w:rPr>
        <w:t>can</w:t>
      </w:r>
      <w:r w:rsidR="00A97489" w:rsidRPr="00EC7846">
        <w:rPr>
          <w:rFonts w:ascii="Times New Roman" w:hAnsi="Times New Roman"/>
          <w:sz w:val="24"/>
          <w:szCs w:val="24"/>
        </w:rPr>
        <w:t xml:space="preserve"> </w:t>
      </w:r>
      <w:r w:rsidR="00632E52" w:rsidRPr="00EC7846">
        <w:rPr>
          <w:rFonts w:ascii="Times New Roman" w:hAnsi="Times New Roman"/>
          <w:sz w:val="24"/>
          <w:szCs w:val="24"/>
        </w:rPr>
        <w:t xml:space="preserve">happen in practice.  This chapter extracts </w:t>
      </w:r>
      <w:r w:rsidR="00B90A38">
        <w:rPr>
          <w:rFonts w:ascii="Times New Roman" w:hAnsi="Times New Roman"/>
          <w:sz w:val="24"/>
          <w:szCs w:val="24"/>
        </w:rPr>
        <w:t>th</w:t>
      </w:r>
      <w:r w:rsidR="004A4725">
        <w:rPr>
          <w:rFonts w:ascii="Times New Roman" w:hAnsi="Times New Roman"/>
          <w:sz w:val="24"/>
          <w:szCs w:val="24"/>
        </w:rPr>
        <w:t>e</w:t>
      </w:r>
      <w:r w:rsidR="00F349D9">
        <w:rPr>
          <w:rFonts w:ascii="Times New Roman" w:hAnsi="Times New Roman"/>
          <w:sz w:val="24"/>
          <w:szCs w:val="24"/>
        </w:rPr>
        <w:t>se</w:t>
      </w:r>
      <w:r w:rsidR="00B90A38">
        <w:rPr>
          <w:rFonts w:ascii="Times New Roman" w:hAnsi="Times New Roman"/>
          <w:sz w:val="24"/>
          <w:szCs w:val="24"/>
        </w:rPr>
        <w:t xml:space="preserve"> two</w:t>
      </w:r>
      <w:r w:rsidR="00B90A38" w:rsidRPr="00EC7846">
        <w:rPr>
          <w:rFonts w:ascii="Times New Roman" w:hAnsi="Times New Roman"/>
          <w:sz w:val="24"/>
          <w:szCs w:val="24"/>
        </w:rPr>
        <w:t xml:space="preserve"> </w:t>
      </w:r>
      <w:r w:rsidR="00632E52" w:rsidRPr="00EC7846">
        <w:rPr>
          <w:rFonts w:ascii="Times New Roman" w:hAnsi="Times New Roman"/>
          <w:sz w:val="24"/>
          <w:szCs w:val="24"/>
        </w:rPr>
        <w:t xml:space="preserve">competing </w:t>
      </w:r>
      <w:r w:rsidR="00632E52">
        <w:rPr>
          <w:rFonts w:ascii="Times New Roman" w:hAnsi="Times New Roman"/>
          <w:sz w:val="24"/>
          <w:szCs w:val="24"/>
        </w:rPr>
        <w:t xml:space="preserve">stories </w:t>
      </w:r>
      <w:r w:rsidR="00632E52" w:rsidRPr="00EC7846">
        <w:rPr>
          <w:rFonts w:ascii="Times New Roman" w:hAnsi="Times New Roman"/>
          <w:sz w:val="24"/>
          <w:szCs w:val="24"/>
        </w:rPr>
        <w:t xml:space="preserve">of </w:t>
      </w:r>
      <w:r w:rsidR="00F349D9">
        <w:rPr>
          <w:rFonts w:ascii="Times New Roman" w:hAnsi="Times New Roman"/>
          <w:sz w:val="24"/>
          <w:szCs w:val="24"/>
        </w:rPr>
        <w:t>U.S.</w:t>
      </w:r>
      <w:r w:rsidR="00795E16">
        <w:rPr>
          <w:rFonts w:ascii="Times New Roman" w:hAnsi="Times New Roman"/>
          <w:sz w:val="24"/>
          <w:szCs w:val="24"/>
        </w:rPr>
        <w:t xml:space="preserve"> </w:t>
      </w:r>
      <w:r w:rsidR="00632E52" w:rsidRPr="00EC7846">
        <w:rPr>
          <w:rFonts w:ascii="Times New Roman" w:hAnsi="Times New Roman"/>
          <w:sz w:val="24"/>
          <w:szCs w:val="24"/>
        </w:rPr>
        <w:t>administrative process</w:t>
      </w:r>
      <w:r w:rsidR="00632E52">
        <w:rPr>
          <w:rFonts w:ascii="Times New Roman" w:hAnsi="Times New Roman"/>
          <w:sz w:val="24"/>
          <w:szCs w:val="24"/>
        </w:rPr>
        <w:t>.</w:t>
      </w:r>
      <w:r w:rsidR="00632E52" w:rsidRPr="00EC7846">
        <w:rPr>
          <w:rFonts w:ascii="Times New Roman" w:hAnsi="Times New Roman"/>
          <w:sz w:val="24"/>
          <w:szCs w:val="24"/>
        </w:rPr>
        <w:t xml:space="preserve">  After surveying the formal requirements </w:t>
      </w:r>
      <w:r w:rsidR="00DF31C1">
        <w:rPr>
          <w:rFonts w:ascii="Times New Roman" w:hAnsi="Times New Roman"/>
          <w:sz w:val="24"/>
          <w:szCs w:val="24"/>
        </w:rPr>
        <w:t xml:space="preserve">of </w:t>
      </w:r>
      <w:r w:rsidR="00632E52">
        <w:rPr>
          <w:rFonts w:ascii="Times New Roman" w:hAnsi="Times New Roman"/>
          <w:sz w:val="24"/>
          <w:szCs w:val="24"/>
        </w:rPr>
        <w:t>U.S.</w:t>
      </w:r>
      <w:r w:rsidR="00632E52" w:rsidRPr="00EC7846">
        <w:rPr>
          <w:rFonts w:ascii="Times New Roman" w:hAnsi="Times New Roman"/>
          <w:sz w:val="24"/>
          <w:szCs w:val="24"/>
        </w:rPr>
        <w:t xml:space="preserve"> administrative law in the first section, the second section considers the various ways </w:t>
      </w:r>
      <w:r w:rsidR="00FE7284">
        <w:rPr>
          <w:rFonts w:ascii="Times New Roman" w:hAnsi="Times New Roman"/>
          <w:sz w:val="24"/>
          <w:szCs w:val="24"/>
        </w:rPr>
        <w:t>in which</w:t>
      </w:r>
      <w:r w:rsidR="00632E52" w:rsidRPr="00EC7846">
        <w:rPr>
          <w:rFonts w:ascii="Times New Roman" w:hAnsi="Times New Roman"/>
          <w:sz w:val="24"/>
          <w:szCs w:val="24"/>
        </w:rPr>
        <w:t xml:space="preserve"> the </w:t>
      </w:r>
      <w:r w:rsidR="00B90A38">
        <w:rPr>
          <w:rFonts w:ascii="Times New Roman" w:hAnsi="Times New Roman"/>
          <w:sz w:val="24"/>
          <w:szCs w:val="24"/>
        </w:rPr>
        <w:t xml:space="preserve">stated </w:t>
      </w:r>
      <w:r w:rsidR="00632E52" w:rsidRPr="00EC7846">
        <w:rPr>
          <w:rFonts w:ascii="Times New Roman" w:hAnsi="Times New Roman"/>
          <w:sz w:val="24"/>
          <w:szCs w:val="24"/>
        </w:rPr>
        <w:t xml:space="preserve">goal of ensuring diverse participation </w:t>
      </w:r>
      <w:r w:rsidR="00FE7284">
        <w:rPr>
          <w:rFonts w:ascii="Times New Roman" w:hAnsi="Times New Roman"/>
          <w:sz w:val="24"/>
          <w:szCs w:val="24"/>
        </w:rPr>
        <w:t>can</w:t>
      </w:r>
      <w:r w:rsidR="00632E52" w:rsidRPr="00EC7846">
        <w:rPr>
          <w:rFonts w:ascii="Times New Roman" w:hAnsi="Times New Roman"/>
          <w:sz w:val="24"/>
          <w:szCs w:val="24"/>
        </w:rPr>
        <w:t xml:space="preserve"> be undermined in </w:t>
      </w:r>
      <w:r w:rsidR="00B90A38">
        <w:rPr>
          <w:rFonts w:ascii="Times New Roman" w:hAnsi="Times New Roman"/>
          <w:sz w:val="24"/>
          <w:szCs w:val="24"/>
        </w:rPr>
        <w:t>the real world</w:t>
      </w:r>
      <w:r w:rsidR="00632E52" w:rsidRPr="00EC7846">
        <w:rPr>
          <w:rFonts w:ascii="Times New Roman" w:hAnsi="Times New Roman"/>
          <w:sz w:val="24"/>
          <w:szCs w:val="24"/>
        </w:rPr>
        <w:t xml:space="preserve">.  The third section then </w:t>
      </w:r>
      <w:r w:rsidR="00FE7284">
        <w:rPr>
          <w:rFonts w:ascii="Times New Roman" w:hAnsi="Times New Roman"/>
          <w:sz w:val="24"/>
          <w:szCs w:val="24"/>
        </w:rPr>
        <w:t>draws out some of the most important differences between this</w:t>
      </w:r>
      <w:r w:rsidR="00632E52" w:rsidRPr="00EC7846">
        <w:rPr>
          <w:rFonts w:ascii="Times New Roman" w:hAnsi="Times New Roman"/>
          <w:sz w:val="24"/>
          <w:szCs w:val="24"/>
        </w:rPr>
        <w:t xml:space="preserve"> account of the</w:t>
      </w:r>
      <w:r w:rsidR="00632E52">
        <w:rPr>
          <w:rFonts w:ascii="Times New Roman" w:hAnsi="Times New Roman"/>
          <w:sz w:val="24"/>
          <w:szCs w:val="24"/>
        </w:rPr>
        <w:t xml:space="preserve"> U.S.</w:t>
      </w:r>
      <w:r w:rsidR="00632E52" w:rsidRPr="00EC7846">
        <w:rPr>
          <w:rFonts w:ascii="Times New Roman" w:hAnsi="Times New Roman"/>
          <w:sz w:val="24"/>
          <w:szCs w:val="24"/>
        </w:rPr>
        <w:t xml:space="preserve"> regulatory system </w:t>
      </w:r>
      <w:r w:rsidR="00FE7284">
        <w:rPr>
          <w:rFonts w:ascii="Times New Roman" w:hAnsi="Times New Roman"/>
          <w:sz w:val="24"/>
          <w:szCs w:val="24"/>
        </w:rPr>
        <w:t xml:space="preserve">and rulemaking in the </w:t>
      </w:r>
      <w:r w:rsidR="00AC2F36">
        <w:rPr>
          <w:rFonts w:ascii="Times New Roman" w:hAnsi="Times New Roman"/>
          <w:sz w:val="24"/>
          <w:szCs w:val="24"/>
        </w:rPr>
        <w:t>European Union (</w:t>
      </w:r>
      <w:r w:rsidR="00632E52" w:rsidRPr="00EC7846">
        <w:rPr>
          <w:rFonts w:ascii="Times New Roman" w:hAnsi="Times New Roman"/>
          <w:sz w:val="24"/>
          <w:szCs w:val="24"/>
        </w:rPr>
        <w:t>EU</w:t>
      </w:r>
      <w:r w:rsidR="00AC2F36">
        <w:rPr>
          <w:rFonts w:ascii="Times New Roman" w:hAnsi="Times New Roman"/>
          <w:sz w:val="24"/>
          <w:szCs w:val="24"/>
        </w:rPr>
        <w:t>)</w:t>
      </w:r>
      <w:r w:rsidR="00632E52" w:rsidRPr="00EC7846">
        <w:rPr>
          <w:rFonts w:ascii="Times New Roman" w:hAnsi="Times New Roman"/>
          <w:sz w:val="24"/>
          <w:szCs w:val="24"/>
        </w:rPr>
        <w:t xml:space="preserve">.  This preliminary analysis suggests that, once the </w:t>
      </w:r>
      <w:r w:rsidR="008E3CD1">
        <w:rPr>
          <w:rFonts w:ascii="Times New Roman" w:hAnsi="Times New Roman"/>
          <w:sz w:val="24"/>
          <w:szCs w:val="24"/>
        </w:rPr>
        <w:t>empirical</w:t>
      </w:r>
      <w:r w:rsidR="00632E52" w:rsidRPr="00EC7846">
        <w:rPr>
          <w:rFonts w:ascii="Times New Roman" w:hAnsi="Times New Roman"/>
          <w:sz w:val="24"/>
          <w:szCs w:val="24"/>
        </w:rPr>
        <w:t xml:space="preserve"> realities of</w:t>
      </w:r>
      <w:r w:rsidR="00632E52">
        <w:rPr>
          <w:rFonts w:ascii="Times New Roman" w:hAnsi="Times New Roman"/>
          <w:sz w:val="24"/>
          <w:szCs w:val="24"/>
        </w:rPr>
        <w:t xml:space="preserve"> U.S.</w:t>
      </w:r>
      <w:r w:rsidR="00632E52" w:rsidRPr="00EC7846">
        <w:rPr>
          <w:rFonts w:ascii="Times New Roman" w:hAnsi="Times New Roman"/>
          <w:sz w:val="24"/>
          <w:szCs w:val="24"/>
        </w:rPr>
        <w:t xml:space="preserve"> process are taken into account,</w:t>
      </w:r>
      <w:r w:rsidR="00FE7284">
        <w:rPr>
          <w:rFonts w:ascii="Times New Roman" w:hAnsi="Times New Roman"/>
          <w:sz w:val="24"/>
          <w:szCs w:val="24"/>
        </w:rPr>
        <w:t xml:space="preserve"> rulemaking in </w:t>
      </w:r>
      <w:r w:rsidR="00632E52" w:rsidRPr="00EC7846">
        <w:rPr>
          <w:rFonts w:ascii="Times New Roman" w:hAnsi="Times New Roman"/>
          <w:sz w:val="24"/>
          <w:szCs w:val="24"/>
        </w:rPr>
        <w:t>the EU and the</w:t>
      </w:r>
      <w:r w:rsidR="00632E52">
        <w:rPr>
          <w:rFonts w:ascii="Times New Roman" w:hAnsi="Times New Roman"/>
          <w:sz w:val="24"/>
          <w:szCs w:val="24"/>
        </w:rPr>
        <w:t xml:space="preserve"> U.S.</w:t>
      </w:r>
      <w:r w:rsidR="00632E52" w:rsidRPr="00EC7846">
        <w:rPr>
          <w:rFonts w:ascii="Times New Roman" w:hAnsi="Times New Roman"/>
          <w:sz w:val="24"/>
          <w:szCs w:val="24"/>
        </w:rPr>
        <w:t xml:space="preserve"> </w:t>
      </w:r>
      <w:r w:rsidR="00DF31C1">
        <w:rPr>
          <w:rFonts w:ascii="Times New Roman" w:hAnsi="Times New Roman"/>
          <w:sz w:val="24"/>
          <w:szCs w:val="24"/>
        </w:rPr>
        <w:t xml:space="preserve">may </w:t>
      </w:r>
      <w:r w:rsidR="0081728C">
        <w:rPr>
          <w:rFonts w:ascii="Times New Roman" w:hAnsi="Times New Roman"/>
          <w:sz w:val="24"/>
          <w:szCs w:val="24"/>
        </w:rPr>
        <w:t>not be so different after all</w:t>
      </w:r>
      <w:r w:rsidR="00632E52" w:rsidRPr="00EC7846">
        <w:rPr>
          <w:rFonts w:ascii="Times New Roman" w:hAnsi="Times New Roman"/>
          <w:sz w:val="24"/>
          <w:szCs w:val="24"/>
        </w:rPr>
        <w:t xml:space="preserve">.  The final section closes with the identification of a few features of the EU system that might be worthy of </w:t>
      </w:r>
      <w:r w:rsidR="00632E52">
        <w:rPr>
          <w:rFonts w:ascii="Times New Roman" w:hAnsi="Times New Roman"/>
          <w:sz w:val="24"/>
          <w:szCs w:val="24"/>
        </w:rPr>
        <w:t>borrowing in the reform of U.S.</w:t>
      </w:r>
      <w:r w:rsidR="00632E52" w:rsidRPr="00EC7846">
        <w:rPr>
          <w:rFonts w:ascii="Times New Roman" w:hAnsi="Times New Roman"/>
          <w:sz w:val="24"/>
          <w:szCs w:val="24"/>
        </w:rPr>
        <w:t xml:space="preserve"> administrative process.  </w:t>
      </w:r>
    </w:p>
    <w:p w:rsidR="00632E52" w:rsidRPr="008B7CD3" w:rsidRDefault="00632E52" w:rsidP="008B7CD3">
      <w:pPr>
        <w:pStyle w:val="ListParagraph"/>
        <w:spacing w:line="480" w:lineRule="auto"/>
        <w:ind w:left="0"/>
        <w:rPr>
          <w:rFonts w:ascii="Times New Roman" w:hAnsi="Times New Roman"/>
          <w:smallCaps/>
          <w:sz w:val="24"/>
          <w:szCs w:val="24"/>
        </w:rPr>
      </w:pPr>
      <w:r w:rsidRPr="00EC7846">
        <w:rPr>
          <w:rFonts w:ascii="Times New Roman" w:hAnsi="Times New Roman"/>
          <w:smallCaps/>
          <w:sz w:val="24"/>
          <w:szCs w:val="24"/>
        </w:rPr>
        <w:t>I.   U.S. Administrative Law on Paper</w:t>
      </w:r>
    </w:p>
    <w:p w:rsidR="00632E52" w:rsidRPr="00EC7846" w:rsidRDefault="008B7CD3" w:rsidP="00EA2549">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The legitimate scope and reach of agency authority has been a continuing source of controversy in the development of the administrative state in the U</w:t>
      </w:r>
      <w:r w:rsidR="00632E52">
        <w:rPr>
          <w:rFonts w:ascii="Times New Roman" w:hAnsi="Times New Roman"/>
          <w:sz w:val="24"/>
          <w:szCs w:val="24"/>
        </w:rPr>
        <w:t>.</w:t>
      </w:r>
      <w:r w:rsidR="00632E52" w:rsidRPr="00EC7846">
        <w:rPr>
          <w:rFonts w:ascii="Times New Roman" w:hAnsi="Times New Roman"/>
          <w:sz w:val="24"/>
          <w:szCs w:val="24"/>
        </w:rPr>
        <w:t xml:space="preserve">S.  A number of different, but </w:t>
      </w:r>
      <w:r w:rsidR="00632E52" w:rsidRPr="00EC7846">
        <w:rPr>
          <w:rFonts w:ascii="Times New Roman" w:hAnsi="Times New Roman"/>
          <w:sz w:val="24"/>
          <w:szCs w:val="24"/>
        </w:rPr>
        <w:lastRenderedPageBreak/>
        <w:t xml:space="preserve">generally reinforcing oversight mechanisms have </w:t>
      </w:r>
      <w:r w:rsidR="00632E52">
        <w:rPr>
          <w:rFonts w:ascii="Times New Roman" w:hAnsi="Times New Roman"/>
          <w:sz w:val="24"/>
          <w:szCs w:val="24"/>
        </w:rPr>
        <w:t>been devised</w:t>
      </w:r>
      <w:r w:rsidR="00632E52" w:rsidRPr="00EC7846">
        <w:rPr>
          <w:rFonts w:ascii="Times New Roman" w:hAnsi="Times New Roman"/>
          <w:sz w:val="24"/>
          <w:szCs w:val="24"/>
        </w:rPr>
        <w:t xml:space="preserve"> over time within the three branches of government to check agency power.  For example, Congress serves as the chief architect of the regulatory state</w:t>
      </w:r>
      <w:r w:rsidR="00E51017">
        <w:rPr>
          <w:rFonts w:ascii="Times New Roman" w:hAnsi="Times New Roman"/>
          <w:sz w:val="24"/>
          <w:szCs w:val="24"/>
        </w:rPr>
        <w:t>―</w:t>
      </w:r>
      <w:r w:rsidR="00632E52" w:rsidRPr="00EC7846">
        <w:rPr>
          <w:rFonts w:ascii="Times New Roman" w:hAnsi="Times New Roman"/>
          <w:sz w:val="24"/>
          <w:szCs w:val="24"/>
        </w:rPr>
        <w:t>responsible for both the creation of agencies and their statutory authorizations.  Congress also enjoys oversight powers, implemented through a variety of mechanisms, and controls agency budgets.  The President is primarily engaged in overseeing the ongoing operations</w:t>
      </w:r>
      <w:r w:rsidR="00E51017">
        <w:rPr>
          <w:rFonts w:ascii="Times New Roman" w:hAnsi="Times New Roman"/>
          <w:sz w:val="24"/>
          <w:szCs w:val="24"/>
        </w:rPr>
        <w:t xml:space="preserve"> of federal agencies</w:t>
      </w:r>
      <w:r w:rsidR="00632E52" w:rsidRPr="00EC7846">
        <w:rPr>
          <w:rFonts w:ascii="Times New Roman" w:hAnsi="Times New Roman"/>
          <w:sz w:val="24"/>
          <w:szCs w:val="24"/>
        </w:rPr>
        <w:t>.  Beyond the important power to appoint agency heads, a White House office also reviews and clears the most significant agency rules before they become official.  This same office also reviews and modifies</w:t>
      </w:r>
      <w:r w:rsidR="00E51017">
        <w:rPr>
          <w:rFonts w:ascii="Times New Roman" w:hAnsi="Times New Roman"/>
          <w:sz w:val="24"/>
          <w:szCs w:val="24"/>
        </w:rPr>
        <w:t xml:space="preserve"> </w:t>
      </w:r>
      <w:r w:rsidR="00632E52" w:rsidRPr="00EC7846">
        <w:rPr>
          <w:rFonts w:ascii="Times New Roman" w:hAnsi="Times New Roman"/>
          <w:sz w:val="24"/>
          <w:szCs w:val="24"/>
        </w:rPr>
        <w:t xml:space="preserve">agencies’ budget requests before they are submitted to Congress.  </w:t>
      </w:r>
    </w:p>
    <w:p w:rsidR="00632E52" w:rsidRPr="008B7CD3" w:rsidRDefault="008B7CD3" w:rsidP="008B7CD3">
      <w:pPr>
        <w:pStyle w:val="ListParagraph"/>
        <w:spacing w:line="480" w:lineRule="auto"/>
        <w:ind w:left="0"/>
        <w:rPr>
          <w:rFonts w:ascii="Times New Roman" w:hAnsi="Times New Roman"/>
          <w:i/>
          <w:sz w:val="24"/>
          <w:szCs w:val="24"/>
        </w:rPr>
      </w:pPr>
      <w:r>
        <w:rPr>
          <w:rFonts w:ascii="Times New Roman" w:hAnsi="Times New Roman"/>
          <w:sz w:val="24"/>
          <w:szCs w:val="24"/>
        </w:rPr>
        <w:tab/>
      </w:r>
      <w:r w:rsidR="00E51017">
        <w:rPr>
          <w:rFonts w:ascii="Times New Roman" w:hAnsi="Times New Roman"/>
          <w:sz w:val="24"/>
          <w:szCs w:val="24"/>
        </w:rPr>
        <w:t>Although</w:t>
      </w:r>
      <w:r w:rsidR="00632E52" w:rsidRPr="00EC7846">
        <w:rPr>
          <w:rFonts w:ascii="Times New Roman" w:hAnsi="Times New Roman"/>
          <w:sz w:val="24"/>
          <w:szCs w:val="24"/>
        </w:rPr>
        <w:t xml:space="preserve"> each of these institutional oversight mechanisms exert </w:t>
      </w:r>
      <w:r w:rsidR="00E51017">
        <w:rPr>
          <w:rFonts w:ascii="Times New Roman" w:hAnsi="Times New Roman"/>
          <w:sz w:val="24"/>
          <w:szCs w:val="24"/>
        </w:rPr>
        <w:t xml:space="preserve">significant constraints </w:t>
      </w:r>
      <w:r w:rsidR="00632E52" w:rsidRPr="00EC7846">
        <w:rPr>
          <w:rFonts w:ascii="Times New Roman" w:hAnsi="Times New Roman"/>
          <w:sz w:val="24"/>
          <w:szCs w:val="24"/>
        </w:rPr>
        <w:t xml:space="preserve">on agency power, </w:t>
      </w:r>
      <w:r w:rsidR="00EA2549">
        <w:rPr>
          <w:rFonts w:ascii="Times New Roman" w:hAnsi="Times New Roman"/>
          <w:sz w:val="24"/>
          <w:szCs w:val="24"/>
        </w:rPr>
        <w:t xml:space="preserve">the </w:t>
      </w:r>
      <w:r w:rsidR="005869BD">
        <w:rPr>
          <w:rFonts w:ascii="Times New Roman" w:hAnsi="Times New Roman"/>
          <w:sz w:val="24"/>
          <w:szCs w:val="24"/>
        </w:rPr>
        <w:t xml:space="preserve">bureaucracy </w:t>
      </w:r>
      <w:r w:rsidR="004A4725">
        <w:rPr>
          <w:rFonts w:ascii="Times New Roman" w:hAnsi="Times New Roman"/>
          <w:sz w:val="24"/>
          <w:szCs w:val="24"/>
        </w:rPr>
        <w:t>is accountable to the public only indirectly</w:t>
      </w:r>
      <w:r w:rsidR="00632E52" w:rsidRPr="00EC7846">
        <w:rPr>
          <w:rFonts w:ascii="Times New Roman" w:hAnsi="Times New Roman"/>
          <w:sz w:val="24"/>
          <w:szCs w:val="24"/>
        </w:rPr>
        <w:t>.  No agency officials</w:t>
      </w:r>
      <w:r w:rsidR="00E51017">
        <w:rPr>
          <w:rFonts w:ascii="Times New Roman" w:hAnsi="Times New Roman"/>
          <w:sz w:val="24"/>
          <w:szCs w:val="24"/>
        </w:rPr>
        <w:t>―</w:t>
      </w:r>
      <w:r w:rsidR="00632E52" w:rsidRPr="00EC7846">
        <w:rPr>
          <w:rFonts w:ascii="Times New Roman" w:hAnsi="Times New Roman"/>
          <w:sz w:val="24"/>
          <w:szCs w:val="24"/>
        </w:rPr>
        <w:t>even at the top levels</w:t>
      </w:r>
      <w:r w:rsidR="00E51017">
        <w:rPr>
          <w:rFonts w:ascii="Times New Roman" w:hAnsi="Times New Roman"/>
          <w:sz w:val="24"/>
          <w:szCs w:val="24"/>
        </w:rPr>
        <w:t>―</w:t>
      </w:r>
      <w:r w:rsidR="00632E52" w:rsidRPr="00EC7846">
        <w:rPr>
          <w:rFonts w:ascii="Times New Roman" w:hAnsi="Times New Roman"/>
          <w:sz w:val="24"/>
          <w:szCs w:val="24"/>
        </w:rPr>
        <w:t xml:space="preserve">are elected.  </w:t>
      </w:r>
      <w:r w:rsidR="00E51017">
        <w:rPr>
          <w:rFonts w:ascii="Times New Roman" w:hAnsi="Times New Roman"/>
          <w:sz w:val="24"/>
          <w:szCs w:val="24"/>
        </w:rPr>
        <w:t>The p</w:t>
      </w:r>
      <w:r w:rsidR="00632E52" w:rsidRPr="00EC7846">
        <w:rPr>
          <w:rFonts w:ascii="Times New Roman" w:hAnsi="Times New Roman"/>
          <w:sz w:val="24"/>
          <w:szCs w:val="24"/>
        </w:rPr>
        <w:t xml:space="preserve">arties </w:t>
      </w:r>
      <w:r w:rsidR="00E51017">
        <w:rPr>
          <w:rFonts w:ascii="Times New Roman" w:hAnsi="Times New Roman"/>
          <w:sz w:val="24"/>
          <w:szCs w:val="24"/>
        </w:rPr>
        <w:t xml:space="preserve">implicated by agency action </w:t>
      </w:r>
      <w:r w:rsidR="00632E52" w:rsidRPr="00EC7846">
        <w:rPr>
          <w:rFonts w:ascii="Times New Roman" w:hAnsi="Times New Roman"/>
          <w:sz w:val="24"/>
          <w:szCs w:val="24"/>
        </w:rPr>
        <w:t xml:space="preserve">must </w:t>
      </w:r>
      <w:r w:rsidR="00632E52">
        <w:rPr>
          <w:rFonts w:ascii="Times New Roman" w:hAnsi="Times New Roman"/>
          <w:sz w:val="24"/>
          <w:szCs w:val="24"/>
        </w:rPr>
        <w:t xml:space="preserve">instead </w:t>
      </w:r>
      <w:r w:rsidR="00632E52" w:rsidRPr="00EC7846">
        <w:rPr>
          <w:rFonts w:ascii="Times New Roman" w:hAnsi="Times New Roman"/>
          <w:sz w:val="24"/>
          <w:szCs w:val="24"/>
        </w:rPr>
        <w:t>work through</w:t>
      </w:r>
      <w:r w:rsidR="00632E52">
        <w:rPr>
          <w:rFonts w:ascii="Times New Roman" w:hAnsi="Times New Roman"/>
          <w:sz w:val="24"/>
          <w:szCs w:val="24"/>
        </w:rPr>
        <w:t xml:space="preserve"> </w:t>
      </w:r>
      <w:r w:rsidR="004A4725">
        <w:rPr>
          <w:rFonts w:ascii="Times New Roman" w:hAnsi="Times New Roman"/>
          <w:sz w:val="24"/>
          <w:szCs w:val="24"/>
        </w:rPr>
        <w:t>Congress or the President</w:t>
      </w:r>
      <w:r w:rsidR="00632E52" w:rsidRPr="00EC7846">
        <w:rPr>
          <w:rFonts w:ascii="Times New Roman" w:hAnsi="Times New Roman"/>
          <w:sz w:val="24"/>
          <w:szCs w:val="24"/>
        </w:rPr>
        <w:t xml:space="preserve"> to affect the substance of agency rules.  </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 xml:space="preserve">In order to create more direct accountability to the electorate and enhance the democratic legitimacy of this Fourth Branch, Congress </w:t>
      </w:r>
      <w:r w:rsidR="005869BD">
        <w:rPr>
          <w:rFonts w:ascii="Times New Roman" w:hAnsi="Times New Roman"/>
          <w:sz w:val="24"/>
          <w:szCs w:val="24"/>
        </w:rPr>
        <w:t>passed</w:t>
      </w:r>
      <w:r w:rsidR="005B6457" w:rsidRPr="00EC7846">
        <w:rPr>
          <w:rFonts w:ascii="Times New Roman" w:hAnsi="Times New Roman"/>
          <w:sz w:val="24"/>
          <w:szCs w:val="24"/>
        </w:rPr>
        <w:t xml:space="preserve"> </w:t>
      </w:r>
      <w:r w:rsidR="00632E52" w:rsidRPr="00EC7846">
        <w:rPr>
          <w:rFonts w:ascii="Times New Roman" w:hAnsi="Times New Roman"/>
          <w:sz w:val="24"/>
          <w:szCs w:val="24"/>
        </w:rPr>
        <w:t>a process statute -- the Administrative Procedure Act (APA) in 1946 – to provide formal mechanisms for affected interests to influence and oversee agency action (</w:t>
      </w:r>
      <w:r w:rsidR="00632E52">
        <w:rPr>
          <w:rFonts w:ascii="Times New Roman" w:hAnsi="Times New Roman"/>
          <w:sz w:val="24"/>
          <w:szCs w:val="24"/>
        </w:rPr>
        <w:t>5 U.S.C. § 551</w:t>
      </w:r>
      <w:r w:rsidR="00632E52" w:rsidRPr="00EC7846">
        <w:rPr>
          <w:rFonts w:ascii="Times New Roman" w:hAnsi="Times New Roman"/>
          <w:sz w:val="24"/>
          <w:szCs w:val="24"/>
        </w:rPr>
        <w:t xml:space="preserve"> et seq).  Specifically, the APA provides any interested party with a right to participate in an agency rulemaking (§ 553(c)).  If the agency ignores a commenter who has identified flaws in the agency’s interpretation of its statute, material errors in its fact-finding</w:t>
      </w:r>
      <w:r w:rsidR="00E51017">
        <w:rPr>
          <w:rFonts w:ascii="Times New Roman" w:hAnsi="Times New Roman"/>
          <w:sz w:val="24"/>
          <w:szCs w:val="24"/>
        </w:rPr>
        <w:t>,</w:t>
      </w:r>
      <w:r w:rsidR="00632E52" w:rsidRPr="00EC7846">
        <w:rPr>
          <w:rFonts w:ascii="Times New Roman" w:hAnsi="Times New Roman"/>
          <w:sz w:val="24"/>
          <w:szCs w:val="24"/>
        </w:rPr>
        <w:t xml:space="preserve"> or </w:t>
      </w:r>
      <w:r w:rsidR="00E51017">
        <w:rPr>
          <w:rFonts w:ascii="Times New Roman" w:hAnsi="Times New Roman"/>
          <w:sz w:val="24"/>
          <w:szCs w:val="24"/>
        </w:rPr>
        <w:t xml:space="preserve">logical inconsistencies </w:t>
      </w:r>
      <w:r w:rsidR="00632E52" w:rsidRPr="00EC7846">
        <w:rPr>
          <w:rFonts w:ascii="Times New Roman" w:hAnsi="Times New Roman"/>
          <w:sz w:val="24"/>
          <w:szCs w:val="24"/>
        </w:rPr>
        <w:t>in its</w:t>
      </w:r>
      <w:r w:rsidR="005B6457">
        <w:rPr>
          <w:rFonts w:ascii="Times New Roman" w:hAnsi="Times New Roman"/>
          <w:sz w:val="24"/>
          <w:szCs w:val="24"/>
        </w:rPr>
        <w:t xml:space="preserve"> reasoning</w:t>
      </w:r>
      <w:r w:rsidR="00632E52" w:rsidRPr="00EC7846">
        <w:rPr>
          <w:rFonts w:ascii="Times New Roman" w:hAnsi="Times New Roman"/>
          <w:sz w:val="24"/>
          <w:szCs w:val="24"/>
        </w:rPr>
        <w:t xml:space="preserve">, or if the agency violates procedural requirements, then that commenter can challenge the agency’s rule in court (§ 706(2)(a)).  Since affected parties typically have both the stakes and expertise to scrutinize the agencies’ detailed </w:t>
      </w:r>
      <w:r w:rsidR="00632E52" w:rsidRPr="00EC7846">
        <w:rPr>
          <w:rFonts w:ascii="Times New Roman" w:hAnsi="Times New Roman"/>
          <w:sz w:val="24"/>
          <w:szCs w:val="24"/>
        </w:rPr>
        <w:lastRenderedPageBreak/>
        <w:t>and voluminous rules, Congress enlisted their services to keep the agencies in check, with the courts serving as legal referee.</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 xml:space="preserve">The resulting reliance on interest groups to oversee the work of the agencies – called interest group pluralism (Stewart, 1975) -- is a central design feature of U.S. administrative process.  Indeed, the use of regulatory participants to ensure agency legitimacy has become so critical to U.S. administrative process that </w:t>
      </w:r>
      <w:r w:rsidR="00E51017">
        <w:rPr>
          <w:rFonts w:ascii="Times New Roman" w:hAnsi="Times New Roman"/>
          <w:sz w:val="24"/>
          <w:szCs w:val="24"/>
        </w:rPr>
        <w:t>Edward</w:t>
      </w:r>
      <w:r w:rsidR="00632E52" w:rsidRPr="00EC7846">
        <w:rPr>
          <w:rFonts w:ascii="Times New Roman" w:hAnsi="Times New Roman"/>
          <w:sz w:val="24"/>
          <w:szCs w:val="24"/>
        </w:rPr>
        <w:t xml:space="preserve"> Rubin </w:t>
      </w:r>
      <w:r w:rsidR="005B6457">
        <w:rPr>
          <w:rFonts w:ascii="Times New Roman" w:hAnsi="Times New Roman"/>
          <w:sz w:val="24"/>
          <w:szCs w:val="24"/>
        </w:rPr>
        <w:t xml:space="preserve">calls the </w:t>
      </w:r>
      <w:r w:rsidR="00632E52" w:rsidRPr="00EC7846">
        <w:rPr>
          <w:rFonts w:ascii="Times New Roman" w:hAnsi="Times New Roman"/>
          <w:sz w:val="24"/>
          <w:szCs w:val="24"/>
        </w:rPr>
        <w:t>APA a “one-trick pony</w:t>
      </w:r>
      <w:r w:rsidR="005B6457">
        <w:rPr>
          <w:rFonts w:ascii="Times New Roman" w:hAnsi="Times New Roman"/>
          <w:sz w:val="24"/>
          <w:szCs w:val="24"/>
        </w:rPr>
        <w:t>.</w:t>
      </w:r>
      <w:r w:rsidR="00632E52" w:rsidRPr="00EC7846">
        <w:rPr>
          <w:rFonts w:ascii="Times New Roman" w:hAnsi="Times New Roman"/>
          <w:sz w:val="24"/>
          <w:szCs w:val="24"/>
        </w:rPr>
        <w:t>”</w:t>
      </w:r>
      <w:r w:rsidR="00632E52" w:rsidRPr="00EC7846">
        <w:rPr>
          <w:rFonts w:ascii="Times New Roman" w:hAnsi="Times New Roman"/>
          <w:color w:val="000000"/>
          <w:sz w:val="24"/>
          <w:szCs w:val="24"/>
        </w:rPr>
        <w:t xml:space="preserve"> </w:t>
      </w:r>
      <w:r w:rsidR="005B6457">
        <w:rPr>
          <w:rFonts w:ascii="Times New Roman" w:hAnsi="Times New Roman"/>
          <w:color w:val="000000"/>
          <w:sz w:val="24"/>
          <w:szCs w:val="24"/>
        </w:rPr>
        <w:t xml:space="preserve">As he argues: </w:t>
      </w:r>
      <w:r w:rsidR="00632E52" w:rsidRPr="00EC7846">
        <w:rPr>
          <w:rFonts w:ascii="Times New Roman" w:hAnsi="Times New Roman"/>
          <w:color w:val="000000"/>
          <w:sz w:val="24"/>
          <w:szCs w:val="24"/>
        </w:rPr>
        <w:t>“All of its basic provisions rely on a single method for controlling the actions of administrative agencies, namely, participation by private parties” (Rubin, p.101, 2003).  T</w:t>
      </w:r>
      <w:r w:rsidR="00632E52" w:rsidRPr="00EC7846">
        <w:rPr>
          <w:rFonts w:ascii="Times New Roman" w:hAnsi="Times New Roman"/>
          <w:sz w:val="24"/>
          <w:szCs w:val="24"/>
        </w:rPr>
        <w:t xml:space="preserve">he Attorney General’s Report </w:t>
      </w:r>
      <w:r w:rsidR="005B6457">
        <w:rPr>
          <w:rFonts w:ascii="Times New Roman" w:hAnsi="Times New Roman"/>
          <w:sz w:val="24"/>
          <w:szCs w:val="24"/>
        </w:rPr>
        <w:t>in</w:t>
      </w:r>
      <w:r w:rsidR="00632E52" w:rsidRPr="00EC7846">
        <w:rPr>
          <w:rFonts w:ascii="Times New Roman" w:hAnsi="Times New Roman"/>
          <w:sz w:val="24"/>
          <w:szCs w:val="24"/>
        </w:rPr>
        <w:t xml:space="preserve"> 1946 similarly stresse</w:t>
      </w:r>
      <w:r w:rsidR="00E51017">
        <w:rPr>
          <w:rFonts w:ascii="Times New Roman" w:hAnsi="Times New Roman"/>
          <w:sz w:val="24"/>
          <w:szCs w:val="24"/>
        </w:rPr>
        <w:t>d</w:t>
      </w:r>
      <w:r w:rsidR="00632E52" w:rsidRPr="00EC7846">
        <w:rPr>
          <w:rFonts w:ascii="Times New Roman" w:hAnsi="Times New Roman"/>
          <w:sz w:val="24"/>
          <w:szCs w:val="24"/>
        </w:rPr>
        <w:t xml:space="preserve"> how pluralistic oversight of agencies w</w:t>
      </w:r>
      <w:r w:rsidR="00E51017">
        <w:rPr>
          <w:rFonts w:ascii="Times New Roman" w:hAnsi="Times New Roman"/>
          <w:sz w:val="24"/>
          <w:szCs w:val="24"/>
        </w:rPr>
        <w:t xml:space="preserve">ould </w:t>
      </w:r>
      <w:r w:rsidR="00632E52" w:rsidRPr="00EC7846">
        <w:rPr>
          <w:rFonts w:ascii="Times New Roman" w:hAnsi="Times New Roman"/>
          <w:sz w:val="24"/>
          <w:szCs w:val="24"/>
        </w:rPr>
        <w:t xml:space="preserve">be pivotal to the success of the administrative state: “Participation by these groups [economic and community-based] in the rule-making process is essential in order to permit administrative agencies to inform themselves and to afford adequate safeguards to private interests” (Report of the Attorney General’s Committee, p.103, 1941). </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In embellishing the procedures that should govern this all-important participatory oversight, Congress identified two different types of rules, each of which entail different participatory processes.  The first type of rule</w:t>
      </w:r>
      <w:r w:rsidR="00E51017">
        <w:rPr>
          <w:rFonts w:ascii="Times New Roman" w:hAnsi="Times New Roman"/>
          <w:sz w:val="24"/>
          <w:szCs w:val="24"/>
        </w:rPr>
        <w:t>―</w:t>
      </w:r>
      <w:r w:rsidR="00632E52" w:rsidRPr="00EC7846">
        <w:rPr>
          <w:rFonts w:ascii="Times New Roman" w:hAnsi="Times New Roman"/>
          <w:sz w:val="24"/>
          <w:szCs w:val="24"/>
        </w:rPr>
        <w:t>formal adjudications</w:t>
      </w:r>
      <w:r w:rsidR="00E51017">
        <w:rPr>
          <w:rFonts w:ascii="Times New Roman" w:hAnsi="Times New Roman"/>
          <w:sz w:val="24"/>
          <w:szCs w:val="24"/>
        </w:rPr>
        <w:t>―</w:t>
      </w:r>
      <w:r w:rsidR="00632E52" w:rsidRPr="00EC7846">
        <w:rPr>
          <w:rFonts w:ascii="Times New Roman" w:hAnsi="Times New Roman"/>
          <w:sz w:val="24"/>
          <w:szCs w:val="24"/>
        </w:rPr>
        <w:t>affect</w:t>
      </w:r>
      <w:r w:rsidR="00B75BB0">
        <w:rPr>
          <w:rFonts w:ascii="Times New Roman" w:hAnsi="Times New Roman"/>
          <w:sz w:val="24"/>
          <w:szCs w:val="24"/>
        </w:rPr>
        <w:t xml:space="preserve"> directly the “due process” interests of</w:t>
      </w:r>
      <w:r w:rsidR="00632E52" w:rsidRPr="00EC7846">
        <w:rPr>
          <w:rFonts w:ascii="Times New Roman" w:hAnsi="Times New Roman"/>
          <w:sz w:val="24"/>
          <w:szCs w:val="24"/>
        </w:rPr>
        <w:t xml:space="preserve"> individual participants</w:t>
      </w:r>
      <w:r w:rsidR="005B6457">
        <w:rPr>
          <w:rFonts w:ascii="Times New Roman" w:hAnsi="Times New Roman"/>
          <w:sz w:val="24"/>
          <w:szCs w:val="24"/>
        </w:rPr>
        <w:t>,</w:t>
      </w:r>
      <w:r w:rsidR="002D09B5">
        <w:rPr>
          <w:rFonts w:ascii="Times New Roman" w:hAnsi="Times New Roman"/>
          <w:sz w:val="24"/>
          <w:szCs w:val="24"/>
        </w:rPr>
        <w:t xml:space="preserve"> for instance the granting of licenses and </w:t>
      </w:r>
      <w:r w:rsidR="00632E52" w:rsidRPr="00EC7846">
        <w:rPr>
          <w:rFonts w:ascii="Times New Roman" w:hAnsi="Times New Roman"/>
          <w:sz w:val="24"/>
          <w:szCs w:val="24"/>
        </w:rPr>
        <w:t>permits (§ 554).  Congress developed much more extravagant, trial-like processes to ensure that these affected parties are adequately represented in the agency’s deliberations.  These processes include the right to cross-examin</w:t>
      </w:r>
      <w:r w:rsidR="002D09B5">
        <w:rPr>
          <w:rFonts w:ascii="Times New Roman" w:hAnsi="Times New Roman"/>
          <w:sz w:val="24"/>
          <w:szCs w:val="24"/>
        </w:rPr>
        <w:t xml:space="preserve">e </w:t>
      </w:r>
      <w:r w:rsidR="005B6457">
        <w:rPr>
          <w:rFonts w:ascii="Times New Roman" w:hAnsi="Times New Roman"/>
          <w:sz w:val="24"/>
          <w:szCs w:val="24"/>
        </w:rPr>
        <w:t xml:space="preserve">and </w:t>
      </w:r>
      <w:r w:rsidR="002D09B5">
        <w:rPr>
          <w:rFonts w:ascii="Times New Roman" w:hAnsi="Times New Roman"/>
          <w:sz w:val="24"/>
          <w:szCs w:val="24"/>
        </w:rPr>
        <w:t xml:space="preserve">to </w:t>
      </w:r>
      <w:r w:rsidR="005B6457">
        <w:rPr>
          <w:rFonts w:ascii="Times New Roman" w:hAnsi="Times New Roman"/>
          <w:sz w:val="24"/>
          <w:szCs w:val="24"/>
        </w:rPr>
        <w:t>present evidence</w:t>
      </w:r>
      <w:r w:rsidR="00632E52" w:rsidRPr="00EC7846">
        <w:rPr>
          <w:rFonts w:ascii="Times New Roman" w:hAnsi="Times New Roman"/>
          <w:sz w:val="24"/>
          <w:szCs w:val="24"/>
        </w:rPr>
        <w:t>, limit</w:t>
      </w:r>
      <w:r w:rsidR="002D09B5">
        <w:rPr>
          <w:rFonts w:ascii="Times New Roman" w:hAnsi="Times New Roman"/>
          <w:sz w:val="24"/>
          <w:szCs w:val="24"/>
        </w:rPr>
        <w:t>s on</w:t>
      </w:r>
      <w:r w:rsidR="00632E52" w:rsidRPr="00EC7846">
        <w:rPr>
          <w:rFonts w:ascii="Times New Roman" w:hAnsi="Times New Roman"/>
          <w:sz w:val="24"/>
          <w:szCs w:val="24"/>
        </w:rPr>
        <w:t xml:space="preserve"> ex-parte contacts, and on-</w:t>
      </w:r>
      <w:r w:rsidR="002D09B5">
        <w:rPr>
          <w:rFonts w:ascii="Times New Roman" w:hAnsi="Times New Roman"/>
          <w:sz w:val="24"/>
          <w:szCs w:val="24"/>
        </w:rPr>
        <w:t>the-</w:t>
      </w:r>
      <w:r w:rsidR="00632E52" w:rsidRPr="00EC7846">
        <w:rPr>
          <w:rFonts w:ascii="Times New Roman" w:hAnsi="Times New Roman"/>
          <w:sz w:val="24"/>
          <w:szCs w:val="24"/>
        </w:rPr>
        <w:t>record hearing</w:t>
      </w:r>
      <w:r w:rsidR="00C3310A">
        <w:rPr>
          <w:rFonts w:ascii="Times New Roman" w:hAnsi="Times New Roman"/>
          <w:sz w:val="24"/>
          <w:szCs w:val="24"/>
        </w:rPr>
        <w:t>s</w:t>
      </w:r>
      <w:r w:rsidR="00632E52" w:rsidRPr="00EC7846">
        <w:rPr>
          <w:rFonts w:ascii="Times New Roman" w:hAnsi="Times New Roman"/>
          <w:sz w:val="24"/>
          <w:szCs w:val="24"/>
        </w:rPr>
        <w:t xml:space="preserve"> (§§ 556 and 557). </w:t>
      </w:r>
    </w:p>
    <w:p w:rsidR="00632E52" w:rsidRPr="00EC7846" w:rsidRDefault="008B7CD3" w:rsidP="008B7CD3">
      <w:pPr>
        <w:spacing w:line="480" w:lineRule="auto"/>
        <w:rPr>
          <w:rFonts w:ascii="Times New Roman" w:hAnsi="Times New Roman" w:cs="Times New Roman"/>
          <w:sz w:val="24"/>
          <w:szCs w:val="24"/>
        </w:rPr>
      </w:pPr>
      <w:r>
        <w:rPr>
          <w:rFonts w:ascii="Times New Roman" w:hAnsi="Times New Roman" w:cs="Times New Roman"/>
          <w:sz w:val="24"/>
          <w:szCs w:val="24"/>
        </w:rPr>
        <w:tab/>
      </w:r>
      <w:r w:rsidR="00632E52" w:rsidRPr="00EC7846">
        <w:rPr>
          <w:rFonts w:ascii="Times New Roman" w:hAnsi="Times New Roman" w:cs="Times New Roman"/>
          <w:sz w:val="24"/>
          <w:szCs w:val="24"/>
        </w:rPr>
        <w:t xml:space="preserve">Second, and much more common, Congress understood that many agencies would also promulgate rules that have more general application to a number of regulated groups (§ 553).  </w:t>
      </w:r>
      <w:r w:rsidR="00632E52" w:rsidRPr="00EC7846">
        <w:rPr>
          <w:rFonts w:ascii="Times New Roman" w:hAnsi="Times New Roman" w:cs="Times New Roman"/>
          <w:sz w:val="24"/>
          <w:szCs w:val="24"/>
        </w:rPr>
        <w:lastRenderedPageBreak/>
        <w:t>This latter</w:t>
      </w:r>
      <w:r w:rsidR="006A0579">
        <w:rPr>
          <w:rFonts w:ascii="Times New Roman" w:hAnsi="Times New Roman" w:cs="Times New Roman"/>
          <w:sz w:val="24"/>
          <w:szCs w:val="24"/>
        </w:rPr>
        <w:t xml:space="preserve"> type of rule </w:t>
      </w:r>
      <w:r w:rsidR="00632E52" w:rsidRPr="00EC7846">
        <w:rPr>
          <w:rFonts w:ascii="Times New Roman" w:hAnsi="Times New Roman" w:cs="Times New Roman"/>
          <w:sz w:val="24"/>
          <w:szCs w:val="24"/>
        </w:rPr>
        <w:t>constitutes the lion’s share of agency</w:t>
      </w:r>
      <w:r w:rsidR="006A0579">
        <w:rPr>
          <w:rFonts w:ascii="Times New Roman" w:hAnsi="Times New Roman" w:cs="Times New Roman"/>
          <w:sz w:val="24"/>
          <w:szCs w:val="24"/>
        </w:rPr>
        <w:t xml:space="preserve"> rulemaking activity and it </w:t>
      </w:r>
      <w:r w:rsidR="00632E52" w:rsidRPr="00EC7846">
        <w:rPr>
          <w:rFonts w:ascii="Times New Roman" w:hAnsi="Times New Roman" w:cs="Times New Roman"/>
          <w:sz w:val="24"/>
          <w:szCs w:val="24"/>
        </w:rPr>
        <w:t>also present</w:t>
      </w:r>
      <w:r w:rsidR="006A0579">
        <w:rPr>
          <w:rFonts w:ascii="Times New Roman" w:hAnsi="Times New Roman" w:cs="Times New Roman"/>
          <w:sz w:val="24"/>
          <w:szCs w:val="24"/>
        </w:rPr>
        <w:t>s</w:t>
      </w:r>
      <w:r w:rsidR="00632E52" w:rsidRPr="00EC7846">
        <w:rPr>
          <w:rFonts w:ascii="Times New Roman" w:hAnsi="Times New Roman" w:cs="Times New Roman"/>
          <w:sz w:val="24"/>
          <w:szCs w:val="24"/>
        </w:rPr>
        <w:t xml:space="preserve"> far greater participatory challenges to both process design and implementation.  </w:t>
      </w:r>
      <w:r w:rsidR="006A0579" w:rsidRPr="00EC7846">
        <w:rPr>
          <w:rFonts w:ascii="Times New Roman" w:hAnsi="Times New Roman" w:cs="Times New Roman"/>
          <w:sz w:val="24"/>
          <w:szCs w:val="24"/>
        </w:rPr>
        <w:t xml:space="preserve">In order to ensure that all affected parties can participate in </w:t>
      </w:r>
      <w:r w:rsidR="006A0579">
        <w:rPr>
          <w:rFonts w:ascii="Times New Roman" w:hAnsi="Times New Roman" w:cs="Times New Roman"/>
          <w:sz w:val="24"/>
          <w:szCs w:val="24"/>
        </w:rPr>
        <w:t>so-called</w:t>
      </w:r>
      <w:r w:rsidR="006A0579" w:rsidRPr="00EC7846">
        <w:rPr>
          <w:rFonts w:ascii="Times New Roman" w:hAnsi="Times New Roman" w:cs="Times New Roman"/>
          <w:sz w:val="24"/>
          <w:szCs w:val="24"/>
        </w:rPr>
        <w:t xml:space="preserve"> </w:t>
      </w:r>
      <w:r w:rsidR="006A0579">
        <w:rPr>
          <w:rFonts w:ascii="Times New Roman" w:hAnsi="Times New Roman" w:cs="Times New Roman"/>
          <w:sz w:val="24"/>
          <w:szCs w:val="24"/>
        </w:rPr>
        <w:t>“</w:t>
      </w:r>
      <w:r w:rsidR="006A0579" w:rsidRPr="00EC7846">
        <w:rPr>
          <w:rFonts w:ascii="Times New Roman" w:hAnsi="Times New Roman" w:cs="Times New Roman"/>
          <w:sz w:val="24"/>
          <w:szCs w:val="24"/>
        </w:rPr>
        <w:t>informal rules,</w:t>
      </w:r>
      <w:r w:rsidR="006A0579">
        <w:rPr>
          <w:rFonts w:ascii="Times New Roman" w:hAnsi="Times New Roman" w:cs="Times New Roman"/>
          <w:sz w:val="24"/>
          <w:szCs w:val="24"/>
        </w:rPr>
        <w:t>”</w:t>
      </w:r>
      <w:r w:rsidR="00726BA5" w:rsidRPr="00726BA5">
        <w:rPr>
          <w:rStyle w:val="EndnoteReference"/>
          <w:rFonts w:ascii="Times New Roman" w:hAnsi="Times New Roman" w:cs="Times New Roman"/>
          <w:sz w:val="24"/>
          <w:szCs w:val="24"/>
        </w:rPr>
        <w:t xml:space="preserve"> </w:t>
      </w:r>
      <w:r w:rsidR="00726BA5" w:rsidRPr="00EC7846">
        <w:rPr>
          <w:rStyle w:val="EndnoteReference"/>
          <w:rFonts w:ascii="Times New Roman" w:hAnsi="Times New Roman" w:cs="Times New Roman"/>
          <w:sz w:val="24"/>
          <w:szCs w:val="24"/>
        </w:rPr>
        <w:endnoteReference w:id="2"/>
      </w:r>
      <w:r w:rsidR="006A0579" w:rsidRPr="00EC7846">
        <w:rPr>
          <w:rFonts w:ascii="Times New Roman" w:hAnsi="Times New Roman" w:cs="Times New Roman"/>
          <w:sz w:val="24"/>
          <w:szCs w:val="24"/>
        </w:rPr>
        <w:t xml:space="preserve"> Congress established a number of requirements</w:t>
      </w:r>
      <w:r w:rsidR="006A0579">
        <w:rPr>
          <w:rFonts w:ascii="Times New Roman" w:hAnsi="Times New Roman" w:cs="Times New Roman"/>
          <w:sz w:val="24"/>
          <w:szCs w:val="24"/>
        </w:rPr>
        <w:t xml:space="preserve">, the most important of which are </w:t>
      </w:r>
      <w:r w:rsidR="00726BA5">
        <w:rPr>
          <w:rFonts w:ascii="Times New Roman" w:hAnsi="Times New Roman" w:cs="Times New Roman"/>
          <w:sz w:val="24"/>
          <w:szCs w:val="24"/>
        </w:rPr>
        <w:t xml:space="preserve">(1) </w:t>
      </w:r>
      <w:r w:rsidR="006A0579">
        <w:rPr>
          <w:rFonts w:ascii="Times New Roman" w:hAnsi="Times New Roman" w:cs="Times New Roman"/>
          <w:sz w:val="24"/>
          <w:szCs w:val="24"/>
        </w:rPr>
        <w:t xml:space="preserve">the notice-and-comment process and </w:t>
      </w:r>
      <w:r w:rsidR="00726BA5">
        <w:rPr>
          <w:rFonts w:ascii="Times New Roman" w:hAnsi="Times New Roman" w:cs="Times New Roman"/>
          <w:sz w:val="24"/>
          <w:szCs w:val="24"/>
        </w:rPr>
        <w:t xml:space="preserve">(2) </w:t>
      </w:r>
      <w:r w:rsidR="006A0579">
        <w:rPr>
          <w:rFonts w:ascii="Times New Roman" w:hAnsi="Times New Roman" w:cs="Times New Roman"/>
          <w:sz w:val="24"/>
          <w:szCs w:val="24"/>
        </w:rPr>
        <w:t>the</w:t>
      </w:r>
      <w:r w:rsidR="00491AAD">
        <w:rPr>
          <w:rFonts w:ascii="Times New Roman" w:hAnsi="Times New Roman" w:cs="Times New Roman"/>
          <w:sz w:val="24"/>
          <w:szCs w:val="24"/>
        </w:rPr>
        <w:t xml:space="preserve"> </w:t>
      </w:r>
      <w:r w:rsidR="008357C9">
        <w:rPr>
          <w:rFonts w:ascii="Times New Roman" w:hAnsi="Times New Roman" w:cs="Times New Roman"/>
          <w:sz w:val="24"/>
          <w:szCs w:val="24"/>
        </w:rPr>
        <w:t>agency’s responsibility</w:t>
      </w:r>
      <w:r w:rsidR="00491AAD">
        <w:rPr>
          <w:rFonts w:ascii="Times New Roman" w:hAnsi="Times New Roman" w:cs="Times New Roman"/>
          <w:sz w:val="24"/>
          <w:szCs w:val="24"/>
        </w:rPr>
        <w:t xml:space="preserve"> to consider </w:t>
      </w:r>
      <w:r w:rsidR="002C08BA">
        <w:rPr>
          <w:rFonts w:ascii="Times New Roman" w:hAnsi="Times New Roman" w:cs="Times New Roman"/>
          <w:sz w:val="24"/>
          <w:szCs w:val="24"/>
        </w:rPr>
        <w:t xml:space="preserve">all </w:t>
      </w:r>
      <w:r w:rsidR="00491AAD">
        <w:rPr>
          <w:rFonts w:ascii="Times New Roman" w:hAnsi="Times New Roman" w:cs="Times New Roman"/>
          <w:sz w:val="24"/>
          <w:szCs w:val="24"/>
        </w:rPr>
        <w:t>comments submitted by interested persons</w:t>
      </w:r>
      <w:r w:rsidR="008357C9">
        <w:rPr>
          <w:rFonts w:ascii="Times New Roman" w:hAnsi="Times New Roman" w:cs="Times New Roman"/>
          <w:sz w:val="24"/>
          <w:szCs w:val="24"/>
        </w:rPr>
        <w:t xml:space="preserve"> in finalizing its proposal</w:t>
      </w:r>
      <w:r w:rsidR="006A0579">
        <w:rPr>
          <w:rFonts w:ascii="Times New Roman" w:hAnsi="Times New Roman" w:cs="Times New Roman"/>
          <w:sz w:val="24"/>
          <w:szCs w:val="24"/>
        </w:rPr>
        <w:t xml:space="preserve">.  </w:t>
      </w:r>
      <w:r w:rsidR="006A0579" w:rsidRPr="00EC7846">
        <w:rPr>
          <w:rFonts w:ascii="Times New Roman" w:hAnsi="Times New Roman" w:cs="Times New Roman"/>
          <w:sz w:val="24"/>
          <w:szCs w:val="24"/>
        </w:rPr>
        <w:t xml:space="preserve"> </w:t>
      </w:r>
      <w:r w:rsidR="006A0579">
        <w:rPr>
          <w:rFonts w:ascii="Times New Roman" w:hAnsi="Times New Roman" w:cs="Times New Roman"/>
          <w:sz w:val="24"/>
          <w:szCs w:val="24"/>
        </w:rPr>
        <w:t xml:space="preserve">Since informal rules are so pervasive in agency rulemaking and </w:t>
      </w:r>
      <w:r w:rsidR="00726BA5">
        <w:rPr>
          <w:rFonts w:ascii="Times New Roman" w:hAnsi="Times New Roman" w:cs="Times New Roman"/>
          <w:sz w:val="24"/>
          <w:szCs w:val="24"/>
        </w:rPr>
        <w:t xml:space="preserve">the goal of ensuring full participation can be particularly difficult, the rest of this </w:t>
      </w:r>
      <w:r w:rsidR="00632E52" w:rsidRPr="00EC7846">
        <w:rPr>
          <w:rFonts w:ascii="Times New Roman" w:hAnsi="Times New Roman" w:cs="Times New Roman"/>
          <w:sz w:val="24"/>
          <w:szCs w:val="24"/>
        </w:rPr>
        <w:t>chapter focuses exclusively on t</w:t>
      </w:r>
      <w:r w:rsidR="00726BA5">
        <w:rPr>
          <w:rFonts w:ascii="Times New Roman" w:hAnsi="Times New Roman" w:cs="Times New Roman"/>
          <w:sz w:val="24"/>
          <w:szCs w:val="24"/>
        </w:rPr>
        <w:t>hese two requirements of informal rul</w:t>
      </w:r>
      <w:r w:rsidR="00F349D9">
        <w:rPr>
          <w:rFonts w:ascii="Times New Roman" w:hAnsi="Times New Roman" w:cs="Times New Roman"/>
          <w:sz w:val="24"/>
          <w:szCs w:val="24"/>
        </w:rPr>
        <w:t>e</w:t>
      </w:r>
      <w:r w:rsidR="00726BA5">
        <w:rPr>
          <w:rFonts w:ascii="Times New Roman" w:hAnsi="Times New Roman" w:cs="Times New Roman"/>
          <w:sz w:val="24"/>
          <w:szCs w:val="24"/>
        </w:rPr>
        <w:t>making</w:t>
      </w:r>
      <w:r w:rsidR="00632E52" w:rsidRPr="00EC7846">
        <w:rPr>
          <w:rFonts w:ascii="Times New Roman" w:hAnsi="Times New Roman" w:cs="Times New Roman"/>
          <w:sz w:val="24"/>
          <w:szCs w:val="24"/>
        </w:rPr>
        <w:t>.</w:t>
      </w:r>
    </w:p>
    <w:p w:rsidR="00632E52" w:rsidRPr="008B7CD3" w:rsidRDefault="00632E52" w:rsidP="008B7CD3">
      <w:pPr>
        <w:pStyle w:val="ListParagraph"/>
        <w:numPr>
          <w:ilvl w:val="0"/>
          <w:numId w:val="2"/>
        </w:numPr>
        <w:spacing w:line="480" w:lineRule="auto"/>
        <w:rPr>
          <w:rFonts w:ascii="Times New Roman" w:hAnsi="Times New Roman"/>
          <w:sz w:val="24"/>
          <w:szCs w:val="24"/>
        </w:rPr>
      </w:pPr>
      <w:r w:rsidRPr="00EC7846">
        <w:rPr>
          <w:rFonts w:ascii="Times New Roman" w:hAnsi="Times New Roman"/>
          <w:sz w:val="24"/>
          <w:szCs w:val="24"/>
        </w:rPr>
        <w:t>A Mandatory Notice</w:t>
      </w:r>
      <w:r w:rsidR="00726BA5">
        <w:rPr>
          <w:rFonts w:ascii="Times New Roman" w:hAnsi="Times New Roman"/>
          <w:sz w:val="24"/>
          <w:szCs w:val="24"/>
        </w:rPr>
        <w:t>-</w:t>
      </w:r>
      <w:r w:rsidRPr="00EC7846">
        <w:rPr>
          <w:rFonts w:ascii="Times New Roman" w:hAnsi="Times New Roman"/>
          <w:sz w:val="24"/>
          <w:szCs w:val="24"/>
        </w:rPr>
        <w:t>and</w:t>
      </w:r>
      <w:r w:rsidR="00726BA5">
        <w:rPr>
          <w:rFonts w:ascii="Times New Roman" w:hAnsi="Times New Roman"/>
          <w:sz w:val="24"/>
          <w:szCs w:val="24"/>
        </w:rPr>
        <w:t>-</w:t>
      </w:r>
      <w:r w:rsidRPr="00EC7846">
        <w:rPr>
          <w:rFonts w:ascii="Times New Roman" w:hAnsi="Times New Roman"/>
          <w:sz w:val="24"/>
          <w:szCs w:val="24"/>
        </w:rPr>
        <w:t>Comment Process</w:t>
      </w:r>
      <w:r w:rsidRPr="008B7CD3">
        <w:rPr>
          <w:rFonts w:ascii="Times New Roman" w:hAnsi="Times New Roman"/>
          <w:sz w:val="24"/>
          <w:szCs w:val="24"/>
        </w:rPr>
        <w:t xml:space="preserve">   </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In the APA, Congress guarantees all interested parties a right to provide the agency with comments on its proposed rule (§ 553(c)).  In order to ensure that this comment period is meaningful, agencies are required, at the very least, to publish “either the terms or substance of the proposed rule or a description of the subjects and issues involved” (§ 553(b)(3)).  If an agency violates this procedural step, affected interests can appeal the agency’s rule to the Court of Appeals (§ 706(2)(D)).</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Beyond a mandatory comment period, the courts have imposed a number of other constraints on the agencies to prevent them from circumventing the spirit of the notice and comment requirement.  For example, courts have held that</w:t>
      </w:r>
      <w:r w:rsidR="00C3310A">
        <w:rPr>
          <w:rFonts w:ascii="Times New Roman" w:hAnsi="Times New Roman"/>
          <w:sz w:val="24"/>
          <w:szCs w:val="24"/>
        </w:rPr>
        <w:t>, after the comment period,</w:t>
      </w:r>
      <w:r w:rsidR="00632E52" w:rsidRPr="00EC7846">
        <w:rPr>
          <w:rFonts w:ascii="Times New Roman" w:hAnsi="Times New Roman"/>
          <w:sz w:val="24"/>
          <w:szCs w:val="24"/>
        </w:rPr>
        <w:t xml:space="preserve"> agencies cannot radically change their proposal in ways that effectively deny participants the ability to offer comments</w:t>
      </w:r>
      <w:r w:rsidR="00567586">
        <w:rPr>
          <w:rFonts w:ascii="Times New Roman" w:hAnsi="Times New Roman"/>
          <w:sz w:val="24"/>
          <w:szCs w:val="24"/>
        </w:rPr>
        <w:t xml:space="preserve">, </w:t>
      </w:r>
      <w:r w:rsidR="00632E52" w:rsidRPr="00EC7846">
        <w:rPr>
          <w:rFonts w:ascii="Times New Roman" w:hAnsi="Times New Roman"/>
          <w:sz w:val="24"/>
          <w:szCs w:val="24"/>
        </w:rPr>
        <w:t>called the logical outgrowth test (</w:t>
      </w:r>
      <w:hyperlink r:id="rId9" w:history="1">
        <w:r w:rsidR="00632E52" w:rsidRPr="00EC7846">
          <w:rPr>
            <w:rFonts w:ascii="Times New Roman" w:hAnsi="Times New Roman"/>
            <w:sz w:val="24"/>
            <w:szCs w:val="24"/>
          </w:rPr>
          <w:t>Weyerhaeuser Co. v. Costle, 590 F.2d 1011, 1021 (D.C. Cir. 1978)</w:t>
        </w:r>
      </w:hyperlink>
      <w:r w:rsidR="00632E52" w:rsidRPr="00EC7846">
        <w:rPr>
          <w:rFonts w:ascii="Times New Roman" w:hAnsi="Times New Roman"/>
          <w:sz w:val="24"/>
          <w:szCs w:val="24"/>
        </w:rPr>
        <w:t>).  Under the Freedom of Information Act and the courts’ interpretation of the APA, agencies must also ensure that participants have access</w:t>
      </w:r>
      <w:r w:rsidR="008E507C">
        <w:rPr>
          <w:rFonts w:ascii="Times New Roman" w:hAnsi="Times New Roman"/>
          <w:sz w:val="24"/>
          <w:szCs w:val="24"/>
        </w:rPr>
        <w:t>, with only a few exceptions,</w:t>
      </w:r>
      <w:r w:rsidR="00632E52" w:rsidRPr="00EC7846">
        <w:rPr>
          <w:rFonts w:ascii="Times New Roman" w:hAnsi="Times New Roman"/>
          <w:sz w:val="24"/>
          <w:szCs w:val="24"/>
        </w:rPr>
        <w:t xml:space="preserve"> to all of the information relevant to the rule (5 U.S.C. § 552; United States v. Nova Scotia Food </w:t>
      </w:r>
      <w:r w:rsidR="00632E52" w:rsidRPr="00EC7846">
        <w:rPr>
          <w:rFonts w:ascii="Times New Roman" w:hAnsi="Times New Roman"/>
          <w:sz w:val="24"/>
          <w:szCs w:val="24"/>
        </w:rPr>
        <w:lastRenderedPageBreak/>
        <w:t xml:space="preserve">Products Corp. 568 F.2d 247, 252 (2d Cir. 1977)).  </w:t>
      </w:r>
      <w:r w:rsidR="008E507C">
        <w:rPr>
          <w:rFonts w:ascii="Times New Roman" w:hAnsi="Times New Roman"/>
          <w:sz w:val="24"/>
          <w:szCs w:val="24"/>
        </w:rPr>
        <w:t>In designing their procedures, a</w:t>
      </w:r>
      <w:r w:rsidR="00632E52" w:rsidRPr="00EC7846">
        <w:rPr>
          <w:rFonts w:ascii="Times New Roman" w:hAnsi="Times New Roman"/>
          <w:sz w:val="24"/>
          <w:szCs w:val="24"/>
        </w:rPr>
        <w:t xml:space="preserve">gencies have </w:t>
      </w:r>
      <w:r w:rsidR="00C3310A">
        <w:rPr>
          <w:rFonts w:ascii="Times New Roman" w:hAnsi="Times New Roman"/>
          <w:sz w:val="24"/>
          <w:szCs w:val="24"/>
        </w:rPr>
        <w:t xml:space="preserve">added </w:t>
      </w:r>
      <w:r w:rsidR="008E507C">
        <w:rPr>
          <w:rFonts w:ascii="Times New Roman" w:hAnsi="Times New Roman"/>
          <w:sz w:val="24"/>
          <w:szCs w:val="24"/>
        </w:rPr>
        <w:t xml:space="preserve">even </w:t>
      </w:r>
      <w:r w:rsidR="00632E52" w:rsidRPr="00EC7846">
        <w:rPr>
          <w:rFonts w:ascii="Times New Roman" w:hAnsi="Times New Roman"/>
          <w:sz w:val="24"/>
          <w:szCs w:val="24"/>
        </w:rPr>
        <w:t xml:space="preserve">more participation-based features.  For example, agencies sometimes </w:t>
      </w:r>
      <w:r w:rsidR="00C3310A">
        <w:rPr>
          <w:rFonts w:ascii="Times New Roman" w:hAnsi="Times New Roman"/>
          <w:sz w:val="24"/>
          <w:szCs w:val="24"/>
        </w:rPr>
        <w:t xml:space="preserve">voluntarily </w:t>
      </w:r>
      <w:r w:rsidR="00632E52" w:rsidRPr="00EC7846">
        <w:rPr>
          <w:rFonts w:ascii="Times New Roman" w:hAnsi="Times New Roman"/>
          <w:sz w:val="24"/>
          <w:szCs w:val="24"/>
        </w:rPr>
        <w:t>hold live hearings to supplement the record with oral discussion.  Agencies also regularly extend the comment period to provide interested parties additional time to participate</w:t>
      </w:r>
      <w:r w:rsidR="008E507C">
        <w:rPr>
          <w:rFonts w:ascii="Times New Roman" w:hAnsi="Times New Roman"/>
          <w:sz w:val="24"/>
          <w:szCs w:val="24"/>
        </w:rPr>
        <w:t>―</w:t>
      </w:r>
      <w:r w:rsidR="00632E52" w:rsidRPr="00EC7846">
        <w:rPr>
          <w:rFonts w:ascii="Times New Roman" w:hAnsi="Times New Roman"/>
          <w:sz w:val="24"/>
          <w:szCs w:val="24"/>
        </w:rPr>
        <w:t>in extreme cases agencies have kept the comment process open for months</w:t>
      </w:r>
      <w:r w:rsidR="008E507C">
        <w:rPr>
          <w:rFonts w:ascii="Times New Roman" w:hAnsi="Times New Roman"/>
          <w:sz w:val="24"/>
          <w:szCs w:val="24"/>
        </w:rPr>
        <w:t xml:space="preserve">, </w:t>
      </w:r>
      <w:r w:rsidR="008357C9">
        <w:rPr>
          <w:rFonts w:ascii="Times New Roman" w:hAnsi="Times New Roman"/>
          <w:sz w:val="24"/>
          <w:szCs w:val="24"/>
        </w:rPr>
        <w:t xml:space="preserve">and </w:t>
      </w:r>
      <w:r w:rsidR="00632E52" w:rsidRPr="00EC7846">
        <w:rPr>
          <w:rFonts w:ascii="Times New Roman" w:hAnsi="Times New Roman"/>
          <w:sz w:val="24"/>
          <w:szCs w:val="24"/>
        </w:rPr>
        <w:t xml:space="preserve">even a year.  </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Moreover, while the APA sets the floor for what constitutes an adequate opportunity for public participation in informal rules,</w:t>
      </w:r>
      <w:r w:rsidR="008E507C">
        <w:rPr>
          <w:rFonts w:ascii="Times New Roman" w:hAnsi="Times New Roman"/>
          <w:sz w:val="24"/>
          <w:szCs w:val="24"/>
        </w:rPr>
        <w:t xml:space="preserve"> it</w:t>
      </w:r>
      <w:r w:rsidR="00632E52" w:rsidRPr="00EC7846">
        <w:rPr>
          <w:rFonts w:ascii="Times New Roman" w:hAnsi="Times New Roman"/>
          <w:sz w:val="24"/>
          <w:szCs w:val="24"/>
        </w:rPr>
        <w:t xml:space="preserve"> by no means limit</w:t>
      </w:r>
      <w:r w:rsidR="008E507C">
        <w:rPr>
          <w:rFonts w:ascii="Times New Roman" w:hAnsi="Times New Roman"/>
          <w:sz w:val="24"/>
          <w:szCs w:val="24"/>
        </w:rPr>
        <w:t>s</w:t>
      </w:r>
      <w:r w:rsidR="00632E52" w:rsidRPr="00EC7846">
        <w:rPr>
          <w:rFonts w:ascii="Times New Roman" w:hAnsi="Times New Roman"/>
          <w:sz w:val="24"/>
          <w:szCs w:val="24"/>
        </w:rPr>
        <w:t xml:space="preserve"> what the agency can do with respect to soliciting input from interested parties.  Some agencies, for example, float trial</w:t>
      </w:r>
      <w:r w:rsidR="008E507C">
        <w:rPr>
          <w:rFonts w:ascii="Times New Roman" w:hAnsi="Times New Roman"/>
          <w:sz w:val="24"/>
          <w:szCs w:val="24"/>
        </w:rPr>
        <w:t>-</w:t>
      </w:r>
      <w:r w:rsidR="00632E52" w:rsidRPr="00EC7846">
        <w:rPr>
          <w:rFonts w:ascii="Times New Roman" w:hAnsi="Times New Roman"/>
          <w:sz w:val="24"/>
          <w:szCs w:val="24"/>
        </w:rPr>
        <w:t>balloon proposals through advanced notices of proposed rulemakings.  In these advanced notices, agencies often suggest alternative approaches to the regulatory task at hand</w:t>
      </w:r>
      <w:r w:rsidR="00632E52">
        <w:rPr>
          <w:rFonts w:ascii="Times New Roman" w:hAnsi="Times New Roman"/>
          <w:sz w:val="24"/>
          <w:szCs w:val="24"/>
        </w:rPr>
        <w:t>.  T</w:t>
      </w:r>
      <w:r w:rsidR="00632E52" w:rsidRPr="00EC7846">
        <w:rPr>
          <w:rFonts w:ascii="Times New Roman" w:hAnsi="Times New Roman"/>
          <w:sz w:val="24"/>
          <w:szCs w:val="24"/>
        </w:rPr>
        <w:t>his menu of regulatory possibilities is then refined</w:t>
      </w:r>
      <w:r w:rsidR="008E507C">
        <w:rPr>
          <w:rFonts w:ascii="Times New Roman" w:hAnsi="Times New Roman"/>
          <w:sz w:val="24"/>
          <w:szCs w:val="24"/>
        </w:rPr>
        <w:t xml:space="preserve">, </w:t>
      </w:r>
      <w:r w:rsidR="00CA43E4">
        <w:rPr>
          <w:rFonts w:ascii="Times New Roman" w:hAnsi="Times New Roman"/>
          <w:sz w:val="24"/>
          <w:szCs w:val="24"/>
        </w:rPr>
        <w:t xml:space="preserve">often </w:t>
      </w:r>
      <w:r w:rsidR="008E507C">
        <w:rPr>
          <w:rFonts w:ascii="Times New Roman" w:hAnsi="Times New Roman"/>
          <w:sz w:val="24"/>
          <w:szCs w:val="24"/>
        </w:rPr>
        <w:t xml:space="preserve">through </w:t>
      </w:r>
      <w:r w:rsidR="00CA43E4">
        <w:rPr>
          <w:rFonts w:ascii="Times New Roman" w:hAnsi="Times New Roman"/>
          <w:sz w:val="24"/>
          <w:szCs w:val="24"/>
        </w:rPr>
        <w:t xml:space="preserve">multiple </w:t>
      </w:r>
      <w:r w:rsidR="00632E52" w:rsidRPr="00EC7846">
        <w:rPr>
          <w:rFonts w:ascii="Times New Roman" w:hAnsi="Times New Roman"/>
          <w:sz w:val="24"/>
          <w:szCs w:val="24"/>
        </w:rPr>
        <w:t>rounds of comments and revised proposals</w:t>
      </w:r>
      <w:r w:rsidR="008E507C">
        <w:rPr>
          <w:rFonts w:ascii="Times New Roman" w:hAnsi="Times New Roman"/>
          <w:sz w:val="24"/>
          <w:szCs w:val="24"/>
        </w:rPr>
        <w:t xml:space="preserve">, </w:t>
      </w:r>
      <w:r w:rsidR="00632E52" w:rsidRPr="00EC7846">
        <w:rPr>
          <w:rFonts w:ascii="Times New Roman" w:hAnsi="Times New Roman"/>
          <w:sz w:val="24"/>
          <w:szCs w:val="24"/>
        </w:rPr>
        <w:t xml:space="preserve">before the agency reaches the </w:t>
      </w:r>
      <w:r w:rsidR="008E507C">
        <w:rPr>
          <w:rFonts w:ascii="Times New Roman" w:hAnsi="Times New Roman"/>
          <w:sz w:val="24"/>
          <w:szCs w:val="24"/>
        </w:rPr>
        <w:t xml:space="preserve">stage of the </w:t>
      </w:r>
      <w:r w:rsidR="00632E52" w:rsidRPr="00EC7846">
        <w:rPr>
          <w:rFonts w:ascii="Times New Roman" w:hAnsi="Times New Roman"/>
          <w:sz w:val="24"/>
          <w:szCs w:val="24"/>
        </w:rPr>
        <w:t xml:space="preserve">official proposed rule.  Other agencies circulate drafts of underlying studies and analyses for notice and comment and hold </w:t>
      </w:r>
      <w:r w:rsidR="008E507C">
        <w:rPr>
          <w:rFonts w:ascii="Times New Roman" w:hAnsi="Times New Roman"/>
          <w:sz w:val="24"/>
          <w:szCs w:val="24"/>
        </w:rPr>
        <w:t xml:space="preserve">stakeholder </w:t>
      </w:r>
      <w:r w:rsidR="00632E52" w:rsidRPr="00EC7846">
        <w:rPr>
          <w:rFonts w:ascii="Times New Roman" w:hAnsi="Times New Roman"/>
          <w:sz w:val="24"/>
          <w:szCs w:val="24"/>
        </w:rPr>
        <w:t>meetings</w:t>
      </w:r>
      <w:r w:rsidR="008E507C">
        <w:rPr>
          <w:rFonts w:ascii="Times New Roman" w:hAnsi="Times New Roman"/>
          <w:sz w:val="24"/>
          <w:szCs w:val="24"/>
        </w:rPr>
        <w:t>―</w:t>
      </w:r>
      <w:r w:rsidR="00632E52" w:rsidRPr="00EC7846">
        <w:rPr>
          <w:rFonts w:ascii="Times New Roman" w:hAnsi="Times New Roman"/>
          <w:sz w:val="24"/>
          <w:szCs w:val="24"/>
        </w:rPr>
        <w:t>all of which are publicized in the Federal Register</w:t>
      </w:r>
      <w:r w:rsidR="008E507C">
        <w:rPr>
          <w:rFonts w:ascii="Times New Roman" w:hAnsi="Times New Roman"/>
          <w:sz w:val="24"/>
          <w:szCs w:val="24"/>
        </w:rPr>
        <w:t>―</w:t>
      </w:r>
      <w:r w:rsidR="00632E52" w:rsidRPr="00EC7846">
        <w:rPr>
          <w:rFonts w:ascii="Times New Roman" w:hAnsi="Times New Roman"/>
          <w:sz w:val="24"/>
          <w:szCs w:val="24"/>
        </w:rPr>
        <w:t xml:space="preserve">long before the proposed rule is developed.  In its revision of standards for a handful of common air pollutants like ozone and particulates, the U.S. EPA routinely convenes no </w:t>
      </w:r>
      <w:r w:rsidR="008E507C">
        <w:rPr>
          <w:rFonts w:ascii="Times New Roman" w:hAnsi="Times New Roman"/>
          <w:sz w:val="24"/>
          <w:szCs w:val="24"/>
        </w:rPr>
        <w:t>fewer</w:t>
      </w:r>
      <w:r w:rsidR="00632E52" w:rsidRPr="00EC7846">
        <w:rPr>
          <w:rFonts w:ascii="Times New Roman" w:hAnsi="Times New Roman"/>
          <w:sz w:val="24"/>
          <w:szCs w:val="24"/>
        </w:rPr>
        <w:t xml:space="preserve"> than five separate comment periods, </w:t>
      </w:r>
      <w:r w:rsidR="008E507C">
        <w:rPr>
          <w:rFonts w:ascii="Times New Roman" w:hAnsi="Times New Roman"/>
          <w:sz w:val="24"/>
          <w:szCs w:val="24"/>
        </w:rPr>
        <w:t xml:space="preserve">in addition to </w:t>
      </w:r>
      <w:r w:rsidR="00632E52" w:rsidRPr="00EC7846">
        <w:rPr>
          <w:rFonts w:ascii="Times New Roman" w:hAnsi="Times New Roman"/>
          <w:sz w:val="24"/>
          <w:szCs w:val="24"/>
        </w:rPr>
        <w:t xml:space="preserve">a </w:t>
      </w:r>
      <w:r w:rsidR="008E507C">
        <w:rPr>
          <w:rFonts w:ascii="Times New Roman" w:hAnsi="Times New Roman"/>
          <w:sz w:val="24"/>
          <w:szCs w:val="24"/>
        </w:rPr>
        <w:t>“</w:t>
      </w:r>
      <w:r w:rsidR="00632E52" w:rsidRPr="00EC7846">
        <w:rPr>
          <w:rFonts w:ascii="Times New Roman" w:hAnsi="Times New Roman"/>
          <w:sz w:val="24"/>
          <w:szCs w:val="24"/>
        </w:rPr>
        <w:t>scoping</w:t>
      </w:r>
      <w:r w:rsidR="008E507C">
        <w:rPr>
          <w:rFonts w:ascii="Times New Roman" w:hAnsi="Times New Roman"/>
          <w:sz w:val="24"/>
          <w:szCs w:val="24"/>
        </w:rPr>
        <w:t>”</w:t>
      </w:r>
      <w:r w:rsidR="00632E52" w:rsidRPr="00EC7846">
        <w:rPr>
          <w:rFonts w:ascii="Times New Roman" w:hAnsi="Times New Roman"/>
          <w:sz w:val="24"/>
          <w:szCs w:val="24"/>
        </w:rPr>
        <w:t xml:space="preserve"> stage </w:t>
      </w:r>
      <w:r w:rsidR="008E507C">
        <w:rPr>
          <w:rFonts w:ascii="Times New Roman" w:hAnsi="Times New Roman"/>
          <w:sz w:val="24"/>
          <w:szCs w:val="24"/>
        </w:rPr>
        <w:t xml:space="preserve">early in the </w:t>
      </w:r>
      <w:r w:rsidR="00632E52" w:rsidRPr="00EC7846">
        <w:rPr>
          <w:rFonts w:ascii="Times New Roman" w:hAnsi="Times New Roman"/>
          <w:sz w:val="24"/>
          <w:szCs w:val="24"/>
        </w:rPr>
        <w:t xml:space="preserve">decision-making </w:t>
      </w:r>
      <w:r w:rsidR="00E50373">
        <w:rPr>
          <w:rFonts w:ascii="Times New Roman" w:hAnsi="Times New Roman"/>
          <w:sz w:val="24"/>
          <w:szCs w:val="24"/>
        </w:rPr>
        <w:t xml:space="preserve">process, </w:t>
      </w:r>
      <w:r w:rsidR="00632E52" w:rsidRPr="00EC7846">
        <w:rPr>
          <w:rFonts w:ascii="Times New Roman" w:hAnsi="Times New Roman"/>
          <w:sz w:val="24"/>
          <w:szCs w:val="24"/>
        </w:rPr>
        <w:t>before drafting the proposed rule (Shapiro et al., 2012).</w:t>
      </w:r>
    </w:p>
    <w:p w:rsidR="00632E52" w:rsidRPr="008B7CD3" w:rsidRDefault="00632E52" w:rsidP="008B7CD3">
      <w:pPr>
        <w:pStyle w:val="ListParagraph"/>
        <w:numPr>
          <w:ilvl w:val="0"/>
          <w:numId w:val="2"/>
        </w:numPr>
        <w:spacing w:line="480" w:lineRule="auto"/>
        <w:rPr>
          <w:rFonts w:ascii="Times New Roman" w:hAnsi="Times New Roman"/>
          <w:sz w:val="24"/>
          <w:szCs w:val="24"/>
        </w:rPr>
      </w:pPr>
      <w:r w:rsidRPr="00EC7846">
        <w:rPr>
          <w:rFonts w:ascii="Times New Roman" w:hAnsi="Times New Roman"/>
          <w:sz w:val="24"/>
          <w:szCs w:val="24"/>
        </w:rPr>
        <w:t xml:space="preserve"> Considering Comments and the Threat of Litigation </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206153">
        <w:rPr>
          <w:rFonts w:ascii="Times New Roman" w:hAnsi="Times New Roman"/>
          <w:sz w:val="24"/>
          <w:szCs w:val="24"/>
        </w:rPr>
        <w:t>A</w:t>
      </w:r>
      <w:r w:rsidR="00632E52" w:rsidRPr="00EC7846">
        <w:rPr>
          <w:rFonts w:ascii="Times New Roman" w:hAnsi="Times New Roman"/>
          <w:sz w:val="24"/>
          <w:szCs w:val="24"/>
        </w:rPr>
        <w:t xml:space="preserve">dministrative law also provides commenters with the right to sue the agency when certain comments have been ignored.  The resultant threat of litigation thus </w:t>
      </w:r>
      <w:r w:rsidR="00B21F3A">
        <w:rPr>
          <w:rFonts w:ascii="Times New Roman" w:hAnsi="Times New Roman"/>
          <w:sz w:val="24"/>
          <w:szCs w:val="24"/>
        </w:rPr>
        <w:t xml:space="preserve">helps to </w:t>
      </w:r>
      <w:r w:rsidR="00632E52" w:rsidRPr="00EC7846">
        <w:rPr>
          <w:rFonts w:ascii="Times New Roman" w:hAnsi="Times New Roman"/>
          <w:sz w:val="24"/>
          <w:szCs w:val="24"/>
        </w:rPr>
        <w:t>ensure that the opportunity to participate is meaningful</w:t>
      </w:r>
      <w:r w:rsidR="00E50373">
        <w:rPr>
          <w:rFonts w:ascii="Times New Roman" w:hAnsi="Times New Roman"/>
          <w:sz w:val="24"/>
          <w:szCs w:val="24"/>
        </w:rPr>
        <w:t xml:space="preserve"> </w:t>
      </w:r>
      <w:r w:rsidR="00632E52" w:rsidRPr="00EC7846">
        <w:rPr>
          <w:rFonts w:ascii="Times New Roman" w:hAnsi="Times New Roman"/>
          <w:sz w:val="24"/>
          <w:szCs w:val="24"/>
        </w:rPr>
        <w:t>and not simply</w:t>
      </w:r>
      <w:r w:rsidR="00E50373">
        <w:rPr>
          <w:rFonts w:ascii="Times New Roman" w:hAnsi="Times New Roman"/>
          <w:sz w:val="24"/>
          <w:szCs w:val="24"/>
        </w:rPr>
        <w:t xml:space="preserve"> </w:t>
      </w:r>
      <w:r w:rsidR="005869BD">
        <w:rPr>
          <w:rFonts w:ascii="Times New Roman" w:hAnsi="Times New Roman"/>
          <w:sz w:val="24"/>
          <w:szCs w:val="24"/>
        </w:rPr>
        <w:t>a paper requirement</w:t>
      </w:r>
      <w:r w:rsidR="00632E52" w:rsidRPr="00EC7846">
        <w:rPr>
          <w:rFonts w:ascii="Times New Roman" w:hAnsi="Times New Roman"/>
          <w:sz w:val="24"/>
          <w:szCs w:val="24"/>
        </w:rPr>
        <w:t xml:space="preserve">.  More specifically, a commenter can sue the agency when: the agency has not provided a reasoned </w:t>
      </w:r>
      <w:r w:rsidR="00632E52" w:rsidRPr="00EC7846">
        <w:rPr>
          <w:rFonts w:ascii="Times New Roman" w:hAnsi="Times New Roman"/>
          <w:sz w:val="24"/>
          <w:szCs w:val="24"/>
        </w:rPr>
        <w:lastRenderedPageBreak/>
        <w:t>response to the commenter’s well-supported argument that the rule is factually, logically, or otherwise flawed in ways that make the rule arbitrary; the agency’s rule falls outside bounds of its statutory authority; the agency has violated procedural requirements; or</w:t>
      </w:r>
      <w:r w:rsidR="00E50373">
        <w:rPr>
          <w:rFonts w:ascii="Times New Roman" w:hAnsi="Times New Roman"/>
          <w:sz w:val="24"/>
          <w:szCs w:val="24"/>
        </w:rPr>
        <w:t xml:space="preserve"> any number of</w:t>
      </w:r>
      <w:r w:rsidR="00632E52" w:rsidRPr="00EC7846">
        <w:rPr>
          <w:rFonts w:ascii="Times New Roman" w:hAnsi="Times New Roman"/>
          <w:sz w:val="24"/>
          <w:szCs w:val="24"/>
        </w:rPr>
        <w:t xml:space="preserve"> other specified grounds listed in the APA (§706).  This ever-present threat of litigation gives the agency a good reason to take comments seriously.  </w:t>
      </w:r>
      <w:r w:rsidR="00E50373">
        <w:rPr>
          <w:rFonts w:ascii="Times New Roman" w:hAnsi="Times New Roman"/>
          <w:sz w:val="24"/>
          <w:szCs w:val="24"/>
        </w:rPr>
        <w:t>Added</w:t>
      </w:r>
      <w:r w:rsidR="00E50373" w:rsidRPr="00EC7846">
        <w:rPr>
          <w:rFonts w:ascii="Times New Roman" w:hAnsi="Times New Roman"/>
          <w:sz w:val="24"/>
          <w:szCs w:val="24"/>
        </w:rPr>
        <w:t xml:space="preserve"> </w:t>
      </w:r>
      <w:r w:rsidR="00632E52" w:rsidRPr="00EC7846">
        <w:rPr>
          <w:rFonts w:ascii="Times New Roman" w:hAnsi="Times New Roman"/>
          <w:sz w:val="24"/>
          <w:szCs w:val="24"/>
        </w:rPr>
        <w:t xml:space="preserve">to this incentive are additional, court-devised requirements that signal rigorous judicial scrutiny of agency action.  The </w:t>
      </w:r>
      <w:r w:rsidR="00632E52" w:rsidRPr="00EC7846">
        <w:rPr>
          <w:rFonts w:ascii="Times New Roman" w:hAnsi="Times New Roman"/>
          <w:i/>
          <w:sz w:val="24"/>
          <w:szCs w:val="24"/>
        </w:rPr>
        <w:t>Chenery</w:t>
      </w:r>
      <w:r w:rsidR="00632E52" w:rsidRPr="00EC7846">
        <w:rPr>
          <w:rFonts w:ascii="Times New Roman" w:hAnsi="Times New Roman"/>
          <w:sz w:val="24"/>
          <w:szCs w:val="24"/>
        </w:rPr>
        <w:t xml:space="preserve"> doctrine, for example, requires that the agency’s explanations and justifications be contained within the four corners of the record and not advanced after th</w:t>
      </w:r>
      <w:r w:rsidR="00632E52">
        <w:rPr>
          <w:rFonts w:ascii="Times New Roman" w:hAnsi="Times New Roman"/>
          <w:sz w:val="24"/>
          <w:szCs w:val="24"/>
        </w:rPr>
        <w:t>e fact during judicial review.  A</w:t>
      </w:r>
      <w:r w:rsidR="00632E52" w:rsidRPr="00EC7846">
        <w:rPr>
          <w:rFonts w:ascii="Times New Roman" w:hAnsi="Times New Roman"/>
          <w:sz w:val="24"/>
          <w:szCs w:val="24"/>
        </w:rPr>
        <w:t xml:space="preserve">gencies thus need to provide their rationale in the rulemaking record itself (SEC v. Chenery Corp., 318 U.S. 80 (1943)).  The “hard look” doctrine developed by some courts in the 1970s further underscores the courts’ willingness to scrutinize an agency’s analysis carefully </w:t>
      </w:r>
      <w:r w:rsidR="00E50373">
        <w:rPr>
          <w:rFonts w:ascii="Times New Roman" w:hAnsi="Times New Roman"/>
          <w:sz w:val="24"/>
          <w:szCs w:val="24"/>
        </w:rPr>
        <w:t>on</w:t>
      </w:r>
      <w:r w:rsidR="00E50373" w:rsidRPr="00EC7846">
        <w:rPr>
          <w:rFonts w:ascii="Times New Roman" w:hAnsi="Times New Roman"/>
          <w:sz w:val="24"/>
          <w:szCs w:val="24"/>
        </w:rPr>
        <w:t xml:space="preserve"> </w:t>
      </w:r>
      <w:r w:rsidR="00632E52" w:rsidRPr="00EC7846">
        <w:rPr>
          <w:rFonts w:ascii="Times New Roman" w:hAnsi="Times New Roman"/>
          <w:sz w:val="24"/>
          <w:szCs w:val="24"/>
        </w:rPr>
        <w:t>appeal (</w:t>
      </w:r>
      <w:hyperlink r:id="rId10" w:history="1">
        <w:r w:rsidR="00632E52" w:rsidRPr="00EC7846">
          <w:rPr>
            <w:rFonts w:ascii="Times New Roman" w:hAnsi="Times New Roman"/>
            <w:sz w:val="24"/>
            <w:szCs w:val="24"/>
          </w:rPr>
          <w:t>Ethyl Corp. v. EPA, 541 F.2d 1, 40 (D.C. Cir. 1976)</w:t>
        </w:r>
      </w:hyperlink>
      <w:r w:rsidR="00632E52" w:rsidRPr="00EC7846">
        <w:rPr>
          <w:rFonts w:ascii="Times New Roman" w:hAnsi="Times New Roman"/>
          <w:sz w:val="24"/>
          <w:szCs w:val="24"/>
        </w:rPr>
        <w:t xml:space="preserve">). </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As a result of this legal design, comments received during the notice</w:t>
      </w:r>
      <w:r w:rsidR="00206153">
        <w:rPr>
          <w:rFonts w:ascii="Times New Roman" w:hAnsi="Times New Roman"/>
          <w:sz w:val="24"/>
          <w:szCs w:val="24"/>
        </w:rPr>
        <w:t>-</w:t>
      </w:r>
      <w:r w:rsidR="00632E52" w:rsidRPr="00EC7846">
        <w:rPr>
          <w:rFonts w:ascii="Times New Roman" w:hAnsi="Times New Roman"/>
          <w:sz w:val="24"/>
          <w:szCs w:val="24"/>
        </w:rPr>
        <w:t>and</w:t>
      </w:r>
      <w:r w:rsidR="00206153">
        <w:rPr>
          <w:rFonts w:ascii="Times New Roman" w:hAnsi="Times New Roman"/>
          <w:sz w:val="24"/>
          <w:szCs w:val="24"/>
        </w:rPr>
        <w:t>-</w:t>
      </w:r>
      <w:r w:rsidR="00632E52" w:rsidRPr="00EC7846">
        <w:rPr>
          <w:rFonts w:ascii="Times New Roman" w:hAnsi="Times New Roman"/>
          <w:sz w:val="24"/>
          <w:szCs w:val="24"/>
        </w:rPr>
        <w:t>comment process play a central role in</w:t>
      </w:r>
      <w:r w:rsidR="00632E52">
        <w:rPr>
          <w:rFonts w:ascii="Times New Roman" w:hAnsi="Times New Roman"/>
          <w:sz w:val="24"/>
          <w:szCs w:val="24"/>
        </w:rPr>
        <w:t xml:space="preserve"> U.S.</w:t>
      </w:r>
      <w:r w:rsidR="00632E52" w:rsidRPr="00EC7846">
        <w:rPr>
          <w:rFonts w:ascii="Times New Roman" w:hAnsi="Times New Roman"/>
          <w:sz w:val="24"/>
          <w:szCs w:val="24"/>
        </w:rPr>
        <w:t xml:space="preserve"> agency decision-making processes.  Commenters who can credibly allege</w:t>
      </w:r>
      <w:r w:rsidR="00206153">
        <w:rPr>
          <w:rFonts w:ascii="Times New Roman" w:hAnsi="Times New Roman"/>
          <w:sz w:val="24"/>
          <w:szCs w:val="24"/>
        </w:rPr>
        <w:t xml:space="preserve"> that</w:t>
      </w:r>
      <w:r w:rsidR="00632E52" w:rsidRPr="00EC7846">
        <w:rPr>
          <w:rFonts w:ascii="Times New Roman" w:hAnsi="Times New Roman"/>
          <w:sz w:val="24"/>
          <w:szCs w:val="24"/>
        </w:rPr>
        <w:t xml:space="preserve"> the agency has violated the statute present the most significant litigation risk to the agency (Chevron U.S.A., Inc. v. Natural Res. Def. Council, Inc., 467 U.S. 837 (1984)).  But from the perspective</w:t>
      </w:r>
      <w:r w:rsidR="00206153">
        <w:rPr>
          <w:rFonts w:ascii="Times New Roman" w:hAnsi="Times New Roman"/>
          <w:sz w:val="24"/>
          <w:szCs w:val="24"/>
        </w:rPr>
        <w:t xml:space="preserve"> of an agency</w:t>
      </w:r>
      <w:r w:rsidR="00632E52" w:rsidRPr="00EC7846">
        <w:rPr>
          <w:rFonts w:ascii="Times New Roman" w:hAnsi="Times New Roman"/>
          <w:sz w:val="24"/>
          <w:szCs w:val="24"/>
        </w:rPr>
        <w:t xml:space="preserve">, all comments carry the possibility that </w:t>
      </w:r>
      <w:r w:rsidR="00206153">
        <w:rPr>
          <w:rFonts w:ascii="Times New Roman" w:hAnsi="Times New Roman"/>
          <w:sz w:val="24"/>
          <w:szCs w:val="24"/>
        </w:rPr>
        <w:t>the</w:t>
      </w:r>
      <w:r w:rsidR="00632E52" w:rsidRPr="00EC7846">
        <w:rPr>
          <w:rFonts w:ascii="Times New Roman" w:hAnsi="Times New Roman"/>
          <w:sz w:val="24"/>
          <w:szCs w:val="24"/>
        </w:rPr>
        <w:t xml:space="preserve"> commenter has unearthed some important fact or logical error in the rulemaking.  A commenter that points out, for example, that a potential air toxin is actually in a solid phase and </w:t>
      </w:r>
      <w:r w:rsidR="00E50373">
        <w:rPr>
          <w:rFonts w:ascii="Times New Roman" w:hAnsi="Times New Roman"/>
          <w:sz w:val="24"/>
          <w:szCs w:val="24"/>
        </w:rPr>
        <w:t>consequently</w:t>
      </w:r>
      <w:r w:rsidR="00632E52" w:rsidRPr="00EC7846">
        <w:rPr>
          <w:rFonts w:ascii="Times New Roman" w:hAnsi="Times New Roman"/>
          <w:sz w:val="24"/>
          <w:szCs w:val="24"/>
        </w:rPr>
        <w:t xml:space="preserve"> will not be dispersed in the air as a gas, should be heeded by the agency or t</w:t>
      </w:r>
      <w:r w:rsidR="009867E7">
        <w:rPr>
          <w:rFonts w:ascii="Times New Roman" w:hAnsi="Times New Roman"/>
          <w:sz w:val="24"/>
          <w:szCs w:val="24"/>
        </w:rPr>
        <w:t xml:space="preserve">hey risk the possibility of a </w:t>
      </w:r>
      <w:r w:rsidR="00632E52" w:rsidRPr="00EC7846">
        <w:rPr>
          <w:rFonts w:ascii="Times New Roman" w:hAnsi="Times New Roman"/>
          <w:sz w:val="24"/>
          <w:szCs w:val="24"/>
        </w:rPr>
        <w:t xml:space="preserve">successful challenge in court (Chemical Manufacturers Assn. v.  EPA, 28 F.3d 1259 (D.C. Cir. 1994)).  </w:t>
      </w:r>
    </w:p>
    <w:p w:rsidR="008B7CD3"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lastRenderedPageBreak/>
        <w:tab/>
      </w:r>
      <w:r w:rsidR="00206153">
        <w:rPr>
          <w:rFonts w:ascii="Times New Roman" w:hAnsi="Times New Roman"/>
          <w:sz w:val="24"/>
          <w:szCs w:val="24"/>
        </w:rPr>
        <w:t xml:space="preserve">Also, since each </w:t>
      </w:r>
      <w:r w:rsidR="00632E52" w:rsidRPr="00EC7846">
        <w:rPr>
          <w:rFonts w:ascii="Times New Roman" w:hAnsi="Times New Roman"/>
          <w:sz w:val="24"/>
          <w:szCs w:val="24"/>
        </w:rPr>
        <w:t>commenter equates to a potential litigator,</w:t>
      </w:r>
      <w:r w:rsidR="00B21F3A">
        <w:rPr>
          <w:rFonts w:ascii="Times New Roman" w:hAnsi="Times New Roman"/>
          <w:sz w:val="24"/>
          <w:szCs w:val="24"/>
        </w:rPr>
        <w:t xml:space="preserve"> </w:t>
      </w:r>
      <w:r w:rsidR="00632E52" w:rsidRPr="00EC7846">
        <w:rPr>
          <w:rFonts w:ascii="Times New Roman" w:hAnsi="Times New Roman"/>
          <w:sz w:val="24"/>
          <w:szCs w:val="24"/>
        </w:rPr>
        <w:t>agencies in the</w:t>
      </w:r>
      <w:r w:rsidR="00632E52">
        <w:rPr>
          <w:rFonts w:ascii="Times New Roman" w:hAnsi="Times New Roman"/>
          <w:sz w:val="24"/>
          <w:szCs w:val="24"/>
        </w:rPr>
        <w:t xml:space="preserve"> U.S.</w:t>
      </w:r>
      <w:r w:rsidR="00632E52" w:rsidRPr="00EC7846">
        <w:rPr>
          <w:rFonts w:ascii="Times New Roman" w:hAnsi="Times New Roman"/>
          <w:sz w:val="24"/>
          <w:szCs w:val="24"/>
        </w:rPr>
        <w:t xml:space="preserve"> are quite conscientious about ensuring they have considered all comments.  To that end, many agencies routinely summarize the most “significant” comments and provide a response to each type of concern in a dedicated section in the preamble of the final rule.  Some agencies even hire private contractors to catalog all comments and agency responses to ensure that no comment has been left unaddressed.</w:t>
      </w:r>
    </w:p>
    <w:p w:rsidR="00632E52" w:rsidRPr="008B7CD3"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However, it should be quickly added that</w:t>
      </w:r>
      <w:r w:rsidR="00206153">
        <w:rPr>
          <w:rFonts w:ascii="Times New Roman" w:hAnsi="Times New Roman"/>
          <w:sz w:val="24"/>
          <w:szCs w:val="24"/>
        </w:rPr>
        <w:t xml:space="preserve"> this duty to</w:t>
      </w:r>
      <w:r w:rsidR="00632E52" w:rsidRPr="00EC7846">
        <w:rPr>
          <w:rFonts w:ascii="Times New Roman" w:hAnsi="Times New Roman"/>
          <w:sz w:val="24"/>
          <w:szCs w:val="24"/>
        </w:rPr>
        <w:t xml:space="preserve"> consider all comments under the APA</w:t>
      </w:r>
      <w:r w:rsidR="00206153">
        <w:rPr>
          <w:rFonts w:ascii="Times New Roman" w:hAnsi="Times New Roman"/>
          <w:sz w:val="24"/>
          <w:szCs w:val="24"/>
        </w:rPr>
        <w:t xml:space="preserve"> </w:t>
      </w:r>
      <w:r w:rsidR="00632E52" w:rsidRPr="00EC7846">
        <w:rPr>
          <w:rFonts w:ascii="Times New Roman" w:hAnsi="Times New Roman"/>
          <w:sz w:val="24"/>
          <w:szCs w:val="24"/>
        </w:rPr>
        <w:t xml:space="preserve">does not directly </w:t>
      </w:r>
      <w:r w:rsidR="009867E7">
        <w:rPr>
          <w:rFonts w:ascii="Times New Roman" w:hAnsi="Times New Roman"/>
          <w:sz w:val="24"/>
          <w:szCs w:val="24"/>
        </w:rPr>
        <w:t xml:space="preserve">translate </w:t>
      </w:r>
      <w:r w:rsidR="00632E52" w:rsidRPr="00EC7846">
        <w:rPr>
          <w:rFonts w:ascii="Times New Roman" w:hAnsi="Times New Roman"/>
          <w:sz w:val="24"/>
          <w:szCs w:val="24"/>
        </w:rPr>
        <w:t xml:space="preserve">into the ability of commenters to control regulatory outcomes.  Most </w:t>
      </w:r>
      <w:r w:rsidR="00206153">
        <w:rPr>
          <w:rFonts w:ascii="Times New Roman" w:hAnsi="Times New Roman"/>
          <w:sz w:val="24"/>
          <w:szCs w:val="24"/>
        </w:rPr>
        <w:t>enabling statutes</w:t>
      </w:r>
      <w:r w:rsidR="00632E52" w:rsidRPr="00EC7846">
        <w:rPr>
          <w:rFonts w:ascii="Times New Roman" w:hAnsi="Times New Roman"/>
          <w:sz w:val="24"/>
          <w:szCs w:val="24"/>
        </w:rPr>
        <w:t>. provide agencies with considerable administrative discretion that verge</w:t>
      </w:r>
      <w:r w:rsidR="009867E7">
        <w:rPr>
          <w:rFonts w:ascii="Times New Roman" w:hAnsi="Times New Roman"/>
          <w:sz w:val="24"/>
          <w:szCs w:val="24"/>
        </w:rPr>
        <w:t>s</w:t>
      </w:r>
      <w:r w:rsidR="00632E52" w:rsidRPr="00EC7846">
        <w:rPr>
          <w:rFonts w:ascii="Times New Roman" w:hAnsi="Times New Roman"/>
          <w:sz w:val="24"/>
          <w:szCs w:val="24"/>
        </w:rPr>
        <w:t xml:space="preserve"> on lawmaking power (American Trucking v. EPA, 175 F.3d 1027 (D.C. Cir. 1999)).  Under these ambiguous mandates, the primary challenge is to ensure that</w:t>
      </w:r>
      <w:r w:rsidR="00206153">
        <w:rPr>
          <w:rFonts w:ascii="Times New Roman" w:hAnsi="Times New Roman"/>
          <w:sz w:val="24"/>
          <w:szCs w:val="24"/>
        </w:rPr>
        <w:t xml:space="preserve"> the agency</w:t>
      </w:r>
      <w:r w:rsidR="00632E52" w:rsidRPr="00EC7846">
        <w:rPr>
          <w:rFonts w:ascii="Times New Roman" w:hAnsi="Times New Roman"/>
          <w:sz w:val="24"/>
          <w:szCs w:val="24"/>
        </w:rPr>
        <w:t xml:space="preserve"> rule is not arbitrary in light of the larger record, which includes, but is not limited to</w:t>
      </w:r>
      <w:r w:rsidR="009867E7">
        <w:rPr>
          <w:rFonts w:ascii="Times New Roman" w:hAnsi="Times New Roman"/>
          <w:sz w:val="24"/>
          <w:szCs w:val="24"/>
        </w:rPr>
        <w:t>,</w:t>
      </w:r>
      <w:r w:rsidR="00632E52" w:rsidRPr="00EC7846">
        <w:rPr>
          <w:rFonts w:ascii="Times New Roman" w:hAnsi="Times New Roman"/>
          <w:sz w:val="24"/>
          <w:szCs w:val="24"/>
        </w:rPr>
        <w:t xml:space="preserve"> the comments received.  For example, Congress provides the Occupational Safety and Health Administration (OSHA) with broad discretion to promulgate workplace standards for toxins and directs only that these standards assure “</w:t>
      </w:r>
      <w:r w:rsidR="00632E52" w:rsidRPr="00EC7846">
        <w:rPr>
          <w:rFonts w:ascii="Times New Roman" w:hAnsi="Times New Roman"/>
          <w:color w:val="000000"/>
          <w:sz w:val="24"/>
          <w:szCs w:val="24"/>
        </w:rPr>
        <w:t>to the extent feasible, on the basis of the best available evidence, that no employee will suffer material impairment of health or functional capacity</w:t>
      </w:r>
      <w:r w:rsidR="00632E52" w:rsidRPr="00EC7846">
        <w:rPr>
          <w:rFonts w:ascii="Times New Roman" w:hAnsi="Times New Roman"/>
          <w:sz w:val="24"/>
          <w:szCs w:val="24"/>
        </w:rPr>
        <w:t>” (29 U.S.C. § 655(b)(5)).  The policies and values that are ultimately selected to develop these standards, as well as the relevant scientific and related information in support of the agency’s preferred rule, are ultimately reserved to the discretion OSHA (American Textile Mfrs. Institute, Inc. v. Donovan, 452 U.S. 490 (1981)).  As long as the agency provides a reasoned response to all of the comments, the agency enjoys discretion in selecting a policy that falls within its statutory mandate.</w:t>
      </w:r>
    </w:p>
    <w:p w:rsidR="00632E52" w:rsidRPr="00EC7846" w:rsidRDefault="00632E52" w:rsidP="008B7CD3">
      <w:pPr>
        <w:pStyle w:val="ListParagraph"/>
        <w:numPr>
          <w:ilvl w:val="0"/>
          <w:numId w:val="2"/>
        </w:numPr>
        <w:spacing w:line="480" w:lineRule="auto"/>
        <w:rPr>
          <w:rFonts w:ascii="Times New Roman" w:hAnsi="Times New Roman"/>
          <w:sz w:val="24"/>
          <w:szCs w:val="24"/>
        </w:rPr>
      </w:pPr>
      <w:r w:rsidRPr="00EC7846">
        <w:rPr>
          <w:rFonts w:ascii="Times New Roman" w:hAnsi="Times New Roman"/>
          <w:sz w:val="24"/>
          <w:szCs w:val="24"/>
        </w:rPr>
        <w:t>Summary</w:t>
      </w:r>
    </w:p>
    <w:p w:rsidR="00632E52" w:rsidRPr="00EC7846" w:rsidRDefault="008B7CD3" w:rsidP="008B7CD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632E52" w:rsidRPr="00EC7846">
        <w:rPr>
          <w:rFonts w:ascii="Times New Roman" w:hAnsi="Times New Roman" w:cs="Times New Roman"/>
          <w:sz w:val="24"/>
          <w:szCs w:val="24"/>
        </w:rPr>
        <w:t xml:space="preserve">These dual requirements of the APA – that the agency </w:t>
      </w:r>
      <w:r w:rsidR="00206153">
        <w:rPr>
          <w:rFonts w:ascii="Times New Roman" w:hAnsi="Times New Roman" w:cs="Times New Roman"/>
          <w:sz w:val="24"/>
          <w:szCs w:val="24"/>
        </w:rPr>
        <w:t xml:space="preserve">(1) </w:t>
      </w:r>
      <w:r w:rsidR="00632E52" w:rsidRPr="00EC7846">
        <w:rPr>
          <w:rFonts w:ascii="Times New Roman" w:hAnsi="Times New Roman" w:cs="Times New Roman"/>
          <w:sz w:val="24"/>
          <w:szCs w:val="24"/>
        </w:rPr>
        <w:t xml:space="preserve"> provide an opportunity to comment and then </w:t>
      </w:r>
      <w:r w:rsidR="00206153">
        <w:rPr>
          <w:rFonts w:ascii="Times New Roman" w:hAnsi="Times New Roman" w:cs="Times New Roman"/>
          <w:sz w:val="24"/>
          <w:szCs w:val="24"/>
        </w:rPr>
        <w:t xml:space="preserve">(2) </w:t>
      </w:r>
      <w:r w:rsidR="00632E52" w:rsidRPr="00EC7846">
        <w:rPr>
          <w:rFonts w:ascii="Times New Roman" w:hAnsi="Times New Roman" w:cs="Times New Roman"/>
          <w:sz w:val="24"/>
          <w:szCs w:val="24"/>
        </w:rPr>
        <w:t xml:space="preserve"> consider all comments submitted by interested persons</w:t>
      </w:r>
      <w:r w:rsidR="00206153">
        <w:rPr>
          <w:rFonts w:ascii="Times New Roman" w:hAnsi="Times New Roman" w:cs="Times New Roman"/>
          <w:sz w:val="24"/>
          <w:szCs w:val="24"/>
        </w:rPr>
        <w:t>―</w:t>
      </w:r>
      <w:r w:rsidR="00632E52" w:rsidRPr="00EC7846">
        <w:rPr>
          <w:rFonts w:ascii="Times New Roman" w:hAnsi="Times New Roman" w:cs="Times New Roman"/>
          <w:sz w:val="24"/>
          <w:szCs w:val="24"/>
        </w:rPr>
        <w:t xml:space="preserve">work together to form the centerpiece of the APA’s design for ensuring agency accountability.  In U.S. administrative procedure, both requirements are </w:t>
      </w:r>
      <w:r w:rsidR="00EE662D">
        <w:rPr>
          <w:rFonts w:ascii="Times New Roman" w:hAnsi="Times New Roman" w:cs="Times New Roman"/>
          <w:sz w:val="24"/>
          <w:szCs w:val="24"/>
        </w:rPr>
        <w:t>mandatory,</w:t>
      </w:r>
      <w:r w:rsidR="00632E52" w:rsidRPr="00EC7846">
        <w:rPr>
          <w:rFonts w:ascii="Times New Roman" w:hAnsi="Times New Roman" w:cs="Times New Roman"/>
          <w:sz w:val="24"/>
          <w:szCs w:val="24"/>
        </w:rPr>
        <w:t xml:space="preserve"> both requirements have been policed by the courts in litigation brought by unsatisfied commenters</w:t>
      </w:r>
      <w:r w:rsidR="00EE662D">
        <w:rPr>
          <w:rFonts w:ascii="Times New Roman" w:hAnsi="Times New Roman" w:cs="Times New Roman"/>
          <w:sz w:val="24"/>
          <w:szCs w:val="24"/>
        </w:rPr>
        <w:t>,</w:t>
      </w:r>
      <w:r w:rsidR="00632E52" w:rsidRPr="00EC7846">
        <w:rPr>
          <w:rFonts w:ascii="Times New Roman" w:hAnsi="Times New Roman" w:cs="Times New Roman"/>
          <w:sz w:val="24"/>
          <w:szCs w:val="24"/>
        </w:rPr>
        <w:t xml:space="preserve"> and both </w:t>
      </w:r>
      <w:r w:rsidR="00EE662D">
        <w:rPr>
          <w:rFonts w:ascii="Times New Roman" w:hAnsi="Times New Roman" w:cs="Times New Roman"/>
          <w:sz w:val="24"/>
          <w:szCs w:val="24"/>
        </w:rPr>
        <w:t xml:space="preserve">requirements </w:t>
      </w:r>
      <w:r w:rsidR="00632E52" w:rsidRPr="00EC7846">
        <w:rPr>
          <w:rFonts w:ascii="Times New Roman" w:hAnsi="Times New Roman" w:cs="Times New Roman"/>
          <w:sz w:val="24"/>
          <w:szCs w:val="24"/>
        </w:rPr>
        <w:t xml:space="preserve">constitute essential, process-based constraints on agency efforts to devise general rules that operate like laws.  </w:t>
      </w:r>
      <w:r w:rsidR="00EE662D">
        <w:rPr>
          <w:rFonts w:ascii="Times New Roman" w:hAnsi="Times New Roman" w:cs="Times New Roman"/>
          <w:sz w:val="24"/>
          <w:szCs w:val="24"/>
        </w:rPr>
        <w:t>However, a</w:t>
      </w:r>
      <w:r w:rsidR="00632E52" w:rsidRPr="00EC7846">
        <w:rPr>
          <w:rFonts w:ascii="Times New Roman" w:hAnsi="Times New Roman" w:cs="Times New Roman"/>
          <w:sz w:val="24"/>
          <w:szCs w:val="24"/>
        </w:rPr>
        <w:t>t the same time that the agencies must follow these mandatory proce</w:t>
      </w:r>
      <w:r w:rsidR="00206153">
        <w:rPr>
          <w:rFonts w:ascii="Times New Roman" w:hAnsi="Times New Roman" w:cs="Times New Roman"/>
          <w:sz w:val="24"/>
          <w:szCs w:val="24"/>
        </w:rPr>
        <w:t>dural</w:t>
      </w:r>
      <w:r w:rsidR="00632E52" w:rsidRPr="00EC7846">
        <w:rPr>
          <w:rFonts w:ascii="Times New Roman" w:hAnsi="Times New Roman" w:cs="Times New Roman"/>
          <w:sz w:val="24"/>
          <w:szCs w:val="24"/>
        </w:rPr>
        <w:t xml:space="preserve"> steps, they enjoy considerable discretion </w:t>
      </w:r>
      <w:r w:rsidR="00206153">
        <w:rPr>
          <w:rFonts w:ascii="Times New Roman" w:hAnsi="Times New Roman" w:cs="Times New Roman"/>
          <w:sz w:val="24"/>
          <w:szCs w:val="24"/>
        </w:rPr>
        <w:t xml:space="preserve">on the substance.  </w:t>
      </w:r>
      <w:r w:rsidR="00632E52" w:rsidRPr="00EC7846">
        <w:rPr>
          <w:rFonts w:ascii="Times New Roman" w:hAnsi="Times New Roman" w:cs="Times New Roman"/>
          <w:sz w:val="24"/>
          <w:szCs w:val="24"/>
        </w:rPr>
        <w:t>As long as agenc</w:t>
      </w:r>
      <w:r w:rsidR="00206153">
        <w:rPr>
          <w:rFonts w:ascii="Times New Roman" w:hAnsi="Times New Roman" w:cs="Times New Roman"/>
          <w:sz w:val="24"/>
          <w:szCs w:val="24"/>
        </w:rPr>
        <w:t>ies</w:t>
      </w:r>
      <w:r w:rsidR="00632E52" w:rsidRPr="00EC7846">
        <w:rPr>
          <w:rFonts w:ascii="Times New Roman" w:hAnsi="Times New Roman" w:cs="Times New Roman"/>
          <w:sz w:val="24"/>
          <w:szCs w:val="24"/>
        </w:rPr>
        <w:t xml:space="preserve"> stay within their statutory mandate</w:t>
      </w:r>
      <w:r w:rsidR="00206153">
        <w:rPr>
          <w:rFonts w:ascii="Times New Roman" w:hAnsi="Times New Roman" w:cs="Times New Roman"/>
          <w:sz w:val="24"/>
          <w:szCs w:val="24"/>
        </w:rPr>
        <w:t>s</w:t>
      </w:r>
      <w:r w:rsidR="00632E52" w:rsidRPr="00EC7846">
        <w:rPr>
          <w:rFonts w:ascii="Times New Roman" w:hAnsi="Times New Roman" w:cs="Times New Roman"/>
          <w:sz w:val="24"/>
          <w:szCs w:val="24"/>
        </w:rPr>
        <w:t xml:space="preserve"> and provide reasoned explanations for their decisions </w:t>
      </w:r>
      <w:r w:rsidR="00206153">
        <w:rPr>
          <w:rFonts w:ascii="Times New Roman" w:hAnsi="Times New Roman" w:cs="Times New Roman"/>
          <w:sz w:val="24"/>
          <w:szCs w:val="24"/>
        </w:rPr>
        <w:t xml:space="preserve">in the context of </w:t>
      </w:r>
      <w:r w:rsidR="00632E52" w:rsidRPr="00EC7846">
        <w:rPr>
          <w:rFonts w:ascii="Times New Roman" w:hAnsi="Times New Roman" w:cs="Times New Roman"/>
          <w:sz w:val="24"/>
          <w:szCs w:val="24"/>
        </w:rPr>
        <w:t xml:space="preserve">the legal record, </w:t>
      </w:r>
      <w:r w:rsidR="00206153">
        <w:rPr>
          <w:rFonts w:ascii="Times New Roman" w:hAnsi="Times New Roman" w:cs="Times New Roman"/>
          <w:sz w:val="24"/>
          <w:szCs w:val="24"/>
        </w:rPr>
        <w:t>their</w:t>
      </w:r>
      <w:r w:rsidR="00632E52" w:rsidRPr="00EC7846">
        <w:rPr>
          <w:rFonts w:ascii="Times New Roman" w:hAnsi="Times New Roman" w:cs="Times New Roman"/>
          <w:sz w:val="24"/>
          <w:szCs w:val="24"/>
        </w:rPr>
        <w:t xml:space="preserve"> underlying substantive choices are generally not considered appropriate for judicial review.</w:t>
      </w:r>
    </w:p>
    <w:p w:rsidR="00632E52" w:rsidRPr="008B7CD3" w:rsidRDefault="00632E52" w:rsidP="008B7CD3">
      <w:pPr>
        <w:pStyle w:val="ListParagraph"/>
        <w:spacing w:line="480" w:lineRule="auto"/>
        <w:ind w:left="0"/>
        <w:rPr>
          <w:rFonts w:ascii="Times New Roman" w:hAnsi="Times New Roman"/>
          <w:smallCaps/>
          <w:sz w:val="24"/>
          <w:szCs w:val="24"/>
        </w:rPr>
      </w:pPr>
      <w:r w:rsidRPr="00EC7846">
        <w:rPr>
          <w:rFonts w:ascii="Times New Roman" w:hAnsi="Times New Roman"/>
          <w:smallCaps/>
          <w:sz w:val="24"/>
          <w:szCs w:val="24"/>
        </w:rPr>
        <w:t xml:space="preserve">II.  U.S. Administrative Law in Practice  </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The APA establishes mandatory participation requirements, yet its passive, “build it and they will come” approach means that there is no back-end requirement to ensure that this participatory process is actually working.  Indeed, over the last four decades, while Congress</w:t>
      </w:r>
      <w:r w:rsidR="00255D48">
        <w:rPr>
          <w:rFonts w:ascii="Times New Roman" w:hAnsi="Times New Roman"/>
          <w:sz w:val="24"/>
          <w:szCs w:val="24"/>
        </w:rPr>
        <w:t xml:space="preserve"> </w:t>
      </w:r>
      <w:r w:rsidR="00632E52" w:rsidRPr="00EC7846">
        <w:rPr>
          <w:rFonts w:ascii="Times New Roman" w:hAnsi="Times New Roman"/>
          <w:sz w:val="24"/>
          <w:szCs w:val="24"/>
        </w:rPr>
        <w:t xml:space="preserve">and the President have each layered on numerous new requirements for agency rulemakings (Seidenfeld, 2000), </w:t>
      </w:r>
      <w:r w:rsidR="002D5F76">
        <w:rPr>
          <w:rFonts w:ascii="Times New Roman" w:hAnsi="Times New Roman"/>
          <w:sz w:val="24"/>
          <w:szCs w:val="24"/>
        </w:rPr>
        <w:t>little</w:t>
      </w:r>
      <w:r w:rsidR="00632E52">
        <w:rPr>
          <w:rFonts w:ascii="Times New Roman" w:hAnsi="Times New Roman"/>
          <w:sz w:val="24"/>
          <w:szCs w:val="24"/>
        </w:rPr>
        <w:t xml:space="preserve"> effort has been made</w:t>
      </w:r>
      <w:r w:rsidR="00632E52" w:rsidRPr="00EC7846">
        <w:rPr>
          <w:rFonts w:ascii="Times New Roman" w:hAnsi="Times New Roman"/>
          <w:sz w:val="24"/>
          <w:szCs w:val="24"/>
        </w:rPr>
        <w:t xml:space="preserve"> to track the effectiveness of participation, including </w:t>
      </w:r>
      <w:r w:rsidR="00255D48" w:rsidRPr="003E0D2F">
        <w:rPr>
          <w:rFonts w:ascii="Times New Roman" w:hAnsi="Times New Roman"/>
          <w:sz w:val="24"/>
          <w:szCs w:val="24"/>
        </w:rPr>
        <w:t xml:space="preserve">ensuring </w:t>
      </w:r>
      <w:r w:rsidR="00632E52" w:rsidRPr="003E0D2F">
        <w:rPr>
          <w:rFonts w:ascii="Times New Roman" w:hAnsi="Times New Roman"/>
          <w:sz w:val="24"/>
          <w:szCs w:val="24"/>
        </w:rPr>
        <w:t>that all significant interests are represented</w:t>
      </w:r>
      <w:r w:rsidR="002D5F76" w:rsidRPr="003E0D2F">
        <w:rPr>
          <w:rFonts w:ascii="Times New Roman" w:hAnsi="Times New Roman"/>
          <w:sz w:val="24"/>
          <w:szCs w:val="24"/>
        </w:rPr>
        <w:t xml:space="preserve"> (but see </w:t>
      </w:r>
      <w:r w:rsidR="003E0D2F" w:rsidRPr="00FB22B6">
        <w:rPr>
          <w:rFonts w:ascii="Times New Roman" w:hAnsi="Times New Roman"/>
        </w:rPr>
        <w:t>5 U.S.C. § 611(a)(3).</w:t>
      </w:r>
      <w:r w:rsidR="002D5F76" w:rsidRPr="003E0D2F">
        <w:rPr>
          <w:rFonts w:ascii="Times New Roman" w:hAnsi="Times New Roman"/>
          <w:sz w:val="24"/>
          <w:szCs w:val="24"/>
        </w:rPr>
        <w:t>)</w:t>
      </w:r>
      <w:r w:rsidR="00632E52" w:rsidRPr="003E0D2F">
        <w:rPr>
          <w:rFonts w:ascii="Times New Roman" w:hAnsi="Times New Roman"/>
          <w:sz w:val="24"/>
          <w:szCs w:val="24"/>
        </w:rPr>
        <w:t>.</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Empirical studies conducted of participation in</w:t>
      </w:r>
      <w:r w:rsidR="00632E52">
        <w:rPr>
          <w:rFonts w:ascii="Times New Roman" w:hAnsi="Times New Roman"/>
          <w:sz w:val="24"/>
          <w:szCs w:val="24"/>
        </w:rPr>
        <w:t xml:space="preserve"> U.S.</w:t>
      </w:r>
      <w:r w:rsidR="00632E52" w:rsidRPr="00EC7846">
        <w:rPr>
          <w:rFonts w:ascii="Times New Roman" w:hAnsi="Times New Roman"/>
          <w:sz w:val="24"/>
          <w:szCs w:val="24"/>
        </w:rPr>
        <w:t xml:space="preserve"> agency rulemakings reveal, in fact, that public participation in practice can look quite different from what the formal A</w:t>
      </w:r>
      <w:r w:rsidR="00632E52">
        <w:rPr>
          <w:rFonts w:ascii="Times New Roman" w:hAnsi="Times New Roman"/>
          <w:sz w:val="24"/>
          <w:szCs w:val="24"/>
        </w:rPr>
        <w:t xml:space="preserve">PA process </w:t>
      </w:r>
      <w:r w:rsidR="00B21F3A">
        <w:rPr>
          <w:rFonts w:ascii="Times New Roman" w:hAnsi="Times New Roman"/>
          <w:sz w:val="24"/>
          <w:szCs w:val="24"/>
        </w:rPr>
        <w:t xml:space="preserve">seems to </w:t>
      </w:r>
      <w:r w:rsidR="00632E52">
        <w:rPr>
          <w:rFonts w:ascii="Times New Roman" w:hAnsi="Times New Roman"/>
          <w:sz w:val="24"/>
          <w:szCs w:val="24"/>
        </w:rPr>
        <w:t>promise on paper.  Because of the substantial time and costs required, ag</w:t>
      </w:r>
      <w:r w:rsidR="00632E52" w:rsidRPr="00EC7846">
        <w:rPr>
          <w:rFonts w:ascii="Times New Roman" w:hAnsi="Times New Roman"/>
          <w:sz w:val="24"/>
          <w:szCs w:val="24"/>
        </w:rPr>
        <w:t xml:space="preserve">encies have devised ways to </w:t>
      </w:r>
      <w:r w:rsidR="00632E52">
        <w:rPr>
          <w:rFonts w:ascii="Times New Roman" w:hAnsi="Times New Roman"/>
          <w:sz w:val="24"/>
          <w:szCs w:val="24"/>
        </w:rPr>
        <w:t xml:space="preserve">simply </w:t>
      </w:r>
      <w:r w:rsidR="00632E52" w:rsidRPr="00EC7846">
        <w:rPr>
          <w:rFonts w:ascii="Times New Roman" w:hAnsi="Times New Roman"/>
          <w:sz w:val="24"/>
          <w:szCs w:val="24"/>
        </w:rPr>
        <w:t xml:space="preserve">avoid </w:t>
      </w:r>
      <w:r w:rsidR="00632E52">
        <w:rPr>
          <w:rFonts w:ascii="Times New Roman" w:hAnsi="Times New Roman"/>
          <w:sz w:val="24"/>
          <w:szCs w:val="24"/>
        </w:rPr>
        <w:t>making rules</w:t>
      </w:r>
      <w:r w:rsidR="00632E52" w:rsidRPr="00EC7846">
        <w:rPr>
          <w:rFonts w:ascii="Times New Roman" w:hAnsi="Times New Roman"/>
          <w:sz w:val="24"/>
          <w:szCs w:val="24"/>
        </w:rPr>
        <w:t>.  High</w:t>
      </w:r>
      <w:r w:rsidR="002629F2">
        <w:rPr>
          <w:rFonts w:ascii="Times New Roman" w:hAnsi="Times New Roman"/>
          <w:sz w:val="24"/>
          <w:szCs w:val="24"/>
        </w:rPr>
        <w:t>-</w:t>
      </w:r>
      <w:r w:rsidR="00632E52" w:rsidRPr="00EC7846">
        <w:rPr>
          <w:rFonts w:ascii="Times New Roman" w:hAnsi="Times New Roman"/>
          <w:sz w:val="24"/>
          <w:szCs w:val="24"/>
        </w:rPr>
        <w:t xml:space="preserve">stakes interests game the system to gain an edge in influencing regulatory outcomes.  And the general public may not be able to keep up, </w:t>
      </w:r>
      <w:r w:rsidR="00632E52" w:rsidRPr="00EC7846">
        <w:rPr>
          <w:rFonts w:ascii="Times New Roman" w:hAnsi="Times New Roman"/>
          <w:sz w:val="24"/>
          <w:szCs w:val="24"/>
        </w:rPr>
        <w:lastRenderedPageBreak/>
        <w:t xml:space="preserve">causing them to be badly under-represented in significant rules.  </w:t>
      </w:r>
      <w:r w:rsidR="001345DE">
        <w:rPr>
          <w:rFonts w:ascii="Times New Roman" w:hAnsi="Times New Roman"/>
          <w:sz w:val="24"/>
          <w:szCs w:val="24"/>
        </w:rPr>
        <w:t>And yet, t</w:t>
      </w:r>
      <w:r w:rsidR="00632E52" w:rsidRPr="00EC7846">
        <w:rPr>
          <w:rFonts w:ascii="Times New Roman" w:hAnsi="Times New Roman"/>
          <w:sz w:val="24"/>
          <w:szCs w:val="24"/>
        </w:rPr>
        <w:t xml:space="preserve">he </w:t>
      </w:r>
      <w:r w:rsidR="00255D48">
        <w:rPr>
          <w:rFonts w:ascii="Times New Roman" w:hAnsi="Times New Roman"/>
          <w:sz w:val="24"/>
          <w:szCs w:val="24"/>
        </w:rPr>
        <w:t>resulting</w:t>
      </w:r>
      <w:r w:rsidR="00255D48" w:rsidRPr="00EC7846">
        <w:rPr>
          <w:rFonts w:ascii="Times New Roman" w:hAnsi="Times New Roman"/>
          <w:sz w:val="24"/>
          <w:szCs w:val="24"/>
        </w:rPr>
        <w:t xml:space="preserve"> </w:t>
      </w:r>
      <w:r w:rsidR="00632E52" w:rsidRPr="00EC7846">
        <w:rPr>
          <w:rFonts w:ascii="Times New Roman" w:hAnsi="Times New Roman"/>
          <w:sz w:val="24"/>
          <w:szCs w:val="24"/>
        </w:rPr>
        <w:t xml:space="preserve">participatory imbalances are not even noticed, much less </w:t>
      </w:r>
      <w:r w:rsidR="00632E52">
        <w:rPr>
          <w:rFonts w:ascii="Times New Roman" w:hAnsi="Times New Roman"/>
          <w:sz w:val="24"/>
          <w:szCs w:val="24"/>
        </w:rPr>
        <w:t>relevant</w:t>
      </w:r>
      <w:r w:rsidR="00632E52" w:rsidRPr="00EC7846">
        <w:rPr>
          <w:rFonts w:ascii="Times New Roman" w:hAnsi="Times New Roman"/>
          <w:sz w:val="24"/>
          <w:szCs w:val="24"/>
        </w:rPr>
        <w:t xml:space="preserve"> to the legality of t</w:t>
      </w:r>
      <w:r w:rsidR="00632E52">
        <w:rPr>
          <w:rFonts w:ascii="Times New Roman" w:hAnsi="Times New Roman"/>
          <w:sz w:val="24"/>
          <w:szCs w:val="24"/>
        </w:rPr>
        <w:t>he rule under the APA</w:t>
      </w:r>
      <w:r w:rsidR="00632E52" w:rsidRPr="00EC7846">
        <w:rPr>
          <w:rFonts w:ascii="Times New Roman" w:hAnsi="Times New Roman"/>
          <w:sz w:val="24"/>
          <w:szCs w:val="24"/>
        </w:rPr>
        <w:t xml:space="preserve">.  </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 xml:space="preserve">Each of these </w:t>
      </w:r>
      <w:r w:rsidR="008E3CD1">
        <w:rPr>
          <w:rFonts w:ascii="Times New Roman" w:hAnsi="Times New Roman"/>
          <w:sz w:val="24"/>
          <w:szCs w:val="24"/>
        </w:rPr>
        <w:t>empirical</w:t>
      </w:r>
      <w:r w:rsidR="00632E52" w:rsidRPr="00EC7846">
        <w:rPr>
          <w:rFonts w:ascii="Times New Roman" w:hAnsi="Times New Roman"/>
          <w:sz w:val="24"/>
          <w:szCs w:val="24"/>
        </w:rPr>
        <w:t xml:space="preserve"> realities</w:t>
      </w:r>
      <w:r w:rsidR="008E3CD1">
        <w:rPr>
          <w:rFonts w:ascii="Times New Roman" w:hAnsi="Times New Roman"/>
          <w:sz w:val="24"/>
          <w:szCs w:val="24"/>
        </w:rPr>
        <w:t>―</w:t>
      </w:r>
      <w:r w:rsidR="00632E52" w:rsidRPr="00EC7846">
        <w:rPr>
          <w:rFonts w:ascii="Times New Roman" w:hAnsi="Times New Roman"/>
          <w:sz w:val="24"/>
          <w:szCs w:val="24"/>
        </w:rPr>
        <w:t>the gap between paper and practice</w:t>
      </w:r>
      <w:r w:rsidR="002629F2">
        <w:rPr>
          <w:rFonts w:ascii="Times New Roman" w:hAnsi="Times New Roman"/>
          <w:sz w:val="24"/>
          <w:szCs w:val="24"/>
        </w:rPr>
        <w:t>―</w:t>
      </w:r>
      <w:r w:rsidR="00632E52" w:rsidRPr="00EC7846">
        <w:rPr>
          <w:rFonts w:ascii="Times New Roman" w:hAnsi="Times New Roman"/>
          <w:sz w:val="24"/>
          <w:szCs w:val="24"/>
        </w:rPr>
        <w:t>is described below.  While the significance of these gaps remains an open question, the fact that they occur is largely beyond dispute.</w:t>
      </w:r>
    </w:p>
    <w:p w:rsidR="00632E52" w:rsidRPr="00EC7846" w:rsidRDefault="00632E52" w:rsidP="008B7CD3">
      <w:pPr>
        <w:pStyle w:val="ListParagraph"/>
        <w:spacing w:line="480" w:lineRule="auto"/>
        <w:ind w:left="0"/>
        <w:rPr>
          <w:rFonts w:ascii="Times New Roman" w:hAnsi="Times New Roman"/>
          <w:sz w:val="24"/>
          <w:szCs w:val="24"/>
        </w:rPr>
      </w:pPr>
      <w:r w:rsidRPr="00EC7846">
        <w:rPr>
          <w:rFonts w:ascii="Times New Roman" w:hAnsi="Times New Roman"/>
          <w:sz w:val="24"/>
          <w:szCs w:val="24"/>
        </w:rPr>
        <w:t xml:space="preserve"> </w:t>
      </w:r>
    </w:p>
    <w:p w:rsidR="00632E52" w:rsidRPr="008B7CD3" w:rsidRDefault="00632E52" w:rsidP="008B7CD3">
      <w:pPr>
        <w:pStyle w:val="ListParagraph"/>
        <w:numPr>
          <w:ilvl w:val="0"/>
          <w:numId w:val="13"/>
        </w:numPr>
        <w:spacing w:line="480" w:lineRule="auto"/>
        <w:rPr>
          <w:rFonts w:ascii="Times New Roman" w:hAnsi="Times New Roman"/>
          <w:i/>
          <w:sz w:val="24"/>
          <w:szCs w:val="24"/>
        </w:rPr>
      </w:pPr>
      <w:r w:rsidRPr="00EC7846">
        <w:rPr>
          <w:rFonts w:ascii="Times New Roman" w:hAnsi="Times New Roman"/>
          <w:sz w:val="24"/>
          <w:szCs w:val="24"/>
        </w:rPr>
        <w:t xml:space="preserve"> Avoiding the Notice and Comment Process Altogether</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 xml:space="preserve">As the requirements </w:t>
      </w:r>
      <w:r w:rsidR="002629F2">
        <w:rPr>
          <w:rFonts w:ascii="Times New Roman" w:hAnsi="Times New Roman"/>
          <w:sz w:val="24"/>
          <w:szCs w:val="24"/>
        </w:rPr>
        <w:t xml:space="preserve">of </w:t>
      </w:r>
      <w:r w:rsidR="00632E52" w:rsidRPr="00EC7846">
        <w:rPr>
          <w:rFonts w:ascii="Times New Roman" w:hAnsi="Times New Roman"/>
          <w:sz w:val="24"/>
          <w:szCs w:val="24"/>
        </w:rPr>
        <w:t xml:space="preserve">the participation process increase, so do the incentives for agencies to avoid the process altogether.  And, at least in </w:t>
      </w:r>
      <w:r w:rsidR="00B21F3A">
        <w:rPr>
          <w:rFonts w:ascii="Times New Roman" w:hAnsi="Times New Roman"/>
          <w:sz w:val="24"/>
          <w:szCs w:val="24"/>
        </w:rPr>
        <w:t xml:space="preserve">some </w:t>
      </w:r>
      <w:r w:rsidR="00632E52" w:rsidRPr="00EC7846">
        <w:rPr>
          <w:rFonts w:ascii="Times New Roman" w:hAnsi="Times New Roman"/>
          <w:sz w:val="24"/>
          <w:szCs w:val="24"/>
        </w:rPr>
        <w:t xml:space="preserve">statutory settings, the evidence suggests agencies can become quite creative in </w:t>
      </w:r>
      <w:r w:rsidR="00B21F3A">
        <w:rPr>
          <w:rFonts w:ascii="Times New Roman" w:hAnsi="Times New Roman"/>
          <w:sz w:val="24"/>
          <w:szCs w:val="24"/>
        </w:rPr>
        <w:t xml:space="preserve">developing their preferred </w:t>
      </w:r>
      <w:r w:rsidR="00632E52">
        <w:rPr>
          <w:rFonts w:ascii="Times New Roman" w:hAnsi="Times New Roman"/>
          <w:sz w:val="24"/>
          <w:szCs w:val="24"/>
        </w:rPr>
        <w:t>polic</w:t>
      </w:r>
      <w:r w:rsidR="00B21F3A">
        <w:rPr>
          <w:rFonts w:ascii="Times New Roman" w:hAnsi="Times New Roman"/>
          <w:sz w:val="24"/>
          <w:szCs w:val="24"/>
        </w:rPr>
        <w:t>ies</w:t>
      </w:r>
      <w:r w:rsidR="00632E52">
        <w:rPr>
          <w:rFonts w:ascii="Times New Roman" w:hAnsi="Times New Roman"/>
          <w:sz w:val="24"/>
          <w:szCs w:val="24"/>
        </w:rPr>
        <w:t xml:space="preserve"> without engaging in </w:t>
      </w:r>
      <w:r w:rsidR="00632E52" w:rsidRPr="00EC7846">
        <w:rPr>
          <w:rFonts w:ascii="Times New Roman" w:hAnsi="Times New Roman"/>
          <w:sz w:val="24"/>
          <w:szCs w:val="24"/>
        </w:rPr>
        <w:t>notice</w:t>
      </w:r>
      <w:r w:rsidR="002629F2">
        <w:rPr>
          <w:rFonts w:ascii="Times New Roman" w:hAnsi="Times New Roman"/>
          <w:sz w:val="24"/>
          <w:szCs w:val="24"/>
        </w:rPr>
        <w:t>-</w:t>
      </w:r>
      <w:r w:rsidR="00632E52" w:rsidRPr="00EC7846">
        <w:rPr>
          <w:rFonts w:ascii="Times New Roman" w:hAnsi="Times New Roman"/>
          <w:sz w:val="24"/>
          <w:szCs w:val="24"/>
        </w:rPr>
        <w:t>and</w:t>
      </w:r>
      <w:r w:rsidR="002629F2">
        <w:rPr>
          <w:rFonts w:ascii="Times New Roman" w:hAnsi="Times New Roman"/>
          <w:sz w:val="24"/>
          <w:szCs w:val="24"/>
        </w:rPr>
        <w:t>-</w:t>
      </w:r>
      <w:r w:rsidR="00632E52" w:rsidRPr="00EC7846">
        <w:rPr>
          <w:rFonts w:ascii="Times New Roman" w:hAnsi="Times New Roman"/>
          <w:sz w:val="24"/>
          <w:szCs w:val="24"/>
        </w:rPr>
        <w:t>comment rulemaking</w:t>
      </w:r>
      <w:r w:rsidR="00632E52">
        <w:rPr>
          <w:rFonts w:ascii="Times New Roman" w:hAnsi="Times New Roman"/>
          <w:sz w:val="24"/>
          <w:szCs w:val="24"/>
        </w:rPr>
        <w:t>s</w:t>
      </w:r>
      <w:r w:rsidR="007F22E1">
        <w:rPr>
          <w:rFonts w:ascii="Times New Roman" w:hAnsi="Times New Roman"/>
          <w:sz w:val="24"/>
          <w:szCs w:val="24"/>
        </w:rPr>
        <w:t xml:space="preserve"> (Farber &amp; O’Connell, 2014)</w:t>
      </w:r>
      <w:r w:rsidR="00632E52" w:rsidRPr="00EC7846">
        <w:rPr>
          <w:rFonts w:ascii="Times New Roman" w:hAnsi="Times New Roman"/>
          <w:sz w:val="24"/>
          <w:szCs w:val="24"/>
        </w:rPr>
        <w:t xml:space="preserve">.  </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The most straightforward way for agencies to limit the burdens of the APA informal rulemaking process is to simply cease promulgating rules.  Under the APA and related case law, while interest groups can challenge agencies when they miss statutorily prescribed deadlines, a petitioner seeking to force an agency to develop a long-awaited rule carries a high burden if Congress has left the regulatory timing to the agency’s discretion, which is often the case</w:t>
      </w:r>
      <w:r w:rsidR="002629F2">
        <w:rPr>
          <w:rFonts w:ascii="Times New Roman" w:hAnsi="Times New Roman"/>
          <w:sz w:val="24"/>
          <w:szCs w:val="24"/>
        </w:rPr>
        <w:t xml:space="preserve"> </w:t>
      </w:r>
      <w:r w:rsidR="00632E52" w:rsidRPr="00EC7846">
        <w:rPr>
          <w:rFonts w:ascii="Times New Roman" w:hAnsi="Times New Roman"/>
          <w:sz w:val="24"/>
          <w:szCs w:val="24"/>
        </w:rPr>
        <w:t xml:space="preserve">(§ 706(a)(1)).  </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The resulting “ossification” or extensive delay of rulemakings equates to a kind of paralysis by analysis that is due in part to the onerous burdens and delays imposed on agencies by the notice</w:t>
      </w:r>
      <w:r w:rsidR="002629F2">
        <w:rPr>
          <w:rFonts w:ascii="Times New Roman" w:hAnsi="Times New Roman"/>
          <w:sz w:val="24"/>
          <w:szCs w:val="24"/>
        </w:rPr>
        <w:t>-</w:t>
      </w:r>
      <w:r w:rsidR="00632E52" w:rsidRPr="00EC7846">
        <w:rPr>
          <w:rFonts w:ascii="Times New Roman" w:hAnsi="Times New Roman"/>
          <w:sz w:val="24"/>
          <w:szCs w:val="24"/>
        </w:rPr>
        <w:t>and</w:t>
      </w:r>
      <w:r w:rsidR="002629F2">
        <w:rPr>
          <w:rFonts w:ascii="Times New Roman" w:hAnsi="Times New Roman"/>
          <w:sz w:val="24"/>
          <w:szCs w:val="24"/>
        </w:rPr>
        <w:t>-</w:t>
      </w:r>
      <w:r w:rsidR="00632E52" w:rsidRPr="00EC7846">
        <w:rPr>
          <w:rFonts w:ascii="Times New Roman" w:hAnsi="Times New Roman"/>
          <w:sz w:val="24"/>
          <w:szCs w:val="24"/>
        </w:rPr>
        <w:t xml:space="preserve">comment requirements (McGarity, 1992).  OSHA, for example, has promulgated very few worker protection rules over the last several decades, despite a long list of substances in need of workplace regulation (McGarity et al, 2010). </w:t>
      </w:r>
      <w:r w:rsidR="001345DE">
        <w:rPr>
          <w:rFonts w:ascii="Times New Roman" w:hAnsi="Times New Roman"/>
          <w:sz w:val="24"/>
          <w:szCs w:val="24"/>
        </w:rPr>
        <w:t xml:space="preserve">Likewise, </w:t>
      </w:r>
      <w:r w:rsidR="002629F2">
        <w:rPr>
          <w:rFonts w:ascii="Times New Roman" w:hAnsi="Times New Roman"/>
          <w:sz w:val="24"/>
          <w:szCs w:val="24"/>
        </w:rPr>
        <w:t xml:space="preserve">in the last 40 years, </w:t>
      </w:r>
      <w:r w:rsidR="00632E52" w:rsidRPr="00EC7846">
        <w:rPr>
          <w:rFonts w:ascii="Times New Roman" w:hAnsi="Times New Roman"/>
          <w:sz w:val="24"/>
          <w:szCs w:val="24"/>
        </w:rPr>
        <w:lastRenderedPageBreak/>
        <w:t xml:space="preserve">EPA has managed to ban only a handful of chemicals under its chemical regulatory statute (US GAO, 2005).  The Consumer Product Safety Commission (CPSC) similarly has done very little to regulate latent harms in consumer products through proactive product standards (Public Citizen, 2008).  In each of these cases, </w:t>
      </w:r>
      <w:r w:rsidR="002629F2">
        <w:rPr>
          <w:rFonts w:ascii="Times New Roman" w:hAnsi="Times New Roman"/>
          <w:sz w:val="24"/>
          <w:szCs w:val="24"/>
        </w:rPr>
        <w:t xml:space="preserve">agency </w:t>
      </w:r>
      <w:r w:rsidR="00632E52" w:rsidRPr="00EC7846">
        <w:rPr>
          <w:rFonts w:ascii="Times New Roman" w:hAnsi="Times New Roman"/>
          <w:sz w:val="24"/>
          <w:szCs w:val="24"/>
        </w:rPr>
        <w:t xml:space="preserve">inactivity </w:t>
      </w:r>
      <w:r w:rsidR="002629F2">
        <w:rPr>
          <w:rFonts w:ascii="Times New Roman" w:hAnsi="Times New Roman"/>
          <w:sz w:val="24"/>
          <w:szCs w:val="24"/>
        </w:rPr>
        <w:t xml:space="preserve">was precipitated by </w:t>
      </w:r>
      <w:r w:rsidR="00632E52" w:rsidRPr="00EC7846">
        <w:rPr>
          <w:rFonts w:ascii="Times New Roman" w:hAnsi="Times New Roman"/>
          <w:sz w:val="24"/>
          <w:szCs w:val="24"/>
        </w:rPr>
        <w:t xml:space="preserve">an adverse court decision that vacated </w:t>
      </w:r>
      <w:r w:rsidR="002629F2">
        <w:rPr>
          <w:rFonts w:ascii="Times New Roman" w:hAnsi="Times New Roman"/>
          <w:sz w:val="24"/>
          <w:szCs w:val="24"/>
        </w:rPr>
        <w:t xml:space="preserve">an early </w:t>
      </w:r>
      <w:r w:rsidR="00632E52" w:rsidRPr="00EC7846">
        <w:rPr>
          <w:rFonts w:ascii="Times New Roman" w:hAnsi="Times New Roman"/>
          <w:sz w:val="24"/>
          <w:szCs w:val="24"/>
        </w:rPr>
        <w:t>agenc</w:t>
      </w:r>
      <w:r w:rsidR="002629F2">
        <w:rPr>
          <w:rFonts w:ascii="Times New Roman" w:hAnsi="Times New Roman"/>
          <w:sz w:val="24"/>
          <w:szCs w:val="24"/>
        </w:rPr>
        <w:t>y</w:t>
      </w:r>
      <w:r w:rsidR="00632E52" w:rsidRPr="00EC7846">
        <w:rPr>
          <w:rFonts w:ascii="Times New Roman" w:hAnsi="Times New Roman"/>
          <w:sz w:val="24"/>
          <w:szCs w:val="24"/>
        </w:rPr>
        <w:t xml:space="preserve"> effort to regulate (Indust. Union Dep’t, AFL-CIO v. Hodgson, 499 F.2d 467 (D.C. Cir. 1974); Corrosion Proof Fittings v. EPA, 947 F.2d 1201 (5th Cir. 1991); </w:t>
      </w:r>
      <w:hyperlink r:id="rId11" w:history="1">
        <w:r w:rsidR="00632E52" w:rsidRPr="00EC7846">
          <w:rPr>
            <w:rFonts w:ascii="Times New Roman" w:hAnsi="Times New Roman"/>
            <w:sz w:val="24"/>
            <w:szCs w:val="24"/>
          </w:rPr>
          <w:t>Gulf South Insulation v. United States Consumer Prod. Safety Comm'n, 701 F.2d 1137 (5th Cir. 1983)</w:t>
        </w:r>
      </w:hyperlink>
      <w:r w:rsidR="00632E52" w:rsidRPr="00EC7846">
        <w:rPr>
          <w:rFonts w:ascii="Times New Roman" w:hAnsi="Times New Roman"/>
          <w:sz w:val="24"/>
          <w:szCs w:val="24"/>
        </w:rPr>
        <w:t>).</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1345DE">
        <w:rPr>
          <w:rFonts w:ascii="Times New Roman" w:hAnsi="Times New Roman"/>
          <w:sz w:val="24"/>
          <w:szCs w:val="24"/>
        </w:rPr>
        <w:t>However, simple passivity is not the only way that agencies avoid the burden of notice</w:t>
      </w:r>
      <w:r w:rsidR="002629F2">
        <w:rPr>
          <w:rFonts w:ascii="Times New Roman" w:hAnsi="Times New Roman"/>
          <w:sz w:val="24"/>
          <w:szCs w:val="24"/>
        </w:rPr>
        <w:t>-</w:t>
      </w:r>
      <w:r w:rsidR="001345DE">
        <w:rPr>
          <w:rFonts w:ascii="Times New Roman" w:hAnsi="Times New Roman"/>
          <w:sz w:val="24"/>
          <w:szCs w:val="24"/>
        </w:rPr>
        <w:t>and</w:t>
      </w:r>
      <w:r w:rsidR="002629F2">
        <w:rPr>
          <w:rFonts w:ascii="Times New Roman" w:hAnsi="Times New Roman"/>
          <w:sz w:val="24"/>
          <w:szCs w:val="24"/>
        </w:rPr>
        <w:t>-</w:t>
      </w:r>
      <w:r w:rsidR="001345DE">
        <w:rPr>
          <w:rFonts w:ascii="Times New Roman" w:hAnsi="Times New Roman"/>
          <w:sz w:val="24"/>
          <w:szCs w:val="24"/>
        </w:rPr>
        <w:t xml:space="preserve">comment rulemakings. They </w:t>
      </w:r>
      <w:r w:rsidR="00841A1F">
        <w:rPr>
          <w:rFonts w:ascii="Times New Roman" w:hAnsi="Times New Roman"/>
          <w:sz w:val="24"/>
          <w:szCs w:val="24"/>
        </w:rPr>
        <w:t xml:space="preserve">can </w:t>
      </w:r>
      <w:r w:rsidR="001345DE">
        <w:rPr>
          <w:rFonts w:ascii="Times New Roman" w:hAnsi="Times New Roman"/>
          <w:sz w:val="24"/>
          <w:szCs w:val="24"/>
        </w:rPr>
        <w:t xml:space="preserve">also develop </w:t>
      </w:r>
      <w:r w:rsidR="00632E52" w:rsidRPr="00EC7846">
        <w:rPr>
          <w:rFonts w:ascii="Times New Roman" w:hAnsi="Times New Roman"/>
          <w:sz w:val="24"/>
          <w:szCs w:val="24"/>
        </w:rPr>
        <w:t xml:space="preserve">policies in </w:t>
      </w:r>
      <w:r w:rsidR="001345DE">
        <w:rPr>
          <w:rFonts w:ascii="Times New Roman" w:hAnsi="Times New Roman"/>
          <w:sz w:val="24"/>
          <w:szCs w:val="24"/>
        </w:rPr>
        <w:t>ways that bypass the hurdles and hoops of the rulemaking process</w:t>
      </w:r>
      <w:r w:rsidR="00632E52" w:rsidRPr="00EC7846">
        <w:rPr>
          <w:rFonts w:ascii="Times New Roman" w:hAnsi="Times New Roman"/>
          <w:sz w:val="24"/>
          <w:szCs w:val="24"/>
        </w:rPr>
        <w:t xml:space="preserve">.  </w:t>
      </w:r>
      <w:r w:rsidR="001345DE">
        <w:rPr>
          <w:rFonts w:ascii="Times New Roman" w:hAnsi="Times New Roman"/>
          <w:sz w:val="24"/>
          <w:szCs w:val="24"/>
        </w:rPr>
        <w:t>Indeed, a</w:t>
      </w:r>
      <w:r w:rsidR="00632E52" w:rsidRPr="00EC7846">
        <w:rPr>
          <w:rFonts w:ascii="Times New Roman" w:hAnsi="Times New Roman"/>
          <w:sz w:val="24"/>
          <w:szCs w:val="24"/>
        </w:rPr>
        <w:t xml:space="preserve"> number of administrative scholars have discussed th</w:t>
      </w:r>
      <w:r w:rsidR="00841A1F">
        <w:rPr>
          <w:rFonts w:ascii="Times New Roman" w:hAnsi="Times New Roman"/>
          <w:sz w:val="24"/>
          <w:szCs w:val="24"/>
        </w:rPr>
        <w:t>is</w:t>
      </w:r>
      <w:r w:rsidR="00632E52" w:rsidRPr="00EC7846">
        <w:rPr>
          <w:rFonts w:ascii="Times New Roman" w:hAnsi="Times New Roman"/>
          <w:sz w:val="24"/>
          <w:szCs w:val="24"/>
        </w:rPr>
        <w:t xml:space="preserve"> strategic circumvention of the notice</w:t>
      </w:r>
      <w:r w:rsidR="002629F2">
        <w:rPr>
          <w:rFonts w:ascii="Times New Roman" w:hAnsi="Times New Roman"/>
          <w:sz w:val="24"/>
          <w:szCs w:val="24"/>
        </w:rPr>
        <w:t>-</w:t>
      </w:r>
      <w:r w:rsidR="00632E52" w:rsidRPr="00EC7846">
        <w:rPr>
          <w:rFonts w:ascii="Times New Roman" w:hAnsi="Times New Roman"/>
          <w:sz w:val="24"/>
          <w:szCs w:val="24"/>
        </w:rPr>
        <w:t>and</w:t>
      </w:r>
      <w:r w:rsidR="002629F2">
        <w:rPr>
          <w:rFonts w:ascii="Times New Roman" w:hAnsi="Times New Roman"/>
          <w:sz w:val="24"/>
          <w:szCs w:val="24"/>
        </w:rPr>
        <w:t>-</w:t>
      </w:r>
      <w:r w:rsidR="00632E52" w:rsidRPr="00EC7846">
        <w:rPr>
          <w:rFonts w:ascii="Times New Roman" w:hAnsi="Times New Roman"/>
          <w:sz w:val="24"/>
          <w:szCs w:val="24"/>
        </w:rPr>
        <w:t>comment process by agencies</w:t>
      </w:r>
      <w:r w:rsidR="002C76E5">
        <w:rPr>
          <w:rFonts w:ascii="Times New Roman" w:hAnsi="Times New Roman"/>
          <w:sz w:val="24"/>
          <w:szCs w:val="24"/>
        </w:rPr>
        <w:t xml:space="preserve"> in a wide variety of settings</w:t>
      </w:r>
      <w:r w:rsidR="00632E52" w:rsidRPr="00EC7846">
        <w:rPr>
          <w:rFonts w:ascii="Times New Roman" w:hAnsi="Times New Roman"/>
          <w:sz w:val="24"/>
          <w:szCs w:val="24"/>
        </w:rPr>
        <w:t xml:space="preserve"> (</w:t>
      </w:r>
      <w:r w:rsidR="007F22E1">
        <w:rPr>
          <w:rFonts w:ascii="Times New Roman" w:hAnsi="Times New Roman"/>
          <w:sz w:val="24"/>
          <w:szCs w:val="24"/>
        </w:rPr>
        <w:t xml:space="preserve">Farber &amp; O’Connell, 2014; </w:t>
      </w:r>
      <w:r w:rsidR="00632E52" w:rsidRPr="00EC7846">
        <w:rPr>
          <w:rFonts w:ascii="Times New Roman" w:hAnsi="Times New Roman"/>
          <w:sz w:val="24"/>
          <w:szCs w:val="24"/>
        </w:rPr>
        <w:t xml:space="preserve">Mashaw and Harfst, 1990; Kolber, 2009; Mendelson, 2008).  While this circumvention of the informal rulemaking process does not work when Congress statutorily requires the agency to promulgate informal rules, </w:t>
      </w:r>
      <w:r w:rsidR="002C76E5">
        <w:rPr>
          <w:rFonts w:ascii="Times New Roman" w:hAnsi="Times New Roman"/>
          <w:sz w:val="24"/>
          <w:szCs w:val="24"/>
        </w:rPr>
        <w:t>it can</w:t>
      </w:r>
      <w:r w:rsidR="002629F2">
        <w:rPr>
          <w:rFonts w:ascii="Times New Roman" w:hAnsi="Times New Roman"/>
          <w:sz w:val="24"/>
          <w:szCs w:val="24"/>
        </w:rPr>
        <w:t xml:space="preserve"> represent </w:t>
      </w:r>
      <w:r w:rsidR="008357C9">
        <w:rPr>
          <w:rFonts w:ascii="Times New Roman" w:hAnsi="Times New Roman"/>
          <w:sz w:val="24"/>
          <w:szCs w:val="24"/>
        </w:rPr>
        <w:t xml:space="preserve">a </w:t>
      </w:r>
      <w:r w:rsidR="002C76E5">
        <w:rPr>
          <w:rFonts w:ascii="Times New Roman" w:hAnsi="Times New Roman"/>
          <w:sz w:val="24"/>
          <w:szCs w:val="24"/>
        </w:rPr>
        <w:t>vastly preferr</w:t>
      </w:r>
      <w:r w:rsidR="002629F2">
        <w:rPr>
          <w:rFonts w:ascii="Times New Roman" w:hAnsi="Times New Roman"/>
          <w:sz w:val="24"/>
          <w:szCs w:val="24"/>
        </w:rPr>
        <w:t>able</w:t>
      </w:r>
      <w:r w:rsidR="002C76E5">
        <w:rPr>
          <w:rFonts w:ascii="Times New Roman" w:hAnsi="Times New Roman"/>
          <w:sz w:val="24"/>
          <w:szCs w:val="24"/>
        </w:rPr>
        <w:t xml:space="preserve"> course </w:t>
      </w:r>
      <w:r w:rsidR="002629F2">
        <w:rPr>
          <w:rFonts w:ascii="Times New Roman" w:hAnsi="Times New Roman"/>
          <w:sz w:val="24"/>
          <w:szCs w:val="24"/>
        </w:rPr>
        <w:t xml:space="preserve">of action </w:t>
      </w:r>
      <w:r w:rsidR="002C76E5">
        <w:rPr>
          <w:rFonts w:ascii="Times New Roman" w:hAnsi="Times New Roman"/>
          <w:sz w:val="24"/>
          <w:szCs w:val="24"/>
        </w:rPr>
        <w:t>for regulatory programs in which the agency</w:t>
      </w:r>
      <w:r w:rsidR="00632E52" w:rsidRPr="00EC7846">
        <w:rPr>
          <w:rFonts w:ascii="Times New Roman" w:hAnsi="Times New Roman"/>
          <w:sz w:val="24"/>
          <w:szCs w:val="24"/>
        </w:rPr>
        <w:t xml:space="preserve"> enjoys the discretion to </w:t>
      </w:r>
      <w:r w:rsidR="008357C9">
        <w:rPr>
          <w:rFonts w:ascii="Times New Roman" w:hAnsi="Times New Roman"/>
          <w:sz w:val="24"/>
          <w:szCs w:val="24"/>
        </w:rPr>
        <w:t>devise</w:t>
      </w:r>
      <w:r w:rsidR="00632E52" w:rsidRPr="00EC7846">
        <w:rPr>
          <w:rFonts w:ascii="Times New Roman" w:hAnsi="Times New Roman"/>
          <w:sz w:val="24"/>
          <w:szCs w:val="24"/>
        </w:rPr>
        <w:t xml:space="preserve"> alternate ways to advance its policies.  As just one example, </w:t>
      </w:r>
      <w:r w:rsidR="001345DE">
        <w:rPr>
          <w:rFonts w:ascii="Times New Roman" w:hAnsi="Times New Roman"/>
          <w:sz w:val="24"/>
          <w:szCs w:val="24"/>
        </w:rPr>
        <w:t>in l</w:t>
      </w:r>
      <w:r w:rsidR="005869BD">
        <w:rPr>
          <w:rFonts w:ascii="Times New Roman" w:hAnsi="Times New Roman"/>
          <w:sz w:val="24"/>
          <w:szCs w:val="24"/>
        </w:rPr>
        <w:t>ie</w:t>
      </w:r>
      <w:r w:rsidR="001345DE">
        <w:rPr>
          <w:rFonts w:ascii="Times New Roman" w:hAnsi="Times New Roman"/>
          <w:sz w:val="24"/>
          <w:szCs w:val="24"/>
        </w:rPr>
        <w:t xml:space="preserve">u of rules, the </w:t>
      </w:r>
      <w:r w:rsidR="00632E52" w:rsidRPr="00EC7846">
        <w:rPr>
          <w:rFonts w:ascii="Times New Roman" w:hAnsi="Times New Roman"/>
          <w:sz w:val="24"/>
          <w:szCs w:val="24"/>
        </w:rPr>
        <w:t xml:space="preserve">EPA has issued dozens of </w:t>
      </w:r>
      <w:r w:rsidR="001345DE">
        <w:rPr>
          <w:rFonts w:ascii="Times New Roman" w:hAnsi="Times New Roman"/>
          <w:sz w:val="24"/>
          <w:szCs w:val="24"/>
        </w:rPr>
        <w:t>guidelines</w:t>
      </w:r>
      <w:r w:rsidR="001345DE" w:rsidRPr="00EC7846">
        <w:rPr>
          <w:rFonts w:ascii="Times New Roman" w:hAnsi="Times New Roman"/>
          <w:sz w:val="24"/>
          <w:szCs w:val="24"/>
        </w:rPr>
        <w:t xml:space="preserve"> </w:t>
      </w:r>
      <w:r w:rsidR="00632E52" w:rsidRPr="00EC7846">
        <w:rPr>
          <w:rFonts w:ascii="Times New Roman" w:hAnsi="Times New Roman"/>
          <w:sz w:val="24"/>
          <w:szCs w:val="24"/>
        </w:rPr>
        <w:t xml:space="preserve">and interpretive memoranda to shepherd regulated parties through its complex </w:t>
      </w:r>
      <w:r w:rsidR="002629F2" w:rsidRPr="00EC7846">
        <w:rPr>
          <w:rFonts w:ascii="Times New Roman" w:hAnsi="Times New Roman"/>
          <w:sz w:val="24"/>
          <w:szCs w:val="24"/>
        </w:rPr>
        <w:t xml:space="preserve">hazardous waste disposal program </w:t>
      </w:r>
      <w:r w:rsidR="00632E52" w:rsidRPr="00EC7846">
        <w:rPr>
          <w:rFonts w:ascii="Times New Roman" w:hAnsi="Times New Roman"/>
          <w:sz w:val="24"/>
          <w:szCs w:val="24"/>
        </w:rPr>
        <w:t>(Tabler and Shere, 1990).  EPA also routinely</w:t>
      </w:r>
      <w:r w:rsidR="00632E52">
        <w:rPr>
          <w:rFonts w:ascii="Times New Roman" w:hAnsi="Times New Roman"/>
          <w:sz w:val="24"/>
          <w:szCs w:val="24"/>
        </w:rPr>
        <w:t xml:space="preserve"> </w:t>
      </w:r>
      <w:r w:rsidR="001345DE">
        <w:rPr>
          <w:rFonts w:ascii="Times New Roman" w:hAnsi="Times New Roman"/>
          <w:sz w:val="24"/>
          <w:szCs w:val="24"/>
        </w:rPr>
        <w:t>u</w:t>
      </w:r>
      <w:r w:rsidR="007F22E1">
        <w:rPr>
          <w:rFonts w:ascii="Times New Roman" w:hAnsi="Times New Roman"/>
          <w:sz w:val="24"/>
          <w:szCs w:val="24"/>
        </w:rPr>
        <w:t>s</w:t>
      </w:r>
      <w:r w:rsidR="00632E52" w:rsidRPr="00EC7846">
        <w:rPr>
          <w:rFonts w:ascii="Times New Roman" w:hAnsi="Times New Roman"/>
          <w:sz w:val="24"/>
          <w:szCs w:val="24"/>
        </w:rPr>
        <w:t>es these memoranda to support findings of violations in its enforcement cases (e.g., Beazer East, Inc. v. EPA, Region III, 963 F.2d 603 (3d Cir. 1991)).  Even though these agency guidances do not have the legal force of rules, they provide a more expeditious way to establish detailed requirements for regulated parties</w:t>
      </w:r>
      <w:r w:rsidR="001345DE">
        <w:rPr>
          <w:rFonts w:ascii="Times New Roman" w:hAnsi="Times New Roman"/>
          <w:sz w:val="24"/>
          <w:szCs w:val="24"/>
        </w:rPr>
        <w:t>, with much of the same force</w:t>
      </w:r>
      <w:r w:rsidR="00632E52" w:rsidRPr="00EC7846">
        <w:rPr>
          <w:rFonts w:ascii="Times New Roman" w:hAnsi="Times New Roman"/>
          <w:sz w:val="24"/>
          <w:szCs w:val="24"/>
        </w:rPr>
        <w:t xml:space="preserve">.  Guidances are also much easier </w:t>
      </w:r>
      <w:r w:rsidR="00632E52" w:rsidRPr="00EC7846">
        <w:rPr>
          <w:rFonts w:ascii="Times New Roman" w:hAnsi="Times New Roman"/>
          <w:sz w:val="24"/>
          <w:szCs w:val="24"/>
        </w:rPr>
        <w:lastRenderedPageBreak/>
        <w:t>to revise over time</w:t>
      </w:r>
      <w:r w:rsidR="002C76E5">
        <w:rPr>
          <w:rFonts w:ascii="Times New Roman" w:hAnsi="Times New Roman"/>
          <w:sz w:val="24"/>
          <w:szCs w:val="24"/>
        </w:rPr>
        <w:t xml:space="preserve"> </w:t>
      </w:r>
      <w:r w:rsidR="00632E52" w:rsidRPr="00EC7846">
        <w:rPr>
          <w:rFonts w:ascii="Times New Roman" w:hAnsi="Times New Roman"/>
          <w:sz w:val="24"/>
          <w:szCs w:val="24"/>
        </w:rPr>
        <w:t>since agencies are freed of the numerous procedural obligations that attend notice</w:t>
      </w:r>
      <w:r w:rsidR="002629F2">
        <w:rPr>
          <w:rFonts w:ascii="Times New Roman" w:hAnsi="Times New Roman"/>
          <w:sz w:val="24"/>
          <w:szCs w:val="24"/>
        </w:rPr>
        <w:t>-</w:t>
      </w:r>
      <w:r w:rsidR="00632E52" w:rsidRPr="00EC7846">
        <w:rPr>
          <w:rFonts w:ascii="Times New Roman" w:hAnsi="Times New Roman"/>
          <w:sz w:val="24"/>
          <w:szCs w:val="24"/>
        </w:rPr>
        <w:t>and</w:t>
      </w:r>
      <w:r w:rsidR="002629F2">
        <w:rPr>
          <w:rFonts w:ascii="Times New Roman" w:hAnsi="Times New Roman"/>
          <w:sz w:val="24"/>
          <w:szCs w:val="24"/>
        </w:rPr>
        <w:t>-</w:t>
      </w:r>
      <w:r w:rsidR="00632E52" w:rsidRPr="00EC7846">
        <w:rPr>
          <w:rFonts w:ascii="Times New Roman" w:hAnsi="Times New Roman"/>
          <w:sz w:val="24"/>
          <w:szCs w:val="24"/>
        </w:rPr>
        <w:t xml:space="preserve">comment rulemaking.   </w:t>
      </w:r>
    </w:p>
    <w:p w:rsidR="00632E52" w:rsidRPr="008B7CD3" w:rsidRDefault="00632E52" w:rsidP="008B7CD3">
      <w:pPr>
        <w:pStyle w:val="ListParagraph"/>
        <w:numPr>
          <w:ilvl w:val="0"/>
          <w:numId w:val="13"/>
        </w:numPr>
        <w:spacing w:line="480" w:lineRule="auto"/>
        <w:rPr>
          <w:rFonts w:ascii="Times New Roman" w:hAnsi="Times New Roman"/>
          <w:sz w:val="24"/>
          <w:szCs w:val="24"/>
        </w:rPr>
      </w:pPr>
      <w:r w:rsidRPr="00EC7846">
        <w:rPr>
          <w:rFonts w:ascii="Times New Roman" w:hAnsi="Times New Roman"/>
          <w:sz w:val="24"/>
          <w:szCs w:val="24"/>
        </w:rPr>
        <w:t>Workarounds to R</w:t>
      </w:r>
      <w:r>
        <w:rPr>
          <w:rFonts w:ascii="Times New Roman" w:hAnsi="Times New Roman"/>
          <w:sz w:val="24"/>
          <w:szCs w:val="24"/>
        </w:rPr>
        <w:t>educe the Litigation Risks for I</w:t>
      </w:r>
      <w:r w:rsidRPr="00EC7846">
        <w:rPr>
          <w:rFonts w:ascii="Times New Roman" w:hAnsi="Times New Roman"/>
          <w:sz w:val="24"/>
          <w:szCs w:val="24"/>
        </w:rPr>
        <w:t>nformal Rules</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E542A2">
        <w:rPr>
          <w:rFonts w:ascii="Times New Roman" w:hAnsi="Times New Roman"/>
          <w:sz w:val="24"/>
          <w:szCs w:val="24"/>
        </w:rPr>
        <w:t xml:space="preserve">Another creative way agencies have found to work around </w:t>
      </w:r>
      <w:r w:rsidR="002C76E5">
        <w:rPr>
          <w:rFonts w:ascii="Times New Roman" w:hAnsi="Times New Roman"/>
          <w:sz w:val="24"/>
          <w:szCs w:val="24"/>
        </w:rPr>
        <w:t>the burdens imposed by</w:t>
      </w:r>
      <w:r w:rsidR="00632E52" w:rsidRPr="00EC7846">
        <w:rPr>
          <w:rFonts w:ascii="Times New Roman" w:hAnsi="Times New Roman"/>
          <w:sz w:val="24"/>
          <w:szCs w:val="24"/>
        </w:rPr>
        <w:t xml:space="preserve"> notice and comment and judicial review is to informally negotiate facets of their rule</w:t>
      </w:r>
      <w:r w:rsidR="00E542A2">
        <w:rPr>
          <w:rFonts w:ascii="Times New Roman" w:hAnsi="Times New Roman"/>
          <w:sz w:val="24"/>
          <w:szCs w:val="24"/>
        </w:rPr>
        <w:t>s</w:t>
      </w:r>
      <w:r w:rsidR="00632E52" w:rsidRPr="00EC7846">
        <w:rPr>
          <w:rFonts w:ascii="Times New Roman" w:hAnsi="Times New Roman"/>
          <w:sz w:val="24"/>
          <w:szCs w:val="24"/>
        </w:rPr>
        <w:t xml:space="preserve"> outside </w:t>
      </w:r>
      <w:r w:rsidR="00E542A2">
        <w:rPr>
          <w:rFonts w:ascii="Times New Roman" w:hAnsi="Times New Roman"/>
          <w:sz w:val="24"/>
          <w:szCs w:val="24"/>
        </w:rPr>
        <w:t xml:space="preserve">of </w:t>
      </w:r>
      <w:r w:rsidR="00632E52" w:rsidRPr="00EC7846">
        <w:rPr>
          <w:rFonts w:ascii="Times New Roman" w:hAnsi="Times New Roman"/>
          <w:sz w:val="24"/>
          <w:szCs w:val="24"/>
        </w:rPr>
        <w:t>the notice</w:t>
      </w:r>
      <w:r w:rsidR="002629F2">
        <w:rPr>
          <w:rFonts w:ascii="Times New Roman" w:hAnsi="Times New Roman"/>
          <w:sz w:val="24"/>
          <w:szCs w:val="24"/>
        </w:rPr>
        <w:t>-</w:t>
      </w:r>
      <w:r w:rsidR="00632E52" w:rsidRPr="00EC7846">
        <w:rPr>
          <w:rFonts w:ascii="Times New Roman" w:hAnsi="Times New Roman"/>
          <w:sz w:val="24"/>
          <w:szCs w:val="24"/>
        </w:rPr>
        <w:t>and</w:t>
      </w:r>
      <w:r w:rsidR="002629F2">
        <w:rPr>
          <w:rFonts w:ascii="Times New Roman" w:hAnsi="Times New Roman"/>
          <w:sz w:val="24"/>
          <w:szCs w:val="24"/>
        </w:rPr>
        <w:t>-</w:t>
      </w:r>
      <w:r w:rsidR="00632E52" w:rsidRPr="00EC7846">
        <w:rPr>
          <w:rFonts w:ascii="Times New Roman" w:hAnsi="Times New Roman"/>
          <w:sz w:val="24"/>
          <w:szCs w:val="24"/>
        </w:rPr>
        <w:t>comment period.  As Don Elliott, a former General Counsel of EPA, observes: “[n]otice-and-comment rulemaking is to public participation as Japanese Kabuki theatre is to human passions</w:t>
      </w:r>
      <w:r w:rsidR="002629F2">
        <w:rPr>
          <w:rFonts w:ascii="Times New Roman" w:hAnsi="Times New Roman"/>
          <w:sz w:val="24"/>
          <w:szCs w:val="24"/>
        </w:rPr>
        <w:t>―</w:t>
      </w:r>
      <w:r w:rsidR="00632E52" w:rsidRPr="00EC7846">
        <w:rPr>
          <w:rFonts w:ascii="Times New Roman" w:hAnsi="Times New Roman"/>
          <w:sz w:val="24"/>
          <w:szCs w:val="24"/>
        </w:rPr>
        <w:t xml:space="preserve">a highly stylized process for displaying in a formal way the essence of something which in real life takes place in other venues” (Elliott, 1992).  </w:t>
      </w:r>
    </w:p>
    <w:p w:rsidR="00632E52" w:rsidRPr="00EC7846" w:rsidRDefault="00632E52" w:rsidP="008B7CD3">
      <w:pPr>
        <w:pStyle w:val="ListParagraph"/>
        <w:numPr>
          <w:ilvl w:val="0"/>
          <w:numId w:val="15"/>
        </w:numPr>
        <w:spacing w:line="480" w:lineRule="auto"/>
        <w:rPr>
          <w:rFonts w:ascii="Times New Roman" w:hAnsi="Times New Roman"/>
          <w:sz w:val="24"/>
          <w:szCs w:val="24"/>
        </w:rPr>
      </w:pPr>
      <w:r w:rsidRPr="00EC7846">
        <w:rPr>
          <w:rFonts w:ascii="Times New Roman" w:hAnsi="Times New Roman"/>
          <w:sz w:val="24"/>
          <w:szCs w:val="24"/>
        </w:rPr>
        <w:t xml:space="preserve"> Participation Outside the Notice and Comment Process</w:t>
      </w:r>
    </w:p>
    <w:p w:rsidR="00632E52" w:rsidRPr="00EC7846" w:rsidRDefault="008B7CD3" w:rsidP="008B7CD3">
      <w:pPr>
        <w:spacing w:line="480" w:lineRule="auto"/>
        <w:rPr>
          <w:rFonts w:ascii="Times New Roman" w:hAnsi="Times New Roman" w:cs="Times New Roman"/>
          <w:sz w:val="24"/>
          <w:szCs w:val="24"/>
        </w:rPr>
      </w:pPr>
      <w:r>
        <w:rPr>
          <w:rFonts w:ascii="Times New Roman" w:hAnsi="Times New Roman" w:cs="Times New Roman"/>
          <w:sz w:val="24"/>
          <w:szCs w:val="24"/>
        </w:rPr>
        <w:tab/>
      </w:r>
      <w:r w:rsidR="00632E52">
        <w:rPr>
          <w:rFonts w:ascii="Times New Roman" w:hAnsi="Times New Roman" w:cs="Times New Roman"/>
          <w:sz w:val="24"/>
          <w:szCs w:val="24"/>
        </w:rPr>
        <w:t>The n</w:t>
      </w:r>
      <w:r w:rsidR="00632E52" w:rsidRPr="00EC7846">
        <w:rPr>
          <w:rFonts w:ascii="Times New Roman" w:hAnsi="Times New Roman" w:cs="Times New Roman"/>
          <w:sz w:val="24"/>
          <w:szCs w:val="24"/>
        </w:rPr>
        <w:t>otice</w:t>
      </w:r>
      <w:r w:rsidR="002629F2">
        <w:rPr>
          <w:rFonts w:ascii="Times New Roman" w:hAnsi="Times New Roman" w:cs="Times New Roman"/>
          <w:sz w:val="24"/>
          <w:szCs w:val="24"/>
        </w:rPr>
        <w:t>-</w:t>
      </w:r>
      <w:r w:rsidR="00632E52" w:rsidRPr="00EC7846">
        <w:rPr>
          <w:rFonts w:ascii="Times New Roman" w:hAnsi="Times New Roman" w:cs="Times New Roman"/>
          <w:sz w:val="24"/>
          <w:szCs w:val="24"/>
        </w:rPr>
        <w:t>and</w:t>
      </w:r>
      <w:r w:rsidR="002629F2">
        <w:rPr>
          <w:rFonts w:ascii="Times New Roman" w:hAnsi="Times New Roman" w:cs="Times New Roman"/>
          <w:sz w:val="24"/>
          <w:szCs w:val="24"/>
        </w:rPr>
        <w:t>-</w:t>
      </w:r>
      <w:r w:rsidR="00632E52" w:rsidRPr="00EC7846">
        <w:rPr>
          <w:rFonts w:ascii="Times New Roman" w:hAnsi="Times New Roman" w:cs="Times New Roman"/>
          <w:sz w:val="24"/>
          <w:szCs w:val="24"/>
        </w:rPr>
        <w:t xml:space="preserve">comment </w:t>
      </w:r>
      <w:r w:rsidR="00632E52">
        <w:rPr>
          <w:rFonts w:ascii="Times New Roman" w:hAnsi="Times New Roman" w:cs="Times New Roman"/>
          <w:sz w:val="24"/>
          <w:szCs w:val="24"/>
        </w:rPr>
        <w:t xml:space="preserve">period is a formal, legally required point for stakeholder engagement, but the APA rulemaking process does not foreclose or regulate informal stakeholder engagement at other points in the process.  </w:t>
      </w:r>
      <w:r w:rsidR="00632E52" w:rsidRPr="00EC7846">
        <w:rPr>
          <w:rFonts w:ascii="Times New Roman" w:hAnsi="Times New Roman" w:cs="Times New Roman"/>
          <w:sz w:val="24"/>
          <w:szCs w:val="24"/>
        </w:rPr>
        <w:t xml:space="preserve">These informal negotiations </w:t>
      </w:r>
      <w:r w:rsidR="00632E52">
        <w:rPr>
          <w:rFonts w:ascii="Times New Roman" w:hAnsi="Times New Roman" w:cs="Times New Roman"/>
          <w:sz w:val="24"/>
          <w:szCs w:val="24"/>
        </w:rPr>
        <w:t>outside the notice</w:t>
      </w:r>
      <w:r w:rsidR="002629F2">
        <w:rPr>
          <w:rFonts w:ascii="Times New Roman" w:hAnsi="Times New Roman" w:cs="Times New Roman"/>
          <w:sz w:val="24"/>
          <w:szCs w:val="24"/>
        </w:rPr>
        <w:t>-</w:t>
      </w:r>
      <w:r w:rsidR="00632E52">
        <w:rPr>
          <w:rFonts w:ascii="Times New Roman" w:hAnsi="Times New Roman" w:cs="Times New Roman"/>
          <w:sz w:val="24"/>
          <w:szCs w:val="24"/>
        </w:rPr>
        <w:t>and</w:t>
      </w:r>
      <w:r w:rsidR="002629F2">
        <w:rPr>
          <w:rFonts w:ascii="Times New Roman" w:hAnsi="Times New Roman" w:cs="Times New Roman"/>
          <w:sz w:val="24"/>
          <w:szCs w:val="24"/>
        </w:rPr>
        <w:t>-</w:t>
      </w:r>
      <w:r w:rsidR="00632E52">
        <w:rPr>
          <w:rFonts w:ascii="Times New Roman" w:hAnsi="Times New Roman" w:cs="Times New Roman"/>
          <w:sz w:val="24"/>
          <w:szCs w:val="24"/>
        </w:rPr>
        <w:t>comment period</w:t>
      </w:r>
      <w:r w:rsidR="00632E52" w:rsidRPr="00EC7846">
        <w:rPr>
          <w:rFonts w:ascii="Times New Roman" w:hAnsi="Times New Roman" w:cs="Times New Roman"/>
          <w:sz w:val="24"/>
          <w:szCs w:val="24"/>
        </w:rPr>
        <w:t xml:space="preserve"> can occur at several distinct stages in the rulemaking.  First, the agency can enter into extended discussions with certain affected groups</w:t>
      </w:r>
      <w:r w:rsidR="002629F2">
        <w:rPr>
          <w:rFonts w:ascii="Times New Roman" w:hAnsi="Times New Roman" w:cs="Times New Roman"/>
          <w:sz w:val="24"/>
          <w:szCs w:val="24"/>
        </w:rPr>
        <w:t>―</w:t>
      </w:r>
      <w:r w:rsidR="00632E52" w:rsidRPr="00EC7846">
        <w:rPr>
          <w:rFonts w:ascii="Times New Roman" w:hAnsi="Times New Roman" w:cs="Times New Roman"/>
          <w:sz w:val="24"/>
          <w:szCs w:val="24"/>
        </w:rPr>
        <w:t>particularly the most litigious ones</w:t>
      </w:r>
      <w:r w:rsidR="002629F2">
        <w:rPr>
          <w:rFonts w:ascii="Times New Roman" w:hAnsi="Times New Roman" w:cs="Times New Roman"/>
          <w:sz w:val="24"/>
          <w:szCs w:val="24"/>
        </w:rPr>
        <w:t>―</w:t>
      </w:r>
      <w:r w:rsidR="00632E52" w:rsidRPr="00EC7846">
        <w:rPr>
          <w:rFonts w:ascii="Times New Roman" w:hAnsi="Times New Roman" w:cs="Times New Roman"/>
          <w:sz w:val="24"/>
          <w:szCs w:val="24"/>
        </w:rPr>
        <w:t xml:space="preserve">before its proposal is published in the Federal  Register so that the proposal submitted for comment is essentially a </w:t>
      </w:r>
      <w:r w:rsidR="00D157F0" w:rsidRPr="00D157F0">
        <w:rPr>
          <w:rFonts w:ascii="Times New Roman" w:hAnsi="Times New Roman" w:cs="Times New Roman"/>
          <w:i/>
          <w:sz w:val="24"/>
          <w:szCs w:val="24"/>
        </w:rPr>
        <w:t xml:space="preserve">fait </w:t>
      </w:r>
      <w:r w:rsidR="00D157F0" w:rsidRPr="00D157F0">
        <w:rPr>
          <w:rFonts w:ascii="Times New Roman" w:hAnsi="Times New Roman" w:cs="Times New Roman"/>
          <w:bCs/>
          <w:i/>
          <w:color w:val="000000"/>
          <w:sz w:val="24"/>
          <w:szCs w:val="24"/>
          <w:shd w:val="clear" w:color="auto" w:fill="FFFFFF"/>
        </w:rPr>
        <w:t>accompli</w:t>
      </w:r>
      <w:r w:rsidR="00632E52" w:rsidRPr="00EC7846">
        <w:rPr>
          <w:rFonts w:ascii="Times New Roman" w:hAnsi="Times New Roman" w:cs="Times New Roman"/>
          <w:bCs/>
          <w:color w:val="000000"/>
          <w:sz w:val="24"/>
          <w:szCs w:val="24"/>
          <w:shd w:val="clear" w:color="auto" w:fill="FFFFFF"/>
        </w:rPr>
        <w:t xml:space="preserve"> (Ferlong and Kerwin, 2005; West, 2009)</w:t>
      </w:r>
      <w:r w:rsidR="00632E52" w:rsidRPr="00EC7846">
        <w:rPr>
          <w:rFonts w:ascii="Times New Roman" w:hAnsi="Times New Roman" w:cs="Times New Roman"/>
          <w:sz w:val="24"/>
          <w:szCs w:val="24"/>
        </w:rPr>
        <w:t>.  Since the APA does not require these pre-proposed rule negotiations to be documented or even logged into the administrative record, they can occur largely outside the formal notice</w:t>
      </w:r>
      <w:r w:rsidR="002629F2">
        <w:rPr>
          <w:rFonts w:ascii="Times New Roman" w:hAnsi="Times New Roman" w:cs="Times New Roman"/>
          <w:sz w:val="24"/>
          <w:szCs w:val="24"/>
        </w:rPr>
        <w:t>-</w:t>
      </w:r>
      <w:r w:rsidR="00632E52" w:rsidRPr="00EC7846">
        <w:rPr>
          <w:rFonts w:ascii="Times New Roman" w:hAnsi="Times New Roman" w:cs="Times New Roman"/>
          <w:sz w:val="24"/>
          <w:szCs w:val="24"/>
        </w:rPr>
        <w:t>and</w:t>
      </w:r>
      <w:r w:rsidR="002629F2">
        <w:rPr>
          <w:rFonts w:ascii="Times New Roman" w:hAnsi="Times New Roman" w:cs="Times New Roman"/>
          <w:sz w:val="24"/>
          <w:szCs w:val="24"/>
        </w:rPr>
        <w:t>-</w:t>
      </w:r>
      <w:r w:rsidR="00632E52" w:rsidRPr="00EC7846">
        <w:rPr>
          <w:rFonts w:ascii="Times New Roman" w:hAnsi="Times New Roman" w:cs="Times New Roman"/>
          <w:sz w:val="24"/>
          <w:szCs w:val="24"/>
        </w:rPr>
        <w:t>comment process (Home Box Office, Inc. v. FCC, 567 F.2d 9, 57 (D.C. Cir. 1977)).  In fact, the courts’ “logical outgrowth” test – a common law interpretation of the APA – actually encourages agencies to engage in these pre-proposal discussions with affected parties (Shell Oil, 950 F.2d 741).  Recall that the logical outgrowth test requires the agency to open a second notice</w:t>
      </w:r>
      <w:r w:rsidR="002629F2">
        <w:rPr>
          <w:rFonts w:ascii="Times New Roman" w:hAnsi="Times New Roman" w:cs="Times New Roman"/>
          <w:sz w:val="24"/>
          <w:szCs w:val="24"/>
        </w:rPr>
        <w:t>-</w:t>
      </w:r>
      <w:r w:rsidR="00632E52" w:rsidRPr="00EC7846">
        <w:rPr>
          <w:rFonts w:ascii="Times New Roman" w:hAnsi="Times New Roman" w:cs="Times New Roman"/>
          <w:sz w:val="24"/>
          <w:szCs w:val="24"/>
        </w:rPr>
        <w:t>and</w:t>
      </w:r>
      <w:r w:rsidR="002629F2">
        <w:rPr>
          <w:rFonts w:ascii="Times New Roman" w:hAnsi="Times New Roman" w:cs="Times New Roman"/>
          <w:sz w:val="24"/>
          <w:szCs w:val="24"/>
        </w:rPr>
        <w:t>-</w:t>
      </w:r>
      <w:r w:rsidR="00632E52" w:rsidRPr="00EC7846">
        <w:rPr>
          <w:rFonts w:ascii="Times New Roman" w:hAnsi="Times New Roman" w:cs="Times New Roman"/>
          <w:sz w:val="24"/>
          <w:szCs w:val="24"/>
        </w:rPr>
        <w:lastRenderedPageBreak/>
        <w:t>comment period if material changes are made to a proposal as a result of comments.  The agency thus has strong</w:t>
      </w:r>
      <w:r w:rsidR="00E542A2">
        <w:rPr>
          <w:rFonts w:ascii="Times New Roman" w:hAnsi="Times New Roman" w:cs="Times New Roman"/>
          <w:sz w:val="24"/>
          <w:szCs w:val="24"/>
        </w:rPr>
        <w:t>,</w:t>
      </w:r>
      <w:r w:rsidR="00632E52" w:rsidRPr="00EC7846">
        <w:rPr>
          <w:rFonts w:ascii="Times New Roman" w:hAnsi="Times New Roman" w:cs="Times New Roman"/>
          <w:sz w:val="24"/>
          <w:szCs w:val="24"/>
        </w:rPr>
        <w:t xml:space="preserve"> judicially-imposed incentives to get the proposal as complete as possible the first time</w:t>
      </w:r>
      <w:r w:rsidR="00E542A2">
        <w:rPr>
          <w:rFonts w:ascii="Times New Roman" w:hAnsi="Times New Roman" w:cs="Times New Roman"/>
          <w:sz w:val="24"/>
          <w:szCs w:val="24"/>
        </w:rPr>
        <w:t xml:space="preserve"> around</w:t>
      </w:r>
      <w:r w:rsidR="00632E52" w:rsidRPr="00EC7846">
        <w:rPr>
          <w:rFonts w:ascii="Times New Roman" w:hAnsi="Times New Roman" w:cs="Times New Roman"/>
          <w:sz w:val="24"/>
          <w:szCs w:val="24"/>
        </w:rPr>
        <w:t xml:space="preserve">, </w:t>
      </w:r>
      <w:r w:rsidR="00E542A2">
        <w:rPr>
          <w:rFonts w:ascii="Times New Roman" w:hAnsi="Times New Roman" w:cs="Times New Roman"/>
          <w:sz w:val="24"/>
          <w:szCs w:val="24"/>
        </w:rPr>
        <w:t>an objective that can</w:t>
      </w:r>
      <w:r w:rsidR="00632E52" w:rsidRPr="00EC7846">
        <w:rPr>
          <w:rFonts w:ascii="Times New Roman" w:hAnsi="Times New Roman" w:cs="Times New Roman"/>
          <w:sz w:val="24"/>
          <w:szCs w:val="24"/>
        </w:rPr>
        <w:t xml:space="preserve"> be accomplished</w:t>
      </w:r>
      <w:r w:rsidR="00E542A2">
        <w:rPr>
          <w:rFonts w:ascii="Times New Roman" w:hAnsi="Times New Roman" w:cs="Times New Roman"/>
          <w:sz w:val="24"/>
          <w:szCs w:val="24"/>
        </w:rPr>
        <w:t>,</w:t>
      </w:r>
      <w:r w:rsidR="00632E52" w:rsidRPr="00EC7846">
        <w:rPr>
          <w:rFonts w:ascii="Times New Roman" w:hAnsi="Times New Roman" w:cs="Times New Roman"/>
          <w:sz w:val="24"/>
          <w:szCs w:val="24"/>
        </w:rPr>
        <w:t xml:space="preserve"> in part</w:t>
      </w:r>
      <w:r w:rsidR="00E542A2">
        <w:rPr>
          <w:rFonts w:ascii="Times New Roman" w:hAnsi="Times New Roman" w:cs="Times New Roman"/>
          <w:sz w:val="24"/>
          <w:szCs w:val="24"/>
        </w:rPr>
        <w:t>,</w:t>
      </w:r>
      <w:r w:rsidR="00632E52" w:rsidRPr="00EC7846">
        <w:rPr>
          <w:rFonts w:ascii="Times New Roman" w:hAnsi="Times New Roman" w:cs="Times New Roman"/>
          <w:sz w:val="24"/>
          <w:szCs w:val="24"/>
        </w:rPr>
        <w:t xml:space="preserve"> by ensuring that the major stakeholders are satisfied with the proposed rule before it is published.</w:t>
      </w:r>
    </w:p>
    <w:p w:rsidR="00632E52" w:rsidRPr="008B7CD3" w:rsidRDefault="008B7CD3" w:rsidP="008B7CD3">
      <w:pPr>
        <w:pStyle w:val="ListParagraph"/>
        <w:spacing w:line="480" w:lineRule="auto"/>
        <w:ind w:left="0"/>
        <w:rPr>
          <w:rFonts w:ascii="Times New Roman" w:hAnsi="Times New Roman"/>
          <w:b/>
          <w:sz w:val="24"/>
          <w:szCs w:val="24"/>
        </w:rPr>
      </w:pPr>
      <w:r>
        <w:rPr>
          <w:rFonts w:ascii="Times New Roman" w:hAnsi="Times New Roman"/>
          <w:sz w:val="24"/>
          <w:szCs w:val="24"/>
        </w:rPr>
        <w:tab/>
      </w:r>
      <w:r w:rsidR="00632E52" w:rsidRPr="00EC7846">
        <w:rPr>
          <w:rFonts w:ascii="Times New Roman" w:hAnsi="Times New Roman"/>
          <w:sz w:val="24"/>
          <w:szCs w:val="24"/>
        </w:rPr>
        <w:t>There is growing evidence that pre-proposal negotiations can be both extensive and imbalanced with regard to their representation of affected interests.</w:t>
      </w:r>
      <w:r w:rsidR="00632E52" w:rsidRPr="00EC7846">
        <w:rPr>
          <w:rFonts w:ascii="Times New Roman" w:hAnsi="Times New Roman"/>
          <w:b/>
          <w:sz w:val="24"/>
          <w:szCs w:val="24"/>
        </w:rPr>
        <w:t xml:space="preserve">  </w:t>
      </w:r>
      <w:r w:rsidR="00632E52" w:rsidRPr="00EC7846">
        <w:rPr>
          <w:rFonts w:ascii="Times New Roman" w:hAnsi="Times New Roman"/>
          <w:sz w:val="24"/>
          <w:szCs w:val="24"/>
        </w:rPr>
        <w:t>In one study of ninety of EPA’s air toxic rules, EPA informally</w:t>
      </w:r>
      <w:r w:rsidR="00E542A2">
        <w:rPr>
          <w:rFonts w:ascii="Times New Roman" w:hAnsi="Times New Roman"/>
          <w:sz w:val="24"/>
          <w:szCs w:val="24"/>
        </w:rPr>
        <w:t xml:space="preserve"> negotiated</w:t>
      </w:r>
      <w:r w:rsidR="00632E52" w:rsidRPr="00EC7846">
        <w:rPr>
          <w:rFonts w:ascii="Times New Roman" w:hAnsi="Times New Roman"/>
          <w:sz w:val="24"/>
          <w:szCs w:val="24"/>
        </w:rPr>
        <w:t xml:space="preserve"> with regulated industry more than eighty times per rule on average during </w:t>
      </w:r>
      <w:r w:rsidR="00E542A2">
        <w:rPr>
          <w:rFonts w:ascii="Times New Roman" w:hAnsi="Times New Roman"/>
          <w:sz w:val="24"/>
          <w:szCs w:val="24"/>
        </w:rPr>
        <w:t>the</w:t>
      </w:r>
      <w:r w:rsidR="00E542A2" w:rsidRPr="00EC7846">
        <w:rPr>
          <w:rFonts w:ascii="Times New Roman" w:hAnsi="Times New Roman"/>
          <w:sz w:val="24"/>
          <w:szCs w:val="24"/>
        </w:rPr>
        <w:t xml:space="preserve"> </w:t>
      </w:r>
      <w:r w:rsidR="00632E52" w:rsidRPr="00EC7846">
        <w:rPr>
          <w:rFonts w:ascii="Times New Roman" w:hAnsi="Times New Roman"/>
          <w:sz w:val="24"/>
          <w:szCs w:val="24"/>
        </w:rPr>
        <w:t xml:space="preserve">pre-proposal stage, while it engaged with public interest groups fewer than once per rule (Wagner et al., 2011). Interviews of agency staff and interest groups </w:t>
      </w:r>
      <w:r w:rsidR="002629F2">
        <w:rPr>
          <w:rFonts w:ascii="Times New Roman" w:hAnsi="Times New Roman"/>
          <w:sz w:val="24"/>
          <w:szCs w:val="24"/>
        </w:rPr>
        <w:t xml:space="preserve">underscore </w:t>
      </w:r>
      <w:r w:rsidR="00632E52" w:rsidRPr="00EC7846">
        <w:rPr>
          <w:rFonts w:ascii="Times New Roman" w:hAnsi="Times New Roman"/>
          <w:sz w:val="24"/>
          <w:szCs w:val="24"/>
        </w:rPr>
        <w:t xml:space="preserve">the potential significance of these pre-proposal negotiations as a means of influencing the substance of </w:t>
      </w:r>
      <w:r w:rsidR="0037522E">
        <w:rPr>
          <w:rFonts w:ascii="Times New Roman" w:hAnsi="Times New Roman"/>
          <w:sz w:val="24"/>
          <w:szCs w:val="24"/>
        </w:rPr>
        <w:t>some</w:t>
      </w:r>
      <w:r w:rsidR="00632E52" w:rsidRPr="00EC7846">
        <w:rPr>
          <w:rFonts w:ascii="Times New Roman" w:hAnsi="Times New Roman"/>
          <w:sz w:val="24"/>
          <w:szCs w:val="24"/>
        </w:rPr>
        <w:t xml:space="preserve"> proposed rule</w:t>
      </w:r>
      <w:r w:rsidR="0037522E">
        <w:rPr>
          <w:rFonts w:ascii="Times New Roman" w:hAnsi="Times New Roman"/>
          <w:sz w:val="24"/>
          <w:szCs w:val="24"/>
        </w:rPr>
        <w:t>s</w:t>
      </w:r>
      <w:r w:rsidR="00632E52" w:rsidRPr="00EC7846">
        <w:rPr>
          <w:rFonts w:ascii="Times New Roman" w:hAnsi="Times New Roman"/>
          <w:sz w:val="24"/>
          <w:szCs w:val="24"/>
        </w:rPr>
        <w:t xml:space="preserve"> (Furlong and Kerwin, 2005; West, 2009).</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Agencies can also negotiate with participants in the period after publication of a final rule, but before a rule is challenged in court.  A trade association’s general counsel observed: “[Litigation] is often a vehicle to kind of lead to a revision of regulations. . . . There are a number of cases that are filed and automatically stayed because we are filing them just so we go back to the agency and basically kind of renegotiate the regs” (Coglianese p.127, 1994).  Another corporate counsel remarked, “It is almost like having another rulemaking with those people who care enough about the issues to spend the time, being the ones who get to play” (ibid. p.131).  This post-final rule negotiation can also be kept secret since it is considered a legal settlement and may be subject to deliberative</w:t>
      </w:r>
      <w:r w:rsidR="002629F2">
        <w:rPr>
          <w:rFonts w:ascii="Times New Roman" w:hAnsi="Times New Roman"/>
          <w:sz w:val="24"/>
          <w:szCs w:val="24"/>
        </w:rPr>
        <w:t>-</w:t>
      </w:r>
      <w:r w:rsidR="00632E52" w:rsidRPr="00EC7846">
        <w:rPr>
          <w:rFonts w:ascii="Times New Roman" w:hAnsi="Times New Roman"/>
          <w:sz w:val="24"/>
          <w:szCs w:val="24"/>
        </w:rPr>
        <w:t xml:space="preserve">process privileges. </w:t>
      </w:r>
      <w:r w:rsidR="0083367B">
        <w:rPr>
          <w:rFonts w:ascii="Times New Roman" w:hAnsi="Times New Roman"/>
          <w:sz w:val="24"/>
          <w:szCs w:val="24"/>
        </w:rPr>
        <w:t>And, a</w:t>
      </w:r>
      <w:r w:rsidR="00632E52" w:rsidRPr="00EC7846">
        <w:rPr>
          <w:rFonts w:ascii="Times New Roman" w:hAnsi="Times New Roman"/>
          <w:sz w:val="24"/>
          <w:szCs w:val="24"/>
        </w:rPr>
        <w:t xml:space="preserve">lthough </w:t>
      </w:r>
      <w:r w:rsidR="0083367B">
        <w:rPr>
          <w:rFonts w:ascii="Times New Roman" w:hAnsi="Times New Roman"/>
          <w:sz w:val="24"/>
          <w:szCs w:val="24"/>
        </w:rPr>
        <w:t>any</w:t>
      </w:r>
      <w:r w:rsidR="00E542A2">
        <w:rPr>
          <w:rFonts w:ascii="Times New Roman" w:hAnsi="Times New Roman"/>
          <w:sz w:val="24"/>
          <w:szCs w:val="24"/>
        </w:rPr>
        <w:t xml:space="preserve"> </w:t>
      </w:r>
      <w:r w:rsidR="00632E52" w:rsidRPr="00EC7846">
        <w:rPr>
          <w:rFonts w:ascii="Times New Roman" w:hAnsi="Times New Roman"/>
          <w:sz w:val="24"/>
          <w:szCs w:val="24"/>
        </w:rPr>
        <w:t xml:space="preserve">significant </w:t>
      </w:r>
      <w:r w:rsidR="00E542A2">
        <w:rPr>
          <w:rFonts w:ascii="Times New Roman" w:hAnsi="Times New Roman"/>
          <w:sz w:val="24"/>
          <w:szCs w:val="24"/>
        </w:rPr>
        <w:t xml:space="preserve">changes that </w:t>
      </w:r>
      <w:r w:rsidR="0083367B">
        <w:rPr>
          <w:rFonts w:ascii="Times New Roman" w:hAnsi="Times New Roman"/>
          <w:sz w:val="24"/>
          <w:szCs w:val="24"/>
        </w:rPr>
        <w:t xml:space="preserve">may </w:t>
      </w:r>
      <w:r w:rsidR="00E542A2">
        <w:rPr>
          <w:rFonts w:ascii="Times New Roman" w:hAnsi="Times New Roman"/>
          <w:sz w:val="24"/>
          <w:szCs w:val="24"/>
        </w:rPr>
        <w:t>e</w:t>
      </w:r>
      <w:r w:rsidR="00632E52" w:rsidRPr="00EC7846">
        <w:rPr>
          <w:rFonts w:ascii="Times New Roman" w:hAnsi="Times New Roman"/>
          <w:sz w:val="24"/>
          <w:szCs w:val="24"/>
        </w:rPr>
        <w:t>merge from these negotiations require notice and comment, changes to agency interpretations, enforcement policies, and other non-rulemaking documents need not be subject to the notice</w:t>
      </w:r>
      <w:r w:rsidR="00B932B8">
        <w:rPr>
          <w:rFonts w:ascii="Times New Roman" w:hAnsi="Times New Roman"/>
          <w:sz w:val="24"/>
          <w:szCs w:val="24"/>
        </w:rPr>
        <w:t>-</w:t>
      </w:r>
      <w:r w:rsidR="00632E52" w:rsidRPr="00EC7846">
        <w:rPr>
          <w:rFonts w:ascii="Times New Roman" w:hAnsi="Times New Roman"/>
          <w:sz w:val="24"/>
          <w:szCs w:val="24"/>
        </w:rPr>
        <w:t>and</w:t>
      </w:r>
      <w:r w:rsidR="00B932B8">
        <w:rPr>
          <w:rFonts w:ascii="Times New Roman" w:hAnsi="Times New Roman"/>
          <w:sz w:val="24"/>
          <w:szCs w:val="24"/>
        </w:rPr>
        <w:t>-</w:t>
      </w:r>
      <w:r w:rsidR="00632E52" w:rsidRPr="00EC7846">
        <w:rPr>
          <w:rFonts w:ascii="Times New Roman" w:hAnsi="Times New Roman"/>
          <w:sz w:val="24"/>
          <w:szCs w:val="24"/>
        </w:rPr>
        <w:t xml:space="preserve">comment requirements of rulemakings and hence can occur outside of the APA </w:t>
      </w:r>
      <w:r w:rsidR="00632E52" w:rsidRPr="00EC7846">
        <w:rPr>
          <w:rFonts w:ascii="Times New Roman" w:hAnsi="Times New Roman"/>
          <w:sz w:val="24"/>
          <w:szCs w:val="24"/>
        </w:rPr>
        <w:lastRenderedPageBreak/>
        <w:t>sunshine (Gaba, 1985; Rossi, 2001).  These rule settlements thus constitute yet another, largely invisible work-around the notice</w:t>
      </w:r>
      <w:r w:rsidR="00B932B8">
        <w:rPr>
          <w:rFonts w:ascii="Times New Roman" w:hAnsi="Times New Roman"/>
          <w:sz w:val="24"/>
          <w:szCs w:val="24"/>
        </w:rPr>
        <w:t>-</w:t>
      </w:r>
      <w:r w:rsidR="00632E52" w:rsidRPr="00EC7846">
        <w:rPr>
          <w:rFonts w:ascii="Times New Roman" w:hAnsi="Times New Roman"/>
          <w:sz w:val="24"/>
          <w:szCs w:val="24"/>
        </w:rPr>
        <w:t>and</w:t>
      </w:r>
      <w:r w:rsidR="00B932B8">
        <w:rPr>
          <w:rFonts w:ascii="Times New Roman" w:hAnsi="Times New Roman"/>
          <w:sz w:val="24"/>
          <w:szCs w:val="24"/>
        </w:rPr>
        <w:t>-</w:t>
      </w:r>
      <w:r w:rsidR="00632E52" w:rsidRPr="00EC7846">
        <w:rPr>
          <w:rFonts w:ascii="Times New Roman" w:hAnsi="Times New Roman"/>
          <w:sz w:val="24"/>
          <w:szCs w:val="24"/>
        </w:rPr>
        <w:t xml:space="preserve">comment process.  </w:t>
      </w:r>
    </w:p>
    <w:p w:rsidR="00632E52" w:rsidRPr="008B7CD3" w:rsidRDefault="00632E52" w:rsidP="008B7CD3">
      <w:pPr>
        <w:pStyle w:val="ListParagraph"/>
        <w:numPr>
          <w:ilvl w:val="0"/>
          <w:numId w:val="14"/>
        </w:numPr>
        <w:spacing w:line="480" w:lineRule="auto"/>
        <w:rPr>
          <w:rFonts w:ascii="Times New Roman" w:hAnsi="Times New Roman"/>
          <w:sz w:val="24"/>
          <w:szCs w:val="24"/>
        </w:rPr>
      </w:pPr>
      <w:r w:rsidRPr="00EC7846">
        <w:rPr>
          <w:rFonts w:ascii="Times New Roman" w:hAnsi="Times New Roman"/>
          <w:sz w:val="24"/>
          <w:szCs w:val="24"/>
        </w:rPr>
        <w:t>End-runs around Notice and Comment</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Stakeholders can also attempt to influence an agency rule outside the formal process by convincing one of the institutional checks (e.g., the President or Congress) to intervene on their behalf.  The White House’s Office of Information and Regulatory Affairs (OIRA) provides one of the most powerful end</w:t>
      </w:r>
      <w:r w:rsidR="00B932B8">
        <w:rPr>
          <w:rFonts w:ascii="Times New Roman" w:hAnsi="Times New Roman"/>
          <w:sz w:val="24"/>
          <w:szCs w:val="24"/>
        </w:rPr>
        <w:t>-</w:t>
      </w:r>
      <w:r w:rsidR="00632E52" w:rsidRPr="00EC7846">
        <w:rPr>
          <w:rFonts w:ascii="Times New Roman" w:hAnsi="Times New Roman"/>
          <w:sz w:val="24"/>
          <w:szCs w:val="24"/>
        </w:rPr>
        <w:t>runs around the APA process because it is largely nontransparent.  Pursuant to an Executive Order first issued in 1981 by President Reagan (Executive Order 12291), OIRA reviews the agencies’ significant rules at both the proposed and final stages and enjoys considerable power to influence the resulting, published rule (Executive Order 12866, § 3(f)).  In the course of its review, OIRA sometimes makes significant changes to agency rules, sometimes delays rules for long periods of time (Rastello, 2013), and sometimes persuade</w:t>
      </w:r>
      <w:r w:rsidR="003E7651">
        <w:rPr>
          <w:rFonts w:ascii="Times New Roman" w:hAnsi="Times New Roman"/>
          <w:sz w:val="24"/>
          <w:szCs w:val="24"/>
        </w:rPr>
        <w:t>s</w:t>
      </w:r>
      <w:r w:rsidR="00632E52" w:rsidRPr="00EC7846">
        <w:rPr>
          <w:rFonts w:ascii="Times New Roman" w:hAnsi="Times New Roman"/>
          <w:sz w:val="24"/>
          <w:szCs w:val="24"/>
        </w:rPr>
        <w:t xml:space="preserve"> the agency to abandon a rule altogether (GAO, 2003).</w:t>
      </w:r>
      <w:r w:rsidR="00632E52" w:rsidRPr="00EC7846">
        <w:rPr>
          <w:rStyle w:val="EndnoteReference"/>
          <w:rFonts w:ascii="Times New Roman" w:hAnsi="Times New Roman"/>
          <w:sz w:val="24"/>
          <w:szCs w:val="24"/>
        </w:rPr>
        <w:t xml:space="preserve"> </w:t>
      </w:r>
      <w:r w:rsidR="00632E52" w:rsidRPr="00EC7846">
        <w:rPr>
          <w:rStyle w:val="EndnoteReference"/>
          <w:rFonts w:ascii="Times New Roman" w:hAnsi="Times New Roman"/>
          <w:sz w:val="24"/>
          <w:szCs w:val="24"/>
        </w:rPr>
        <w:endnoteReference w:id="3"/>
      </w:r>
      <w:r w:rsidR="00632E52" w:rsidRPr="00EC7846">
        <w:rPr>
          <w:rFonts w:ascii="Times New Roman" w:hAnsi="Times New Roman"/>
          <w:sz w:val="24"/>
          <w:szCs w:val="24"/>
        </w:rPr>
        <w:t xml:space="preserve">   In most cases, these political interventions “leave no fingerprints,” and in virtually all cases the changes are unexplained (Mendelson, 2010). </w:t>
      </w:r>
      <w:r w:rsidR="003E7651">
        <w:rPr>
          <w:rFonts w:ascii="Times New Roman" w:hAnsi="Times New Roman"/>
          <w:sz w:val="24"/>
          <w:szCs w:val="24"/>
        </w:rPr>
        <w:t>Furthermore, m</w:t>
      </w:r>
      <w:r w:rsidR="00632E52" w:rsidRPr="00EC7846">
        <w:rPr>
          <w:rFonts w:ascii="Times New Roman" w:hAnsi="Times New Roman"/>
          <w:sz w:val="24"/>
          <w:szCs w:val="24"/>
        </w:rPr>
        <w:t xml:space="preserve">eeting logs reveal that OIRA meets with affected parties, often repeatedly, on individual rules (Steinzor et al., 2011).  Indeed, interest group lobbying of OIRA is so popular that one EPA appointee observed it has become a “cottage industry” inside the beltway (NAS, 2012).  </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Members of Congress may also offer regulatory participants valuable reinforcement in their effort to influence agency rules, although in contrast to OIRA review, most Congressional intervention is public.</w:t>
      </w:r>
      <w:r w:rsidR="00632E52" w:rsidRPr="00EC7846">
        <w:rPr>
          <w:rFonts w:ascii="Times New Roman" w:hAnsi="Times New Roman"/>
          <w:b/>
          <w:sz w:val="24"/>
          <w:szCs w:val="24"/>
        </w:rPr>
        <w:t xml:space="preserve">  </w:t>
      </w:r>
      <w:r w:rsidR="00632E52" w:rsidRPr="00EC7846">
        <w:rPr>
          <w:rFonts w:ascii="Times New Roman" w:hAnsi="Times New Roman"/>
          <w:sz w:val="24"/>
          <w:szCs w:val="24"/>
        </w:rPr>
        <w:t>Congress, for example, has reserved the power to directly veto agency rules directly through the Congressional Review Act.  While it has only</w:t>
      </w:r>
      <w:r w:rsidR="00632E52">
        <w:rPr>
          <w:rFonts w:ascii="Times New Roman" w:hAnsi="Times New Roman"/>
          <w:sz w:val="24"/>
          <w:szCs w:val="24"/>
        </w:rPr>
        <w:t xml:space="preserve"> </w:t>
      </w:r>
      <w:r w:rsidR="00063EB6">
        <w:rPr>
          <w:rFonts w:ascii="Times New Roman" w:hAnsi="Times New Roman"/>
          <w:sz w:val="24"/>
          <w:szCs w:val="24"/>
        </w:rPr>
        <w:t>us</w:t>
      </w:r>
      <w:r w:rsidR="00632E52" w:rsidRPr="00EC7846">
        <w:rPr>
          <w:rFonts w:ascii="Times New Roman" w:hAnsi="Times New Roman"/>
          <w:sz w:val="24"/>
          <w:szCs w:val="24"/>
        </w:rPr>
        <w:t xml:space="preserve">ed this power once in the case of OSHA’s workplace ergonomic rule (Rosenberg, 2008), it remains a threat to agency </w:t>
      </w:r>
      <w:r w:rsidR="00632E52" w:rsidRPr="00EC7846">
        <w:rPr>
          <w:rFonts w:ascii="Times New Roman" w:hAnsi="Times New Roman"/>
          <w:sz w:val="24"/>
          <w:szCs w:val="24"/>
        </w:rPr>
        <w:lastRenderedPageBreak/>
        <w:t xml:space="preserve">rules.  More often, Congressional interventions materialize as some form of indirect, political pressure on the agencies that do not necessarily dictate specific rulemaking outcomes.  </w:t>
      </w:r>
      <w:r w:rsidR="00B932B8">
        <w:rPr>
          <w:rFonts w:ascii="Times New Roman" w:hAnsi="Times New Roman"/>
          <w:sz w:val="24"/>
          <w:szCs w:val="24"/>
        </w:rPr>
        <w:t>Thomas</w:t>
      </w:r>
      <w:r w:rsidR="00632E52" w:rsidRPr="00EC7846">
        <w:rPr>
          <w:rFonts w:ascii="Times New Roman" w:hAnsi="Times New Roman"/>
          <w:sz w:val="24"/>
          <w:szCs w:val="24"/>
        </w:rPr>
        <w:t xml:space="preserve"> McGarity has carefully documented </w:t>
      </w:r>
      <w:r w:rsidR="0037522E">
        <w:rPr>
          <w:rFonts w:ascii="Times New Roman" w:hAnsi="Times New Roman"/>
          <w:sz w:val="24"/>
          <w:szCs w:val="24"/>
        </w:rPr>
        <w:t xml:space="preserve">how interest groups have engaged members of </w:t>
      </w:r>
      <w:r w:rsidR="00632E52" w:rsidRPr="00EC7846">
        <w:rPr>
          <w:rFonts w:ascii="Times New Roman" w:hAnsi="Times New Roman"/>
          <w:sz w:val="24"/>
          <w:szCs w:val="24"/>
        </w:rPr>
        <w:t xml:space="preserve">Congress to </w:t>
      </w:r>
      <w:r w:rsidR="0037522E">
        <w:rPr>
          <w:rFonts w:ascii="Times New Roman" w:hAnsi="Times New Roman"/>
          <w:sz w:val="24"/>
          <w:szCs w:val="24"/>
        </w:rPr>
        <w:t xml:space="preserve">intervene in </w:t>
      </w:r>
      <w:r w:rsidR="00632E52" w:rsidRPr="00EC7846">
        <w:rPr>
          <w:rFonts w:ascii="Times New Roman" w:hAnsi="Times New Roman"/>
          <w:sz w:val="24"/>
          <w:szCs w:val="24"/>
        </w:rPr>
        <w:t>agency rulemaking processes</w:t>
      </w:r>
      <w:r w:rsidR="0037522E">
        <w:rPr>
          <w:rFonts w:ascii="Times New Roman" w:hAnsi="Times New Roman"/>
          <w:sz w:val="24"/>
          <w:szCs w:val="24"/>
        </w:rPr>
        <w:t xml:space="preserve"> on their behalf</w:t>
      </w:r>
      <w:r w:rsidR="00632E52" w:rsidRPr="00EC7846">
        <w:rPr>
          <w:rFonts w:ascii="Times New Roman" w:hAnsi="Times New Roman"/>
          <w:sz w:val="24"/>
          <w:szCs w:val="24"/>
        </w:rPr>
        <w:t xml:space="preserve"> – what he calls a blood sport -- through politicized congressional oversight hearings, public relation campaigns, and related political attacks on the agencies (McGarity, 2012). </w:t>
      </w:r>
    </w:p>
    <w:p w:rsidR="00632E52" w:rsidRPr="008B7CD3" w:rsidRDefault="00632E52" w:rsidP="008B7CD3">
      <w:pPr>
        <w:pStyle w:val="ListParagraph"/>
        <w:numPr>
          <w:ilvl w:val="0"/>
          <w:numId w:val="13"/>
        </w:numPr>
        <w:spacing w:line="480" w:lineRule="auto"/>
        <w:rPr>
          <w:rFonts w:ascii="Times New Roman" w:hAnsi="Times New Roman"/>
          <w:sz w:val="24"/>
          <w:szCs w:val="24"/>
        </w:rPr>
      </w:pPr>
      <w:r w:rsidRPr="00EC7846">
        <w:rPr>
          <w:rFonts w:ascii="Times New Roman" w:hAnsi="Times New Roman"/>
          <w:sz w:val="24"/>
          <w:szCs w:val="24"/>
        </w:rPr>
        <w:t>Inherent Design Features of the APA that can lead to Imbalanced Representation and Influence of Regulatory Participants</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As noted in the introduction, inherent design features of the APA can also result in imbalances in representation and reduce agency accountability with respe</w:t>
      </w:r>
      <w:r w:rsidR="00632E52">
        <w:rPr>
          <w:rFonts w:ascii="Times New Roman" w:hAnsi="Times New Roman"/>
          <w:sz w:val="24"/>
          <w:szCs w:val="24"/>
        </w:rPr>
        <w:t>ct to certain affected groups.  T</w:t>
      </w:r>
      <w:r w:rsidR="00632E52" w:rsidRPr="00EC7846">
        <w:rPr>
          <w:rFonts w:ascii="Times New Roman" w:hAnsi="Times New Roman"/>
          <w:sz w:val="24"/>
          <w:szCs w:val="24"/>
        </w:rPr>
        <w:t xml:space="preserve">hese imbalances occur not </w:t>
      </w:r>
      <w:r w:rsidR="00632E52" w:rsidRPr="00EC7846">
        <w:rPr>
          <w:rFonts w:ascii="Times New Roman" w:hAnsi="Times New Roman"/>
          <w:i/>
          <w:sz w:val="24"/>
          <w:szCs w:val="24"/>
        </w:rPr>
        <w:t>in spite of</w:t>
      </w:r>
      <w:r w:rsidR="00632E52" w:rsidRPr="00EC7846">
        <w:rPr>
          <w:rFonts w:ascii="Times New Roman" w:hAnsi="Times New Roman"/>
          <w:sz w:val="24"/>
          <w:szCs w:val="24"/>
        </w:rPr>
        <w:t xml:space="preserve"> the APA (as is the case with the workarounds just discussed), but </w:t>
      </w:r>
      <w:r w:rsidR="00632E52" w:rsidRPr="00EC7846">
        <w:rPr>
          <w:rFonts w:ascii="Times New Roman" w:hAnsi="Times New Roman"/>
          <w:i/>
          <w:sz w:val="24"/>
          <w:szCs w:val="24"/>
        </w:rPr>
        <w:t>because</w:t>
      </w:r>
      <w:r w:rsidR="00632E52" w:rsidRPr="00EC7846">
        <w:rPr>
          <w:rFonts w:ascii="Times New Roman" w:hAnsi="Times New Roman"/>
          <w:sz w:val="24"/>
          <w:szCs w:val="24"/>
        </w:rPr>
        <w:t xml:space="preserve"> of it.  </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 xml:space="preserve">Most of the imbalance in stakeholder representation arises from the </w:t>
      </w:r>
      <w:r w:rsidR="00632E52">
        <w:rPr>
          <w:rFonts w:ascii="Times New Roman" w:hAnsi="Times New Roman"/>
          <w:sz w:val="24"/>
          <w:szCs w:val="24"/>
        </w:rPr>
        <w:t xml:space="preserve">passive or </w:t>
      </w:r>
      <w:r w:rsidR="00632E52" w:rsidRPr="00EC7846">
        <w:rPr>
          <w:rFonts w:ascii="Times New Roman" w:hAnsi="Times New Roman"/>
          <w:sz w:val="24"/>
          <w:szCs w:val="24"/>
        </w:rPr>
        <w:t>pluralistic approach that undergirds the basic desig</w:t>
      </w:r>
      <w:r w:rsidR="00632E52">
        <w:rPr>
          <w:rFonts w:ascii="Times New Roman" w:hAnsi="Times New Roman"/>
          <w:sz w:val="24"/>
          <w:szCs w:val="24"/>
        </w:rPr>
        <w:t xml:space="preserve">n of </w:t>
      </w:r>
      <w:r w:rsidR="0037522E">
        <w:rPr>
          <w:rFonts w:ascii="Times New Roman" w:hAnsi="Times New Roman"/>
          <w:sz w:val="24"/>
          <w:szCs w:val="24"/>
        </w:rPr>
        <w:t xml:space="preserve">the </w:t>
      </w:r>
      <w:r w:rsidR="00632E52">
        <w:rPr>
          <w:rFonts w:ascii="Times New Roman" w:hAnsi="Times New Roman"/>
          <w:sz w:val="24"/>
          <w:szCs w:val="24"/>
        </w:rPr>
        <w:t>APA participatory process</w:t>
      </w:r>
      <w:r w:rsidR="00632E52" w:rsidRPr="00EC7846">
        <w:rPr>
          <w:rFonts w:ascii="Times New Roman" w:hAnsi="Times New Roman"/>
          <w:sz w:val="24"/>
          <w:szCs w:val="24"/>
        </w:rPr>
        <w:t>.  For rules in which all interests are engaged and active, t</w:t>
      </w:r>
      <w:r w:rsidR="00632E52">
        <w:rPr>
          <w:rFonts w:ascii="Times New Roman" w:hAnsi="Times New Roman"/>
          <w:sz w:val="24"/>
          <w:szCs w:val="24"/>
        </w:rPr>
        <w:t>he APA’s participatory process</w:t>
      </w:r>
      <w:r w:rsidR="00632E52" w:rsidRPr="00EC7846">
        <w:rPr>
          <w:rFonts w:ascii="Times New Roman" w:hAnsi="Times New Roman"/>
          <w:sz w:val="24"/>
          <w:szCs w:val="24"/>
        </w:rPr>
        <w:t xml:space="preserve"> can work quite well to force the agency to consider a wide range of interests and justify its rule based on that input (Croley, 2008).  However, for rules in which some affected groups cannot afford to participate vigorously or at all, the absence of </w:t>
      </w:r>
      <w:r w:rsidR="00632E52">
        <w:rPr>
          <w:rFonts w:ascii="Times New Roman" w:hAnsi="Times New Roman"/>
          <w:sz w:val="24"/>
          <w:szCs w:val="24"/>
        </w:rPr>
        <w:t>key</w:t>
      </w:r>
      <w:r w:rsidR="00632E52" w:rsidRPr="00EC7846">
        <w:rPr>
          <w:rFonts w:ascii="Times New Roman" w:hAnsi="Times New Roman"/>
          <w:sz w:val="24"/>
          <w:szCs w:val="24"/>
        </w:rPr>
        <w:t xml:space="preserve"> affected groups from the notice</w:t>
      </w:r>
      <w:r w:rsidR="00B932B8">
        <w:rPr>
          <w:rFonts w:ascii="Times New Roman" w:hAnsi="Times New Roman"/>
          <w:sz w:val="24"/>
          <w:szCs w:val="24"/>
        </w:rPr>
        <w:t>-</w:t>
      </w:r>
      <w:r w:rsidR="00632E52" w:rsidRPr="00EC7846">
        <w:rPr>
          <w:rFonts w:ascii="Times New Roman" w:hAnsi="Times New Roman"/>
          <w:sz w:val="24"/>
          <w:szCs w:val="24"/>
        </w:rPr>
        <w:t>and</w:t>
      </w:r>
      <w:r w:rsidR="00B932B8">
        <w:rPr>
          <w:rFonts w:ascii="Times New Roman" w:hAnsi="Times New Roman"/>
          <w:sz w:val="24"/>
          <w:szCs w:val="24"/>
        </w:rPr>
        <w:t>-</w:t>
      </w:r>
      <w:r w:rsidR="00632E52" w:rsidRPr="00EC7846">
        <w:rPr>
          <w:rFonts w:ascii="Times New Roman" w:hAnsi="Times New Roman"/>
          <w:sz w:val="24"/>
          <w:szCs w:val="24"/>
        </w:rPr>
        <w:t xml:space="preserve">comment process is highly </w:t>
      </w:r>
      <w:r w:rsidR="00632E52">
        <w:rPr>
          <w:rFonts w:ascii="Times New Roman" w:hAnsi="Times New Roman"/>
          <w:sz w:val="24"/>
          <w:szCs w:val="24"/>
        </w:rPr>
        <w:t>problematic</w:t>
      </w:r>
      <w:r w:rsidR="00B3163A">
        <w:rPr>
          <w:rFonts w:ascii="Times New Roman" w:hAnsi="Times New Roman"/>
          <w:sz w:val="24"/>
          <w:szCs w:val="24"/>
        </w:rPr>
        <w:t>, making the agency less accountable to public interests</w:t>
      </w:r>
      <w:r w:rsidR="00632E52">
        <w:rPr>
          <w:rFonts w:ascii="Times New Roman" w:hAnsi="Times New Roman"/>
          <w:sz w:val="24"/>
          <w:szCs w:val="24"/>
        </w:rPr>
        <w:t>.  Y</w:t>
      </w:r>
      <w:r w:rsidR="00632E52" w:rsidRPr="00EC7846">
        <w:rPr>
          <w:rFonts w:ascii="Times New Roman" w:hAnsi="Times New Roman"/>
          <w:sz w:val="24"/>
          <w:szCs w:val="24"/>
        </w:rPr>
        <w:t xml:space="preserve">et this important fact is not </w:t>
      </w:r>
      <w:r w:rsidR="00B3163A">
        <w:rPr>
          <w:rFonts w:ascii="Times New Roman" w:hAnsi="Times New Roman"/>
          <w:sz w:val="24"/>
          <w:szCs w:val="24"/>
        </w:rPr>
        <w:t>explicitly</w:t>
      </w:r>
      <w:r w:rsidR="00B3163A" w:rsidRPr="00EC7846">
        <w:rPr>
          <w:rFonts w:ascii="Times New Roman" w:hAnsi="Times New Roman"/>
          <w:sz w:val="24"/>
          <w:szCs w:val="24"/>
        </w:rPr>
        <w:t xml:space="preserve"> </w:t>
      </w:r>
      <w:r w:rsidR="00632E52" w:rsidRPr="00EC7846">
        <w:rPr>
          <w:rFonts w:ascii="Times New Roman" w:hAnsi="Times New Roman"/>
          <w:sz w:val="24"/>
          <w:szCs w:val="24"/>
        </w:rPr>
        <w:t>noted, much less addressed by</w:t>
      </w:r>
      <w:r w:rsidR="00632E52">
        <w:rPr>
          <w:rFonts w:ascii="Times New Roman" w:hAnsi="Times New Roman"/>
          <w:sz w:val="24"/>
          <w:szCs w:val="24"/>
        </w:rPr>
        <w:t xml:space="preserve"> U.S.</w:t>
      </w:r>
      <w:r w:rsidR="00632E52" w:rsidRPr="00EC7846">
        <w:rPr>
          <w:rFonts w:ascii="Times New Roman" w:hAnsi="Times New Roman"/>
          <w:sz w:val="24"/>
          <w:szCs w:val="24"/>
        </w:rPr>
        <w:t xml:space="preserve"> administrative process.  </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The likelihood of incomplete representation in a process that adopts a passive model for participation is well</w:t>
      </w:r>
      <w:r w:rsidR="00B932B8">
        <w:rPr>
          <w:rFonts w:ascii="Times New Roman" w:hAnsi="Times New Roman"/>
          <w:sz w:val="24"/>
          <w:szCs w:val="24"/>
        </w:rPr>
        <w:t xml:space="preserve"> </w:t>
      </w:r>
      <w:r w:rsidR="00632E52" w:rsidRPr="00EC7846">
        <w:rPr>
          <w:rFonts w:ascii="Times New Roman" w:hAnsi="Times New Roman"/>
          <w:sz w:val="24"/>
          <w:szCs w:val="24"/>
        </w:rPr>
        <w:t>accepted in the political science literature.  James Q. Wilson (1980) and William Gormley (1986) both developed 2</w:t>
      </w:r>
      <w:r w:rsidR="00B932B8">
        <w:rPr>
          <w:rFonts w:ascii="Times New Roman" w:hAnsi="Times New Roman"/>
          <w:sz w:val="24"/>
          <w:szCs w:val="24"/>
        </w:rPr>
        <w:t>x</w:t>
      </w:r>
      <w:r w:rsidR="00632E52" w:rsidRPr="00EC7846">
        <w:rPr>
          <w:rFonts w:ascii="Times New Roman" w:hAnsi="Times New Roman"/>
          <w:sz w:val="24"/>
          <w:szCs w:val="24"/>
        </w:rPr>
        <w:t xml:space="preserve">2 models that predict imbalanced policymaking </w:t>
      </w:r>
      <w:r w:rsidR="00632E52" w:rsidRPr="00EC7846">
        <w:rPr>
          <w:rFonts w:ascii="Times New Roman" w:hAnsi="Times New Roman"/>
          <w:sz w:val="24"/>
          <w:szCs w:val="24"/>
        </w:rPr>
        <w:lastRenderedPageBreak/>
        <w:t xml:space="preserve">processes for problems that are highly complex and for which the stakes of the general public are low and diffuse.  For these types of rules, which may well constitute the majority of agency rules in the social regulation area, Wilson and Gormley both predict that diffuse and often under-informed public beneficiaries will ultimately cede control </w:t>
      </w:r>
      <w:r w:rsidR="00B3163A">
        <w:rPr>
          <w:rFonts w:ascii="Times New Roman" w:hAnsi="Times New Roman"/>
          <w:sz w:val="24"/>
          <w:szCs w:val="24"/>
        </w:rPr>
        <w:t>of</w:t>
      </w:r>
      <w:r w:rsidR="00B3163A" w:rsidRPr="00EC7846">
        <w:rPr>
          <w:rFonts w:ascii="Times New Roman" w:hAnsi="Times New Roman"/>
          <w:sz w:val="24"/>
          <w:szCs w:val="24"/>
        </w:rPr>
        <w:t xml:space="preserve"> </w:t>
      </w:r>
      <w:r w:rsidR="00632E52" w:rsidRPr="00EC7846">
        <w:rPr>
          <w:rFonts w:ascii="Times New Roman" w:hAnsi="Times New Roman"/>
          <w:sz w:val="24"/>
          <w:szCs w:val="24"/>
        </w:rPr>
        <w:t xml:space="preserve">regulation </w:t>
      </w:r>
      <w:r w:rsidR="00B3163A">
        <w:rPr>
          <w:rFonts w:ascii="Times New Roman" w:hAnsi="Times New Roman"/>
          <w:sz w:val="24"/>
          <w:szCs w:val="24"/>
        </w:rPr>
        <w:t xml:space="preserve">over </w:t>
      </w:r>
      <w:r w:rsidR="00632E52" w:rsidRPr="00EC7846">
        <w:rPr>
          <w:rFonts w:ascii="Times New Roman" w:hAnsi="Times New Roman"/>
          <w:sz w:val="24"/>
          <w:szCs w:val="24"/>
        </w:rPr>
        <w:t xml:space="preserve">to the concentrated minority group of regulated parties.  </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It is thus not surprising that in U.S. administrative process, there is increas</w:t>
      </w:r>
      <w:r w:rsidR="00B932B8">
        <w:rPr>
          <w:rFonts w:ascii="Times New Roman" w:hAnsi="Times New Roman"/>
          <w:sz w:val="24"/>
          <w:szCs w:val="24"/>
        </w:rPr>
        <w:t>ing</w:t>
      </w:r>
      <w:r w:rsidR="00632E52" w:rsidRPr="00EC7846">
        <w:rPr>
          <w:rFonts w:ascii="Times New Roman" w:hAnsi="Times New Roman"/>
          <w:sz w:val="24"/>
          <w:szCs w:val="24"/>
        </w:rPr>
        <w:t xml:space="preserve"> evidence of a systematic “bias towards business” in less salient but still publicly important rules, where high</w:t>
      </w:r>
      <w:r w:rsidR="00B932B8">
        <w:rPr>
          <w:rFonts w:ascii="Times New Roman" w:hAnsi="Times New Roman"/>
          <w:sz w:val="24"/>
          <w:szCs w:val="24"/>
        </w:rPr>
        <w:t>-</w:t>
      </w:r>
      <w:r w:rsidR="00632E52" w:rsidRPr="00EC7846">
        <w:rPr>
          <w:rFonts w:ascii="Times New Roman" w:hAnsi="Times New Roman"/>
          <w:sz w:val="24"/>
          <w:szCs w:val="24"/>
        </w:rPr>
        <w:t xml:space="preserve"> stakes players can dominate the proceedings (Yackee and Yackee, 2006).  </w:t>
      </w:r>
      <w:r w:rsidR="00B3163A">
        <w:rPr>
          <w:rFonts w:ascii="Times New Roman" w:hAnsi="Times New Roman"/>
          <w:sz w:val="24"/>
          <w:szCs w:val="24"/>
        </w:rPr>
        <w:t xml:space="preserve">Out of the </w:t>
      </w:r>
      <w:r w:rsidR="00632E52" w:rsidRPr="00EC7846">
        <w:rPr>
          <w:rFonts w:ascii="Times New Roman" w:hAnsi="Times New Roman"/>
          <w:sz w:val="24"/>
          <w:szCs w:val="24"/>
        </w:rPr>
        <w:t xml:space="preserve">hundreds and possibly </w:t>
      </w:r>
      <w:r w:rsidR="00B3163A">
        <w:rPr>
          <w:rFonts w:ascii="Times New Roman" w:hAnsi="Times New Roman"/>
          <w:sz w:val="24"/>
          <w:szCs w:val="24"/>
        </w:rPr>
        <w:t xml:space="preserve">even </w:t>
      </w:r>
      <w:r w:rsidR="00632E52" w:rsidRPr="00EC7846">
        <w:rPr>
          <w:rFonts w:ascii="Times New Roman" w:hAnsi="Times New Roman"/>
          <w:sz w:val="24"/>
          <w:szCs w:val="24"/>
        </w:rPr>
        <w:t>thousands of agency rules promulgated annually, the representatives of the diffuse beneficiaries are</w:t>
      </w:r>
      <w:r w:rsidR="00B3163A">
        <w:rPr>
          <w:rFonts w:ascii="Times New Roman" w:hAnsi="Times New Roman"/>
          <w:sz w:val="24"/>
          <w:szCs w:val="24"/>
        </w:rPr>
        <w:t xml:space="preserve"> simply</w:t>
      </w:r>
      <w:r w:rsidR="00632E52" w:rsidRPr="00EC7846">
        <w:rPr>
          <w:rFonts w:ascii="Times New Roman" w:hAnsi="Times New Roman"/>
          <w:sz w:val="24"/>
          <w:szCs w:val="24"/>
        </w:rPr>
        <w:t xml:space="preserve"> not able to keep up with regulated industry, </w:t>
      </w:r>
      <w:r w:rsidR="00B3163A">
        <w:rPr>
          <w:rFonts w:ascii="Times New Roman" w:hAnsi="Times New Roman"/>
          <w:sz w:val="24"/>
          <w:szCs w:val="24"/>
        </w:rPr>
        <w:t>sometimes dropping out of the rulemakings entirely</w:t>
      </w:r>
      <w:r w:rsidR="00632E52" w:rsidRPr="00EC7846">
        <w:rPr>
          <w:rFonts w:ascii="Times New Roman" w:hAnsi="Times New Roman"/>
          <w:sz w:val="24"/>
          <w:szCs w:val="24"/>
        </w:rPr>
        <w:t xml:space="preserve">.  </w:t>
      </w:r>
      <w:r w:rsidR="00016EDD">
        <w:rPr>
          <w:rFonts w:ascii="Times New Roman" w:hAnsi="Times New Roman"/>
          <w:sz w:val="24"/>
          <w:szCs w:val="24"/>
        </w:rPr>
        <w:t>In fact, i</w:t>
      </w:r>
      <w:r w:rsidR="00632E52" w:rsidRPr="00EC7846">
        <w:rPr>
          <w:rFonts w:ascii="Times New Roman" w:hAnsi="Times New Roman"/>
          <w:sz w:val="24"/>
          <w:szCs w:val="24"/>
        </w:rPr>
        <w:t>n virtually every empirical study examining interest group participation, public interest groups participated in only half of the rules under study, despite the fact that the public interest was affected by all or nearly all of the rules (e.g., Wagner et al, p.109, 2011).</w:t>
      </w:r>
      <w:r w:rsidR="00632E52" w:rsidRPr="00EC7846">
        <w:rPr>
          <w:rStyle w:val="EndnoteReference"/>
          <w:rFonts w:ascii="Times New Roman" w:hAnsi="Times New Roman"/>
          <w:sz w:val="24"/>
          <w:szCs w:val="24"/>
        </w:rPr>
        <w:t xml:space="preserve"> </w:t>
      </w:r>
    </w:p>
    <w:p w:rsidR="00632E52" w:rsidRPr="00EC7846" w:rsidRDefault="008B7CD3" w:rsidP="008B7CD3">
      <w:pPr>
        <w:pStyle w:val="ListParagraph"/>
        <w:spacing w:line="480" w:lineRule="auto"/>
        <w:ind w:left="0"/>
        <w:rPr>
          <w:rFonts w:ascii="Times New Roman" w:hAnsi="Times New Roman"/>
          <w:i/>
          <w:sz w:val="24"/>
          <w:szCs w:val="24"/>
        </w:rPr>
      </w:pPr>
      <w:r>
        <w:rPr>
          <w:rFonts w:ascii="Times New Roman" w:hAnsi="Times New Roman"/>
          <w:sz w:val="24"/>
          <w:szCs w:val="24"/>
        </w:rPr>
        <w:tab/>
      </w:r>
      <w:r w:rsidR="00632E52" w:rsidRPr="00EC7846">
        <w:rPr>
          <w:rFonts w:ascii="Times New Roman" w:hAnsi="Times New Roman"/>
          <w:sz w:val="24"/>
          <w:szCs w:val="24"/>
        </w:rPr>
        <w:t>Under the APA, however, the fact that the notice</w:t>
      </w:r>
      <w:r w:rsidR="00B932B8">
        <w:rPr>
          <w:rFonts w:ascii="Times New Roman" w:hAnsi="Times New Roman"/>
          <w:sz w:val="24"/>
          <w:szCs w:val="24"/>
        </w:rPr>
        <w:t>-</w:t>
      </w:r>
      <w:r w:rsidR="00632E52" w:rsidRPr="00EC7846">
        <w:rPr>
          <w:rFonts w:ascii="Times New Roman" w:hAnsi="Times New Roman"/>
          <w:sz w:val="24"/>
          <w:szCs w:val="24"/>
        </w:rPr>
        <w:t>and</w:t>
      </w:r>
      <w:r w:rsidR="00B932B8">
        <w:rPr>
          <w:rFonts w:ascii="Times New Roman" w:hAnsi="Times New Roman"/>
          <w:sz w:val="24"/>
          <w:szCs w:val="24"/>
        </w:rPr>
        <w:t>-</w:t>
      </w:r>
      <w:r w:rsidR="00632E52" w:rsidRPr="00EC7846">
        <w:rPr>
          <w:rFonts w:ascii="Times New Roman" w:hAnsi="Times New Roman"/>
          <w:sz w:val="24"/>
          <w:szCs w:val="24"/>
        </w:rPr>
        <w:t xml:space="preserve">comment process has been dominated by only one set of interests – for example, the regulated parties – is irrelevant as a matter of law.  The agency is not even required to make note of the fact that significant affected groups were not represented in a rule </w:t>
      </w:r>
      <w:r w:rsidR="00016EDD">
        <w:rPr>
          <w:rFonts w:ascii="Times New Roman" w:hAnsi="Times New Roman"/>
          <w:sz w:val="24"/>
          <w:szCs w:val="24"/>
        </w:rPr>
        <w:t>(</w:t>
      </w:r>
      <w:r w:rsidR="00632E52" w:rsidRPr="00EC7846">
        <w:rPr>
          <w:rFonts w:ascii="Times New Roman" w:hAnsi="Times New Roman"/>
          <w:sz w:val="24"/>
          <w:szCs w:val="24"/>
        </w:rPr>
        <w:t>much less attempt to infer what those groups might have wanted had they participated</w:t>
      </w:r>
      <w:r w:rsidR="00016EDD">
        <w:rPr>
          <w:rFonts w:ascii="Times New Roman" w:hAnsi="Times New Roman"/>
          <w:sz w:val="24"/>
          <w:szCs w:val="24"/>
        </w:rPr>
        <w:t xml:space="preserve"> or </w:t>
      </w:r>
      <w:r w:rsidR="00632E52" w:rsidRPr="00EC7846">
        <w:rPr>
          <w:rFonts w:ascii="Times New Roman" w:hAnsi="Times New Roman"/>
          <w:sz w:val="24"/>
          <w:szCs w:val="24"/>
        </w:rPr>
        <w:t>why they were absent</w:t>
      </w:r>
      <w:r w:rsidR="00016EDD">
        <w:rPr>
          <w:rFonts w:ascii="Times New Roman" w:hAnsi="Times New Roman"/>
          <w:sz w:val="24"/>
          <w:szCs w:val="24"/>
        </w:rPr>
        <w:t xml:space="preserve"> from the rulemakings process</w:t>
      </w:r>
      <w:r w:rsidR="00632E52" w:rsidRPr="00EC7846">
        <w:rPr>
          <w:rFonts w:ascii="Times New Roman" w:hAnsi="Times New Roman"/>
          <w:sz w:val="24"/>
          <w:szCs w:val="24"/>
        </w:rPr>
        <w:t>)</w:t>
      </w:r>
      <w:r w:rsidR="00632E52">
        <w:rPr>
          <w:rFonts w:ascii="Times New Roman" w:hAnsi="Times New Roman"/>
          <w:sz w:val="24"/>
          <w:szCs w:val="24"/>
        </w:rPr>
        <w:t>, as long as</w:t>
      </w:r>
      <w:r w:rsidR="00632E52" w:rsidRPr="00EC7846">
        <w:rPr>
          <w:rFonts w:ascii="Times New Roman" w:hAnsi="Times New Roman"/>
          <w:sz w:val="24"/>
          <w:szCs w:val="24"/>
        </w:rPr>
        <w:t xml:space="preserve"> the agency</w:t>
      </w:r>
      <w:r w:rsidR="00632E52">
        <w:rPr>
          <w:rFonts w:ascii="Times New Roman" w:hAnsi="Times New Roman"/>
          <w:sz w:val="24"/>
          <w:szCs w:val="24"/>
        </w:rPr>
        <w:t>’s exercise of discretion remains</w:t>
      </w:r>
      <w:r w:rsidR="00632E52" w:rsidRPr="00EC7846">
        <w:rPr>
          <w:rFonts w:ascii="Times New Roman" w:hAnsi="Times New Roman"/>
          <w:sz w:val="24"/>
          <w:szCs w:val="24"/>
        </w:rPr>
        <w:t xml:space="preserve"> within its statutory </w:t>
      </w:r>
      <w:r w:rsidR="00632E52">
        <w:rPr>
          <w:rFonts w:ascii="Times New Roman" w:hAnsi="Times New Roman"/>
          <w:sz w:val="24"/>
          <w:szCs w:val="24"/>
        </w:rPr>
        <w:t>mandate</w:t>
      </w:r>
      <w:r w:rsidR="00632E52" w:rsidRPr="00EC7846">
        <w:rPr>
          <w:rFonts w:ascii="Times New Roman" w:hAnsi="Times New Roman"/>
          <w:sz w:val="24"/>
          <w:szCs w:val="24"/>
        </w:rPr>
        <w:t>.</w:t>
      </w:r>
      <w:r w:rsidR="00B932B8">
        <w:rPr>
          <w:rFonts w:ascii="Times New Roman" w:hAnsi="Times New Roman"/>
          <w:sz w:val="24"/>
          <w:szCs w:val="24"/>
        </w:rPr>
        <w:t xml:space="preserve">  </w:t>
      </w:r>
      <w:r w:rsidR="00632E52" w:rsidRPr="00EC7846">
        <w:rPr>
          <w:rFonts w:ascii="Times New Roman" w:hAnsi="Times New Roman"/>
          <w:sz w:val="24"/>
          <w:szCs w:val="24"/>
        </w:rPr>
        <w:t xml:space="preserve">Since the process is based only on providing the opportunity to participate, regardless of whether resources exist to </w:t>
      </w:r>
      <w:r w:rsidR="00632E52">
        <w:rPr>
          <w:rFonts w:ascii="Times New Roman" w:hAnsi="Times New Roman"/>
          <w:sz w:val="24"/>
          <w:szCs w:val="24"/>
        </w:rPr>
        <w:t xml:space="preserve">actually </w:t>
      </w:r>
      <w:r w:rsidR="00632E52" w:rsidRPr="00EC7846">
        <w:rPr>
          <w:rFonts w:ascii="Times New Roman" w:hAnsi="Times New Roman"/>
          <w:sz w:val="24"/>
          <w:szCs w:val="24"/>
        </w:rPr>
        <w:t>effectuate those participatory rights, those who do not avail themselves of the process are assumed</w:t>
      </w:r>
      <w:r w:rsidR="00016EDD">
        <w:rPr>
          <w:rFonts w:ascii="Times New Roman" w:hAnsi="Times New Roman"/>
          <w:sz w:val="24"/>
          <w:szCs w:val="24"/>
        </w:rPr>
        <w:t>,</w:t>
      </w:r>
      <w:r w:rsidR="00632E52" w:rsidRPr="00EC7846">
        <w:rPr>
          <w:rFonts w:ascii="Times New Roman" w:hAnsi="Times New Roman"/>
          <w:sz w:val="24"/>
          <w:szCs w:val="24"/>
        </w:rPr>
        <w:t xml:space="preserve"> as a matter of law</w:t>
      </w:r>
      <w:r w:rsidR="00016EDD">
        <w:rPr>
          <w:rFonts w:ascii="Times New Roman" w:hAnsi="Times New Roman"/>
          <w:sz w:val="24"/>
          <w:szCs w:val="24"/>
        </w:rPr>
        <w:t>,</w:t>
      </w:r>
      <w:r w:rsidR="00632E52" w:rsidRPr="00EC7846">
        <w:rPr>
          <w:rFonts w:ascii="Times New Roman" w:hAnsi="Times New Roman"/>
          <w:sz w:val="24"/>
          <w:szCs w:val="24"/>
        </w:rPr>
        <w:t xml:space="preserve"> to be both uninterested and unaffected. </w:t>
      </w:r>
      <w:r w:rsidR="00632E52" w:rsidRPr="00EC7846">
        <w:rPr>
          <w:rFonts w:ascii="Times New Roman" w:hAnsi="Times New Roman"/>
          <w:i/>
          <w:sz w:val="24"/>
          <w:szCs w:val="24"/>
        </w:rPr>
        <w:t xml:space="preserve"> </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lastRenderedPageBreak/>
        <w:tab/>
      </w:r>
      <w:r w:rsidR="00632E52" w:rsidRPr="00EC7846">
        <w:rPr>
          <w:rFonts w:ascii="Times New Roman" w:hAnsi="Times New Roman"/>
          <w:sz w:val="24"/>
          <w:szCs w:val="24"/>
        </w:rPr>
        <w:t>The agency can reach out to these parties informally,</w:t>
      </w:r>
      <w:r w:rsidR="00016EDD">
        <w:rPr>
          <w:rFonts w:ascii="Times New Roman" w:hAnsi="Times New Roman"/>
          <w:sz w:val="24"/>
          <w:szCs w:val="24"/>
        </w:rPr>
        <w:t xml:space="preserve"> of course, but</w:t>
      </w:r>
      <w:r w:rsidR="00632E52" w:rsidRPr="00EC7846">
        <w:rPr>
          <w:rFonts w:ascii="Times New Roman" w:hAnsi="Times New Roman"/>
          <w:sz w:val="24"/>
          <w:szCs w:val="24"/>
        </w:rPr>
        <w:t xml:space="preserve"> </w:t>
      </w:r>
      <w:r w:rsidR="00016EDD">
        <w:rPr>
          <w:rFonts w:ascii="Times New Roman" w:hAnsi="Times New Roman"/>
          <w:sz w:val="24"/>
          <w:szCs w:val="24"/>
        </w:rPr>
        <w:t xml:space="preserve">doing so would often overload an already heavy rulemaking docket. </w:t>
      </w:r>
      <w:r w:rsidR="00632E52" w:rsidRPr="00EC7846">
        <w:rPr>
          <w:rFonts w:ascii="Times New Roman" w:hAnsi="Times New Roman"/>
          <w:sz w:val="24"/>
          <w:szCs w:val="24"/>
        </w:rPr>
        <w:t>Moreover, if the agency attemp</w:t>
      </w:r>
      <w:r w:rsidR="00B932B8">
        <w:rPr>
          <w:rFonts w:ascii="Times New Roman" w:hAnsi="Times New Roman"/>
          <w:sz w:val="24"/>
          <w:szCs w:val="24"/>
        </w:rPr>
        <w:t>ts</w:t>
      </w:r>
      <w:r w:rsidR="00632E52" w:rsidRPr="00EC7846">
        <w:rPr>
          <w:rFonts w:ascii="Times New Roman" w:hAnsi="Times New Roman"/>
          <w:sz w:val="24"/>
          <w:szCs w:val="24"/>
        </w:rPr>
        <w:t xml:space="preserve"> to advance concerns that it </w:t>
      </w:r>
      <w:r w:rsidR="00B932B8">
        <w:rPr>
          <w:rFonts w:ascii="Times New Roman" w:hAnsi="Times New Roman"/>
          <w:sz w:val="24"/>
          <w:szCs w:val="24"/>
        </w:rPr>
        <w:t>associates with</w:t>
      </w:r>
      <w:r w:rsidR="00632E52" w:rsidRPr="00EC7846">
        <w:rPr>
          <w:rFonts w:ascii="Times New Roman" w:hAnsi="Times New Roman"/>
          <w:sz w:val="24"/>
          <w:szCs w:val="24"/>
        </w:rPr>
        <w:t xml:space="preserve"> these unrepresented groups</w:t>
      </w:r>
      <w:r w:rsidR="00B932B8">
        <w:rPr>
          <w:rFonts w:ascii="Times New Roman" w:hAnsi="Times New Roman"/>
          <w:sz w:val="24"/>
          <w:szCs w:val="24"/>
        </w:rPr>
        <w:t xml:space="preserve"> its </w:t>
      </w:r>
      <w:r w:rsidR="00632E52" w:rsidRPr="00EC7846">
        <w:rPr>
          <w:rFonts w:ascii="Times New Roman" w:hAnsi="Times New Roman"/>
          <w:sz w:val="24"/>
          <w:szCs w:val="24"/>
        </w:rPr>
        <w:t xml:space="preserve">activism could actually increase the vulnerability of the rule to challenge by opponents who placed their concerns on the record and preserved their right to challenge the agency in court.  From the agency’s perspective, focusing only </w:t>
      </w:r>
      <w:r w:rsidR="00B932B8">
        <w:rPr>
          <w:rFonts w:ascii="Times New Roman" w:hAnsi="Times New Roman"/>
          <w:sz w:val="24"/>
          <w:szCs w:val="24"/>
        </w:rPr>
        <w:t xml:space="preserve">on </w:t>
      </w:r>
      <w:r w:rsidR="00632E52" w:rsidRPr="00EC7846">
        <w:rPr>
          <w:rFonts w:ascii="Times New Roman" w:hAnsi="Times New Roman"/>
          <w:sz w:val="24"/>
          <w:szCs w:val="24"/>
        </w:rPr>
        <w:t xml:space="preserve">the comments logged into the record is the legally safer, as well as the more expedient and politically neutral course for </w:t>
      </w:r>
      <w:r w:rsidR="00016EDD">
        <w:rPr>
          <w:rFonts w:ascii="Times New Roman" w:hAnsi="Times New Roman"/>
          <w:sz w:val="24"/>
          <w:szCs w:val="24"/>
        </w:rPr>
        <w:t>dealing with gaps in participation</w:t>
      </w:r>
      <w:r w:rsidR="00632E52" w:rsidRPr="00EC7846">
        <w:rPr>
          <w:rFonts w:ascii="Times New Roman" w:hAnsi="Times New Roman"/>
          <w:i/>
          <w:sz w:val="24"/>
          <w:szCs w:val="24"/>
        </w:rPr>
        <w:t xml:space="preserve">.  </w:t>
      </w:r>
      <w:r w:rsidR="00016EDD">
        <w:rPr>
          <w:rFonts w:ascii="Times New Roman" w:hAnsi="Times New Roman"/>
          <w:sz w:val="24"/>
          <w:szCs w:val="24"/>
        </w:rPr>
        <w:t>And, consequently, e</w:t>
      </w:r>
      <w:r w:rsidR="00632E52" w:rsidRPr="00EC7846">
        <w:rPr>
          <w:rFonts w:ascii="Times New Roman" w:hAnsi="Times New Roman"/>
          <w:sz w:val="24"/>
          <w:szCs w:val="24"/>
        </w:rPr>
        <w:t xml:space="preserve">mpirical evidence suggests that agencies </w:t>
      </w:r>
      <w:r w:rsidR="00016EDD">
        <w:rPr>
          <w:rFonts w:ascii="Times New Roman" w:hAnsi="Times New Roman"/>
          <w:sz w:val="24"/>
          <w:szCs w:val="24"/>
        </w:rPr>
        <w:t xml:space="preserve">act as such: the final changes in agency rules </w:t>
      </w:r>
      <w:r w:rsidR="00632E52" w:rsidRPr="00EC7846">
        <w:rPr>
          <w:rFonts w:ascii="Times New Roman" w:hAnsi="Times New Roman"/>
          <w:sz w:val="24"/>
          <w:szCs w:val="24"/>
        </w:rPr>
        <w:t>tend to track – in a statistically significant way – the types of comments the</w:t>
      </w:r>
      <w:r w:rsidR="00393CC8">
        <w:rPr>
          <w:rFonts w:ascii="Times New Roman" w:hAnsi="Times New Roman"/>
          <w:sz w:val="24"/>
          <w:szCs w:val="24"/>
        </w:rPr>
        <w:t xml:space="preserve"> agencies</w:t>
      </w:r>
      <w:r w:rsidR="00632E52" w:rsidRPr="00EC7846">
        <w:rPr>
          <w:rFonts w:ascii="Times New Roman" w:hAnsi="Times New Roman"/>
          <w:sz w:val="24"/>
          <w:szCs w:val="24"/>
        </w:rPr>
        <w:t xml:space="preserve"> receive (Yackee and Yackee, 2006; Wagner et al, 2011).    </w:t>
      </w:r>
    </w:p>
    <w:p w:rsidR="00632E52" w:rsidRPr="008B7CD3"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A second, more subtle structural participatory weakness in the design of the APA is the mixed message it sends to agenc</w:t>
      </w:r>
      <w:r w:rsidR="008F3BE8">
        <w:rPr>
          <w:rFonts w:ascii="Times New Roman" w:hAnsi="Times New Roman"/>
          <w:sz w:val="24"/>
          <w:szCs w:val="24"/>
        </w:rPr>
        <w:t>ies</w:t>
      </w:r>
      <w:r w:rsidR="00632E52" w:rsidRPr="00EC7846">
        <w:rPr>
          <w:rFonts w:ascii="Times New Roman" w:hAnsi="Times New Roman"/>
          <w:sz w:val="24"/>
          <w:szCs w:val="24"/>
        </w:rPr>
        <w:t xml:space="preserve"> to ensure that its proposals are accessible to the full range of participants.  On paper, the APA requires that an agency’s proposal be clear and</w:t>
      </w:r>
      <w:r w:rsidR="00632E52">
        <w:rPr>
          <w:rFonts w:ascii="Times New Roman" w:hAnsi="Times New Roman"/>
          <w:sz w:val="24"/>
          <w:szCs w:val="24"/>
        </w:rPr>
        <w:t xml:space="preserve"> succinct.  S</w:t>
      </w:r>
      <w:r w:rsidR="00632E52" w:rsidRPr="00EC7846">
        <w:rPr>
          <w:rFonts w:ascii="Times New Roman" w:hAnsi="Times New Roman"/>
          <w:sz w:val="24"/>
          <w:szCs w:val="24"/>
        </w:rPr>
        <w:t>pecifically, the agency is required to provide a “</w:t>
      </w:r>
      <w:r w:rsidR="00D157F0" w:rsidRPr="00D157F0">
        <w:rPr>
          <w:rFonts w:ascii="Times New Roman" w:hAnsi="Times New Roman"/>
          <w:i/>
          <w:sz w:val="24"/>
          <w:szCs w:val="24"/>
        </w:rPr>
        <w:t>concise general</w:t>
      </w:r>
      <w:r w:rsidR="00D157F0" w:rsidRPr="00D157F0">
        <w:rPr>
          <w:rFonts w:ascii="Times New Roman" w:hAnsi="Times New Roman"/>
          <w:sz w:val="24"/>
          <w:szCs w:val="24"/>
        </w:rPr>
        <w:t xml:space="preserve"> </w:t>
      </w:r>
      <w:r w:rsidR="00D157F0" w:rsidRPr="00D157F0">
        <w:rPr>
          <w:rFonts w:ascii="Times New Roman" w:hAnsi="Times New Roman"/>
          <w:i/>
          <w:sz w:val="24"/>
          <w:szCs w:val="24"/>
        </w:rPr>
        <w:t>statement</w:t>
      </w:r>
      <w:r w:rsidR="00632E52" w:rsidRPr="00EC7846">
        <w:rPr>
          <w:rFonts w:ascii="Times New Roman" w:hAnsi="Times New Roman"/>
          <w:sz w:val="24"/>
          <w:szCs w:val="24"/>
        </w:rPr>
        <w:t xml:space="preserve"> of their basis and purpose [for the rule]” (§ 553(c))</w:t>
      </w:r>
      <w:r w:rsidR="00B932B8">
        <w:rPr>
          <w:rFonts w:ascii="Times New Roman" w:hAnsi="Times New Roman"/>
          <w:sz w:val="24"/>
          <w:szCs w:val="24"/>
        </w:rPr>
        <w:t xml:space="preserve"> (emphasis added)</w:t>
      </w:r>
      <w:r w:rsidR="00632E52" w:rsidRPr="00EC7846">
        <w:rPr>
          <w:rFonts w:ascii="Times New Roman" w:hAnsi="Times New Roman"/>
          <w:sz w:val="24"/>
          <w:szCs w:val="24"/>
        </w:rPr>
        <w:t xml:space="preserve">.  But perhaps because it is a subjective feature that eludes easy enforcement, the courts rarely reverse a rule for </w:t>
      </w:r>
      <w:r w:rsidR="00B932B8">
        <w:rPr>
          <w:rFonts w:ascii="Times New Roman" w:hAnsi="Times New Roman"/>
          <w:sz w:val="24"/>
          <w:szCs w:val="24"/>
        </w:rPr>
        <w:t>having an</w:t>
      </w:r>
      <w:r w:rsidR="00632E52" w:rsidRPr="00EC7846">
        <w:rPr>
          <w:rFonts w:ascii="Times New Roman" w:hAnsi="Times New Roman"/>
          <w:sz w:val="24"/>
          <w:szCs w:val="24"/>
        </w:rPr>
        <w:t xml:space="preserve"> unduly complex </w:t>
      </w:r>
      <w:r w:rsidR="00B932B8">
        <w:rPr>
          <w:rFonts w:ascii="Times New Roman" w:hAnsi="Times New Roman"/>
          <w:sz w:val="24"/>
          <w:szCs w:val="24"/>
        </w:rPr>
        <w:t xml:space="preserve">statement of basis and purpose </w:t>
      </w:r>
      <w:r w:rsidR="00632E52" w:rsidRPr="00EC7846">
        <w:rPr>
          <w:rFonts w:ascii="Times New Roman" w:hAnsi="Times New Roman"/>
          <w:sz w:val="24"/>
          <w:szCs w:val="24"/>
        </w:rPr>
        <w:t>and instead tend</w:t>
      </w:r>
      <w:r w:rsidR="00393CC8">
        <w:rPr>
          <w:rFonts w:ascii="Times New Roman" w:hAnsi="Times New Roman"/>
          <w:sz w:val="24"/>
          <w:szCs w:val="24"/>
        </w:rPr>
        <w:t>, albeit</w:t>
      </w:r>
      <w:r w:rsidR="00632E52" w:rsidRPr="00EC7846">
        <w:rPr>
          <w:rFonts w:ascii="Times New Roman" w:hAnsi="Times New Roman"/>
          <w:sz w:val="24"/>
          <w:szCs w:val="24"/>
        </w:rPr>
        <w:t xml:space="preserve"> </w:t>
      </w:r>
      <w:r w:rsidR="008F3BE8">
        <w:rPr>
          <w:rFonts w:ascii="Times New Roman" w:hAnsi="Times New Roman"/>
          <w:sz w:val="24"/>
          <w:szCs w:val="24"/>
        </w:rPr>
        <w:t>unwittingly</w:t>
      </w:r>
      <w:r w:rsidR="00393CC8">
        <w:rPr>
          <w:rFonts w:ascii="Times New Roman" w:hAnsi="Times New Roman"/>
          <w:sz w:val="24"/>
          <w:szCs w:val="24"/>
        </w:rPr>
        <w:t>, to</w:t>
      </w:r>
      <w:r w:rsidR="008F3BE8">
        <w:rPr>
          <w:rFonts w:ascii="Times New Roman" w:hAnsi="Times New Roman"/>
          <w:sz w:val="24"/>
          <w:szCs w:val="24"/>
        </w:rPr>
        <w:t xml:space="preserve"> encourage and incentivize “complexification</w:t>
      </w:r>
      <w:r w:rsidR="00632E52" w:rsidRPr="00EC7846">
        <w:rPr>
          <w:rFonts w:ascii="Times New Roman" w:hAnsi="Times New Roman"/>
          <w:sz w:val="24"/>
          <w:szCs w:val="24"/>
        </w:rPr>
        <w:t>.</w:t>
      </w:r>
      <w:r w:rsidR="008F3BE8">
        <w:rPr>
          <w:rFonts w:ascii="Times New Roman" w:hAnsi="Times New Roman"/>
          <w:sz w:val="24"/>
          <w:szCs w:val="24"/>
        </w:rPr>
        <w:t>”</w:t>
      </w:r>
      <w:r w:rsidR="00632E52" w:rsidRPr="00EC7846">
        <w:rPr>
          <w:rFonts w:ascii="Times New Roman" w:hAnsi="Times New Roman"/>
          <w:sz w:val="24"/>
          <w:szCs w:val="24"/>
        </w:rPr>
        <w:t xml:space="preserve">  For example, the APA places no limit on the number and volume of comments, and at the same time the courts demand that the agency must consider all of these comments carefully.  As Richard Pierce observes, “[t]he courts have replaced the statutory adjectives, ‘concise’ and ‘general’ with the judicial adjectives ‘detailed’ and ‘encyclopedic’” (Pierce, p.445, 2010).</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lastRenderedPageBreak/>
        <w:tab/>
      </w:r>
      <w:r w:rsidR="00632E52" w:rsidRPr="00EC7846">
        <w:rPr>
          <w:rFonts w:ascii="Times New Roman" w:hAnsi="Times New Roman"/>
          <w:sz w:val="24"/>
          <w:szCs w:val="24"/>
        </w:rPr>
        <w:t>More subtle incentives may also encourage agencies to promulgate unduly complex rules.  For example, agencies appear more likely to avoid political controversy in settings where the</w:t>
      </w:r>
      <w:r w:rsidR="00632E52">
        <w:rPr>
          <w:rFonts w:ascii="Times New Roman" w:hAnsi="Times New Roman"/>
          <w:sz w:val="24"/>
          <w:szCs w:val="24"/>
        </w:rPr>
        <w:t>ir rules are incomprehensible.  B</w:t>
      </w:r>
      <w:r w:rsidR="00632E52" w:rsidRPr="00EC7846">
        <w:rPr>
          <w:rFonts w:ascii="Times New Roman" w:hAnsi="Times New Roman"/>
          <w:sz w:val="24"/>
          <w:szCs w:val="24"/>
        </w:rPr>
        <w:t xml:space="preserve">oth the White House and Congress are less likely to intervene if they cannot understand what the agency is doing (Wagner, 1995).  At the same time, in insulating its policies through excessive complexity and opacity, the agency enjoys more discretion and authority.  </w:t>
      </w:r>
      <w:r w:rsidR="00056AB9">
        <w:rPr>
          <w:rFonts w:ascii="Times New Roman" w:hAnsi="Times New Roman"/>
          <w:sz w:val="24"/>
          <w:szCs w:val="24"/>
        </w:rPr>
        <w:t>That</w:t>
      </w:r>
      <w:r w:rsidR="00B932B8">
        <w:rPr>
          <w:rFonts w:ascii="Times New Roman" w:hAnsi="Times New Roman"/>
          <w:sz w:val="24"/>
          <w:szCs w:val="24"/>
        </w:rPr>
        <w:t xml:space="preserve"> is</w:t>
      </w:r>
      <w:r w:rsidR="00056AB9">
        <w:rPr>
          <w:rFonts w:ascii="Times New Roman" w:hAnsi="Times New Roman"/>
          <w:sz w:val="24"/>
          <w:szCs w:val="24"/>
        </w:rPr>
        <w:t xml:space="preserve"> not to say</w:t>
      </w:r>
      <w:r w:rsidR="00632E52" w:rsidRPr="00EC7846">
        <w:rPr>
          <w:rFonts w:ascii="Times New Roman" w:hAnsi="Times New Roman"/>
          <w:sz w:val="24"/>
          <w:szCs w:val="24"/>
        </w:rPr>
        <w:t xml:space="preserve"> these incentives necessarily </w:t>
      </w:r>
      <w:r w:rsidR="00056AB9">
        <w:rPr>
          <w:rFonts w:ascii="Times New Roman" w:hAnsi="Times New Roman"/>
          <w:sz w:val="24"/>
          <w:szCs w:val="24"/>
        </w:rPr>
        <w:t>lead</w:t>
      </w:r>
      <w:r w:rsidR="00056AB9" w:rsidRPr="00EC7846">
        <w:rPr>
          <w:rFonts w:ascii="Times New Roman" w:hAnsi="Times New Roman"/>
          <w:sz w:val="24"/>
          <w:szCs w:val="24"/>
        </w:rPr>
        <w:t xml:space="preserve"> </w:t>
      </w:r>
      <w:r w:rsidR="00632E52" w:rsidRPr="00EC7846">
        <w:rPr>
          <w:rFonts w:ascii="Times New Roman" w:hAnsi="Times New Roman"/>
          <w:sz w:val="24"/>
          <w:szCs w:val="24"/>
        </w:rPr>
        <w:t xml:space="preserve">to a conscious agency strategy to deliberately complexify rules.  </w:t>
      </w:r>
      <w:r w:rsidR="00056AB9">
        <w:rPr>
          <w:rFonts w:ascii="Times New Roman" w:hAnsi="Times New Roman"/>
          <w:sz w:val="24"/>
          <w:szCs w:val="24"/>
        </w:rPr>
        <w:t xml:space="preserve">However, there is also little counter pressure offsetting the agency’s tendency to </w:t>
      </w:r>
      <w:r w:rsidR="00632E52" w:rsidRPr="00EC7846">
        <w:rPr>
          <w:rFonts w:ascii="Times New Roman" w:hAnsi="Times New Roman"/>
          <w:sz w:val="24"/>
          <w:szCs w:val="24"/>
        </w:rPr>
        <w:t>write unnecessarily long, detailed, and</w:t>
      </w:r>
      <w:r w:rsidR="00056AB9">
        <w:rPr>
          <w:rFonts w:ascii="Times New Roman" w:hAnsi="Times New Roman"/>
          <w:sz w:val="24"/>
          <w:szCs w:val="24"/>
        </w:rPr>
        <w:t xml:space="preserve"> largely</w:t>
      </w:r>
      <w:r w:rsidR="00632E52" w:rsidRPr="00EC7846">
        <w:rPr>
          <w:rFonts w:ascii="Times New Roman" w:hAnsi="Times New Roman"/>
          <w:sz w:val="24"/>
          <w:szCs w:val="24"/>
        </w:rPr>
        <w:t xml:space="preserve"> inaccessible </w:t>
      </w:r>
      <w:r w:rsidR="00056AB9">
        <w:rPr>
          <w:rFonts w:ascii="Times New Roman" w:hAnsi="Times New Roman"/>
          <w:sz w:val="24"/>
          <w:szCs w:val="24"/>
        </w:rPr>
        <w:t xml:space="preserve">rules. </w:t>
      </w:r>
      <w:r w:rsidR="00B932B8">
        <w:rPr>
          <w:rFonts w:ascii="Times New Roman" w:hAnsi="Times New Roman"/>
          <w:sz w:val="24"/>
          <w:szCs w:val="24"/>
        </w:rPr>
        <w:t xml:space="preserve"> B</w:t>
      </w:r>
      <w:r w:rsidR="00056AB9">
        <w:rPr>
          <w:rFonts w:ascii="Times New Roman" w:hAnsi="Times New Roman"/>
          <w:sz w:val="24"/>
          <w:szCs w:val="24"/>
        </w:rPr>
        <w:t xml:space="preserve">ecause </w:t>
      </w:r>
      <w:r w:rsidR="00632E52" w:rsidRPr="00EC7846">
        <w:rPr>
          <w:rFonts w:ascii="Times New Roman" w:hAnsi="Times New Roman"/>
          <w:sz w:val="24"/>
          <w:szCs w:val="24"/>
        </w:rPr>
        <w:t xml:space="preserve">thinly financed </w:t>
      </w:r>
      <w:r w:rsidR="00B932B8">
        <w:rPr>
          <w:rFonts w:ascii="Times New Roman" w:hAnsi="Times New Roman"/>
          <w:sz w:val="24"/>
          <w:szCs w:val="24"/>
        </w:rPr>
        <w:t xml:space="preserve">public interest </w:t>
      </w:r>
      <w:r w:rsidR="00632E52" w:rsidRPr="00EC7846">
        <w:rPr>
          <w:rFonts w:ascii="Times New Roman" w:hAnsi="Times New Roman"/>
          <w:sz w:val="24"/>
          <w:szCs w:val="24"/>
        </w:rPr>
        <w:t xml:space="preserve">groups are already </w:t>
      </w:r>
      <w:r w:rsidR="00056AB9">
        <w:rPr>
          <w:rFonts w:ascii="Times New Roman" w:hAnsi="Times New Roman"/>
          <w:sz w:val="24"/>
          <w:szCs w:val="24"/>
        </w:rPr>
        <w:t>straining to find</w:t>
      </w:r>
      <w:r w:rsidR="00632E52" w:rsidRPr="00EC7846">
        <w:rPr>
          <w:rFonts w:ascii="Times New Roman" w:hAnsi="Times New Roman"/>
          <w:sz w:val="24"/>
          <w:szCs w:val="24"/>
        </w:rPr>
        <w:t xml:space="preserve"> </w:t>
      </w:r>
      <w:r w:rsidR="00056AB9">
        <w:rPr>
          <w:rFonts w:ascii="Times New Roman" w:hAnsi="Times New Roman"/>
          <w:sz w:val="24"/>
          <w:szCs w:val="24"/>
        </w:rPr>
        <w:t xml:space="preserve">resources </w:t>
      </w:r>
      <w:r w:rsidR="00393CC8">
        <w:rPr>
          <w:rFonts w:ascii="Times New Roman" w:hAnsi="Times New Roman"/>
          <w:sz w:val="24"/>
          <w:szCs w:val="24"/>
        </w:rPr>
        <w:t>to</w:t>
      </w:r>
      <w:r w:rsidR="00056AB9">
        <w:rPr>
          <w:rFonts w:ascii="Times New Roman" w:hAnsi="Times New Roman"/>
          <w:sz w:val="24"/>
          <w:szCs w:val="24"/>
        </w:rPr>
        <w:t xml:space="preserve"> participat</w:t>
      </w:r>
      <w:r w:rsidR="00393CC8">
        <w:rPr>
          <w:rFonts w:ascii="Times New Roman" w:hAnsi="Times New Roman"/>
          <w:sz w:val="24"/>
          <w:szCs w:val="24"/>
        </w:rPr>
        <w:t>e</w:t>
      </w:r>
      <w:r w:rsidR="00632E52" w:rsidRPr="00EC7846">
        <w:rPr>
          <w:rFonts w:ascii="Times New Roman" w:hAnsi="Times New Roman"/>
          <w:sz w:val="24"/>
          <w:szCs w:val="24"/>
        </w:rPr>
        <w:t>, these hyper-complex and lengthy rules may break the</w:t>
      </w:r>
      <w:r w:rsidR="00056AB9">
        <w:rPr>
          <w:rFonts w:ascii="Times New Roman" w:hAnsi="Times New Roman"/>
          <w:sz w:val="24"/>
          <w:szCs w:val="24"/>
        </w:rPr>
        <w:t xml:space="preserve"> proverbial</w:t>
      </w:r>
      <w:r w:rsidR="00632E52" w:rsidRPr="00EC7846">
        <w:rPr>
          <w:rFonts w:ascii="Times New Roman" w:hAnsi="Times New Roman"/>
          <w:sz w:val="24"/>
          <w:szCs w:val="24"/>
        </w:rPr>
        <w:t xml:space="preserve"> camel’s back. </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 xml:space="preserve">A final crack in the </w:t>
      </w:r>
      <w:r w:rsidR="00AA0F67">
        <w:rPr>
          <w:rFonts w:ascii="Times New Roman" w:hAnsi="Times New Roman"/>
          <w:sz w:val="24"/>
          <w:szCs w:val="24"/>
        </w:rPr>
        <w:t>participatory</w:t>
      </w:r>
      <w:r w:rsidR="00AA0F67" w:rsidRPr="00EC7846">
        <w:rPr>
          <w:rFonts w:ascii="Times New Roman" w:hAnsi="Times New Roman"/>
          <w:sz w:val="24"/>
          <w:szCs w:val="24"/>
        </w:rPr>
        <w:t xml:space="preserve"> </w:t>
      </w:r>
      <w:r w:rsidR="00632E52" w:rsidRPr="00EC7846">
        <w:rPr>
          <w:rFonts w:ascii="Times New Roman" w:hAnsi="Times New Roman"/>
          <w:sz w:val="24"/>
          <w:szCs w:val="24"/>
        </w:rPr>
        <w:t>design of U.S. administrative process is the practical possibility that</w:t>
      </w:r>
      <w:r w:rsidR="00AA0F67">
        <w:rPr>
          <w:rFonts w:ascii="Times New Roman" w:hAnsi="Times New Roman"/>
          <w:sz w:val="24"/>
          <w:szCs w:val="24"/>
        </w:rPr>
        <w:t>,</w:t>
      </w:r>
      <w:r w:rsidR="00632E52" w:rsidRPr="00EC7846">
        <w:rPr>
          <w:rFonts w:ascii="Times New Roman" w:hAnsi="Times New Roman"/>
          <w:sz w:val="24"/>
          <w:szCs w:val="24"/>
        </w:rPr>
        <w:t xml:space="preserve"> in some settings</w:t>
      </w:r>
      <w:r w:rsidR="00AA0F67">
        <w:rPr>
          <w:rFonts w:ascii="Times New Roman" w:hAnsi="Times New Roman"/>
          <w:sz w:val="24"/>
          <w:szCs w:val="24"/>
        </w:rPr>
        <w:t>,</w:t>
      </w:r>
      <w:r w:rsidR="00632E52" w:rsidRPr="00EC7846">
        <w:rPr>
          <w:rFonts w:ascii="Times New Roman" w:hAnsi="Times New Roman"/>
          <w:sz w:val="24"/>
          <w:szCs w:val="24"/>
        </w:rPr>
        <w:t xml:space="preserve"> an agency may be relatively unconcerned about the sanctions associated with a judicial remand.  For example, if the White House commands a change to a rule </w:t>
      </w:r>
      <w:r w:rsidR="00AA0F67">
        <w:rPr>
          <w:rFonts w:ascii="Times New Roman" w:hAnsi="Times New Roman"/>
          <w:sz w:val="24"/>
          <w:szCs w:val="24"/>
        </w:rPr>
        <w:t>that would increase the rule’s vulnerability to a court challenge</w:t>
      </w:r>
      <w:r w:rsidR="00632E52" w:rsidRPr="00EC7846">
        <w:rPr>
          <w:rFonts w:ascii="Times New Roman" w:hAnsi="Times New Roman"/>
          <w:sz w:val="24"/>
          <w:szCs w:val="24"/>
        </w:rPr>
        <w:t xml:space="preserve">, a rational Administrator, </w:t>
      </w:r>
      <w:r w:rsidR="00AA0F67">
        <w:rPr>
          <w:rFonts w:ascii="Times New Roman" w:hAnsi="Times New Roman"/>
          <w:sz w:val="24"/>
          <w:szCs w:val="24"/>
        </w:rPr>
        <w:t>(</w:t>
      </w:r>
      <w:r w:rsidR="00632E52" w:rsidRPr="00EC7846">
        <w:rPr>
          <w:rFonts w:ascii="Times New Roman" w:hAnsi="Times New Roman"/>
          <w:sz w:val="24"/>
          <w:szCs w:val="24"/>
        </w:rPr>
        <w:t>who is</w:t>
      </w:r>
      <w:r w:rsidR="00AA0F67">
        <w:rPr>
          <w:rFonts w:ascii="Times New Roman" w:hAnsi="Times New Roman"/>
          <w:sz w:val="24"/>
          <w:szCs w:val="24"/>
        </w:rPr>
        <w:t>, coincidentally,</w:t>
      </w:r>
      <w:r w:rsidR="00632E52" w:rsidRPr="00EC7846">
        <w:rPr>
          <w:rFonts w:ascii="Times New Roman" w:hAnsi="Times New Roman"/>
          <w:sz w:val="24"/>
          <w:szCs w:val="24"/>
        </w:rPr>
        <w:t xml:space="preserve"> appointed by the President</w:t>
      </w:r>
      <w:r w:rsidR="00AA0F67">
        <w:rPr>
          <w:rFonts w:ascii="Times New Roman" w:hAnsi="Times New Roman"/>
          <w:sz w:val="24"/>
          <w:szCs w:val="24"/>
        </w:rPr>
        <w:t>)</w:t>
      </w:r>
      <w:r w:rsidR="00632E52" w:rsidRPr="00EC7846">
        <w:rPr>
          <w:rFonts w:ascii="Times New Roman" w:hAnsi="Times New Roman"/>
          <w:sz w:val="24"/>
          <w:szCs w:val="24"/>
        </w:rPr>
        <w:t xml:space="preserve"> may opt for following the preferences of the Chief Executive and take the risk that several years down the road a court might send the rule back.  </w:t>
      </w:r>
      <w:r w:rsidR="00AA0F67">
        <w:rPr>
          <w:rFonts w:ascii="Times New Roman" w:hAnsi="Times New Roman"/>
          <w:sz w:val="24"/>
          <w:szCs w:val="24"/>
        </w:rPr>
        <w:t>In other words, c</w:t>
      </w:r>
      <w:r w:rsidR="00632E52" w:rsidRPr="00EC7846">
        <w:rPr>
          <w:rFonts w:ascii="Times New Roman" w:hAnsi="Times New Roman"/>
          <w:sz w:val="24"/>
          <w:szCs w:val="24"/>
        </w:rPr>
        <w:t>ondemnation by the courts could be a small price to pay for promulgating a rule that is</w:t>
      </w:r>
      <w:r w:rsidR="00B932B8">
        <w:rPr>
          <w:rFonts w:ascii="Times New Roman" w:hAnsi="Times New Roman"/>
          <w:sz w:val="24"/>
          <w:szCs w:val="24"/>
        </w:rPr>
        <w:t>―</w:t>
      </w:r>
      <w:r w:rsidR="00632E52" w:rsidRPr="00EC7846">
        <w:rPr>
          <w:rFonts w:ascii="Times New Roman" w:hAnsi="Times New Roman"/>
          <w:sz w:val="24"/>
          <w:szCs w:val="24"/>
        </w:rPr>
        <w:t>despite its potential illegality</w:t>
      </w:r>
      <w:r w:rsidR="00B932B8">
        <w:rPr>
          <w:rFonts w:ascii="Times New Roman" w:hAnsi="Times New Roman"/>
          <w:sz w:val="24"/>
          <w:szCs w:val="24"/>
        </w:rPr>
        <w:t>―</w:t>
      </w:r>
      <w:r w:rsidR="00632E52" w:rsidRPr="00EC7846">
        <w:rPr>
          <w:rFonts w:ascii="Times New Roman" w:hAnsi="Times New Roman"/>
          <w:sz w:val="24"/>
          <w:szCs w:val="24"/>
        </w:rPr>
        <w:t>preferred by at least one and perhaps both of the agency’s other institutional check</w:t>
      </w:r>
      <w:r w:rsidR="00AA0F67">
        <w:rPr>
          <w:rFonts w:ascii="Times New Roman" w:hAnsi="Times New Roman"/>
          <w:sz w:val="24"/>
          <w:szCs w:val="24"/>
        </w:rPr>
        <w:t>s</w:t>
      </w:r>
      <w:r w:rsidR="00B932B8">
        <w:rPr>
          <w:rFonts w:ascii="Times New Roman" w:hAnsi="Times New Roman"/>
          <w:sz w:val="24"/>
          <w:szCs w:val="24"/>
        </w:rPr>
        <w:t>―</w:t>
      </w:r>
      <w:r w:rsidR="00632E52" w:rsidRPr="00EC7846">
        <w:rPr>
          <w:rFonts w:ascii="Times New Roman" w:hAnsi="Times New Roman"/>
          <w:sz w:val="24"/>
          <w:szCs w:val="24"/>
        </w:rPr>
        <w:t xml:space="preserve">the President </w:t>
      </w:r>
      <w:r w:rsidR="00AA0F67">
        <w:rPr>
          <w:rFonts w:ascii="Times New Roman" w:hAnsi="Times New Roman"/>
          <w:sz w:val="24"/>
          <w:szCs w:val="24"/>
        </w:rPr>
        <w:t>and</w:t>
      </w:r>
      <w:r w:rsidR="00AA0F67" w:rsidRPr="00EC7846">
        <w:rPr>
          <w:rFonts w:ascii="Times New Roman" w:hAnsi="Times New Roman"/>
          <w:sz w:val="24"/>
          <w:szCs w:val="24"/>
        </w:rPr>
        <w:t xml:space="preserve"> </w:t>
      </w:r>
      <w:r w:rsidR="00632E52" w:rsidRPr="00EC7846">
        <w:rPr>
          <w:rFonts w:ascii="Times New Roman" w:hAnsi="Times New Roman"/>
          <w:sz w:val="24"/>
          <w:szCs w:val="24"/>
        </w:rPr>
        <w:t xml:space="preserve">Congress.  </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 xml:space="preserve">Thus, the APA and judicial review, while legally required, may in practice be treated by the agency as constraints that are secondary to more immediate political demands and pressures.  Regardless, administrative scholars seem to have amassed little evidence either way on whether </w:t>
      </w:r>
      <w:r w:rsidR="00632E52" w:rsidRPr="00EC7846">
        <w:rPr>
          <w:rFonts w:ascii="Times New Roman" w:hAnsi="Times New Roman"/>
          <w:sz w:val="24"/>
          <w:szCs w:val="24"/>
        </w:rPr>
        <w:lastRenderedPageBreak/>
        <w:t xml:space="preserve">the threat of judicial review actually </w:t>
      </w:r>
      <w:r w:rsidR="00AA0F67">
        <w:rPr>
          <w:rFonts w:ascii="Times New Roman" w:hAnsi="Times New Roman"/>
          <w:sz w:val="24"/>
          <w:szCs w:val="24"/>
        </w:rPr>
        <w:t>serves</w:t>
      </w:r>
      <w:r w:rsidR="00632E52" w:rsidRPr="00EC7846">
        <w:rPr>
          <w:rFonts w:ascii="Times New Roman" w:hAnsi="Times New Roman"/>
          <w:sz w:val="24"/>
          <w:szCs w:val="24"/>
        </w:rPr>
        <w:t xml:space="preserve"> as an important constraint in cases where political pressures push heavily and urgently in the opposite direction (cf. Mashaw, p.536, 2005).</w:t>
      </w:r>
    </w:p>
    <w:p w:rsidR="00632E52" w:rsidRPr="00EC7846" w:rsidRDefault="00632E52" w:rsidP="008B7CD3">
      <w:pPr>
        <w:pStyle w:val="ListParagraph"/>
        <w:spacing w:line="480" w:lineRule="auto"/>
        <w:ind w:left="0"/>
        <w:rPr>
          <w:rFonts w:ascii="Times New Roman" w:hAnsi="Times New Roman"/>
          <w:sz w:val="24"/>
          <w:szCs w:val="24"/>
        </w:rPr>
      </w:pPr>
    </w:p>
    <w:p w:rsidR="00632E52" w:rsidRPr="008B7CD3" w:rsidRDefault="00632E52" w:rsidP="008B7CD3">
      <w:pPr>
        <w:pStyle w:val="ListParagraph"/>
        <w:spacing w:line="480" w:lineRule="auto"/>
        <w:ind w:left="0"/>
        <w:rPr>
          <w:rFonts w:ascii="Times New Roman" w:hAnsi="Times New Roman"/>
          <w:smallCaps/>
          <w:sz w:val="24"/>
          <w:szCs w:val="24"/>
        </w:rPr>
      </w:pPr>
      <w:r w:rsidRPr="00EC7846">
        <w:rPr>
          <w:rFonts w:ascii="Times New Roman" w:hAnsi="Times New Roman"/>
          <w:smallCaps/>
          <w:sz w:val="24"/>
          <w:szCs w:val="24"/>
        </w:rPr>
        <w:t>III. Comparative Critique</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One of the signature features</w:t>
      </w:r>
      <w:r w:rsidR="002C5269">
        <w:rPr>
          <w:rFonts w:ascii="Times New Roman" w:hAnsi="Times New Roman"/>
          <w:sz w:val="24"/>
          <w:szCs w:val="24"/>
        </w:rPr>
        <w:t xml:space="preserve"> </w:t>
      </w:r>
      <w:r w:rsidR="007B422F">
        <w:rPr>
          <w:rFonts w:ascii="Times New Roman" w:hAnsi="Times New Roman"/>
          <w:sz w:val="24"/>
          <w:szCs w:val="24"/>
        </w:rPr>
        <w:t xml:space="preserve">of </w:t>
      </w:r>
      <w:r w:rsidR="00632E52" w:rsidRPr="00EC7846">
        <w:rPr>
          <w:rFonts w:ascii="Times New Roman" w:hAnsi="Times New Roman"/>
          <w:sz w:val="24"/>
          <w:szCs w:val="24"/>
        </w:rPr>
        <w:t>U</w:t>
      </w:r>
      <w:r w:rsidR="00632E52">
        <w:rPr>
          <w:rFonts w:ascii="Times New Roman" w:hAnsi="Times New Roman"/>
          <w:sz w:val="24"/>
          <w:szCs w:val="24"/>
        </w:rPr>
        <w:t>.</w:t>
      </w:r>
      <w:r w:rsidR="00632E52" w:rsidRPr="00EC7846">
        <w:rPr>
          <w:rFonts w:ascii="Times New Roman" w:hAnsi="Times New Roman"/>
          <w:sz w:val="24"/>
          <w:szCs w:val="24"/>
        </w:rPr>
        <w:t>S</w:t>
      </w:r>
      <w:r w:rsidR="00632E52">
        <w:rPr>
          <w:rFonts w:ascii="Times New Roman" w:hAnsi="Times New Roman"/>
          <w:sz w:val="24"/>
          <w:szCs w:val="24"/>
        </w:rPr>
        <w:t>.</w:t>
      </w:r>
      <w:r w:rsidR="00632E52" w:rsidRPr="00EC7846">
        <w:rPr>
          <w:rFonts w:ascii="Times New Roman" w:hAnsi="Times New Roman"/>
          <w:sz w:val="24"/>
          <w:szCs w:val="24"/>
        </w:rPr>
        <w:t xml:space="preserve"> </w:t>
      </w:r>
      <w:r w:rsidR="002C5269">
        <w:rPr>
          <w:rFonts w:ascii="Times New Roman" w:hAnsi="Times New Roman"/>
          <w:sz w:val="24"/>
          <w:szCs w:val="24"/>
        </w:rPr>
        <w:t>rulemaking i</w:t>
      </w:r>
      <w:r w:rsidR="00632E52" w:rsidRPr="00EC7846">
        <w:rPr>
          <w:rFonts w:ascii="Times New Roman" w:hAnsi="Times New Roman"/>
          <w:sz w:val="24"/>
          <w:szCs w:val="24"/>
        </w:rPr>
        <w:t xml:space="preserve">s its formal participation </w:t>
      </w:r>
      <w:r w:rsidR="00393CC8">
        <w:rPr>
          <w:rFonts w:ascii="Times New Roman" w:hAnsi="Times New Roman"/>
          <w:sz w:val="24"/>
          <w:szCs w:val="24"/>
        </w:rPr>
        <w:t>requirements</w:t>
      </w:r>
      <w:r w:rsidR="002C5269">
        <w:rPr>
          <w:rFonts w:ascii="Times New Roman" w:hAnsi="Times New Roman"/>
          <w:sz w:val="24"/>
          <w:szCs w:val="24"/>
        </w:rPr>
        <w:t>―</w:t>
      </w:r>
      <w:r w:rsidR="008B01C8">
        <w:rPr>
          <w:rFonts w:ascii="Times New Roman" w:hAnsi="Times New Roman"/>
          <w:sz w:val="24"/>
          <w:szCs w:val="24"/>
        </w:rPr>
        <w:t xml:space="preserve">an elaborate </w:t>
      </w:r>
      <w:r w:rsidR="00393CC8">
        <w:rPr>
          <w:rFonts w:ascii="Times New Roman" w:hAnsi="Times New Roman"/>
          <w:sz w:val="24"/>
          <w:szCs w:val="24"/>
        </w:rPr>
        <w:t>procedure</w:t>
      </w:r>
      <w:r w:rsidR="008B01C8">
        <w:rPr>
          <w:rFonts w:ascii="Times New Roman" w:hAnsi="Times New Roman"/>
          <w:sz w:val="24"/>
          <w:szCs w:val="24"/>
        </w:rPr>
        <w:t xml:space="preserve"> that</w:t>
      </w:r>
      <w:r w:rsidR="00632E52" w:rsidRPr="00EC7846">
        <w:rPr>
          <w:rFonts w:ascii="Times New Roman" w:hAnsi="Times New Roman"/>
          <w:sz w:val="24"/>
          <w:szCs w:val="24"/>
        </w:rPr>
        <w:t xml:space="preserve"> distinguishes the U</w:t>
      </w:r>
      <w:r w:rsidR="00632E52">
        <w:rPr>
          <w:rFonts w:ascii="Times New Roman" w:hAnsi="Times New Roman"/>
          <w:sz w:val="24"/>
          <w:szCs w:val="24"/>
        </w:rPr>
        <w:t>.</w:t>
      </w:r>
      <w:r w:rsidR="00632E52" w:rsidRPr="00EC7846">
        <w:rPr>
          <w:rFonts w:ascii="Times New Roman" w:hAnsi="Times New Roman"/>
          <w:sz w:val="24"/>
          <w:szCs w:val="24"/>
        </w:rPr>
        <w:t>S</w:t>
      </w:r>
      <w:r w:rsidR="00632E52">
        <w:rPr>
          <w:rFonts w:ascii="Times New Roman" w:hAnsi="Times New Roman"/>
          <w:sz w:val="24"/>
          <w:szCs w:val="24"/>
        </w:rPr>
        <w:t>.</w:t>
      </w:r>
      <w:r w:rsidR="00632E52" w:rsidRPr="00EC7846">
        <w:rPr>
          <w:rFonts w:ascii="Times New Roman" w:hAnsi="Times New Roman"/>
          <w:sz w:val="24"/>
          <w:szCs w:val="24"/>
        </w:rPr>
        <w:t xml:space="preserve"> from most other systems, including the EU.  Yet while the</w:t>
      </w:r>
      <w:r w:rsidR="00632E52">
        <w:rPr>
          <w:rFonts w:ascii="Times New Roman" w:hAnsi="Times New Roman"/>
          <w:sz w:val="24"/>
          <w:szCs w:val="24"/>
        </w:rPr>
        <w:t xml:space="preserve"> U.S.</w:t>
      </w:r>
      <w:r w:rsidR="00632E52" w:rsidRPr="00EC7846">
        <w:rPr>
          <w:rFonts w:ascii="Times New Roman" w:hAnsi="Times New Roman"/>
          <w:sz w:val="24"/>
          <w:szCs w:val="24"/>
        </w:rPr>
        <w:t xml:space="preserve"> is sometimes held out as having a more robust and even more egalitarian approach to participation, its </w:t>
      </w:r>
      <w:r w:rsidR="00632E52">
        <w:rPr>
          <w:rFonts w:ascii="Times New Roman" w:hAnsi="Times New Roman"/>
          <w:sz w:val="24"/>
          <w:szCs w:val="24"/>
        </w:rPr>
        <w:t xml:space="preserve">passive, pluralistic model, </w:t>
      </w:r>
      <w:r w:rsidR="00632E52" w:rsidRPr="00EC7846">
        <w:rPr>
          <w:rFonts w:ascii="Times New Roman" w:hAnsi="Times New Roman"/>
          <w:sz w:val="24"/>
          <w:szCs w:val="24"/>
        </w:rPr>
        <w:t xml:space="preserve">along with other cracks in the design of </w:t>
      </w:r>
      <w:r w:rsidR="008B01C8">
        <w:rPr>
          <w:rFonts w:ascii="Times New Roman" w:hAnsi="Times New Roman"/>
          <w:sz w:val="24"/>
          <w:szCs w:val="24"/>
        </w:rPr>
        <w:t>its</w:t>
      </w:r>
      <w:r w:rsidR="008B01C8" w:rsidRPr="00EC7846">
        <w:rPr>
          <w:rFonts w:ascii="Times New Roman" w:hAnsi="Times New Roman"/>
          <w:sz w:val="24"/>
          <w:szCs w:val="24"/>
        </w:rPr>
        <w:t xml:space="preserve"> </w:t>
      </w:r>
      <w:r w:rsidR="00632E52" w:rsidRPr="00EC7846">
        <w:rPr>
          <w:rFonts w:ascii="Times New Roman" w:hAnsi="Times New Roman"/>
          <w:sz w:val="24"/>
          <w:szCs w:val="24"/>
        </w:rPr>
        <w:t>process</w:t>
      </w:r>
      <w:r w:rsidR="00632E52">
        <w:rPr>
          <w:rFonts w:ascii="Times New Roman" w:hAnsi="Times New Roman"/>
          <w:sz w:val="24"/>
          <w:szCs w:val="24"/>
        </w:rPr>
        <w:t>,</w:t>
      </w:r>
      <w:r w:rsidR="00632E52" w:rsidRPr="00EC7846">
        <w:rPr>
          <w:rFonts w:ascii="Times New Roman" w:hAnsi="Times New Roman"/>
          <w:sz w:val="24"/>
          <w:szCs w:val="24"/>
        </w:rPr>
        <w:t xml:space="preserve"> </w:t>
      </w:r>
      <w:r w:rsidR="002C5269">
        <w:rPr>
          <w:rFonts w:ascii="Times New Roman" w:hAnsi="Times New Roman"/>
          <w:sz w:val="24"/>
          <w:szCs w:val="24"/>
        </w:rPr>
        <w:t xml:space="preserve">have </w:t>
      </w:r>
      <w:r w:rsidR="00632E52" w:rsidRPr="00EC7846">
        <w:rPr>
          <w:rFonts w:ascii="Times New Roman" w:hAnsi="Times New Roman"/>
          <w:sz w:val="24"/>
          <w:szCs w:val="24"/>
        </w:rPr>
        <w:t xml:space="preserve">led to </w:t>
      </w:r>
      <w:r w:rsidR="008B01C8">
        <w:rPr>
          <w:rFonts w:ascii="Times New Roman" w:hAnsi="Times New Roman"/>
          <w:sz w:val="24"/>
          <w:szCs w:val="24"/>
        </w:rPr>
        <w:t>significant practical gaps</w:t>
      </w:r>
      <w:r w:rsidR="008B01C8" w:rsidRPr="00EC7846">
        <w:rPr>
          <w:rFonts w:ascii="Times New Roman" w:hAnsi="Times New Roman"/>
          <w:sz w:val="24"/>
          <w:szCs w:val="24"/>
        </w:rPr>
        <w:t xml:space="preserve"> </w:t>
      </w:r>
      <w:r w:rsidR="00632E52" w:rsidRPr="00EC7846">
        <w:rPr>
          <w:rFonts w:ascii="Times New Roman" w:hAnsi="Times New Roman"/>
          <w:sz w:val="24"/>
          <w:szCs w:val="24"/>
        </w:rPr>
        <w:t>in ensuring meaningful participation by affected groups.  Once these realities are taken into account, the</w:t>
      </w:r>
      <w:r w:rsidR="00632E52">
        <w:rPr>
          <w:rFonts w:ascii="Times New Roman" w:hAnsi="Times New Roman"/>
          <w:sz w:val="24"/>
          <w:szCs w:val="24"/>
        </w:rPr>
        <w:t xml:space="preserve"> U.S.</w:t>
      </w:r>
      <w:r w:rsidR="00632E52" w:rsidRPr="00EC7846">
        <w:rPr>
          <w:rFonts w:ascii="Times New Roman" w:hAnsi="Times New Roman"/>
          <w:sz w:val="24"/>
          <w:szCs w:val="24"/>
        </w:rPr>
        <w:t xml:space="preserve"> may be less different from the EU and other administrative systems than </w:t>
      </w:r>
      <w:r w:rsidR="008B01C8">
        <w:rPr>
          <w:rFonts w:ascii="Times New Roman" w:hAnsi="Times New Roman"/>
          <w:sz w:val="24"/>
          <w:szCs w:val="24"/>
        </w:rPr>
        <w:t>would</w:t>
      </w:r>
      <w:r w:rsidR="008B01C8" w:rsidRPr="00EC7846">
        <w:rPr>
          <w:rFonts w:ascii="Times New Roman" w:hAnsi="Times New Roman"/>
          <w:sz w:val="24"/>
          <w:szCs w:val="24"/>
        </w:rPr>
        <w:t xml:space="preserve"> </w:t>
      </w:r>
      <w:r w:rsidR="00632E52" w:rsidRPr="00EC7846">
        <w:rPr>
          <w:rFonts w:ascii="Times New Roman" w:hAnsi="Times New Roman"/>
          <w:sz w:val="24"/>
          <w:szCs w:val="24"/>
        </w:rPr>
        <w:t>initially appear on paper.</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 xml:space="preserve">This section compares </w:t>
      </w:r>
      <w:r w:rsidR="002C5269">
        <w:rPr>
          <w:rFonts w:ascii="Times New Roman" w:hAnsi="Times New Roman"/>
          <w:sz w:val="24"/>
          <w:szCs w:val="24"/>
        </w:rPr>
        <w:t xml:space="preserve">participation in </w:t>
      </w:r>
      <w:r w:rsidR="00632E52">
        <w:rPr>
          <w:rFonts w:ascii="Times New Roman" w:hAnsi="Times New Roman"/>
          <w:sz w:val="24"/>
          <w:szCs w:val="24"/>
        </w:rPr>
        <w:t>U.S.</w:t>
      </w:r>
      <w:r w:rsidR="00632E52" w:rsidRPr="00EC7846">
        <w:rPr>
          <w:rFonts w:ascii="Times New Roman" w:hAnsi="Times New Roman"/>
          <w:sz w:val="24"/>
          <w:szCs w:val="24"/>
        </w:rPr>
        <w:t xml:space="preserve"> </w:t>
      </w:r>
      <w:r w:rsidR="002C5269">
        <w:rPr>
          <w:rFonts w:ascii="Times New Roman" w:hAnsi="Times New Roman"/>
          <w:sz w:val="24"/>
          <w:szCs w:val="24"/>
        </w:rPr>
        <w:t>and EU rulemaking</w:t>
      </w:r>
      <w:r w:rsidR="00632E52">
        <w:rPr>
          <w:rFonts w:ascii="Times New Roman" w:hAnsi="Times New Roman"/>
          <w:sz w:val="24"/>
          <w:szCs w:val="24"/>
        </w:rPr>
        <w:t>, keeping the</w:t>
      </w:r>
      <w:r w:rsidR="00632E52" w:rsidRPr="00EC7846">
        <w:rPr>
          <w:rFonts w:ascii="Times New Roman" w:hAnsi="Times New Roman"/>
          <w:sz w:val="24"/>
          <w:szCs w:val="24"/>
        </w:rPr>
        <w:t xml:space="preserve"> </w:t>
      </w:r>
      <w:r w:rsidR="008E3CD1">
        <w:rPr>
          <w:rFonts w:ascii="Times New Roman" w:hAnsi="Times New Roman"/>
          <w:sz w:val="24"/>
          <w:szCs w:val="24"/>
        </w:rPr>
        <w:t xml:space="preserve">empirical </w:t>
      </w:r>
      <w:r w:rsidR="00632E52">
        <w:rPr>
          <w:rFonts w:ascii="Times New Roman" w:hAnsi="Times New Roman"/>
          <w:sz w:val="24"/>
          <w:szCs w:val="24"/>
        </w:rPr>
        <w:t>realities of the U.S.</w:t>
      </w:r>
      <w:r w:rsidR="00632E52" w:rsidRPr="00EC7846">
        <w:rPr>
          <w:rFonts w:ascii="Times New Roman" w:hAnsi="Times New Roman"/>
          <w:sz w:val="24"/>
          <w:szCs w:val="24"/>
        </w:rPr>
        <w:t xml:space="preserve"> regulatory process in mind.  A</w:t>
      </w:r>
      <w:r w:rsidR="002C5269">
        <w:rPr>
          <w:rFonts w:ascii="Times New Roman" w:hAnsi="Times New Roman"/>
          <w:sz w:val="24"/>
          <w:szCs w:val="24"/>
        </w:rPr>
        <w:t>t the outset, however, a</w:t>
      </w:r>
      <w:r w:rsidR="00632E52" w:rsidRPr="00EC7846">
        <w:rPr>
          <w:rFonts w:ascii="Times New Roman" w:hAnsi="Times New Roman"/>
          <w:sz w:val="24"/>
          <w:szCs w:val="24"/>
        </w:rPr>
        <w:t>n important qualification</w:t>
      </w:r>
      <w:r w:rsidR="002C5269">
        <w:rPr>
          <w:rFonts w:ascii="Times New Roman" w:hAnsi="Times New Roman"/>
          <w:sz w:val="24"/>
          <w:szCs w:val="24"/>
        </w:rPr>
        <w:t xml:space="preserve"> is in order</w:t>
      </w:r>
      <w:r w:rsidR="008B01C8">
        <w:rPr>
          <w:rFonts w:ascii="Times New Roman" w:hAnsi="Times New Roman"/>
          <w:sz w:val="24"/>
          <w:szCs w:val="24"/>
        </w:rPr>
        <w:t>:</w:t>
      </w:r>
      <w:r w:rsidR="00632E52" w:rsidRPr="00EC7846">
        <w:rPr>
          <w:rFonts w:ascii="Times New Roman" w:hAnsi="Times New Roman"/>
          <w:sz w:val="24"/>
          <w:szCs w:val="24"/>
        </w:rPr>
        <w:t xml:space="preserve"> the larger institutional context of both countries is bracketed, even though</w:t>
      </w:r>
      <w:r w:rsidR="002C5269">
        <w:rPr>
          <w:rFonts w:ascii="Times New Roman" w:hAnsi="Times New Roman"/>
          <w:sz w:val="24"/>
          <w:szCs w:val="24"/>
        </w:rPr>
        <w:t>,</w:t>
      </w:r>
      <w:r w:rsidR="00632E52" w:rsidRPr="00EC7846">
        <w:rPr>
          <w:rFonts w:ascii="Times New Roman" w:hAnsi="Times New Roman"/>
          <w:sz w:val="24"/>
          <w:szCs w:val="24"/>
        </w:rPr>
        <w:t xml:space="preserve"> ultimately</w:t>
      </w:r>
      <w:r w:rsidR="002C5269">
        <w:rPr>
          <w:rFonts w:ascii="Times New Roman" w:hAnsi="Times New Roman"/>
          <w:sz w:val="24"/>
          <w:szCs w:val="24"/>
        </w:rPr>
        <w:t>,</w:t>
      </w:r>
      <w:r w:rsidR="009266CB">
        <w:rPr>
          <w:rFonts w:ascii="Times New Roman" w:hAnsi="Times New Roman"/>
          <w:sz w:val="24"/>
          <w:szCs w:val="24"/>
        </w:rPr>
        <w:t xml:space="preserve"> some of</w:t>
      </w:r>
      <w:r w:rsidR="00632E52" w:rsidRPr="00EC7846">
        <w:rPr>
          <w:rFonts w:ascii="Times New Roman" w:hAnsi="Times New Roman"/>
          <w:sz w:val="24"/>
          <w:szCs w:val="24"/>
        </w:rPr>
        <w:t xml:space="preserve"> their institutional differences may be so great that the effort at comparison breaks down.</w:t>
      </w:r>
      <w:r w:rsidR="00632E52" w:rsidRPr="00EC7846">
        <w:rPr>
          <w:rStyle w:val="EndnoteReference"/>
          <w:rFonts w:ascii="Times New Roman" w:hAnsi="Times New Roman"/>
          <w:sz w:val="24"/>
          <w:szCs w:val="24"/>
        </w:rPr>
        <w:endnoteReference w:id="4"/>
      </w:r>
      <w:r w:rsidR="00632E52" w:rsidRPr="00EC7846">
        <w:rPr>
          <w:rFonts w:ascii="Times New Roman" w:hAnsi="Times New Roman"/>
          <w:sz w:val="24"/>
          <w:szCs w:val="24"/>
        </w:rPr>
        <w:t xml:space="preserve">  Thus, while this section treats EU Commission consultations and</w:t>
      </w:r>
      <w:r w:rsidR="00632E52">
        <w:rPr>
          <w:rFonts w:ascii="Times New Roman" w:hAnsi="Times New Roman"/>
          <w:sz w:val="24"/>
          <w:szCs w:val="24"/>
        </w:rPr>
        <w:t xml:space="preserve"> U.S.</w:t>
      </w:r>
      <w:r w:rsidR="00632E52" w:rsidRPr="00EC7846">
        <w:rPr>
          <w:rFonts w:ascii="Times New Roman" w:hAnsi="Times New Roman"/>
          <w:sz w:val="24"/>
          <w:szCs w:val="24"/>
        </w:rPr>
        <w:t xml:space="preserve"> agency rulemakings as rough analogs</w:t>
      </w:r>
      <w:r w:rsidR="009266CB">
        <w:rPr>
          <w:rFonts w:ascii="Times New Roman" w:hAnsi="Times New Roman"/>
          <w:sz w:val="24"/>
          <w:szCs w:val="24"/>
        </w:rPr>
        <w:t xml:space="preserve"> insofar as</w:t>
      </w:r>
      <w:r w:rsidR="00632E52" w:rsidRPr="00EC7846">
        <w:rPr>
          <w:rFonts w:ascii="Times New Roman" w:hAnsi="Times New Roman"/>
          <w:sz w:val="24"/>
          <w:szCs w:val="24"/>
        </w:rPr>
        <w:t xml:space="preserve"> they both </w:t>
      </w:r>
      <w:r w:rsidR="003C0AE4">
        <w:rPr>
          <w:rFonts w:ascii="Times New Roman" w:hAnsi="Times New Roman"/>
          <w:sz w:val="24"/>
          <w:szCs w:val="24"/>
        </w:rPr>
        <w:t>involv</w:t>
      </w:r>
      <w:r w:rsidR="007B422F">
        <w:rPr>
          <w:rFonts w:ascii="Times New Roman" w:hAnsi="Times New Roman"/>
          <w:sz w:val="24"/>
          <w:szCs w:val="24"/>
        </w:rPr>
        <w:t>e</w:t>
      </w:r>
      <w:r w:rsidR="003C0AE4">
        <w:rPr>
          <w:rFonts w:ascii="Times New Roman" w:hAnsi="Times New Roman"/>
          <w:sz w:val="24"/>
          <w:szCs w:val="24"/>
        </w:rPr>
        <w:t xml:space="preserve"> important policy choices and </w:t>
      </w:r>
      <w:r w:rsidR="00632E52" w:rsidRPr="00EC7846">
        <w:rPr>
          <w:rFonts w:ascii="Times New Roman" w:hAnsi="Times New Roman"/>
          <w:sz w:val="24"/>
          <w:szCs w:val="24"/>
        </w:rPr>
        <w:t>produce a form of regulatory law, readers should consult other chapters in this volume to better understand the limitations of this analogy</w:t>
      </w:r>
      <w:r w:rsidR="002C5269">
        <w:rPr>
          <w:rFonts w:ascii="Times New Roman" w:hAnsi="Times New Roman"/>
          <w:sz w:val="24"/>
          <w:szCs w:val="24"/>
        </w:rPr>
        <w:t xml:space="preserve"> (Bignami and Zaring 2015; Smismans 2015)</w:t>
      </w:r>
      <w:r w:rsidR="00632E52" w:rsidRPr="00EC7846">
        <w:rPr>
          <w:rFonts w:ascii="Times New Roman" w:hAnsi="Times New Roman"/>
          <w:sz w:val="24"/>
          <w:szCs w:val="24"/>
        </w:rPr>
        <w:t>.  This section also brackets participatory issues that arise when the EU Commission chooses to transfer its authority to voluntary associations or industry groups; the focus here is only on decisions of the Commission itself.</w:t>
      </w:r>
    </w:p>
    <w:p w:rsidR="00632E52" w:rsidRPr="008B7CD3" w:rsidRDefault="00632E52" w:rsidP="008B7CD3">
      <w:pPr>
        <w:pStyle w:val="ListParagraph"/>
        <w:numPr>
          <w:ilvl w:val="0"/>
          <w:numId w:val="9"/>
        </w:numPr>
        <w:spacing w:line="480" w:lineRule="auto"/>
        <w:rPr>
          <w:rFonts w:ascii="Times New Roman" w:hAnsi="Times New Roman"/>
          <w:sz w:val="24"/>
          <w:szCs w:val="24"/>
        </w:rPr>
      </w:pPr>
      <w:r w:rsidRPr="00EC7846">
        <w:rPr>
          <w:rFonts w:ascii="Times New Roman" w:hAnsi="Times New Roman"/>
          <w:sz w:val="24"/>
          <w:szCs w:val="24"/>
        </w:rPr>
        <w:t xml:space="preserve"> Some Differences between the Participatory Processes of the</w:t>
      </w:r>
      <w:r>
        <w:rPr>
          <w:rFonts w:ascii="Times New Roman" w:hAnsi="Times New Roman"/>
          <w:sz w:val="24"/>
          <w:szCs w:val="24"/>
        </w:rPr>
        <w:t xml:space="preserve"> U.S.</w:t>
      </w:r>
      <w:r w:rsidRPr="00EC7846">
        <w:rPr>
          <w:rFonts w:ascii="Times New Roman" w:hAnsi="Times New Roman"/>
          <w:sz w:val="24"/>
          <w:szCs w:val="24"/>
        </w:rPr>
        <w:t xml:space="preserve"> and EU</w:t>
      </w:r>
    </w:p>
    <w:p w:rsidR="00632E52" w:rsidRPr="00EC7846" w:rsidRDefault="00632E52" w:rsidP="008B7CD3">
      <w:pPr>
        <w:pStyle w:val="ListParagraph"/>
        <w:numPr>
          <w:ilvl w:val="0"/>
          <w:numId w:val="8"/>
        </w:numPr>
        <w:spacing w:line="480" w:lineRule="auto"/>
        <w:rPr>
          <w:rFonts w:ascii="Times New Roman" w:hAnsi="Times New Roman"/>
          <w:sz w:val="24"/>
          <w:szCs w:val="24"/>
        </w:rPr>
      </w:pPr>
      <w:r w:rsidRPr="00EC7846">
        <w:rPr>
          <w:rFonts w:ascii="Times New Roman" w:hAnsi="Times New Roman"/>
          <w:sz w:val="24"/>
          <w:szCs w:val="24"/>
        </w:rPr>
        <w:lastRenderedPageBreak/>
        <w:t xml:space="preserve">Legal </w:t>
      </w:r>
      <w:r>
        <w:rPr>
          <w:rFonts w:ascii="Times New Roman" w:hAnsi="Times New Roman"/>
          <w:sz w:val="24"/>
          <w:szCs w:val="24"/>
        </w:rPr>
        <w:t>Assurance</w:t>
      </w:r>
      <w:r w:rsidRPr="00EC7846">
        <w:rPr>
          <w:rFonts w:ascii="Times New Roman" w:hAnsi="Times New Roman"/>
          <w:sz w:val="24"/>
          <w:szCs w:val="24"/>
        </w:rPr>
        <w:t xml:space="preserve"> for Participation in the</w:t>
      </w:r>
      <w:r>
        <w:rPr>
          <w:rFonts w:ascii="Times New Roman" w:hAnsi="Times New Roman"/>
          <w:sz w:val="24"/>
          <w:szCs w:val="24"/>
        </w:rPr>
        <w:t xml:space="preserve"> U.S.</w:t>
      </w:r>
    </w:p>
    <w:p w:rsidR="00632E52" w:rsidRPr="00EC7846" w:rsidRDefault="00632E52" w:rsidP="008B7CD3">
      <w:pPr>
        <w:pStyle w:val="ListParagraph"/>
        <w:spacing w:line="480" w:lineRule="auto"/>
        <w:ind w:left="0"/>
        <w:rPr>
          <w:rFonts w:ascii="Times New Roman" w:hAnsi="Times New Roman"/>
          <w:sz w:val="24"/>
          <w:szCs w:val="24"/>
        </w:rPr>
      </w:pP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Subject to the preceding qualification regarding the hazards of transnational comparisons, the first and perhaps most important point of contrast between the</w:t>
      </w:r>
      <w:r w:rsidR="00632E52">
        <w:rPr>
          <w:rFonts w:ascii="Times New Roman" w:hAnsi="Times New Roman"/>
          <w:sz w:val="24"/>
          <w:szCs w:val="24"/>
        </w:rPr>
        <w:t xml:space="preserve"> U.S.</w:t>
      </w:r>
      <w:r w:rsidR="00632E52" w:rsidRPr="00EC7846">
        <w:rPr>
          <w:rFonts w:ascii="Times New Roman" w:hAnsi="Times New Roman"/>
          <w:sz w:val="24"/>
          <w:szCs w:val="24"/>
        </w:rPr>
        <w:t xml:space="preserve"> and EU arises from the formality of </w:t>
      </w:r>
      <w:r w:rsidR="00632E52">
        <w:rPr>
          <w:rFonts w:ascii="Times New Roman" w:hAnsi="Times New Roman"/>
          <w:sz w:val="24"/>
          <w:szCs w:val="24"/>
        </w:rPr>
        <w:t>U.S.</w:t>
      </w:r>
      <w:r w:rsidR="00632E52" w:rsidRPr="00EC7846">
        <w:rPr>
          <w:rFonts w:ascii="Times New Roman" w:hAnsi="Times New Roman"/>
          <w:sz w:val="24"/>
          <w:szCs w:val="24"/>
        </w:rPr>
        <w:t xml:space="preserve"> </w:t>
      </w:r>
      <w:r w:rsidR="002C5269">
        <w:rPr>
          <w:rFonts w:ascii="Times New Roman" w:hAnsi="Times New Roman"/>
          <w:sz w:val="24"/>
          <w:szCs w:val="24"/>
        </w:rPr>
        <w:t>rulemaking</w:t>
      </w:r>
      <w:r w:rsidR="00632E52" w:rsidRPr="00EC7846">
        <w:rPr>
          <w:rFonts w:ascii="Times New Roman" w:hAnsi="Times New Roman"/>
          <w:sz w:val="24"/>
          <w:szCs w:val="24"/>
        </w:rPr>
        <w:t xml:space="preserve">. </w:t>
      </w:r>
      <w:r w:rsidR="002C5269">
        <w:rPr>
          <w:rFonts w:ascii="Times New Roman" w:hAnsi="Times New Roman"/>
          <w:sz w:val="24"/>
          <w:szCs w:val="24"/>
        </w:rPr>
        <w:t xml:space="preserve">  In the EU, the Commission has a duty to consult the public before undertaking</w:t>
      </w:r>
      <w:r w:rsidR="00A83E71">
        <w:rPr>
          <w:rFonts w:ascii="Times New Roman" w:hAnsi="Times New Roman"/>
          <w:sz w:val="24"/>
          <w:szCs w:val="24"/>
        </w:rPr>
        <w:t xml:space="preserve"> many </w:t>
      </w:r>
      <w:r w:rsidR="002C5269">
        <w:rPr>
          <w:rFonts w:ascii="Times New Roman" w:hAnsi="Times New Roman"/>
          <w:sz w:val="24"/>
          <w:szCs w:val="24"/>
        </w:rPr>
        <w:t>types of policy initiatives but this duty is generall</w:t>
      </w:r>
      <w:r w:rsidR="00A83E71">
        <w:rPr>
          <w:rFonts w:ascii="Times New Roman" w:hAnsi="Times New Roman"/>
          <w:sz w:val="24"/>
          <w:szCs w:val="24"/>
        </w:rPr>
        <w:t xml:space="preserve">y not judicially enforceable.  </w:t>
      </w:r>
      <w:r w:rsidR="002C5269">
        <w:rPr>
          <w:rFonts w:ascii="Times New Roman" w:hAnsi="Times New Roman"/>
          <w:sz w:val="24"/>
          <w:szCs w:val="24"/>
        </w:rPr>
        <w:t xml:space="preserve">Relative to the U.S, therefore, there are </w:t>
      </w:r>
      <w:r w:rsidR="00632E52" w:rsidRPr="00EC7846">
        <w:rPr>
          <w:rFonts w:ascii="Times New Roman" w:hAnsi="Times New Roman"/>
          <w:sz w:val="24"/>
          <w:szCs w:val="24"/>
        </w:rPr>
        <w:t xml:space="preserve">fewer legal constraints on the Commission’s discretion, both in providing interested parties with an opportunity to participate and </w:t>
      </w:r>
      <w:r w:rsidR="002C5269">
        <w:rPr>
          <w:rFonts w:ascii="Times New Roman" w:hAnsi="Times New Roman"/>
          <w:sz w:val="24"/>
          <w:szCs w:val="24"/>
        </w:rPr>
        <w:t xml:space="preserve">in deciding to </w:t>
      </w:r>
      <w:r w:rsidR="00632E52" w:rsidRPr="00EC7846">
        <w:rPr>
          <w:rFonts w:ascii="Times New Roman" w:hAnsi="Times New Roman"/>
          <w:sz w:val="24"/>
          <w:szCs w:val="24"/>
        </w:rPr>
        <w:t>ignore</w:t>
      </w:r>
      <w:r w:rsidR="002C5269">
        <w:rPr>
          <w:rFonts w:ascii="Times New Roman" w:hAnsi="Times New Roman"/>
          <w:sz w:val="24"/>
          <w:szCs w:val="24"/>
        </w:rPr>
        <w:t xml:space="preserve"> </w:t>
      </w:r>
      <w:r w:rsidR="00632E52" w:rsidRPr="00EC7846">
        <w:rPr>
          <w:rFonts w:ascii="Times New Roman" w:hAnsi="Times New Roman"/>
          <w:sz w:val="24"/>
          <w:szCs w:val="24"/>
        </w:rPr>
        <w:t>comments</w:t>
      </w:r>
      <w:r w:rsidR="002C5269">
        <w:rPr>
          <w:rFonts w:ascii="Times New Roman" w:hAnsi="Times New Roman"/>
          <w:sz w:val="24"/>
          <w:szCs w:val="24"/>
        </w:rPr>
        <w:t>, meritorious or otherwise</w:t>
      </w:r>
      <w:r w:rsidR="00632E52" w:rsidRPr="00EC7846">
        <w:rPr>
          <w:rFonts w:ascii="Times New Roman" w:hAnsi="Times New Roman"/>
          <w:sz w:val="24"/>
          <w:szCs w:val="24"/>
        </w:rPr>
        <w:t xml:space="preserve">.  As Prof. Bignami summarizes (with qualifications related to the Constitutional Treaty): “[i]mportantly, the Communication on Consultation does not give citizens and their associations the right to go to court if their views are not solicited or their comments are not accepted – one element of a pluralist order” (Bignami, p.79, 2004; Smismans, 2014).  </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 xml:space="preserve">By contrast, </w:t>
      </w:r>
      <w:r w:rsidR="002C5269">
        <w:rPr>
          <w:rFonts w:ascii="Times New Roman" w:hAnsi="Times New Roman"/>
          <w:sz w:val="24"/>
          <w:szCs w:val="24"/>
        </w:rPr>
        <w:t xml:space="preserve">as described in the previous section, </w:t>
      </w:r>
      <w:r w:rsidR="00632E52" w:rsidRPr="00EC7846">
        <w:rPr>
          <w:rFonts w:ascii="Times New Roman" w:hAnsi="Times New Roman"/>
          <w:sz w:val="24"/>
          <w:szCs w:val="24"/>
        </w:rPr>
        <w:t>in the U.S. the right to participate and to have one’s comments considered is legally enforceable.  This legal backing would seem to explain U.S. agencies’ fastidious effort</w:t>
      </w:r>
      <w:r w:rsidR="00516519">
        <w:rPr>
          <w:rFonts w:ascii="Times New Roman" w:hAnsi="Times New Roman"/>
          <w:sz w:val="24"/>
          <w:szCs w:val="24"/>
        </w:rPr>
        <w:t>s</w:t>
      </w:r>
      <w:r w:rsidR="00632E52" w:rsidRPr="00EC7846">
        <w:rPr>
          <w:rFonts w:ascii="Times New Roman" w:hAnsi="Times New Roman"/>
          <w:sz w:val="24"/>
          <w:szCs w:val="24"/>
        </w:rPr>
        <w:t xml:space="preserve"> to respond to comments in detail.  Under the APA,</w:t>
      </w:r>
      <w:r w:rsidR="00632E52">
        <w:rPr>
          <w:rFonts w:ascii="Times New Roman" w:hAnsi="Times New Roman"/>
          <w:sz w:val="24"/>
          <w:szCs w:val="24"/>
        </w:rPr>
        <w:t xml:space="preserve"> U.S.</w:t>
      </w:r>
      <w:r w:rsidR="00632E52" w:rsidRPr="00EC7846">
        <w:rPr>
          <w:rFonts w:ascii="Times New Roman" w:hAnsi="Times New Roman"/>
          <w:sz w:val="24"/>
          <w:szCs w:val="24"/>
        </w:rPr>
        <w:t xml:space="preserve"> agencies face considerable costs</w:t>
      </w:r>
      <w:r w:rsidR="002C5269">
        <w:rPr>
          <w:rFonts w:ascii="Times New Roman" w:hAnsi="Times New Roman"/>
          <w:sz w:val="24"/>
          <w:szCs w:val="24"/>
        </w:rPr>
        <w:t>―</w:t>
      </w:r>
      <w:r w:rsidR="00632E52" w:rsidRPr="00EC7846">
        <w:rPr>
          <w:rFonts w:ascii="Times New Roman" w:hAnsi="Times New Roman"/>
          <w:sz w:val="24"/>
          <w:szCs w:val="24"/>
        </w:rPr>
        <w:t xml:space="preserve">measured in resources, time, and reputation – from dismissing comments too hastily or carelessly.  Protracted litigation over such lapses reminds U.S agencies of the importance of “considering” each and every comment.  </w:t>
      </w:r>
    </w:p>
    <w:p w:rsidR="00632E52" w:rsidRPr="008B7CD3"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The legal enforcement of participation rights in the</w:t>
      </w:r>
      <w:r w:rsidR="00632E52">
        <w:rPr>
          <w:rFonts w:ascii="Times New Roman" w:hAnsi="Times New Roman"/>
          <w:sz w:val="24"/>
          <w:szCs w:val="24"/>
        </w:rPr>
        <w:t xml:space="preserve"> U.S.</w:t>
      </w:r>
      <w:r w:rsidR="00632E52" w:rsidRPr="00EC7846">
        <w:rPr>
          <w:rFonts w:ascii="Times New Roman" w:hAnsi="Times New Roman"/>
          <w:sz w:val="24"/>
          <w:szCs w:val="24"/>
        </w:rPr>
        <w:t xml:space="preserve"> has even greater implications for participants.  Interested parties know that they must be provided a</w:t>
      </w:r>
      <w:r w:rsidR="00632E52">
        <w:rPr>
          <w:rFonts w:ascii="Times New Roman" w:hAnsi="Times New Roman"/>
          <w:sz w:val="24"/>
          <w:szCs w:val="24"/>
        </w:rPr>
        <w:t>n opportunity to lodge comments</w:t>
      </w:r>
      <w:r w:rsidR="00632E52" w:rsidRPr="00EC7846">
        <w:rPr>
          <w:rFonts w:ascii="Times New Roman" w:hAnsi="Times New Roman"/>
          <w:sz w:val="24"/>
          <w:szCs w:val="24"/>
        </w:rPr>
        <w:t xml:space="preserve"> and be given a reasonable time to prepare them.  Regulatory participants also know </w:t>
      </w:r>
      <w:r w:rsidR="00516519">
        <w:rPr>
          <w:rFonts w:ascii="Times New Roman" w:hAnsi="Times New Roman"/>
          <w:sz w:val="24"/>
          <w:szCs w:val="24"/>
        </w:rPr>
        <w:t xml:space="preserve">that </w:t>
      </w:r>
      <w:r w:rsidR="00632E52" w:rsidRPr="00EC7846">
        <w:rPr>
          <w:rFonts w:ascii="Times New Roman" w:hAnsi="Times New Roman"/>
          <w:sz w:val="24"/>
          <w:szCs w:val="24"/>
        </w:rPr>
        <w:t xml:space="preserve">they generally must lodge comments in order to challenge the substance of an agency’s rule </w:t>
      </w:r>
      <w:r w:rsidR="00632E52" w:rsidRPr="00EC7846">
        <w:rPr>
          <w:rFonts w:ascii="Times New Roman" w:hAnsi="Times New Roman"/>
          <w:sz w:val="24"/>
          <w:szCs w:val="24"/>
        </w:rPr>
        <w:lastRenderedPageBreak/>
        <w:t xml:space="preserve">in court (McKart v. United States, 395 U.S. 185 (1969); Gelpe, 1985).  </w:t>
      </w:r>
      <w:r w:rsidR="00516519">
        <w:rPr>
          <w:rFonts w:ascii="Times New Roman" w:hAnsi="Times New Roman"/>
          <w:sz w:val="24"/>
          <w:szCs w:val="24"/>
        </w:rPr>
        <w:t>Moreover, o</w:t>
      </w:r>
      <w:r w:rsidR="00632E52" w:rsidRPr="00EC7846">
        <w:rPr>
          <w:rFonts w:ascii="Times New Roman" w:hAnsi="Times New Roman"/>
          <w:sz w:val="24"/>
          <w:szCs w:val="24"/>
        </w:rPr>
        <w:t xml:space="preserve">nce </w:t>
      </w:r>
      <w:r w:rsidR="0057384A">
        <w:rPr>
          <w:rFonts w:ascii="Times New Roman" w:hAnsi="Times New Roman"/>
          <w:sz w:val="24"/>
          <w:szCs w:val="24"/>
        </w:rPr>
        <w:t>the participants’</w:t>
      </w:r>
      <w:r w:rsidR="0057384A" w:rsidRPr="00EC7846">
        <w:rPr>
          <w:rFonts w:ascii="Times New Roman" w:hAnsi="Times New Roman"/>
          <w:sz w:val="24"/>
          <w:szCs w:val="24"/>
        </w:rPr>
        <w:t xml:space="preserve"> </w:t>
      </w:r>
      <w:r w:rsidR="00632E52" w:rsidRPr="00EC7846">
        <w:rPr>
          <w:rFonts w:ascii="Times New Roman" w:hAnsi="Times New Roman"/>
          <w:sz w:val="24"/>
          <w:szCs w:val="24"/>
        </w:rPr>
        <w:t xml:space="preserve">comments are filed with the agency, </w:t>
      </w:r>
      <w:r w:rsidR="00516519">
        <w:rPr>
          <w:rFonts w:ascii="Times New Roman" w:hAnsi="Times New Roman"/>
          <w:sz w:val="24"/>
          <w:szCs w:val="24"/>
        </w:rPr>
        <w:t>the</w:t>
      </w:r>
      <w:r w:rsidR="007B5DDC">
        <w:rPr>
          <w:rFonts w:ascii="Times New Roman" w:hAnsi="Times New Roman"/>
          <w:sz w:val="24"/>
          <w:szCs w:val="24"/>
        </w:rPr>
        <w:t>se comments</w:t>
      </w:r>
      <w:r w:rsidR="00632E52" w:rsidRPr="00EC7846">
        <w:rPr>
          <w:rFonts w:ascii="Times New Roman" w:hAnsi="Times New Roman"/>
          <w:sz w:val="24"/>
          <w:szCs w:val="24"/>
        </w:rPr>
        <w:t xml:space="preserve"> must be duly </w:t>
      </w:r>
      <w:r w:rsidR="00516519">
        <w:rPr>
          <w:rFonts w:ascii="Times New Roman" w:hAnsi="Times New Roman"/>
          <w:sz w:val="24"/>
          <w:szCs w:val="24"/>
        </w:rPr>
        <w:t>considered,</w:t>
      </w:r>
      <w:r w:rsidR="00632E52" w:rsidRPr="00EC7846">
        <w:rPr>
          <w:rFonts w:ascii="Times New Roman" w:hAnsi="Times New Roman"/>
          <w:sz w:val="24"/>
          <w:szCs w:val="24"/>
        </w:rPr>
        <w:t xml:space="preserve"> no matter how long or detailed</w:t>
      </w:r>
      <w:r w:rsidR="00516519">
        <w:rPr>
          <w:rFonts w:ascii="Times New Roman" w:hAnsi="Times New Roman"/>
          <w:sz w:val="24"/>
          <w:szCs w:val="24"/>
        </w:rPr>
        <w:t xml:space="preserve"> the</w:t>
      </w:r>
      <w:r w:rsidR="007B5DDC">
        <w:rPr>
          <w:rFonts w:ascii="Times New Roman" w:hAnsi="Times New Roman"/>
          <w:sz w:val="24"/>
          <w:szCs w:val="24"/>
        </w:rPr>
        <w:t xml:space="preserve">y </w:t>
      </w:r>
      <w:r w:rsidR="00516519">
        <w:rPr>
          <w:rFonts w:ascii="Times New Roman" w:hAnsi="Times New Roman"/>
          <w:sz w:val="24"/>
          <w:szCs w:val="24"/>
        </w:rPr>
        <w:t>may be</w:t>
      </w:r>
      <w:r w:rsidR="00632E52" w:rsidRPr="00EC7846">
        <w:rPr>
          <w:rFonts w:ascii="Times New Roman" w:hAnsi="Times New Roman"/>
          <w:sz w:val="24"/>
          <w:szCs w:val="24"/>
        </w:rPr>
        <w:t xml:space="preserve">.  If the agency does not provide adequate time for comment or is motivated by political or other predilections that lead the agency to play favorites among commenters in ways that run afoul of Section 706 of the APA, the losing group can challenge the agency’s rule in court.  Agencies thus operate in a legal environment in which they understand that </w:t>
      </w:r>
      <w:r w:rsidR="0057384A">
        <w:rPr>
          <w:rFonts w:ascii="Times New Roman" w:hAnsi="Times New Roman"/>
          <w:sz w:val="24"/>
          <w:szCs w:val="24"/>
        </w:rPr>
        <w:t xml:space="preserve">the cost of ignoring comments could be a legal challenge and a court </w:t>
      </w:r>
      <w:r w:rsidR="00632E52" w:rsidRPr="00EC7846">
        <w:rPr>
          <w:rFonts w:ascii="Times New Roman" w:hAnsi="Times New Roman"/>
          <w:sz w:val="24"/>
          <w:szCs w:val="24"/>
        </w:rPr>
        <w:t xml:space="preserve">reprimand.  In the air toxic rules promulgated by EPA, for example, public interest groups brought a series of cases challenging EPA’s deviation from </w:t>
      </w:r>
      <w:r w:rsidR="0057384A">
        <w:rPr>
          <w:rFonts w:ascii="Times New Roman" w:hAnsi="Times New Roman"/>
          <w:sz w:val="24"/>
          <w:szCs w:val="24"/>
        </w:rPr>
        <w:t>the</w:t>
      </w:r>
      <w:r w:rsidR="0057384A" w:rsidRPr="00EC7846">
        <w:rPr>
          <w:rFonts w:ascii="Times New Roman" w:hAnsi="Times New Roman"/>
          <w:sz w:val="24"/>
          <w:szCs w:val="24"/>
        </w:rPr>
        <w:t xml:space="preserve"> </w:t>
      </w:r>
      <w:r w:rsidR="00632E52" w:rsidRPr="00EC7846">
        <w:rPr>
          <w:rFonts w:ascii="Times New Roman" w:hAnsi="Times New Roman"/>
          <w:sz w:val="24"/>
          <w:szCs w:val="24"/>
        </w:rPr>
        <w:t>statutory text in its rules (Wagner, 2012).  The courts repeatedly sent the rules back to EPA to be repaired, often with relatively specific legal instructions about how the agency could permissibly read the statute on the issues of interest to petitioners (Sierra Club v. EPA, 479 F.3d 875, 883 (D.C. Cir. 2007)</w:t>
      </w:r>
      <w:r w:rsidR="00632E52">
        <w:rPr>
          <w:rFonts w:ascii="Times New Roman" w:hAnsi="Times New Roman"/>
          <w:sz w:val="24"/>
          <w:szCs w:val="24"/>
        </w:rPr>
        <w:t>)</w:t>
      </w:r>
      <w:r w:rsidR="00632E52" w:rsidRPr="00EC7846">
        <w:rPr>
          <w:rFonts w:ascii="Times New Roman" w:hAnsi="Times New Roman"/>
          <w:sz w:val="24"/>
          <w:szCs w:val="24"/>
        </w:rPr>
        <w:t>.</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Yet</w:t>
      </w:r>
      <w:r w:rsidR="002C5269">
        <w:rPr>
          <w:rFonts w:ascii="Times New Roman" w:hAnsi="Times New Roman"/>
          <w:sz w:val="24"/>
          <w:szCs w:val="24"/>
        </w:rPr>
        <w:t xml:space="preserve"> </w:t>
      </w:r>
      <w:r w:rsidR="00632E52" w:rsidRPr="00EC7846">
        <w:rPr>
          <w:rFonts w:ascii="Times New Roman" w:hAnsi="Times New Roman"/>
          <w:sz w:val="24"/>
          <w:szCs w:val="24"/>
        </w:rPr>
        <w:t xml:space="preserve">the </w:t>
      </w:r>
      <w:r w:rsidR="002C5269">
        <w:rPr>
          <w:rFonts w:ascii="Times New Roman" w:hAnsi="Times New Roman"/>
          <w:sz w:val="24"/>
          <w:szCs w:val="24"/>
        </w:rPr>
        <w:t>experience of the U.S. sys</w:t>
      </w:r>
      <w:r w:rsidR="00A83E71">
        <w:rPr>
          <w:rFonts w:ascii="Times New Roman" w:hAnsi="Times New Roman"/>
          <w:sz w:val="24"/>
          <w:szCs w:val="24"/>
        </w:rPr>
        <w:t xml:space="preserve">tem, analyzed </w:t>
      </w:r>
      <w:r w:rsidR="002C5269">
        <w:rPr>
          <w:rFonts w:ascii="Times New Roman" w:hAnsi="Times New Roman"/>
          <w:sz w:val="24"/>
          <w:szCs w:val="24"/>
        </w:rPr>
        <w:t xml:space="preserve">in the previous section, </w:t>
      </w:r>
      <w:r w:rsidR="00632E52" w:rsidRPr="00EC7846">
        <w:rPr>
          <w:rFonts w:ascii="Times New Roman" w:hAnsi="Times New Roman"/>
          <w:sz w:val="24"/>
          <w:szCs w:val="24"/>
        </w:rPr>
        <w:t xml:space="preserve">also reveals how the </w:t>
      </w:r>
      <w:r w:rsidR="002C5269">
        <w:rPr>
          <w:rFonts w:ascii="Times New Roman" w:hAnsi="Times New Roman"/>
          <w:sz w:val="24"/>
          <w:szCs w:val="24"/>
        </w:rPr>
        <w:t xml:space="preserve">law-on-the-books </w:t>
      </w:r>
      <w:r w:rsidR="00632E52" w:rsidRPr="00EC7846">
        <w:rPr>
          <w:rFonts w:ascii="Times New Roman" w:hAnsi="Times New Roman"/>
          <w:sz w:val="24"/>
          <w:szCs w:val="24"/>
        </w:rPr>
        <w:t>is incomplete in ways that can undermine participatory rights. First</w:t>
      </w:r>
      <w:r w:rsidR="000E1DCB">
        <w:rPr>
          <w:rFonts w:ascii="Times New Roman" w:hAnsi="Times New Roman"/>
          <w:sz w:val="24"/>
          <w:szCs w:val="24"/>
        </w:rPr>
        <w:t xml:space="preserve">, </w:t>
      </w:r>
      <w:r w:rsidR="00632E52" w:rsidRPr="00EC7846">
        <w:rPr>
          <w:rFonts w:ascii="Times New Roman" w:hAnsi="Times New Roman"/>
          <w:sz w:val="24"/>
          <w:szCs w:val="24"/>
        </w:rPr>
        <w:t xml:space="preserve">as mentioned earlier, in cases of significant political pressure by the President or Congress, </w:t>
      </w:r>
      <w:r w:rsidR="007B5DDC">
        <w:rPr>
          <w:rFonts w:ascii="Times New Roman" w:hAnsi="Times New Roman"/>
          <w:sz w:val="24"/>
          <w:szCs w:val="24"/>
        </w:rPr>
        <w:t>concerns about judicial reversal</w:t>
      </w:r>
      <w:r w:rsidR="00A83E71">
        <w:rPr>
          <w:rFonts w:ascii="Times New Roman" w:hAnsi="Times New Roman"/>
          <w:sz w:val="24"/>
          <w:szCs w:val="24"/>
        </w:rPr>
        <w:t xml:space="preserve"> </w:t>
      </w:r>
      <w:r w:rsidR="007B5DDC">
        <w:rPr>
          <w:rFonts w:ascii="Times New Roman" w:hAnsi="Times New Roman"/>
          <w:sz w:val="24"/>
          <w:szCs w:val="24"/>
        </w:rPr>
        <w:t>under</w:t>
      </w:r>
      <w:r w:rsidR="00632E52" w:rsidRPr="00EC7846">
        <w:rPr>
          <w:rFonts w:ascii="Times New Roman" w:hAnsi="Times New Roman"/>
          <w:sz w:val="24"/>
          <w:szCs w:val="24"/>
        </w:rPr>
        <w:t xml:space="preserve"> the APA may take a back seat</w:t>
      </w:r>
      <w:r w:rsidR="000E1DCB">
        <w:rPr>
          <w:rFonts w:ascii="Times New Roman" w:hAnsi="Times New Roman"/>
          <w:sz w:val="24"/>
          <w:szCs w:val="24"/>
        </w:rPr>
        <w:t xml:space="preserve"> </w:t>
      </w:r>
      <w:r w:rsidR="00632E52" w:rsidRPr="00EC7846">
        <w:rPr>
          <w:rFonts w:ascii="Times New Roman" w:hAnsi="Times New Roman"/>
          <w:sz w:val="24"/>
          <w:szCs w:val="24"/>
        </w:rPr>
        <w:t xml:space="preserve">and </w:t>
      </w:r>
      <w:r w:rsidR="00A83E71">
        <w:rPr>
          <w:rFonts w:ascii="Times New Roman" w:hAnsi="Times New Roman"/>
          <w:sz w:val="24"/>
          <w:szCs w:val="24"/>
        </w:rPr>
        <w:t>may</w:t>
      </w:r>
      <w:r w:rsidR="00632E52" w:rsidRPr="00EC7846">
        <w:rPr>
          <w:rFonts w:ascii="Times New Roman" w:hAnsi="Times New Roman"/>
          <w:sz w:val="24"/>
          <w:szCs w:val="24"/>
        </w:rPr>
        <w:t xml:space="preserve"> even be ignored entirely by the agency (Stewart, 1975).  Somewhat similarly, if a U.S. agency is captured</w:t>
      </w:r>
      <w:r w:rsidR="00A83E71">
        <w:rPr>
          <w:rFonts w:ascii="Times New Roman" w:hAnsi="Times New Roman"/>
          <w:sz w:val="24"/>
          <w:szCs w:val="24"/>
        </w:rPr>
        <w:t xml:space="preserve"> by the regulated industry </w:t>
      </w:r>
      <w:r w:rsidR="00632E52" w:rsidRPr="00EC7846">
        <w:rPr>
          <w:rFonts w:ascii="Times New Roman" w:hAnsi="Times New Roman"/>
          <w:sz w:val="24"/>
          <w:szCs w:val="24"/>
        </w:rPr>
        <w:t>or eager to advance a particular end, then the risk of judicial review may be insufficient to reign in its discretion</w:t>
      </w:r>
      <w:r w:rsidR="00A83E71">
        <w:rPr>
          <w:rFonts w:ascii="Times New Roman" w:hAnsi="Times New Roman"/>
          <w:sz w:val="24"/>
          <w:szCs w:val="24"/>
        </w:rPr>
        <w:t>―</w:t>
      </w:r>
      <w:r w:rsidR="00632E52" w:rsidRPr="00EC7846">
        <w:rPr>
          <w:rFonts w:ascii="Times New Roman" w:hAnsi="Times New Roman"/>
          <w:sz w:val="24"/>
          <w:szCs w:val="24"/>
        </w:rPr>
        <w:t>the benefits of noncompliance to the wayward agency may outweigh the costs of an adverse court decision.</w:t>
      </w:r>
    </w:p>
    <w:p w:rsidR="00632E52"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Second, there is no parallel legal right of interested parties to participate in the agency’s development of the rule proposal, despite the seemingly influential role of early deliberations in framing the rule.  Thus, while the notice</w:t>
      </w:r>
      <w:r w:rsidR="00A83E71">
        <w:rPr>
          <w:rFonts w:ascii="Times New Roman" w:hAnsi="Times New Roman"/>
          <w:sz w:val="24"/>
          <w:szCs w:val="24"/>
        </w:rPr>
        <w:t>-</w:t>
      </w:r>
      <w:r w:rsidR="00632E52" w:rsidRPr="00EC7846">
        <w:rPr>
          <w:rFonts w:ascii="Times New Roman" w:hAnsi="Times New Roman"/>
          <w:sz w:val="24"/>
          <w:szCs w:val="24"/>
        </w:rPr>
        <w:t>and</w:t>
      </w:r>
      <w:r w:rsidR="00A83E71">
        <w:rPr>
          <w:rFonts w:ascii="Times New Roman" w:hAnsi="Times New Roman"/>
          <w:sz w:val="24"/>
          <w:szCs w:val="24"/>
        </w:rPr>
        <w:t>-</w:t>
      </w:r>
      <w:r w:rsidR="00632E52" w:rsidRPr="00EC7846">
        <w:rPr>
          <w:rFonts w:ascii="Times New Roman" w:hAnsi="Times New Roman"/>
          <w:sz w:val="24"/>
          <w:szCs w:val="24"/>
        </w:rPr>
        <w:t xml:space="preserve">comment stage does provide a guaranteed </w:t>
      </w:r>
      <w:r w:rsidR="00632E52" w:rsidRPr="00EC7846">
        <w:rPr>
          <w:rFonts w:ascii="Times New Roman" w:hAnsi="Times New Roman"/>
          <w:sz w:val="24"/>
          <w:szCs w:val="24"/>
        </w:rPr>
        <w:lastRenderedPageBreak/>
        <w:t>opportunity for interest groups</w:t>
      </w:r>
      <w:r w:rsidR="00632E52">
        <w:rPr>
          <w:rFonts w:ascii="Times New Roman" w:hAnsi="Times New Roman"/>
          <w:sz w:val="24"/>
          <w:szCs w:val="24"/>
        </w:rPr>
        <w:t xml:space="preserve"> to lodge comments</w:t>
      </w:r>
      <w:r w:rsidR="00632E52" w:rsidRPr="00EC7846">
        <w:rPr>
          <w:rFonts w:ascii="Times New Roman" w:hAnsi="Times New Roman"/>
          <w:sz w:val="24"/>
          <w:szCs w:val="24"/>
        </w:rPr>
        <w:t xml:space="preserve">, </w:t>
      </w:r>
      <w:r w:rsidR="00632E52">
        <w:rPr>
          <w:rFonts w:ascii="Times New Roman" w:hAnsi="Times New Roman"/>
          <w:sz w:val="24"/>
          <w:szCs w:val="24"/>
        </w:rPr>
        <w:t>high</w:t>
      </w:r>
      <w:r w:rsidR="00A83E71">
        <w:rPr>
          <w:rFonts w:ascii="Times New Roman" w:hAnsi="Times New Roman"/>
          <w:sz w:val="24"/>
          <w:szCs w:val="24"/>
        </w:rPr>
        <w:t>-</w:t>
      </w:r>
      <w:r w:rsidR="00632E52">
        <w:rPr>
          <w:rFonts w:ascii="Times New Roman" w:hAnsi="Times New Roman"/>
          <w:sz w:val="24"/>
          <w:szCs w:val="24"/>
        </w:rPr>
        <w:t xml:space="preserve">stakes groups take advantage of other steps in the rulemaking process to influence agency rules.  </w:t>
      </w:r>
      <w:r w:rsidR="000E1DCB">
        <w:rPr>
          <w:rFonts w:ascii="Times New Roman" w:hAnsi="Times New Roman"/>
          <w:sz w:val="24"/>
          <w:szCs w:val="24"/>
        </w:rPr>
        <w:t>Moreover, d</w:t>
      </w:r>
      <w:r w:rsidR="00632E52" w:rsidRPr="00EC7846">
        <w:rPr>
          <w:rFonts w:ascii="Times New Roman" w:hAnsi="Times New Roman"/>
          <w:sz w:val="24"/>
          <w:szCs w:val="24"/>
        </w:rPr>
        <w:t xml:space="preserve">uring these informal negotiations, most U.S. agencies are not </w:t>
      </w:r>
      <w:r w:rsidR="00632E52">
        <w:rPr>
          <w:rFonts w:ascii="Times New Roman" w:hAnsi="Times New Roman"/>
          <w:sz w:val="24"/>
          <w:szCs w:val="24"/>
        </w:rPr>
        <w:t xml:space="preserve">required to document </w:t>
      </w:r>
      <w:r w:rsidR="00632E52" w:rsidRPr="00EC7846">
        <w:rPr>
          <w:rFonts w:ascii="Times New Roman" w:hAnsi="Times New Roman"/>
          <w:sz w:val="24"/>
          <w:szCs w:val="24"/>
        </w:rPr>
        <w:t xml:space="preserve">their engagement with affected parties, despite the fact that the negotiations could ultimately prove quite influential in </w:t>
      </w:r>
      <w:r w:rsidR="00A83E71">
        <w:rPr>
          <w:rFonts w:ascii="Times New Roman" w:hAnsi="Times New Roman"/>
          <w:sz w:val="24"/>
          <w:szCs w:val="24"/>
        </w:rPr>
        <w:t>shaping</w:t>
      </w:r>
      <w:r w:rsidR="00632E52" w:rsidRPr="00EC7846">
        <w:rPr>
          <w:rFonts w:ascii="Times New Roman" w:hAnsi="Times New Roman"/>
          <w:sz w:val="24"/>
          <w:szCs w:val="24"/>
        </w:rPr>
        <w:t xml:space="preserve"> the substance of the </w:t>
      </w:r>
      <w:r w:rsidR="00632E52">
        <w:rPr>
          <w:rFonts w:ascii="Times New Roman" w:hAnsi="Times New Roman"/>
          <w:sz w:val="24"/>
          <w:szCs w:val="24"/>
        </w:rPr>
        <w:t>agency’s proposal</w:t>
      </w:r>
      <w:r w:rsidR="00632E52" w:rsidRPr="00EC7846">
        <w:rPr>
          <w:rFonts w:ascii="Times New Roman" w:hAnsi="Times New Roman"/>
          <w:sz w:val="24"/>
          <w:szCs w:val="24"/>
        </w:rPr>
        <w:t>.  Indeed, it remains to be seen</w:t>
      </w:r>
      <w:r w:rsidR="00A83E71">
        <w:rPr>
          <w:rFonts w:ascii="Times New Roman" w:hAnsi="Times New Roman"/>
          <w:sz w:val="24"/>
          <w:szCs w:val="24"/>
        </w:rPr>
        <w:t>―</w:t>
      </w:r>
      <w:r w:rsidR="00632E52" w:rsidRPr="00EC7846">
        <w:rPr>
          <w:rFonts w:ascii="Times New Roman" w:hAnsi="Times New Roman"/>
          <w:sz w:val="24"/>
          <w:szCs w:val="24"/>
        </w:rPr>
        <w:t>and could well depend on the type of rule and agency</w:t>
      </w:r>
      <w:r w:rsidR="00A83E71">
        <w:rPr>
          <w:rFonts w:ascii="Times New Roman" w:hAnsi="Times New Roman"/>
          <w:sz w:val="24"/>
          <w:szCs w:val="24"/>
        </w:rPr>
        <w:t>―</w:t>
      </w:r>
      <w:r w:rsidR="00632E52" w:rsidRPr="00EC7846">
        <w:rPr>
          <w:rFonts w:ascii="Times New Roman" w:hAnsi="Times New Roman"/>
          <w:sz w:val="24"/>
          <w:szCs w:val="24"/>
        </w:rPr>
        <w:t>whether</w:t>
      </w:r>
      <w:r w:rsidR="00A83E71">
        <w:rPr>
          <w:rFonts w:ascii="Times New Roman" w:hAnsi="Times New Roman"/>
          <w:sz w:val="24"/>
          <w:szCs w:val="24"/>
        </w:rPr>
        <w:t xml:space="preserve"> </w:t>
      </w:r>
      <w:r w:rsidR="00632E52" w:rsidRPr="00EC7846">
        <w:rPr>
          <w:rFonts w:ascii="Times New Roman" w:hAnsi="Times New Roman"/>
          <w:sz w:val="24"/>
          <w:szCs w:val="24"/>
        </w:rPr>
        <w:t>the comment period or these informal pre-rule and post</w:t>
      </w:r>
      <w:r w:rsidR="00A83E71">
        <w:rPr>
          <w:rFonts w:ascii="Times New Roman" w:hAnsi="Times New Roman"/>
          <w:sz w:val="24"/>
          <w:szCs w:val="24"/>
        </w:rPr>
        <w:t>-</w:t>
      </w:r>
      <w:r w:rsidR="00632E52" w:rsidRPr="00EC7846">
        <w:rPr>
          <w:rFonts w:ascii="Times New Roman" w:hAnsi="Times New Roman"/>
          <w:sz w:val="24"/>
          <w:szCs w:val="24"/>
        </w:rPr>
        <w:t xml:space="preserve">rule negotiations are substantively more important in shaping individual rules (West, 2009).  </w:t>
      </w:r>
    </w:p>
    <w:p w:rsidR="00632E52" w:rsidRPr="00EC7846" w:rsidRDefault="008B7CD3" w:rsidP="008B7CD3">
      <w:pPr>
        <w:spacing w:line="480" w:lineRule="auto"/>
        <w:rPr>
          <w:rFonts w:ascii="Times New Roman" w:hAnsi="Times New Roman" w:cs="Times New Roman"/>
          <w:sz w:val="24"/>
          <w:szCs w:val="24"/>
        </w:rPr>
      </w:pPr>
      <w:r>
        <w:rPr>
          <w:rFonts w:ascii="Times New Roman" w:hAnsi="Times New Roman" w:cs="Times New Roman"/>
          <w:sz w:val="24"/>
          <w:szCs w:val="24"/>
        </w:rPr>
        <w:tab/>
      </w:r>
      <w:r w:rsidR="003C0AE4">
        <w:rPr>
          <w:rFonts w:ascii="Times New Roman" w:hAnsi="Times New Roman" w:cs="Times New Roman"/>
          <w:sz w:val="24"/>
          <w:szCs w:val="24"/>
        </w:rPr>
        <w:t xml:space="preserve">Even taking into account </w:t>
      </w:r>
      <w:r w:rsidR="00632E52" w:rsidRPr="00EC7846">
        <w:rPr>
          <w:rFonts w:ascii="Times New Roman" w:hAnsi="Times New Roman" w:cs="Times New Roman"/>
          <w:sz w:val="24"/>
          <w:szCs w:val="24"/>
        </w:rPr>
        <w:t xml:space="preserve">these practical realities, </w:t>
      </w:r>
      <w:r w:rsidR="003C0AE4">
        <w:rPr>
          <w:rFonts w:ascii="Times New Roman" w:hAnsi="Times New Roman" w:cs="Times New Roman"/>
          <w:sz w:val="24"/>
          <w:szCs w:val="24"/>
        </w:rPr>
        <w:t>however</w:t>
      </w:r>
      <w:r w:rsidR="007B422F">
        <w:rPr>
          <w:rFonts w:ascii="Times New Roman" w:hAnsi="Times New Roman" w:cs="Times New Roman"/>
          <w:sz w:val="24"/>
          <w:szCs w:val="24"/>
        </w:rPr>
        <w:t xml:space="preserve">, </w:t>
      </w:r>
      <w:r w:rsidR="00632E52" w:rsidRPr="00EC7846">
        <w:rPr>
          <w:rFonts w:ascii="Times New Roman" w:hAnsi="Times New Roman" w:cs="Times New Roman"/>
          <w:sz w:val="24"/>
          <w:szCs w:val="24"/>
        </w:rPr>
        <w:t xml:space="preserve">the </w:t>
      </w:r>
      <w:r w:rsidR="000B2A05">
        <w:rPr>
          <w:rFonts w:ascii="Times New Roman" w:hAnsi="Times New Roman" w:cs="Times New Roman"/>
          <w:sz w:val="24"/>
          <w:szCs w:val="24"/>
        </w:rPr>
        <w:t xml:space="preserve">formal and legalized </w:t>
      </w:r>
      <w:r w:rsidR="00632E52" w:rsidRPr="00EC7846">
        <w:rPr>
          <w:rFonts w:ascii="Times New Roman" w:hAnsi="Times New Roman" w:cs="Times New Roman"/>
          <w:sz w:val="24"/>
          <w:szCs w:val="24"/>
        </w:rPr>
        <w:t>process</w:t>
      </w:r>
      <w:r w:rsidR="000B2A05">
        <w:rPr>
          <w:rFonts w:ascii="Times New Roman" w:hAnsi="Times New Roman" w:cs="Times New Roman"/>
          <w:sz w:val="24"/>
          <w:szCs w:val="24"/>
        </w:rPr>
        <w:t xml:space="preserve"> in the U.S.</w:t>
      </w:r>
      <w:r w:rsidR="00632E52" w:rsidRPr="00EC7846">
        <w:rPr>
          <w:rFonts w:ascii="Times New Roman" w:hAnsi="Times New Roman" w:cs="Times New Roman"/>
          <w:sz w:val="24"/>
          <w:szCs w:val="24"/>
        </w:rPr>
        <w:t xml:space="preserve"> still seem</w:t>
      </w:r>
      <w:r w:rsidR="000B2A05">
        <w:rPr>
          <w:rFonts w:ascii="Times New Roman" w:hAnsi="Times New Roman" w:cs="Times New Roman"/>
          <w:sz w:val="24"/>
          <w:szCs w:val="24"/>
        </w:rPr>
        <w:t>s</w:t>
      </w:r>
      <w:r w:rsidR="00632E52" w:rsidRPr="00EC7846">
        <w:rPr>
          <w:rFonts w:ascii="Times New Roman" w:hAnsi="Times New Roman" w:cs="Times New Roman"/>
          <w:sz w:val="24"/>
          <w:szCs w:val="24"/>
        </w:rPr>
        <w:t xml:space="preserve"> </w:t>
      </w:r>
      <w:r w:rsidR="003C0AE4">
        <w:rPr>
          <w:rFonts w:ascii="Times New Roman" w:hAnsi="Times New Roman" w:cs="Times New Roman"/>
          <w:sz w:val="24"/>
          <w:szCs w:val="24"/>
        </w:rPr>
        <w:t xml:space="preserve">on balance </w:t>
      </w:r>
      <w:r w:rsidR="00632E52" w:rsidRPr="00EC7846">
        <w:rPr>
          <w:rFonts w:ascii="Times New Roman" w:hAnsi="Times New Roman" w:cs="Times New Roman"/>
          <w:sz w:val="24"/>
          <w:szCs w:val="24"/>
        </w:rPr>
        <w:t xml:space="preserve">to provide </w:t>
      </w:r>
      <w:r w:rsidR="000B2A05">
        <w:rPr>
          <w:rFonts w:ascii="Times New Roman" w:hAnsi="Times New Roman" w:cs="Times New Roman"/>
          <w:sz w:val="24"/>
          <w:szCs w:val="24"/>
        </w:rPr>
        <w:t xml:space="preserve">rulemaking </w:t>
      </w:r>
      <w:r w:rsidR="00632E52" w:rsidRPr="00EC7846">
        <w:rPr>
          <w:rFonts w:ascii="Times New Roman" w:hAnsi="Times New Roman" w:cs="Times New Roman"/>
          <w:sz w:val="24"/>
          <w:szCs w:val="24"/>
        </w:rPr>
        <w:t xml:space="preserve">participants </w:t>
      </w:r>
      <w:r w:rsidR="003F654D">
        <w:rPr>
          <w:rFonts w:ascii="Times New Roman" w:hAnsi="Times New Roman" w:cs="Times New Roman"/>
          <w:sz w:val="24"/>
          <w:szCs w:val="24"/>
        </w:rPr>
        <w:t>(</w:t>
      </w:r>
      <w:r w:rsidR="00632E52" w:rsidRPr="00EC7846">
        <w:rPr>
          <w:rFonts w:ascii="Times New Roman" w:hAnsi="Times New Roman" w:cs="Times New Roman"/>
          <w:sz w:val="24"/>
          <w:szCs w:val="24"/>
        </w:rPr>
        <w:t>whether associated with major organizations or not</w:t>
      </w:r>
      <w:r w:rsidR="003F654D">
        <w:rPr>
          <w:rFonts w:ascii="Times New Roman" w:hAnsi="Times New Roman" w:cs="Times New Roman"/>
          <w:sz w:val="24"/>
          <w:szCs w:val="24"/>
        </w:rPr>
        <w:t>)</w:t>
      </w:r>
      <w:r w:rsidR="00632E52" w:rsidRPr="00EC7846">
        <w:rPr>
          <w:rFonts w:ascii="Times New Roman" w:hAnsi="Times New Roman" w:cs="Times New Roman"/>
          <w:sz w:val="24"/>
          <w:szCs w:val="24"/>
        </w:rPr>
        <w:t xml:space="preserve"> with stronger protections against being excluded or ignored as compared </w:t>
      </w:r>
      <w:r w:rsidR="00DF2998">
        <w:rPr>
          <w:rFonts w:ascii="Times New Roman" w:hAnsi="Times New Roman" w:cs="Times New Roman"/>
          <w:sz w:val="24"/>
          <w:szCs w:val="24"/>
        </w:rPr>
        <w:t>to</w:t>
      </w:r>
      <w:r w:rsidR="00DF2998" w:rsidRPr="00EC7846">
        <w:rPr>
          <w:rFonts w:ascii="Times New Roman" w:hAnsi="Times New Roman" w:cs="Times New Roman"/>
          <w:sz w:val="24"/>
          <w:szCs w:val="24"/>
        </w:rPr>
        <w:t xml:space="preserve"> </w:t>
      </w:r>
      <w:r w:rsidR="00DF2998">
        <w:rPr>
          <w:rFonts w:ascii="Times New Roman" w:hAnsi="Times New Roman" w:cs="Times New Roman"/>
          <w:sz w:val="24"/>
          <w:szCs w:val="24"/>
        </w:rPr>
        <w:t>the</w:t>
      </w:r>
      <w:r w:rsidR="00632E52" w:rsidRPr="00EC7846">
        <w:rPr>
          <w:rFonts w:ascii="Times New Roman" w:hAnsi="Times New Roman" w:cs="Times New Roman"/>
          <w:sz w:val="24"/>
          <w:szCs w:val="24"/>
        </w:rPr>
        <w:t xml:space="preserve"> EU.   While these protections are not complete or always effective, they work to produce a system that does not allow agencies to bypass important steps in the participatory process and that generally encourages agencies to take comments seriously.</w:t>
      </w:r>
    </w:p>
    <w:p w:rsidR="00632E52" w:rsidRPr="00EC7846" w:rsidRDefault="00632E52" w:rsidP="008B7CD3">
      <w:pPr>
        <w:pStyle w:val="ListParagraph"/>
        <w:numPr>
          <w:ilvl w:val="0"/>
          <w:numId w:val="8"/>
        </w:numPr>
        <w:spacing w:line="480" w:lineRule="auto"/>
        <w:rPr>
          <w:rFonts w:ascii="Times New Roman" w:hAnsi="Times New Roman"/>
          <w:sz w:val="24"/>
          <w:szCs w:val="24"/>
        </w:rPr>
      </w:pPr>
      <w:r w:rsidRPr="00EC7846">
        <w:rPr>
          <w:rFonts w:ascii="Times New Roman" w:hAnsi="Times New Roman"/>
          <w:sz w:val="24"/>
          <w:szCs w:val="24"/>
        </w:rPr>
        <w:t>Participatory Gaps in the</w:t>
      </w:r>
      <w:r>
        <w:rPr>
          <w:rFonts w:ascii="Times New Roman" w:hAnsi="Times New Roman"/>
          <w:sz w:val="24"/>
          <w:szCs w:val="24"/>
        </w:rPr>
        <w:t xml:space="preserve"> U.S.</w:t>
      </w:r>
      <w:r w:rsidRPr="00EC7846">
        <w:rPr>
          <w:rFonts w:ascii="Times New Roman" w:hAnsi="Times New Roman"/>
          <w:sz w:val="24"/>
          <w:szCs w:val="24"/>
        </w:rPr>
        <w:t xml:space="preserve"> System</w:t>
      </w:r>
    </w:p>
    <w:p w:rsidR="00632E52" w:rsidRPr="00EC7846" w:rsidRDefault="008B7CD3" w:rsidP="008B7CD3">
      <w:pPr>
        <w:spacing w:line="480" w:lineRule="auto"/>
        <w:rPr>
          <w:rFonts w:ascii="Times New Roman" w:hAnsi="Times New Roman" w:cs="Times New Roman"/>
          <w:sz w:val="24"/>
          <w:szCs w:val="24"/>
        </w:rPr>
      </w:pPr>
      <w:r>
        <w:rPr>
          <w:rFonts w:ascii="Times New Roman" w:hAnsi="Times New Roman" w:cs="Times New Roman"/>
          <w:sz w:val="24"/>
          <w:szCs w:val="24"/>
        </w:rPr>
        <w:tab/>
      </w:r>
      <w:r w:rsidR="00632E52" w:rsidRPr="00EC7846">
        <w:rPr>
          <w:rFonts w:ascii="Times New Roman" w:hAnsi="Times New Roman" w:cs="Times New Roman"/>
          <w:sz w:val="24"/>
          <w:szCs w:val="24"/>
        </w:rPr>
        <w:t xml:space="preserve">In other ways the participatory protections </w:t>
      </w:r>
      <w:r w:rsidR="000B2A05">
        <w:rPr>
          <w:rFonts w:ascii="Times New Roman" w:hAnsi="Times New Roman" w:cs="Times New Roman"/>
          <w:sz w:val="24"/>
          <w:szCs w:val="24"/>
        </w:rPr>
        <w:t>of</w:t>
      </w:r>
      <w:r w:rsidR="00632E52" w:rsidRPr="00EC7846">
        <w:rPr>
          <w:rFonts w:ascii="Times New Roman" w:hAnsi="Times New Roman" w:cs="Times New Roman"/>
          <w:sz w:val="24"/>
          <w:szCs w:val="24"/>
        </w:rPr>
        <w:t xml:space="preserve"> the</w:t>
      </w:r>
      <w:r w:rsidR="00632E52">
        <w:rPr>
          <w:rFonts w:ascii="Times New Roman" w:hAnsi="Times New Roman" w:cs="Times New Roman"/>
          <w:sz w:val="24"/>
          <w:szCs w:val="24"/>
        </w:rPr>
        <w:t xml:space="preserve"> U.S.</w:t>
      </w:r>
      <w:r w:rsidR="00632E52" w:rsidRPr="00EC7846">
        <w:rPr>
          <w:rFonts w:ascii="Times New Roman" w:hAnsi="Times New Roman" w:cs="Times New Roman"/>
          <w:sz w:val="24"/>
          <w:szCs w:val="24"/>
        </w:rPr>
        <w:t xml:space="preserve"> </w:t>
      </w:r>
      <w:r w:rsidR="000B2A05">
        <w:rPr>
          <w:rFonts w:ascii="Times New Roman" w:hAnsi="Times New Roman" w:cs="Times New Roman"/>
          <w:sz w:val="24"/>
          <w:szCs w:val="24"/>
        </w:rPr>
        <w:t xml:space="preserve">system </w:t>
      </w:r>
      <w:r w:rsidR="00632E52" w:rsidRPr="00EC7846">
        <w:rPr>
          <w:rFonts w:ascii="Times New Roman" w:hAnsi="Times New Roman" w:cs="Times New Roman"/>
          <w:sz w:val="24"/>
          <w:szCs w:val="24"/>
        </w:rPr>
        <w:t>appear weaker than the EU</w:t>
      </w:r>
      <w:r w:rsidR="00BF622A">
        <w:rPr>
          <w:rFonts w:ascii="Times New Roman" w:hAnsi="Times New Roman" w:cs="Times New Roman"/>
          <w:sz w:val="24"/>
          <w:szCs w:val="24"/>
        </w:rPr>
        <w:t>’s</w:t>
      </w:r>
      <w:r w:rsidR="00632E52" w:rsidRPr="00EC7846">
        <w:rPr>
          <w:rFonts w:ascii="Times New Roman" w:hAnsi="Times New Roman" w:cs="Times New Roman"/>
          <w:sz w:val="24"/>
          <w:szCs w:val="24"/>
        </w:rPr>
        <w:t xml:space="preserve">, at least in some types of rulemakings.  </w:t>
      </w:r>
      <w:r w:rsidR="000B2A05">
        <w:rPr>
          <w:rFonts w:ascii="Times New Roman" w:hAnsi="Times New Roman" w:cs="Times New Roman"/>
          <w:sz w:val="24"/>
          <w:szCs w:val="24"/>
        </w:rPr>
        <w:t xml:space="preserve">Like other domains of the U.S. legal system, the extensive rights that are afforded in the rulemaking process can be costly to exercise and therefore many </w:t>
      </w:r>
      <w:r w:rsidR="00632E52" w:rsidRPr="00EC7846">
        <w:rPr>
          <w:rFonts w:ascii="Times New Roman" w:hAnsi="Times New Roman" w:cs="Times New Roman"/>
          <w:sz w:val="24"/>
          <w:szCs w:val="24"/>
        </w:rPr>
        <w:t>interested parties</w:t>
      </w:r>
      <w:r w:rsidR="000B2A05">
        <w:rPr>
          <w:rFonts w:ascii="Times New Roman" w:hAnsi="Times New Roman" w:cs="Times New Roman"/>
          <w:sz w:val="24"/>
          <w:szCs w:val="24"/>
        </w:rPr>
        <w:t xml:space="preserve"> may not be able </w:t>
      </w:r>
      <w:r w:rsidR="007B422F">
        <w:rPr>
          <w:rFonts w:ascii="Times New Roman" w:hAnsi="Times New Roman" w:cs="Times New Roman"/>
          <w:sz w:val="24"/>
          <w:szCs w:val="24"/>
        </w:rPr>
        <w:t xml:space="preserve">to </w:t>
      </w:r>
      <w:r w:rsidR="00632E52" w:rsidRPr="00EC7846">
        <w:rPr>
          <w:rFonts w:ascii="Times New Roman" w:hAnsi="Times New Roman" w:cs="Times New Roman"/>
          <w:sz w:val="24"/>
          <w:szCs w:val="24"/>
        </w:rPr>
        <w:t xml:space="preserve">afford to engage in the first place. </w:t>
      </w:r>
      <w:r w:rsidR="000B2A05">
        <w:rPr>
          <w:rFonts w:ascii="Times New Roman" w:hAnsi="Times New Roman" w:cs="Times New Roman"/>
          <w:sz w:val="24"/>
          <w:szCs w:val="24"/>
        </w:rPr>
        <w:t xml:space="preserve">  </w:t>
      </w:r>
      <w:r w:rsidR="00632E52">
        <w:rPr>
          <w:rFonts w:ascii="Times New Roman" w:hAnsi="Times New Roman" w:cs="Times New Roman"/>
          <w:sz w:val="24"/>
          <w:szCs w:val="24"/>
        </w:rPr>
        <w:t>U.S.</w:t>
      </w:r>
      <w:r w:rsidR="00632E52" w:rsidRPr="00EC7846">
        <w:rPr>
          <w:rFonts w:ascii="Times New Roman" w:hAnsi="Times New Roman" w:cs="Times New Roman"/>
          <w:sz w:val="24"/>
          <w:szCs w:val="24"/>
        </w:rPr>
        <w:t xml:space="preserve"> </w:t>
      </w:r>
      <w:r w:rsidR="000B2A05">
        <w:rPr>
          <w:rFonts w:ascii="Times New Roman" w:hAnsi="Times New Roman" w:cs="Times New Roman"/>
          <w:sz w:val="24"/>
          <w:szCs w:val="24"/>
        </w:rPr>
        <w:t xml:space="preserve">rulemaking is </w:t>
      </w:r>
      <w:r w:rsidR="00632E52" w:rsidRPr="00EC7846">
        <w:rPr>
          <w:rFonts w:ascii="Times New Roman" w:hAnsi="Times New Roman" w:cs="Times New Roman"/>
          <w:sz w:val="24"/>
          <w:szCs w:val="24"/>
        </w:rPr>
        <w:t>a type of “pay to play” system</w:t>
      </w:r>
      <w:r w:rsidR="000B2A05">
        <w:rPr>
          <w:rFonts w:ascii="Times New Roman" w:hAnsi="Times New Roman" w:cs="Times New Roman"/>
          <w:sz w:val="24"/>
          <w:szCs w:val="24"/>
        </w:rPr>
        <w:t xml:space="preserve">: </w:t>
      </w:r>
      <w:r w:rsidR="00632E52" w:rsidRPr="00EC7846">
        <w:rPr>
          <w:rFonts w:ascii="Times New Roman" w:hAnsi="Times New Roman" w:cs="Times New Roman"/>
          <w:sz w:val="24"/>
          <w:szCs w:val="24"/>
        </w:rPr>
        <w:t>the only interests that</w:t>
      </w:r>
      <w:r w:rsidR="000B2A05">
        <w:rPr>
          <w:rFonts w:ascii="Times New Roman" w:hAnsi="Times New Roman" w:cs="Times New Roman"/>
          <w:sz w:val="24"/>
          <w:szCs w:val="24"/>
        </w:rPr>
        <w:t xml:space="preserve"> administrative</w:t>
      </w:r>
      <w:r w:rsidR="00632E52" w:rsidRPr="00EC7846">
        <w:rPr>
          <w:rFonts w:ascii="Times New Roman" w:hAnsi="Times New Roman" w:cs="Times New Roman"/>
          <w:sz w:val="24"/>
          <w:szCs w:val="24"/>
        </w:rPr>
        <w:t xml:space="preserve"> agencies are required to consider are those that are backed by written (or in some cases, formal oral) comments</w:t>
      </w:r>
      <w:r w:rsidR="007B422F">
        <w:rPr>
          <w:rFonts w:ascii="Times New Roman" w:hAnsi="Times New Roman" w:cs="Times New Roman"/>
          <w:sz w:val="24"/>
          <w:szCs w:val="24"/>
        </w:rPr>
        <w:t>,</w:t>
      </w:r>
      <w:r w:rsidR="000B2A05">
        <w:rPr>
          <w:rFonts w:ascii="Times New Roman" w:hAnsi="Times New Roman" w:cs="Times New Roman"/>
          <w:sz w:val="24"/>
          <w:szCs w:val="24"/>
        </w:rPr>
        <w:t xml:space="preserve"> especially those comments backed by the threat of litigation</w:t>
      </w:r>
      <w:r w:rsidR="00632E52" w:rsidRPr="00EC7846">
        <w:rPr>
          <w:rFonts w:ascii="Times New Roman" w:hAnsi="Times New Roman" w:cs="Times New Roman"/>
          <w:sz w:val="24"/>
          <w:szCs w:val="24"/>
        </w:rPr>
        <w:t xml:space="preserve">. </w:t>
      </w:r>
      <w:r w:rsidR="000B2A05">
        <w:rPr>
          <w:rFonts w:ascii="Times New Roman" w:hAnsi="Times New Roman" w:cs="Times New Roman"/>
          <w:sz w:val="24"/>
          <w:szCs w:val="24"/>
        </w:rPr>
        <w:t xml:space="preserve"> In addition</w:t>
      </w:r>
      <w:r w:rsidR="00BF622A">
        <w:rPr>
          <w:rFonts w:ascii="Times New Roman" w:hAnsi="Times New Roman" w:cs="Times New Roman"/>
          <w:sz w:val="24"/>
          <w:szCs w:val="24"/>
        </w:rPr>
        <w:t>, a</w:t>
      </w:r>
      <w:r w:rsidR="00632E52" w:rsidRPr="00EC7846">
        <w:rPr>
          <w:rFonts w:ascii="Times New Roman" w:hAnsi="Times New Roman" w:cs="Times New Roman"/>
          <w:sz w:val="24"/>
          <w:szCs w:val="24"/>
        </w:rPr>
        <w:t>s discussed above, notice</w:t>
      </w:r>
      <w:r w:rsidR="000B2A05">
        <w:rPr>
          <w:rFonts w:ascii="Times New Roman" w:hAnsi="Times New Roman" w:cs="Times New Roman"/>
          <w:sz w:val="24"/>
          <w:szCs w:val="24"/>
        </w:rPr>
        <w:t>-</w:t>
      </w:r>
      <w:r w:rsidR="00632E52" w:rsidRPr="00EC7846">
        <w:rPr>
          <w:rFonts w:ascii="Times New Roman" w:hAnsi="Times New Roman" w:cs="Times New Roman"/>
          <w:sz w:val="24"/>
          <w:szCs w:val="24"/>
        </w:rPr>
        <w:t>and</w:t>
      </w:r>
      <w:r w:rsidR="000B2A05">
        <w:rPr>
          <w:rFonts w:ascii="Times New Roman" w:hAnsi="Times New Roman" w:cs="Times New Roman"/>
          <w:sz w:val="24"/>
          <w:szCs w:val="24"/>
        </w:rPr>
        <w:t>-</w:t>
      </w:r>
      <w:r w:rsidR="00632E52" w:rsidRPr="00EC7846">
        <w:rPr>
          <w:rFonts w:ascii="Times New Roman" w:hAnsi="Times New Roman" w:cs="Times New Roman"/>
          <w:sz w:val="24"/>
          <w:szCs w:val="24"/>
        </w:rPr>
        <w:t xml:space="preserve">comment requirements may serve inadvertently to discourage the </w:t>
      </w:r>
      <w:r w:rsidR="00632E52" w:rsidRPr="00EC7846">
        <w:rPr>
          <w:rFonts w:ascii="Times New Roman" w:hAnsi="Times New Roman" w:cs="Times New Roman"/>
          <w:sz w:val="24"/>
          <w:szCs w:val="24"/>
        </w:rPr>
        <w:lastRenderedPageBreak/>
        <w:t xml:space="preserve">agency from actively seeking out </w:t>
      </w:r>
      <w:r w:rsidR="007B5DDC">
        <w:rPr>
          <w:rFonts w:ascii="Times New Roman" w:hAnsi="Times New Roman" w:cs="Times New Roman"/>
          <w:sz w:val="24"/>
          <w:szCs w:val="24"/>
        </w:rPr>
        <w:t>thinly financed</w:t>
      </w:r>
      <w:r w:rsidR="00632E52">
        <w:rPr>
          <w:rFonts w:ascii="Times New Roman" w:hAnsi="Times New Roman" w:cs="Times New Roman"/>
          <w:sz w:val="24"/>
          <w:szCs w:val="24"/>
        </w:rPr>
        <w:t>, but affected</w:t>
      </w:r>
      <w:r w:rsidR="00632E52" w:rsidRPr="00EC7846">
        <w:rPr>
          <w:rFonts w:ascii="Times New Roman" w:hAnsi="Times New Roman" w:cs="Times New Roman"/>
          <w:sz w:val="24"/>
          <w:szCs w:val="24"/>
        </w:rPr>
        <w:t xml:space="preserve"> groups or attempting to factor in their concerns if they fail to file written comments.  </w:t>
      </w:r>
    </w:p>
    <w:p w:rsidR="00632E52" w:rsidRPr="00EC7846" w:rsidRDefault="008B7CD3" w:rsidP="008B7CD3">
      <w:pPr>
        <w:spacing w:line="480" w:lineRule="auto"/>
        <w:rPr>
          <w:rFonts w:ascii="Times New Roman" w:hAnsi="Times New Roman" w:cs="Times New Roman"/>
          <w:sz w:val="24"/>
          <w:szCs w:val="24"/>
        </w:rPr>
      </w:pPr>
      <w:r>
        <w:rPr>
          <w:rFonts w:ascii="Times New Roman" w:hAnsi="Times New Roman" w:cs="Times New Roman"/>
          <w:sz w:val="24"/>
          <w:szCs w:val="24"/>
        </w:rPr>
        <w:tab/>
      </w:r>
      <w:r w:rsidR="00632E52" w:rsidRPr="00EC7846">
        <w:rPr>
          <w:rFonts w:ascii="Times New Roman" w:hAnsi="Times New Roman" w:cs="Times New Roman"/>
          <w:sz w:val="24"/>
          <w:szCs w:val="24"/>
        </w:rPr>
        <w:t>The EU, by contrast, adopts</w:t>
      </w:r>
      <w:r w:rsidR="000B2A05">
        <w:rPr>
          <w:rFonts w:ascii="Times New Roman" w:hAnsi="Times New Roman" w:cs="Times New Roman"/>
          <w:sz w:val="24"/>
          <w:szCs w:val="24"/>
        </w:rPr>
        <w:t xml:space="preserve"> a more informal and less legalistic, but also</w:t>
      </w:r>
      <w:r w:rsidR="00632E52" w:rsidRPr="00EC7846">
        <w:rPr>
          <w:rFonts w:ascii="Times New Roman" w:hAnsi="Times New Roman" w:cs="Times New Roman"/>
          <w:sz w:val="24"/>
          <w:szCs w:val="24"/>
        </w:rPr>
        <w:t xml:space="preserve"> </w:t>
      </w:r>
      <w:r w:rsidR="000B2A05">
        <w:rPr>
          <w:rFonts w:ascii="Times New Roman" w:hAnsi="Times New Roman" w:cs="Times New Roman"/>
          <w:sz w:val="24"/>
          <w:szCs w:val="24"/>
        </w:rPr>
        <w:t xml:space="preserve">a </w:t>
      </w:r>
      <w:r w:rsidR="00632E52" w:rsidRPr="00EC7846">
        <w:rPr>
          <w:rFonts w:ascii="Times New Roman" w:hAnsi="Times New Roman" w:cs="Times New Roman"/>
          <w:sz w:val="24"/>
          <w:szCs w:val="24"/>
        </w:rPr>
        <w:t xml:space="preserve">more active </w:t>
      </w:r>
      <w:r w:rsidR="000B2A05">
        <w:rPr>
          <w:rFonts w:ascii="Times New Roman" w:hAnsi="Times New Roman" w:cs="Times New Roman"/>
          <w:sz w:val="24"/>
          <w:szCs w:val="24"/>
        </w:rPr>
        <w:t>and</w:t>
      </w:r>
      <w:r w:rsidR="00632E52" w:rsidRPr="00EC7846">
        <w:rPr>
          <w:rFonts w:ascii="Times New Roman" w:hAnsi="Times New Roman" w:cs="Times New Roman"/>
          <w:sz w:val="24"/>
          <w:szCs w:val="24"/>
        </w:rPr>
        <w:t xml:space="preserve"> “functional” </w:t>
      </w:r>
      <w:r w:rsidR="000B2A05">
        <w:rPr>
          <w:rFonts w:ascii="Times New Roman" w:hAnsi="Times New Roman" w:cs="Times New Roman"/>
          <w:sz w:val="24"/>
          <w:szCs w:val="24"/>
        </w:rPr>
        <w:t xml:space="preserve">approach </w:t>
      </w:r>
      <w:r w:rsidR="00632E52" w:rsidRPr="00EC7846">
        <w:rPr>
          <w:rFonts w:ascii="Times New Roman" w:hAnsi="Times New Roman" w:cs="Times New Roman"/>
          <w:sz w:val="24"/>
          <w:szCs w:val="24"/>
        </w:rPr>
        <w:t xml:space="preserve">that </w:t>
      </w:r>
      <w:r w:rsidR="00BF622A">
        <w:rPr>
          <w:rFonts w:ascii="Times New Roman" w:hAnsi="Times New Roman" w:cs="Times New Roman"/>
          <w:sz w:val="24"/>
          <w:szCs w:val="24"/>
        </w:rPr>
        <w:t>attempt</w:t>
      </w:r>
      <w:r w:rsidR="000B2A05">
        <w:rPr>
          <w:rFonts w:ascii="Times New Roman" w:hAnsi="Times New Roman" w:cs="Times New Roman"/>
          <w:sz w:val="24"/>
          <w:szCs w:val="24"/>
        </w:rPr>
        <w:t>s</w:t>
      </w:r>
      <w:r w:rsidR="00BF622A" w:rsidRPr="00EC7846">
        <w:rPr>
          <w:rFonts w:ascii="Times New Roman" w:hAnsi="Times New Roman" w:cs="Times New Roman"/>
          <w:sz w:val="24"/>
          <w:szCs w:val="24"/>
        </w:rPr>
        <w:t xml:space="preserve"> </w:t>
      </w:r>
      <w:r w:rsidR="00632E52" w:rsidRPr="00EC7846">
        <w:rPr>
          <w:rFonts w:ascii="Times New Roman" w:hAnsi="Times New Roman" w:cs="Times New Roman"/>
          <w:sz w:val="24"/>
          <w:szCs w:val="24"/>
        </w:rPr>
        <w:t>to seek out the full range of interests throughout the decision-making process, a commitment that emerges from the neo-corporatism underpinnings of its basic administrative design.</w:t>
      </w:r>
      <w:r w:rsidR="00632E52" w:rsidRPr="00EC7846">
        <w:rPr>
          <w:rStyle w:val="EndnoteReference"/>
          <w:rFonts w:ascii="Times New Roman" w:hAnsi="Times New Roman" w:cs="Times New Roman"/>
          <w:sz w:val="24"/>
          <w:szCs w:val="24"/>
        </w:rPr>
        <w:t xml:space="preserve"> </w:t>
      </w:r>
      <w:r w:rsidR="00632E52" w:rsidRPr="00EC7846">
        <w:rPr>
          <w:rFonts w:ascii="Times New Roman" w:hAnsi="Times New Roman" w:cs="Times New Roman"/>
          <w:sz w:val="24"/>
          <w:szCs w:val="24"/>
        </w:rPr>
        <w:t xml:space="preserve">  </w:t>
      </w:r>
      <w:r w:rsidR="000B2A05">
        <w:rPr>
          <w:rFonts w:ascii="Times New Roman" w:hAnsi="Times New Roman" w:cs="Times New Roman"/>
          <w:sz w:val="24"/>
          <w:szCs w:val="24"/>
        </w:rPr>
        <w:t xml:space="preserve">As Stijn </w:t>
      </w:r>
      <w:r w:rsidR="00632E52" w:rsidRPr="00EC7846">
        <w:rPr>
          <w:rFonts w:ascii="Times New Roman" w:hAnsi="Times New Roman" w:cs="Times New Roman"/>
          <w:sz w:val="24"/>
          <w:szCs w:val="24"/>
        </w:rPr>
        <w:t>Smismans (201</w:t>
      </w:r>
      <w:r w:rsidR="000B2A05">
        <w:rPr>
          <w:rFonts w:ascii="Times New Roman" w:hAnsi="Times New Roman" w:cs="Times New Roman"/>
          <w:sz w:val="24"/>
          <w:szCs w:val="24"/>
        </w:rPr>
        <w:t>5</w:t>
      </w:r>
      <w:r w:rsidR="00632E52" w:rsidRPr="00EC7846">
        <w:rPr>
          <w:rFonts w:ascii="Times New Roman" w:hAnsi="Times New Roman" w:cs="Times New Roman"/>
          <w:sz w:val="24"/>
          <w:szCs w:val="24"/>
        </w:rPr>
        <w:t>) describes</w:t>
      </w:r>
      <w:r w:rsidR="000B2A05">
        <w:rPr>
          <w:rFonts w:ascii="Times New Roman" w:hAnsi="Times New Roman" w:cs="Times New Roman"/>
          <w:sz w:val="24"/>
          <w:szCs w:val="24"/>
        </w:rPr>
        <w:t xml:space="preserve"> in his chapter,</w:t>
      </w:r>
      <w:r w:rsidR="00632E52" w:rsidRPr="00EC7846">
        <w:rPr>
          <w:rFonts w:ascii="Times New Roman" w:hAnsi="Times New Roman" w:cs="Times New Roman"/>
          <w:sz w:val="24"/>
          <w:szCs w:val="24"/>
        </w:rPr>
        <w:t xml:space="preserve"> the EU</w:t>
      </w:r>
      <w:r w:rsidR="000B2A05">
        <w:rPr>
          <w:rFonts w:ascii="Times New Roman" w:hAnsi="Times New Roman" w:cs="Times New Roman"/>
          <w:sz w:val="24"/>
          <w:szCs w:val="24"/>
        </w:rPr>
        <w:t xml:space="preserve"> Commission both</w:t>
      </w:r>
      <w:r w:rsidR="00632E52" w:rsidRPr="00EC7846">
        <w:rPr>
          <w:rFonts w:ascii="Times New Roman" w:hAnsi="Times New Roman" w:cs="Times New Roman"/>
          <w:sz w:val="24"/>
          <w:szCs w:val="24"/>
        </w:rPr>
        <w:t xml:space="preserve"> solicits a diverse range of views through its neo-corporatist participation model</w:t>
      </w:r>
      <w:r w:rsidR="000B2A05">
        <w:rPr>
          <w:rFonts w:ascii="Times New Roman" w:hAnsi="Times New Roman" w:cs="Times New Roman"/>
          <w:sz w:val="24"/>
          <w:szCs w:val="24"/>
        </w:rPr>
        <w:t xml:space="preserve"> and</w:t>
      </w:r>
      <w:r w:rsidR="00632E52" w:rsidRPr="00EC7846">
        <w:rPr>
          <w:rFonts w:ascii="Times New Roman" w:hAnsi="Times New Roman" w:cs="Times New Roman"/>
          <w:sz w:val="24"/>
          <w:szCs w:val="24"/>
        </w:rPr>
        <w:t xml:space="preserve"> subsidizes some of the more thinly financed groups to ensure their participation (</w:t>
      </w:r>
      <w:r w:rsidR="00632E52">
        <w:rPr>
          <w:rFonts w:ascii="Times New Roman" w:hAnsi="Times New Roman" w:cs="Times New Roman"/>
          <w:sz w:val="24"/>
          <w:szCs w:val="24"/>
        </w:rPr>
        <w:t xml:space="preserve">ibid.; </w:t>
      </w:r>
      <w:r w:rsidR="00632E52" w:rsidRPr="00EC7846">
        <w:rPr>
          <w:rFonts w:ascii="Times New Roman" w:hAnsi="Times New Roman" w:cs="Times New Roman"/>
          <w:sz w:val="24"/>
          <w:szCs w:val="24"/>
        </w:rPr>
        <w:t xml:space="preserve">Mahoney &amp; Beckstrand, 2011).  The EU’s Water Framework Directive provides a concrete example of this consultation approach.  It requires Member States to “encourage the active involvement of interested parties” in developing river basin management plans at the individual watershed level (Directive 2000/60/EC, the Water Framework Directive, §14(1)).  </w:t>
      </w:r>
      <w:r w:rsidR="007B5DDC">
        <w:rPr>
          <w:rFonts w:ascii="Times New Roman" w:hAnsi="Times New Roman" w:cs="Times New Roman"/>
          <w:sz w:val="24"/>
          <w:szCs w:val="24"/>
        </w:rPr>
        <w:t>At least in some watersheds,</w:t>
      </w:r>
      <w:r w:rsidR="00BF622A">
        <w:rPr>
          <w:rFonts w:ascii="Times New Roman" w:hAnsi="Times New Roman" w:cs="Times New Roman"/>
          <w:sz w:val="24"/>
          <w:szCs w:val="24"/>
        </w:rPr>
        <w:t xml:space="preserve"> t</w:t>
      </w:r>
      <w:r w:rsidR="00632E52" w:rsidRPr="00EC7846">
        <w:rPr>
          <w:rFonts w:ascii="Times New Roman" w:hAnsi="Times New Roman" w:cs="Times New Roman"/>
          <w:sz w:val="24"/>
          <w:szCs w:val="24"/>
        </w:rPr>
        <w:t>h</w:t>
      </w:r>
      <w:r w:rsidR="00BF622A">
        <w:rPr>
          <w:rFonts w:ascii="Times New Roman" w:hAnsi="Times New Roman" w:cs="Times New Roman"/>
          <w:sz w:val="24"/>
          <w:szCs w:val="24"/>
        </w:rPr>
        <w:t>e</w:t>
      </w:r>
      <w:r w:rsidR="00632E52" w:rsidRPr="00EC7846">
        <w:rPr>
          <w:rFonts w:ascii="Times New Roman" w:hAnsi="Times New Roman" w:cs="Times New Roman"/>
          <w:sz w:val="24"/>
          <w:szCs w:val="24"/>
        </w:rPr>
        <w:t xml:space="preserve"> mandate </w:t>
      </w:r>
      <w:r w:rsidR="007B5DDC">
        <w:rPr>
          <w:rFonts w:ascii="Times New Roman" w:hAnsi="Times New Roman" w:cs="Times New Roman"/>
          <w:sz w:val="24"/>
          <w:szCs w:val="24"/>
        </w:rPr>
        <w:t>is</w:t>
      </w:r>
      <w:r w:rsidR="00632E52" w:rsidRPr="00EC7846">
        <w:rPr>
          <w:rFonts w:ascii="Times New Roman" w:hAnsi="Times New Roman" w:cs="Times New Roman"/>
          <w:sz w:val="24"/>
          <w:szCs w:val="24"/>
        </w:rPr>
        <w:t xml:space="preserve"> taken quite seriously.  In the United Kingdom, th</w:t>
      </w:r>
      <w:r w:rsidR="007B5DDC">
        <w:rPr>
          <w:rFonts w:ascii="Times New Roman" w:hAnsi="Times New Roman" w:cs="Times New Roman"/>
          <w:sz w:val="24"/>
          <w:szCs w:val="24"/>
        </w:rPr>
        <w:t>e</w:t>
      </w:r>
      <w:r w:rsidR="00632E52" w:rsidRPr="00EC7846">
        <w:rPr>
          <w:rFonts w:ascii="Times New Roman" w:hAnsi="Times New Roman" w:cs="Times New Roman"/>
          <w:sz w:val="24"/>
          <w:szCs w:val="24"/>
        </w:rPr>
        <w:t xml:space="preserve"> consultation</w:t>
      </w:r>
      <w:r w:rsidR="007B5DDC">
        <w:rPr>
          <w:rFonts w:ascii="Times New Roman" w:hAnsi="Times New Roman" w:cs="Times New Roman"/>
          <w:sz w:val="24"/>
          <w:szCs w:val="24"/>
        </w:rPr>
        <w:t xml:space="preserve"> by the government in one area </w:t>
      </w:r>
      <w:r w:rsidR="00632E52" w:rsidRPr="00EC7846">
        <w:rPr>
          <w:rFonts w:ascii="Times New Roman" w:hAnsi="Times New Roman" w:cs="Times New Roman"/>
          <w:sz w:val="24"/>
          <w:szCs w:val="24"/>
        </w:rPr>
        <w:t>included widely disseminated public surveys, the solicitation of views from about 500 citizens, and the creation of representative liason groups (Fisher et al, 2013).</w:t>
      </w:r>
    </w:p>
    <w:p w:rsidR="00632E52" w:rsidRPr="00EC7846" w:rsidRDefault="008B7CD3" w:rsidP="008B7CD3">
      <w:pPr>
        <w:spacing w:line="480" w:lineRule="auto"/>
        <w:rPr>
          <w:rFonts w:ascii="Times New Roman" w:hAnsi="Times New Roman" w:cs="Times New Roman"/>
          <w:sz w:val="24"/>
          <w:szCs w:val="24"/>
        </w:rPr>
      </w:pPr>
      <w:r>
        <w:rPr>
          <w:rFonts w:ascii="Times New Roman" w:hAnsi="Times New Roman" w:cs="Times New Roman"/>
          <w:sz w:val="24"/>
          <w:szCs w:val="24"/>
        </w:rPr>
        <w:tab/>
      </w:r>
      <w:r w:rsidR="00632E52" w:rsidRPr="00EC7846">
        <w:rPr>
          <w:rFonts w:ascii="Times New Roman" w:hAnsi="Times New Roman" w:cs="Times New Roman"/>
          <w:sz w:val="24"/>
          <w:szCs w:val="24"/>
        </w:rPr>
        <w:t xml:space="preserve">The EU institutionalizes </w:t>
      </w:r>
      <w:r w:rsidR="007B5DDC">
        <w:rPr>
          <w:rFonts w:ascii="Times New Roman" w:hAnsi="Times New Roman" w:cs="Times New Roman"/>
          <w:sz w:val="24"/>
          <w:szCs w:val="24"/>
        </w:rPr>
        <w:t>its more</w:t>
      </w:r>
      <w:r w:rsidR="00632E52" w:rsidRPr="00EC7846">
        <w:rPr>
          <w:rFonts w:ascii="Times New Roman" w:hAnsi="Times New Roman" w:cs="Times New Roman"/>
          <w:sz w:val="24"/>
          <w:szCs w:val="24"/>
        </w:rPr>
        <w:t xml:space="preserve"> proactive approach to participation in a variety of ways (Smismans 200).  One of the most significant mechanisms appears to be the</w:t>
      </w:r>
      <w:r w:rsidR="00BF622A">
        <w:rPr>
          <w:rFonts w:ascii="Times New Roman" w:hAnsi="Times New Roman" w:cs="Times New Roman"/>
          <w:sz w:val="24"/>
          <w:szCs w:val="24"/>
        </w:rPr>
        <w:t xml:space="preserve"> </w:t>
      </w:r>
      <w:r w:rsidR="00632E52" w:rsidRPr="00EC7846">
        <w:rPr>
          <w:rFonts w:ascii="Times New Roman" w:hAnsi="Times New Roman" w:cs="Times New Roman"/>
          <w:sz w:val="24"/>
          <w:szCs w:val="24"/>
        </w:rPr>
        <w:t>legal creation of advisory committees</w:t>
      </w:r>
      <w:r w:rsidR="00B44DD8">
        <w:rPr>
          <w:rFonts w:ascii="Times New Roman" w:hAnsi="Times New Roman" w:cs="Times New Roman"/>
          <w:sz w:val="24"/>
          <w:szCs w:val="24"/>
        </w:rPr>
        <w:t xml:space="preserve">, boards </w:t>
      </w:r>
      <w:r w:rsidR="00632E52" w:rsidRPr="00EC7846">
        <w:rPr>
          <w:rFonts w:ascii="Times New Roman" w:hAnsi="Times New Roman" w:cs="Times New Roman"/>
          <w:sz w:val="24"/>
          <w:szCs w:val="24"/>
        </w:rPr>
        <w:t>assembled in ways that attempt to ensure all major organizational interests, as well as Member States, are represented (Smismans 201</w:t>
      </w:r>
      <w:r w:rsidR="00242B1C">
        <w:rPr>
          <w:rFonts w:ascii="Times New Roman" w:hAnsi="Times New Roman" w:cs="Times New Roman"/>
          <w:sz w:val="24"/>
          <w:szCs w:val="24"/>
        </w:rPr>
        <w:t>5</w:t>
      </w:r>
      <w:r w:rsidR="00632E52" w:rsidRPr="00EC7846">
        <w:rPr>
          <w:rFonts w:ascii="Times New Roman" w:hAnsi="Times New Roman" w:cs="Times New Roman"/>
          <w:sz w:val="24"/>
          <w:szCs w:val="24"/>
        </w:rPr>
        <w:t xml:space="preserve">; Smismans, 2004; Bignami, 2012).  </w:t>
      </w:r>
      <w:r w:rsidR="00B44DD8">
        <w:rPr>
          <w:rFonts w:ascii="Times New Roman" w:hAnsi="Times New Roman" w:cs="Times New Roman"/>
          <w:sz w:val="24"/>
          <w:szCs w:val="24"/>
        </w:rPr>
        <w:t>However, w</w:t>
      </w:r>
      <w:r w:rsidR="00632E52" w:rsidRPr="00EC7846">
        <w:rPr>
          <w:rFonts w:ascii="Times New Roman" w:hAnsi="Times New Roman" w:cs="Times New Roman"/>
          <w:sz w:val="24"/>
          <w:szCs w:val="24"/>
        </w:rPr>
        <w:t xml:space="preserve">hile the use of these committees reflects a proactive approach to soliciting diverse participation, the implementation of the committees in the EU </w:t>
      </w:r>
      <w:r w:rsidR="00B44DD8">
        <w:rPr>
          <w:rFonts w:ascii="Times New Roman" w:hAnsi="Times New Roman" w:cs="Times New Roman"/>
          <w:sz w:val="24"/>
          <w:szCs w:val="24"/>
        </w:rPr>
        <w:t>is</w:t>
      </w:r>
      <w:r w:rsidR="00B44DD8" w:rsidRPr="00EC7846">
        <w:rPr>
          <w:rFonts w:ascii="Times New Roman" w:hAnsi="Times New Roman" w:cs="Times New Roman"/>
          <w:sz w:val="24"/>
          <w:szCs w:val="24"/>
        </w:rPr>
        <w:t xml:space="preserve"> </w:t>
      </w:r>
      <w:r w:rsidR="00632E52" w:rsidRPr="00EC7846">
        <w:rPr>
          <w:rFonts w:ascii="Times New Roman" w:hAnsi="Times New Roman" w:cs="Times New Roman"/>
          <w:sz w:val="24"/>
          <w:szCs w:val="24"/>
        </w:rPr>
        <w:t>far from perfect (Smismans 201</w:t>
      </w:r>
      <w:r w:rsidR="00242B1C">
        <w:rPr>
          <w:rFonts w:ascii="Times New Roman" w:hAnsi="Times New Roman" w:cs="Times New Roman"/>
          <w:sz w:val="24"/>
          <w:szCs w:val="24"/>
        </w:rPr>
        <w:t>5</w:t>
      </w:r>
      <w:r w:rsidR="00632E52" w:rsidRPr="00EC7846">
        <w:rPr>
          <w:rFonts w:ascii="Times New Roman" w:hAnsi="Times New Roman" w:cs="Times New Roman"/>
          <w:sz w:val="24"/>
          <w:szCs w:val="24"/>
        </w:rPr>
        <w:t xml:space="preserve">). </w:t>
      </w:r>
      <w:r w:rsidR="00242B1C">
        <w:rPr>
          <w:rFonts w:ascii="Times New Roman" w:hAnsi="Times New Roman" w:cs="Times New Roman"/>
          <w:sz w:val="24"/>
          <w:szCs w:val="24"/>
        </w:rPr>
        <w:t xml:space="preserve">Among the complaints that have surfaced is the claim that advisory </w:t>
      </w:r>
      <w:r w:rsidR="00632E52" w:rsidRPr="00EC7846">
        <w:rPr>
          <w:rFonts w:ascii="Times New Roman" w:hAnsi="Times New Roman" w:cs="Times New Roman"/>
          <w:sz w:val="24"/>
          <w:szCs w:val="24"/>
        </w:rPr>
        <w:lastRenderedPageBreak/>
        <w:t>committees generally do not afford ready access for less established groups</w:t>
      </w:r>
      <w:r w:rsidR="00B44DD8">
        <w:rPr>
          <w:rFonts w:ascii="Times New Roman" w:hAnsi="Times New Roman" w:cs="Times New Roman"/>
          <w:sz w:val="24"/>
          <w:szCs w:val="24"/>
        </w:rPr>
        <w:t>, that</w:t>
      </w:r>
      <w:r w:rsidR="00632E52" w:rsidRPr="00EC7846">
        <w:rPr>
          <w:rFonts w:ascii="Times New Roman" w:hAnsi="Times New Roman" w:cs="Times New Roman"/>
          <w:sz w:val="24"/>
          <w:szCs w:val="24"/>
        </w:rPr>
        <w:t xml:space="preserve"> there is considerable secrecy surrounding the</w:t>
      </w:r>
      <w:r w:rsidR="00242B1C">
        <w:rPr>
          <w:rFonts w:ascii="Times New Roman" w:hAnsi="Times New Roman" w:cs="Times New Roman"/>
          <w:sz w:val="24"/>
          <w:szCs w:val="24"/>
        </w:rPr>
        <w:t>ir</w:t>
      </w:r>
      <w:r w:rsidR="00632E52" w:rsidRPr="00EC7846">
        <w:rPr>
          <w:rFonts w:ascii="Times New Roman" w:hAnsi="Times New Roman" w:cs="Times New Roman"/>
          <w:sz w:val="24"/>
          <w:szCs w:val="24"/>
        </w:rPr>
        <w:t xml:space="preserve"> deliberations and the nature of appointments</w:t>
      </w:r>
      <w:r w:rsidR="00242B1C">
        <w:rPr>
          <w:rFonts w:ascii="Times New Roman" w:hAnsi="Times New Roman" w:cs="Times New Roman"/>
          <w:sz w:val="24"/>
          <w:szCs w:val="24"/>
        </w:rPr>
        <w:t xml:space="preserve"> to the committees</w:t>
      </w:r>
      <w:r w:rsidR="00632E52" w:rsidRPr="00EC7846">
        <w:rPr>
          <w:rFonts w:ascii="Times New Roman" w:hAnsi="Times New Roman" w:cs="Times New Roman"/>
          <w:sz w:val="24"/>
          <w:szCs w:val="24"/>
        </w:rPr>
        <w:t xml:space="preserve"> (ibid</w:t>
      </w:r>
      <w:r w:rsidR="00B44DD8">
        <w:rPr>
          <w:rFonts w:ascii="Times New Roman" w:hAnsi="Times New Roman" w:cs="Times New Roman"/>
          <w:sz w:val="24"/>
          <w:szCs w:val="24"/>
        </w:rPr>
        <w:t>),</w:t>
      </w:r>
      <w:r w:rsidR="00632E52" w:rsidRPr="00EC7846">
        <w:rPr>
          <w:rFonts w:ascii="Times New Roman" w:hAnsi="Times New Roman" w:cs="Times New Roman"/>
          <w:sz w:val="24"/>
          <w:szCs w:val="24"/>
        </w:rPr>
        <w:t xml:space="preserve"> and</w:t>
      </w:r>
      <w:r w:rsidR="00B44DD8">
        <w:rPr>
          <w:rFonts w:ascii="Times New Roman" w:hAnsi="Times New Roman" w:cs="Times New Roman"/>
          <w:sz w:val="24"/>
          <w:szCs w:val="24"/>
        </w:rPr>
        <w:t xml:space="preserve"> that</w:t>
      </w:r>
      <w:r w:rsidR="00632E52" w:rsidRPr="00EC7846">
        <w:rPr>
          <w:rFonts w:ascii="Times New Roman" w:hAnsi="Times New Roman" w:cs="Times New Roman"/>
          <w:sz w:val="24"/>
          <w:szCs w:val="24"/>
        </w:rPr>
        <w:t xml:space="preserve"> the EU Commission ultimately retains discretion regarding when </w:t>
      </w:r>
      <w:r w:rsidR="00242B1C">
        <w:rPr>
          <w:rFonts w:ascii="Times New Roman" w:hAnsi="Times New Roman" w:cs="Times New Roman"/>
          <w:sz w:val="24"/>
          <w:szCs w:val="24"/>
        </w:rPr>
        <w:t xml:space="preserve">advisory committees </w:t>
      </w:r>
      <w:r w:rsidR="00632E52" w:rsidRPr="00EC7846">
        <w:rPr>
          <w:rFonts w:ascii="Times New Roman" w:hAnsi="Times New Roman" w:cs="Times New Roman"/>
          <w:sz w:val="24"/>
          <w:szCs w:val="24"/>
        </w:rPr>
        <w:t xml:space="preserve">should be consulted (Communication from the Commission, 2012).  Nevertheless, a </w:t>
      </w:r>
      <w:r w:rsidR="007B5DDC">
        <w:rPr>
          <w:rFonts w:ascii="Times New Roman" w:hAnsi="Times New Roman" w:cs="Times New Roman"/>
          <w:sz w:val="24"/>
          <w:szCs w:val="24"/>
        </w:rPr>
        <w:t>relatively diverse set of</w:t>
      </w:r>
      <w:r w:rsidR="00632E52" w:rsidRPr="00EC7846">
        <w:rPr>
          <w:rFonts w:ascii="Times New Roman" w:hAnsi="Times New Roman" w:cs="Times New Roman"/>
          <w:sz w:val="24"/>
          <w:szCs w:val="24"/>
        </w:rPr>
        <w:t xml:space="preserve"> participants </w:t>
      </w:r>
      <w:r w:rsidR="007B5DDC">
        <w:rPr>
          <w:rFonts w:ascii="Times New Roman" w:hAnsi="Times New Roman" w:cs="Times New Roman"/>
          <w:sz w:val="24"/>
          <w:szCs w:val="24"/>
        </w:rPr>
        <w:t xml:space="preserve">is generally </w:t>
      </w:r>
      <w:r w:rsidR="00632E52" w:rsidRPr="00EC7846">
        <w:rPr>
          <w:rFonts w:ascii="Times New Roman" w:hAnsi="Times New Roman" w:cs="Times New Roman"/>
          <w:sz w:val="24"/>
          <w:szCs w:val="24"/>
        </w:rPr>
        <w:t>brought to the table during the decision</w:t>
      </w:r>
      <w:r w:rsidR="001E309E">
        <w:rPr>
          <w:rFonts w:ascii="Times New Roman" w:hAnsi="Times New Roman" w:cs="Times New Roman"/>
          <w:sz w:val="24"/>
          <w:szCs w:val="24"/>
        </w:rPr>
        <w:t>-</w:t>
      </w:r>
      <w:r w:rsidR="00632E52" w:rsidRPr="00EC7846">
        <w:rPr>
          <w:rFonts w:ascii="Times New Roman" w:hAnsi="Times New Roman" w:cs="Times New Roman"/>
          <w:sz w:val="24"/>
          <w:szCs w:val="24"/>
        </w:rPr>
        <w:t>making process (Bignami, 2012).</w:t>
      </w:r>
      <w:r w:rsidR="00C0270A">
        <w:rPr>
          <w:rStyle w:val="EndnoteReference"/>
          <w:rFonts w:ascii="Times New Roman" w:hAnsi="Times New Roman" w:cs="Times New Roman"/>
          <w:sz w:val="24"/>
          <w:szCs w:val="24"/>
        </w:rPr>
        <w:endnoteReference w:id="5"/>
      </w:r>
      <w:r w:rsidR="00632E52" w:rsidRPr="00EC7846">
        <w:rPr>
          <w:rFonts w:ascii="Times New Roman" w:hAnsi="Times New Roman" w:cs="Times New Roman"/>
          <w:sz w:val="24"/>
          <w:szCs w:val="24"/>
        </w:rPr>
        <w:t xml:space="preserve">  </w:t>
      </w:r>
    </w:p>
    <w:p w:rsidR="00632E52" w:rsidRPr="00EC7846" w:rsidRDefault="008B7CD3" w:rsidP="00001F3A">
      <w:pPr>
        <w:spacing w:line="480" w:lineRule="auto"/>
        <w:rPr>
          <w:rFonts w:ascii="Times New Roman" w:hAnsi="Times New Roman" w:cs="Times New Roman"/>
          <w:sz w:val="24"/>
          <w:szCs w:val="24"/>
        </w:rPr>
      </w:pPr>
      <w:r>
        <w:rPr>
          <w:rFonts w:ascii="Times New Roman" w:hAnsi="Times New Roman" w:cs="Times New Roman"/>
          <w:sz w:val="24"/>
          <w:szCs w:val="24"/>
        </w:rPr>
        <w:tab/>
      </w:r>
      <w:r w:rsidR="00632E52" w:rsidRPr="00EC7846">
        <w:rPr>
          <w:rFonts w:ascii="Times New Roman" w:hAnsi="Times New Roman" w:cs="Times New Roman"/>
          <w:sz w:val="24"/>
          <w:szCs w:val="24"/>
        </w:rPr>
        <w:t>Reinforcing the use of these advisory committees are a variety of soft-law duties placed on EU Commission to engage</w:t>
      </w:r>
      <w:r w:rsidR="005E235B">
        <w:rPr>
          <w:rFonts w:ascii="Times New Roman" w:hAnsi="Times New Roman" w:cs="Times New Roman"/>
          <w:sz w:val="24"/>
          <w:szCs w:val="24"/>
        </w:rPr>
        <w:t>―</w:t>
      </w:r>
      <w:r w:rsidR="00632E52" w:rsidRPr="00EC7846">
        <w:rPr>
          <w:rFonts w:ascii="Times New Roman" w:hAnsi="Times New Roman" w:cs="Times New Roman"/>
          <w:sz w:val="24"/>
          <w:szCs w:val="24"/>
        </w:rPr>
        <w:t>in an active, rather than passive way</w:t>
      </w:r>
      <w:r w:rsidR="005E235B">
        <w:rPr>
          <w:rFonts w:ascii="Times New Roman" w:hAnsi="Times New Roman" w:cs="Times New Roman"/>
          <w:sz w:val="24"/>
          <w:szCs w:val="24"/>
        </w:rPr>
        <w:t>―</w:t>
      </w:r>
      <w:r w:rsidR="00632E52" w:rsidRPr="00EC7846">
        <w:rPr>
          <w:rFonts w:ascii="Times New Roman" w:hAnsi="Times New Roman" w:cs="Times New Roman"/>
          <w:sz w:val="24"/>
          <w:szCs w:val="24"/>
        </w:rPr>
        <w:t xml:space="preserve">with a diverse set of affected interests in </w:t>
      </w:r>
      <w:r w:rsidR="001E309E">
        <w:rPr>
          <w:rFonts w:ascii="Times New Roman" w:hAnsi="Times New Roman" w:cs="Times New Roman"/>
          <w:sz w:val="24"/>
          <w:szCs w:val="24"/>
        </w:rPr>
        <w:t>the</w:t>
      </w:r>
      <w:r w:rsidR="00632E52" w:rsidRPr="00EC7846">
        <w:rPr>
          <w:rFonts w:ascii="Times New Roman" w:hAnsi="Times New Roman" w:cs="Times New Roman"/>
          <w:sz w:val="24"/>
          <w:szCs w:val="24"/>
        </w:rPr>
        <w:t xml:space="preserve"> decision-making </w:t>
      </w:r>
      <w:r w:rsidR="005E235B">
        <w:rPr>
          <w:rFonts w:ascii="Times New Roman" w:hAnsi="Times New Roman" w:cs="Times New Roman"/>
          <w:sz w:val="24"/>
          <w:szCs w:val="24"/>
        </w:rPr>
        <w:t xml:space="preserve">process </w:t>
      </w:r>
      <w:r w:rsidR="00632E52" w:rsidRPr="00EC7846">
        <w:rPr>
          <w:rFonts w:ascii="Times New Roman" w:hAnsi="Times New Roman" w:cs="Times New Roman"/>
          <w:sz w:val="24"/>
          <w:szCs w:val="24"/>
        </w:rPr>
        <w:t xml:space="preserve">(Strauss et al, 2008).   </w:t>
      </w:r>
      <w:r w:rsidR="00E350BB">
        <w:rPr>
          <w:rFonts w:ascii="Times New Roman" w:hAnsi="Times New Roman" w:cs="Times New Roman"/>
          <w:sz w:val="24"/>
          <w:szCs w:val="24"/>
        </w:rPr>
        <w:t xml:space="preserve">Commission </w:t>
      </w:r>
      <w:r w:rsidR="00632E52" w:rsidRPr="00EC7846">
        <w:rPr>
          <w:rFonts w:ascii="Times New Roman" w:hAnsi="Times New Roman" w:cs="Times New Roman"/>
          <w:sz w:val="24"/>
          <w:szCs w:val="24"/>
        </w:rPr>
        <w:t xml:space="preserve">guidance documents </w:t>
      </w:r>
      <w:r w:rsidR="00E350BB">
        <w:rPr>
          <w:rFonts w:ascii="Times New Roman" w:hAnsi="Times New Roman" w:cs="Times New Roman"/>
          <w:sz w:val="24"/>
          <w:szCs w:val="24"/>
        </w:rPr>
        <w:t xml:space="preserve">establish a standard set of practices for participation and consultation of civil society throughout the policy chain, especially for major policy initiatives (Smismans, 2015).   Likewise, guidelines on </w:t>
      </w:r>
      <w:r w:rsidR="00632E52" w:rsidRPr="00EC7846">
        <w:rPr>
          <w:rFonts w:ascii="Times New Roman" w:hAnsi="Times New Roman" w:cs="Times New Roman"/>
          <w:sz w:val="24"/>
          <w:szCs w:val="24"/>
        </w:rPr>
        <w:t xml:space="preserve">impact assessments </w:t>
      </w:r>
      <w:r w:rsidR="00E350BB">
        <w:rPr>
          <w:rFonts w:ascii="Times New Roman" w:hAnsi="Times New Roman" w:cs="Times New Roman"/>
          <w:sz w:val="24"/>
          <w:szCs w:val="24"/>
        </w:rPr>
        <w:t xml:space="preserve">direct the Commission </w:t>
      </w:r>
      <w:r w:rsidR="00632E52" w:rsidRPr="00EC7846">
        <w:rPr>
          <w:rFonts w:ascii="Times New Roman" w:hAnsi="Times New Roman" w:cs="Times New Roman"/>
          <w:sz w:val="24"/>
          <w:szCs w:val="24"/>
        </w:rPr>
        <w:t>to consult with a range of interested parties and to indicate how that consultation affected the development of the proposal, as well as to communicate critical or dissenting opinions (</w:t>
      </w:r>
      <w:r w:rsidR="00E350BB">
        <w:rPr>
          <w:rFonts w:ascii="Times New Roman" w:hAnsi="Times New Roman" w:cs="Times New Roman"/>
          <w:sz w:val="24"/>
          <w:szCs w:val="24"/>
        </w:rPr>
        <w:t xml:space="preserve">Smismans, 2015; </w:t>
      </w:r>
      <w:r w:rsidR="00632E52" w:rsidRPr="00EC7846">
        <w:rPr>
          <w:rFonts w:ascii="Times New Roman" w:hAnsi="Times New Roman" w:cs="Times New Roman"/>
          <w:sz w:val="24"/>
          <w:szCs w:val="24"/>
        </w:rPr>
        <w:t xml:space="preserve">Strauss et al, 2008).  The Commission’s initiative to promote a “civil dialogue” with more thinly financed groups (Smismans, 2014) and its effort to initiate consultations at </w:t>
      </w:r>
      <w:r w:rsidR="00001F3A">
        <w:rPr>
          <w:rFonts w:ascii="Times New Roman" w:hAnsi="Times New Roman" w:cs="Times New Roman"/>
          <w:sz w:val="24"/>
          <w:szCs w:val="24"/>
        </w:rPr>
        <w:t xml:space="preserve">a </w:t>
      </w:r>
      <w:r w:rsidR="00632E52" w:rsidRPr="00EC7846">
        <w:rPr>
          <w:rFonts w:ascii="Times New Roman" w:hAnsi="Times New Roman" w:cs="Times New Roman"/>
          <w:sz w:val="24"/>
          <w:szCs w:val="24"/>
        </w:rPr>
        <w:t xml:space="preserve">relatively early </w:t>
      </w:r>
      <w:r w:rsidR="00001F3A">
        <w:rPr>
          <w:rFonts w:ascii="Times New Roman" w:hAnsi="Times New Roman" w:cs="Times New Roman"/>
          <w:sz w:val="24"/>
          <w:szCs w:val="24"/>
        </w:rPr>
        <w:t xml:space="preserve">stage </w:t>
      </w:r>
      <w:r w:rsidR="00632E52" w:rsidRPr="00EC7846">
        <w:rPr>
          <w:rFonts w:ascii="Times New Roman" w:hAnsi="Times New Roman" w:cs="Times New Roman"/>
          <w:sz w:val="24"/>
          <w:szCs w:val="24"/>
        </w:rPr>
        <w:t>in the decision</w:t>
      </w:r>
      <w:r w:rsidR="003E3EE8">
        <w:rPr>
          <w:rFonts w:ascii="Times New Roman" w:hAnsi="Times New Roman" w:cs="Times New Roman"/>
          <w:sz w:val="24"/>
          <w:szCs w:val="24"/>
        </w:rPr>
        <w:t>-making</w:t>
      </w:r>
      <w:r w:rsidR="00632E52" w:rsidRPr="00EC7846">
        <w:rPr>
          <w:rFonts w:ascii="Times New Roman" w:hAnsi="Times New Roman" w:cs="Times New Roman"/>
          <w:sz w:val="24"/>
          <w:szCs w:val="24"/>
        </w:rPr>
        <w:t xml:space="preserve"> process when the policy options are still forming (Strauss et al, 2008; Smismans, 201</w:t>
      </w:r>
      <w:r w:rsidR="00E350BB">
        <w:rPr>
          <w:rFonts w:ascii="Times New Roman" w:hAnsi="Times New Roman" w:cs="Times New Roman"/>
          <w:sz w:val="24"/>
          <w:szCs w:val="24"/>
        </w:rPr>
        <w:t>5</w:t>
      </w:r>
      <w:r w:rsidR="00632E52" w:rsidRPr="00EC7846">
        <w:rPr>
          <w:rFonts w:ascii="Times New Roman" w:hAnsi="Times New Roman" w:cs="Times New Roman"/>
          <w:sz w:val="24"/>
          <w:szCs w:val="24"/>
        </w:rPr>
        <w:t>)</w:t>
      </w:r>
      <w:r w:rsidR="003E3EE8">
        <w:rPr>
          <w:rFonts w:ascii="Times New Roman" w:hAnsi="Times New Roman" w:cs="Times New Roman"/>
          <w:sz w:val="24"/>
          <w:szCs w:val="24"/>
        </w:rPr>
        <w:t xml:space="preserve"> </w:t>
      </w:r>
      <w:r w:rsidR="00001F3A">
        <w:rPr>
          <w:rFonts w:ascii="Times New Roman" w:hAnsi="Times New Roman" w:cs="Times New Roman"/>
          <w:sz w:val="24"/>
          <w:szCs w:val="24"/>
        </w:rPr>
        <w:t>―</w:t>
      </w:r>
      <w:r w:rsidR="00632E52" w:rsidRPr="00EC7846">
        <w:rPr>
          <w:rFonts w:ascii="Times New Roman" w:hAnsi="Times New Roman" w:cs="Times New Roman"/>
          <w:sz w:val="24"/>
          <w:szCs w:val="24"/>
        </w:rPr>
        <w:t>as opposed to after they have gelled</w:t>
      </w:r>
      <w:r w:rsidR="003E3EE8">
        <w:rPr>
          <w:rFonts w:ascii="Times New Roman" w:hAnsi="Times New Roman" w:cs="Times New Roman"/>
          <w:sz w:val="24"/>
          <w:szCs w:val="24"/>
        </w:rPr>
        <w:t>,</w:t>
      </w:r>
      <w:r w:rsidR="00632E52" w:rsidRPr="00EC7846">
        <w:rPr>
          <w:rFonts w:ascii="Times New Roman" w:hAnsi="Times New Roman" w:cs="Times New Roman"/>
          <w:sz w:val="24"/>
          <w:szCs w:val="24"/>
        </w:rPr>
        <w:t xml:space="preserve"> as is often the case with</w:t>
      </w:r>
      <w:r w:rsidR="00632E52">
        <w:rPr>
          <w:rFonts w:ascii="Times New Roman" w:hAnsi="Times New Roman" w:cs="Times New Roman"/>
          <w:sz w:val="24"/>
          <w:szCs w:val="24"/>
        </w:rPr>
        <w:t xml:space="preserve"> U.S.</w:t>
      </w:r>
      <w:r w:rsidR="00632E52" w:rsidRPr="00EC7846">
        <w:rPr>
          <w:rFonts w:ascii="Times New Roman" w:hAnsi="Times New Roman" w:cs="Times New Roman"/>
          <w:sz w:val="24"/>
          <w:szCs w:val="24"/>
        </w:rPr>
        <w:t xml:space="preserve"> notice</w:t>
      </w:r>
      <w:r w:rsidR="00001F3A">
        <w:rPr>
          <w:rFonts w:ascii="Times New Roman" w:hAnsi="Times New Roman" w:cs="Times New Roman"/>
          <w:sz w:val="24"/>
          <w:szCs w:val="24"/>
        </w:rPr>
        <w:t>-</w:t>
      </w:r>
      <w:r w:rsidR="00632E52" w:rsidRPr="00EC7846">
        <w:rPr>
          <w:rFonts w:ascii="Times New Roman" w:hAnsi="Times New Roman" w:cs="Times New Roman"/>
          <w:sz w:val="24"/>
          <w:szCs w:val="24"/>
        </w:rPr>
        <w:t>and</w:t>
      </w:r>
      <w:r w:rsidR="00001F3A">
        <w:rPr>
          <w:rFonts w:ascii="Times New Roman" w:hAnsi="Times New Roman" w:cs="Times New Roman"/>
          <w:sz w:val="24"/>
          <w:szCs w:val="24"/>
        </w:rPr>
        <w:t>-</w:t>
      </w:r>
      <w:r w:rsidR="00632E52" w:rsidRPr="00EC7846">
        <w:rPr>
          <w:rFonts w:ascii="Times New Roman" w:hAnsi="Times New Roman" w:cs="Times New Roman"/>
          <w:sz w:val="24"/>
          <w:szCs w:val="24"/>
        </w:rPr>
        <w:t>comment rulemaking</w:t>
      </w:r>
      <w:r w:rsidR="00001F3A">
        <w:rPr>
          <w:rFonts w:ascii="Times New Roman" w:hAnsi="Times New Roman" w:cs="Times New Roman"/>
          <w:sz w:val="24"/>
          <w:szCs w:val="24"/>
        </w:rPr>
        <w:t>―</w:t>
      </w:r>
      <w:r w:rsidR="00632E52" w:rsidRPr="00EC7846">
        <w:rPr>
          <w:rFonts w:ascii="Times New Roman" w:hAnsi="Times New Roman" w:cs="Times New Roman"/>
          <w:sz w:val="24"/>
          <w:szCs w:val="24"/>
        </w:rPr>
        <w:t>both evince a more active engagement with participants.</w:t>
      </w:r>
      <w:r w:rsidR="00632E52" w:rsidRPr="00DC4883">
        <w:rPr>
          <w:rStyle w:val="EndnoteReference"/>
          <w:rFonts w:ascii="Times New Roman" w:hAnsi="Times New Roman" w:cs="Times New Roman"/>
          <w:sz w:val="24"/>
          <w:szCs w:val="24"/>
        </w:rPr>
        <w:t xml:space="preserve"> </w:t>
      </w:r>
      <w:r w:rsidR="00632E52" w:rsidRPr="00EC7846">
        <w:rPr>
          <w:rStyle w:val="EndnoteReference"/>
          <w:rFonts w:ascii="Times New Roman" w:hAnsi="Times New Roman" w:cs="Times New Roman"/>
          <w:sz w:val="24"/>
          <w:szCs w:val="24"/>
        </w:rPr>
        <w:endnoteReference w:id="6"/>
      </w:r>
      <w:r w:rsidR="00632E52" w:rsidRPr="00EC7846">
        <w:rPr>
          <w:rFonts w:ascii="Times New Roman" w:hAnsi="Times New Roman" w:cs="Times New Roman"/>
          <w:sz w:val="24"/>
          <w:szCs w:val="24"/>
        </w:rPr>
        <w:t xml:space="preserve"> </w:t>
      </w:r>
    </w:p>
    <w:p w:rsidR="00632E52" w:rsidRPr="00EC7846" w:rsidRDefault="008B7CD3" w:rsidP="008B7CD3">
      <w:pPr>
        <w:spacing w:line="480" w:lineRule="auto"/>
        <w:rPr>
          <w:rFonts w:ascii="Times New Roman" w:hAnsi="Times New Roman" w:cs="Times New Roman"/>
          <w:sz w:val="24"/>
          <w:szCs w:val="24"/>
        </w:rPr>
      </w:pPr>
      <w:r>
        <w:rPr>
          <w:rFonts w:ascii="Times New Roman" w:hAnsi="Times New Roman" w:cs="Times New Roman"/>
          <w:sz w:val="24"/>
          <w:szCs w:val="24"/>
        </w:rPr>
        <w:tab/>
      </w:r>
      <w:r w:rsidR="00632E52" w:rsidRPr="00EC7846">
        <w:rPr>
          <w:rFonts w:ascii="Times New Roman" w:hAnsi="Times New Roman" w:cs="Times New Roman"/>
          <w:sz w:val="24"/>
          <w:szCs w:val="24"/>
        </w:rPr>
        <w:t xml:space="preserve">While compliance with these more inclusive participation processes </w:t>
      </w:r>
      <w:r w:rsidR="00485DA9">
        <w:rPr>
          <w:rFonts w:ascii="Times New Roman" w:hAnsi="Times New Roman" w:cs="Times New Roman"/>
          <w:sz w:val="24"/>
          <w:szCs w:val="24"/>
        </w:rPr>
        <w:t>may</w:t>
      </w:r>
      <w:r w:rsidR="00632E52" w:rsidRPr="00EC7846">
        <w:rPr>
          <w:rFonts w:ascii="Times New Roman" w:hAnsi="Times New Roman" w:cs="Times New Roman"/>
          <w:sz w:val="24"/>
          <w:szCs w:val="24"/>
        </w:rPr>
        <w:t xml:space="preserve"> be somewhat disappointing in practice (Nadal, 2008; Lee and Abbott, 2003), the EU’s acknowledgment of the need to ensure public interest involvement in </w:t>
      </w:r>
      <w:r w:rsidR="00001F3A">
        <w:rPr>
          <w:rFonts w:ascii="Times New Roman" w:hAnsi="Times New Roman" w:cs="Times New Roman"/>
          <w:sz w:val="24"/>
          <w:szCs w:val="24"/>
        </w:rPr>
        <w:t>regulatory policymaking</w:t>
      </w:r>
      <w:r w:rsidR="00632E52" w:rsidRPr="00EC7846">
        <w:rPr>
          <w:rFonts w:ascii="Times New Roman" w:hAnsi="Times New Roman" w:cs="Times New Roman"/>
          <w:sz w:val="24"/>
          <w:szCs w:val="24"/>
        </w:rPr>
        <w:t xml:space="preserve"> contrasts with the</w:t>
      </w:r>
      <w:r w:rsidR="00632E52">
        <w:rPr>
          <w:rFonts w:ascii="Times New Roman" w:hAnsi="Times New Roman" w:cs="Times New Roman"/>
          <w:sz w:val="24"/>
          <w:szCs w:val="24"/>
        </w:rPr>
        <w:t xml:space="preserve"> U.S.</w:t>
      </w:r>
      <w:r w:rsidR="003E3EE8">
        <w:rPr>
          <w:rFonts w:ascii="Times New Roman" w:hAnsi="Times New Roman" w:cs="Times New Roman"/>
          <w:sz w:val="24"/>
          <w:szCs w:val="24"/>
        </w:rPr>
        <w:t>’s</w:t>
      </w:r>
      <w:r w:rsidR="00632E52" w:rsidRPr="00EC7846">
        <w:rPr>
          <w:rFonts w:ascii="Times New Roman" w:hAnsi="Times New Roman" w:cs="Times New Roman"/>
          <w:sz w:val="24"/>
          <w:szCs w:val="24"/>
        </w:rPr>
        <w:t xml:space="preserve"> passive approach.  Although it is possible that overall this more activ</w:t>
      </w:r>
      <w:r w:rsidR="008127C2">
        <w:rPr>
          <w:rFonts w:ascii="Times New Roman" w:hAnsi="Times New Roman" w:cs="Times New Roman"/>
          <w:sz w:val="24"/>
          <w:szCs w:val="24"/>
        </w:rPr>
        <w:t xml:space="preserve">e </w:t>
      </w:r>
      <w:r w:rsidR="00632E52" w:rsidRPr="00EC7846">
        <w:rPr>
          <w:rFonts w:ascii="Times New Roman" w:hAnsi="Times New Roman" w:cs="Times New Roman"/>
          <w:sz w:val="24"/>
          <w:szCs w:val="24"/>
        </w:rPr>
        <w:t xml:space="preserve"> process could ultimately </w:t>
      </w:r>
      <w:r w:rsidR="00632E52" w:rsidRPr="00EC7846">
        <w:rPr>
          <w:rFonts w:ascii="Times New Roman" w:hAnsi="Times New Roman" w:cs="Times New Roman"/>
          <w:sz w:val="24"/>
          <w:szCs w:val="24"/>
        </w:rPr>
        <w:lastRenderedPageBreak/>
        <w:t xml:space="preserve">lead to meaningful differences in regulatory outcomes </w:t>
      </w:r>
      <w:r w:rsidR="003E3EE8">
        <w:rPr>
          <w:rFonts w:ascii="Times New Roman" w:hAnsi="Times New Roman" w:cs="Times New Roman"/>
          <w:sz w:val="24"/>
          <w:szCs w:val="24"/>
        </w:rPr>
        <w:t>due to</w:t>
      </w:r>
      <w:r w:rsidR="003E3EE8" w:rsidRPr="00EC7846">
        <w:rPr>
          <w:rFonts w:ascii="Times New Roman" w:hAnsi="Times New Roman" w:cs="Times New Roman"/>
          <w:sz w:val="24"/>
          <w:szCs w:val="24"/>
        </w:rPr>
        <w:t xml:space="preserve"> </w:t>
      </w:r>
      <w:r w:rsidR="00632E52" w:rsidRPr="00EC7846">
        <w:rPr>
          <w:rFonts w:ascii="Times New Roman" w:hAnsi="Times New Roman" w:cs="Times New Roman"/>
          <w:sz w:val="24"/>
          <w:szCs w:val="24"/>
        </w:rPr>
        <w:t xml:space="preserve">broader participation, </w:t>
      </w:r>
      <w:r w:rsidR="003E3EE8">
        <w:rPr>
          <w:rFonts w:ascii="Times New Roman" w:hAnsi="Times New Roman" w:cs="Times New Roman"/>
          <w:sz w:val="24"/>
          <w:szCs w:val="24"/>
        </w:rPr>
        <w:t>the fact remains that</w:t>
      </w:r>
      <w:r w:rsidR="008127C2">
        <w:rPr>
          <w:rFonts w:ascii="Times New Roman" w:hAnsi="Times New Roman" w:cs="Times New Roman"/>
          <w:sz w:val="24"/>
          <w:szCs w:val="24"/>
        </w:rPr>
        <w:t xml:space="preserve"> judicial review is generally unavailable to enforce what remain flexible and discretionary soft-law duties, making </w:t>
      </w:r>
      <w:r w:rsidR="003E3EE8" w:rsidRPr="00EC7846">
        <w:rPr>
          <w:rFonts w:ascii="Times New Roman" w:hAnsi="Times New Roman" w:cs="Times New Roman"/>
          <w:sz w:val="24"/>
          <w:szCs w:val="24"/>
        </w:rPr>
        <w:t xml:space="preserve"> </w:t>
      </w:r>
      <w:r w:rsidR="003E3EE8">
        <w:rPr>
          <w:rFonts w:ascii="Times New Roman" w:hAnsi="Times New Roman" w:cs="Times New Roman"/>
          <w:sz w:val="24"/>
          <w:szCs w:val="24"/>
        </w:rPr>
        <w:t>the two systems difficult to compare</w:t>
      </w:r>
      <w:r w:rsidR="00632E52" w:rsidRPr="00EC7846">
        <w:rPr>
          <w:rFonts w:ascii="Times New Roman" w:hAnsi="Times New Roman" w:cs="Times New Roman"/>
          <w:sz w:val="24"/>
          <w:szCs w:val="24"/>
        </w:rPr>
        <w:t xml:space="preserve"> (Smismans, 2004).</w:t>
      </w:r>
    </w:p>
    <w:p w:rsidR="00632E52" w:rsidRPr="008B7CD3" w:rsidRDefault="00632E52" w:rsidP="008B7CD3">
      <w:pPr>
        <w:pStyle w:val="ListParagraph"/>
        <w:numPr>
          <w:ilvl w:val="0"/>
          <w:numId w:val="9"/>
        </w:numPr>
        <w:spacing w:line="480" w:lineRule="auto"/>
        <w:rPr>
          <w:rFonts w:ascii="Times New Roman" w:hAnsi="Times New Roman"/>
          <w:sz w:val="24"/>
          <w:szCs w:val="24"/>
        </w:rPr>
      </w:pPr>
      <w:r w:rsidRPr="00EC7846">
        <w:rPr>
          <w:rFonts w:ascii="Times New Roman" w:hAnsi="Times New Roman"/>
          <w:sz w:val="24"/>
          <w:szCs w:val="24"/>
        </w:rPr>
        <w:t xml:space="preserve"> Learning from the EU</w:t>
      </w:r>
    </w:p>
    <w:p w:rsidR="00632E52" w:rsidRPr="00E55238"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Given the inherent weaknesses in the ability of</w:t>
      </w:r>
      <w:r w:rsidR="00632E52">
        <w:rPr>
          <w:rFonts w:ascii="Times New Roman" w:hAnsi="Times New Roman"/>
          <w:sz w:val="24"/>
          <w:szCs w:val="24"/>
        </w:rPr>
        <w:t xml:space="preserve"> </w:t>
      </w:r>
      <w:r w:rsidR="00F22484">
        <w:rPr>
          <w:rFonts w:ascii="Times New Roman" w:hAnsi="Times New Roman"/>
          <w:sz w:val="24"/>
          <w:szCs w:val="24"/>
        </w:rPr>
        <w:t xml:space="preserve">the </w:t>
      </w:r>
      <w:r w:rsidR="00632E52">
        <w:rPr>
          <w:rFonts w:ascii="Times New Roman" w:hAnsi="Times New Roman"/>
          <w:sz w:val="24"/>
          <w:szCs w:val="24"/>
        </w:rPr>
        <w:t>U.S.</w:t>
      </w:r>
      <w:r w:rsidR="00632E52" w:rsidRPr="00EC7846">
        <w:rPr>
          <w:rFonts w:ascii="Times New Roman" w:hAnsi="Times New Roman"/>
          <w:sz w:val="24"/>
          <w:szCs w:val="24"/>
        </w:rPr>
        <w:t xml:space="preserve"> administrative process to ensure adequate representation of all affected interests, the EU’s commitment to active solicitation of all major stakeholders offers a refreshing alternative model for enhancing representation in the administrative </w:t>
      </w:r>
      <w:r w:rsidR="00485DA9">
        <w:rPr>
          <w:rFonts w:ascii="Times New Roman" w:hAnsi="Times New Roman"/>
          <w:sz w:val="24"/>
          <w:szCs w:val="24"/>
        </w:rPr>
        <w:t>state</w:t>
      </w:r>
      <w:r w:rsidR="00632E52" w:rsidRPr="00EC7846">
        <w:rPr>
          <w:rFonts w:ascii="Times New Roman" w:hAnsi="Times New Roman"/>
          <w:sz w:val="24"/>
          <w:szCs w:val="24"/>
        </w:rPr>
        <w:t>.  While in theory the U.S. has already endorsed a commitment to active solicitation of affected parties through the Federal Advisory Committee Act (FACA) (5 U.S.C. App. 2) and the Negotiated Rulemaking Act (NRA) (</w:t>
      </w:r>
      <w:hyperlink r:id="rId12" w:history="1">
        <w:r w:rsidR="00632E52" w:rsidRPr="00EC7846">
          <w:rPr>
            <w:rFonts w:ascii="Times New Roman" w:hAnsi="Times New Roman"/>
            <w:sz w:val="24"/>
            <w:szCs w:val="24"/>
          </w:rPr>
          <w:t>5 U.S.C. §§ 561</w:t>
        </w:r>
      </w:hyperlink>
      <w:r w:rsidR="00632E52" w:rsidRPr="00EC7846">
        <w:rPr>
          <w:rFonts w:ascii="Times New Roman" w:hAnsi="Times New Roman"/>
          <w:sz w:val="24"/>
          <w:szCs w:val="24"/>
        </w:rPr>
        <w:t>-</w:t>
      </w:r>
      <w:hyperlink r:id="rId13" w:history="1">
        <w:r w:rsidR="00632E52" w:rsidRPr="00EC7846">
          <w:rPr>
            <w:rFonts w:ascii="Times New Roman" w:hAnsi="Times New Roman"/>
            <w:sz w:val="24"/>
            <w:szCs w:val="24"/>
          </w:rPr>
          <w:t>70 (2000)</w:t>
        </w:r>
      </w:hyperlink>
      <w:r w:rsidR="00632E52" w:rsidRPr="00EC7846">
        <w:rPr>
          <w:rFonts w:ascii="Times New Roman" w:hAnsi="Times New Roman"/>
          <w:sz w:val="24"/>
          <w:szCs w:val="24"/>
        </w:rPr>
        <w:t xml:space="preserve">), both programs fall </w:t>
      </w:r>
      <w:r w:rsidR="00225810">
        <w:rPr>
          <w:rFonts w:ascii="Times New Roman" w:hAnsi="Times New Roman"/>
          <w:sz w:val="24"/>
          <w:szCs w:val="24"/>
        </w:rPr>
        <w:t>far</w:t>
      </w:r>
      <w:r w:rsidR="00632E52" w:rsidRPr="00EC7846">
        <w:rPr>
          <w:rFonts w:ascii="Times New Roman" w:hAnsi="Times New Roman"/>
          <w:sz w:val="24"/>
          <w:szCs w:val="24"/>
        </w:rPr>
        <w:t xml:space="preserve"> short of establishing an </w:t>
      </w:r>
      <w:r w:rsidR="00225810">
        <w:rPr>
          <w:rFonts w:ascii="Times New Roman" w:hAnsi="Times New Roman"/>
          <w:sz w:val="24"/>
          <w:szCs w:val="24"/>
        </w:rPr>
        <w:t xml:space="preserve">expectation and norm that administrative agencies </w:t>
      </w:r>
      <w:r w:rsidR="00632E52" w:rsidRPr="00EC7846">
        <w:rPr>
          <w:rFonts w:ascii="Times New Roman" w:hAnsi="Times New Roman"/>
          <w:sz w:val="24"/>
          <w:szCs w:val="24"/>
        </w:rPr>
        <w:t xml:space="preserve">actively solicit diverse participation.  For their part, negotiated rulemakings have been few in number (at last count, roughly three per year) due to the added resources they demand </w:t>
      </w:r>
      <w:r w:rsidR="00632E52">
        <w:rPr>
          <w:rFonts w:ascii="Times New Roman" w:hAnsi="Times New Roman"/>
          <w:sz w:val="24"/>
          <w:szCs w:val="24"/>
        </w:rPr>
        <w:t xml:space="preserve">from agencies </w:t>
      </w:r>
      <w:r w:rsidR="00632E52" w:rsidRPr="00EC7846">
        <w:rPr>
          <w:rFonts w:ascii="Times New Roman" w:hAnsi="Times New Roman"/>
          <w:sz w:val="24"/>
          <w:szCs w:val="24"/>
        </w:rPr>
        <w:t>(Lubbers, 2008).  Perhaps even more pertinent,</w:t>
      </w:r>
      <w:r w:rsidR="00294519">
        <w:rPr>
          <w:rFonts w:ascii="Times New Roman" w:hAnsi="Times New Roman"/>
          <w:sz w:val="24"/>
          <w:szCs w:val="24"/>
        </w:rPr>
        <w:t xml:space="preserve"> </w:t>
      </w:r>
      <w:r w:rsidR="00632E52" w:rsidRPr="00EC7846">
        <w:rPr>
          <w:rFonts w:ascii="Times New Roman" w:hAnsi="Times New Roman"/>
          <w:sz w:val="24"/>
          <w:szCs w:val="24"/>
        </w:rPr>
        <w:t>the</w:t>
      </w:r>
      <w:r w:rsidR="00294519">
        <w:rPr>
          <w:rFonts w:ascii="Times New Roman" w:hAnsi="Times New Roman"/>
          <w:sz w:val="24"/>
          <w:szCs w:val="24"/>
        </w:rPr>
        <w:t xml:space="preserve"> </w:t>
      </w:r>
      <w:r w:rsidR="00485DA9">
        <w:rPr>
          <w:rFonts w:ascii="Times New Roman" w:hAnsi="Times New Roman"/>
          <w:sz w:val="24"/>
          <w:szCs w:val="24"/>
        </w:rPr>
        <w:t xml:space="preserve">primary </w:t>
      </w:r>
      <w:r w:rsidR="00225810">
        <w:rPr>
          <w:rFonts w:ascii="Times New Roman" w:hAnsi="Times New Roman"/>
          <w:sz w:val="24"/>
          <w:szCs w:val="24"/>
        </w:rPr>
        <w:t>reason</w:t>
      </w:r>
      <w:r w:rsidR="00632E52" w:rsidRPr="00EC7846">
        <w:rPr>
          <w:rFonts w:ascii="Times New Roman" w:hAnsi="Times New Roman"/>
          <w:sz w:val="24"/>
          <w:szCs w:val="24"/>
        </w:rPr>
        <w:t xml:space="preserve"> for negotiating rules is </w:t>
      </w:r>
      <w:r w:rsidR="00485DA9">
        <w:rPr>
          <w:rFonts w:ascii="Times New Roman" w:hAnsi="Times New Roman"/>
          <w:sz w:val="24"/>
          <w:szCs w:val="24"/>
        </w:rPr>
        <w:t>to</w:t>
      </w:r>
      <w:r w:rsidR="00632E52" w:rsidRPr="00EC7846">
        <w:rPr>
          <w:rFonts w:ascii="Times New Roman" w:hAnsi="Times New Roman"/>
          <w:sz w:val="24"/>
          <w:szCs w:val="24"/>
        </w:rPr>
        <w:t xml:space="preserve"> reach a consensual rather than </w:t>
      </w:r>
      <w:r w:rsidR="00294519">
        <w:rPr>
          <w:rFonts w:ascii="Times New Roman" w:hAnsi="Times New Roman"/>
          <w:sz w:val="24"/>
          <w:szCs w:val="24"/>
        </w:rPr>
        <w:t xml:space="preserve">an </w:t>
      </w:r>
      <w:r w:rsidR="00632E52" w:rsidRPr="00EC7846">
        <w:rPr>
          <w:rFonts w:ascii="Times New Roman" w:hAnsi="Times New Roman"/>
          <w:sz w:val="24"/>
          <w:szCs w:val="24"/>
        </w:rPr>
        <w:t>adversarial solution</w:t>
      </w:r>
      <w:r w:rsidR="00294519">
        <w:rPr>
          <w:rFonts w:ascii="Times New Roman" w:hAnsi="Times New Roman"/>
          <w:sz w:val="24"/>
          <w:szCs w:val="24"/>
        </w:rPr>
        <w:t xml:space="preserve">. Consequently, </w:t>
      </w:r>
      <w:r w:rsidR="00225810">
        <w:rPr>
          <w:rFonts w:ascii="Times New Roman" w:hAnsi="Times New Roman"/>
          <w:sz w:val="24"/>
          <w:szCs w:val="24"/>
        </w:rPr>
        <w:t xml:space="preserve">the </w:t>
      </w:r>
      <w:r w:rsidR="00294519">
        <w:rPr>
          <w:rFonts w:ascii="Times New Roman" w:hAnsi="Times New Roman"/>
          <w:sz w:val="24"/>
          <w:szCs w:val="24"/>
        </w:rPr>
        <w:t xml:space="preserve">focus </w:t>
      </w:r>
      <w:r w:rsidR="00225810">
        <w:rPr>
          <w:rFonts w:ascii="Times New Roman" w:hAnsi="Times New Roman"/>
          <w:sz w:val="24"/>
          <w:szCs w:val="24"/>
        </w:rPr>
        <w:t>is</w:t>
      </w:r>
      <w:r w:rsidR="00294519">
        <w:rPr>
          <w:rFonts w:ascii="Times New Roman" w:hAnsi="Times New Roman"/>
          <w:sz w:val="24"/>
          <w:szCs w:val="24"/>
        </w:rPr>
        <w:t xml:space="preserve"> more on bilateral problem-solving than on providing a mechanism to ensure all affect groups are adequately represente</w:t>
      </w:r>
      <w:r w:rsidR="00632E52" w:rsidRPr="00EC7846">
        <w:rPr>
          <w:rFonts w:ascii="Times New Roman" w:hAnsi="Times New Roman"/>
          <w:sz w:val="24"/>
          <w:szCs w:val="24"/>
        </w:rPr>
        <w:t>d (Ibid.).   More vigorous use of FACA committees, by contrast, has the potential to actively engage diverse perspectives</w:t>
      </w:r>
      <w:r w:rsidR="00225810">
        <w:rPr>
          <w:rFonts w:ascii="Times New Roman" w:hAnsi="Times New Roman"/>
          <w:sz w:val="24"/>
          <w:szCs w:val="24"/>
        </w:rPr>
        <w:t xml:space="preserve">.  Administrative agencies, however, </w:t>
      </w:r>
      <w:r w:rsidR="001B6B43">
        <w:rPr>
          <w:rFonts w:ascii="Times New Roman" w:hAnsi="Times New Roman"/>
          <w:sz w:val="24"/>
          <w:szCs w:val="24"/>
        </w:rPr>
        <w:t>regularly</w:t>
      </w:r>
      <w:r w:rsidR="00225810">
        <w:rPr>
          <w:rFonts w:ascii="Times New Roman" w:hAnsi="Times New Roman"/>
          <w:sz w:val="24"/>
          <w:szCs w:val="24"/>
        </w:rPr>
        <w:t xml:space="preserve"> bypass  </w:t>
      </w:r>
      <w:r w:rsidR="00C0270A">
        <w:rPr>
          <w:rFonts w:ascii="Times New Roman" w:hAnsi="Times New Roman"/>
          <w:sz w:val="24"/>
          <w:szCs w:val="24"/>
        </w:rPr>
        <w:t xml:space="preserve">these committees </w:t>
      </w:r>
      <w:r w:rsidR="00294519">
        <w:rPr>
          <w:rFonts w:ascii="Times New Roman" w:hAnsi="Times New Roman"/>
          <w:sz w:val="24"/>
          <w:szCs w:val="24"/>
        </w:rPr>
        <w:t>because of obstacles</w:t>
      </w:r>
      <w:r w:rsidR="00602004">
        <w:rPr>
          <w:rFonts w:ascii="Times New Roman" w:hAnsi="Times New Roman"/>
          <w:sz w:val="24"/>
          <w:szCs w:val="24"/>
        </w:rPr>
        <w:t xml:space="preserve"> involved in implementing them</w:t>
      </w:r>
      <w:r w:rsidR="00632E52" w:rsidRPr="00E55238">
        <w:rPr>
          <w:rFonts w:ascii="Times New Roman" w:hAnsi="Times New Roman"/>
          <w:sz w:val="24"/>
          <w:szCs w:val="24"/>
        </w:rPr>
        <w:t xml:space="preserve">, including mandatory caps on the number of advisory committees an agency can empanel, nontrivial costs associated with establishing and maintaining the committees, and related red-tape requirements set forth by FACA itself (Executive Order 12838; OMB Circular A-135; Bull, 2011). </w:t>
      </w:r>
    </w:p>
    <w:p w:rsidR="004A4C44" w:rsidRPr="004A4C44" w:rsidRDefault="004A4C44" w:rsidP="004A4C44">
      <w:pPr>
        <w:spacing w:line="480" w:lineRule="auto"/>
        <w:rPr>
          <w:rFonts w:ascii="Times New Roman" w:hAnsi="Times New Roman" w:cs="Times New Roman"/>
          <w:sz w:val="24"/>
          <w:szCs w:val="24"/>
        </w:rPr>
      </w:pPr>
      <w:r w:rsidRPr="004A4C44">
        <w:rPr>
          <w:rFonts w:ascii="Times New Roman" w:hAnsi="Times New Roman" w:cs="Times New Roman"/>
          <w:sz w:val="24"/>
          <w:szCs w:val="24"/>
        </w:rPr>
        <w:lastRenderedPageBreak/>
        <w:tab/>
      </w:r>
      <w:r w:rsidR="00485DA9">
        <w:rPr>
          <w:rFonts w:ascii="Times New Roman" w:hAnsi="Times New Roman" w:cs="Times New Roman"/>
          <w:sz w:val="24"/>
          <w:szCs w:val="24"/>
        </w:rPr>
        <w:t>More specifically, t</w:t>
      </w:r>
      <w:r w:rsidRPr="004A4C44">
        <w:rPr>
          <w:rFonts w:ascii="Times New Roman" w:hAnsi="Times New Roman" w:cs="Times New Roman"/>
          <w:sz w:val="24"/>
          <w:szCs w:val="24"/>
        </w:rPr>
        <w:t>he EU offers a few mechanisms that the U.S. could borrow to encourage agencies to engage all significant</w:t>
      </w:r>
      <w:r w:rsidR="00F22484">
        <w:rPr>
          <w:rFonts w:ascii="Times New Roman" w:hAnsi="Times New Roman" w:cs="Times New Roman"/>
          <w:sz w:val="24"/>
          <w:szCs w:val="24"/>
        </w:rPr>
        <w:t>ly</w:t>
      </w:r>
      <w:r w:rsidRPr="004A4C44">
        <w:rPr>
          <w:rFonts w:ascii="Times New Roman" w:hAnsi="Times New Roman" w:cs="Times New Roman"/>
          <w:sz w:val="24"/>
          <w:szCs w:val="24"/>
        </w:rPr>
        <w:t xml:space="preserve"> affec</w:t>
      </w:r>
      <w:r w:rsidR="005C0141">
        <w:rPr>
          <w:rFonts w:ascii="Times New Roman" w:hAnsi="Times New Roman" w:cs="Times New Roman"/>
          <w:sz w:val="24"/>
          <w:szCs w:val="24"/>
        </w:rPr>
        <w:t>ted parties in rulemakings w</w:t>
      </w:r>
      <w:r w:rsidRPr="004A4C44">
        <w:rPr>
          <w:rFonts w:ascii="Times New Roman" w:hAnsi="Times New Roman" w:cs="Times New Roman"/>
          <w:sz w:val="24"/>
          <w:szCs w:val="24"/>
        </w:rPr>
        <w:t>ithout a radical overhaul of</w:t>
      </w:r>
      <w:r w:rsidR="00F22484">
        <w:rPr>
          <w:rFonts w:ascii="Times New Roman" w:hAnsi="Times New Roman" w:cs="Times New Roman"/>
          <w:sz w:val="24"/>
          <w:szCs w:val="24"/>
        </w:rPr>
        <w:t xml:space="preserve"> the</w:t>
      </w:r>
      <w:r w:rsidRPr="004A4C44">
        <w:rPr>
          <w:rFonts w:ascii="Times New Roman" w:hAnsi="Times New Roman" w:cs="Times New Roman"/>
          <w:sz w:val="24"/>
          <w:szCs w:val="24"/>
        </w:rPr>
        <w:t xml:space="preserve"> administrative process.  For example, agencies could be required to record all communications with interest groups in </w:t>
      </w:r>
      <w:r w:rsidR="00F22484">
        <w:rPr>
          <w:rFonts w:ascii="Times New Roman" w:hAnsi="Times New Roman" w:cs="Times New Roman"/>
          <w:sz w:val="24"/>
          <w:szCs w:val="24"/>
        </w:rPr>
        <w:t xml:space="preserve">their </w:t>
      </w:r>
      <w:r w:rsidRPr="004A4C44">
        <w:rPr>
          <w:rFonts w:ascii="Times New Roman" w:hAnsi="Times New Roman" w:cs="Times New Roman"/>
          <w:sz w:val="24"/>
          <w:szCs w:val="24"/>
        </w:rPr>
        <w:t>rulemaking docket</w:t>
      </w:r>
      <w:r w:rsidR="00F22484">
        <w:rPr>
          <w:rFonts w:ascii="Times New Roman" w:hAnsi="Times New Roman" w:cs="Times New Roman"/>
          <w:sz w:val="24"/>
          <w:szCs w:val="24"/>
        </w:rPr>
        <w:t>s</w:t>
      </w:r>
      <w:r w:rsidRPr="004A4C44">
        <w:rPr>
          <w:rFonts w:ascii="Times New Roman" w:hAnsi="Times New Roman" w:cs="Times New Roman"/>
          <w:sz w:val="24"/>
          <w:szCs w:val="24"/>
        </w:rPr>
        <w:t>, regardless of the stage of the rulemaking (e.g., Smismans, 2014).  Additionally, if an agency meets with high</w:t>
      </w:r>
      <w:r w:rsidR="00F22484">
        <w:rPr>
          <w:rFonts w:ascii="Times New Roman" w:hAnsi="Times New Roman" w:cs="Times New Roman"/>
          <w:sz w:val="24"/>
          <w:szCs w:val="24"/>
        </w:rPr>
        <w:t>-</w:t>
      </w:r>
      <w:r w:rsidRPr="004A4C44">
        <w:rPr>
          <w:rFonts w:ascii="Times New Roman" w:hAnsi="Times New Roman" w:cs="Times New Roman"/>
          <w:sz w:val="24"/>
          <w:szCs w:val="24"/>
        </w:rPr>
        <w:t>stakes</w:t>
      </w:r>
      <w:r w:rsidR="00F22484">
        <w:rPr>
          <w:rFonts w:ascii="Times New Roman" w:hAnsi="Times New Roman" w:cs="Times New Roman"/>
          <w:sz w:val="24"/>
          <w:szCs w:val="24"/>
        </w:rPr>
        <w:t>,</w:t>
      </w:r>
      <w:r w:rsidRPr="004A4C44">
        <w:rPr>
          <w:rFonts w:ascii="Times New Roman" w:hAnsi="Times New Roman" w:cs="Times New Roman"/>
          <w:sz w:val="24"/>
          <w:szCs w:val="24"/>
        </w:rPr>
        <w:t xml:space="preserve"> litigious players at the pre-proposal stage, there could be a parallel expectation that agencies provide equal time and resources</w:t>
      </w:r>
      <w:r w:rsidR="00F22484">
        <w:rPr>
          <w:rFonts w:ascii="Times New Roman" w:hAnsi="Times New Roman" w:cs="Times New Roman"/>
          <w:sz w:val="24"/>
          <w:szCs w:val="24"/>
        </w:rPr>
        <w:t>―</w:t>
      </w:r>
      <w:r w:rsidRPr="004A4C44">
        <w:rPr>
          <w:rFonts w:ascii="Times New Roman" w:hAnsi="Times New Roman" w:cs="Times New Roman"/>
          <w:sz w:val="24"/>
          <w:szCs w:val="24"/>
        </w:rPr>
        <w:t xml:space="preserve">via education, outreach </w:t>
      </w:r>
      <w:r w:rsidR="00602004">
        <w:rPr>
          <w:rFonts w:ascii="Times New Roman" w:hAnsi="Times New Roman" w:cs="Times New Roman"/>
          <w:sz w:val="24"/>
          <w:szCs w:val="24"/>
        </w:rPr>
        <w:t>and</w:t>
      </w:r>
      <w:r w:rsidR="00602004" w:rsidRPr="004A4C44">
        <w:rPr>
          <w:rFonts w:ascii="Times New Roman" w:hAnsi="Times New Roman" w:cs="Times New Roman"/>
          <w:sz w:val="24"/>
          <w:szCs w:val="24"/>
        </w:rPr>
        <w:t xml:space="preserve"> </w:t>
      </w:r>
      <w:r w:rsidRPr="004A4C44">
        <w:rPr>
          <w:rFonts w:ascii="Times New Roman" w:hAnsi="Times New Roman" w:cs="Times New Roman"/>
          <w:sz w:val="24"/>
          <w:szCs w:val="24"/>
        </w:rPr>
        <w:t>other services</w:t>
      </w:r>
      <w:r w:rsidR="00F22484">
        <w:rPr>
          <w:rFonts w:ascii="Times New Roman" w:hAnsi="Times New Roman" w:cs="Times New Roman"/>
          <w:sz w:val="24"/>
          <w:szCs w:val="24"/>
        </w:rPr>
        <w:t>―</w:t>
      </w:r>
      <w:r w:rsidRPr="004A4C44">
        <w:rPr>
          <w:rFonts w:ascii="Times New Roman" w:hAnsi="Times New Roman" w:cs="Times New Roman"/>
          <w:sz w:val="24"/>
          <w:szCs w:val="24"/>
        </w:rPr>
        <w:t xml:space="preserve">to more thinly financed groups at </w:t>
      </w:r>
      <w:r w:rsidR="00602004">
        <w:rPr>
          <w:rFonts w:ascii="Times New Roman" w:hAnsi="Times New Roman" w:cs="Times New Roman"/>
          <w:sz w:val="24"/>
          <w:szCs w:val="24"/>
        </w:rPr>
        <w:t>the</w:t>
      </w:r>
      <w:r w:rsidR="00602004" w:rsidRPr="004A4C44">
        <w:rPr>
          <w:rFonts w:ascii="Times New Roman" w:hAnsi="Times New Roman" w:cs="Times New Roman"/>
          <w:sz w:val="24"/>
          <w:szCs w:val="24"/>
        </w:rPr>
        <w:t xml:space="preserve"> </w:t>
      </w:r>
      <w:r w:rsidRPr="004A4C44">
        <w:rPr>
          <w:rFonts w:ascii="Times New Roman" w:hAnsi="Times New Roman" w:cs="Times New Roman"/>
          <w:sz w:val="24"/>
          <w:szCs w:val="24"/>
        </w:rPr>
        <w:t>same stage</w:t>
      </w:r>
      <w:r w:rsidR="00F22484">
        <w:rPr>
          <w:rFonts w:ascii="Times New Roman" w:hAnsi="Times New Roman" w:cs="Times New Roman"/>
          <w:sz w:val="24"/>
          <w:szCs w:val="24"/>
        </w:rPr>
        <w:t xml:space="preserve"> of the process</w:t>
      </w:r>
      <w:r w:rsidRPr="004A4C44">
        <w:rPr>
          <w:rFonts w:ascii="Times New Roman" w:hAnsi="Times New Roman" w:cs="Times New Roman"/>
          <w:sz w:val="24"/>
          <w:szCs w:val="24"/>
        </w:rPr>
        <w:t xml:space="preserve">.  Perhaps regulatory negotiation requirements could even be triggered if the comment period on a rule reveals that parties significantly affected by the rule did not lodge comments.  </w:t>
      </w:r>
    </w:p>
    <w:p w:rsidR="004A4C44" w:rsidRPr="004A4C44" w:rsidRDefault="004A4C44" w:rsidP="004A4C44">
      <w:pPr>
        <w:spacing w:line="480" w:lineRule="auto"/>
        <w:rPr>
          <w:rFonts w:ascii="Times New Roman" w:hAnsi="Times New Roman" w:cs="Times New Roman"/>
          <w:sz w:val="24"/>
          <w:szCs w:val="24"/>
        </w:rPr>
      </w:pPr>
      <w:r w:rsidRPr="004A4C44">
        <w:rPr>
          <w:rFonts w:ascii="Times New Roman" w:hAnsi="Times New Roman" w:cs="Times New Roman"/>
          <w:sz w:val="24"/>
          <w:szCs w:val="24"/>
        </w:rPr>
        <w:tab/>
        <w:t xml:space="preserve">Courts </w:t>
      </w:r>
      <w:r w:rsidR="005C0141">
        <w:rPr>
          <w:rFonts w:ascii="Times New Roman" w:hAnsi="Times New Roman" w:cs="Times New Roman"/>
          <w:sz w:val="24"/>
          <w:szCs w:val="24"/>
        </w:rPr>
        <w:t>could</w:t>
      </w:r>
      <w:r w:rsidRPr="004A4C44">
        <w:rPr>
          <w:rFonts w:ascii="Times New Roman" w:hAnsi="Times New Roman" w:cs="Times New Roman"/>
          <w:sz w:val="24"/>
          <w:szCs w:val="24"/>
        </w:rPr>
        <w:t xml:space="preserve"> be enlisted to enforce the new consultation requirements.  A disproportionate share of agency resources dedicated to meeting with only one set of interests outside of the notice</w:t>
      </w:r>
      <w:r w:rsidR="00F22484">
        <w:rPr>
          <w:rFonts w:ascii="Times New Roman" w:hAnsi="Times New Roman" w:cs="Times New Roman"/>
          <w:sz w:val="24"/>
          <w:szCs w:val="24"/>
        </w:rPr>
        <w:t>-</w:t>
      </w:r>
      <w:r w:rsidRPr="004A4C44">
        <w:rPr>
          <w:rFonts w:ascii="Times New Roman" w:hAnsi="Times New Roman" w:cs="Times New Roman"/>
          <w:sz w:val="24"/>
          <w:szCs w:val="24"/>
        </w:rPr>
        <w:t>and</w:t>
      </w:r>
      <w:r w:rsidR="00F22484">
        <w:rPr>
          <w:rFonts w:ascii="Times New Roman" w:hAnsi="Times New Roman" w:cs="Times New Roman"/>
          <w:sz w:val="24"/>
          <w:szCs w:val="24"/>
        </w:rPr>
        <w:t>-</w:t>
      </w:r>
      <w:r w:rsidRPr="004A4C44">
        <w:rPr>
          <w:rFonts w:ascii="Times New Roman" w:hAnsi="Times New Roman" w:cs="Times New Roman"/>
          <w:sz w:val="24"/>
          <w:szCs w:val="24"/>
        </w:rPr>
        <w:t xml:space="preserve">comment process </w:t>
      </w:r>
      <w:r w:rsidR="005C0141">
        <w:rPr>
          <w:rFonts w:ascii="Times New Roman" w:hAnsi="Times New Roman" w:cs="Times New Roman"/>
          <w:sz w:val="24"/>
          <w:szCs w:val="24"/>
        </w:rPr>
        <w:t xml:space="preserve">might </w:t>
      </w:r>
      <w:r w:rsidRPr="004A4C44">
        <w:rPr>
          <w:rFonts w:ascii="Times New Roman" w:hAnsi="Times New Roman" w:cs="Times New Roman"/>
          <w:sz w:val="24"/>
          <w:szCs w:val="24"/>
        </w:rPr>
        <w:t xml:space="preserve">provide a new legal basis for procedural error </w:t>
      </w:r>
      <w:r w:rsidR="00D53B77">
        <w:rPr>
          <w:rFonts w:ascii="Times New Roman" w:hAnsi="Times New Roman" w:cs="Times New Roman"/>
          <w:sz w:val="24"/>
          <w:szCs w:val="24"/>
        </w:rPr>
        <w:t>that would lead</w:t>
      </w:r>
      <w:r w:rsidRPr="004A4C44">
        <w:rPr>
          <w:rFonts w:ascii="Times New Roman" w:hAnsi="Times New Roman" w:cs="Times New Roman"/>
          <w:sz w:val="24"/>
          <w:szCs w:val="24"/>
        </w:rPr>
        <w:t xml:space="preserve"> to the vacatur of a rule.  Failure by the agency to engage in mandated outreach </w:t>
      </w:r>
      <w:r w:rsidR="005C0141">
        <w:rPr>
          <w:rFonts w:ascii="Times New Roman" w:hAnsi="Times New Roman" w:cs="Times New Roman"/>
          <w:sz w:val="24"/>
          <w:szCs w:val="24"/>
        </w:rPr>
        <w:t>could</w:t>
      </w:r>
      <w:r w:rsidRPr="004A4C44">
        <w:rPr>
          <w:rFonts w:ascii="Times New Roman" w:hAnsi="Times New Roman" w:cs="Times New Roman"/>
          <w:sz w:val="24"/>
          <w:szCs w:val="24"/>
        </w:rPr>
        <w:t xml:space="preserve"> also lead to heightened judicial scrutiny of an agency decision.  In reviewing this type of challenge, the court would adopt the vantage point of the unrepresented interests or waive the exhaustion requirement </w:t>
      </w:r>
      <w:r w:rsidR="00F22484">
        <w:rPr>
          <w:rFonts w:ascii="Times New Roman" w:hAnsi="Times New Roman" w:cs="Times New Roman"/>
          <w:sz w:val="24"/>
          <w:szCs w:val="24"/>
        </w:rPr>
        <w:t xml:space="preserve">(which requires the challenger to have raised the argument in the notice-and-comment procedure) </w:t>
      </w:r>
      <w:r w:rsidRPr="004A4C44">
        <w:rPr>
          <w:rFonts w:ascii="Times New Roman" w:hAnsi="Times New Roman" w:cs="Times New Roman"/>
          <w:sz w:val="24"/>
          <w:szCs w:val="24"/>
        </w:rPr>
        <w:t>for thinly financed groups</w:t>
      </w:r>
      <w:r w:rsidR="00D53B77">
        <w:rPr>
          <w:rFonts w:ascii="Times New Roman" w:hAnsi="Times New Roman" w:cs="Times New Roman"/>
          <w:sz w:val="24"/>
          <w:szCs w:val="24"/>
        </w:rPr>
        <w:t xml:space="preserve"> altogether</w:t>
      </w:r>
      <w:r w:rsidRPr="004A4C44">
        <w:rPr>
          <w:rFonts w:ascii="Times New Roman" w:hAnsi="Times New Roman" w:cs="Times New Roman"/>
          <w:sz w:val="24"/>
          <w:szCs w:val="24"/>
        </w:rPr>
        <w:t xml:space="preserve"> (Markoff, 2012).  </w:t>
      </w:r>
    </w:p>
    <w:p w:rsidR="00922823"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32E52" w:rsidRPr="00EC7846">
        <w:rPr>
          <w:rFonts w:ascii="Times New Roman" w:hAnsi="Times New Roman"/>
          <w:sz w:val="24"/>
          <w:szCs w:val="24"/>
        </w:rPr>
        <w:t>The EU also appears to be actively engaged in ensuring that at least some of the important work of the Commission is accessible to general readers.  Some of this commitment is embedded in the EU’s functional approach to participation</w:t>
      </w:r>
      <w:r w:rsidR="00F22484">
        <w:rPr>
          <w:rFonts w:ascii="Times New Roman" w:hAnsi="Times New Roman"/>
          <w:sz w:val="24"/>
          <w:szCs w:val="24"/>
        </w:rPr>
        <w:t xml:space="preserve">: </w:t>
      </w:r>
      <w:r w:rsidR="00632E52" w:rsidRPr="00EC7846">
        <w:rPr>
          <w:rFonts w:ascii="Times New Roman" w:hAnsi="Times New Roman"/>
          <w:sz w:val="24"/>
          <w:szCs w:val="24"/>
        </w:rPr>
        <w:t xml:space="preserve">because the Commission is charged with engaging all major stakeholders, the costs of unduly complicated, long, or even incomprehensible products fall more heavily on the Commission than on the participants.  </w:t>
      </w:r>
      <w:r w:rsidR="00632E52" w:rsidRPr="00EC7846">
        <w:rPr>
          <w:rFonts w:ascii="Times New Roman" w:hAnsi="Times New Roman"/>
          <w:sz w:val="24"/>
          <w:szCs w:val="24"/>
        </w:rPr>
        <w:lastRenderedPageBreak/>
        <w:t xml:space="preserve">Moreover, </w:t>
      </w:r>
      <w:r w:rsidR="00B919ED">
        <w:rPr>
          <w:rFonts w:ascii="Times New Roman" w:hAnsi="Times New Roman"/>
          <w:sz w:val="24"/>
          <w:szCs w:val="24"/>
        </w:rPr>
        <w:t>because</w:t>
      </w:r>
      <w:r w:rsidR="00632E52" w:rsidRPr="00EC7846">
        <w:rPr>
          <w:rFonts w:ascii="Times New Roman" w:hAnsi="Times New Roman"/>
          <w:sz w:val="24"/>
          <w:szCs w:val="24"/>
        </w:rPr>
        <w:t xml:space="preserve"> the Commission engages affected groups</w:t>
      </w:r>
      <w:r w:rsidR="0072069C">
        <w:rPr>
          <w:rFonts w:ascii="Times New Roman" w:hAnsi="Times New Roman"/>
          <w:sz w:val="24"/>
          <w:szCs w:val="24"/>
        </w:rPr>
        <w:t xml:space="preserve"> when proposals are first being developed, </w:t>
      </w:r>
      <w:r w:rsidR="00B919ED">
        <w:rPr>
          <w:rFonts w:ascii="Times New Roman" w:hAnsi="Times New Roman"/>
          <w:sz w:val="24"/>
          <w:szCs w:val="24"/>
        </w:rPr>
        <w:t xml:space="preserve">interested parties </w:t>
      </w:r>
      <w:r w:rsidR="0072069C">
        <w:rPr>
          <w:rFonts w:ascii="Times New Roman" w:hAnsi="Times New Roman"/>
          <w:sz w:val="24"/>
          <w:szCs w:val="24"/>
        </w:rPr>
        <w:t xml:space="preserve">are alerted </w:t>
      </w:r>
      <w:r w:rsidR="00632E52" w:rsidRPr="00EC7846">
        <w:rPr>
          <w:rFonts w:ascii="Times New Roman" w:hAnsi="Times New Roman"/>
          <w:sz w:val="24"/>
          <w:szCs w:val="24"/>
        </w:rPr>
        <w:t>to the choices and framing issues before the</w:t>
      </w:r>
      <w:r w:rsidR="00485DA9">
        <w:rPr>
          <w:rFonts w:ascii="Times New Roman" w:hAnsi="Times New Roman"/>
          <w:sz w:val="24"/>
          <w:szCs w:val="24"/>
        </w:rPr>
        <w:t>se choices</w:t>
      </w:r>
      <w:r w:rsidR="00632E52" w:rsidRPr="00EC7846">
        <w:rPr>
          <w:rFonts w:ascii="Times New Roman" w:hAnsi="Times New Roman"/>
          <w:sz w:val="24"/>
          <w:szCs w:val="24"/>
        </w:rPr>
        <w:t xml:space="preserve"> can become obscured by evolving complexity.</w:t>
      </w:r>
      <w:r w:rsidR="00632E52" w:rsidRPr="00EC7846">
        <w:rPr>
          <w:rStyle w:val="EndnoteReference"/>
          <w:rFonts w:ascii="Times New Roman" w:hAnsi="Times New Roman"/>
          <w:sz w:val="24"/>
          <w:szCs w:val="24"/>
        </w:rPr>
        <w:endnoteReference w:id="7"/>
      </w:r>
      <w:r w:rsidR="00632E52" w:rsidRPr="00EC7846">
        <w:rPr>
          <w:rFonts w:ascii="Times New Roman" w:hAnsi="Times New Roman"/>
          <w:sz w:val="24"/>
          <w:szCs w:val="24"/>
        </w:rPr>
        <w:t xml:space="preserve"> </w:t>
      </w:r>
      <w:r w:rsidR="00922823" w:rsidRPr="00EC7846">
        <w:rPr>
          <w:rFonts w:ascii="Times New Roman" w:hAnsi="Times New Roman"/>
          <w:sz w:val="24"/>
          <w:szCs w:val="24"/>
        </w:rPr>
        <w:t xml:space="preserve">  Strict page limits on some (but certainly not all) Commission reports, like impact assessments, provide still further evidence of the EU’s commitment to ensuring some modicum of accessibility </w:t>
      </w:r>
      <w:r w:rsidR="00B919ED">
        <w:rPr>
          <w:rFonts w:ascii="Times New Roman" w:hAnsi="Times New Roman"/>
          <w:sz w:val="24"/>
          <w:szCs w:val="24"/>
        </w:rPr>
        <w:t>for their</w:t>
      </w:r>
      <w:r w:rsidR="00B919ED" w:rsidRPr="00EC7846">
        <w:rPr>
          <w:rFonts w:ascii="Times New Roman" w:hAnsi="Times New Roman"/>
          <w:sz w:val="24"/>
          <w:szCs w:val="24"/>
        </w:rPr>
        <w:t xml:space="preserve"> </w:t>
      </w:r>
      <w:r w:rsidR="00922823" w:rsidRPr="00EC7846">
        <w:rPr>
          <w:rFonts w:ascii="Times New Roman" w:hAnsi="Times New Roman"/>
          <w:sz w:val="24"/>
          <w:szCs w:val="24"/>
        </w:rPr>
        <w:t xml:space="preserve">regulatory products.  </w:t>
      </w:r>
      <w:r w:rsidR="0072069C">
        <w:rPr>
          <w:rFonts w:ascii="Times New Roman" w:hAnsi="Times New Roman"/>
          <w:sz w:val="24"/>
          <w:szCs w:val="24"/>
        </w:rPr>
        <w:t>For example, u</w:t>
      </w:r>
      <w:r w:rsidR="00922823" w:rsidRPr="00EC7846">
        <w:rPr>
          <w:rFonts w:ascii="Times New Roman" w:hAnsi="Times New Roman"/>
          <w:sz w:val="24"/>
          <w:szCs w:val="24"/>
        </w:rPr>
        <w:t xml:space="preserve">nder </w:t>
      </w:r>
      <w:r w:rsidR="0072069C">
        <w:rPr>
          <w:rFonts w:ascii="Times New Roman" w:hAnsi="Times New Roman"/>
          <w:sz w:val="24"/>
          <w:szCs w:val="24"/>
        </w:rPr>
        <w:t xml:space="preserve">Commission </w:t>
      </w:r>
      <w:r w:rsidR="00922823" w:rsidRPr="00EC7846">
        <w:rPr>
          <w:rFonts w:ascii="Times New Roman" w:hAnsi="Times New Roman"/>
          <w:sz w:val="24"/>
          <w:szCs w:val="24"/>
        </w:rPr>
        <w:t>guidance issued</w:t>
      </w:r>
      <w:r w:rsidR="0072069C">
        <w:rPr>
          <w:rFonts w:ascii="Times New Roman" w:hAnsi="Times New Roman"/>
          <w:sz w:val="24"/>
          <w:szCs w:val="24"/>
        </w:rPr>
        <w:t xml:space="preserve"> in 2005, </w:t>
      </w:r>
      <w:r w:rsidR="00922823" w:rsidRPr="00EC7846">
        <w:rPr>
          <w:rFonts w:ascii="Times New Roman" w:hAnsi="Times New Roman"/>
          <w:sz w:val="24"/>
          <w:szCs w:val="24"/>
        </w:rPr>
        <w:t xml:space="preserve">impact analyses are limited to </w:t>
      </w:r>
      <w:r w:rsidR="00485DA9">
        <w:rPr>
          <w:rFonts w:ascii="Times New Roman" w:hAnsi="Times New Roman"/>
          <w:sz w:val="24"/>
          <w:szCs w:val="24"/>
        </w:rPr>
        <w:t>thirty</w:t>
      </w:r>
      <w:r w:rsidR="00922823" w:rsidRPr="00EC7846">
        <w:rPr>
          <w:rFonts w:ascii="Times New Roman" w:hAnsi="Times New Roman"/>
          <w:sz w:val="24"/>
          <w:szCs w:val="24"/>
        </w:rPr>
        <w:t xml:space="preserve"> pages</w:t>
      </w:r>
      <w:r w:rsidR="009E67BD" w:rsidRPr="00EC7846">
        <w:rPr>
          <w:rFonts w:ascii="Times New Roman" w:hAnsi="Times New Roman"/>
          <w:sz w:val="24"/>
          <w:szCs w:val="24"/>
        </w:rPr>
        <w:t xml:space="preserve"> (Communication from the Commission, 2005)</w:t>
      </w:r>
      <w:r w:rsidR="00922823" w:rsidRPr="00EC7846">
        <w:rPr>
          <w:rFonts w:ascii="Times New Roman" w:hAnsi="Times New Roman"/>
          <w:sz w:val="24"/>
          <w:szCs w:val="24"/>
        </w:rPr>
        <w:t xml:space="preserve">.  </w:t>
      </w:r>
    </w:p>
    <w:p w:rsidR="00922823"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72069C">
        <w:rPr>
          <w:rFonts w:ascii="Times New Roman" w:hAnsi="Times New Roman"/>
          <w:sz w:val="24"/>
          <w:szCs w:val="24"/>
        </w:rPr>
        <w:t>W</w:t>
      </w:r>
      <w:r w:rsidR="00B919ED">
        <w:rPr>
          <w:rFonts w:ascii="Times New Roman" w:hAnsi="Times New Roman"/>
          <w:sz w:val="24"/>
          <w:szCs w:val="24"/>
        </w:rPr>
        <w:t xml:space="preserve">hile </w:t>
      </w:r>
      <w:r w:rsidR="00922823" w:rsidRPr="00EC7846">
        <w:rPr>
          <w:rFonts w:ascii="Times New Roman" w:hAnsi="Times New Roman"/>
          <w:sz w:val="24"/>
          <w:szCs w:val="24"/>
        </w:rPr>
        <w:t xml:space="preserve">this type of comprehensibility </w:t>
      </w:r>
      <w:r w:rsidR="00485DA9">
        <w:rPr>
          <w:rFonts w:ascii="Times New Roman" w:hAnsi="Times New Roman"/>
          <w:sz w:val="24"/>
          <w:szCs w:val="24"/>
        </w:rPr>
        <w:t>may have been</w:t>
      </w:r>
      <w:r w:rsidR="00485DA9" w:rsidRPr="00EC7846">
        <w:rPr>
          <w:rFonts w:ascii="Times New Roman" w:hAnsi="Times New Roman"/>
          <w:sz w:val="24"/>
          <w:szCs w:val="24"/>
        </w:rPr>
        <w:t xml:space="preserve"> </w:t>
      </w:r>
      <w:r w:rsidR="00922823" w:rsidRPr="00EC7846">
        <w:rPr>
          <w:rFonts w:ascii="Times New Roman" w:hAnsi="Times New Roman"/>
          <w:sz w:val="24"/>
          <w:szCs w:val="24"/>
        </w:rPr>
        <w:t xml:space="preserve">initially contemplated by </w:t>
      </w:r>
      <w:r w:rsidR="00B919ED">
        <w:rPr>
          <w:rFonts w:ascii="Times New Roman" w:hAnsi="Times New Roman"/>
          <w:sz w:val="24"/>
          <w:szCs w:val="24"/>
        </w:rPr>
        <w:t xml:space="preserve">the U.S. </w:t>
      </w:r>
      <w:r w:rsidR="00922823" w:rsidRPr="00EC7846">
        <w:rPr>
          <w:rFonts w:ascii="Times New Roman" w:hAnsi="Times New Roman"/>
          <w:sz w:val="24"/>
          <w:szCs w:val="24"/>
        </w:rPr>
        <w:t xml:space="preserve">Congress in the 1940s, the evolution of </w:t>
      </w:r>
      <w:r w:rsidR="0028121B">
        <w:rPr>
          <w:rFonts w:ascii="Times New Roman" w:hAnsi="Times New Roman"/>
          <w:sz w:val="24"/>
          <w:szCs w:val="24"/>
        </w:rPr>
        <w:t xml:space="preserve">the </w:t>
      </w:r>
      <w:r w:rsidR="00922823" w:rsidRPr="00EC7846">
        <w:rPr>
          <w:rFonts w:ascii="Times New Roman" w:hAnsi="Times New Roman"/>
          <w:sz w:val="24"/>
          <w:szCs w:val="24"/>
        </w:rPr>
        <w:t>administrative process has led to precisely the opposite incentives for</w:t>
      </w:r>
      <w:r w:rsidR="002B4E41">
        <w:rPr>
          <w:rFonts w:ascii="Times New Roman" w:hAnsi="Times New Roman"/>
          <w:sz w:val="24"/>
          <w:szCs w:val="24"/>
        </w:rPr>
        <w:t xml:space="preserve"> </w:t>
      </w:r>
      <w:r w:rsidR="00B919ED">
        <w:rPr>
          <w:rFonts w:ascii="Times New Roman" w:hAnsi="Times New Roman"/>
          <w:sz w:val="24"/>
          <w:szCs w:val="24"/>
        </w:rPr>
        <w:t xml:space="preserve">American </w:t>
      </w:r>
      <w:r w:rsidR="00922823" w:rsidRPr="00EC7846">
        <w:rPr>
          <w:rFonts w:ascii="Times New Roman" w:hAnsi="Times New Roman"/>
          <w:sz w:val="24"/>
          <w:szCs w:val="24"/>
        </w:rPr>
        <w:t>agencies</w:t>
      </w:r>
      <w:r w:rsidR="0028121B">
        <w:rPr>
          <w:rFonts w:ascii="Times New Roman" w:hAnsi="Times New Roman"/>
          <w:sz w:val="24"/>
          <w:szCs w:val="24"/>
        </w:rPr>
        <w:t>―</w:t>
      </w:r>
      <w:r w:rsidR="00922823" w:rsidRPr="00EC7846">
        <w:rPr>
          <w:rFonts w:ascii="Times New Roman" w:hAnsi="Times New Roman"/>
          <w:sz w:val="24"/>
          <w:szCs w:val="24"/>
        </w:rPr>
        <w:t xml:space="preserve"> the development of long, complex, and often unintelligible rules and preambles</w:t>
      </w:r>
      <w:r w:rsidR="009E67BD" w:rsidRPr="00EC7846">
        <w:rPr>
          <w:rFonts w:ascii="Times New Roman" w:hAnsi="Times New Roman"/>
          <w:sz w:val="24"/>
          <w:szCs w:val="24"/>
        </w:rPr>
        <w:t xml:space="preserve"> (Wagner, 2010)</w:t>
      </w:r>
      <w:r w:rsidR="00922823" w:rsidRPr="00EC7846">
        <w:rPr>
          <w:rFonts w:ascii="Times New Roman" w:hAnsi="Times New Roman"/>
          <w:sz w:val="24"/>
          <w:szCs w:val="24"/>
        </w:rPr>
        <w:t xml:space="preserve">. </w:t>
      </w:r>
      <w:r w:rsidR="002B4E41">
        <w:rPr>
          <w:rFonts w:ascii="Times New Roman" w:hAnsi="Times New Roman"/>
          <w:sz w:val="24"/>
          <w:szCs w:val="24"/>
        </w:rPr>
        <w:t xml:space="preserve"> </w:t>
      </w:r>
      <w:r w:rsidR="00B919ED">
        <w:rPr>
          <w:rFonts w:ascii="Times New Roman" w:hAnsi="Times New Roman"/>
          <w:sz w:val="24"/>
          <w:szCs w:val="24"/>
        </w:rPr>
        <w:t xml:space="preserve">Indeed, </w:t>
      </w:r>
      <w:r w:rsidR="002B4E41">
        <w:rPr>
          <w:rFonts w:ascii="Times New Roman" w:hAnsi="Times New Roman"/>
          <w:sz w:val="24"/>
          <w:szCs w:val="24"/>
        </w:rPr>
        <w:t>U.S.</w:t>
      </w:r>
      <w:r w:rsidR="00922823" w:rsidRPr="00EC7846">
        <w:rPr>
          <w:rFonts w:ascii="Times New Roman" w:hAnsi="Times New Roman"/>
          <w:sz w:val="24"/>
          <w:szCs w:val="24"/>
        </w:rPr>
        <w:t xml:space="preserve"> agencies generally find that they are rewarded for rules that are convoluted and difficult to understand</w:t>
      </w:r>
      <w:r w:rsidR="007D21FA">
        <w:rPr>
          <w:rFonts w:ascii="Times New Roman" w:hAnsi="Times New Roman"/>
          <w:sz w:val="24"/>
          <w:szCs w:val="24"/>
        </w:rPr>
        <w:t xml:space="preserve">, alienating </w:t>
      </w:r>
      <w:r w:rsidR="000470C8">
        <w:rPr>
          <w:rFonts w:ascii="Times New Roman" w:hAnsi="Times New Roman"/>
          <w:sz w:val="24"/>
          <w:szCs w:val="24"/>
        </w:rPr>
        <w:t>commenters (and some courts</w:t>
      </w:r>
      <w:r w:rsidR="00922823" w:rsidRPr="00EC7846">
        <w:rPr>
          <w:rFonts w:ascii="Times New Roman" w:hAnsi="Times New Roman"/>
          <w:sz w:val="24"/>
          <w:szCs w:val="24"/>
        </w:rPr>
        <w:t xml:space="preserve">), </w:t>
      </w:r>
      <w:r w:rsidR="007D21FA">
        <w:rPr>
          <w:rFonts w:ascii="Times New Roman" w:hAnsi="Times New Roman"/>
          <w:sz w:val="24"/>
          <w:szCs w:val="24"/>
        </w:rPr>
        <w:t>and ultimately</w:t>
      </w:r>
      <w:r w:rsidR="00922823" w:rsidRPr="00EC7846">
        <w:rPr>
          <w:rFonts w:ascii="Times New Roman" w:hAnsi="Times New Roman"/>
          <w:sz w:val="24"/>
          <w:szCs w:val="24"/>
        </w:rPr>
        <w:t xml:space="preserve"> </w:t>
      </w:r>
      <w:r w:rsidR="007D21FA">
        <w:rPr>
          <w:rFonts w:ascii="Times New Roman" w:hAnsi="Times New Roman"/>
          <w:sz w:val="24"/>
          <w:szCs w:val="24"/>
        </w:rPr>
        <w:t>reducing</w:t>
      </w:r>
      <w:r w:rsidR="00922823" w:rsidRPr="00EC7846">
        <w:rPr>
          <w:rFonts w:ascii="Times New Roman" w:hAnsi="Times New Roman"/>
          <w:sz w:val="24"/>
          <w:szCs w:val="24"/>
        </w:rPr>
        <w:t xml:space="preserve"> the risk of successful </w:t>
      </w:r>
      <w:r w:rsidR="0028121B">
        <w:rPr>
          <w:rFonts w:ascii="Times New Roman" w:hAnsi="Times New Roman"/>
          <w:sz w:val="24"/>
          <w:szCs w:val="24"/>
        </w:rPr>
        <w:t xml:space="preserve">legal challenges to the rules.  </w:t>
      </w:r>
      <w:r w:rsidR="007D21FA">
        <w:rPr>
          <w:rFonts w:ascii="Times New Roman" w:hAnsi="Times New Roman"/>
          <w:sz w:val="24"/>
          <w:szCs w:val="24"/>
        </w:rPr>
        <w:t>Therefore, in</w:t>
      </w:r>
      <w:r w:rsidR="00922823" w:rsidRPr="00EC7846">
        <w:rPr>
          <w:rFonts w:ascii="Times New Roman" w:hAnsi="Times New Roman"/>
          <w:sz w:val="24"/>
          <w:szCs w:val="24"/>
        </w:rPr>
        <w:t xml:space="preserve"> the</w:t>
      </w:r>
      <w:r w:rsidR="002B4E41">
        <w:rPr>
          <w:rFonts w:ascii="Times New Roman" w:hAnsi="Times New Roman"/>
          <w:sz w:val="24"/>
          <w:szCs w:val="24"/>
        </w:rPr>
        <w:t xml:space="preserve"> U.S.</w:t>
      </w:r>
      <w:r w:rsidR="00922823" w:rsidRPr="00EC7846">
        <w:rPr>
          <w:rFonts w:ascii="Times New Roman" w:hAnsi="Times New Roman"/>
          <w:sz w:val="24"/>
          <w:szCs w:val="24"/>
        </w:rPr>
        <w:t xml:space="preserve">’s passive approach to participation, </w:t>
      </w:r>
      <w:r w:rsidR="007D21FA">
        <w:rPr>
          <w:rFonts w:ascii="Times New Roman" w:hAnsi="Times New Roman"/>
          <w:sz w:val="24"/>
          <w:szCs w:val="24"/>
        </w:rPr>
        <w:t>the</w:t>
      </w:r>
      <w:r w:rsidR="00922823" w:rsidRPr="00EC7846">
        <w:rPr>
          <w:rFonts w:ascii="Times New Roman" w:hAnsi="Times New Roman"/>
          <w:sz w:val="24"/>
          <w:szCs w:val="24"/>
        </w:rPr>
        <w:t xml:space="preserve"> costs of inaccessible rules and preambles fall</w:t>
      </w:r>
      <w:r w:rsidR="0028121B">
        <w:rPr>
          <w:rFonts w:ascii="Times New Roman" w:hAnsi="Times New Roman"/>
          <w:sz w:val="24"/>
          <w:szCs w:val="24"/>
        </w:rPr>
        <w:t xml:space="preserve"> not on the administrative agencies, but the </w:t>
      </w:r>
      <w:r w:rsidR="00922823" w:rsidRPr="00EC7846">
        <w:rPr>
          <w:rFonts w:ascii="Times New Roman" w:hAnsi="Times New Roman"/>
          <w:sz w:val="24"/>
          <w:szCs w:val="24"/>
        </w:rPr>
        <w:t xml:space="preserve"> participants.  </w:t>
      </w:r>
    </w:p>
    <w:p w:rsidR="00922823"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622573">
        <w:rPr>
          <w:rFonts w:ascii="Times New Roman" w:hAnsi="Times New Roman"/>
          <w:sz w:val="24"/>
          <w:szCs w:val="24"/>
        </w:rPr>
        <w:t>To counteract the general inaccessibility of agency rules, t</w:t>
      </w:r>
      <w:r w:rsidR="00922823" w:rsidRPr="00EC7846">
        <w:rPr>
          <w:rFonts w:ascii="Times New Roman" w:hAnsi="Times New Roman"/>
          <w:sz w:val="24"/>
          <w:szCs w:val="24"/>
        </w:rPr>
        <w:t>he</w:t>
      </w:r>
      <w:r w:rsidR="002B4E41">
        <w:rPr>
          <w:rFonts w:ascii="Times New Roman" w:hAnsi="Times New Roman"/>
          <w:sz w:val="24"/>
          <w:szCs w:val="24"/>
        </w:rPr>
        <w:t xml:space="preserve"> U.S.</w:t>
      </w:r>
      <w:r w:rsidR="00922823" w:rsidRPr="00EC7846">
        <w:rPr>
          <w:rFonts w:ascii="Times New Roman" w:hAnsi="Times New Roman"/>
          <w:sz w:val="24"/>
          <w:szCs w:val="24"/>
        </w:rPr>
        <w:t xml:space="preserve"> </w:t>
      </w:r>
      <w:r w:rsidR="00421A17">
        <w:rPr>
          <w:rFonts w:ascii="Times New Roman" w:hAnsi="Times New Roman"/>
          <w:sz w:val="24"/>
          <w:szCs w:val="24"/>
        </w:rPr>
        <w:t>could also import</w:t>
      </w:r>
      <w:r w:rsidR="00922823" w:rsidRPr="00EC7846">
        <w:rPr>
          <w:rFonts w:ascii="Times New Roman" w:hAnsi="Times New Roman"/>
          <w:sz w:val="24"/>
          <w:szCs w:val="24"/>
        </w:rPr>
        <w:t xml:space="preserve"> some of the EU’s mechanisms for increasing the visibility and accessibility of key regulatory products.  As mentioned </w:t>
      </w:r>
      <w:r w:rsidR="007D21FA">
        <w:rPr>
          <w:rFonts w:ascii="Times New Roman" w:hAnsi="Times New Roman"/>
          <w:sz w:val="24"/>
          <w:szCs w:val="24"/>
        </w:rPr>
        <w:t>earlier</w:t>
      </w:r>
      <w:r w:rsidR="00922823" w:rsidRPr="00EC7846">
        <w:rPr>
          <w:rFonts w:ascii="Times New Roman" w:hAnsi="Times New Roman"/>
          <w:sz w:val="24"/>
          <w:szCs w:val="24"/>
        </w:rPr>
        <w:t>, a requirement that the agency actively engage all affected interests co</w:t>
      </w:r>
      <w:r w:rsidR="00421A17">
        <w:rPr>
          <w:rFonts w:ascii="Times New Roman" w:hAnsi="Times New Roman"/>
          <w:sz w:val="24"/>
          <w:szCs w:val="24"/>
        </w:rPr>
        <w:t>uld create a much</w:t>
      </w:r>
      <w:r w:rsidR="006F514B">
        <w:rPr>
          <w:rFonts w:ascii="Times New Roman" w:hAnsi="Times New Roman"/>
          <w:sz w:val="24"/>
          <w:szCs w:val="24"/>
        </w:rPr>
        <w:t>-</w:t>
      </w:r>
      <w:r w:rsidR="00421A17">
        <w:rPr>
          <w:rFonts w:ascii="Times New Roman" w:hAnsi="Times New Roman"/>
          <w:sz w:val="24"/>
          <w:szCs w:val="24"/>
        </w:rPr>
        <w:t xml:space="preserve">needed </w:t>
      </w:r>
      <w:r w:rsidR="00922823" w:rsidRPr="00EC7846">
        <w:rPr>
          <w:rFonts w:ascii="Times New Roman" w:hAnsi="Times New Roman"/>
          <w:sz w:val="24"/>
          <w:szCs w:val="24"/>
        </w:rPr>
        <w:t>incentive for</w:t>
      </w:r>
      <w:r w:rsidR="002B4E41">
        <w:rPr>
          <w:rFonts w:ascii="Times New Roman" w:hAnsi="Times New Roman"/>
          <w:sz w:val="24"/>
          <w:szCs w:val="24"/>
        </w:rPr>
        <w:t xml:space="preserve"> U.S.</w:t>
      </w:r>
      <w:r w:rsidR="00922823" w:rsidRPr="00EC7846">
        <w:rPr>
          <w:rFonts w:ascii="Times New Roman" w:hAnsi="Times New Roman"/>
          <w:sz w:val="24"/>
          <w:szCs w:val="24"/>
        </w:rPr>
        <w:t xml:space="preserve"> agencies to produce regulatory outputs that are more accessible to general readers.  Other more mundane requirement</w:t>
      </w:r>
      <w:r w:rsidR="0028121B">
        <w:rPr>
          <w:rFonts w:ascii="Times New Roman" w:hAnsi="Times New Roman"/>
          <w:sz w:val="24"/>
          <w:szCs w:val="24"/>
        </w:rPr>
        <w:t>s, for instance</w:t>
      </w:r>
      <w:r w:rsidR="00922823" w:rsidRPr="00EC7846">
        <w:rPr>
          <w:rFonts w:ascii="Times New Roman" w:hAnsi="Times New Roman"/>
          <w:sz w:val="24"/>
          <w:szCs w:val="24"/>
        </w:rPr>
        <w:t xml:space="preserve"> page limits</w:t>
      </w:r>
      <w:r w:rsidR="0028121B">
        <w:rPr>
          <w:rFonts w:ascii="Times New Roman" w:hAnsi="Times New Roman"/>
          <w:sz w:val="24"/>
          <w:szCs w:val="24"/>
        </w:rPr>
        <w:t xml:space="preserve"> and </w:t>
      </w:r>
      <w:r w:rsidR="00922823" w:rsidRPr="00EC7846">
        <w:rPr>
          <w:rFonts w:ascii="Times New Roman" w:hAnsi="Times New Roman"/>
          <w:sz w:val="24"/>
          <w:szCs w:val="24"/>
        </w:rPr>
        <w:t xml:space="preserve">format specifications, </w:t>
      </w:r>
      <w:r w:rsidR="00035D52">
        <w:rPr>
          <w:rFonts w:ascii="Times New Roman" w:hAnsi="Times New Roman"/>
          <w:sz w:val="24"/>
          <w:szCs w:val="24"/>
        </w:rPr>
        <w:t>could</w:t>
      </w:r>
      <w:r w:rsidR="00035D52" w:rsidRPr="00EC7846">
        <w:rPr>
          <w:rFonts w:ascii="Times New Roman" w:hAnsi="Times New Roman"/>
          <w:sz w:val="24"/>
          <w:szCs w:val="24"/>
        </w:rPr>
        <w:t xml:space="preserve"> </w:t>
      </w:r>
      <w:r w:rsidR="00922823" w:rsidRPr="00EC7846">
        <w:rPr>
          <w:rFonts w:ascii="Times New Roman" w:hAnsi="Times New Roman"/>
          <w:sz w:val="24"/>
          <w:szCs w:val="24"/>
        </w:rPr>
        <w:t>also</w:t>
      </w:r>
      <w:r w:rsidR="0028121B">
        <w:rPr>
          <w:rFonts w:ascii="Times New Roman" w:hAnsi="Times New Roman"/>
          <w:sz w:val="24"/>
          <w:szCs w:val="24"/>
        </w:rPr>
        <w:t xml:space="preserve"> promote</w:t>
      </w:r>
      <w:r w:rsidR="00922823" w:rsidRPr="00EC7846">
        <w:rPr>
          <w:rFonts w:ascii="Times New Roman" w:hAnsi="Times New Roman"/>
          <w:sz w:val="24"/>
          <w:szCs w:val="24"/>
        </w:rPr>
        <w:t xml:space="preserve"> greater accessibility </w:t>
      </w:r>
      <w:r w:rsidR="00035D52">
        <w:rPr>
          <w:rFonts w:ascii="Times New Roman" w:hAnsi="Times New Roman"/>
          <w:sz w:val="24"/>
          <w:szCs w:val="24"/>
        </w:rPr>
        <w:t>to</w:t>
      </w:r>
      <w:r w:rsidR="00922823" w:rsidRPr="00EC7846">
        <w:rPr>
          <w:rFonts w:ascii="Times New Roman" w:hAnsi="Times New Roman"/>
          <w:sz w:val="24"/>
          <w:szCs w:val="24"/>
        </w:rPr>
        <w:t xml:space="preserve"> the work of</w:t>
      </w:r>
      <w:r w:rsidR="002B4E41">
        <w:rPr>
          <w:rFonts w:ascii="Times New Roman" w:hAnsi="Times New Roman"/>
          <w:sz w:val="24"/>
          <w:szCs w:val="24"/>
        </w:rPr>
        <w:t xml:space="preserve"> U.S.</w:t>
      </w:r>
      <w:r w:rsidR="00922823" w:rsidRPr="00EC7846">
        <w:rPr>
          <w:rFonts w:ascii="Times New Roman" w:hAnsi="Times New Roman"/>
          <w:sz w:val="24"/>
          <w:szCs w:val="24"/>
        </w:rPr>
        <w:t xml:space="preserve"> agencies. </w:t>
      </w:r>
    </w:p>
    <w:p w:rsidR="00922823" w:rsidRPr="00EC7846" w:rsidRDefault="00922823" w:rsidP="008B7CD3">
      <w:pPr>
        <w:pStyle w:val="ListParagraph"/>
        <w:spacing w:line="480" w:lineRule="auto"/>
        <w:ind w:left="0" w:firstLine="360"/>
        <w:rPr>
          <w:rFonts w:ascii="Times New Roman" w:hAnsi="Times New Roman"/>
          <w:smallCaps/>
          <w:sz w:val="24"/>
          <w:szCs w:val="24"/>
        </w:rPr>
      </w:pPr>
      <w:r w:rsidRPr="00EC7846">
        <w:rPr>
          <w:rFonts w:ascii="Times New Roman" w:hAnsi="Times New Roman"/>
          <w:smallCaps/>
          <w:sz w:val="24"/>
          <w:szCs w:val="24"/>
        </w:rPr>
        <w:t>IV. Conclusion</w:t>
      </w:r>
    </w:p>
    <w:p w:rsidR="00922823" w:rsidRPr="00EC7846" w:rsidRDefault="00922823" w:rsidP="008B7CD3">
      <w:pPr>
        <w:pStyle w:val="ListParagraph"/>
        <w:spacing w:line="480" w:lineRule="auto"/>
        <w:ind w:left="0" w:firstLine="360"/>
        <w:rPr>
          <w:rFonts w:ascii="Times New Roman" w:hAnsi="Times New Roman"/>
          <w:sz w:val="24"/>
          <w:szCs w:val="24"/>
        </w:rPr>
      </w:pPr>
    </w:p>
    <w:p w:rsidR="00963996"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lastRenderedPageBreak/>
        <w:tab/>
      </w:r>
      <w:r w:rsidR="00922823" w:rsidRPr="00EC7846">
        <w:rPr>
          <w:rFonts w:ascii="Times New Roman" w:hAnsi="Times New Roman"/>
          <w:sz w:val="24"/>
          <w:szCs w:val="24"/>
        </w:rPr>
        <w:t>The administrative processes of the</w:t>
      </w:r>
      <w:r w:rsidR="002B4E41">
        <w:rPr>
          <w:rFonts w:ascii="Times New Roman" w:hAnsi="Times New Roman"/>
          <w:sz w:val="24"/>
          <w:szCs w:val="24"/>
        </w:rPr>
        <w:t xml:space="preserve"> U.S.</w:t>
      </w:r>
      <w:r w:rsidR="00922823" w:rsidRPr="00EC7846">
        <w:rPr>
          <w:rFonts w:ascii="Times New Roman" w:hAnsi="Times New Roman"/>
          <w:sz w:val="24"/>
          <w:szCs w:val="24"/>
        </w:rPr>
        <w:t xml:space="preserve"> and EU are often considered quite different from one another.   </w:t>
      </w:r>
      <w:r w:rsidR="00020BF8">
        <w:rPr>
          <w:rFonts w:ascii="Times New Roman" w:hAnsi="Times New Roman"/>
          <w:sz w:val="24"/>
          <w:szCs w:val="24"/>
        </w:rPr>
        <w:t xml:space="preserve">The actual practice of U.S. rulemaking, however, </w:t>
      </w:r>
      <w:r w:rsidR="00922823" w:rsidRPr="00EC7846">
        <w:rPr>
          <w:rFonts w:ascii="Times New Roman" w:hAnsi="Times New Roman"/>
          <w:sz w:val="24"/>
          <w:szCs w:val="24"/>
        </w:rPr>
        <w:t>suggests ways in which the two systems may not be quite so different after all.  While the</w:t>
      </w:r>
      <w:r w:rsidR="002B4E41">
        <w:rPr>
          <w:rFonts w:ascii="Times New Roman" w:hAnsi="Times New Roman"/>
          <w:sz w:val="24"/>
          <w:szCs w:val="24"/>
        </w:rPr>
        <w:t xml:space="preserve"> U.S.</w:t>
      </w:r>
      <w:r w:rsidR="00922823" w:rsidRPr="00EC7846">
        <w:rPr>
          <w:rFonts w:ascii="Times New Roman" w:hAnsi="Times New Roman"/>
          <w:sz w:val="24"/>
          <w:szCs w:val="24"/>
        </w:rPr>
        <w:t xml:space="preserve"> system does </w:t>
      </w:r>
      <w:r w:rsidR="00020BF8">
        <w:rPr>
          <w:rFonts w:ascii="Times New Roman" w:hAnsi="Times New Roman"/>
          <w:sz w:val="24"/>
          <w:szCs w:val="24"/>
        </w:rPr>
        <w:t>afford</w:t>
      </w:r>
      <w:r w:rsidR="00922823" w:rsidRPr="00EC7846">
        <w:rPr>
          <w:rFonts w:ascii="Times New Roman" w:hAnsi="Times New Roman"/>
          <w:sz w:val="24"/>
          <w:szCs w:val="24"/>
        </w:rPr>
        <w:t xml:space="preserve"> important rights and guarantees </w:t>
      </w:r>
      <w:r w:rsidR="00020BF8">
        <w:rPr>
          <w:rFonts w:ascii="Times New Roman" w:hAnsi="Times New Roman"/>
          <w:sz w:val="24"/>
          <w:szCs w:val="24"/>
        </w:rPr>
        <w:t>for</w:t>
      </w:r>
      <w:r w:rsidR="00922823" w:rsidRPr="00EC7846">
        <w:rPr>
          <w:rFonts w:ascii="Times New Roman" w:hAnsi="Times New Roman"/>
          <w:sz w:val="24"/>
          <w:szCs w:val="24"/>
        </w:rPr>
        <w:t xml:space="preserve"> regulatory participants, these guarantees can be overshadowed by political pressures and </w:t>
      </w:r>
      <w:r w:rsidR="00020BF8">
        <w:rPr>
          <w:rFonts w:ascii="Times New Roman" w:hAnsi="Times New Roman"/>
          <w:sz w:val="24"/>
          <w:szCs w:val="24"/>
        </w:rPr>
        <w:t xml:space="preserve">significant </w:t>
      </w:r>
      <w:r w:rsidR="00922823" w:rsidRPr="00EC7846">
        <w:rPr>
          <w:rFonts w:ascii="Times New Roman" w:hAnsi="Times New Roman"/>
          <w:sz w:val="24"/>
          <w:szCs w:val="24"/>
        </w:rPr>
        <w:t xml:space="preserve">structural gaps that lead to </w:t>
      </w:r>
      <w:r w:rsidR="00020BF8">
        <w:rPr>
          <w:rFonts w:ascii="Times New Roman" w:hAnsi="Times New Roman"/>
          <w:sz w:val="24"/>
          <w:szCs w:val="24"/>
        </w:rPr>
        <w:t xml:space="preserve">the </w:t>
      </w:r>
      <w:r w:rsidR="00922823" w:rsidRPr="00EC7846">
        <w:rPr>
          <w:rFonts w:ascii="Times New Roman" w:hAnsi="Times New Roman"/>
          <w:sz w:val="24"/>
          <w:szCs w:val="24"/>
        </w:rPr>
        <w:t xml:space="preserve">inadequate inclusion of the concerns of affected interests.  </w:t>
      </w:r>
    </w:p>
    <w:p w:rsidR="00A91F54" w:rsidRPr="00EC7846" w:rsidRDefault="008B7CD3" w:rsidP="008B7CD3">
      <w:pPr>
        <w:pStyle w:val="ListParagraph"/>
        <w:spacing w:line="480" w:lineRule="auto"/>
        <w:ind w:left="0"/>
        <w:rPr>
          <w:rFonts w:ascii="Times New Roman" w:hAnsi="Times New Roman"/>
          <w:sz w:val="24"/>
          <w:szCs w:val="24"/>
        </w:rPr>
      </w:pPr>
      <w:r>
        <w:rPr>
          <w:rFonts w:ascii="Times New Roman" w:hAnsi="Times New Roman"/>
          <w:sz w:val="24"/>
          <w:szCs w:val="24"/>
        </w:rPr>
        <w:tab/>
      </w:r>
      <w:r w:rsidR="00922823" w:rsidRPr="00EC7846">
        <w:rPr>
          <w:rFonts w:ascii="Times New Roman" w:hAnsi="Times New Roman"/>
          <w:sz w:val="24"/>
          <w:szCs w:val="24"/>
        </w:rPr>
        <w:t xml:space="preserve">A grounded comparison also reveals features of the EU process that may provide greater participatory protections as compared </w:t>
      </w:r>
      <w:r w:rsidR="00350F76">
        <w:rPr>
          <w:rFonts w:ascii="Times New Roman" w:hAnsi="Times New Roman"/>
          <w:sz w:val="24"/>
          <w:szCs w:val="24"/>
        </w:rPr>
        <w:t>to</w:t>
      </w:r>
      <w:r w:rsidR="00350F76" w:rsidRPr="00EC7846">
        <w:rPr>
          <w:rFonts w:ascii="Times New Roman" w:hAnsi="Times New Roman"/>
          <w:sz w:val="24"/>
          <w:szCs w:val="24"/>
        </w:rPr>
        <w:t xml:space="preserve"> </w:t>
      </w:r>
      <w:r w:rsidR="00922823" w:rsidRPr="00EC7846">
        <w:rPr>
          <w:rFonts w:ascii="Times New Roman" w:hAnsi="Times New Roman"/>
          <w:sz w:val="24"/>
          <w:szCs w:val="24"/>
        </w:rPr>
        <w:t>the U</w:t>
      </w:r>
      <w:r w:rsidR="002B4E41">
        <w:rPr>
          <w:rFonts w:ascii="Times New Roman" w:hAnsi="Times New Roman"/>
          <w:sz w:val="24"/>
          <w:szCs w:val="24"/>
        </w:rPr>
        <w:t>.</w:t>
      </w:r>
      <w:r w:rsidR="00922823" w:rsidRPr="00EC7846">
        <w:rPr>
          <w:rFonts w:ascii="Times New Roman" w:hAnsi="Times New Roman"/>
          <w:sz w:val="24"/>
          <w:szCs w:val="24"/>
        </w:rPr>
        <w:t xml:space="preserve">S.  Indeed, some of the most immediate lessons that follow from this comparative effort </w:t>
      </w:r>
      <w:r w:rsidR="00350F76">
        <w:rPr>
          <w:rFonts w:ascii="Times New Roman" w:hAnsi="Times New Roman"/>
          <w:sz w:val="24"/>
          <w:szCs w:val="24"/>
        </w:rPr>
        <w:t>show</w:t>
      </w:r>
      <w:r w:rsidR="00922823" w:rsidRPr="00EC7846">
        <w:rPr>
          <w:rFonts w:ascii="Times New Roman" w:hAnsi="Times New Roman"/>
          <w:sz w:val="24"/>
          <w:szCs w:val="24"/>
        </w:rPr>
        <w:t xml:space="preserve"> several</w:t>
      </w:r>
      <w:r w:rsidR="00922823" w:rsidRPr="00EC7846">
        <w:rPr>
          <w:rFonts w:ascii="Times New Roman" w:hAnsi="Times New Roman"/>
          <w:i/>
          <w:sz w:val="24"/>
          <w:szCs w:val="24"/>
        </w:rPr>
        <w:t xml:space="preserve"> </w:t>
      </w:r>
      <w:r w:rsidR="00922823" w:rsidRPr="00EC7846">
        <w:rPr>
          <w:rFonts w:ascii="Times New Roman" w:hAnsi="Times New Roman"/>
          <w:sz w:val="24"/>
          <w:szCs w:val="24"/>
        </w:rPr>
        <w:t xml:space="preserve">ways </w:t>
      </w:r>
      <w:r w:rsidR="00020BF8">
        <w:rPr>
          <w:rFonts w:ascii="Times New Roman" w:hAnsi="Times New Roman"/>
          <w:sz w:val="24"/>
          <w:szCs w:val="24"/>
        </w:rPr>
        <w:t xml:space="preserve">in which </w:t>
      </w:r>
      <w:r w:rsidR="00922823" w:rsidRPr="00EC7846">
        <w:rPr>
          <w:rFonts w:ascii="Times New Roman" w:hAnsi="Times New Roman"/>
          <w:sz w:val="24"/>
          <w:szCs w:val="24"/>
        </w:rPr>
        <w:t>the</w:t>
      </w:r>
      <w:r w:rsidR="002B4E41">
        <w:rPr>
          <w:rFonts w:ascii="Times New Roman" w:hAnsi="Times New Roman"/>
          <w:sz w:val="24"/>
          <w:szCs w:val="24"/>
        </w:rPr>
        <w:t xml:space="preserve"> U.S.</w:t>
      </w:r>
      <w:r w:rsidR="00922823" w:rsidRPr="00EC7846">
        <w:rPr>
          <w:rFonts w:ascii="Times New Roman" w:hAnsi="Times New Roman"/>
          <w:sz w:val="24"/>
          <w:szCs w:val="24"/>
        </w:rPr>
        <w:t xml:space="preserve"> process might be improved by borrowing from the EU.  Regardless of the overall implications for administrative design, however, the comparative effort</w:t>
      </w:r>
      <w:r w:rsidR="00350F76">
        <w:rPr>
          <w:rFonts w:ascii="Times New Roman" w:hAnsi="Times New Roman"/>
          <w:sz w:val="24"/>
          <w:szCs w:val="24"/>
        </w:rPr>
        <w:t>, at the very least,</w:t>
      </w:r>
      <w:r w:rsidR="00922823" w:rsidRPr="00EC7846">
        <w:rPr>
          <w:rFonts w:ascii="Times New Roman" w:hAnsi="Times New Roman"/>
          <w:sz w:val="24"/>
          <w:szCs w:val="24"/>
        </w:rPr>
        <w:t xml:space="preserve"> suggest</w:t>
      </w:r>
      <w:r w:rsidR="00421A17">
        <w:rPr>
          <w:rFonts w:ascii="Times New Roman" w:hAnsi="Times New Roman"/>
          <w:sz w:val="24"/>
          <w:szCs w:val="24"/>
        </w:rPr>
        <w:t>s the importance of ensuring that</w:t>
      </w:r>
      <w:r w:rsidR="00922823" w:rsidRPr="00EC7846">
        <w:rPr>
          <w:rFonts w:ascii="Times New Roman" w:hAnsi="Times New Roman"/>
          <w:sz w:val="24"/>
          <w:szCs w:val="24"/>
        </w:rPr>
        <w:t xml:space="preserve"> comparisons between these systems</w:t>
      </w:r>
      <w:r w:rsidR="00020BF8">
        <w:rPr>
          <w:rFonts w:ascii="Times New Roman" w:hAnsi="Times New Roman"/>
          <w:sz w:val="24"/>
          <w:szCs w:val="24"/>
        </w:rPr>
        <w:t xml:space="preserve"> </w:t>
      </w:r>
      <w:r w:rsidR="00922823" w:rsidRPr="00EC7846">
        <w:rPr>
          <w:rFonts w:ascii="Times New Roman" w:hAnsi="Times New Roman"/>
          <w:sz w:val="24"/>
          <w:szCs w:val="24"/>
        </w:rPr>
        <w:t xml:space="preserve">are based </w:t>
      </w:r>
      <w:r w:rsidR="00020BF8">
        <w:rPr>
          <w:rFonts w:ascii="Times New Roman" w:hAnsi="Times New Roman"/>
          <w:sz w:val="24"/>
          <w:szCs w:val="24"/>
        </w:rPr>
        <w:t xml:space="preserve">not only on legal theory but </w:t>
      </w:r>
      <w:r w:rsidR="00922823" w:rsidRPr="00EC7846">
        <w:rPr>
          <w:rFonts w:ascii="Times New Roman" w:hAnsi="Times New Roman"/>
          <w:sz w:val="24"/>
          <w:szCs w:val="24"/>
        </w:rPr>
        <w:t xml:space="preserve">on </w:t>
      </w:r>
      <w:r w:rsidR="00020BF8">
        <w:rPr>
          <w:rFonts w:ascii="Times New Roman" w:hAnsi="Times New Roman"/>
          <w:sz w:val="24"/>
          <w:szCs w:val="24"/>
        </w:rPr>
        <w:t xml:space="preserve">empirical </w:t>
      </w:r>
      <w:r w:rsidR="00922823" w:rsidRPr="00EC7846">
        <w:rPr>
          <w:rFonts w:ascii="Times New Roman" w:hAnsi="Times New Roman"/>
          <w:sz w:val="24"/>
          <w:szCs w:val="24"/>
        </w:rPr>
        <w:t>realit</w:t>
      </w:r>
      <w:r w:rsidR="00020BF8">
        <w:rPr>
          <w:rFonts w:ascii="Times New Roman" w:hAnsi="Times New Roman"/>
          <w:sz w:val="24"/>
          <w:szCs w:val="24"/>
        </w:rPr>
        <w:t>y</w:t>
      </w:r>
      <w:r w:rsidR="00922823" w:rsidRPr="00EC7846">
        <w:rPr>
          <w:rFonts w:ascii="Times New Roman" w:hAnsi="Times New Roman"/>
          <w:sz w:val="24"/>
          <w:szCs w:val="24"/>
        </w:rPr>
        <w:t>.   Such a</w:t>
      </w:r>
      <w:r w:rsidR="00020BF8">
        <w:rPr>
          <w:rFonts w:ascii="Times New Roman" w:hAnsi="Times New Roman"/>
          <w:sz w:val="24"/>
          <w:szCs w:val="24"/>
        </w:rPr>
        <w:t>n empirically informed</w:t>
      </w:r>
      <w:r w:rsidR="00922823" w:rsidRPr="00EC7846">
        <w:rPr>
          <w:rFonts w:ascii="Times New Roman" w:hAnsi="Times New Roman"/>
          <w:sz w:val="24"/>
          <w:szCs w:val="24"/>
        </w:rPr>
        <w:t xml:space="preserve"> understanding</w:t>
      </w:r>
      <w:r w:rsidR="00020BF8">
        <w:rPr>
          <w:rFonts w:ascii="Times New Roman" w:hAnsi="Times New Roman"/>
          <w:sz w:val="24"/>
          <w:szCs w:val="24"/>
        </w:rPr>
        <w:t xml:space="preserve"> of the </w:t>
      </w:r>
      <w:r w:rsidR="00906E0A">
        <w:rPr>
          <w:rFonts w:ascii="Times New Roman" w:hAnsi="Times New Roman"/>
          <w:sz w:val="24"/>
          <w:szCs w:val="24"/>
        </w:rPr>
        <w:t xml:space="preserve">formal aspirations of the letter of the </w:t>
      </w:r>
      <w:r w:rsidR="00020BF8">
        <w:rPr>
          <w:rFonts w:ascii="Times New Roman" w:hAnsi="Times New Roman"/>
          <w:sz w:val="24"/>
          <w:szCs w:val="24"/>
        </w:rPr>
        <w:t>law</w:t>
      </w:r>
      <w:r w:rsidR="00922823" w:rsidRPr="00EC7846">
        <w:rPr>
          <w:rFonts w:ascii="Times New Roman" w:hAnsi="Times New Roman"/>
          <w:sz w:val="24"/>
          <w:szCs w:val="24"/>
        </w:rPr>
        <w:t xml:space="preserve"> paves the way to more accurate and productive transnational learning.</w:t>
      </w:r>
    </w:p>
    <w:sectPr w:rsidR="00A91F54" w:rsidRPr="00EC7846" w:rsidSect="00D23313">
      <w:footerReference w:type="default" r:id="rId1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BDE" w:rsidRDefault="00C75BDE" w:rsidP="009F737B">
      <w:pPr>
        <w:spacing w:after="0" w:line="240" w:lineRule="auto"/>
      </w:pPr>
      <w:r>
        <w:separator/>
      </w:r>
    </w:p>
  </w:endnote>
  <w:endnote w:type="continuationSeparator" w:id="0">
    <w:p w:rsidR="00C75BDE" w:rsidRDefault="00C75BDE" w:rsidP="009F737B">
      <w:pPr>
        <w:spacing w:after="0" w:line="240" w:lineRule="auto"/>
      </w:pPr>
      <w:r>
        <w:continuationSeparator/>
      </w:r>
    </w:p>
  </w:endnote>
  <w:endnote w:id="1">
    <w:p w:rsidR="00E350BB" w:rsidRPr="008B7CD3" w:rsidRDefault="00E350BB" w:rsidP="00D222FF">
      <w:pPr>
        <w:pStyle w:val="EndnoteText"/>
        <w:spacing w:line="480" w:lineRule="auto"/>
        <w:rPr>
          <w:rFonts w:ascii="Times New Roman" w:hAnsi="Times New Roman"/>
          <w:sz w:val="24"/>
          <w:szCs w:val="24"/>
          <w:u w:val="single"/>
        </w:rPr>
      </w:pPr>
      <w:r>
        <w:rPr>
          <w:rFonts w:ascii="Times New Roman" w:hAnsi="Times New Roman"/>
          <w:sz w:val="24"/>
          <w:szCs w:val="24"/>
          <w:u w:val="single"/>
        </w:rPr>
        <w:t>Endnotes</w:t>
      </w:r>
    </w:p>
    <w:p w:rsidR="00E350BB" w:rsidRDefault="00E350BB" w:rsidP="00D222FF">
      <w:pPr>
        <w:pStyle w:val="EndnoteText"/>
        <w:spacing w:line="480" w:lineRule="auto"/>
        <w:rPr>
          <w:rFonts w:ascii="Times New Roman" w:hAnsi="Times New Roman"/>
          <w:sz w:val="24"/>
          <w:szCs w:val="24"/>
        </w:rPr>
      </w:pPr>
    </w:p>
    <w:p w:rsidR="00E350BB" w:rsidRPr="00E4589D" w:rsidRDefault="00E350BB" w:rsidP="00D222FF">
      <w:pPr>
        <w:pStyle w:val="EndnoteText"/>
        <w:spacing w:line="480" w:lineRule="auto"/>
        <w:rPr>
          <w:rFonts w:ascii="Times New Roman" w:hAnsi="Times New Roman"/>
          <w:sz w:val="24"/>
          <w:szCs w:val="24"/>
        </w:rPr>
      </w:pPr>
      <w:r w:rsidRPr="00E4589D">
        <w:rPr>
          <w:rStyle w:val="EndnoteReference"/>
          <w:rFonts w:ascii="Times New Roman" w:hAnsi="Times New Roman"/>
          <w:sz w:val="24"/>
          <w:szCs w:val="24"/>
        </w:rPr>
        <w:endnoteRef/>
      </w:r>
      <w:r w:rsidRPr="00E4589D">
        <w:rPr>
          <w:rFonts w:ascii="Times New Roman" w:hAnsi="Times New Roman"/>
          <w:sz w:val="24"/>
          <w:szCs w:val="24"/>
        </w:rPr>
        <w:t xml:space="preserve"> Congress </w:t>
      </w:r>
      <w:r>
        <w:rPr>
          <w:rFonts w:ascii="Times New Roman" w:hAnsi="Times New Roman"/>
          <w:sz w:val="24"/>
          <w:szCs w:val="24"/>
        </w:rPr>
        <w:t>did create an office to advocate</w:t>
      </w:r>
      <w:r w:rsidRPr="00E4589D">
        <w:rPr>
          <w:rFonts w:ascii="Times New Roman" w:hAnsi="Times New Roman"/>
          <w:sz w:val="24"/>
          <w:szCs w:val="24"/>
        </w:rPr>
        <w:t xml:space="preserve"> on behalf of small businesses</w:t>
      </w:r>
      <w:r>
        <w:rPr>
          <w:rFonts w:ascii="Times New Roman" w:hAnsi="Times New Roman"/>
          <w:sz w:val="24"/>
          <w:szCs w:val="24"/>
        </w:rPr>
        <w:t>, however</w:t>
      </w:r>
      <w:r w:rsidRPr="00E4589D">
        <w:rPr>
          <w:rFonts w:ascii="Times New Roman" w:hAnsi="Times New Roman"/>
          <w:sz w:val="24"/>
          <w:szCs w:val="24"/>
        </w:rPr>
        <w:t>.  See The Small Business Regulatory Enforcement Fairness Act (5 U.S.C. § 6</w:t>
      </w:r>
      <w:r>
        <w:rPr>
          <w:rFonts w:ascii="Times New Roman" w:hAnsi="Times New Roman"/>
          <w:sz w:val="24"/>
          <w:szCs w:val="24"/>
        </w:rPr>
        <w:t>1</w:t>
      </w:r>
      <w:r w:rsidRPr="00E4589D">
        <w:rPr>
          <w:rFonts w:ascii="Times New Roman" w:hAnsi="Times New Roman"/>
          <w:sz w:val="24"/>
          <w:szCs w:val="24"/>
        </w:rPr>
        <w:t>1</w:t>
      </w:r>
      <w:r>
        <w:rPr>
          <w:rFonts w:ascii="Times New Roman" w:hAnsi="Times New Roman"/>
          <w:sz w:val="24"/>
          <w:szCs w:val="24"/>
        </w:rPr>
        <w:t>(a)(3)</w:t>
      </w:r>
      <w:r w:rsidRPr="00E4589D">
        <w:rPr>
          <w:rFonts w:ascii="Times New Roman" w:hAnsi="Times New Roman"/>
          <w:sz w:val="24"/>
          <w:szCs w:val="24"/>
        </w:rPr>
        <w:t>).</w:t>
      </w:r>
    </w:p>
  </w:endnote>
  <w:endnote w:id="2">
    <w:p w:rsidR="00E350BB" w:rsidRPr="00E4589D" w:rsidRDefault="00E350BB" w:rsidP="00726BA5">
      <w:pPr>
        <w:pStyle w:val="EndnoteText"/>
        <w:spacing w:line="480" w:lineRule="auto"/>
        <w:contextualSpacing/>
        <w:rPr>
          <w:rFonts w:ascii="Times New Roman" w:hAnsi="Times New Roman"/>
          <w:sz w:val="24"/>
          <w:szCs w:val="24"/>
        </w:rPr>
      </w:pPr>
      <w:r w:rsidRPr="00E4589D">
        <w:rPr>
          <w:rStyle w:val="EndnoteReference"/>
          <w:rFonts w:ascii="Times New Roman" w:hAnsi="Times New Roman"/>
          <w:sz w:val="24"/>
          <w:szCs w:val="24"/>
        </w:rPr>
        <w:endnoteRef/>
      </w:r>
      <w:r w:rsidRPr="00E4589D">
        <w:rPr>
          <w:rFonts w:ascii="Times New Roman" w:hAnsi="Times New Roman"/>
          <w:sz w:val="24"/>
          <w:szCs w:val="24"/>
        </w:rPr>
        <w:t xml:space="preserve"> Hybrid rules, for which Congress may impose additional participatory requirements on the agency by statute, such as requiring formal hearings in addition to notice and comment, are treated as informal rules for </w:t>
      </w:r>
      <w:r w:rsidR="00C26B00">
        <w:rPr>
          <w:rFonts w:ascii="Times New Roman" w:hAnsi="Times New Roman"/>
          <w:sz w:val="24"/>
          <w:szCs w:val="24"/>
        </w:rPr>
        <w:t xml:space="preserve">present purposes since they still </w:t>
      </w:r>
      <w:r w:rsidRPr="00E4589D">
        <w:rPr>
          <w:rFonts w:ascii="Times New Roman" w:hAnsi="Times New Roman"/>
          <w:sz w:val="24"/>
          <w:szCs w:val="24"/>
        </w:rPr>
        <w:t xml:space="preserve">do not follow the APA adjudicatory rulemaking requirements described above (Lubbers, 2006).  </w:t>
      </w:r>
    </w:p>
  </w:endnote>
  <w:endnote w:id="3">
    <w:p w:rsidR="00E350BB" w:rsidRPr="00E4589D" w:rsidRDefault="00E350BB" w:rsidP="008928EA">
      <w:pPr>
        <w:pStyle w:val="EndnoteText"/>
        <w:spacing w:line="480" w:lineRule="auto"/>
        <w:contextualSpacing/>
        <w:rPr>
          <w:rFonts w:ascii="Times New Roman" w:hAnsi="Times New Roman"/>
          <w:sz w:val="24"/>
          <w:szCs w:val="24"/>
        </w:rPr>
      </w:pPr>
      <w:r w:rsidRPr="00E4589D">
        <w:rPr>
          <w:rStyle w:val="EndnoteReference"/>
          <w:rFonts w:ascii="Times New Roman" w:hAnsi="Times New Roman"/>
          <w:sz w:val="24"/>
          <w:szCs w:val="24"/>
        </w:rPr>
        <w:endnoteRef/>
      </w:r>
      <w:r w:rsidRPr="00E4589D">
        <w:rPr>
          <w:rFonts w:ascii="Times New Roman" w:hAnsi="Times New Roman"/>
          <w:sz w:val="24"/>
          <w:szCs w:val="24"/>
        </w:rPr>
        <w:t xml:space="preserve"> For select facts and figures on OIRA review, go to OMB’s Regulatory Dashboard at </w:t>
      </w:r>
      <w:hyperlink r:id="rId1" w:history="1">
        <w:r w:rsidRPr="00E4589D">
          <w:rPr>
            <w:rStyle w:val="Hyperlink"/>
            <w:rFonts w:ascii="Times New Roman" w:hAnsi="Times New Roman"/>
            <w:color w:val="auto"/>
            <w:sz w:val="24"/>
            <w:szCs w:val="24"/>
          </w:rPr>
          <w:t>http://www.reginfo.gov/public/jsp/EO/eoDashboard.jsp</w:t>
        </w:r>
      </w:hyperlink>
      <w:r w:rsidRPr="00E4589D">
        <w:rPr>
          <w:rFonts w:ascii="Times New Roman" w:hAnsi="Times New Roman"/>
          <w:sz w:val="24"/>
          <w:szCs w:val="24"/>
        </w:rPr>
        <w:t xml:space="preserve">.  </w:t>
      </w:r>
    </w:p>
  </w:endnote>
  <w:endnote w:id="4">
    <w:p w:rsidR="00E350BB" w:rsidRPr="00C0270A" w:rsidRDefault="00E350BB" w:rsidP="00C0270A">
      <w:pPr>
        <w:pStyle w:val="EndnoteText"/>
        <w:spacing w:line="480" w:lineRule="auto"/>
        <w:contextualSpacing/>
        <w:rPr>
          <w:rFonts w:ascii="Times New Roman" w:hAnsi="Times New Roman" w:cs="Times New Roman"/>
          <w:sz w:val="24"/>
          <w:szCs w:val="24"/>
        </w:rPr>
      </w:pPr>
      <w:r w:rsidRPr="00E4589D">
        <w:rPr>
          <w:rStyle w:val="EndnoteReference"/>
          <w:rFonts w:ascii="Times New Roman" w:hAnsi="Times New Roman"/>
          <w:sz w:val="24"/>
          <w:szCs w:val="24"/>
        </w:rPr>
        <w:endnoteRef/>
      </w:r>
      <w:r w:rsidRPr="00E4589D">
        <w:rPr>
          <w:rFonts w:ascii="Times New Roman" w:hAnsi="Times New Roman"/>
          <w:sz w:val="24"/>
          <w:szCs w:val="24"/>
        </w:rPr>
        <w:t xml:space="preserve"> As just one example, the EU Commission is comprised of appointed officials from member countries who are then ratified by the Parliament.  For a wonderful birds’ eye treatment of these </w:t>
      </w:r>
      <w:r w:rsidRPr="00C0270A">
        <w:rPr>
          <w:rFonts w:ascii="Times New Roman" w:hAnsi="Times New Roman" w:cs="Times New Roman"/>
          <w:sz w:val="24"/>
          <w:szCs w:val="24"/>
        </w:rPr>
        <w:t>institutional differences, see, e.g., Strauss, et al (2008) and Bignami (2012).</w:t>
      </w:r>
    </w:p>
  </w:endnote>
  <w:endnote w:id="5">
    <w:p w:rsidR="00E350BB" w:rsidRPr="00FB22B6" w:rsidRDefault="00E350BB" w:rsidP="00FB22B6">
      <w:pPr>
        <w:pStyle w:val="EndnoteText"/>
        <w:spacing w:line="480" w:lineRule="auto"/>
        <w:rPr>
          <w:rFonts w:ascii="Times New Roman" w:hAnsi="Times New Roman" w:cs="Times New Roman"/>
          <w:sz w:val="24"/>
          <w:szCs w:val="24"/>
        </w:rPr>
      </w:pPr>
      <w:r w:rsidRPr="00FB22B6">
        <w:rPr>
          <w:rStyle w:val="EndnoteReference"/>
          <w:rFonts w:ascii="Times New Roman" w:hAnsi="Times New Roman" w:cs="Times New Roman"/>
          <w:sz w:val="24"/>
          <w:szCs w:val="24"/>
        </w:rPr>
        <w:endnoteRef/>
      </w:r>
      <w:r w:rsidRPr="00FB22B6">
        <w:rPr>
          <w:rFonts w:ascii="Times New Roman" w:hAnsi="Times New Roman" w:cs="Times New Roman"/>
          <w:sz w:val="24"/>
          <w:szCs w:val="24"/>
        </w:rPr>
        <w:t xml:space="preserve"> </w:t>
      </w:r>
      <w:r w:rsidRPr="00C0270A">
        <w:rPr>
          <w:rFonts w:ascii="Times New Roman" w:hAnsi="Times New Roman" w:cs="Times New Roman"/>
          <w:sz w:val="24"/>
          <w:szCs w:val="24"/>
        </w:rPr>
        <w:t>It should be noted that the institutionalization of advisory committees in developing binding rules is not a feature that is unique to the EU.  The legislature</w:t>
      </w:r>
      <w:r w:rsidRPr="004A4725">
        <w:rPr>
          <w:rFonts w:ascii="Times New Roman" w:hAnsi="Times New Roman" w:cs="Times New Roman"/>
          <w:sz w:val="24"/>
          <w:szCs w:val="24"/>
        </w:rPr>
        <w:t xml:space="preserve"> in India, for example, requires the formation of </w:t>
      </w:r>
      <w:r w:rsidRPr="007B5DDC">
        <w:rPr>
          <w:rFonts w:ascii="Times New Roman" w:hAnsi="Times New Roman" w:cs="Times New Roman"/>
          <w:sz w:val="24"/>
          <w:szCs w:val="24"/>
        </w:rPr>
        <w:t>committees comprised of a m</w:t>
      </w:r>
      <w:r w:rsidRPr="00485DA9">
        <w:rPr>
          <w:rFonts w:ascii="Times New Roman" w:hAnsi="Times New Roman" w:cs="Times New Roman"/>
          <w:sz w:val="24"/>
          <w:szCs w:val="24"/>
        </w:rPr>
        <w:t xml:space="preserve">ix of government and affected parties, </w:t>
      </w:r>
      <w:r w:rsidRPr="00C0270A">
        <w:rPr>
          <w:rFonts w:ascii="Times New Roman" w:hAnsi="Times New Roman" w:cs="Times New Roman"/>
          <w:sz w:val="24"/>
          <w:szCs w:val="24"/>
        </w:rPr>
        <w:t>called “pollution control boards,” to implement significant environmental programs (Divan and Rosencranz, 2001).</w:t>
      </w:r>
    </w:p>
  </w:endnote>
  <w:endnote w:id="6">
    <w:p w:rsidR="00E350BB" w:rsidRPr="00E4589D" w:rsidRDefault="00E350BB" w:rsidP="00C0270A">
      <w:pPr>
        <w:pStyle w:val="EndnoteText"/>
        <w:spacing w:line="480" w:lineRule="auto"/>
        <w:contextualSpacing/>
        <w:rPr>
          <w:rFonts w:ascii="Times New Roman" w:hAnsi="Times New Roman"/>
          <w:sz w:val="24"/>
          <w:szCs w:val="24"/>
        </w:rPr>
      </w:pPr>
      <w:r w:rsidRPr="00C0270A">
        <w:rPr>
          <w:rStyle w:val="EndnoteReference"/>
          <w:rFonts w:ascii="Times New Roman" w:hAnsi="Times New Roman" w:cs="Times New Roman"/>
          <w:sz w:val="24"/>
          <w:szCs w:val="24"/>
        </w:rPr>
        <w:endnoteRef/>
      </w:r>
      <w:r w:rsidRPr="00C0270A">
        <w:rPr>
          <w:rFonts w:ascii="Times New Roman" w:hAnsi="Times New Roman" w:cs="Times New Roman"/>
          <w:sz w:val="24"/>
          <w:szCs w:val="24"/>
        </w:rPr>
        <w:t xml:space="preserve"> </w:t>
      </w:r>
      <w:r w:rsidR="00C26B00">
        <w:rPr>
          <w:rFonts w:ascii="Times New Roman" w:hAnsi="Times New Roman" w:cs="Times New Roman"/>
          <w:sz w:val="24"/>
          <w:szCs w:val="24"/>
        </w:rPr>
        <w:t>To</w:t>
      </w:r>
      <w:r w:rsidRPr="00C0270A">
        <w:rPr>
          <w:rFonts w:ascii="Times New Roman" w:hAnsi="Times New Roman" w:cs="Times New Roman"/>
          <w:sz w:val="24"/>
          <w:szCs w:val="24"/>
        </w:rPr>
        <w:t xml:space="preserve"> </w:t>
      </w:r>
      <w:r w:rsidR="001C43D6">
        <w:rPr>
          <w:rFonts w:ascii="Times New Roman" w:hAnsi="Times New Roman" w:cs="Times New Roman"/>
          <w:sz w:val="24"/>
          <w:szCs w:val="24"/>
        </w:rPr>
        <w:t xml:space="preserve">engage in </w:t>
      </w:r>
      <w:r w:rsidRPr="00C0270A">
        <w:rPr>
          <w:rFonts w:ascii="Times New Roman" w:hAnsi="Times New Roman" w:cs="Times New Roman"/>
          <w:sz w:val="24"/>
          <w:szCs w:val="24"/>
        </w:rPr>
        <w:t>early consultation, the EU Commission may also solicit</w:t>
      </w:r>
      <w:r w:rsidRPr="00E4589D">
        <w:rPr>
          <w:rFonts w:ascii="Times New Roman" w:hAnsi="Times New Roman"/>
          <w:sz w:val="24"/>
          <w:szCs w:val="24"/>
        </w:rPr>
        <w:t xml:space="preserve"> input from all affected stakeholders through structured questionnaires that inquire about particular issues in some specificity at a very early stage of the process</w:t>
      </w:r>
      <w:r w:rsidR="00C26B00">
        <w:rPr>
          <w:rFonts w:ascii="Times New Roman" w:hAnsi="Times New Roman"/>
          <w:sz w:val="24"/>
          <w:szCs w:val="24"/>
        </w:rPr>
        <w:t xml:space="preserve">  (</w:t>
      </w:r>
      <w:r w:rsidRPr="00E4589D">
        <w:rPr>
          <w:rFonts w:ascii="Times New Roman" w:hAnsi="Times New Roman"/>
          <w:sz w:val="24"/>
          <w:szCs w:val="24"/>
        </w:rPr>
        <w:t>Strauss</w:t>
      </w:r>
      <w:r w:rsidR="00C26B00">
        <w:rPr>
          <w:rFonts w:ascii="Times New Roman" w:hAnsi="Times New Roman"/>
          <w:sz w:val="24"/>
          <w:szCs w:val="24"/>
        </w:rPr>
        <w:t xml:space="preserve">, </w:t>
      </w:r>
      <w:r w:rsidRPr="00E4589D">
        <w:rPr>
          <w:rFonts w:ascii="Times New Roman" w:hAnsi="Times New Roman"/>
          <w:sz w:val="24"/>
          <w:szCs w:val="24"/>
        </w:rPr>
        <w:t>2008).  For an example, see Article 29 Working Group on Data Protection, November 20, 2002, 12251/02/FR.</w:t>
      </w:r>
    </w:p>
  </w:endnote>
  <w:endnote w:id="7">
    <w:p w:rsidR="00E350BB" w:rsidRDefault="00E350BB" w:rsidP="008928EA">
      <w:pPr>
        <w:pStyle w:val="EndnoteText"/>
        <w:spacing w:line="480" w:lineRule="auto"/>
        <w:contextualSpacing/>
        <w:rPr>
          <w:rFonts w:ascii="Times New Roman" w:hAnsi="Times New Roman"/>
          <w:sz w:val="24"/>
          <w:szCs w:val="24"/>
        </w:rPr>
      </w:pPr>
      <w:r w:rsidRPr="00E4589D">
        <w:rPr>
          <w:rStyle w:val="EndnoteReference"/>
          <w:rFonts w:ascii="Times New Roman" w:hAnsi="Times New Roman"/>
          <w:sz w:val="24"/>
          <w:szCs w:val="24"/>
        </w:rPr>
        <w:endnoteRef/>
      </w:r>
      <w:r w:rsidRPr="00E4589D">
        <w:rPr>
          <w:rFonts w:ascii="Times New Roman" w:hAnsi="Times New Roman"/>
          <w:sz w:val="24"/>
          <w:szCs w:val="24"/>
        </w:rPr>
        <w:t xml:space="preserve"> As a first step, the EU Commission publicizes that it is initiating a policymaking </w:t>
      </w:r>
      <w:r w:rsidR="001C43D6">
        <w:rPr>
          <w:rFonts w:ascii="Times New Roman" w:hAnsi="Times New Roman"/>
          <w:sz w:val="24"/>
          <w:szCs w:val="24"/>
        </w:rPr>
        <w:t xml:space="preserve">proposal </w:t>
      </w:r>
      <w:r w:rsidRPr="00E4589D">
        <w:rPr>
          <w:rFonts w:ascii="Times New Roman" w:hAnsi="Times New Roman"/>
          <w:sz w:val="24"/>
          <w:szCs w:val="24"/>
        </w:rPr>
        <w:t>and then dedicates considerable effort to assessing policy alternatives in a transparent way, including soliciting broad input on</w:t>
      </w:r>
      <w:r w:rsidR="00A868A0">
        <w:rPr>
          <w:rFonts w:ascii="Times New Roman" w:hAnsi="Times New Roman"/>
          <w:sz w:val="24"/>
          <w:szCs w:val="24"/>
        </w:rPr>
        <w:t xml:space="preserve"> how to </w:t>
      </w:r>
      <w:r w:rsidRPr="00E4589D">
        <w:rPr>
          <w:rFonts w:ascii="Times New Roman" w:hAnsi="Times New Roman"/>
          <w:sz w:val="24"/>
          <w:szCs w:val="24"/>
        </w:rPr>
        <w:t>fram</w:t>
      </w:r>
      <w:r w:rsidR="00A868A0">
        <w:rPr>
          <w:rFonts w:ascii="Times New Roman" w:hAnsi="Times New Roman"/>
          <w:sz w:val="24"/>
          <w:szCs w:val="24"/>
        </w:rPr>
        <w:t xml:space="preserve">e </w:t>
      </w:r>
      <w:r w:rsidRPr="00E4589D">
        <w:rPr>
          <w:rFonts w:ascii="Times New Roman" w:hAnsi="Times New Roman"/>
          <w:sz w:val="24"/>
          <w:szCs w:val="24"/>
        </w:rPr>
        <w:t xml:space="preserve">the policy options. A “Roadmap” is then published that scopes out the policy project, again in a way that is intended to solicit broader engagement.  </w:t>
      </w:r>
      <w:r w:rsidR="00A868A0">
        <w:rPr>
          <w:rFonts w:ascii="Times New Roman" w:hAnsi="Times New Roman"/>
          <w:sz w:val="24"/>
          <w:szCs w:val="24"/>
        </w:rPr>
        <w:t>T</w:t>
      </w:r>
      <w:r w:rsidRPr="00E4589D">
        <w:rPr>
          <w:rFonts w:ascii="Times New Roman" w:hAnsi="Times New Roman"/>
          <w:sz w:val="24"/>
          <w:szCs w:val="24"/>
        </w:rPr>
        <w:t xml:space="preserve">his Roadmap provides a much more complete summary of the project, including the “main problems” being addressed, the “main policy objectives” of </w:t>
      </w:r>
      <w:r w:rsidR="00A868A0">
        <w:rPr>
          <w:rFonts w:ascii="Times New Roman" w:hAnsi="Times New Roman"/>
          <w:sz w:val="24"/>
          <w:szCs w:val="24"/>
        </w:rPr>
        <w:t xml:space="preserve">the </w:t>
      </w:r>
      <w:r w:rsidRPr="00E4589D">
        <w:rPr>
          <w:rFonts w:ascii="Times New Roman" w:hAnsi="Times New Roman"/>
          <w:sz w:val="24"/>
          <w:szCs w:val="24"/>
        </w:rPr>
        <w:t xml:space="preserve">EU </w:t>
      </w:r>
      <w:r w:rsidR="00A868A0">
        <w:rPr>
          <w:rFonts w:ascii="Times New Roman" w:hAnsi="Times New Roman"/>
          <w:sz w:val="24"/>
          <w:szCs w:val="24"/>
        </w:rPr>
        <w:t>initiative</w:t>
      </w:r>
      <w:r w:rsidRPr="00E4589D">
        <w:rPr>
          <w:rFonts w:ascii="Times New Roman" w:hAnsi="Times New Roman"/>
          <w:sz w:val="24"/>
          <w:szCs w:val="24"/>
        </w:rPr>
        <w:t>, and “the policy options” available</w:t>
      </w:r>
      <w:r w:rsidR="00A868A0" w:rsidRPr="00E4589D">
        <w:rPr>
          <w:rFonts w:ascii="Times New Roman" w:hAnsi="Times New Roman"/>
          <w:sz w:val="24"/>
          <w:szCs w:val="24"/>
        </w:rPr>
        <w:t xml:space="preserve">. </w:t>
      </w:r>
      <w:r w:rsidR="00A868A0">
        <w:rPr>
          <w:rFonts w:ascii="Times New Roman" w:hAnsi="Times New Roman"/>
          <w:sz w:val="24"/>
          <w:szCs w:val="24"/>
        </w:rPr>
        <w:t xml:space="preserve">  (This comprehensive, early analysis of regulatory initiatives stands </w:t>
      </w:r>
      <w:r w:rsidR="00A868A0" w:rsidRPr="00E4589D">
        <w:rPr>
          <w:rFonts w:ascii="Times New Roman" w:hAnsi="Times New Roman"/>
          <w:sz w:val="24"/>
          <w:szCs w:val="24"/>
        </w:rPr>
        <w:t xml:space="preserve">in contrast </w:t>
      </w:r>
      <w:r w:rsidR="00A868A0">
        <w:rPr>
          <w:rFonts w:ascii="Times New Roman" w:hAnsi="Times New Roman"/>
          <w:sz w:val="24"/>
          <w:szCs w:val="24"/>
        </w:rPr>
        <w:t xml:space="preserve">with </w:t>
      </w:r>
      <w:r w:rsidR="00A868A0" w:rsidRPr="00E4589D">
        <w:rPr>
          <w:rFonts w:ascii="Times New Roman" w:hAnsi="Times New Roman"/>
          <w:sz w:val="24"/>
          <w:szCs w:val="24"/>
        </w:rPr>
        <w:t>the</w:t>
      </w:r>
      <w:r w:rsidR="00A868A0">
        <w:rPr>
          <w:rFonts w:ascii="Times New Roman" w:hAnsi="Times New Roman"/>
          <w:sz w:val="24"/>
          <w:szCs w:val="24"/>
        </w:rPr>
        <w:t xml:space="preserve"> approach taken in the U.S. Unified Agenda, the Executive Branch’s overview of regulatory activities under development.)</w:t>
      </w:r>
      <w:r w:rsidR="00A868A0" w:rsidRPr="00E4589D">
        <w:rPr>
          <w:rFonts w:ascii="Times New Roman" w:hAnsi="Times New Roman"/>
          <w:sz w:val="24"/>
          <w:szCs w:val="24"/>
        </w:rPr>
        <w:t xml:space="preserve"> </w:t>
      </w:r>
      <w:r w:rsidRPr="00E4589D">
        <w:rPr>
          <w:rFonts w:ascii="Times New Roman" w:hAnsi="Times New Roman"/>
          <w:sz w:val="24"/>
          <w:szCs w:val="24"/>
        </w:rPr>
        <w:t xml:space="preserve">After developing a credible range of policy alternatives, the EU Commission is then required to </w:t>
      </w:r>
      <w:r w:rsidR="00A12DFA">
        <w:rPr>
          <w:rFonts w:ascii="Times New Roman" w:hAnsi="Times New Roman"/>
          <w:sz w:val="24"/>
          <w:szCs w:val="24"/>
        </w:rPr>
        <w:t xml:space="preserve">perform </w:t>
      </w:r>
      <w:r w:rsidRPr="00E4589D">
        <w:rPr>
          <w:rFonts w:ascii="Times New Roman" w:hAnsi="Times New Roman"/>
          <w:sz w:val="24"/>
          <w:szCs w:val="24"/>
        </w:rPr>
        <w:t>an impact assessment that provides an even more elaborate conceptual statement of the problem and the policy options.  This requirement is often enforceable as a matter of law, and the EU Commission can be sued for its failure to conduct an impact analysis. (Strauss et al, 2008)</w:t>
      </w:r>
    </w:p>
    <w:p w:rsidR="00E350BB" w:rsidRDefault="00E350BB" w:rsidP="008928EA">
      <w:pPr>
        <w:pStyle w:val="EndnoteText"/>
        <w:spacing w:line="480" w:lineRule="auto"/>
        <w:contextualSpacing/>
        <w:rPr>
          <w:rFonts w:ascii="Times New Roman" w:hAnsi="Times New Roman"/>
          <w:sz w:val="24"/>
          <w:szCs w:val="24"/>
        </w:rPr>
      </w:pPr>
    </w:p>
    <w:p w:rsidR="00E350BB" w:rsidRDefault="00E350BB" w:rsidP="008928EA">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References</w:t>
      </w:r>
    </w:p>
    <w:p w:rsidR="00E350BB" w:rsidRPr="005457BD" w:rsidRDefault="00E350BB" w:rsidP="008928EA">
      <w:pPr>
        <w:spacing w:line="480" w:lineRule="auto"/>
        <w:rPr>
          <w:rFonts w:ascii="Times New Roman" w:hAnsi="Times New Roman" w:cs="Times New Roman"/>
          <w:sz w:val="24"/>
          <w:szCs w:val="24"/>
          <w:u w:val="single"/>
        </w:rPr>
      </w:pPr>
      <w:r w:rsidRPr="005457BD">
        <w:rPr>
          <w:rFonts w:ascii="Times New Roman" w:hAnsi="Times New Roman" w:cs="Times New Roman"/>
          <w:sz w:val="24"/>
          <w:szCs w:val="24"/>
          <w:u w:val="single"/>
        </w:rPr>
        <w:t>Cases Cited</w:t>
      </w:r>
    </w:p>
    <w:p w:rsidR="00E350BB" w:rsidRPr="005457BD" w:rsidRDefault="00E350BB" w:rsidP="000F0B57">
      <w:pPr>
        <w:spacing w:line="480" w:lineRule="auto"/>
        <w:ind w:left="1440" w:hanging="720"/>
        <w:rPr>
          <w:rStyle w:val="plainlinks"/>
        </w:rPr>
      </w:pPr>
      <w:r w:rsidRPr="005457BD">
        <w:rPr>
          <w:rFonts w:ascii="Times New Roman" w:hAnsi="Times New Roman" w:cs="Times New Roman"/>
          <w:sz w:val="24"/>
          <w:szCs w:val="24"/>
        </w:rPr>
        <w:t>American Textile Mfrs. Institute, Inc. v. Donovan, 452 U.S. 490 (1981).</w:t>
      </w:r>
    </w:p>
    <w:p w:rsidR="00E350BB" w:rsidRPr="005457BD" w:rsidRDefault="00E350BB" w:rsidP="000F0B57">
      <w:pPr>
        <w:spacing w:line="480" w:lineRule="auto"/>
        <w:ind w:left="1440" w:hanging="720"/>
        <w:rPr>
          <w:rStyle w:val="plainlinks"/>
        </w:rPr>
      </w:pPr>
      <w:r w:rsidRPr="005457BD">
        <w:rPr>
          <w:rFonts w:ascii="Times New Roman" w:hAnsi="Times New Roman" w:cs="Times New Roman"/>
          <w:sz w:val="24"/>
          <w:szCs w:val="24"/>
        </w:rPr>
        <w:t xml:space="preserve">American Trucking v. EPA, 175 F.3d 1027 (D.C. Cir. 1999), </w:t>
      </w:r>
      <w:r w:rsidRPr="005457BD">
        <w:rPr>
          <w:rFonts w:ascii="Times New Roman" w:hAnsi="Times New Roman" w:cs="Times New Roman"/>
          <w:i/>
          <w:sz w:val="24"/>
          <w:szCs w:val="24"/>
        </w:rPr>
        <w:t>reversed</w:t>
      </w:r>
      <w:r w:rsidRPr="005457BD">
        <w:rPr>
          <w:rFonts w:ascii="Times New Roman" w:hAnsi="Times New Roman" w:cs="Times New Roman"/>
          <w:sz w:val="24"/>
          <w:szCs w:val="24"/>
        </w:rPr>
        <w:t xml:space="preserve"> </w:t>
      </w:r>
      <w:r w:rsidRPr="005457BD">
        <w:rPr>
          <w:rFonts w:ascii="Times New Roman" w:hAnsi="Times New Roman" w:cs="Times New Roman"/>
          <w:bCs/>
          <w:iCs/>
          <w:sz w:val="24"/>
          <w:szCs w:val="24"/>
        </w:rPr>
        <w:t>Whitman v. American Trucking Associations, Inc.</w:t>
      </w:r>
      <w:r w:rsidRPr="005457BD">
        <w:rPr>
          <w:rFonts w:ascii="Times New Roman" w:hAnsi="Times New Roman" w:cs="Times New Roman"/>
          <w:sz w:val="24"/>
          <w:szCs w:val="24"/>
        </w:rPr>
        <w:t xml:space="preserve">, </w:t>
      </w:r>
      <w:r w:rsidRPr="005457BD">
        <w:rPr>
          <w:rStyle w:val="plainlinks"/>
          <w:rFonts w:ascii="Times New Roman" w:hAnsi="Times New Roman" w:cs="Times New Roman"/>
          <w:sz w:val="24"/>
          <w:szCs w:val="24"/>
        </w:rPr>
        <w:t xml:space="preserve">531 </w:t>
      </w:r>
      <w:hyperlink r:id="rId2" w:tooltip="United States Reports" w:history="1">
        <w:r w:rsidRPr="005457BD">
          <w:rPr>
            <w:rStyle w:val="Hyperlink"/>
            <w:rFonts w:ascii="Times New Roman" w:hAnsi="Times New Roman" w:cs="Times New Roman"/>
            <w:sz w:val="24"/>
            <w:szCs w:val="24"/>
          </w:rPr>
          <w:t>U.S.</w:t>
        </w:r>
      </w:hyperlink>
      <w:r w:rsidRPr="005457BD">
        <w:rPr>
          <w:rStyle w:val="plainlinks"/>
          <w:rFonts w:ascii="Times New Roman" w:hAnsi="Times New Roman" w:cs="Times New Roman"/>
          <w:sz w:val="24"/>
          <w:szCs w:val="24"/>
        </w:rPr>
        <w:t xml:space="preserve"> </w:t>
      </w:r>
      <w:hyperlink r:id="rId3" w:history="1">
        <w:r w:rsidRPr="005457BD">
          <w:rPr>
            <w:rStyle w:val="Hyperlink"/>
            <w:rFonts w:ascii="Times New Roman" w:hAnsi="Times New Roman" w:cs="Times New Roman"/>
            <w:sz w:val="24"/>
            <w:szCs w:val="24"/>
          </w:rPr>
          <w:t>457</w:t>
        </w:r>
      </w:hyperlink>
      <w:r w:rsidRPr="005457BD">
        <w:rPr>
          <w:rStyle w:val="plainlinks"/>
          <w:rFonts w:ascii="Times New Roman" w:hAnsi="Times New Roman" w:cs="Times New Roman"/>
          <w:sz w:val="24"/>
          <w:szCs w:val="24"/>
        </w:rPr>
        <w:t xml:space="preserve"> (2001).</w:t>
      </w:r>
    </w:p>
    <w:p w:rsidR="00E350BB" w:rsidRPr="005457BD" w:rsidRDefault="00E350BB" w:rsidP="000F0B57">
      <w:pPr>
        <w:spacing w:line="480" w:lineRule="auto"/>
        <w:ind w:left="1440" w:hanging="720"/>
        <w:rPr>
          <w:rStyle w:val="plainlinks"/>
        </w:rPr>
      </w:pPr>
      <w:r w:rsidRPr="005457BD">
        <w:rPr>
          <w:rFonts w:ascii="Times New Roman" w:hAnsi="Times New Roman" w:cs="Times New Roman"/>
          <w:sz w:val="24"/>
          <w:szCs w:val="24"/>
        </w:rPr>
        <w:t>Beazer East, Inc. v. EPA, Region III, 963 F.2d 603 (3d Cir. 1991)</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Chemical Manufacturers Assn. v.  EPA, 28 F.3d 1259 (D.C. Cir. 1994).</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Chevron U.S.A., Inc. v. Natural Res. Def. Council, Inc., 467 U.S. 837 (1984)</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 xml:space="preserve">Corrosion Proof Fittings v. EPA, 947 F.2d 1201 (5th Cir. 1991) (chemical regulation) </w:t>
      </w:r>
    </w:p>
    <w:p w:rsidR="00E350BB" w:rsidRPr="005457BD" w:rsidRDefault="00C75BDE" w:rsidP="000F0B57">
      <w:pPr>
        <w:spacing w:line="480" w:lineRule="auto"/>
        <w:ind w:left="1440" w:hanging="720"/>
        <w:rPr>
          <w:rFonts w:ascii="Times New Roman" w:hAnsi="Times New Roman" w:cs="Times New Roman"/>
          <w:sz w:val="24"/>
          <w:szCs w:val="24"/>
        </w:rPr>
      </w:pPr>
      <w:hyperlink r:id="rId4" w:history="1">
        <w:r w:rsidR="00E350BB" w:rsidRPr="005457BD">
          <w:rPr>
            <w:rFonts w:ascii="Times New Roman" w:hAnsi="Times New Roman" w:cs="Times New Roman"/>
            <w:sz w:val="24"/>
            <w:szCs w:val="24"/>
          </w:rPr>
          <w:t>Ethyl Corp. v. EPA, 541 F.2d 1 (D.C. Cir. 1976)</w:t>
        </w:r>
      </w:hyperlink>
    </w:p>
    <w:p w:rsidR="00E350BB" w:rsidRPr="005457BD" w:rsidRDefault="00C75BDE" w:rsidP="000F0B57">
      <w:pPr>
        <w:spacing w:line="480" w:lineRule="auto"/>
        <w:ind w:left="1440" w:hanging="720"/>
        <w:rPr>
          <w:rFonts w:ascii="Times New Roman" w:hAnsi="Times New Roman" w:cs="Times New Roman"/>
          <w:sz w:val="24"/>
          <w:szCs w:val="24"/>
        </w:rPr>
      </w:pPr>
      <w:hyperlink r:id="rId5" w:history="1">
        <w:r w:rsidR="00E350BB" w:rsidRPr="005457BD">
          <w:rPr>
            <w:rFonts w:ascii="Times New Roman" w:hAnsi="Times New Roman" w:cs="Times New Roman"/>
            <w:sz w:val="24"/>
            <w:szCs w:val="24"/>
          </w:rPr>
          <w:t>Gulf South Insulation v. United States Consumer Prod. Safety Comm'n, 701 F.2d 1137 (5th Cir. 1983)</w:t>
        </w:r>
      </w:hyperlink>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Home Box Office, Inc. v. FCC, 567 F.2d 9 (D.C. Cir. 1977).</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Indust. Union Dep’t, AFL-CIO v. Hodgson, 499 F.2d 467 (D.C. Cir. 1974).</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 xml:space="preserve">McKart v. United States, 395 U.S. 185 (1969) </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SEC v. Chenery Corp., 318 U.S. 80 (1943)</w:t>
      </w:r>
    </w:p>
    <w:p w:rsidR="00E350BB" w:rsidRPr="005457BD" w:rsidRDefault="00C75BDE" w:rsidP="000F0B57">
      <w:pPr>
        <w:spacing w:line="480" w:lineRule="auto"/>
        <w:ind w:left="1440" w:hanging="720"/>
        <w:rPr>
          <w:rFonts w:ascii="Times New Roman" w:hAnsi="Times New Roman" w:cs="Times New Roman"/>
          <w:sz w:val="24"/>
          <w:szCs w:val="24"/>
        </w:rPr>
      </w:pPr>
      <w:hyperlink r:id="rId6" w:history="1">
        <w:r w:rsidR="00E350BB" w:rsidRPr="005457BD">
          <w:rPr>
            <w:rFonts w:ascii="Times New Roman" w:hAnsi="Times New Roman" w:cs="Times New Roman"/>
            <w:sz w:val="24"/>
            <w:szCs w:val="24"/>
          </w:rPr>
          <w:t>Shell Oil Co. v. EPA, 950 F.2d 741 (D.C. Cir. 1991)</w:t>
        </w:r>
      </w:hyperlink>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Sierra Club v. EPA, 479 F.3d 875 (D.C. Cir. 2007).</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United States v. Nova Scotia Food Products Corp. 568 F.2d 247 (2d Cir. 1977)</w:t>
      </w:r>
    </w:p>
    <w:p w:rsidR="00E350BB" w:rsidRPr="005457BD" w:rsidRDefault="00C75BDE" w:rsidP="000F0B57">
      <w:pPr>
        <w:spacing w:line="480" w:lineRule="auto"/>
        <w:ind w:left="1440" w:hanging="720"/>
        <w:rPr>
          <w:rFonts w:ascii="Times New Roman" w:hAnsi="Times New Roman" w:cs="Times New Roman"/>
          <w:sz w:val="24"/>
          <w:szCs w:val="24"/>
        </w:rPr>
      </w:pPr>
      <w:hyperlink r:id="rId7" w:history="1">
        <w:r w:rsidR="00E350BB" w:rsidRPr="005457BD">
          <w:rPr>
            <w:rFonts w:ascii="Times New Roman" w:hAnsi="Times New Roman" w:cs="Times New Roman"/>
            <w:sz w:val="24"/>
            <w:szCs w:val="24"/>
          </w:rPr>
          <w:t>Weyerhaeuser Co. v. Costle, 590 F.2d 1011 (D.C. Cir. 1978)</w:t>
        </w:r>
      </w:hyperlink>
    </w:p>
    <w:p w:rsidR="00E350BB" w:rsidRPr="005457BD" w:rsidRDefault="00E350BB" w:rsidP="000F0B57">
      <w:pPr>
        <w:spacing w:line="480" w:lineRule="auto"/>
        <w:ind w:left="1440" w:hanging="720"/>
        <w:rPr>
          <w:rFonts w:ascii="Times New Roman" w:hAnsi="Times New Roman" w:cs="Times New Roman"/>
          <w:sz w:val="24"/>
          <w:szCs w:val="24"/>
          <w:u w:val="single"/>
        </w:rPr>
      </w:pPr>
      <w:r w:rsidRPr="005457BD">
        <w:rPr>
          <w:rFonts w:ascii="Times New Roman" w:hAnsi="Times New Roman" w:cs="Times New Roman"/>
          <w:sz w:val="24"/>
          <w:szCs w:val="24"/>
          <w:u w:val="single"/>
        </w:rPr>
        <w:t>Books, Articles, and other References Cited</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 xml:space="preserve">Bignami, Francesca. 2012. “Comparative Administrative Law,” in Mauro Bussani &amp; Ugo Mattei eds., </w:t>
      </w:r>
      <w:r w:rsidRPr="005457BD">
        <w:rPr>
          <w:rFonts w:ascii="Times New Roman" w:hAnsi="Times New Roman" w:cs="Times New Roman"/>
          <w:i/>
          <w:sz w:val="24"/>
          <w:szCs w:val="24"/>
        </w:rPr>
        <w:t>The Cambridge Companion to Comparative Law</w:t>
      </w:r>
      <w:r w:rsidRPr="005457BD">
        <w:rPr>
          <w:rFonts w:ascii="Times New Roman" w:hAnsi="Times New Roman" w:cs="Times New Roman"/>
          <w:sz w:val="24"/>
          <w:szCs w:val="24"/>
        </w:rPr>
        <w:t>. Cambridge: Cambridge University Press.</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 xml:space="preserve">Bull, Reeve. 2011. “The Federal Advisory Committee Act: Issues and Proposed Reform,” ACUS Report, available at </w:t>
      </w:r>
      <w:hyperlink r:id="rId8" w:history="1">
        <w:r w:rsidRPr="005457BD">
          <w:rPr>
            <w:rStyle w:val="Hyperlink"/>
            <w:rFonts w:ascii="Times New Roman" w:hAnsi="Times New Roman" w:cs="Times New Roman"/>
            <w:sz w:val="24"/>
            <w:szCs w:val="24"/>
          </w:rPr>
          <w:t>http://www.acus.gov/sites/default/files/documents/COCG-Reeve-Bull-Draft-FACA-Report-9-12-11.pdf</w:t>
        </w:r>
      </w:hyperlink>
      <w:r w:rsidRPr="005457BD">
        <w:rPr>
          <w:rFonts w:ascii="Times New Roman" w:hAnsi="Times New Roman" w:cs="Times New Roman"/>
          <w:sz w:val="24"/>
          <w:szCs w:val="24"/>
        </w:rPr>
        <w:t>.</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Coglianese, Cary. 1994. “Challenging the Rules: Litigation and Bargaining in the Administrative Process,” unpublished Ph.D dissertation, University of Michigan.</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Communication from the Commission. 2005. “Impact Assessment Guidelines,” SEC (2005).</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Communication from the Commission. 2002.  “Towards a Reinforced Culture of Consultation and Dialogue—General Principles and Minimum Standards for Consultation of Interested Parties by the Commission,” COM (02)704 final, December 11, 2002.</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 xml:space="preserve">Croley, Steven. 2008.  </w:t>
      </w:r>
      <w:r w:rsidRPr="005457BD">
        <w:rPr>
          <w:rFonts w:ascii="Times New Roman" w:hAnsi="Times New Roman" w:cs="Times New Roman"/>
          <w:i/>
          <w:sz w:val="24"/>
          <w:szCs w:val="24"/>
        </w:rPr>
        <w:t>Regulation and Public Interests: The Possibility of Good Regulatory Government</w:t>
      </w:r>
      <w:r w:rsidRPr="005457BD">
        <w:rPr>
          <w:rFonts w:ascii="Times New Roman" w:hAnsi="Times New Roman" w:cs="Times New Roman"/>
          <w:sz w:val="24"/>
          <w:szCs w:val="24"/>
        </w:rPr>
        <w:t>. Princeton, NJ: Princeton University Press.</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 xml:space="preserve">Divan, Shyam and Armin Rosencranz. 2001. </w:t>
      </w:r>
      <w:r w:rsidRPr="005457BD">
        <w:rPr>
          <w:rFonts w:ascii="Times New Roman" w:hAnsi="Times New Roman" w:cs="Times New Roman"/>
          <w:i/>
          <w:sz w:val="24"/>
          <w:szCs w:val="24"/>
        </w:rPr>
        <w:t>Environmental Law and Policy in India.</w:t>
      </w:r>
      <w:r w:rsidRPr="005457BD">
        <w:rPr>
          <w:rFonts w:ascii="Times New Roman" w:hAnsi="Times New Roman" w:cs="Times New Roman"/>
          <w:sz w:val="24"/>
          <w:szCs w:val="24"/>
        </w:rPr>
        <w:t xml:space="preserve"> New Delhi, India: Oxford University Press.</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 xml:space="preserve">Elliott, E. Donald. 1992. “Reinventing Rulemaking,” 41 </w:t>
      </w:r>
      <w:r w:rsidRPr="005457BD">
        <w:rPr>
          <w:rFonts w:ascii="Times New Roman" w:hAnsi="Times New Roman" w:cs="Times New Roman"/>
          <w:i/>
          <w:sz w:val="24"/>
          <w:szCs w:val="24"/>
        </w:rPr>
        <w:t>Duke Law Journal</w:t>
      </w:r>
      <w:r w:rsidRPr="005457BD">
        <w:rPr>
          <w:rFonts w:ascii="Times New Roman" w:hAnsi="Times New Roman" w:cs="Times New Roman"/>
          <w:sz w:val="24"/>
          <w:szCs w:val="24"/>
        </w:rPr>
        <w:t xml:space="preserve"> 1490.</w:t>
      </w:r>
    </w:p>
    <w:p w:rsidR="00E350BB" w:rsidRDefault="00E350BB" w:rsidP="000F0B57">
      <w:pPr>
        <w:spacing w:line="48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Farber, Daniel and Anne O’Connell. 2014. “The Lost World of Administrative Law,” 92 </w:t>
      </w:r>
      <w:r w:rsidRPr="00FB22B6">
        <w:rPr>
          <w:rFonts w:ascii="Times New Roman" w:hAnsi="Times New Roman" w:cs="Times New Roman"/>
          <w:i/>
          <w:sz w:val="24"/>
          <w:szCs w:val="24"/>
        </w:rPr>
        <w:t>Texas Law Review</w:t>
      </w:r>
      <w:r>
        <w:rPr>
          <w:rFonts w:ascii="Times New Roman" w:hAnsi="Times New Roman" w:cs="Times New Roman"/>
          <w:sz w:val="24"/>
          <w:szCs w:val="24"/>
        </w:rPr>
        <w:t xml:space="preserve"> 1137.</w:t>
      </w:r>
    </w:p>
    <w:p w:rsidR="00E350BB" w:rsidRPr="005457BD" w:rsidRDefault="00E350BB" w:rsidP="000F0B57">
      <w:pPr>
        <w:spacing w:line="480" w:lineRule="auto"/>
        <w:ind w:left="1440" w:hanging="720"/>
        <w:rPr>
          <w:rFonts w:ascii="Times New Roman" w:hAnsi="Times New Roman" w:cs="Times New Roman"/>
          <w:sz w:val="24"/>
          <w:szCs w:val="24"/>
          <w:u w:val="single"/>
        </w:rPr>
      </w:pPr>
      <w:r w:rsidRPr="005457BD">
        <w:rPr>
          <w:rFonts w:ascii="Times New Roman" w:hAnsi="Times New Roman" w:cs="Times New Roman"/>
          <w:sz w:val="24"/>
          <w:szCs w:val="24"/>
        </w:rPr>
        <w:t xml:space="preserve">Fisher, Elizabeth, Bettina Lange, and Eloise Scotford. 2013. </w:t>
      </w:r>
      <w:r w:rsidRPr="005457BD">
        <w:rPr>
          <w:rFonts w:ascii="Times New Roman" w:hAnsi="Times New Roman" w:cs="Times New Roman"/>
          <w:i/>
          <w:sz w:val="24"/>
          <w:szCs w:val="24"/>
        </w:rPr>
        <w:t>Environmental Law; Text, Cases, and Materials</w:t>
      </w:r>
      <w:r w:rsidRPr="005457BD">
        <w:rPr>
          <w:rFonts w:ascii="Times New Roman" w:hAnsi="Times New Roman" w:cs="Times New Roman"/>
          <w:sz w:val="24"/>
          <w:szCs w:val="24"/>
        </w:rPr>
        <w:t>. Oxford: Oxford University Press.</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 xml:space="preserve">Furlong, Scott and Cornelius Kerwin. 2005. “Interest Group Participation in Rule Making: A Decade of Change,” 15 </w:t>
      </w:r>
      <w:r w:rsidRPr="005457BD">
        <w:rPr>
          <w:rFonts w:ascii="Times New Roman" w:hAnsi="Times New Roman" w:cs="Times New Roman"/>
          <w:i/>
          <w:iCs/>
          <w:sz w:val="24"/>
          <w:szCs w:val="24"/>
        </w:rPr>
        <w:t>Journal of Public Admininistration Research &amp; Theory</w:t>
      </w:r>
      <w:r w:rsidRPr="005457BD">
        <w:rPr>
          <w:rFonts w:ascii="Times New Roman" w:hAnsi="Times New Roman" w:cs="Times New Roman"/>
          <w:sz w:val="24"/>
          <w:szCs w:val="24"/>
        </w:rPr>
        <w:t xml:space="preserve"> 353. </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 xml:space="preserve">Gaba, Jeffrey. 1985. “Informal Rulemaking by Settlement Agreement,” 73 </w:t>
      </w:r>
      <w:r w:rsidRPr="005457BD">
        <w:rPr>
          <w:rFonts w:ascii="Times New Roman" w:hAnsi="Times New Roman" w:cs="Times New Roman"/>
          <w:i/>
          <w:sz w:val="24"/>
          <w:szCs w:val="24"/>
        </w:rPr>
        <w:t>Georgetown Law Journal</w:t>
      </w:r>
      <w:r w:rsidRPr="005457BD">
        <w:rPr>
          <w:rFonts w:ascii="Times New Roman" w:hAnsi="Times New Roman" w:cs="Times New Roman"/>
          <w:sz w:val="24"/>
          <w:szCs w:val="24"/>
        </w:rPr>
        <w:t xml:space="preserve"> 1241. </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General Accounting Office. 2003. “OMB’s Role in Review of Agencies’ Draft Rules and the Transparency of Those Reviews,” Government Printing Office.</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 xml:space="preserve">Gelpe, Marcia. 1985. “Exhaustion of Administrative Remedies: Lessons from Environmental Cases,” 53 </w:t>
      </w:r>
      <w:r w:rsidRPr="005457BD">
        <w:rPr>
          <w:rFonts w:ascii="Times New Roman" w:hAnsi="Times New Roman" w:cs="Times New Roman"/>
          <w:i/>
          <w:sz w:val="24"/>
          <w:szCs w:val="24"/>
        </w:rPr>
        <w:t>George Washington Law Review</w:t>
      </w:r>
      <w:r w:rsidRPr="005457BD">
        <w:rPr>
          <w:rFonts w:ascii="Times New Roman" w:hAnsi="Times New Roman" w:cs="Times New Roman"/>
          <w:sz w:val="24"/>
          <w:szCs w:val="24"/>
        </w:rPr>
        <w:t xml:space="preserve"> 1.  </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 xml:space="preserve">Gormley, William. 1986. “Regulatory Issue Networks in a Federal System,” 18 </w:t>
      </w:r>
      <w:r w:rsidRPr="005457BD">
        <w:rPr>
          <w:rFonts w:ascii="Times New Roman" w:hAnsi="Times New Roman" w:cs="Times New Roman"/>
          <w:i/>
          <w:sz w:val="24"/>
          <w:szCs w:val="24"/>
        </w:rPr>
        <w:t>Polity</w:t>
      </w:r>
      <w:r w:rsidRPr="005457BD">
        <w:rPr>
          <w:rFonts w:ascii="Times New Roman" w:hAnsi="Times New Roman" w:cs="Times New Roman"/>
          <w:smallCaps/>
          <w:sz w:val="24"/>
          <w:szCs w:val="24"/>
        </w:rPr>
        <w:t xml:space="preserve"> </w:t>
      </w:r>
      <w:r w:rsidRPr="005457BD">
        <w:rPr>
          <w:rFonts w:ascii="Times New Roman" w:hAnsi="Times New Roman" w:cs="Times New Roman"/>
          <w:sz w:val="24"/>
          <w:szCs w:val="24"/>
        </w:rPr>
        <w:t>595.</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 xml:space="preserve">Kolber, Michael. 2009. “Rulemaking Without Rules: An Empirical Study of Direct Final Rulemaking,” 72 </w:t>
      </w:r>
      <w:r w:rsidRPr="005457BD">
        <w:rPr>
          <w:rFonts w:ascii="Times New Roman" w:hAnsi="Times New Roman" w:cs="Times New Roman"/>
          <w:i/>
          <w:sz w:val="24"/>
          <w:szCs w:val="24"/>
        </w:rPr>
        <w:t>Albany Law Review</w:t>
      </w:r>
      <w:r w:rsidRPr="005457BD">
        <w:rPr>
          <w:rFonts w:ascii="Times New Roman" w:hAnsi="Times New Roman" w:cs="Times New Roman"/>
          <w:sz w:val="24"/>
          <w:szCs w:val="24"/>
        </w:rPr>
        <w:t xml:space="preserve"> 79.</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 xml:space="preserve">Lee, Maria and Carolyn Abbott. 2003. “The Usual Suspects? Public Participation Under the Aarhus Convention,” 66 </w:t>
      </w:r>
      <w:r w:rsidRPr="005457BD">
        <w:rPr>
          <w:rFonts w:ascii="Times New Roman" w:hAnsi="Times New Roman" w:cs="Times New Roman"/>
          <w:i/>
          <w:sz w:val="24"/>
          <w:szCs w:val="24"/>
        </w:rPr>
        <w:t>Modern Law Review</w:t>
      </w:r>
      <w:r w:rsidRPr="005457BD">
        <w:rPr>
          <w:rFonts w:ascii="Times New Roman" w:hAnsi="Times New Roman" w:cs="Times New Roman"/>
          <w:sz w:val="24"/>
          <w:szCs w:val="24"/>
        </w:rPr>
        <w:t xml:space="preserve"> 80.</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i/>
          <w:sz w:val="24"/>
          <w:szCs w:val="24"/>
        </w:rPr>
        <w:t xml:space="preserve">Lubbers, Jeffrey. 2006.  A Guide to Federal Agency Rulemaking. </w:t>
      </w:r>
      <w:r w:rsidRPr="005457BD">
        <w:rPr>
          <w:rFonts w:ascii="Times New Roman" w:hAnsi="Times New Roman" w:cs="Times New Roman"/>
          <w:sz w:val="24"/>
          <w:szCs w:val="24"/>
        </w:rPr>
        <w:t>Chicago, IL: ABA Press.</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 xml:space="preserve">Lubbers, Jeffrey. 2008. “Achieving Policymaking Consensus: The Unfortunate (Waning) of Negotiated Rulemaking,” 49 </w:t>
      </w:r>
      <w:r w:rsidRPr="005457BD">
        <w:rPr>
          <w:rFonts w:ascii="Times New Roman" w:hAnsi="Times New Roman" w:cs="Times New Roman"/>
          <w:i/>
          <w:sz w:val="24"/>
          <w:szCs w:val="24"/>
        </w:rPr>
        <w:t>South Texas Law Review</w:t>
      </w:r>
      <w:r w:rsidRPr="005457BD">
        <w:rPr>
          <w:rFonts w:ascii="Times New Roman" w:hAnsi="Times New Roman" w:cs="Times New Roman"/>
          <w:sz w:val="24"/>
          <w:szCs w:val="24"/>
        </w:rPr>
        <w:t xml:space="preserve"> 987.</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McGarity, Thomas. 1992. “</w:t>
      </w:r>
      <w:hyperlink r:id="rId9" w:history="1">
        <w:r w:rsidRPr="005457BD">
          <w:rPr>
            <w:rFonts w:ascii="Times New Roman" w:hAnsi="Times New Roman" w:cs="Times New Roman"/>
            <w:sz w:val="24"/>
            <w:szCs w:val="24"/>
          </w:rPr>
          <w:t>Some Thoughts on “Deossifying” the Rulemaking Process,”</w:t>
        </w:r>
        <w:r w:rsidRPr="005457BD">
          <w:rPr>
            <w:rFonts w:ascii="Times New Roman" w:hAnsi="Times New Roman" w:cs="Times New Roman"/>
            <w:i/>
            <w:sz w:val="24"/>
            <w:szCs w:val="24"/>
          </w:rPr>
          <w:t xml:space="preserve"> 41 Duke Law Journal </w:t>
        </w:r>
        <w:r w:rsidRPr="005457BD">
          <w:rPr>
            <w:rFonts w:ascii="Times New Roman" w:hAnsi="Times New Roman" w:cs="Times New Roman"/>
            <w:sz w:val="24"/>
            <w:szCs w:val="24"/>
          </w:rPr>
          <w:t>1385.</w:t>
        </w:r>
      </w:hyperlink>
    </w:p>
    <w:p w:rsidR="00E350BB" w:rsidRPr="005457BD" w:rsidRDefault="00E350BB" w:rsidP="000F0B57">
      <w:pPr>
        <w:spacing w:line="480" w:lineRule="auto"/>
        <w:ind w:left="1440" w:hanging="720"/>
        <w:rPr>
          <w:rFonts w:ascii="Times New Roman" w:hAnsi="Times New Roman" w:cs="Times New Roman"/>
          <w:bCs/>
          <w:sz w:val="24"/>
          <w:szCs w:val="24"/>
        </w:rPr>
      </w:pPr>
      <w:r w:rsidRPr="005457BD">
        <w:rPr>
          <w:rFonts w:ascii="Times New Roman" w:hAnsi="Times New Roman" w:cs="Times New Roman"/>
          <w:sz w:val="24"/>
          <w:szCs w:val="24"/>
        </w:rPr>
        <w:t>McGarity, Thomas, et al. 2010. “</w:t>
      </w:r>
      <w:r w:rsidRPr="005457BD">
        <w:rPr>
          <w:rFonts w:ascii="Times New Roman" w:hAnsi="Times New Roman" w:cs="Times New Roman"/>
          <w:bCs/>
          <w:sz w:val="24"/>
          <w:szCs w:val="24"/>
        </w:rPr>
        <w:t>Workers at Risk: Regulatory Dysfunction at OSHA,”</w:t>
      </w:r>
      <w:r w:rsidRPr="005457BD">
        <w:rPr>
          <w:rFonts w:ascii="Times New Roman" w:hAnsi="Times New Roman" w:cs="Times New Roman"/>
          <w:bCs/>
          <w:i/>
          <w:sz w:val="24"/>
          <w:szCs w:val="24"/>
        </w:rPr>
        <w:t xml:space="preserve"> CPR White Paper</w:t>
      </w:r>
      <w:r w:rsidRPr="005457BD">
        <w:rPr>
          <w:rFonts w:ascii="Times New Roman" w:hAnsi="Times New Roman" w:cs="Times New Roman"/>
          <w:bCs/>
          <w:sz w:val="24"/>
          <w:szCs w:val="24"/>
        </w:rPr>
        <w:t xml:space="preserve">, available at </w:t>
      </w:r>
      <w:hyperlink r:id="rId10" w:history="1">
        <w:r w:rsidRPr="005457BD">
          <w:rPr>
            <w:rStyle w:val="Hyperlink"/>
            <w:rFonts w:ascii="Times New Roman" w:hAnsi="Times New Roman" w:cs="Times New Roman"/>
            <w:bCs/>
            <w:sz w:val="24"/>
            <w:szCs w:val="24"/>
          </w:rPr>
          <w:t>http://www.progressivereform.org/articles/OSHA_1003.pdf</w:t>
        </w:r>
      </w:hyperlink>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 xml:space="preserve">McGarity, Thomas. 2012. “Administrative Law as Blood Sport: Policy Erosion in a Highly Partisan Age,” 61 </w:t>
      </w:r>
      <w:r w:rsidRPr="005457BD">
        <w:rPr>
          <w:rFonts w:ascii="Times New Roman" w:hAnsi="Times New Roman" w:cs="Times New Roman"/>
          <w:i/>
          <w:sz w:val="24"/>
          <w:szCs w:val="24"/>
        </w:rPr>
        <w:t>Duke Law  J</w:t>
      </w:r>
      <w:r w:rsidRPr="005457BD">
        <w:rPr>
          <w:rFonts w:ascii="Times New Roman" w:hAnsi="Times New Roman" w:cs="Times New Roman"/>
          <w:sz w:val="24"/>
          <w:szCs w:val="24"/>
        </w:rPr>
        <w:t>ournal 1671.</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 xml:space="preserve">Mahoney, Christine and Michael Beckstrand. 2011. “Following the Money, EU Funding of Civil Society Organizations,” </w:t>
      </w:r>
      <w:r w:rsidRPr="005457BD">
        <w:rPr>
          <w:rFonts w:ascii="Times New Roman" w:hAnsi="Times New Roman" w:cs="Times New Roman"/>
          <w:smallCaps/>
          <w:sz w:val="24"/>
          <w:szCs w:val="24"/>
        </w:rPr>
        <w:t xml:space="preserve">49 </w:t>
      </w:r>
      <w:r w:rsidRPr="005457BD">
        <w:rPr>
          <w:rFonts w:ascii="Times New Roman" w:hAnsi="Times New Roman" w:cs="Times New Roman"/>
          <w:i/>
          <w:sz w:val="24"/>
          <w:szCs w:val="24"/>
        </w:rPr>
        <w:t>J. of Common Market Studies</w:t>
      </w:r>
      <w:r w:rsidRPr="005457BD">
        <w:rPr>
          <w:rFonts w:ascii="Times New Roman" w:hAnsi="Times New Roman" w:cs="Times New Roman"/>
          <w:sz w:val="24"/>
          <w:szCs w:val="24"/>
        </w:rPr>
        <w:t xml:space="preserve"> 1339.</w:t>
      </w:r>
    </w:p>
    <w:p w:rsidR="00E350BB" w:rsidRPr="005457BD" w:rsidRDefault="00E350BB" w:rsidP="000F0B57">
      <w:pPr>
        <w:autoSpaceDE w:val="0"/>
        <w:autoSpaceDN w:val="0"/>
        <w:adjustRightInd w:val="0"/>
        <w:spacing w:after="0"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 xml:space="preserve">Markoff, Gabriel. 2012. “The Invisible Barrier: Issue Exhaustion as a Threat to Pluralism in Administrative Rulemaking,” 90 </w:t>
      </w:r>
      <w:r w:rsidRPr="005457BD">
        <w:rPr>
          <w:rFonts w:ascii="Times New Roman" w:hAnsi="Times New Roman" w:cs="Times New Roman"/>
          <w:i/>
          <w:sz w:val="24"/>
          <w:szCs w:val="24"/>
        </w:rPr>
        <w:t>Texas Law Review</w:t>
      </w:r>
      <w:r w:rsidRPr="005457BD">
        <w:rPr>
          <w:rFonts w:ascii="Times New Roman" w:hAnsi="Times New Roman" w:cs="Times New Roman"/>
          <w:sz w:val="24"/>
          <w:szCs w:val="24"/>
        </w:rPr>
        <w:t xml:space="preserve"> 1065. </w:t>
      </w:r>
    </w:p>
    <w:p w:rsidR="00E350BB" w:rsidRPr="005457BD" w:rsidRDefault="00E350BB" w:rsidP="000F0B57">
      <w:pPr>
        <w:autoSpaceDE w:val="0"/>
        <w:autoSpaceDN w:val="0"/>
        <w:adjustRightInd w:val="0"/>
        <w:spacing w:after="0" w:line="480" w:lineRule="auto"/>
        <w:ind w:left="1440" w:hanging="720"/>
        <w:rPr>
          <w:rFonts w:ascii="Times New Roman" w:hAnsi="Times New Roman" w:cs="Times New Roman"/>
          <w:sz w:val="24"/>
          <w:szCs w:val="24"/>
        </w:rPr>
      </w:pP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 xml:space="preserve">Mashaw, Jerry and David Harfst. 1990. </w:t>
      </w:r>
      <w:r w:rsidRPr="005457BD">
        <w:rPr>
          <w:rFonts w:ascii="Times New Roman" w:hAnsi="Times New Roman" w:cs="Times New Roman"/>
          <w:i/>
          <w:sz w:val="24"/>
          <w:szCs w:val="24"/>
        </w:rPr>
        <w:t>The Struggle for Auto Safety</w:t>
      </w:r>
      <w:r w:rsidRPr="005457BD">
        <w:rPr>
          <w:rFonts w:ascii="Times New Roman" w:hAnsi="Times New Roman" w:cs="Times New Roman"/>
          <w:sz w:val="24"/>
          <w:szCs w:val="24"/>
        </w:rPr>
        <w:t>. New Haven, CT: Yale University Press.</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 xml:space="preserve">Mashaw, Jerry. 2005. “Norms, Practices, and the Paradox of Deference: A Preliminary Inquiry into Agency Statutory Interpretation,” 57 </w:t>
      </w:r>
      <w:r w:rsidRPr="005457BD">
        <w:rPr>
          <w:rFonts w:ascii="Times New Roman" w:hAnsi="Times New Roman" w:cs="Times New Roman"/>
          <w:i/>
          <w:sz w:val="24"/>
          <w:szCs w:val="24"/>
        </w:rPr>
        <w:t>Admin. L. Rev</w:t>
      </w:r>
      <w:r w:rsidRPr="005457BD">
        <w:rPr>
          <w:rFonts w:ascii="Times New Roman" w:hAnsi="Times New Roman" w:cs="Times New Roman"/>
          <w:sz w:val="24"/>
          <w:szCs w:val="24"/>
        </w:rPr>
        <w:t>. 501.</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 xml:space="preserve">Mendelson, Nina. 2008. “Regulatory Beneficiaries and Informal Agency Policymaking,” 92 </w:t>
      </w:r>
      <w:r w:rsidRPr="005457BD">
        <w:rPr>
          <w:rFonts w:ascii="Times New Roman" w:hAnsi="Times New Roman" w:cs="Times New Roman"/>
          <w:i/>
          <w:sz w:val="24"/>
          <w:szCs w:val="24"/>
        </w:rPr>
        <w:t>Cornell Law Review</w:t>
      </w:r>
      <w:r w:rsidRPr="005457BD">
        <w:rPr>
          <w:rFonts w:ascii="Times New Roman" w:hAnsi="Times New Roman" w:cs="Times New Roman"/>
          <w:sz w:val="24"/>
          <w:szCs w:val="24"/>
        </w:rPr>
        <w:t xml:space="preserve"> 397.</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 xml:space="preserve">Mendelson, Nina. 2010.  “Disclosing ‘Political’ Oversight of Agency Decision Making,” 108 </w:t>
      </w:r>
      <w:r w:rsidRPr="005457BD">
        <w:rPr>
          <w:rFonts w:ascii="Times New Roman" w:hAnsi="Times New Roman" w:cs="Times New Roman"/>
          <w:i/>
          <w:sz w:val="24"/>
          <w:szCs w:val="24"/>
        </w:rPr>
        <w:t xml:space="preserve">Michigan Law Review </w:t>
      </w:r>
      <w:r w:rsidRPr="005457BD">
        <w:rPr>
          <w:rFonts w:ascii="Times New Roman" w:hAnsi="Times New Roman" w:cs="Times New Roman"/>
          <w:sz w:val="24"/>
          <w:szCs w:val="24"/>
        </w:rPr>
        <w:t>1128.</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 xml:space="preserve">Nadal, Carine. 2008. “Pursuing Substantive Environmental Justice: The Aarhus Convention as a ‘Pillar’ of Empowerment,” 10 </w:t>
      </w:r>
      <w:r w:rsidRPr="005457BD">
        <w:rPr>
          <w:rFonts w:ascii="Times New Roman" w:hAnsi="Times New Roman" w:cs="Times New Roman"/>
          <w:i/>
          <w:sz w:val="24"/>
          <w:szCs w:val="24"/>
        </w:rPr>
        <w:t xml:space="preserve">Environmental Law Review </w:t>
      </w:r>
      <w:r w:rsidRPr="005457BD">
        <w:rPr>
          <w:rFonts w:ascii="Times New Roman" w:hAnsi="Times New Roman" w:cs="Times New Roman"/>
          <w:sz w:val="24"/>
          <w:szCs w:val="24"/>
        </w:rPr>
        <w:t>28.</w:t>
      </w:r>
    </w:p>
    <w:p w:rsidR="00E350BB" w:rsidRPr="005457BD" w:rsidRDefault="00E350BB" w:rsidP="000F0B57">
      <w:pPr>
        <w:spacing w:line="480" w:lineRule="auto"/>
        <w:ind w:left="1440" w:hanging="720"/>
        <w:rPr>
          <w:rStyle w:val="Hyperlink"/>
        </w:rPr>
      </w:pPr>
      <w:r w:rsidRPr="005457BD">
        <w:rPr>
          <w:rFonts w:ascii="Times New Roman" w:hAnsi="Times New Roman" w:cs="Times New Roman"/>
          <w:bCs/>
          <w:sz w:val="24"/>
          <w:szCs w:val="24"/>
        </w:rPr>
        <w:t>The National Academy of Sciences. 2012. “Improving the Use of Science in the Administrative Process,”</w:t>
      </w:r>
      <w:r w:rsidRPr="005457BD">
        <w:rPr>
          <w:rFonts w:ascii="Times New Roman" w:hAnsi="Times New Roman" w:cs="Times New Roman"/>
          <w:sz w:val="24"/>
          <w:szCs w:val="24"/>
        </w:rPr>
        <w:t xml:space="preserve"> Transcript of Workshop on Sept. 10, 2012, available at </w:t>
      </w:r>
      <w:hyperlink r:id="rId11" w:history="1">
        <w:r w:rsidRPr="005457BD">
          <w:rPr>
            <w:rStyle w:val="Hyperlink"/>
            <w:rFonts w:ascii="Times New Roman" w:hAnsi="Times New Roman" w:cs="Times New Roman"/>
            <w:sz w:val="24"/>
            <w:szCs w:val="24"/>
          </w:rPr>
          <w:t>http://www.acus.gov/sites/default/files/documents/Transcript-from-9-10-12-NAS-ACUS-Workshop.pdf</w:t>
        </w:r>
      </w:hyperlink>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 xml:space="preserve">Pierce, Richard, Jr. 2010. </w:t>
      </w:r>
      <w:r w:rsidRPr="005457BD">
        <w:rPr>
          <w:rFonts w:ascii="Times New Roman" w:hAnsi="Times New Roman" w:cs="Times New Roman"/>
          <w:i/>
          <w:sz w:val="24"/>
          <w:szCs w:val="24"/>
        </w:rPr>
        <w:t>Administrative Law Treatise</w:t>
      </w:r>
      <w:r w:rsidRPr="005457BD">
        <w:rPr>
          <w:rFonts w:ascii="Times New Roman" w:hAnsi="Times New Roman" w:cs="Times New Roman"/>
          <w:sz w:val="24"/>
          <w:szCs w:val="24"/>
        </w:rPr>
        <w:t xml:space="preserve">, </w:t>
      </w:r>
      <w:r w:rsidRPr="005457BD">
        <w:rPr>
          <w:rFonts w:ascii="Times New Roman" w:hAnsi="Times New Roman" w:cs="Times New Roman"/>
          <w:i/>
          <w:sz w:val="24"/>
          <w:szCs w:val="24"/>
        </w:rPr>
        <w:t>vol. 1</w:t>
      </w:r>
      <w:r w:rsidRPr="005457BD">
        <w:rPr>
          <w:rFonts w:ascii="Times New Roman" w:hAnsi="Times New Roman" w:cs="Times New Roman"/>
          <w:sz w:val="24"/>
          <w:szCs w:val="24"/>
        </w:rPr>
        <w:t>. NY, NY: Aspen Publishers.</w:t>
      </w:r>
    </w:p>
    <w:p w:rsidR="00E350BB" w:rsidRPr="005457BD" w:rsidRDefault="00E350BB" w:rsidP="000F0B57">
      <w:pPr>
        <w:spacing w:line="480" w:lineRule="auto"/>
        <w:ind w:left="1440" w:hanging="720"/>
        <w:rPr>
          <w:rFonts w:ascii="Times New Roman" w:hAnsi="Times New Roman" w:cs="Times New Roman"/>
          <w:smallCaps/>
          <w:sz w:val="24"/>
          <w:szCs w:val="24"/>
        </w:rPr>
      </w:pPr>
      <w:r w:rsidRPr="005457BD">
        <w:rPr>
          <w:rFonts w:ascii="Times New Roman" w:hAnsi="Times New Roman" w:cs="Times New Roman"/>
          <w:sz w:val="24"/>
          <w:szCs w:val="24"/>
        </w:rPr>
        <w:t xml:space="preserve">Public Citizen. 2008.  “Held Back: Unfinished Consumer Product Safety Commission Rules, Class of 2007,” available at http:// </w:t>
      </w:r>
      <w:hyperlink r:id="rId12" w:history="1">
        <w:r w:rsidRPr="005457BD">
          <w:rPr>
            <w:rStyle w:val="Hyperlink"/>
            <w:rFonts w:ascii="Times New Roman" w:hAnsi="Times New Roman" w:cs="Times New Roman"/>
            <w:sz w:val="24"/>
            <w:szCs w:val="24"/>
          </w:rPr>
          <w:t>www.citizen.org/documents/CPSCClassof2007.pdf</w:t>
        </w:r>
      </w:hyperlink>
      <w:r w:rsidRPr="005457BD">
        <w:rPr>
          <w:rFonts w:ascii="Times New Roman" w:hAnsi="Times New Roman" w:cs="Times New Roman"/>
          <w:sz w:val="24"/>
          <w:szCs w:val="24"/>
        </w:rPr>
        <w:t xml:space="preserve">. </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i/>
          <w:sz w:val="24"/>
          <w:szCs w:val="24"/>
        </w:rPr>
        <w:t>Report of the Attorney General’s Comm. on Administrative Procedure in Government Agencies</w:t>
      </w:r>
      <w:r w:rsidRPr="005457BD">
        <w:rPr>
          <w:rFonts w:ascii="Times New Roman" w:hAnsi="Times New Roman" w:cs="Times New Roman"/>
          <w:sz w:val="24"/>
          <w:szCs w:val="24"/>
        </w:rPr>
        <w:t xml:space="preserve">. 1941. Washington, DC: GPO.  </w:t>
      </w:r>
    </w:p>
    <w:p w:rsidR="00E350BB" w:rsidRPr="005457BD" w:rsidRDefault="00E350BB" w:rsidP="000F0B57">
      <w:pPr>
        <w:pStyle w:val="FootnoteText"/>
        <w:spacing w:line="480" w:lineRule="auto"/>
        <w:ind w:left="1440" w:hanging="720"/>
        <w:contextualSpacing/>
        <w:rPr>
          <w:rStyle w:val="Hyperlink"/>
          <w:rFonts w:asciiTheme="minorHAnsi" w:eastAsiaTheme="minorHAnsi" w:hAnsiTheme="minorHAnsi" w:cstheme="minorBidi"/>
          <w:sz w:val="22"/>
          <w:szCs w:val="22"/>
        </w:rPr>
      </w:pPr>
      <w:r w:rsidRPr="005457BD">
        <w:rPr>
          <w:rFonts w:ascii="Times New Roman" w:hAnsi="Times New Roman"/>
          <w:sz w:val="24"/>
          <w:szCs w:val="24"/>
        </w:rPr>
        <w:t xml:space="preserve">Rastello, Sandrine. 2013.  “White House Slowed Rules in Election Year, Advisory Body Says,” </w:t>
      </w:r>
      <w:r w:rsidRPr="005457BD">
        <w:rPr>
          <w:rFonts w:ascii="Times New Roman" w:hAnsi="Times New Roman"/>
          <w:i/>
          <w:sz w:val="24"/>
          <w:szCs w:val="24"/>
        </w:rPr>
        <w:t>Business Week,</w:t>
      </w:r>
      <w:r w:rsidRPr="005457BD">
        <w:rPr>
          <w:rFonts w:ascii="Times New Roman" w:hAnsi="Times New Roman"/>
          <w:sz w:val="24"/>
          <w:szCs w:val="24"/>
        </w:rPr>
        <w:t xml:space="preserve"> Dec. 15, 2013, available at </w:t>
      </w:r>
      <w:hyperlink r:id="rId13" w:tgtFrame="_blank" w:history="1">
        <w:r w:rsidRPr="005457BD">
          <w:rPr>
            <w:rStyle w:val="Hyperlink"/>
            <w:rFonts w:ascii="Times New Roman" w:hAnsi="Times New Roman"/>
            <w:sz w:val="24"/>
            <w:szCs w:val="24"/>
          </w:rPr>
          <w:t>http://www.businessweek.com/news/2013-12-15/white-house-slowed-rules-in-election-year-advisory-body-says</w:t>
        </w:r>
      </w:hyperlink>
    </w:p>
    <w:p w:rsidR="00E350BB" w:rsidRPr="005457BD" w:rsidRDefault="00E350BB" w:rsidP="000F0B57">
      <w:pPr>
        <w:pStyle w:val="FootnoteText"/>
        <w:spacing w:line="480" w:lineRule="auto"/>
        <w:ind w:left="1440" w:hanging="720"/>
        <w:contextualSpacing/>
        <w:rPr>
          <w:rStyle w:val="Hyperlink"/>
        </w:rPr>
      </w:pPr>
    </w:p>
    <w:p w:rsidR="00E350BB" w:rsidRPr="005457BD" w:rsidRDefault="00E350BB" w:rsidP="000F0B57">
      <w:pPr>
        <w:pStyle w:val="FootnoteText"/>
        <w:spacing w:line="480" w:lineRule="auto"/>
        <w:ind w:left="1440" w:hanging="720"/>
        <w:contextualSpacing/>
        <w:rPr>
          <w:rStyle w:val="Hyperlink"/>
        </w:rPr>
      </w:pPr>
      <w:r w:rsidRPr="005457BD">
        <w:rPr>
          <w:rFonts w:ascii="Times New Roman" w:hAnsi="Times New Roman"/>
          <w:sz w:val="24"/>
          <w:szCs w:val="24"/>
        </w:rPr>
        <w:t xml:space="preserve">Rosenberg, Morton. 2008.  “Congressional Review of Agency Rulemaking: An Update and Assessment of the Congressional Review Act After a Decade,” </w:t>
      </w:r>
      <w:r w:rsidRPr="005457BD">
        <w:rPr>
          <w:rFonts w:ascii="Times New Roman" w:hAnsi="Times New Roman"/>
          <w:i/>
          <w:sz w:val="24"/>
          <w:szCs w:val="24"/>
        </w:rPr>
        <w:t xml:space="preserve">Congressional Research Service, </w:t>
      </w:r>
      <w:r w:rsidRPr="005457BD">
        <w:rPr>
          <w:rFonts w:ascii="Times New Roman" w:hAnsi="Times New Roman"/>
          <w:sz w:val="24"/>
          <w:szCs w:val="24"/>
        </w:rPr>
        <w:t>Report No. RL30116.</w:t>
      </w:r>
    </w:p>
    <w:p w:rsidR="00E350BB" w:rsidRPr="005457BD" w:rsidRDefault="00E350BB" w:rsidP="000F0B57">
      <w:pPr>
        <w:pStyle w:val="FootnoteText"/>
        <w:spacing w:line="480" w:lineRule="auto"/>
        <w:ind w:left="1440" w:hanging="720"/>
        <w:contextualSpacing/>
        <w:rPr>
          <w:rStyle w:val="Hyperlink"/>
        </w:rPr>
      </w:pPr>
    </w:p>
    <w:p w:rsidR="00E350BB" w:rsidRPr="005457BD" w:rsidRDefault="00E350BB" w:rsidP="000F0B57">
      <w:pPr>
        <w:pStyle w:val="FootnoteText"/>
        <w:spacing w:line="480" w:lineRule="auto"/>
        <w:ind w:left="1440" w:hanging="720"/>
        <w:contextualSpacing/>
        <w:rPr>
          <w:rFonts w:ascii="Times New Roman" w:hAnsi="Times New Roman"/>
          <w:sz w:val="24"/>
          <w:szCs w:val="24"/>
        </w:rPr>
      </w:pPr>
      <w:r w:rsidRPr="005457BD">
        <w:rPr>
          <w:rFonts w:ascii="Times New Roman" w:hAnsi="Times New Roman"/>
          <w:sz w:val="24"/>
          <w:szCs w:val="24"/>
        </w:rPr>
        <w:t xml:space="preserve">Rossi, Jim. 2001. “Bargaining in the Shadow of Administrative Procedure: The Public Interest in Rulemaking Settlement,” 51 </w:t>
      </w:r>
      <w:r w:rsidRPr="005457BD">
        <w:rPr>
          <w:rFonts w:ascii="Times New Roman" w:hAnsi="Times New Roman"/>
          <w:i/>
          <w:sz w:val="24"/>
          <w:szCs w:val="24"/>
        </w:rPr>
        <w:t>Duke Law Journal</w:t>
      </w:r>
      <w:r w:rsidRPr="005457BD">
        <w:rPr>
          <w:rFonts w:ascii="Times New Roman" w:hAnsi="Times New Roman"/>
          <w:sz w:val="24"/>
          <w:szCs w:val="24"/>
        </w:rPr>
        <w:t xml:space="preserve"> 1015. </w:t>
      </w:r>
    </w:p>
    <w:p w:rsidR="00E350BB" w:rsidRPr="005457BD" w:rsidRDefault="00E350BB" w:rsidP="000F0B57">
      <w:pPr>
        <w:spacing w:line="480" w:lineRule="auto"/>
        <w:ind w:left="1440" w:hanging="720"/>
        <w:rPr>
          <w:rFonts w:ascii="Times New Roman" w:hAnsi="Times New Roman" w:cs="Times New Roman"/>
          <w:bCs/>
          <w:sz w:val="24"/>
          <w:szCs w:val="24"/>
        </w:rPr>
      </w:pPr>
      <w:r w:rsidRPr="005457BD">
        <w:rPr>
          <w:rFonts w:ascii="Times New Roman" w:hAnsi="Times New Roman" w:cs="Times New Roman"/>
          <w:bCs/>
          <w:sz w:val="24"/>
          <w:szCs w:val="24"/>
        </w:rPr>
        <w:t>Rubin, Edward. 2003. “</w:t>
      </w:r>
      <w:r w:rsidRPr="005457BD">
        <w:rPr>
          <w:rFonts w:ascii="Times New Roman" w:hAnsi="Times New Roman" w:cs="Times New Roman"/>
          <w:bCs/>
          <w:i/>
          <w:sz w:val="24"/>
          <w:szCs w:val="24"/>
        </w:rPr>
        <w:t>It’s Time to Make the Administrative Procedure Act Administrative</w:t>
      </w:r>
      <w:r w:rsidRPr="005457BD">
        <w:rPr>
          <w:rFonts w:ascii="Times New Roman" w:hAnsi="Times New Roman" w:cs="Times New Roman"/>
          <w:bCs/>
          <w:sz w:val="24"/>
          <w:szCs w:val="24"/>
        </w:rPr>
        <w:t xml:space="preserve">,” 89 </w:t>
      </w:r>
      <w:r w:rsidRPr="005457BD">
        <w:rPr>
          <w:rFonts w:ascii="Times New Roman" w:hAnsi="Times New Roman" w:cs="Times New Roman"/>
          <w:bCs/>
          <w:i/>
          <w:sz w:val="24"/>
          <w:szCs w:val="24"/>
        </w:rPr>
        <w:t>Cornell Law Review</w:t>
      </w:r>
      <w:r w:rsidRPr="005457BD">
        <w:rPr>
          <w:rFonts w:ascii="Times New Roman" w:hAnsi="Times New Roman" w:cs="Times New Roman"/>
          <w:bCs/>
          <w:sz w:val="24"/>
          <w:szCs w:val="24"/>
        </w:rPr>
        <w:t xml:space="preserve"> 95.</w:t>
      </w:r>
    </w:p>
    <w:p w:rsidR="00E350BB" w:rsidRPr="005457BD" w:rsidRDefault="00E350BB" w:rsidP="000F0B57">
      <w:pPr>
        <w:pStyle w:val="FootnoteText"/>
        <w:spacing w:line="480" w:lineRule="auto"/>
        <w:ind w:left="1440" w:hanging="720"/>
        <w:contextualSpacing/>
        <w:rPr>
          <w:rFonts w:ascii="Times New Roman" w:hAnsi="Times New Roman"/>
          <w:sz w:val="24"/>
          <w:szCs w:val="24"/>
        </w:rPr>
      </w:pPr>
      <w:r w:rsidRPr="005457BD">
        <w:rPr>
          <w:rFonts w:ascii="Times New Roman" w:hAnsi="Times New Roman"/>
          <w:sz w:val="24"/>
          <w:szCs w:val="24"/>
        </w:rPr>
        <w:t xml:space="preserve">Seidenfeld, Mark. 2000. “A Table of Requirements for Federal Administrative Rulemaking,” 27 </w:t>
      </w:r>
      <w:r w:rsidRPr="005457BD">
        <w:rPr>
          <w:rFonts w:ascii="Times New Roman" w:hAnsi="Times New Roman"/>
          <w:i/>
          <w:sz w:val="24"/>
          <w:szCs w:val="24"/>
        </w:rPr>
        <w:t>Florida State University Law Review</w:t>
      </w:r>
      <w:r w:rsidRPr="005457BD">
        <w:rPr>
          <w:rFonts w:ascii="Times New Roman" w:hAnsi="Times New Roman"/>
          <w:sz w:val="24"/>
          <w:szCs w:val="24"/>
        </w:rPr>
        <w:t xml:space="preserve"> 533. </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Shapiro, Sid, et al. 2012. “</w:t>
      </w:r>
      <w:r w:rsidRPr="005457BD">
        <w:rPr>
          <w:rFonts w:ascii="Times New Roman" w:hAnsi="Times New Roman" w:cs="Times New Roman"/>
          <w:iCs/>
          <w:sz w:val="24"/>
          <w:szCs w:val="24"/>
        </w:rPr>
        <w:t>The Enlightenment of Administrative Law: Looking Inside the Agency for Legitimacy</w:t>
      </w:r>
      <w:r w:rsidRPr="005457BD">
        <w:rPr>
          <w:rFonts w:ascii="Times New Roman" w:hAnsi="Times New Roman" w:cs="Times New Roman"/>
          <w:sz w:val="24"/>
          <w:szCs w:val="24"/>
        </w:rPr>
        <w:t xml:space="preserve">,” 47 </w:t>
      </w:r>
      <w:r w:rsidRPr="005457BD">
        <w:rPr>
          <w:rFonts w:ascii="Times New Roman" w:hAnsi="Times New Roman" w:cs="Times New Roman"/>
          <w:i/>
          <w:sz w:val="24"/>
          <w:szCs w:val="24"/>
        </w:rPr>
        <w:t>Wake Forest Law Review</w:t>
      </w:r>
      <w:r w:rsidRPr="005457BD">
        <w:rPr>
          <w:rFonts w:ascii="Times New Roman" w:hAnsi="Times New Roman" w:cs="Times New Roman"/>
          <w:smallCaps/>
          <w:sz w:val="24"/>
          <w:szCs w:val="24"/>
        </w:rPr>
        <w:t xml:space="preserve"> </w:t>
      </w:r>
      <w:r w:rsidRPr="005457BD">
        <w:rPr>
          <w:rFonts w:ascii="Times New Roman" w:hAnsi="Times New Roman" w:cs="Times New Roman"/>
          <w:sz w:val="24"/>
          <w:szCs w:val="24"/>
        </w:rPr>
        <w:t xml:space="preserve">463.  </w:t>
      </w:r>
    </w:p>
    <w:p w:rsidR="00E350BB" w:rsidRPr="005457BD" w:rsidRDefault="00E350BB" w:rsidP="000F0B57">
      <w:pPr>
        <w:pStyle w:val="FootnoteText"/>
        <w:spacing w:line="480" w:lineRule="auto"/>
        <w:ind w:left="1440" w:hanging="720"/>
        <w:contextualSpacing/>
        <w:rPr>
          <w:rFonts w:ascii="Times New Roman" w:hAnsi="Times New Roman"/>
          <w:sz w:val="24"/>
          <w:szCs w:val="24"/>
        </w:rPr>
      </w:pPr>
      <w:r w:rsidRPr="005457BD">
        <w:rPr>
          <w:rFonts w:ascii="Times New Roman" w:hAnsi="Times New Roman"/>
          <w:sz w:val="24"/>
          <w:szCs w:val="24"/>
        </w:rPr>
        <w:t xml:space="preserve">Smismans, Stijn. 2004.  </w:t>
      </w:r>
      <w:r w:rsidRPr="005457BD">
        <w:rPr>
          <w:rFonts w:ascii="Times New Roman" w:hAnsi="Times New Roman"/>
          <w:i/>
          <w:sz w:val="24"/>
          <w:szCs w:val="24"/>
        </w:rPr>
        <w:t>Law, Legitimacy, and European Governance: Functional Participation in Social Regulation</w:t>
      </w:r>
      <w:r w:rsidRPr="005457BD">
        <w:rPr>
          <w:rFonts w:ascii="Times New Roman" w:hAnsi="Times New Roman"/>
          <w:sz w:val="24"/>
          <w:szCs w:val="24"/>
        </w:rPr>
        <w:t>. Oxford: Oxford University Press.</w:t>
      </w:r>
    </w:p>
    <w:p w:rsidR="00E350BB" w:rsidRPr="005457BD" w:rsidRDefault="00E350BB" w:rsidP="000F0B57">
      <w:pPr>
        <w:pStyle w:val="FootnoteText"/>
        <w:spacing w:line="480" w:lineRule="auto"/>
        <w:ind w:left="1440" w:hanging="720"/>
        <w:contextualSpacing/>
        <w:rPr>
          <w:rFonts w:ascii="Times New Roman" w:hAnsi="Times New Roman"/>
          <w:sz w:val="24"/>
          <w:szCs w:val="24"/>
        </w:rPr>
      </w:pPr>
    </w:p>
    <w:p w:rsidR="00E350BB" w:rsidRPr="005457BD" w:rsidRDefault="00E350BB" w:rsidP="000F0B57">
      <w:pPr>
        <w:pStyle w:val="FootnoteText"/>
        <w:spacing w:line="480" w:lineRule="auto"/>
        <w:ind w:left="1440" w:hanging="720"/>
        <w:contextualSpacing/>
        <w:rPr>
          <w:rFonts w:ascii="Times New Roman" w:hAnsi="Times New Roman"/>
          <w:sz w:val="24"/>
          <w:szCs w:val="24"/>
        </w:rPr>
      </w:pPr>
      <w:r w:rsidRPr="005457BD">
        <w:rPr>
          <w:rFonts w:ascii="Times New Roman" w:hAnsi="Times New Roman"/>
          <w:sz w:val="24"/>
          <w:szCs w:val="24"/>
        </w:rPr>
        <w:t>Smismans, Stijn. 2014. “Regulatory procedure and participation in the European Union,” in Francesca Bignami and David Zaring, eds.,</w:t>
      </w:r>
      <w:r w:rsidRPr="005457BD">
        <w:rPr>
          <w:rFonts w:ascii="Times New Roman" w:hAnsi="Times New Roman"/>
          <w:b/>
          <w:sz w:val="24"/>
          <w:szCs w:val="24"/>
        </w:rPr>
        <w:t xml:space="preserve"> </w:t>
      </w:r>
      <w:r w:rsidRPr="005457BD">
        <w:rPr>
          <w:rFonts w:ascii="Times New Roman" w:hAnsi="Times New Roman"/>
          <w:i/>
          <w:sz w:val="24"/>
          <w:szCs w:val="24"/>
        </w:rPr>
        <w:t>Research Handbook on Comparative Law and Regulation.</w:t>
      </w:r>
      <w:r w:rsidRPr="005457BD">
        <w:rPr>
          <w:rFonts w:ascii="Times New Roman" w:hAnsi="Times New Roman"/>
          <w:sz w:val="24"/>
          <w:szCs w:val="24"/>
        </w:rPr>
        <w:t xml:space="preserve"> North Hampton, MA: Edward Elgar Press.</w:t>
      </w:r>
    </w:p>
    <w:p w:rsidR="00E350BB" w:rsidRPr="005457BD" w:rsidRDefault="00E350BB" w:rsidP="000F0B57">
      <w:pPr>
        <w:pStyle w:val="FootnoteText"/>
        <w:spacing w:line="480" w:lineRule="auto"/>
        <w:ind w:left="1440" w:hanging="720"/>
        <w:contextualSpacing/>
        <w:rPr>
          <w:rFonts w:ascii="Times New Roman" w:hAnsi="Times New Roman"/>
          <w:sz w:val="24"/>
          <w:szCs w:val="24"/>
        </w:rPr>
      </w:pPr>
    </w:p>
    <w:p w:rsidR="00E350BB" w:rsidRPr="005457BD" w:rsidRDefault="00E350BB" w:rsidP="000F0B57">
      <w:pPr>
        <w:pStyle w:val="FootnoteText"/>
        <w:spacing w:line="480" w:lineRule="auto"/>
        <w:ind w:left="1440" w:hanging="720"/>
        <w:contextualSpacing/>
        <w:rPr>
          <w:rFonts w:ascii="Times New Roman" w:hAnsi="Times New Roman"/>
          <w:sz w:val="24"/>
          <w:szCs w:val="24"/>
        </w:rPr>
      </w:pPr>
      <w:r w:rsidRPr="005457BD">
        <w:rPr>
          <w:rFonts w:ascii="Times New Roman" w:hAnsi="Times New Roman"/>
          <w:sz w:val="24"/>
          <w:szCs w:val="24"/>
        </w:rPr>
        <w:t xml:space="preserve">Steinzor, Rena, Michael Patoka, and James Goodwin. 2011. “Behind Closed Doors at the White House: How Politics Trumps Protection of Public Health, Worker Safety, and the Environment,” </w:t>
      </w:r>
      <w:r w:rsidRPr="005457BD">
        <w:rPr>
          <w:rFonts w:ascii="Times New Roman" w:hAnsi="Times New Roman"/>
          <w:i/>
          <w:sz w:val="24"/>
          <w:szCs w:val="24"/>
        </w:rPr>
        <w:t>CPR White Paper</w:t>
      </w:r>
      <w:r w:rsidRPr="005457BD">
        <w:rPr>
          <w:rFonts w:ascii="Times New Roman" w:hAnsi="Times New Roman"/>
          <w:sz w:val="24"/>
          <w:szCs w:val="24"/>
        </w:rPr>
        <w:t xml:space="preserve">, available at </w:t>
      </w:r>
      <w:hyperlink r:id="rId14" w:history="1">
        <w:r w:rsidRPr="005457BD">
          <w:rPr>
            <w:rStyle w:val="Hyperlink"/>
            <w:rFonts w:ascii="Times New Roman" w:hAnsi="Times New Roman"/>
            <w:sz w:val="24"/>
            <w:szCs w:val="24"/>
          </w:rPr>
          <w:t>http://www.progressivereform.org/articles/OIRA_Meetings_1111.pdf</w:t>
        </w:r>
      </w:hyperlink>
      <w:r w:rsidRPr="005457BD">
        <w:rPr>
          <w:rFonts w:ascii="Times New Roman" w:hAnsi="Times New Roman"/>
          <w:sz w:val="24"/>
          <w:szCs w:val="24"/>
        </w:rPr>
        <w:t xml:space="preserve">. </w:t>
      </w:r>
    </w:p>
    <w:p w:rsidR="00E350BB" w:rsidRPr="005457BD" w:rsidRDefault="00E350BB" w:rsidP="000F0B57">
      <w:pPr>
        <w:spacing w:line="480" w:lineRule="auto"/>
        <w:ind w:left="1440" w:hanging="720"/>
        <w:rPr>
          <w:rFonts w:ascii="Times New Roman" w:hAnsi="Times New Roman" w:cs="Times New Roman"/>
          <w:color w:val="000000"/>
          <w:sz w:val="24"/>
          <w:szCs w:val="24"/>
          <w:shd w:val="clear" w:color="auto" w:fill="FFFFFF"/>
        </w:rPr>
      </w:pPr>
      <w:r w:rsidRPr="005457BD">
        <w:rPr>
          <w:rFonts w:ascii="Times New Roman" w:hAnsi="Times New Roman" w:cs="Times New Roman"/>
          <w:sz w:val="24"/>
          <w:szCs w:val="24"/>
        </w:rPr>
        <w:t xml:space="preserve">Stewart, Richard. 1975. “The Reformation of American Administrative Law,” 88 </w:t>
      </w:r>
      <w:r w:rsidRPr="005457BD">
        <w:rPr>
          <w:rFonts w:ascii="Times New Roman" w:hAnsi="Times New Roman" w:cs="Times New Roman"/>
          <w:i/>
          <w:sz w:val="24"/>
          <w:szCs w:val="24"/>
        </w:rPr>
        <w:t>Harvard Law Review</w:t>
      </w:r>
      <w:r w:rsidRPr="005457BD">
        <w:rPr>
          <w:rFonts w:ascii="Times New Roman" w:hAnsi="Times New Roman" w:cs="Times New Roman"/>
          <w:sz w:val="24"/>
          <w:szCs w:val="24"/>
        </w:rPr>
        <w:t xml:space="preserve"> 1669. </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 xml:space="preserve">Strauss, Peter, Turner T. Smith, Jr., and Lucas Bergkamp. 2008.  </w:t>
      </w:r>
      <w:r w:rsidRPr="005457BD">
        <w:rPr>
          <w:rFonts w:ascii="Times New Roman" w:hAnsi="Times New Roman" w:cs="Times New Roman"/>
          <w:i/>
          <w:sz w:val="24"/>
          <w:szCs w:val="24"/>
        </w:rPr>
        <w:t>Administrative Law of the European Union: Rulemaking</w:t>
      </w:r>
      <w:r w:rsidRPr="005457BD">
        <w:rPr>
          <w:rFonts w:ascii="Times New Roman" w:hAnsi="Times New Roman" w:cs="Times New Roman"/>
          <w:sz w:val="24"/>
          <w:szCs w:val="24"/>
        </w:rPr>
        <w:t>. Chicago, IL: ABA Press.</w:t>
      </w:r>
    </w:p>
    <w:p w:rsidR="00E350BB" w:rsidRPr="005457BD" w:rsidRDefault="00E350BB" w:rsidP="000F0B57">
      <w:pPr>
        <w:spacing w:line="480" w:lineRule="auto"/>
        <w:ind w:left="1440" w:hanging="720"/>
        <w:rPr>
          <w:rFonts w:ascii="Times New Roman" w:hAnsi="Times New Roman" w:cs="Times New Roman"/>
          <w:color w:val="000000"/>
          <w:sz w:val="24"/>
          <w:szCs w:val="24"/>
          <w:shd w:val="clear" w:color="auto" w:fill="FFFFFF"/>
        </w:rPr>
      </w:pPr>
      <w:r w:rsidRPr="005457BD">
        <w:rPr>
          <w:rFonts w:ascii="Times New Roman" w:hAnsi="Times New Roman" w:cs="Times New Roman"/>
          <w:color w:val="000000"/>
          <w:sz w:val="24"/>
          <w:szCs w:val="24"/>
          <w:shd w:val="clear" w:color="auto" w:fill="FFFFFF"/>
        </w:rPr>
        <w:t xml:space="preserve">Tabler, Bryan and Mark Shere. 1990. “EPA’s Practice of Regulation-by-Memo,” </w:t>
      </w:r>
      <w:bookmarkStart w:id="1" w:name="SR;12867"/>
      <w:bookmarkEnd w:id="1"/>
      <w:r w:rsidRPr="005457BD">
        <w:rPr>
          <w:rFonts w:ascii="Times New Roman" w:hAnsi="Times New Roman" w:cs="Times New Roman"/>
          <w:color w:val="000000"/>
          <w:sz w:val="24"/>
          <w:szCs w:val="24"/>
          <w:shd w:val="clear" w:color="auto" w:fill="FFFFFF"/>
        </w:rPr>
        <w:t xml:space="preserve">5 </w:t>
      </w:r>
      <w:r w:rsidRPr="005457BD">
        <w:rPr>
          <w:rFonts w:ascii="Times New Roman" w:hAnsi="Times New Roman" w:cs="Times New Roman"/>
          <w:i/>
          <w:color w:val="000000"/>
          <w:sz w:val="24"/>
          <w:szCs w:val="24"/>
          <w:shd w:val="clear" w:color="auto" w:fill="FFFFFF"/>
        </w:rPr>
        <w:t>Natural Resources &amp; Environment</w:t>
      </w:r>
      <w:r w:rsidRPr="005457BD">
        <w:rPr>
          <w:rFonts w:ascii="Times New Roman" w:hAnsi="Times New Roman" w:cs="Times New Roman"/>
          <w:color w:val="000000"/>
          <w:sz w:val="24"/>
          <w:szCs w:val="24"/>
          <w:shd w:val="clear" w:color="auto" w:fill="FFFFFF"/>
        </w:rPr>
        <w:t>, Fall 1990, at 3</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U.S. Gov’t Accountability Office. 2005. Chemical Regulation: Options Exist to Improve EPA’s Ability to Assess Health Risks and Manage Its Chemical Review Program, Report No. GAO-05-458. Washington, DC: GPO</w:t>
      </w:r>
    </w:p>
    <w:p w:rsidR="00E350BB" w:rsidRPr="005457BD" w:rsidRDefault="00E350BB" w:rsidP="000F0B57">
      <w:pPr>
        <w:spacing w:line="480" w:lineRule="auto"/>
        <w:ind w:left="1440" w:hanging="720"/>
        <w:rPr>
          <w:rFonts w:ascii="Times New Roman" w:hAnsi="Times New Roman" w:cs="Times New Roman"/>
          <w:smallCaps/>
          <w:sz w:val="24"/>
          <w:szCs w:val="24"/>
        </w:rPr>
      </w:pPr>
      <w:r w:rsidRPr="005457BD">
        <w:rPr>
          <w:rFonts w:ascii="Times New Roman" w:hAnsi="Times New Roman" w:cs="Times New Roman"/>
          <w:sz w:val="24"/>
          <w:szCs w:val="24"/>
        </w:rPr>
        <w:t xml:space="preserve">Wagner, Wendy. 1995. “The Science Charade in Toxic Risk Regulation,” 95 </w:t>
      </w:r>
      <w:r w:rsidRPr="005457BD">
        <w:rPr>
          <w:rFonts w:ascii="Times New Roman" w:hAnsi="Times New Roman" w:cs="Times New Roman"/>
          <w:i/>
          <w:sz w:val="24"/>
          <w:szCs w:val="24"/>
        </w:rPr>
        <w:t>Columbia Law Review</w:t>
      </w:r>
      <w:r w:rsidRPr="005457BD">
        <w:rPr>
          <w:rFonts w:ascii="Times New Roman" w:hAnsi="Times New Roman" w:cs="Times New Roman"/>
          <w:smallCaps/>
          <w:sz w:val="24"/>
          <w:szCs w:val="24"/>
        </w:rPr>
        <w:t xml:space="preserve"> </w:t>
      </w:r>
      <w:r w:rsidRPr="005457BD">
        <w:rPr>
          <w:rFonts w:ascii="Times New Roman" w:hAnsi="Times New Roman" w:cs="Times New Roman"/>
          <w:sz w:val="24"/>
          <w:szCs w:val="24"/>
        </w:rPr>
        <w:t>1613.</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 xml:space="preserve">Wagner, Wendy. 2010. “Administrative Law, Filter Failure, and Information Capture,” 59 </w:t>
      </w:r>
      <w:r w:rsidRPr="00632E52">
        <w:rPr>
          <w:rFonts w:ascii="Times New Roman" w:hAnsi="Times New Roman" w:cs="Times New Roman"/>
          <w:i/>
          <w:sz w:val="24"/>
          <w:szCs w:val="24"/>
        </w:rPr>
        <w:t>Duke Law Journal</w:t>
      </w:r>
      <w:r w:rsidRPr="00632E52">
        <w:rPr>
          <w:rFonts w:ascii="Times New Roman" w:hAnsi="Times New Roman" w:cs="Times New Roman"/>
          <w:sz w:val="24"/>
          <w:szCs w:val="24"/>
        </w:rPr>
        <w:t xml:space="preserve"> </w:t>
      </w:r>
      <w:r w:rsidRPr="005457BD">
        <w:rPr>
          <w:rFonts w:ascii="Times New Roman" w:hAnsi="Times New Roman" w:cs="Times New Roman"/>
          <w:sz w:val="24"/>
          <w:szCs w:val="24"/>
        </w:rPr>
        <w:t>1321.</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Wagner, Wendy, et al. 2011. “Rulemaking in the Shade: An Empirical Study of EPA’s Air Toxic Emission Standards,</w:t>
      </w:r>
      <w:r w:rsidRPr="005457BD">
        <w:rPr>
          <w:rFonts w:ascii="Times New Roman" w:hAnsi="Times New Roman" w:cs="Times New Roman"/>
          <w:i/>
          <w:sz w:val="24"/>
          <w:szCs w:val="24"/>
        </w:rPr>
        <w:t xml:space="preserve">” </w:t>
      </w:r>
      <w:r w:rsidRPr="005457BD">
        <w:rPr>
          <w:rFonts w:ascii="Times New Roman" w:hAnsi="Times New Roman" w:cs="Times New Roman"/>
          <w:sz w:val="24"/>
          <w:szCs w:val="24"/>
        </w:rPr>
        <w:t xml:space="preserve">63 </w:t>
      </w:r>
      <w:r w:rsidRPr="005457BD">
        <w:rPr>
          <w:rFonts w:ascii="Times New Roman" w:hAnsi="Times New Roman" w:cs="Times New Roman"/>
          <w:i/>
          <w:sz w:val="24"/>
          <w:szCs w:val="24"/>
        </w:rPr>
        <w:t>Administrative Law Review</w:t>
      </w:r>
      <w:r w:rsidRPr="005457BD">
        <w:rPr>
          <w:rFonts w:ascii="Times New Roman" w:hAnsi="Times New Roman" w:cs="Times New Roman"/>
          <w:sz w:val="24"/>
          <w:szCs w:val="24"/>
        </w:rPr>
        <w:t xml:space="preserve"> 99.</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 xml:space="preserve">Wagner, Wendy. 2012. “Revisiting the Impact of Judicial Review on Agency Rulemaking: An Empirical Investigation,” 53 </w:t>
      </w:r>
      <w:r w:rsidRPr="005457BD">
        <w:rPr>
          <w:rFonts w:ascii="Times New Roman" w:hAnsi="Times New Roman" w:cs="Times New Roman"/>
          <w:i/>
          <w:sz w:val="24"/>
          <w:szCs w:val="24"/>
        </w:rPr>
        <w:t>William and Mary Law Review</w:t>
      </w:r>
      <w:r w:rsidRPr="005457BD">
        <w:rPr>
          <w:rFonts w:ascii="Times New Roman" w:hAnsi="Times New Roman" w:cs="Times New Roman"/>
          <w:sz w:val="24"/>
          <w:szCs w:val="24"/>
        </w:rPr>
        <w:t xml:space="preserve"> 1717.</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 xml:space="preserve">West, William. 2009. “Inside the Black Box: The Development of Proposed Rules and the Limits of Procedural Controls,” 41 </w:t>
      </w:r>
      <w:r w:rsidRPr="005457BD">
        <w:rPr>
          <w:rFonts w:ascii="Times New Roman" w:hAnsi="Times New Roman" w:cs="Times New Roman"/>
          <w:i/>
          <w:sz w:val="24"/>
          <w:szCs w:val="24"/>
        </w:rPr>
        <w:t>Administration and Society</w:t>
      </w:r>
      <w:r w:rsidRPr="005457BD">
        <w:rPr>
          <w:rFonts w:ascii="Times New Roman" w:hAnsi="Times New Roman" w:cs="Times New Roman"/>
          <w:sz w:val="24"/>
          <w:szCs w:val="24"/>
        </w:rPr>
        <w:t xml:space="preserve"> 576.</w:t>
      </w:r>
    </w:p>
    <w:p w:rsidR="00E350BB" w:rsidRPr="005457BD"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 xml:space="preserve">Wilson, James. 1980. </w:t>
      </w:r>
      <w:r w:rsidRPr="005457BD">
        <w:rPr>
          <w:rFonts w:ascii="Times New Roman" w:hAnsi="Times New Roman" w:cs="Times New Roman"/>
          <w:i/>
          <w:sz w:val="24"/>
          <w:szCs w:val="24"/>
        </w:rPr>
        <w:t>The Politics of Regulation</w:t>
      </w:r>
      <w:r w:rsidRPr="005457BD">
        <w:rPr>
          <w:rFonts w:ascii="Times New Roman" w:hAnsi="Times New Roman" w:cs="Times New Roman"/>
          <w:sz w:val="24"/>
          <w:szCs w:val="24"/>
        </w:rPr>
        <w:t>. NY, NY: Basic Books.</w:t>
      </w:r>
    </w:p>
    <w:p w:rsidR="00E350BB" w:rsidRPr="00632E52" w:rsidRDefault="00E350BB" w:rsidP="000F0B57">
      <w:pPr>
        <w:spacing w:line="480" w:lineRule="auto"/>
        <w:ind w:left="1440" w:hanging="720"/>
        <w:rPr>
          <w:rFonts w:ascii="Times New Roman" w:hAnsi="Times New Roman" w:cs="Times New Roman"/>
          <w:sz w:val="24"/>
          <w:szCs w:val="24"/>
        </w:rPr>
      </w:pPr>
      <w:r w:rsidRPr="005457BD">
        <w:rPr>
          <w:rFonts w:ascii="Times New Roman" w:hAnsi="Times New Roman" w:cs="Times New Roman"/>
          <w:sz w:val="24"/>
          <w:szCs w:val="24"/>
        </w:rPr>
        <w:t xml:space="preserve">Yackee, Jason and Susan Yackee. 2006. “A Bias Towards Business? Assessing Interest Group Influence on the U.S. Bureaucracy,” 68 </w:t>
      </w:r>
      <w:r w:rsidRPr="005457BD">
        <w:rPr>
          <w:rFonts w:ascii="Times New Roman" w:hAnsi="Times New Roman" w:cs="Times New Roman"/>
          <w:i/>
          <w:iCs/>
          <w:sz w:val="24"/>
          <w:szCs w:val="24"/>
        </w:rPr>
        <w:t>Journal of Politics</w:t>
      </w:r>
      <w:r w:rsidRPr="005457BD">
        <w:rPr>
          <w:rFonts w:ascii="Times New Roman" w:hAnsi="Times New Roman" w:cs="Times New Roman"/>
          <w:sz w:val="24"/>
          <w:szCs w:val="24"/>
        </w:rPr>
        <w:t xml:space="preserve"> 128.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w:altName w:val="Perpetu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215619"/>
      <w:docPartObj>
        <w:docPartGallery w:val="Page Numbers (Bottom of Page)"/>
        <w:docPartUnique/>
      </w:docPartObj>
    </w:sdtPr>
    <w:sdtEndPr>
      <w:rPr>
        <w:noProof/>
      </w:rPr>
    </w:sdtEndPr>
    <w:sdtContent>
      <w:p w:rsidR="00E350BB" w:rsidRDefault="00D157F0">
        <w:pPr>
          <w:pStyle w:val="Footer"/>
          <w:jc w:val="right"/>
        </w:pPr>
        <w:r>
          <w:fldChar w:fldCharType="begin"/>
        </w:r>
        <w:r w:rsidR="009515D0">
          <w:instrText xml:space="preserve"> PAGE   \* MERGEFORMAT </w:instrText>
        </w:r>
        <w:r>
          <w:fldChar w:fldCharType="separate"/>
        </w:r>
        <w:r w:rsidR="00B60FDA">
          <w:rPr>
            <w:noProof/>
          </w:rPr>
          <w:t>1</w:t>
        </w:r>
        <w:r>
          <w:rPr>
            <w:noProof/>
          </w:rPr>
          <w:fldChar w:fldCharType="end"/>
        </w:r>
      </w:p>
    </w:sdtContent>
  </w:sdt>
  <w:p w:rsidR="00E350BB" w:rsidRDefault="00E350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BDE" w:rsidRDefault="00C75BDE" w:rsidP="009F737B">
      <w:pPr>
        <w:spacing w:after="0" w:line="240" w:lineRule="auto"/>
      </w:pPr>
      <w:r>
        <w:separator/>
      </w:r>
    </w:p>
  </w:footnote>
  <w:footnote w:type="continuationSeparator" w:id="0">
    <w:p w:rsidR="00C75BDE" w:rsidRDefault="00C75BDE" w:rsidP="009F73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E16C6"/>
    <w:multiLevelType w:val="hybridMultilevel"/>
    <w:tmpl w:val="C0D434B8"/>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13456E6A"/>
    <w:multiLevelType w:val="hybridMultilevel"/>
    <w:tmpl w:val="A1D4B1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61141D"/>
    <w:multiLevelType w:val="hybridMultilevel"/>
    <w:tmpl w:val="2A06703A"/>
    <w:lvl w:ilvl="0" w:tplc="F7EA91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CCF65E7"/>
    <w:multiLevelType w:val="hybridMultilevel"/>
    <w:tmpl w:val="582AB114"/>
    <w:lvl w:ilvl="0" w:tplc="51243B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BB61EA"/>
    <w:multiLevelType w:val="hybridMultilevel"/>
    <w:tmpl w:val="2FBCBBAE"/>
    <w:lvl w:ilvl="0" w:tplc="A42CC5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D565CA"/>
    <w:multiLevelType w:val="hybridMultilevel"/>
    <w:tmpl w:val="32CE5DC6"/>
    <w:lvl w:ilvl="0" w:tplc="E9727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287CBE"/>
    <w:multiLevelType w:val="hybridMultilevel"/>
    <w:tmpl w:val="7A2A2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DD4CE1"/>
    <w:multiLevelType w:val="hybridMultilevel"/>
    <w:tmpl w:val="CF42972C"/>
    <w:lvl w:ilvl="0" w:tplc="F2C62FA8">
      <w:start w:val="1"/>
      <w:numFmt w:val="upp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5326FCC"/>
    <w:multiLevelType w:val="hybridMultilevel"/>
    <w:tmpl w:val="097E77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9564E1"/>
    <w:multiLevelType w:val="hybridMultilevel"/>
    <w:tmpl w:val="EA88E858"/>
    <w:lvl w:ilvl="0" w:tplc="B828610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54B0DE1"/>
    <w:multiLevelType w:val="hybridMultilevel"/>
    <w:tmpl w:val="1D7EB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846077"/>
    <w:multiLevelType w:val="hybridMultilevel"/>
    <w:tmpl w:val="AB08E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991032"/>
    <w:multiLevelType w:val="hybridMultilevel"/>
    <w:tmpl w:val="9606F9BA"/>
    <w:lvl w:ilvl="0" w:tplc="04090015">
      <w:start w:val="1"/>
      <w:numFmt w:val="upp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5B603F"/>
    <w:multiLevelType w:val="hybridMultilevel"/>
    <w:tmpl w:val="6624C98C"/>
    <w:lvl w:ilvl="0" w:tplc="2598B7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D4C2B0E"/>
    <w:multiLevelType w:val="hybridMultilevel"/>
    <w:tmpl w:val="07468896"/>
    <w:lvl w:ilvl="0" w:tplc="BC1054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12"/>
  </w:num>
  <w:num w:numId="4">
    <w:abstractNumId w:val="14"/>
  </w:num>
  <w:num w:numId="5">
    <w:abstractNumId w:val="2"/>
  </w:num>
  <w:num w:numId="6">
    <w:abstractNumId w:val="8"/>
  </w:num>
  <w:num w:numId="7">
    <w:abstractNumId w:val="11"/>
  </w:num>
  <w:num w:numId="8">
    <w:abstractNumId w:val="5"/>
  </w:num>
  <w:num w:numId="9">
    <w:abstractNumId w:val="1"/>
  </w:num>
  <w:num w:numId="10">
    <w:abstractNumId w:val="10"/>
  </w:num>
  <w:num w:numId="11">
    <w:abstractNumId w:val="13"/>
  </w:num>
  <w:num w:numId="12">
    <w:abstractNumId w:val="4"/>
  </w:num>
  <w:num w:numId="13">
    <w:abstractNumId w:val="7"/>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37B"/>
    <w:rsid w:val="00000612"/>
    <w:rsid w:val="00001F3A"/>
    <w:rsid w:val="000037C5"/>
    <w:rsid w:val="000046B5"/>
    <w:rsid w:val="00004A84"/>
    <w:rsid w:val="00006E61"/>
    <w:rsid w:val="00012BEC"/>
    <w:rsid w:val="00016EDD"/>
    <w:rsid w:val="00020BF8"/>
    <w:rsid w:val="00020FBE"/>
    <w:rsid w:val="00026D20"/>
    <w:rsid w:val="000277E2"/>
    <w:rsid w:val="00035D52"/>
    <w:rsid w:val="00042501"/>
    <w:rsid w:val="00043EE6"/>
    <w:rsid w:val="0004409E"/>
    <w:rsid w:val="00044349"/>
    <w:rsid w:val="000444C4"/>
    <w:rsid w:val="000470C8"/>
    <w:rsid w:val="000521AC"/>
    <w:rsid w:val="00056AB9"/>
    <w:rsid w:val="00060787"/>
    <w:rsid w:val="00060E2D"/>
    <w:rsid w:val="00063EB6"/>
    <w:rsid w:val="00065727"/>
    <w:rsid w:val="00073BF2"/>
    <w:rsid w:val="0008739C"/>
    <w:rsid w:val="00087E0A"/>
    <w:rsid w:val="00093EAB"/>
    <w:rsid w:val="000940ED"/>
    <w:rsid w:val="0009552A"/>
    <w:rsid w:val="000971FC"/>
    <w:rsid w:val="000A1208"/>
    <w:rsid w:val="000A2A5C"/>
    <w:rsid w:val="000A4A5D"/>
    <w:rsid w:val="000A6F19"/>
    <w:rsid w:val="000A72FF"/>
    <w:rsid w:val="000B20CA"/>
    <w:rsid w:val="000B23DC"/>
    <w:rsid w:val="000B2A05"/>
    <w:rsid w:val="000B674F"/>
    <w:rsid w:val="000B7BB5"/>
    <w:rsid w:val="000C4563"/>
    <w:rsid w:val="000C5A12"/>
    <w:rsid w:val="000D02FD"/>
    <w:rsid w:val="000D071F"/>
    <w:rsid w:val="000D3BBF"/>
    <w:rsid w:val="000D6405"/>
    <w:rsid w:val="000D7CCB"/>
    <w:rsid w:val="000E08CE"/>
    <w:rsid w:val="000E1015"/>
    <w:rsid w:val="000E1DCB"/>
    <w:rsid w:val="000E2839"/>
    <w:rsid w:val="000E7262"/>
    <w:rsid w:val="000F0B57"/>
    <w:rsid w:val="000F1DB6"/>
    <w:rsid w:val="000F36B4"/>
    <w:rsid w:val="000F5CC2"/>
    <w:rsid w:val="0010446C"/>
    <w:rsid w:val="00104A98"/>
    <w:rsid w:val="001071ED"/>
    <w:rsid w:val="0011133E"/>
    <w:rsid w:val="00114413"/>
    <w:rsid w:val="0011591D"/>
    <w:rsid w:val="001233A9"/>
    <w:rsid w:val="001236EC"/>
    <w:rsid w:val="0012456F"/>
    <w:rsid w:val="001259CD"/>
    <w:rsid w:val="001267F0"/>
    <w:rsid w:val="001319A4"/>
    <w:rsid w:val="001345DE"/>
    <w:rsid w:val="00135282"/>
    <w:rsid w:val="0014411A"/>
    <w:rsid w:val="0014463A"/>
    <w:rsid w:val="00146A26"/>
    <w:rsid w:val="001475BD"/>
    <w:rsid w:val="001553DA"/>
    <w:rsid w:val="00164988"/>
    <w:rsid w:val="00172E26"/>
    <w:rsid w:val="0018457C"/>
    <w:rsid w:val="001900B6"/>
    <w:rsid w:val="001A2E42"/>
    <w:rsid w:val="001A3319"/>
    <w:rsid w:val="001B6B43"/>
    <w:rsid w:val="001C077B"/>
    <w:rsid w:val="001C43D6"/>
    <w:rsid w:val="001C5C96"/>
    <w:rsid w:val="001C711D"/>
    <w:rsid w:val="001C7AB2"/>
    <w:rsid w:val="001D05B2"/>
    <w:rsid w:val="001D148A"/>
    <w:rsid w:val="001D3C3D"/>
    <w:rsid w:val="001E309E"/>
    <w:rsid w:val="001F274F"/>
    <w:rsid w:val="001F3791"/>
    <w:rsid w:val="001F49E8"/>
    <w:rsid w:val="0020155D"/>
    <w:rsid w:val="00206153"/>
    <w:rsid w:val="00211D4D"/>
    <w:rsid w:val="00221119"/>
    <w:rsid w:val="002230A6"/>
    <w:rsid w:val="00225810"/>
    <w:rsid w:val="0023445C"/>
    <w:rsid w:val="00235EF3"/>
    <w:rsid w:val="00242B1C"/>
    <w:rsid w:val="00255D48"/>
    <w:rsid w:val="00257676"/>
    <w:rsid w:val="0026147B"/>
    <w:rsid w:val="00261F53"/>
    <w:rsid w:val="002629F2"/>
    <w:rsid w:val="00264225"/>
    <w:rsid w:val="00270596"/>
    <w:rsid w:val="00272D94"/>
    <w:rsid w:val="00272DF0"/>
    <w:rsid w:val="0027448B"/>
    <w:rsid w:val="00274D1E"/>
    <w:rsid w:val="00280339"/>
    <w:rsid w:val="0028121B"/>
    <w:rsid w:val="00286082"/>
    <w:rsid w:val="00290CD0"/>
    <w:rsid w:val="00294519"/>
    <w:rsid w:val="002A19B7"/>
    <w:rsid w:val="002A2B86"/>
    <w:rsid w:val="002A35F0"/>
    <w:rsid w:val="002B1065"/>
    <w:rsid w:val="002B36F4"/>
    <w:rsid w:val="002B4E41"/>
    <w:rsid w:val="002C08BA"/>
    <w:rsid w:val="002C0C2F"/>
    <w:rsid w:val="002C1A90"/>
    <w:rsid w:val="002C2EA5"/>
    <w:rsid w:val="002C5269"/>
    <w:rsid w:val="002C5AC5"/>
    <w:rsid w:val="002C62CD"/>
    <w:rsid w:val="002C76E5"/>
    <w:rsid w:val="002D09B5"/>
    <w:rsid w:val="002D4BBE"/>
    <w:rsid w:val="002D5F76"/>
    <w:rsid w:val="002D6210"/>
    <w:rsid w:val="002E11BA"/>
    <w:rsid w:val="002E5BCC"/>
    <w:rsid w:val="002E79A5"/>
    <w:rsid w:val="002F130B"/>
    <w:rsid w:val="002F5936"/>
    <w:rsid w:val="00304776"/>
    <w:rsid w:val="00311A89"/>
    <w:rsid w:val="0031490E"/>
    <w:rsid w:val="00314D51"/>
    <w:rsid w:val="00316ADE"/>
    <w:rsid w:val="00323DA9"/>
    <w:rsid w:val="00325E4C"/>
    <w:rsid w:val="00332599"/>
    <w:rsid w:val="003342E1"/>
    <w:rsid w:val="0033459D"/>
    <w:rsid w:val="00337F3D"/>
    <w:rsid w:val="00342D4B"/>
    <w:rsid w:val="00347023"/>
    <w:rsid w:val="00350F76"/>
    <w:rsid w:val="00356BAA"/>
    <w:rsid w:val="00357253"/>
    <w:rsid w:val="00374315"/>
    <w:rsid w:val="00374B38"/>
    <w:rsid w:val="0037522E"/>
    <w:rsid w:val="00376316"/>
    <w:rsid w:val="00377739"/>
    <w:rsid w:val="0038422E"/>
    <w:rsid w:val="003853DA"/>
    <w:rsid w:val="00393CC8"/>
    <w:rsid w:val="00396DFA"/>
    <w:rsid w:val="003A1FB3"/>
    <w:rsid w:val="003A303C"/>
    <w:rsid w:val="003C0AE4"/>
    <w:rsid w:val="003C1010"/>
    <w:rsid w:val="003C4FC9"/>
    <w:rsid w:val="003D0DA9"/>
    <w:rsid w:val="003E0D2F"/>
    <w:rsid w:val="003E1B61"/>
    <w:rsid w:val="003E3EE8"/>
    <w:rsid w:val="003E57CD"/>
    <w:rsid w:val="003E5E1C"/>
    <w:rsid w:val="003E6475"/>
    <w:rsid w:val="003E6B51"/>
    <w:rsid w:val="003E7651"/>
    <w:rsid w:val="003E7F16"/>
    <w:rsid w:val="003F654D"/>
    <w:rsid w:val="00400390"/>
    <w:rsid w:val="00402CD0"/>
    <w:rsid w:val="004033B5"/>
    <w:rsid w:val="00421635"/>
    <w:rsid w:val="00421A17"/>
    <w:rsid w:val="00423FB4"/>
    <w:rsid w:val="00424AF4"/>
    <w:rsid w:val="004257FC"/>
    <w:rsid w:val="0044591F"/>
    <w:rsid w:val="00447644"/>
    <w:rsid w:val="00447858"/>
    <w:rsid w:val="00452EB5"/>
    <w:rsid w:val="00455D51"/>
    <w:rsid w:val="00461812"/>
    <w:rsid w:val="00464359"/>
    <w:rsid w:val="004732C6"/>
    <w:rsid w:val="00476931"/>
    <w:rsid w:val="00485DA9"/>
    <w:rsid w:val="00486919"/>
    <w:rsid w:val="00487491"/>
    <w:rsid w:val="00487E5F"/>
    <w:rsid w:val="00491231"/>
    <w:rsid w:val="00491AAD"/>
    <w:rsid w:val="004A07D1"/>
    <w:rsid w:val="004A4725"/>
    <w:rsid w:val="004A4C44"/>
    <w:rsid w:val="004B10A6"/>
    <w:rsid w:val="004B38A2"/>
    <w:rsid w:val="004B6000"/>
    <w:rsid w:val="004B64D8"/>
    <w:rsid w:val="004B6CD5"/>
    <w:rsid w:val="004B6DC6"/>
    <w:rsid w:val="004C11EB"/>
    <w:rsid w:val="004C3614"/>
    <w:rsid w:val="004C36F8"/>
    <w:rsid w:val="004C7B2D"/>
    <w:rsid w:val="004D2A91"/>
    <w:rsid w:val="004D3D0F"/>
    <w:rsid w:val="004D4728"/>
    <w:rsid w:val="004E5686"/>
    <w:rsid w:val="004F4DA2"/>
    <w:rsid w:val="00502D76"/>
    <w:rsid w:val="005040D6"/>
    <w:rsid w:val="00506EAE"/>
    <w:rsid w:val="00511DE5"/>
    <w:rsid w:val="00516519"/>
    <w:rsid w:val="00520752"/>
    <w:rsid w:val="0054395F"/>
    <w:rsid w:val="0054640D"/>
    <w:rsid w:val="005505CF"/>
    <w:rsid w:val="0056249B"/>
    <w:rsid w:val="005646A8"/>
    <w:rsid w:val="00567579"/>
    <w:rsid w:val="00567586"/>
    <w:rsid w:val="00571879"/>
    <w:rsid w:val="00571974"/>
    <w:rsid w:val="0057384A"/>
    <w:rsid w:val="00573A59"/>
    <w:rsid w:val="00573C5F"/>
    <w:rsid w:val="00574B54"/>
    <w:rsid w:val="0057609B"/>
    <w:rsid w:val="00580227"/>
    <w:rsid w:val="00584932"/>
    <w:rsid w:val="00586798"/>
    <w:rsid w:val="005869BD"/>
    <w:rsid w:val="005923A3"/>
    <w:rsid w:val="00594A79"/>
    <w:rsid w:val="005A106E"/>
    <w:rsid w:val="005A12DF"/>
    <w:rsid w:val="005A2078"/>
    <w:rsid w:val="005A362B"/>
    <w:rsid w:val="005A4509"/>
    <w:rsid w:val="005A4851"/>
    <w:rsid w:val="005A5E41"/>
    <w:rsid w:val="005B00B8"/>
    <w:rsid w:val="005B09B6"/>
    <w:rsid w:val="005B31CA"/>
    <w:rsid w:val="005B6457"/>
    <w:rsid w:val="005C0141"/>
    <w:rsid w:val="005C509A"/>
    <w:rsid w:val="005D3135"/>
    <w:rsid w:val="005D6A76"/>
    <w:rsid w:val="005E0777"/>
    <w:rsid w:val="005E1543"/>
    <w:rsid w:val="005E235B"/>
    <w:rsid w:val="005E44ED"/>
    <w:rsid w:val="005E6E6C"/>
    <w:rsid w:val="005F3282"/>
    <w:rsid w:val="005F34F2"/>
    <w:rsid w:val="005F4549"/>
    <w:rsid w:val="005F4819"/>
    <w:rsid w:val="005F4EC7"/>
    <w:rsid w:val="00602004"/>
    <w:rsid w:val="00611313"/>
    <w:rsid w:val="00617099"/>
    <w:rsid w:val="006209DE"/>
    <w:rsid w:val="00622573"/>
    <w:rsid w:val="00626386"/>
    <w:rsid w:val="006269AB"/>
    <w:rsid w:val="00632E52"/>
    <w:rsid w:val="00633EB4"/>
    <w:rsid w:val="00640BA8"/>
    <w:rsid w:val="00641BC7"/>
    <w:rsid w:val="00647F2A"/>
    <w:rsid w:val="0066128A"/>
    <w:rsid w:val="006633F0"/>
    <w:rsid w:val="0068090F"/>
    <w:rsid w:val="00681363"/>
    <w:rsid w:val="006823E9"/>
    <w:rsid w:val="006853F1"/>
    <w:rsid w:val="00690527"/>
    <w:rsid w:val="00692B19"/>
    <w:rsid w:val="00695B81"/>
    <w:rsid w:val="00696316"/>
    <w:rsid w:val="006A0579"/>
    <w:rsid w:val="006A596E"/>
    <w:rsid w:val="006B0A46"/>
    <w:rsid w:val="006B2D87"/>
    <w:rsid w:val="006B60AA"/>
    <w:rsid w:val="006B76C9"/>
    <w:rsid w:val="006C14E2"/>
    <w:rsid w:val="006C2C3A"/>
    <w:rsid w:val="006C32B8"/>
    <w:rsid w:val="006C5D93"/>
    <w:rsid w:val="006D025C"/>
    <w:rsid w:val="006D062C"/>
    <w:rsid w:val="006D0657"/>
    <w:rsid w:val="006D1760"/>
    <w:rsid w:val="006D31D6"/>
    <w:rsid w:val="006E0CF8"/>
    <w:rsid w:val="006E23EC"/>
    <w:rsid w:val="006F1A52"/>
    <w:rsid w:val="006F514B"/>
    <w:rsid w:val="007017AD"/>
    <w:rsid w:val="0070183A"/>
    <w:rsid w:val="00714765"/>
    <w:rsid w:val="00715E71"/>
    <w:rsid w:val="00717D10"/>
    <w:rsid w:val="0072069C"/>
    <w:rsid w:val="00723164"/>
    <w:rsid w:val="00726BA5"/>
    <w:rsid w:val="007360F3"/>
    <w:rsid w:val="007379E5"/>
    <w:rsid w:val="0074127B"/>
    <w:rsid w:val="00747775"/>
    <w:rsid w:val="007500A3"/>
    <w:rsid w:val="0075557D"/>
    <w:rsid w:val="007668F6"/>
    <w:rsid w:val="00766D16"/>
    <w:rsid w:val="00772947"/>
    <w:rsid w:val="0078126A"/>
    <w:rsid w:val="00790FFE"/>
    <w:rsid w:val="00793E8D"/>
    <w:rsid w:val="00795E16"/>
    <w:rsid w:val="007A110F"/>
    <w:rsid w:val="007A1694"/>
    <w:rsid w:val="007A34DD"/>
    <w:rsid w:val="007B422F"/>
    <w:rsid w:val="007B4488"/>
    <w:rsid w:val="007B5441"/>
    <w:rsid w:val="007B5DDC"/>
    <w:rsid w:val="007B6D9D"/>
    <w:rsid w:val="007C0516"/>
    <w:rsid w:val="007D21FA"/>
    <w:rsid w:val="007D29EB"/>
    <w:rsid w:val="007D3F78"/>
    <w:rsid w:val="007E0298"/>
    <w:rsid w:val="007F05E8"/>
    <w:rsid w:val="007F22E1"/>
    <w:rsid w:val="00812409"/>
    <w:rsid w:val="008127C2"/>
    <w:rsid w:val="008142A6"/>
    <w:rsid w:val="008156CD"/>
    <w:rsid w:val="008158B1"/>
    <w:rsid w:val="008159DB"/>
    <w:rsid w:val="0081724B"/>
    <w:rsid w:val="0081728C"/>
    <w:rsid w:val="008279AA"/>
    <w:rsid w:val="00830F9E"/>
    <w:rsid w:val="0083367B"/>
    <w:rsid w:val="008342D8"/>
    <w:rsid w:val="008357C9"/>
    <w:rsid w:val="00836B60"/>
    <w:rsid w:val="008418D1"/>
    <w:rsid w:val="00841A1F"/>
    <w:rsid w:val="00844AC5"/>
    <w:rsid w:val="00851183"/>
    <w:rsid w:val="00853961"/>
    <w:rsid w:val="00854620"/>
    <w:rsid w:val="008647CF"/>
    <w:rsid w:val="008928EA"/>
    <w:rsid w:val="00897ED8"/>
    <w:rsid w:val="008B01C8"/>
    <w:rsid w:val="008B05B0"/>
    <w:rsid w:val="008B297A"/>
    <w:rsid w:val="008B7CD3"/>
    <w:rsid w:val="008C58E4"/>
    <w:rsid w:val="008D2D48"/>
    <w:rsid w:val="008E2968"/>
    <w:rsid w:val="008E3CD1"/>
    <w:rsid w:val="008E507C"/>
    <w:rsid w:val="008F24D5"/>
    <w:rsid w:val="008F3705"/>
    <w:rsid w:val="008F3BE8"/>
    <w:rsid w:val="008F445A"/>
    <w:rsid w:val="00906E0A"/>
    <w:rsid w:val="00907B17"/>
    <w:rsid w:val="00922823"/>
    <w:rsid w:val="009266CB"/>
    <w:rsid w:val="00927597"/>
    <w:rsid w:val="00931944"/>
    <w:rsid w:val="00935AB5"/>
    <w:rsid w:val="00936A00"/>
    <w:rsid w:val="00946DE4"/>
    <w:rsid w:val="0094765F"/>
    <w:rsid w:val="009515D0"/>
    <w:rsid w:val="00963996"/>
    <w:rsid w:val="00964090"/>
    <w:rsid w:val="00965AB5"/>
    <w:rsid w:val="00970831"/>
    <w:rsid w:val="00972B4F"/>
    <w:rsid w:val="00974525"/>
    <w:rsid w:val="009867E7"/>
    <w:rsid w:val="009B0BD9"/>
    <w:rsid w:val="009C38C2"/>
    <w:rsid w:val="009C4409"/>
    <w:rsid w:val="009C51B2"/>
    <w:rsid w:val="009C7840"/>
    <w:rsid w:val="009C7FDA"/>
    <w:rsid w:val="009D174C"/>
    <w:rsid w:val="009E14C3"/>
    <w:rsid w:val="009E2829"/>
    <w:rsid w:val="009E67BD"/>
    <w:rsid w:val="009F0E41"/>
    <w:rsid w:val="009F5BB5"/>
    <w:rsid w:val="009F682F"/>
    <w:rsid w:val="009F737B"/>
    <w:rsid w:val="00A12852"/>
    <w:rsid w:val="00A12DFA"/>
    <w:rsid w:val="00A22C69"/>
    <w:rsid w:val="00A23B29"/>
    <w:rsid w:val="00A23B66"/>
    <w:rsid w:val="00A26DB1"/>
    <w:rsid w:val="00A3096A"/>
    <w:rsid w:val="00A51369"/>
    <w:rsid w:val="00A55F5E"/>
    <w:rsid w:val="00A60F13"/>
    <w:rsid w:val="00A610B6"/>
    <w:rsid w:val="00A64871"/>
    <w:rsid w:val="00A6580A"/>
    <w:rsid w:val="00A6750E"/>
    <w:rsid w:val="00A67C7D"/>
    <w:rsid w:val="00A71ECF"/>
    <w:rsid w:val="00A77010"/>
    <w:rsid w:val="00A816AD"/>
    <w:rsid w:val="00A83E71"/>
    <w:rsid w:val="00A85CB4"/>
    <w:rsid w:val="00A868A0"/>
    <w:rsid w:val="00A87E70"/>
    <w:rsid w:val="00A905B0"/>
    <w:rsid w:val="00A91F54"/>
    <w:rsid w:val="00A9236C"/>
    <w:rsid w:val="00A97489"/>
    <w:rsid w:val="00A974D6"/>
    <w:rsid w:val="00AA0F67"/>
    <w:rsid w:val="00AA53B7"/>
    <w:rsid w:val="00AB07E6"/>
    <w:rsid w:val="00AB35D5"/>
    <w:rsid w:val="00AB6C9E"/>
    <w:rsid w:val="00AB73B5"/>
    <w:rsid w:val="00AC2472"/>
    <w:rsid w:val="00AC2F36"/>
    <w:rsid w:val="00AC75F1"/>
    <w:rsid w:val="00AD1889"/>
    <w:rsid w:val="00AD3FAE"/>
    <w:rsid w:val="00AD49B6"/>
    <w:rsid w:val="00AE1178"/>
    <w:rsid w:val="00AE55E3"/>
    <w:rsid w:val="00AE6940"/>
    <w:rsid w:val="00AF102F"/>
    <w:rsid w:val="00AF346D"/>
    <w:rsid w:val="00AF3F54"/>
    <w:rsid w:val="00AF75BB"/>
    <w:rsid w:val="00B021CF"/>
    <w:rsid w:val="00B022C4"/>
    <w:rsid w:val="00B0563E"/>
    <w:rsid w:val="00B07C25"/>
    <w:rsid w:val="00B07E1A"/>
    <w:rsid w:val="00B21F3A"/>
    <w:rsid w:val="00B240A3"/>
    <w:rsid w:val="00B3163A"/>
    <w:rsid w:val="00B31EA5"/>
    <w:rsid w:val="00B400C2"/>
    <w:rsid w:val="00B403BA"/>
    <w:rsid w:val="00B4309C"/>
    <w:rsid w:val="00B43887"/>
    <w:rsid w:val="00B447C7"/>
    <w:rsid w:val="00B44A55"/>
    <w:rsid w:val="00B44DD8"/>
    <w:rsid w:val="00B453F8"/>
    <w:rsid w:val="00B455D4"/>
    <w:rsid w:val="00B50BAB"/>
    <w:rsid w:val="00B52ABD"/>
    <w:rsid w:val="00B5545C"/>
    <w:rsid w:val="00B60FDA"/>
    <w:rsid w:val="00B61072"/>
    <w:rsid w:val="00B649A2"/>
    <w:rsid w:val="00B67891"/>
    <w:rsid w:val="00B7547F"/>
    <w:rsid w:val="00B75BB0"/>
    <w:rsid w:val="00B82B05"/>
    <w:rsid w:val="00B90A38"/>
    <w:rsid w:val="00B919ED"/>
    <w:rsid w:val="00B932B8"/>
    <w:rsid w:val="00B96708"/>
    <w:rsid w:val="00BA7642"/>
    <w:rsid w:val="00BB2087"/>
    <w:rsid w:val="00BC2459"/>
    <w:rsid w:val="00BC60E6"/>
    <w:rsid w:val="00BD0D93"/>
    <w:rsid w:val="00BD1706"/>
    <w:rsid w:val="00BD6519"/>
    <w:rsid w:val="00BD7B53"/>
    <w:rsid w:val="00BD7FDA"/>
    <w:rsid w:val="00BF318F"/>
    <w:rsid w:val="00BF4672"/>
    <w:rsid w:val="00BF4BA2"/>
    <w:rsid w:val="00BF622A"/>
    <w:rsid w:val="00C0270A"/>
    <w:rsid w:val="00C06B04"/>
    <w:rsid w:val="00C12C1A"/>
    <w:rsid w:val="00C26B00"/>
    <w:rsid w:val="00C3310A"/>
    <w:rsid w:val="00C34A7D"/>
    <w:rsid w:val="00C420E8"/>
    <w:rsid w:val="00C42701"/>
    <w:rsid w:val="00C46C57"/>
    <w:rsid w:val="00C55553"/>
    <w:rsid w:val="00C63930"/>
    <w:rsid w:val="00C65473"/>
    <w:rsid w:val="00C670B7"/>
    <w:rsid w:val="00C70DD5"/>
    <w:rsid w:val="00C75BDE"/>
    <w:rsid w:val="00C76A44"/>
    <w:rsid w:val="00C819FA"/>
    <w:rsid w:val="00C82560"/>
    <w:rsid w:val="00C82A7D"/>
    <w:rsid w:val="00C909F6"/>
    <w:rsid w:val="00CA099C"/>
    <w:rsid w:val="00CA3260"/>
    <w:rsid w:val="00CA43E4"/>
    <w:rsid w:val="00CA7217"/>
    <w:rsid w:val="00CA7EE0"/>
    <w:rsid w:val="00CC1DB7"/>
    <w:rsid w:val="00CD07FD"/>
    <w:rsid w:val="00CE3E39"/>
    <w:rsid w:val="00CE4DF7"/>
    <w:rsid w:val="00CF1343"/>
    <w:rsid w:val="00CF1D35"/>
    <w:rsid w:val="00CF4601"/>
    <w:rsid w:val="00CF55C8"/>
    <w:rsid w:val="00D11CFD"/>
    <w:rsid w:val="00D157F0"/>
    <w:rsid w:val="00D222FF"/>
    <w:rsid w:val="00D23313"/>
    <w:rsid w:val="00D4207E"/>
    <w:rsid w:val="00D4537A"/>
    <w:rsid w:val="00D47DC4"/>
    <w:rsid w:val="00D53B77"/>
    <w:rsid w:val="00D635B1"/>
    <w:rsid w:val="00D63E9C"/>
    <w:rsid w:val="00D723CA"/>
    <w:rsid w:val="00D84ECD"/>
    <w:rsid w:val="00D90AD9"/>
    <w:rsid w:val="00D92883"/>
    <w:rsid w:val="00DA7099"/>
    <w:rsid w:val="00DA76F6"/>
    <w:rsid w:val="00DC454A"/>
    <w:rsid w:val="00DC4883"/>
    <w:rsid w:val="00DC59B5"/>
    <w:rsid w:val="00DD65AB"/>
    <w:rsid w:val="00DE4903"/>
    <w:rsid w:val="00DF1019"/>
    <w:rsid w:val="00DF2998"/>
    <w:rsid w:val="00DF2A07"/>
    <w:rsid w:val="00DF31C1"/>
    <w:rsid w:val="00DF3E88"/>
    <w:rsid w:val="00DF7E46"/>
    <w:rsid w:val="00E00DAD"/>
    <w:rsid w:val="00E11654"/>
    <w:rsid w:val="00E227D3"/>
    <w:rsid w:val="00E25F2C"/>
    <w:rsid w:val="00E26277"/>
    <w:rsid w:val="00E2665A"/>
    <w:rsid w:val="00E26DC7"/>
    <w:rsid w:val="00E350BB"/>
    <w:rsid w:val="00E41FDF"/>
    <w:rsid w:val="00E44357"/>
    <w:rsid w:val="00E4589D"/>
    <w:rsid w:val="00E50373"/>
    <w:rsid w:val="00E51017"/>
    <w:rsid w:val="00E51E97"/>
    <w:rsid w:val="00E542A2"/>
    <w:rsid w:val="00E547E0"/>
    <w:rsid w:val="00E55238"/>
    <w:rsid w:val="00E555E3"/>
    <w:rsid w:val="00E56FEE"/>
    <w:rsid w:val="00E60A44"/>
    <w:rsid w:val="00E623F6"/>
    <w:rsid w:val="00E714C6"/>
    <w:rsid w:val="00E806AB"/>
    <w:rsid w:val="00E907E6"/>
    <w:rsid w:val="00E91894"/>
    <w:rsid w:val="00E96B99"/>
    <w:rsid w:val="00EA2549"/>
    <w:rsid w:val="00EA3964"/>
    <w:rsid w:val="00EA6743"/>
    <w:rsid w:val="00EA7F5F"/>
    <w:rsid w:val="00EB7DF4"/>
    <w:rsid w:val="00EC7846"/>
    <w:rsid w:val="00ED1BB4"/>
    <w:rsid w:val="00ED4B1D"/>
    <w:rsid w:val="00EE3F71"/>
    <w:rsid w:val="00EE4747"/>
    <w:rsid w:val="00EE51D5"/>
    <w:rsid w:val="00EE662D"/>
    <w:rsid w:val="00EF50BF"/>
    <w:rsid w:val="00EF57B4"/>
    <w:rsid w:val="00F01FA7"/>
    <w:rsid w:val="00F06D1A"/>
    <w:rsid w:val="00F06EFD"/>
    <w:rsid w:val="00F11C5F"/>
    <w:rsid w:val="00F12DD1"/>
    <w:rsid w:val="00F20A78"/>
    <w:rsid w:val="00F22484"/>
    <w:rsid w:val="00F2253D"/>
    <w:rsid w:val="00F26EA3"/>
    <w:rsid w:val="00F27FBD"/>
    <w:rsid w:val="00F349D9"/>
    <w:rsid w:val="00F35F8B"/>
    <w:rsid w:val="00F36288"/>
    <w:rsid w:val="00F36469"/>
    <w:rsid w:val="00F525E9"/>
    <w:rsid w:val="00F54C8F"/>
    <w:rsid w:val="00F7142D"/>
    <w:rsid w:val="00F744FC"/>
    <w:rsid w:val="00F83E28"/>
    <w:rsid w:val="00F87AC9"/>
    <w:rsid w:val="00F93197"/>
    <w:rsid w:val="00F94CAD"/>
    <w:rsid w:val="00FA1AD5"/>
    <w:rsid w:val="00FA42C3"/>
    <w:rsid w:val="00FA5D25"/>
    <w:rsid w:val="00FA5F22"/>
    <w:rsid w:val="00FA6A17"/>
    <w:rsid w:val="00FB1AF2"/>
    <w:rsid w:val="00FB22B6"/>
    <w:rsid w:val="00FB5AC4"/>
    <w:rsid w:val="00FB5FEB"/>
    <w:rsid w:val="00FB72BC"/>
    <w:rsid w:val="00FD2022"/>
    <w:rsid w:val="00FD4D36"/>
    <w:rsid w:val="00FD736F"/>
    <w:rsid w:val="00FE3F76"/>
    <w:rsid w:val="00FE6812"/>
    <w:rsid w:val="00FE7284"/>
    <w:rsid w:val="00FF3E4A"/>
    <w:rsid w:val="00FF5F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28019A-4629-4E56-88E9-BA8D37B2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40D"/>
  </w:style>
  <w:style w:type="paragraph" w:styleId="Heading2">
    <w:name w:val="heading 2"/>
    <w:basedOn w:val="Normal"/>
    <w:link w:val="Heading2Char"/>
    <w:uiPriority w:val="9"/>
    <w:qFormat/>
    <w:rsid w:val="001113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9F737B"/>
    <w:pPr>
      <w:ind w:left="720"/>
      <w:contextualSpacing/>
    </w:pPr>
    <w:rPr>
      <w:rFonts w:ascii="Calibri" w:eastAsia="Times New Roman" w:hAnsi="Calibri" w:cs="Times New Roman"/>
    </w:rPr>
  </w:style>
  <w:style w:type="paragraph" w:styleId="FootnoteText">
    <w:name w:val="footnote text"/>
    <w:aliases w:val=" Char,Char"/>
    <w:basedOn w:val="Normal"/>
    <w:link w:val="FootnoteTextChar"/>
    <w:rsid w:val="009F737B"/>
    <w:rPr>
      <w:rFonts w:ascii="Calibri" w:eastAsia="Times New Roman" w:hAnsi="Calibri" w:cs="Times New Roman"/>
      <w:sz w:val="20"/>
      <w:szCs w:val="20"/>
    </w:rPr>
  </w:style>
  <w:style w:type="character" w:customStyle="1" w:styleId="FootnoteTextChar">
    <w:name w:val="Footnote Text Char"/>
    <w:aliases w:val=" Char Char,Char Char"/>
    <w:basedOn w:val="DefaultParagraphFont"/>
    <w:link w:val="FootnoteText"/>
    <w:rsid w:val="009F737B"/>
    <w:rPr>
      <w:rFonts w:ascii="Calibri" w:eastAsia="Times New Roman" w:hAnsi="Calibri" w:cs="Times New Roman"/>
      <w:sz w:val="20"/>
      <w:szCs w:val="20"/>
    </w:rPr>
  </w:style>
  <w:style w:type="character" w:styleId="FootnoteReference">
    <w:name w:val="footnote reference"/>
    <w:rsid w:val="009F737B"/>
    <w:rPr>
      <w:vertAlign w:val="superscript"/>
    </w:rPr>
  </w:style>
  <w:style w:type="paragraph" w:styleId="Header">
    <w:name w:val="header"/>
    <w:basedOn w:val="Normal"/>
    <w:link w:val="HeaderChar"/>
    <w:uiPriority w:val="99"/>
    <w:unhideWhenUsed/>
    <w:rsid w:val="003E7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F16"/>
  </w:style>
  <w:style w:type="paragraph" w:styleId="Footer">
    <w:name w:val="footer"/>
    <w:basedOn w:val="Normal"/>
    <w:link w:val="FooterChar"/>
    <w:uiPriority w:val="99"/>
    <w:unhideWhenUsed/>
    <w:rsid w:val="003E7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F16"/>
  </w:style>
  <w:style w:type="character" w:styleId="Hyperlink">
    <w:name w:val="Hyperlink"/>
    <w:unhideWhenUsed/>
    <w:rsid w:val="00A77010"/>
    <w:rPr>
      <w:color w:val="0000FF"/>
      <w:u w:val="single"/>
    </w:rPr>
  </w:style>
  <w:style w:type="paragraph" w:styleId="BalloonText">
    <w:name w:val="Balloon Text"/>
    <w:basedOn w:val="Normal"/>
    <w:link w:val="BalloonTextChar"/>
    <w:uiPriority w:val="99"/>
    <w:semiHidden/>
    <w:unhideWhenUsed/>
    <w:rsid w:val="00897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ED8"/>
    <w:rPr>
      <w:rFonts w:ascii="Tahoma" w:hAnsi="Tahoma" w:cs="Tahoma"/>
      <w:sz w:val="16"/>
      <w:szCs w:val="16"/>
    </w:rPr>
  </w:style>
  <w:style w:type="character" w:customStyle="1" w:styleId="Heading2Char">
    <w:name w:val="Heading 2 Char"/>
    <w:basedOn w:val="DefaultParagraphFont"/>
    <w:link w:val="Heading2"/>
    <w:uiPriority w:val="9"/>
    <w:rsid w:val="0011133E"/>
    <w:rPr>
      <w:rFonts w:ascii="Times New Roman" w:eastAsia="Times New Roman" w:hAnsi="Times New Roman" w:cs="Times New Roman"/>
      <w:b/>
      <w:bCs/>
      <w:sz w:val="36"/>
      <w:szCs w:val="36"/>
    </w:rPr>
  </w:style>
  <w:style w:type="character" w:customStyle="1" w:styleId="plainlinks">
    <w:name w:val="plainlinks"/>
    <w:basedOn w:val="DefaultParagraphFont"/>
    <w:rsid w:val="001C077B"/>
  </w:style>
  <w:style w:type="paragraph" w:customStyle="1" w:styleId="FootNote">
    <w:name w:val="_FootNote"/>
    <w:basedOn w:val="Normal"/>
    <w:qFormat/>
    <w:rsid w:val="00AD49B6"/>
    <w:pPr>
      <w:widowControl w:val="0"/>
      <w:suppressLineNumbers/>
      <w:tabs>
        <w:tab w:val="right" w:pos="480"/>
        <w:tab w:val="left" w:pos="640"/>
      </w:tabs>
      <w:spacing w:after="0" w:line="240" w:lineRule="auto"/>
      <w:jc w:val="both"/>
    </w:pPr>
    <w:rPr>
      <w:rFonts w:ascii="Baskerville" w:eastAsia="Times New Roman" w:hAnsi="Baskerville" w:cs="Times New Roman"/>
      <w:sz w:val="18"/>
      <w:szCs w:val="20"/>
    </w:rPr>
  </w:style>
  <w:style w:type="character" w:customStyle="1" w:styleId="NoterefInText">
    <w:name w:val="_NoterefInText"/>
    <w:basedOn w:val="DefaultParagraphFont"/>
    <w:qFormat/>
    <w:rsid w:val="00AD49B6"/>
    <w:rPr>
      <w:rFonts w:ascii="Baskerville" w:hAnsi="Baskerville"/>
      <w:sz w:val="22"/>
      <w:vertAlign w:val="superscript"/>
    </w:rPr>
  </w:style>
  <w:style w:type="character" w:customStyle="1" w:styleId="NoterefInNote">
    <w:name w:val="_NoterefInNote"/>
    <w:basedOn w:val="DefaultParagraphFont"/>
    <w:qFormat/>
    <w:rsid w:val="00AD49B6"/>
    <w:rPr>
      <w:rFonts w:ascii="Baskerville" w:hAnsi="Baskerville"/>
      <w:sz w:val="18"/>
      <w:vertAlign w:val="baseline"/>
    </w:rPr>
  </w:style>
  <w:style w:type="character" w:customStyle="1" w:styleId="apple-converted-space">
    <w:name w:val="apple-converted-space"/>
    <w:basedOn w:val="DefaultParagraphFont"/>
    <w:rsid w:val="003E57CD"/>
  </w:style>
  <w:style w:type="character" w:styleId="FollowedHyperlink">
    <w:name w:val="FollowedHyperlink"/>
    <w:basedOn w:val="DefaultParagraphFont"/>
    <w:uiPriority w:val="99"/>
    <w:semiHidden/>
    <w:unhideWhenUsed/>
    <w:rsid w:val="0078126A"/>
    <w:rPr>
      <w:color w:val="800080" w:themeColor="followedHyperlink"/>
      <w:u w:val="single"/>
    </w:rPr>
  </w:style>
  <w:style w:type="paragraph" w:styleId="EndnoteText">
    <w:name w:val="endnote text"/>
    <w:basedOn w:val="Normal"/>
    <w:link w:val="EndnoteTextChar"/>
    <w:uiPriority w:val="99"/>
    <w:semiHidden/>
    <w:unhideWhenUsed/>
    <w:rsid w:val="00632E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2E52"/>
    <w:rPr>
      <w:sz w:val="20"/>
      <w:szCs w:val="20"/>
    </w:rPr>
  </w:style>
  <w:style w:type="character" w:styleId="EndnoteReference">
    <w:name w:val="endnote reference"/>
    <w:basedOn w:val="DefaultParagraphFont"/>
    <w:uiPriority w:val="99"/>
    <w:semiHidden/>
    <w:unhideWhenUsed/>
    <w:rsid w:val="00632E52"/>
    <w:rPr>
      <w:vertAlign w:val="superscript"/>
    </w:rPr>
  </w:style>
  <w:style w:type="character" w:styleId="CommentReference">
    <w:name w:val="annotation reference"/>
    <w:basedOn w:val="DefaultParagraphFont"/>
    <w:uiPriority w:val="99"/>
    <w:semiHidden/>
    <w:unhideWhenUsed/>
    <w:rsid w:val="00B90A38"/>
    <w:rPr>
      <w:sz w:val="18"/>
      <w:szCs w:val="18"/>
    </w:rPr>
  </w:style>
  <w:style w:type="paragraph" w:styleId="CommentText">
    <w:name w:val="annotation text"/>
    <w:basedOn w:val="Normal"/>
    <w:link w:val="CommentTextChar"/>
    <w:uiPriority w:val="99"/>
    <w:semiHidden/>
    <w:unhideWhenUsed/>
    <w:rsid w:val="00B90A38"/>
    <w:pPr>
      <w:spacing w:line="240" w:lineRule="auto"/>
    </w:pPr>
    <w:rPr>
      <w:sz w:val="24"/>
      <w:szCs w:val="24"/>
    </w:rPr>
  </w:style>
  <w:style w:type="character" w:customStyle="1" w:styleId="CommentTextChar">
    <w:name w:val="Comment Text Char"/>
    <w:basedOn w:val="DefaultParagraphFont"/>
    <w:link w:val="CommentText"/>
    <w:uiPriority w:val="99"/>
    <w:semiHidden/>
    <w:rsid w:val="00B90A38"/>
    <w:rPr>
      <w:sz w:val="24"/>
      <w:szCs w:val="24"/>
    </w:rPr>
  </w:style>
  <w:style w:type="paragraph" w:styleId="CommentSubject">
    <w:name w:val="annotation subject"/>
    <w:basedOn w:val="CommentText"/>
    <w:next w:val="CommentText"/>
    <w:link w:val="CommentSubjectChar"/>
    <w:uiPriority w:val="99"/>
    <w:semiHidden/>
    <w:unhideWhenUsed/>
    <w:rsid w:val="00B90A38"/>
    <w:rPr>
      <w:b/>
      <w:bCs/>
      <w:sz w:val="20"/>
      <w:szCs w:val="20"/>
    </w:rPr>
  </w:style>
  <w:style w:type="character" w:customStyle="1" w:styleId="CommentSubjectChar">
    <w:name w:val="Comment Subject Char"/>
    <w:basedOn w:val="CommentTextChar"/>
    <w:link w:val="CommentSubject"/>
    <w:uiPriority w:val="99"/>
    <w:semiHidden/>
    <w:rsid w:val="00B90A38"/>
    <w:rPr>
      <w:b/>
      <w:bCs/>
      <w:sz w:val="20"/>
      <w:szCs w:val="20"/>
    </w:rPr>
  </w:style>
  <w:style w:type="character" w:customStyle="1" w:styleId="cosearchterm">
    <w:name w:val="co_searchterm"/>
    <w:basedOn w:val="DefaultParagraphFont"/>
    <w:rsid w:val="003E0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039578">
      <w:bodyDiv w:val="1"/>
      <w:marLeft w:val="0"/>
      <w:marRight w:val="0"/>
      <w:marTop w:val="0"/>
      <w:marBottom w:val="0"/>
      <w:divBdr>
        <w:top w:val="none" w:sz="0" w:space="0" w:color="auto"/>
        <w:left w:val="none" w:sz="0" w:space="0" w:color="auto"/>
        <w:bottom w:val="none" w:sz="0" w:space="0" w:color="auto"/>
        <w:right w:val="none" w:sz="0" w:space="0" w:color="auto"/>
      </w:divBdr>
    </w:div>
    <w:div w:id="1401171619">
      <w:bodyDiv w:val="1"/>
      <w:marLeft w:val="0"/>
      <w:marRight w:val="0"/>
      <w:marTop w:val="0"/>
      <w:marBottom w:val="0"/>
      <w:divBdr>
        <w:top w:val="none" w:sz="0" w:space="0" w:color="auto"/>
        <w:left w:val="none" w:sz="0" w:space="0" w:color="auto"/>
        <w:bottom w:val="none" w:sz="0" w:space="0" w:color="auto"/>
        <w:right w:val="none" w:sz="0" w:space="0" w:color="auto"/>
      </w:divBdr>
    </w:div>
    <w:div w:id="205222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agner@law.utexas.edu" TargetMode="External"/><Relationship Id="rId13" Type="http://schemas.openxmlformats.org/officeDocument/2006/relationships/hyperlink" Target="http://www.westlaw.com/Find/Default.wl?rs=dfa1.0&amp;vr=2.0&amp;DB=1000546&amp;DocName=5USCAS570&amp;FindTyp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stlaw.com/Find/Default.wl?rs=dfa1.0&amp;vr=2.0&amp;DB=1000546&amp;DocName=5USCAS561&amp;FindType=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stlaw.com/Find/Default.wl?rs=dfa1.0&amp;vr=2.0&amp;DB=350&amp;FindType=Y&amp;ReferencePositionType=S&amp;SerialNum=1983113856&amp;ReferencePosition=114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estlaw.com/Find/Default.wl?rs=dfa1.0&amp;vr=2.0&amp;DB=350&amp;FindType=Y&amp;ReferencePositionType=S&amp;SerialNum=1976124548&amp;ReferencePosition=37" TargetMode="External"/><Relationship Id="rId4" Type="http://schemas.openxmlformats.org/officeDocument/2006/relationships/settings" Target="settings.xml"/><Relationship Id="rId9" Type="http://schemas.openxmlformats.org/officeDocument/2006/relationships/hyperlink" Target="http://www.westlaw.com/Find/Default.wl?rs=dfa1.0&amp;vr=2.0&amp;DB=350&amp;FindType=Y&amp;ReferencePositionType=S&amp;SerialNum=1978121484&amp;ReferencePosition=1021"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www.acus.gov/sites/default/files/documents/COCG-Reeve-Bull-Draft-FACA-Report-9-12-11.pdf" TargetMode="External"/><Relationship Id="rId13" Type="http://schemas.openxmlformats.org/officeDocument/2006/relationships/hyperlink" Target="http://www.businessweek.com/news/2013-12-15/white-house-slowed-rules-in-election-year-advisory-body-says" TargetMode="External"/><Relationship Id="rId3" Type="http://schemas.openxmlformats.org/officeDocument/2006/relationships/hyperlink" Target="http://supreme.justia.com/us/531/457/case.html" TargetMode="External"/><Relationship Id="rId7" Type="http://schemas.openxmlformats.org/officeDocument/2006/relationships/hyperlink" Target="http://www.westlaw.com/Find/Default.wl?rs=dfa1.0&amp;vr=2.0&amp;DB=350&amp;FindType=Y&amp;ReferencePositionType=S&amp;SerialNum=1978121484&amp;ReferencePosition=1021" TargetMode="External"/><Relationship Id="rId12" Type="http://schemas.openxmlformats.org/officeDocument/2006/relationships/hyperlink" Target="http://www.citizen.org/documents/CPSCClassof2007.pdf" TargetMode="External"/><Relationship Id="rId2" Type="http://schemas.openxmlformats.org/officeDocument/2006/relationships/hyperlink" Target="http://en.wikipedia.org/wiki/United_States_Reports" TargetMode="External"/><Relationship Id="rId1" Type="http://schemas.openxmlformats.org/officeDocument/2006/relationships/hyperlink" Target="http://www.reginfo.gov/public/jsp/EO/eoDashboard.jsp" TargetMode="External"/><Relationship Id="rId6" Type="http://schemas.openxmlformats.org/officeDocument/2006/relationships/hyperlink" Target="http://www.westlaw.com/Find/Default.wl?rs=dfa1.0&amp;vr=2.0&amp;DB=350&amp;FindType=Y&amp;ReferencePositionType=S&amp;SerialNum=1991198116&amp;ReferencePosition=757" TargetMode="External"/><Relationship Id="rId11" Type="http://schemas.openxmlformats.org/officeDocument/2006/relationships/hyperlink" Target="http://www.acus.gov/sites/default/files/documents/Transcript-from-9-10-12-NAS-ACUS-Workshop.pdf" TargetMode="External"/><Relationship Id="rId5" Type="http://schemas.openxmlformats.org/officeDocument/2006/relationships/hyperlink" Target="http://www.westlaw.com/Find/Default.wl?rs=dfa1.0&amp;vr=2.0&amp;DB=350&amp;FindType=Y&amp;ReferencePositionType=S&amp;SerialNum=1983113856&amp;ReferencePosition=1146" TargetMode="External"/><Relationship Id="rId10" Type="http://schemas.openxmlformats.org/officeDocument/2006/relationships/hyperlink" Target="http://www.progressivereform.org/articles/OSHA_1003.pdf" TargetMode="External"/><Relationship Id="rId4" Type="http://schemas.openxmlformats.org/officeDocument/2006/relationships/hyperlink" Target="http://www.westlaw.com/Find/Default.wl?rs=dfa1.0&amp;vr=2.0&amp;DB=350&amp;FindType=Y&amp;ReferencePositionType=S&amp;SerialNum=1976124548&amp;ReferencePosition=37" TargetMode="External"/><Relationship Id="rId9" Type="http://schemas.openxmlformats.org/officeDocument/2006/relationships/hyperlink" Target="http://www.westlaw.com/Find/Default.wl?rs=dfa1.0&amp;vr=2.0&amp;DB=1133&amp;FindType=Y&amp;ReferencePositionType=S&amp;SerialNum=0102337064&amp;ReferencePosition=1400" TargetMode="External"/><Relationship Id="rId14" Type="http://schemas.openxmlformats.org/officeDocument/2006/relationships/hyperlink" Target="http://www.progressivereform.org/articles/OIRA_Meetings_11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EE098-9502-40AC-B692-FFAA1090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8273</Words>
  <Characters>47159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University of Texas at Austin</Company>
  <LinksUpToDate>false</LinksUpToDate>
  <CharactersWithSpaces>55322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of Law</dc:creator>
  <cp:lastModifiedBy>Wendy Wagner</cp:lastModifiedBy>
  <cp:revision>2</cp:revision>
  <cp:lastPrinted>2014-07-11T13:04:00Z</cp:lastPrinted>
  <dcterms:created xsi:type="dcterms:W3CDTF">2015-02-27T21:03:00Z</dcterms:created>
  <dcterms:modified xsi:type="dcterms:W3CDTF">2015-02-27T21:03:00Z</dcterms:modified>
</cp:coreProperties>
</file>