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3F0" w:rsidRDefault="00AA03F0" w:rsidP="005E745B">
      <w:pPr>
        <w:pStyle w:val="Nadpis1"/>
        <w:jc w:val="center"/>
        <w:rPr>
          <w:rFonts w:asciiTheme="minorHAnsi" w:hAnsiTheme="minorHAnsi"/>
        </w:rPr>
      </w:pPr>
      <w:r w:rsidRPr="00AA03F0">
        <w:rPr>
          <w:rFonts w:asciiTheme="minorHAnsi" w:hAnsiTheme="minorHAnsi"/>
        </w:rPr>
        <w:t>The E</w:t>
      </w:r>
      <w:r>
        <w:rPr>
          <w:rFonts w:asciiTheme="minorHAnsi" w:hAnsiTheme="minorHAnsi"/>
        </w:rPr>
        <w:t xml:space="preserve">uropean </w:t>
      </w:r>
      <w:r w:rsidRPr="00AA03F0">
        <w:rPr>
          <w:rFonts w:asciiTheme="minorHAnsi" w:hAnsiTheme="minorHAnsi"/>
        </w:rPr>
        <w:t>U</w:t>
      </w:r>
      <w:r>
        <w:rPr>
          <w:rFonts w:asciiTheme="minorHAnsi" w:hAnsiTheme="minorHAnsi"/>
        </w:rPr>
        <w:t>nion</w:t>
      </w:r>
      <w:r w:rsidRPr="00AA03F0">
        <w:rPr>
          <w:rFonts w:asciiTheme="minorHAnsi" w:hAnsiTheme="minorHAnsi"/>
        </w:rPr>
        <w:t xml:space="preserve"> and the U</w:t>
      </w:r>
      <w:r>
        <w:rPr>
          <w:rFonts w:asciiTheme="minorHAnsi" w:hAnsiTheme="minorHAnsi"/>
        </w:rPr>
        <w:t xml:space="preserve">nited </w:t>
      </w:r>
      <w:r w:rsidRPr="00AA03F0">
        <w:rPr>
          <w:rFonts w:asciiTheme="minorHAnsi" w:hAnsiTheme="minorHAnsi"/>
        </w:rPr>
        <w:t>S</w:t>
      </w:r>
      <w:r>
        <w:rPr>
          <w:rFonts w:asciiTheme="minorHAnsi" w:hAnsiTheme="minorHAnsi"/>
        </w:rPr>
        <w:t>tates</w:t>
      </w:r>
      <w:r w:rsidRPr="00AA03F0">
        <w:rPr>
          <w:rFonts w:asciiTheme="minorHAnsi" w:hAnsiTheme="minorHAnsi"/>
        </w:rPr>
        <w:t xml:space="preserve">: </w:t>
      </w:r>
    </w:p>
    <w:p w:rsidR="0058730E" w:rsidRPr="00BC4F1D" w:rsidRDefault="00AA03F0" w:rsidP="005E745B">
      <w:pPr>
        <w:pStyle w:val="Nadpis1"/>
        <w:jc w:val="center"/>
        <w:rPr>
          <w:rFonts w:asciiTheme="minorHAnsi" w:hAnsiTheme="minorHAnsi"/>
        </w:rPr>
      </w:pPr>
      <w:r>
        <w:rPr>
          <w:rFonts w:asciiTheme="minorHAnsi" w:hAnsiTheme="minorHAnsi"/>
        </w:rPr>
        <w:t xml:space="preserve">A </w:t>
      </w:r>
      <w:r w:rsidRPr="00AA03F0">
        <w:rPr>
          <w:rFonts w:asciiTheme="minorHAnsi" w:hAnsiTheme="minorHAnsi"/>
        </w:rPr>
        <w:t xml:space="preserve">Long Walk to </w:t>
      </w:r>
      <w:r>
        <w:rPr>
          <w:rFonts w:asciiTheme="minorHAnsi" w:hAnsiTheme="minorHAnsi"/>
        </w:rPr>
        <w:t>t</w:t>
      </w:r>
      <w:r w:rsidR="0058730E" w:rsidRPr="00BC4F1D">
        <w:rPr>
          <w:rFonts w:asciiTheme="minorHAnsi" w:hAnsiTheme="minorHAnsi"/>
        </w:rPr>
        <w:t>he Transatlantic Trade an</w:t>
      </w:r>
      <w:r>
        <w:rPr>
          <w:rFonts w:asciiTheme="minorHAnsi" w:hAnsiTheme="minorHAnsi"/>
        </w:rPr>
        <w:t>d Investment Partnership (TTIP)</w:t>
      </w:r>
    </w:p>
    <w:p w:rsidR="0058730E" w:rsidRPr="00BC4F1D" w:rsidRDefault="0058730E" w:rsidP="005E745B"/>
    <w:p w:rsidR="0058730E" w:rsidRPr="00BC4F1D" w:rsidRDefault="0058730E" w:rsidP="005E745B">
      <w:pPr>
        <w:jc w:val="center"/>
        <w:rPr>
          <w:i/>
        </w:rPr>
      </w:pPr>
      <w:r w:rsidRPr="00BC4F1D">
        <w:rPr>
          <w:i/>
        </w:rPr>
        <w:t xml:space="preserve">Paper prepared for the </w:t>
      </w:r>
      <w:r w:rsidR="00B92194" w:rsidRPr="00B92194">
        <w:rPr>
          <w:i/>
        </w:rPr>
        <w:t>2015 Biennial Conference of the European Union Studies Association</w:t>
      </w:r>
    </w:p>
    <w:p w:rsidR="0058730E" w:rsidRPr="00BC4F1D" w:rsidRDefault="00B92194" w:rsidP="005E745B">
      <w:pPr>
        <w:jc w:val="center"/>
        <w:rPr>
          <w:i/>
        </w:rPr>
      </w:pPr>
      <w:r>
        <w:rPr>
          <w:i/>
        </w:rPr>
        <w:t>March</w:t>
      </w:r>
      <w:r w:rsidR="0058730E" w:rsidRPr="00BC4F1D">
        <w:rPr>
          <w:i/>
        </w:rPr>
        <w:t xml:space="preserve"> </w:t>
      </w:r>
      <w:r>
        <w:rPr>
          <w:i/>
        </w:rPr>
        <w:t>5</w:t>
      </w:r>
      <w:r w:rsidRPr="00B92194">
        <w:rPr>
          <w:i/>
          <w:vertAlign w:val="superscript"/>
        </w:rPr>
        <w:t>th</w:t>
      </w:r>
      <w:r>
        <w:rPr>
          <w:i/>
        </w:rPr>
        <w:t>-7</w:t>
      </w:r>
      <w:r w:rsidRPr="00B92194">
        <w:rPr>
          <w:i/>
          <w:vertAlign w:val="superscript"/>
        </w:rPr>
        <w:t>th</w:t>
      </w:r>
      <w:r w:rsidR="0058730E" w:rsidRPr="00BC4F1D">
        <w:rPr>
          <w:i/>
        </w:rPr>
        <w:t xml:space="preserve">, 2015, </w:t>
      </w:r>
      <w:r>
        <w:rPr>
          <w:i/>
        </w:rPr>
        <w:t>Boston, MA</w:t>
      </w:r>
    </w:p>
    <w:p w:rsidR="0058730E" w:rsidRPr="00BC4F1D" w:rsidRDefault="0058730E" w:rsidP="005E745B">
      <w:pPr>
        <w:spacing w:after="0" w:line="240" w:lineRule="auto"/>
        <w:jc w:val="center"/>
        <w:rPr>
          <w:rFonts w:cstheme="majorHAnsi"/>
          <w:sz w:val="28"/>
          <w:szCs w:val="28"/>
        </w:rPr>
      </w:pPr>
    </w:p>
    <w:p w:rsidR="0058730E" w:rsidRPr="00BC4F1D" w:rsidRDefault="0058730E" w:rsidP="005E745B">
      <w:pPr>
        <w:spacing w:after="0" w:line="240" w:lineRule="auto"/>
        <w:jc w:val="center"/>
        <w:rPr>
          <w:rFonts w:cstheme="majorHAnsi"/>
          <w:sz w:val="28"/>
          <w:szCs w:val="28"/>
          <w:lang w:val="fr-BE"/>
        </w:rPr>
      </w:pPr>
      <w:r w:rsidRPr="00BC4F1D">
        <w:rPr>
          <w:rFonts w:cstheme="majorHAnsi"/>
          <w:sz w:val="28"/>
          <w:szCs w:val="28"/>
          <w:lang w:val="fr-BE"/>
        </w:rPr>
        <w:t xml:space="preserve">Dr Tereza Novotná </w:t>
      </w:r>
    </w:p>
    <w:p w:rsidR="0058730E" w:rsidRPr="00BC4F1D" w:rsidRDefault="0058730E" w:rsidP="005E745B">
      <w:pPr>
        <w:spacing w:after="0" w:line="240" w:lineRule="auto"/>
        <w:jc w:val="center"/>
        <w:rPr>
          <w:rFonts w:cstheme="majorHAnsi"/>
          <w:sz w:val="28"/>
          <w:szCs w:val="28"/>
          <w:lang w:val="fr-BE"/>
        </w:rPr>
      </w:pPr>
      <w:r w:rsidRPr="00BC4F1D">
        <w:rPr>
          <w:rFonts w:cstheme="majorHAnsi"/>
          <w:sz w:val="28"/>
          <w:szCs w:val="28"/>
          <w:lang w:val="fr-BE"/>
        </w:rPr>
        <w:t>FNRS Postdoctoral Researcher, Université libre de Bruxelles</w:t>
      </w:r>
    </w:p>
    <w:p w:rsidR="0058730E" w:rsidRPr="00BC4F1D" w:rsidRDefault="0058730E" w:rsidP="00961089">
      <w:pPr>
        <w:spacing w:after="0" w:line="240" w:lineRule="auto"/>
        <w:rPr>
          <w:rFonts w:cs="Times New Roman"/>
          <w:sz w:val="28"/>
          <w:szCs w:val="28"/>
          <w:lang w:val="fr-BE"/>
        </w:rPr>
      </w:pPr>
    </w:p>
    <w:p w:rsidR="0058730E" w:rsidRPr="00BC4F1D" w:rsidRDefault="0058730E" w:rsidP="00961089">
      <w:pPr>
        <w:spacing w:after="0" w:line="240" w:lineRule="auto"/>
        <w:jc w:val="both"/>
        <w:rPr>
          <w:rFonts w:cstheme="majorHAnsi"/>
          <w:sz w:val="24"/>
          <w:lang w:val="fr-BE"/>
        </w:rPr>
      </w:pPr>
    </w:p>
    <w:p w:rsidR="0058730E" w:rsidRPr="00BC4F1D" w:rsidRDefault="0058730E" w:rsidP="00961089">
      <w:pPr>
        <w:spacing w:after="0" w:line="240" w:lineRule="auto"/>
        <w:jc w:val="both"/>
        <w:rPr>
          <w:rFonts w:cstheme="majorHAnsi"/>
          <w:b/>
          <w:sz w:val="24"/>
          <w:lang w:val="en-GB"/>
        </w:rPr>
      </w:pPr>
      <w:r w:rsidRPr="00BC4F1D">
        <w:rPr>
          <w:rFonts w:cstheme="majorHAnsi"/>
          <w:b/>
          <w:sz w:val="24"/>
          <w:lang w:val="en-GB"/>
        </w:rPr>
        <w:t>Introduction</w:t>
      </w:r>
    </w:p>
    <w:p w:rsidR="0058730E" w:rsidRPr="00BC4F1D" w:rsidRDefault="0058730E" w:rsidP="00961089">
      <w:pPr>
        <w:spacing w:after="0" w:line="240" w:lineRule="auto"/>
        <w:jc w:val="both"/>
        <w:rPr>
          <w:rFonts w:cstheme="majorHAnsi"/>
          <w:b/>
          <w:lang w:val="en-GB"/>
        </w:rPr>
      </w:pPr>
    </w:p>
    <w:p w:rsidR="0058730E" w:rsidRPr="00BC4F1D" w:rsidRDefault="0058730E" w:rsidP="006A4BF7">
      <w:pPr>
        <w:spacing w:after="0" w:line="240" w:lineRule="auto"/>
        <w:jc w:val="both"/>
        <w:rPr>
          <w:rFonts w:cs="Times New Roman"/>
          <w:sz w:val="24"/>
          <w:szCs w:val="24"/>
        </w:rPr>
      </w:pPr>
      <w:r w:rsidRPr="00BC4F1D">
        <w:rPr>
          <w:rFonts w:cs="Times New Roman"/>
          <w:sz w:val="24"/>
          <w:szCs w:val="24"/>
        </w:rPr>
        <w:t>Although the Transatlantic Trade and Investment Partnership (TTIP) between the United States (US) and the European Union (EU) is primarily an economic agreement which is focused on trade and regulatory issues, if TTIP is concluded, it is likely to have broader political and, in particular, foreign policy implications for the EU, its institutions and Member States. By focusing on empirical data, this paper therefore sheds light on the</w:t>
      </w:r>
      <w:r w:rsidR="00B92194">
        <w:rPr>
          <w:rFonts w:cs="Times New Roman"/>
          <w:sz w:val="24"/>
          <w:szCs w:val="24"/>
        </w:rPr>
        <w:t xml:space="preserve"> ‘long walk to TTIP, i.e. </w:t>
      </w:r>
      <w:r w:rsidR="00B92194" w:rsidRPr="00BC4F1D">
        <w:rPr>
          <w:rFonts w:cs="Times New Roman"/>
          <w:sz w:val="24"/>
          <w:szCs w:val="24"/>
        </w:rPr>
        <w:t xml:space="preserve">how </w:t>
      </w:r>
      <w:r w:rsidRPr="00BC4F1D">
        <w:rPr>
          <w:rFonts w:cs="Times New Roman"/>
          <w:sz w:val="24"/>
          <w:szCs w:val="24"/>
        </w:rPr>
        <w:t>conclusion of TTIP can affect the balance of power within the EU, particularly through different ways in which the EU conducts its negotiations of international agreements, including TTIP.</w:t>
      </w:r>
    </w:p>
    <w:p w:rsidR="0058730E" w:rsidRPr="00BC4F1D" w:rsidRDefault="0058730E" w:rsidP="006A4BF7">
      <w:pPr>
        <w:spacing w:after="0" w:line="240" w:lineRule="auto"/>
        <w:jc w:val="both"/>
        <w:rPr>
          <w:rFonts w:cs="Times New Roman"/>
          <w:sz w:val="24"/>
          <w:szCs w:val="24"/>
        </w:rPr>
      </w:pPr>
    </w:p>
    <w:p w:rsidR="0058730E" w:rsidRPr="00BC4F1D" w:rsidRDefault="0058730E" w:rsidP="002D39A0">
      <w:pPr>
        <w:spacing w:after="0" w:line="240" w:lineRule="auto"/>
        <w:jc w:val="both"/>
        <w:rPr>
          <w:rFonts w:cs="Times New Roman"/>
          <w:sz w:val="24"/>
          <w:szCs w:val="24"/>
        </w:rPr>
      </w:pPr>
      <w:r w:rsidRPr="00BC4F1D">
        <w:rPr>
          <w:rFonts w:cs="Times New Roman"/>
          <w:sz w:val="24"/>
          <w:szCs w:val="24"/>
        </w:rPr>
        <w:t xml:space="preserve">First of all, TTIP is not an agreement between two nation states. Even though EU Member States and particularly the Europe’s ‘Big Three’ (i.e. the UK, France and Germany) have a key say in setting the strategic direction of the EU’s position on TTIP and, from time to time, may have become vocal if any issues which are sensitive to them are included (or left out) in any deal, this paper argues that, taking a sporting metaphor, all EU Member States are essentially substitutes on the bench waiting while the negotiations are conducted between the American and EU authorities. In the first section, the paper therefore asks this question: what </w:t>
      </w:r>
      <w:proofErr w:type="gramStart"/>
      <w:r w:rsidRPr="00BC4F1D">
        <w:rPr>
          <w:rFonts w:cs="Times New Roman"/>
          <w:sz w:val="24"/>
          <w:szCs w:val="24"/>
        </w:rPr>
        <w:t>impact do</w:t>
      </w:r>
      <w:proofErr w:type="gramEnd"/>
      <w:r w:rsidRPr="00BC4F1D">
        <w:rPr>
          <w:rFonts w:cs="Times New Roman"/>
          <w:sz w:val="24"/>
          <w:szCs w:val="24"/>
        </w:rPr>
        <w:t xml:space="preserve"> TTIP negotiations have on the role of EU institutions and their weight in international settings vis-à-vis EU Mem</w:t>
      </w:r>
      <w:r w:rsidR="00B92194">
        <w:rPr>
          <w:rFonts w:cs="Times New Roman"/>
          <w:sz w:val="24"/>
          <w:szCs w:val="24"/>
        </w:rPr>
        <w:t xml:space="preserve">ber States? Can we observe any change in balance of power </w:t>
      </w:r>
      <w:r w:rsidRPr="00BC4F1D">
        <w:rPr>
          <w:rFonts w:cs="Times New Roman"/>
          <w:sz w:val="24"/>
          <w:szCs w:val="24"/>
        </w:rPr>
        <w:t xml:space="preserve">between EU </w:t>
      </w:r>
      <w:r w:rsidR="00B92194" w:rsidRPr="00BC4F1D">
        <w:rPr>
          <w:rFonts w:cs="Times New Roman"/>
          <w:sz w:val="24"/>
          <w:szCs w:val="24"/>
        </w:rPr>
        <w:t>institutions</w:t>
      </w:r>
      <w:r w:rsidRPr="00BC4F1D">
        <w:rPr>
          <w:rFonts w:cs="Times New Roman"/>
          <w:sz w:val="24"/>
          <w:szCs w:val="24"/>
        </w:rPr>
        <w:t xml:space="preserve"> and EU member states?</w:t>
      </w:r>
    </w:p>
    <w:p w:rsidR="0058730E" w:rsidRPr="00BC4F1D" w:rsidRDefault="0058730E" w:rsidP="002D39A0">
      <w:pPr>
        <w:spacing w:after="0" w:line="240" w:lineRule="auto"/>
        <w:jc w:val="both"/>
        <w:rPr>
          <w:rFonts w:cs="Times New Roman"/>
          <w:sz w:val="24"/>
          <w:szCs w:val="24"/>
        </w:rPr>
      </w:pPr>
    </w:p>
    <w:p w:rsidR="0058730E" w:rsidRPr="00BC4F1D" w:rsidRDefault="0058730E" w:rsidP="00AC10C3">
      <w:pPr>
        <w:spacing w:after="0" w:line="240" w:lineRule="auto"/>
        <w:jc w:val="both"/>
        <w:rPr>
          <w:rFonts w:cs="Times New Roman"/>
          <w:sz w:val="24"/>
          <w:szCs w:val="24"/>
        </w:rPr>
      </w:pPr>
      <w:r w:rsidRPr="00BC4F1D">
        <w:rPr>
          <w:rFonts w:cs="Times New Roman"/>
          <w:sz w:val="24"/>
          <w:szCs w:val="24"/>
        </w:rPr>
        <w:t>Secondly, the 2010 Lisbon Treaty created a new post of the High Representative/Vice-President of the European Commission (HRVP) and a new diplomatic body, the European External Action Service (EEAS) with its ‘EU embassies’, or EU Delegations, bringing together the EU’s foreign and security policy with the external competencies of the Union into a single ‘comprehensive approach’ (</w:t>
      </w:r>
      <w:r w:rsidRPr="00BC4F1D">
        <w:rPr>
          <w:rFonts w:cs="Times New Roman"/>
          <w:noProof/>
          <w:sz w:val="24"/>
          <w:szCs w:val="24"/>
        </w:rPr>
        <w:t>European Commission and High Representative of the European Union for Foreign Affairs and Security Policy, 2013</w:t>
      </w:r>
      <w:r w:rsidRPr="00BC4F1D">
        <w:rPr>
          <w:rFonts w:cs="Times New Roman"/>
          <w:sz w:val="24"/>
          <w:szCs w:val="24"/>
        </w:rPr>
        <w:t xml:space="preserve">, </w:t>
      </w:r>
      <w:r w:rsidRPr="00BC4F1D">
        <w:rPr>
          <w:rFonts w:cs="Times New Roman"/>
          <w:noProof/>
          <w:sz w:val="24"/>
          <w:szCs w:val="24"/>
        </w:rPr>
        <w:t>Council of the European Union, 2014</w:t>
      </w:r>
      <w:r w:rsidRPr="00BC4F1D">
        <w:rPr>
          <w:rFonts w:cs="Times New Roman"/>
          <w:sz w:val="24"/>
          <w:szCs w:val="24"/>
        </w:rPr>
        <w:t xml:space="preserve">). Yet despite the </w:t>
      </w:r>
      <w:r w:rsidRPr="00BC4F1D">
        <w:rPr>
          <w:rFonts w:cs="Times New Roman"/>
          <w:sz w:val="24"/>
          <w:szCs w:val="24"/>
        </w:rPr>
        <w:lastRenderedPageBreak/>
        <w:t xml:space="preserve">innovative set-up of new </w:t>
      </w:r>
      <w:proofErr w:type="spellStart"/>
      <w:r w:rsidRPr="00BC4F1D">
        <w:rPr>
          <w:rFonts w:cs="Times New Roman"/>
          <w:sz w:val="24"/>
          <w:szCs w:val="24"/>
        </w:rPr>
        <w:t>Juncker’s</w:t>
      </w:r>
      <w:proofErr w:type="spellEnd"/>
      <w:r w:rsidRPr="00BC4F1D">
        <w:rPr>
          <w:rFonts w:cs="Times New Roman"/>
          <w:sz w:val="24"/>
          <w:szCs w:val="24"/>
        </w:rPr>
        <w:t xml:space="preserve"> Commission, it is still not the HRVP and EEAS who are representing the EU at the TTIP negotiating table, but the European Commission (and its directorate for trade, or DG TRADE, in particular). Drawing on the EU foreign policy literature (</w:t>
      </w:r>
      <w:proofErr w:type="spellStart"/>
      <w:r w:rsidRPr="00BC4F1D">
        <w:rPr>
          <w:rFonts w:cs="Times New Roman"/>
          <w:noProof/>
          <w:sz w:val="24"/>
          <w:szCs w:val="24"/>
        </w:rPr>
        <w:t>Howorth</w:t>
      </w:r>
      <w:proofErr w:type="spellEnd"/>
      <w:r w:rsidRPr="00BC4F1D">
        <w:rPr>
          <w:rFonts w:cs="Times New Roman"/>
          <w:noProof/>
          <w:sz w:val="24"/>
          <w:szCs w:val="24"/>
        </w:rPr>
        <w:t>, 2011</w:t>
      </w:r>
      <w:r w:rsidRPr="00BC4F1D">
        <w:rPr>
          <w:rFonts w:cs="Times New Roman"/>
          <w:sz w:val="24"/>
          <w:szCs w:val="24"/>
        </w:rPr>
        <w:t xml:space="preserve">, </w:t>
      </w:r>
      <w:r w:rsidRPr="00BC4F1D">
        <w:rPr>
          <w:rFonts w:cs="Times New Roman"/>
          <w:noProof/>
          <w:sz w:val="24"/>
          <w:szCs w:val="24"/>
        </w:rPr>
        <w:t>Bátora, 2013</w:t>
      </w:r>
      <w:r w:rsidRPr="00BC4F1D">
        <w:rPr>
          <w:rFonts w:cs="Times New Roman"/>
          <w:sz w:val="24"/>
          <w:szCs w:val="24"/>
        </w:rPr>
        <w:t xml:space="preserve">, </w:t>
      </w:r>
      <w:r w:rsidRPr="00BC4F1D">
        <w:rPr>
          <w:rFonts w:cs="Times New Roman"/>
          <w:noProof/>
          <w:sz w:val="24"/>
          <w:szCs w:val="24"/>
        </w:rPr>
        <w:t>Telò and Ponjaert, 2013</w:t>
      </w:r>
      <w:r w:rsidRPr="00BC4F1D">
        <w:rPr>
          <w:rFonts w:cs="Times New Roman"/>
          <w:sz w:val="24"/>
          <w:szCs w:val="24"/>
        </w:rPr>
        <w:t>) as well as a number of semi-structured interviews and background discussions conducted with EU and US officials and diplomats, including senior members of the negotiating teams, the second part of the paper therefore inquires: what implications do TTIP negotiations have on EU foreign policy vis-à-vis the US? How can EEAS shape and be shaped by TTIP negotiations?</w:t>
      </w:r>
    </w:p>
    <w:p w:rsidR="0058730E" w:rsidRPr="00BC4F1D" w:rsidRDefault="0058730E" w:rsidP="00AC10C3">
      <w:pPr>
        <w:spacing w:after="0" w:line="240" w:lineRule="auto"/>
        <w:jc w:val="both"/>
        <w:rPr>
          <w:rFonts w:cs="Times New Roman"/>
          <w:sz w:val="24"/>
          <w:szCs w:val="24"/>
        </w:rPr>
      </w:pPr>
    </w:p>
    <w:p w:rsidR="0058730E" w:rsidRPr="00BC4F1D" w:rsidRDefault="0058730E" w:rsidP="006A4BF7">
      <w:pPr>
        <w:spacing w:after="0" w:line="240" w:lineRule="auto"/>
        <w:jc w:val="both"/>
        <w:rPr>
          <w:rFonts w:cs="Times New Roman"/>
          <w:sz w:val="24"/>
          <w:szCs w:val="24"/>
        </w:rPr>
      </w:pPr>
      <w:r w:rsidRPr="00BC4F1D">
        <w:rPr>
          <w:rFonts w:cs="Times New Roman"/>
          <w:sz w:val="24"/>
          <w:szCs w:val="24"/>
        </w:rPr>
        <w:t>The paper argues that unless HRVP and EEAS particularly through its ‘VP hat’ and EU Delegation in Washington, DC gets more involved in TTIP negotiations, the negotiation process may in fact sideline the HRVP together with EEAS and hinder rather than encourage the comprehensive approach in EU’s foreign policy. Despite the fact that TTIP negotiations may lead to an increased clout of EU institutions at the expense of EU Member States at the international level, it may be the European Commission rather than the EEAS which has greater input in setting the direction of TTIP and transatlantic relations in general, particularly since it is the Commission rather than EEAS which is in charge of the nitty-gritty aspects of TTIP negotiations. For better illustrating this point, the paper compares and contrasts TTIP negotiations throughout the paper with another type of negotiations that the EU has been involved in for years, i.e. accession negotiations dealing with accepting new Member States.</w:t>
      </w:r>
    </w:p>
    <w:p w:rsidR="0058730E" w:rsidRPr="00BC4F1D" w:rsidRDefault="0058730E" w:rsidP="006A4BF7">
      <w:pPr>
        <w:spacing w:after="0" w:line="240" w:lineRule="auto"/>
        <w:jc w:val="both"/>
        <w:rPr>
          <w:rFonts w:cs="Times New Roman"/>
          <w:sz w:val="24"/>
          <w:szCs w:val="24"/>
        </w:rPr>
      </w:pPr>
    </w:p>
    <w:p w:rsidR="0058730E" w:rsidRPr="00BC4F1D" w:rsidRDefault="0058730E" w:rsidP="00AB7A53">
      <w:pPr>
        <w:spacing w:after="0" w:line="240" w:lineRule="auto"/>
        <w:jc w:val="both"/>
        <w:rPr>
          <w:rFonts w:cs="Times New Roman"/>
          <w:sz w:val="24"/>
          <w:szCs w:val="24"/>
        </w:rPr>
      </w:pPr>
      <w:r w:rsidRPr="00BC4F1D">
        <w:rPr>
          <w:rFonts w:cs="Times New Roman"/>
          <w:sz w:val="24"/>
          <w:szCs w:val="24"/>
        </w:rPr>
        <w:t>Although the low emphasis on effectiveness of the comprehensive approach and on the ‘Vice-Presidential’ half of HRVP’s role has been one of the most criticized aspects of Catherine Ashton’s 2010-2014 tenure (</w:t>
      </w:r>
      <w:proofErr w:type="spellStart"/>
      <w:r w:rsidRPr="00BC4F1D">
        <w:rPr>
          <w:rFonts w:cs="Times New Roman"/>
          <w:noProof/>
          <w:sz w:val="24"/>
          <w:szCs w:val="24"/>
        </w:rPr>
        <w:t>Lehne</w:t>
      </w:r>
      <w:proofErr w:type="spellEnd"/>
      <w:r w:rsidRPr="00BC4F1D">
        <w:rPr>
          <w:rFonts w:cs="Times New Roman"/>
          <w:noProof/>
          <w:sz w:val="24"/>
          <w:szCs w:val="24"/>
        </w:rPr>
        <w:t>, 2013</w:t>
      </w:r>
      <w:r w:rsidRPr="00BC4F1D">
        <w:rPr>
          <w:rFonts w:cs="Times New Roman"/>
          <w:sz w:val="24"/>
          <w:szCs w:val="24"/>
        </w:rPr>
        <w:t xml:space="preserve">, </w:t>
      </w:r>
      <w:r w:rsidRPr="00BC4F1D">
        <w:rPr>
          <w:rFonts w:cs="Times New Roman"/>
          <w:noProof/>
          <w:sz w:val="24"/>
          <w:szCs w:val="24"/>
        </w:rPr>
        <w:t>Marangoni and Raube, 2014</w:t>
      </w:r>
      <w:r w:rsidRPr="00BC4F1D">
        <w:rPr>
          <w:rFonts w:cs="Times New Roman"/>
          <w:sz w:val="24"/>
          <w:szCs w:val="24"/>
        </w:rPr>
        <w:t xml:space="preserve">), the paper nonetheless concludes that the shift in the balance of power from HRVP to the Commission through TTIP is however not set in stone. Thanks to restructuring of current </w:t>
      </w:r>
      <w:proofErr w:type="spellStart"/>
      <w:r w:rsidRPr="00BC4F1D">
        <w:rPr>
          <w:rFonts w:cs="Times New Roman"/>
          <w:sz w:val="24"/>
          <w:szCs w:val="24"/>
        </w:rPr>
        <w:t>Juncker’s</w:t>
      </w:r>
      <w:proofErr w:type="spellEnd"/>
      <w:r w:rsidRPr="00BC4F1D">
        <w:rPr>
          <w:rFonts w:cs="Times New Roman"/>
          <w:sz w:val="24"/>
          <w:szCs w:val="24"/>
        </w:rPr>
        <w:t xml:space="preserve"> Commission into ‘project teams’ of groups of Commissioners who are led by the Commission Vice-Presidents, one may expect that such shift may in the end be substantially thwarted. It is in fact new HRVP Federica Mogherini who from now on oversees the foreign policy cluster and who is responsible for the new Commissioner for Trade. </w:t>
      </w:r>
    </w:p>
    <w:p w:rsidR="0058730E" w:rsidRPr="00BC4F1D" w:rsidRDefault="0058730E" w:rsidP="006A4BF7">
      <w:pPr>
        <w:spacing w:after="0" w:line="240" w:lineRule="auto"/>
        <w:jc w:val="both"/>
        <w:rPr>
          <w:rFonts w:cs="Times New Roman"/>
          <w:sz w:val="24"/>
          <w:szCs w:val="24"/>
        </w:rPr>
      </w:pPr>
    </w:p>
    <w:p w:rsidR="0058730E" w:rsidRPr="00BC4F1D" w:rsidRDefault="0058730E" w:rsidP="006A4BF7">
      <w:pPr>
        <w:spacing w:after="0" w:line="240" w:lineRule="auto"/>
        <w:jc w:val="both"/>
        <w:rPr>
          <w:rFonts w:cs="Times New Roman"/>
          <w:sz w:val="24"/>
          <w:szCs w:val="24"/>
        </w:rPr>
      </w:pPr>
      <w:r w:rsidRPr="00BC4F1D">
        <w:rPr>
          <w:rFonts w:cs="Times New Roman"/>
          <w:sz w:val="24"/>
          <w:szCs w:val="24"/>
        </w:rPr>
        <w:t>Yet it may all in the end depend on the personal chemistry and working arrangement between the two ladies at the helm, HRVP Mogherini and Commissioner Malmström with her trade portfolio, but also on the Commission’s President Jean-Claude Juncker and the extent to which he will run his ‘Team Juncker’ (</w:t>
      </w:r>
      <w:r w:rsidRPr="00BC4F1D">
        <w:rPr>
          <w:rFonts w:cs="Times New Roman"/>
          <w:noProof/>
          <w:sz w:val="24"/>
          <w:szCs w:val="24"/>
        </w:rPr>
        <w:t>King, 2014</w:t>
      </w:r>
      <w:r w:rsidRPr="00BC4F1D">
        <w:rPr>
          <w:rFonts w:cs="Times New Roman"/>
          <w:sz w:val="24"/>
          <w:szCs w:val="24"/>
        </w:rPr>
        <w:t xml:space="preserve">) with a tight fist. All in all, no matter how ‘trading of places’ may eventually look like and who </w:t>
      </w:r>
      <w:proofErr w:type="spellStart"/>
      <w:r w:rsidRPr="00BC4F1D">
        <w:rPr>
          <w:rFonts w:cs="Times New Roman"/>
          <w:sz w:val="24"/>
          <w:szCs w:val="24"/>
        </w:rPr>
        <w:t>who</w:t>
      </w:r>
      <w:proofErr w:type="spellEnd"/>
      <w:r w:rsidRPr="00BC4F1D">
        <w:rPr>
          <w:rFonts w:cs="Times New Roman"/>
          <w:sz w:val="24"/>
          <w:szCs w:val="24"/>
        </w:rPr>
        <w:t xml:space="preserve"> gets involved in the decision-making at the European side, the paper draws conclusion that </w:t>
      </w:r>
      <w:r w:rsidR="00B92194">
        <w:rPr>
          <w:rFonts w:cs="Times New Roman"/>
          <w:sz w:val="24"/>
          <w:szCs w:val="24"/>
        </w:rPr>
        <w:t xml:space="preserve">there is a long walk to go and </w:t>
      </w:r>
      <w:r w:rsidRPr="00BC4F1D">
        <w:rPr>
          <w:rFonts w:cs="Times New Roman"/>
          <w:sz w:val="24"/>
          <w:szCs w:val="24"/>
        </w:rPr>
        <w:t>TTIP is sure to remain one of the most significant geopolitical agendas of the next five years to come.</w:t>
      </w:r>
    </w:p>
    <w:p w:rsidR="0058730E" w:rsidRPr="00BC4F1D" w:rsidRDefault="0058730E" w:rsidP="006A4BF7">
      <w:pPr>
        <w:spacing w:after="0" w:line="240" w:lineRule="auto"/>
        <w:jc w:val="both"/>
        <w:rPr>
          <w:rFonts w:cs="Times New Roman"/>
          <w:sz w:val="24"/>
          <w:szCs w:val="24"/>
        </w:rPr>
      </w:pPr>
    </w:p>
    <w:p w:rsidR="0058730E" w:rsidRPr="00BC4F1D" w:rsidRDefault="0058730E" w:rsidP="006A4BF7">
      <w:pPr>
        <w:spacing w:after="0" w:line="240" w:lineRule="auto"/>
        <w:jc w:val="both"/>
        <w:rPr>
          <w:rFonts w:cs="Times New Roman"/>
          <w:sz w:val="24"/>
          <w:szCs w:val="24"/>
        </w:rPr>
      </w:pPr>
    </w:p>
    <w:p w:rsidR="0058730E" w:rsidRPr="00BC4F1D" w:rsidRDefault="0058730E">
      <w:pPr>
        <w:rPr>
          <w:rFonts w:cs="Times New Roman"/>
          <w:b/>
          <w:sz w:val="24"/>
          <w:szCs w:val="24"/>
        </w:rPr>
      </w:pPr>
      <w:r w:rsidRPr="00BC4F1D">
        <w:rPr>
          <w:rFonts w:cs="Times New Roman"/>
          <w:b/>
          <w:sz w:val="24"/>
          <w:szCs w:val="24"/>
        </w:rPr>
        <w:br w:type="page"/>
      </w:r>
    </w:p>
    <w:p w:rsidR="0058730E" w:rsidRPr="00BC4F1D" w:rsidRDefault="0058730E" w:rsidP="006A4BF7">
      <w:pPr>
        <w:spacing w:after="0" w:line="240" w:lineRule="auto"/>
        <w:jc w:val="both"/>
        <w:rPr>
          <w:rFonts w:cs="Times New Roman"/>
          <w:b/>
          <w:sz w:val="24"/>
          <w:szCs w:val="24"/>
        </w:rPr>
      </w:pPr>
      <w:r w:rsidRPr="00BC4F1D">
        <w:rPr>
          <w:rFonts w:cs="Times New Roman"/>
          <w:b/>
          <w:sz w:val="24"/>
          <w:szCs w:val="24"/>
        </w:rPr>
        <w:lastRenderedPageBreak/>
        <w:t>The European Commission vs. EU Member States in TTIP Negotiations</w:t>
      </w:r>
    </w:p>
    <w:p w:rsidR="0058730E" w:rsidRPr="00BC4F1D" w:rsidRDefault="0058730E" w:rsidP="006A4BF7">
      <w:pPr>
        <w:spacing w:after="0" w:line="240" w:lineRule="auto"/>
        <w:jc w:val="both"/>
        <w:rPr>
          <w:rFonts w:cs="Times New Roman"/>
          <w:sz w:val="24"/>
          <w:szCs w:val="24"/>
        </w:rPr>
      </w:pPr>
    </w:p>
    <w:p w:rsidR="0058730E" w:rsidRPr="00BC4F1D" w:rsidRDefault="0058730E" w:rsidP="006A4BF7">
      <w:pPr>
        <w:spacing w:after="0" w:line="240" w:lineRule="auto"/>
        <w:jc w:val="both"/>
        <w:rPr>
          <w:rFonts w:cs="Times New Roman"/>
          <w:sz w:val="24"/>
          <w:szCs w:val="24"/>
        </w:rPr>
      </w:pPr>
      <w:r w:rsidRPr="00BC4F1D">
        <w:rPr>
          <w:rFonts w:cs="Times New Roman"/>
          <w:sz w:val="24"/>
          <w:szCs w:val="24"/>
        </w:rPr>
        <w:t xml:space="preserve">Before we can embark on unravelling the first question of this paper, i.e. how TTIP negotiations and their (successful) conclusion may shift the balance of power between EU institutions, and the European Commission with its DG TRADE in particular, vis-à-vis EU Member States, it is necessary to explore how TTIP negotiations were launched, how they are prepared and how they are conducted at the European (as well as the American) side. </w:t>
      </w:r>
    </w:p>
    <w:p w:rsidR="0058730E" w:rsidRPr="00BC4F1D" w:rsidRDefault="0058730E" w:rsidP="006A4BF7">
      <w:pPr>
        <w:spacing w:after="0" w:line="240" w:lineRule="auto"/>
        <w:jc w:val="both"/>
        <w:rPr>
          <w:rFonts w:cs="Times New Roman"/>
          <w:sz w:val="24"/>
          <w:szCs w:val="24"/>
        </w:rPr>
      </w:pPr>
    </w:p>
    <w:p w:rsidR="0058730E" w:rsidRPr="00BC4F1D" w:rsidRDefault="0058730E" w:rsidP="005B1602">
      <w:pPr>
        <w:spacing w:after="0" w:line="240" w:lineRule="auto"/>
        <w:jc w:val="both"/>
        <w:rPr>
          <w:rFonts w:cs="Times New Roman"/>
          <w:sz w:val="24"/>
          <w:szCs w:val="24"/>
        </w:rPr>
      </w:pPr>
      <w:r w:rsidRPr="00BC4F1D">
        <w:rPr>
          <w:rFonts w:cs="Times New Roman"/>
          <w:sz w:val="24"/>
          <w:szCs w:val="24"/>
        </w:rPr>
        <w:t xml:space="preserve">In contrast to other EU-led negotiation, such as on EU enlargement, which has been widely examined by an ‘enlargement’ and ‘conditionality’ literature as well as documented by participants in these talks (see e.g. </w:t>
      </w:r>
      <w:r w:rsidRPr="00BC4F1D">
        <w:rPr>
          <w:rFonts w:cs="Times New Roman"/>
          <w:noProof/>
          <w:sz w:val="24"/>
          <w:szCs w:val="24"/>
        </w:rPr>
        <w:t>Novotná, 2012; Novotná, forthcoming 2015</w:t>
      </w:r>
      <w:r w:rsidRPr="00BC4F1D">
        <w:rPr>
          <w:rFonts w:cs="Times New Roman"/>
          <w:sz w:val="24"/>
          <w:szCs w:val="24"/>
        </w:rPr>
        <w:t xml:space="preserve">, </w:t>
      </w:r>
      <w:r w:rsidRPr="00BC4F1D">
        <w:rPr>
          <w:rFonts w:cs="Times New Roman"/>
          <w:noProof/>
          <w:sz w:val="24"/>
          <w:szCs w:val="24"/>
        </w:rPr>
        <w:t>Ludlow, 2004; Telička and Barták, 2003; Vassiliou, 2007</w:t>
      </w:r>
      <w:r w:rsidRPr="00BC4F1D">
        <w:rPr>
          <w:rFonts w:cs="Times New Roman"/>
          <w:sz w:val="24"/>
          <w:szCs w:val="24"/>
        </w:rPr>
        <w:t xml:space="preserve">, </w:t>
      </w:r>
      <w:r w:rsidRPr="00BC4F1D">
        <w:rPr>
          <w:rFonts w:cs="Times New Roman"/>
          <w:noProof/>
          <w:sz w:val="24"/>
          <w:szCs w:val="24"/>
        </w:rPr>
        <w:t>Haughton, 2007; Schimmelfennig, 2001; Schneider, 2008; Vachudova, 2005</w:t>
      </w:r>
      <w:r w:rsidRPr="00BC4F1D">
        <w:rPr>
          <w:rFonts w:cs="Times New Roman"/>
          <w:sz w:val="24"/>
          <w:szCs w:val="24"/>
        </w:rPr>
        <w:t xml:space="preserve">), TTIP negotiations do not take place within an intergovernmental conference with EU Member States sitting on one side of the table with the negotiating partner (such as a candidate state) on the other and the European Commission playing a role of a technocratic expert and mediator, but not of a direct participant. In TTIP, all EU-28 Member States are represented by a single authority i.e. the European Commission which is primarily represented by the negotiating team coming from DG TRADE. </w:t>
      </w:r>
    </w:p>
    <w:p w:rsidR="0058730E" w:rsidRPr="00BC4F1D" w:rsidRDefault="0058730E" w:rsidP="005B1602">
      <w:pPr>
        <w:spacing w:after="0" w:line="240" w:lineRule="auto"/>
        <w:jc w:val="both"/>
        <w:rPr>
          <w:rFonts w:cs="Times New Roman"/>
          <w:sz w:val="24"/>
          <w:szCs w:val="24"/>
        </w:rPr>
      </w:pPr>
    </w:p>
    <w:p w:rsidR="0058730E" w:rsidRPr="00BC4F1D" w:rsidRDefault="0058730E" w:rsidP="006A4BF7">
      <w:pPr>
        <w:spacing w:after="0" w:line="240" w:lineRule="auto"/>
        <w:jc w:val="both"/>
        <w:rPr>
          <w:rFonts w:cs="Times New Roman"/>
          <w:sz w:val="24"/>
          <w:szCs w:val="24"/>
        </w:rPr>
      </w:pPr>
      <w:r w:rsidRPr="00BC4F1D">
        <w:rPr>
          <w:rFonts w:cs="Times New Roman"/>
          <w:sz w:val="24"/>
          <w:szCs w:val="24"/>
        </w:rPr>
        <w:t xml:space="preserve">The prominent role of the Commission is given mainly by the fact that trade policy is an exclusive power of the EU (e.g. </w:t>
      </w:r>
      <w:r w:rsidRPr="00BC4F1D">
        <w:rPr>
          <w:rFonts w:cs="Times New Roman"/>
          <w:noProof/>
          <w:sz w:val="24"/>
          <w:szCs w:val="24"/>
        </w:rPr>
        <w:t>Young, 2002</w:t>
      </w:r>
      <w:r w:rsidRPr="00BC4F1D">
        <w:rPr>
          <w:rFonts w:cs="Times New Roman"/>
          <w:sz w:val="24"/>
          <w:szCs w:val="24"/>
        </w:rPr>
        <w:t>). This EU's trade and investment policy is set down in Article 207 of the Treaty on the Functioning of the European Union (TFEU) and includes trade and investment relations with non-EU countries that are managed through the Commission. As DG’s TRADE website puts it: ‘… so only the EU, and not individual member states, can legislate on trade matters and conclude international trade agreements’.</w:t>
      </w:r>
      <w:r w:rsidRPr="00BC4F1D">
        <w:rPr>
          <w:rStyle w:val="Znakapoznpodarou"/>
          <w:rFonts w:cs="Times New Roman"/>
          <w:sz w:val="24"/>
          <w:szCs w:val="24"/>
        </w:rPr>
        <w:footnoteReference w:id="1"/>
      </w:r>
      <w:r w:rsidRPr="00BC4F1D">
        <w:rPr>
          <w:rFonts w:cs="Times New Roman"/>
          <w:sz w:val="24"/>
          <w:szCs w:val="24"/>
        </w:rPr>
        <w:t xml:space="preserve"> </w:t>
      </w:r>
    </w:p>
    <w:p w:rsidR="0058730E" w:rsidRPr="00BC4F1D" w:rsidRDefault="0058730E" w:rsidP="006A4BF7">
      <w:pPr>
        <w:spacing w:after="0" w:line="240" w:lineRule="auto"/>
        <w:jc w:val="both"/>
        <w:rPr>
          <w:rFonts w:cs="Times New Roman"/>
          <w:sz w:val="24"/>
          <w:szCs w:val="24"/>
        </w:rPr>
      </w:pPr>
    </w:p>
    <w:p w:rsidR="0058730E" w:rsidRPr="00BC4F1D" w:rsidRDefault="0058730E" w:rsidP="006A4BF7">
      <w:pPr>
        <w:spacing w:after="0" w:line="240" w:lineRule="auto"/>
        <w:jc w:val="both"/>
        <w:rPr>
          <w:rFonts w:cs="Times New Roman"/>
          <w:sz w:val="24"/>
          <w:szCs w:val="24"/>
        </w:rPr>
      </w:pPr>
      <w:r w:rsidRPr="00BC4F1D">
        <w:rPr>
          <w:rFonts w:cs="Times New Roman"/>
          <w:sz w:val="24"/>
          <w:szCs w:val="24"/>
        </w:rPr>
        <w:t>Of course, and perhaps even more importantly, in TTIP negotiations in contrast to EU enlargement, the power (a</w:t>
      </w:r>
      <w:proofErr w:type="gramStart"/>
      <w:r w:rsidRPr="00BC4F1D">
        <w:rPr>
          <w:rFonts w:cs="Times New Roman"/>
          <w:sz w:val="24"/>
          <w:szCs w:val="24"/>
        </w:rPr>
        <w:t>)symmetry</w:t>
      </w:r>
      <w:proofErr w:type="gramEnd"/>
      <w:r w:rsidRPr="00BC4F1D">
        <w:rPr>
          <w:rFonts w:cs="Times New Roman"/>
          <w:sz w:val="24"/>
          <w:szCs w:val="24"/>
        </w:rPr>
        <w:t xml:space="preserve"> between the negotiating sides is strikingly different: the US is not an applicant, or ‘entering entity’, and the EU is not an ‘accepting entity’ (</w:t>
      </w:r>
      <w:proofErr w:type="spellStart"/>
      <w:r w:rsidRPr="00BC4F1D">
        <w:rPr>
          <w:rFonts w:cs="Times New Roman"/>
          <w:noProof/>
          <w:sz w:val="24"/>
          <w:szCs w:val="24"/>
        </w:rPr>
        <w:t>Novotná</w:t>
      </w:r>
      <w:proofErr w:type="spellEnd"/>
      <w:r w:rsidRPr="00BC4F1D">
        <w:rPr>
          <w:rFonts w:cs="Times New Roman"/>
          <w:noProof/>
          <w:sz w:val="24"/>
          <w:szCs w:val="24"/>
        </w:rPr>
        <w:t>, forthcoming 2015</w:t>
      </w:r>
      <w:r w:rsidRPr="00BC4F1D">
        <w:rPr>
          <w:rFonts w:cs="Times New Roman"/>
          <w:sz w:val="24"/>
          <w:szCs w:val="24"/>
        </w:rPr>
        <w:t>), but the EU and the US are more or less on the same footing as two equal partners. In fact, as one of senior diplomats at the US mission to the European Union confirmed to this author,</w:t>
      </w:r>
      <w:r w:rsidRPr="00BC4F1D">
        <w:rPr>
          <w:rStyle w:val="Znakapoznpodarou"/>
          <w:rFonts w:cs="Times New Roman"/>
          <w:sz w:val="24"/>
          <w:szCs w:val="24"/>
        </w:rPr>
        <w:footnoteReference w:id="2"/>
      </w:r>
      <w:r w:rsidRPr="00BC4F1D">
        <w:rPr>
          <w:rFonts w:cs="Times New Roman"/>
          <w:sz w:val="24"/>
          <w:szCs w:val="24"/>
        </w:rPr>
        <w:t xml:space="preserve"> the power (a)symmetry aspect is true vice-versa for the American side as well. In TTIP, in contrast to most of the other trade negotiations involving the United States, the Americans had to get used to the change of attitude that neither party is in a stronger position and wants the agreement more than the other which creates a different kind of atmosphere that can be felt behind the negotiating table. In brief, neither of the two </w:t>
      </w:r>
      <w:proofErr w:type="spellStart"/>
      <w:r w:rsidRPr="00BC4F1D">
        <w:rPr>
          <w:rFonts w:cs="Times New Roman"/>
          <w:sz w:val="24"/>
          <w:szCs w:val="24"/>
        </w:rPr>
        <w:t>parites</w:t>
      </w:r>
      <w:proofErr w:type="spellEnd"/>
      <w:r w:rsidRPr="00BC4F1D">
        <w:rPr>
          <w:rFonts w:cs="Times New Roman"/>
          <w:sz w:val="24"/>
          <w:szCs w:val="24"/>
        </w:rPr>
        <w:t xml:space="preserve"> wants to join the other’s club, but both want to get a mutually beneficial deal.</w:t>
      </w:r>
    </w:p>
    <w:p w:rsidR="0058730E" w:rsidRPr="00BC4F1D" w:rsidRDefault="0058730E" w:rsidP="006A4BF7">
      <w:pPr>
        <w:spacing w:after="0" w:line="240" w:lineRule="auto"/>
        <w:jc w:val="both"/>
        <w:rPr>
          <w:rFonts w:cs="Times New Roman"/>
          <w:sz w:val="24"/>
          <w:szCs w:val="24"/>
        </w:rPr>
      </w:pPr>
    </w:p>
    <w:p w:rsidR="0058730E" w:rsidRPr="00BC4F1D" w:rsidRDefault="0058730E" w:rsidP="006A4BF7">
      <w:pPr>
        <w:spacing w:after="0" w:line="240" w:lineRule="auto"/>
        <w:jc w:val="both"/>
        <w:rPr>
          <w:rFonts w:cs="Times New Roman"/>
          <w:sz w:val="24"/>
          <w:szCs w:val="24"/>
        </w:rPr>
      </w:pPr>
      <w:r w:rsidRPr="00BC4F1D">
        <w:rPr>
          <w:rFonts w:cs="Times New Roman"/>
          <w:sz w:val="24"/>
          <w:szCs w:val="24"/>
        </w:rPr>
        <w:t xml:space="preserve">So where did EU Member States disappear from the equation? Was it not France which initially threatened to stop the launch of the TTIP discussions due to its concerns over the ‘cultural digital agenda’ (i.e. the rules on TV, movie and other cultural production)? Later on, was it not it </w:t>
      </w:r>
      <w:r w:rsidRPr="00BC4F1D">
        <w:rPr>
          <w:rFonts w:cs="Times New Roman"/>
          <w:sz w:val="24"/>
          <w:szCs w:val="24"/>
        </w:rPr>
        <w:lastRenderedPageBreak/>
        <w:t>one of the German coalition partners (the Social Democratic - SPD) which wanted to temporarily suspend the EU-Canada Free Trade Agreement (CETA), a treaty that has been widely considered a template for TTIP, if the ISDS issues are not dropped from CETA and, consequently, from TTIP (on the German TTIP debate, see Mayer [</w:t>
      </w:r>
      <w:r w:rsidRPr="00BC4F1D">
        <w:rPr>
          <w:rFonts w:cs="Times New Roman"/>
          <w:noProof/>
          <w:sz w:val="24"/>
          <w:szCs w:val="24"/>
        </w:rPr>
        <w:t>forthcoming 2015</w:t>
      </w:r>
      <w:r w:rsidRPr="00BC4F1D">
        <w:rPr>
          <w:rFonts w:cs="Times New Roman"/>
          <w:sz w:val="24"/>
          <w:szCs w:val="24"/>
        </w:rPr>
        <w:t>])?</w:t>
      </w:r>
    </w:p>
    <w:p w:rsidR="0058730E" w:rsidRPr="00BC4F1D" w:rsidRDefault="0058730E" w:rsidP="006A4BF7">
      <w:pPr>
        <w:spacing w:after="0" w:line="240" w:lineRule="auto"/>
        <w:jc w:val="both"/>
        <w:rPr>
          <w:rFonts w:cs="Times New Roman"/>
          <w:sz w:val="24"/>
          <w:szCs w:val="24"/>
        </w:rPr>
      </w:pPr>
    </w:p>
    <w:p w:rsidR="0058730E" w:rsidRPr="00BC4F1D" w:rsidRDefault="0058730E" w:rsidP="00D42E8E">
      <w:pPr>
        <w:spacing w:after="0" w:line="240" w:lineRule="auto"/>
        <w:jc w:val="both"/>
        <w:rPr>
          <w:rFonts w:cs="Times New Roman"/>
          <w:sz w:val="24"/>
          <w:szCs w:val="24"/>
        </w:rPr>
      </w:pPr>
      <w:r w:rsidRPr="00BC4F1D">
        <w:rPr>
          <w:rFonts w:cs="Times New Roman"/>
          <w:sz w:val="24"/>
          <w:szCs w:val="24"/>
        </w:rPr>
        <w:t>As one of the interviewees</w:t>
      </w:r>
      <w:r w:rsidRPr="00BC4F1D">
        <w:rPr>
          <w:rStyle w:val="Znakapoznpodarou"/>
          <w:rFonts w:cs="Times New Roman"/>
          <w:sz w:val="24"/>
          <w:szCs w:val="24"/>
        </w:rPr>
        <w:footnoteReference w:id="3"/>
      </w:r>
      <w:r w:rsidRPr="00BC4F1D">
        <w:rPr>
          <w:rFonts w:cs="Times New Roman"/>
          <w:sz w:val="24"/>
          <w:szCs w:val="24"/>
        </w:rPr>
        <w:t xml:space="preserve"> pointed out to the author of this paper, at the strategic level, the impetus to initiate TTIP negotiations with the US came from EU Member States. In fact, according to the official, some Member States even pushed the Commission into the launch of the talks despite the fact that there was seemingly no clear consensus within the Commission that the negotiations should commence as quickly as they did. The Council has adopted several conclusions in which it called for the work of the Commission to be expedited and for the negotiations to be launched. At the top political level, influence of EU Member States was therefore very high and the major strategic orientation was fully co-decided between the Commission and the Council.</w:t>
      </w:r>
    </w:p>
    <w:p w:rsidR="0058730E" w:rsidRPr="00BC4F1D" w:rsidRDefault="0058730E" w:rsidP="006A4BF7">
      <w:pPr>
        <w:spacing w:after="0" w:line="240" w:lineRule="auto"/>
        <w:jc w:val="both"/>
        <w:rPr>
          <w:rFonts w:cs="Times New Roman"/>
          <w:sz w:val="24"/>
          <w:szCs w:val="24"/>
        </w:rPr>
      </w:pPr>
    </w:p>
    <w:p w:rsidR="0058730E" w:rsidRPr="00BC4F1D" w:rsidRDefault="0058730E" w:rsidP="00771294">
      <w:pPr>
        <w:spacing w:after="0" w:line="240" w:lineRule="auto"/>
        <w:jc w:val="both"/>
        <w:rPr>
          <w:rFonts w:cs="Times New Roman"/>
          <w:sz w:val="24"/>
          <w:szCs w:val="24"/>
        </w:rPr>
      </w:pPr>
      <w:r w:rsidRPr="00BC4F1D">
        <w:rPr>
          <w:rFonts w:cs="Times New Roman"/>
          <w:sz w:val="24"/>
          <w:szCs w:val="24"/>
        </w:rPr>
        <w:t>Nevertheless, following the EU-US summit in November 2011, preparatory work was at the European side done by the Commission with DG TRADE in charge. The summit established a High-Level Working Group on Jobs and Growth (HLWG) which was led by U.S. Trade Representative (at that time Ron Kirk) and EU Trade Commissioner Karel De Gucht. The HLWG published its interim report in 2012 (</w:t>
      </w:r>
      <w:r w:rsidRPr="00BC4F1D">
        <w:rPr>
          <w:rFonts w:cs="Times New Roman"/>
          <w:noProof/>
          <w:sz w:val="24"/>
          <w:szCs w:val="24"/>
        </w:rPr>
        <w:t>High Level Working Group on Jobs and Growth, 2012</w:t>
      </w:r>
      <w:r w:rsidRPr="00BC4F1D">
        <w:rPr>
          <w:rFonts w:cs="Times New Roman"/>
          <w:sz w:val="24"/>
          <w:szCs w:val="24"/>
        </w:rPr>
        <w:t>) and the final report in February 2013 (</w:t>
      </w:r>
      <w:r w:rsidRPr="00BC4F1D">
        <w:rPr>
          <w:rFonts w:cs="Times New Roman"/>
          <w:noProof/>
          <w:sz w:val="24"/>
          <w:szCs w:val="24"/>
        </w:rPr>
        <w:t>High Level Working Group on Jobs and Growth, 2013</w:t>
      </w:r>
      <w:r w:rsidRPr="00BC4F1D">
        <w:rPr>
          <w:rFonts w:cs="Times New Roman"/>
          <w:sz w:val="24"/>
          <w:szCs w:val="24"/>
        </w:rPr>
        <w:t>). During this exercise, any influence of EU Member States was limited. As one of the Commission officials put it: ‘WE informed THEM’.</w:t>
      </w:r>
      <w:r w:rsidRPr="00BC4F1D">
        <w:rPr>
          <w:rStyle w:val="Znakapoznpodarou"/>
          <w:rFonts w:cs="Times New Roman"/>
          <w:sz w:val="24"/>
          <w:szCs w:val="24"/>
        </w:rPr>
        <w:footnoteReference w:id="4"/>
      </w:r>
      <w:r w:rsidRPr="00BC4F1D">
        <w:rPr>
          <w:rFonts w:cs="Times New Roman"/>
          <w:sz w:val="24"/>
          <w:szCs w:val="24"/>
        </w:rPr>
        <w:t xml:space="preserve"> Yet the final report must have been endorsed by all three Presidents – of the European Commission, of the Council of the European Union and, of course let’s not forget, President of the United States.</w:t>
      </w:r>
    </w:p>
    <w:p w:rsidR="0058730E" w:rsidRPr="00BC4F1D" w:rsidRDefault="0058730E" w:rsidP="00771294">
      <w:pPr>
        <w:spacing w:after="0" w:line="240" w:lineRule="auto"/>
        <w:jc w:val="both"/>
        <w:rPr>
          <w:rFonts w:cs="Times New Roman"/>
          <w:sz w:val="24"/>
          <w:szCs w:val="24"/>
        </w:rPr>
      </w:pPr>
    </w:p>
    <w:p w:rsidR="0058730E" w:rsidRPr="00BC4F1D" w:rsidRDefault="0058730E" w:rsidP="00DD0531">
      <w:pPr>
        <w:spacing w:after="0" w:line="240" w:lineRule="auto"/>
        <w:jc w:val="both"/>
        <w:rPr>
          <w:rFonts w:cs="Times New Roman"/>
          <w:sz w:val="24"/>
          <w:szCs w:val="24"/>
        </w:rPr>
      </w:pPr>
      <w:r w:rsidRPr="00BC4F1D">
        <w:rPr>
          <w:rFonts w:cs="Times New Roman"/>
          <w:sz w:val="24"/>
          <w:szCs w:val="24"/>
        </w:rPr>
        <w:t xml:space="preserve">Between March and June 2013, the Commission launched procedures to obtain a negotiating mandate. The Commission proposed a draft mandate and submitted it to EU Member States for their approval. Since the negotiating mandate was highly political and sensitive issue, EU Member States amended it quite significantly by, for instance, removing the audiovisual services from the mandate. Following the public pressure and calls for higher transparency, </w:t>
      </w:r>
      <w:proofErr w:type="spellStart"/>
      <w:r w:rsidRPr="00BC4F1D">
        <w:rPr>
          <w:rFonts w:cs="Times New Roman"/>
          <w:sz w:val="24"/>
          <w:szCs w:val="24"/>
        </w:rPr>
        <w:t>Juncker’s</w:t>
      </w:r>
      <w:proofErr w:type="spellEnd"/>
      <w:r w:rsidRPr="00BC4F1D">
        <w:rPr>
          <w:rFonts w:cs="Times New Roman"/>
          <w:sz w:val="24"/>
          <w:szCs w:val="24"/>
        </w:rPr>
        <w:t xml:space="preserve"> Commission decided to make the original negotiating mandate public and, on 7 January 2015, published the ‘textual positions’ setting out the EU’s specific proposals for legal texts in several fields of individual TTIP negotiation chapters with others to follow in a due course. </w:t>
      </w:r>
    </w:p>
    <w:p w:rsidR="0058730E" w:rsidRPr="00BC4F1D" w:rsidRDefault="0058730E" w:rsidP="00DD0531">
      <w:pPr>
        <w:spacing w:after="0" w:line="240" w:lineRule="auto"/>
        <w:jc w:val="both"/>
        <w:rPr>
          <w:rFonts w:cs="Times New Roman"/>
          <w:sz w:val="24"/>
          <w:szCs w:val="24"/>
        </w:rPr>
      </w:pPr>
    </w:p>
    <w:p w:rsidR="0058730E" w:rsidRPr="00BC4F1D" w:rsidRDefault="0058730E" w:rsidP="00DD0531">
      <w:pPr>
        <w:spacing w:after="0" w:line="240" w:lineRule="auto"/>
        <w:jc w:val="both"/>
        <w:rPr>
          <w:rFonts w:cs="Times New Roman"/>
          <w:sz w:val="24"/>
          <w:szCs w:val="24"/>
        </w:rPr>
      </w:pPr>
      <w:r w:rsidRPr="00BC4F1D">
        <w:rPr>
          <w:rFonts w:cs="Times New Roman"/>
          <w:sz w:val="24"/>
          <w:szCs w:val="24"/>
        </w:rPr>
        <w:t>Nonetheless, none of these documents shows any positions of individual EU Member States and thus we can still only speculate which countries pushed for what amendments. In the audiovisual example above, it seems however clear that it was not just France that took a critical stance, but a number of other states were happily hiding behind it.</w:t>
      </w:r>
      <w:r w:rsidRPr="00BC4F1D">
        <w:rPr>
          <w:rStyle w:val="Znakapoznpodarou"/>
          <w:rFonts w:cs="Times New Roman"/>
          <w:sz w:val="24"/>
          <w:szCs w:val="24"/>
        </w:rPr>
        <w:footnoteReference w:id="5"/>
      </w:r>
      <w:r w:rsidRPr="00BC4F1D">
        <w:rPr>
          <w:rFonts w:cs="Times New Roman"/>
          <w:sz w:val="24"/>
          <w:szCs w:val="24"/>
        </w:rPr>
        <w:t xml:space="preserve"> This is the case in </w:t>
      </w:r>
      <w:r w:rsidRPr="00BC4F1D">
        <w:rPr>
          <w:rFonts w:cs="Times New Roman"/>
          <w:sz w:val="24"/>
          <w:szCs w:val="24"/>
        </w:rPr>
        <w:lastRenderedPageBreak/>
        <w:t>point showing how other areas were impacted by national priorities as well. In the end though, the Council (</w:t>
      </w:r>
      <w:r w:rsidRPr="00BC4F1D">
        <w:rPr>
          <w:rFonts w:cs="Times New Roman"/>
          <w:noProof/>
          <w:sz w:val="24"/>
          <w:szCs w:val="24"/>
        </w:rPr>
        <w:t>2013</w:t>
      </w:r>
      <w:r w:rsidRPr="00BC4F1D">
        <w:rPr>
          <w:rFonts w:cs="Times New Roman"/>
          <w:sz w:val="24"/>
          <w:szCs w:val="24"/>
        </w:rPr>
        <w:t>) approved the mandate and thus gave a green light to the launch of TTIP talks on 14 June 2013.</w:t>
      </w:r>
    </w:p>
    <w:p w:rsidR="0058730E" w:rsidRPr="00BC4F1D" w:rsidRDefault="0058730E" w:rsidP="00771294">
      <w:pPr>
        <w:spacing w:after="0" w:line="240" w:lineRule="auto"/>
        <w:jc w:val="both"/>
        <w:rPr>
          <w:rFonts w:cs="Times New Roman"/>
          <w:sz w:val="24"/>
          <w:szCs w:val="24"/>
        </w:rPr>
      </w:pPr>
    </w:p>
    <w:p w:rsidR="0058730E" w:rsidRPr="00BC4F1D" w:rsidRDefault="0058730E" w:rsidP="00771294">
      <w:pPr>
        <w:spacing w:after="0" w:line="240" w:lineRule="auto"/>
        <w:jc w:val="both"/>
        <w:rPr>
          <w:rFonts w:cs="Times New Roman"/>
          <w:sz w:val="24"/>
          <w:szCs w:val="24"/>
        </w:rPr>
      </w:pPr>
      <w:r w:rsidRPr="00BC4F1D">
        <w:rPr>
          <w:rFonts w:cs="Times New Roman"/>
          <w:sz w:val="24"/>
          <w:szCs w:val="24"/>
        </w:rPr>
        <w:t>Given the fact that the European Parliament (EP) must in the end assent to any negotiated deal and has been the primary venue for various criticisms of a TTIP deal, it is rather surprising that EP came in the game rather late albeit with all the more greater force. The EP has been very vocal on issues related to private data protection provoked by the NSA spying scandal (</w:t>
      </w:r>
      <w:r w:rsidRPr="00BC4F1D">
        <w:rPr>
          <w:rFonts w:cs="Times New Roman"/>
          <w:noProof/>
          <w:sz w:val="24"/>
          <w:szCs w:val="24"/>
        </w:rPr>
        <w:t>Mayer, forthcoming 2015</w:t>
      </w:r>
      <w:r w:rsidRPr="00BC4F1D">
        <w:rPr>
          <w:rFonts w:cs="Times New Roman"/>
          <w:sz w:val="24"/>
          <w:szCs w:val="24"/>
        </w:rPr>
        <w:t xml:space="preserve">; </w:t>
      </w:r>
      <w:r w:rsidRPr="00BC4F1D">
        <w:rPr>
          <w:rFonts w:cs="Times New Roman"/>
          <w:noProof/>
          <w:sz w:val="24"/>
          <w:szCs w:val="24"/>
        </w:rPr>
        <w:t>Telò, forthcoming 2015</w:t>
      </w:r>
      <w:r w:rsidRPr="00BC4F1D">
        <w:rPr>
          <w:rFonts w:cs="Times New Roman"/>
          <w:sz w:val="24"/>
          <w:szCs w:val="24"/>
        </w:rPr>
        <w:t>) and, more recently, on the investor-state dispute settlement (ISDS). Nonetheless, although some MEPs called for suspension of TTIP talks (</w:t>
      </w:r>
      <w:proofErr w:type="spellStart"/>
      <w:r w:rsidRPr="00BC4F1D">
        <w:rPr>
          <w:rFonts w:cs="Times New Roman"/>
          <w:noProof/>
          <w:sz w:val="24"/>
          <w:szCs w:val="24"/>
        </w:rPr>
        <w:t>EurActiv</w:t>
      </w:r>
      <w:proofErr w:type="spellEnd"/>
      <w:r w:rsidRPr="00BC4F1D">
        <w:rPr>
          <w:rFonts w:cs="Times New Roman"/>
          <w:noProof/>
          <w:sz w:val="24"/>
          <w:szCs w:val="24"/>
        </w:rPr>
        <w:t>, 2014</w:t>
      </w:r>
      <w:r w:rsidRPr="00BC4F1D">
        <w:rPr>
          <w:rFonts w:cs="Times New Roman"/>
          <w:sz w:val="24"/>
          <w:szCs w:val="24"/>
        </w:rPr>
        <w:t>)</w:t>
      </w:r>
      <w:proofErr w:type="gramStart"/>
      <w:r w:rsidRPr="00BC4F1D">
        <w:rPr>
          <w:rFonts w:cs="Times New Roman"/>
          <w:sz w:val="24"/>
          <w:szCs w:val="24"/>
        </w:rPr>
        <w:t>,</w:t>
      </w:r>
      <w:proofErr w:type="gramEnd"/>
      <w:r w:rsidRPr="00BC4F1D">
        <w:rPr>
          <w:rFonts w:cs="Times New Roman"/>
          <w:sz w:val="24"/>
          <w:szCs w:val="24"/>
        </w:rPr>
        <w:t xml:space="preserve"> this may have only been the result of the pre-election campaigning and realization that jumping on the bandwagon of a general dissatisfaction with TTIP among the European publics may bring electoral points. The EP has in fact so far adopted only one resolution (</w:t>
      </w:r>
      <w:r w:rsidRPr="00BC4F1D">
        <w:rPr>
          <w:rFonts w:cs="Times New Roman"/>
          <w:noProof/>
          <w:sz w:val="24"/>
          <w:szCs w:val="24"/>
        </w:rPr>
        <w:t>European Parliament, 2013</w:t>
      </w:r>
      <w:r w:rsidRPr="00BC4F1D">
        <w:rPr>
          <w:rFonts w:cs="Times New Roman"/>
          <w:sz w:val="24"/>
          <w:szCs w:val="24"/>
        </w:rPr>
        <w:t>) clearly related to TTIP on 23 May 2013 i.e. two months after the Commission drafted its negotiating mandate and a month before the Council’s decision on the launch of the talks. The newly elected MEPs are nonetheless currently in the process of arranging joint hearings among various EP committees (e.g. INTA and LIBE) and drafting a mid-term review with a report that is scheduled to be voted on in May 2015.</w:t>
      </w:r>
      <w:r w:rsidRPr="00BC4F1D">
        <w:rPr>
          <w:rStyle w:val="Znakapoznpodarou"/>
          <w:rFonts w:cs="Times New Roman"/>
          <w:sz w:val="24"/>
          <w:szCs w:val="24"/>
        </w:rPr>
        <w:footnoteReference w:id="6"/>
      </w:r>
    </w:p>
    <w:p w:rsidR="0058730E" w:rsidRPr="00BC4F1D" w:rsidRDefault="0058730E" w:rsidP="00771294">
      <w:pPr>
        <w:spacing w:after="0" w:line="240" w:lineRule="auto"/>
        <w:jc w:val="both"/>
        <w:rPr>
          <w:rFonts w:cs="Times New Roman"/>
          <w:sz w:val="24"/>
          <w:szCs w:val="24"/>
        </w:rPr>
      </w:pPr>
    </w:p>
    <w:p w:rsidR="0058730E" w:rsidRPr="00BC4F1D" w:rsidRDefault="0058730E" w:rsidP="00FB5B1C">
      <w:pPr>
        <w:spacing w:after="0" w:line="240" w:lineRule="auto"/>
        <w:jc w:val="both"/>
        <w:rPr>
          <w:rFonts w:cs="Times New Roman"/>
          <w:sz w:val="24"/>
          <w:szCs w:val="24"/>
        </w:rPr>
      </w:pPr>
      <w:r w:rsidRPr="00BC4F1D">
        <w:rPr>
          <w:rFonts w:cs="Times New Roman"/>
          <w:sz w:val="24"/>
          <w:szCs w:val="24"/>
        </w:rPr>
        <w:t>Once TTIP negotiations were launched, DG TRADE, which is in most of the cases the Commission’s lead Directorate-General (DG) on the TTIP agenda, strictly follows the inter-service consultation process.</w:t>
      </w:r>
      <w:r w:rsidRPr="00BC4F1D">
        <w:rPr>
          <w:rStyle w:val="Znakapoznpodarou"/>
          <w:rFonts w:cs="Times New Roman"/>
          <w:sz w:val="24"/>
          <w:szCs w:val="24"/>
        </w:rPr>
        <w:footnoteReference w:id="7"/>
      </w:r>
      <w:r w:rsidRPr="00BC4F1D">
        <w:rPr>
          <w:rFonts w:cs="Times New Roman"/>
          <w:sz w:val="24"/>
          <w:szCs w:val="24"/>
        </w:rPr>
        <w:t xml:space="preserve"> Before taking any official position on a TTIP item, particularly if in writing, DG TRADE clears it with other services (DGs) concerned. For instance, if DG TRADE makes a proposal on public procurement, it consults it with DG Internal Market (DG MARKT) and DG Enterprise (DG ENTR), while proposals on sanitary and </w:t>
      </w:r>
      <w:proofErr w:type="spellStart"/>
      <w:r w:rsidRPr="00BC4F1D">
        <w:rPr>
          <w:rFonts w:cs="Times New Roman"/>
          <w:sz w:val="24"/>
          <w:szCs w:val="24"/>
        </w:rPr>
        <w:t>phytosanitary</w:t>
      </w:r>
      <w:proofErr w:type="spellEnd"/>
      <w:r w:rsidRPr="00BC4F1D">
        <w:rPr>
          <w:rFonts w:cs="Times New Roman"/>
          <w:sz w:val="24"/>
          <w:szCs w:val="24"/>
        </w:rPr>
        <w:t xml:space="preserve"> (SPS) issues are jointly prepared with DG Health and Consumers (DG SANCO). Although the negotiators do not in the end have to accept amendments by other DGs to the draft position proposed by DG TRADE, the aim is to reach consensus among all the Commission services involved. As one of the members of the TTIP negotiating team explained: ‘If I think that what they are proposing is rubbish, I can say no… We argue but we work it out… that is the governing way how we work’.</w:t>
      </w:r>
      <w:r w:rsidRPr="00BC4F1D">
        <w:rPr>
          <w:rStyle w:val="Znakapoznpodarou"/>
          <w:rFonts w:cs="Times New Roman"/>
          <w:sz w:val="24"/>
          <w:szCs w:val="24"/>
        </w:rPr>
        <w:footnoteReference w:id="8"/>
      </w:r>
    </w:p>
    <w:p w:rsidR="0058730E" w:rsidRPr="00BC4F1D" w:rsidRDefault="0058730E" w:rsidP="00621A15">
      <w:pPr>
        <w:spacing w:after="0" w:line="240" w:lineRule="auto"/>
        <w:jc w:val="both"/>
        <w:rPr>
          <w:rFonts w:cs="Times New Roman"/>
          <w:sz w:val="24"/>
          <w:szCs w:val="24"/>
        </w:rPr>
      </w:pPr>
    </w:p>
    <w:p w:rsidR="0058730E" w:rsidRPr="00BC4F1D" w:rsidRDefault="0058730E" w:rsidP="00DF5374">
      <w:pPr>
        <w:spacing w:after="0" w:line="240" w:lineRule="auto"/>
        <w:jc w:val="both"/>
        <w:rPr>
          <w:rFonts w:cs="Times New Roman"/>
          <w:sz w:val="24"/>
          <w:szCs w:val="24"/>
        </w:rPr>
      </w:pPr>
      <w:r w:rsidRPr="00BC4F1D">
        <w:rPr>
          <w:rFonts w:cs="Times New Roman"/>
          <w:sz w:val="24"/>
          <w:szCs w:val="24"/>
        </w:rPr>
        <w:t xml:space="preserve">In contrast to the comprehensive consensus-seeking intra-service method within the Commission as well as to the accession negotiations mentioned above, the working method with EU Member State is different, partly because the Treaties provide for such different working arrangements. All TTIP draft positions and other papers are submitted to Member States for their comments. Moreover, all trade decisions are accompanied by the Council’s Trade Policy Committee which meets weekly at the technical and once a month at a senior political level. Member States also have an opportunity to provide their views in writing on TTIP </w:t>
      </w:r>
      <w:r w:rsidRPr="00BC4F1D">
        <w:rPr>
          <w:rFonts w:cs="Times New Roman"/>
          <w:sz w:val="24"/>
          <w:szCs w:val="24"/>
        </w:rPr>
        <w:lastRenderedPageBreak/>
        <w:t xml:space="preserve">or ask for a meeting with anyone on the negotiating team. As a rule of thumb, the negotiators always accept such requests for meetings. </w:t>
      </w:r>
    </w:p>
    <w:p w:rsidR="0058730E" w:rsidRPr="00BC4F1D" w:rsidRDefault="0058730E" w:rsidP="00DF5374">
      <w:pPr>
        <w:spacing w:after="0" w:line="240" w:lineRule="auto"/>
        <w:jc w:val="both"/>
        <w:rPr>
          <w:rFonts w:cs="Times New Roman"/>
          <w:sz w:val="24"/>
          <w:szCs w:val="24"/>
        </w:rPr>
      </w:pPr>
    </w:p>
    <w:p w:rsidR="0058730E" w:rsidRPr="00BC4F1D" w:rsidRDefault="0058730E" w:rsidP="009C3126">
      <w:pPr>
        <w:spacing w:after="0" w:line="240" w:lineRule="auto"/>
        <w:jc w:val="both"/>
        <w:rPr>
          <w:rFonts w:cs="Times New Roman"/>
          <w:sz w:val="24"/>
          <w:szCs w:val="24"/>
        </w:rPr>
      </w:pPr>
      <w:r w:rsidRPr="00BC4F1D">
        <w:rPr>
          <w:rFonts w:cs="Times New Roman"/>
          <w:sz w:val="24"/>
          <w:szCs w:val="24"/>
        </w:rPr>
        <w:t>Yet when it comes to official approval, Member States are not required to agree to any of the TTIP materials that are submitted to them. Or, vice versa, the Commission negotiators are not obliged to accept any of the suggestions made by EU Member States. Although DG TRADE officials claim they would take on board issues that Member States ask for to the extent that the negotiators think that the requested change is possible or a good idea, a number of times, however, they do not bow to the pressure of Member States and do not accept their proposals. Clearly, though, officials then need to explain to the Member State ‘</w:t>
      </w:r>
      <w:proofErr w:type="spellStart"/>
      <w:r w:rsidRPr="00BC4F1D">
        <w:rPr>
          <w:rFonts w:cs="Times New Roman"/>
          <w:sz w:val="24"/>
          <w:szCs w:val="24"/>
        </w:rPr>
        <w:t>demandeur</w:t>
      </w:r>
      <w:proofErr w:type="spellEnd"/>
      <w:r w:rsidRPr="00BC4F1D">
        <w:rPr>
          <w:rFonts w:cs="Times New Roman"/>
          <w:sz w:val="24"/>
          <w:szCs w:val="24"/>
        </w:rPr>
        <w:t>’ why an issue was off the TTIP table. The negotiators after all know that, at the end of the day, any TTIP deal which will be agreed on will need support by Member States. Similarly, after each TTIP negotiations round, the Commission officials report to Member States through information sessions and answer numerous questions of Member State representatives in order to make sure that they are fully on board and understand both what the Commission is proposing and what the US position is. In the words of one of the TTIP negotiating team members, ‘it is a subtle exercise’.</w:t>
      </w:r>
    </w:p>
    <w:p w:rsidR="0058730E" w:rsidRPr="00BC4F1D" w:rsidRDefault="0058730E" w:rsidP="009C3126">
      <w:pPr>
        <w:spacing w:after="0" w:line="240" w:lineRule="auto"/>
        <w:jc w:val="both"/>
        <w:rPr>
          <w:rFonts w:cs="Times New Roman"/>
          <w:sz w:val="24"/>
          <w:szCs w:val="24"/>
        </w:rPr>
      </w:pPr>
    </w:p>
    <w:p w:rsidR="0058730E" w:rsidRPr="00BC4F1D" w:rsidRDefault="0058730E" w:rsidP="009C3126">
      <w:pPr>
        <w:spacing w:after="0" w:line="240" w:lineRule="auto"/>
        <w:jc w:val="both"/>
        <w:rPr>
          <w:rFonts w:cs="Times New Roman"/>
          <w:sz w:val="24"/>
          <w:szCs w:val="24"/>
        </w:rPr>
      </w:pPr>
      <w:r w:rsidRPr="00BC4F1D">
        <w:rPr>
          <w:rFonts w:cs="Times New Roman"/>
          <w:sz w:val="24"/>
          <w:szCs w:val="24"/>
        </w:rPr>
        <w:t>A special case of Member State-negotiating team collaboration relates to the role of the Presidencies of the EU throughout the process of TTIP negotiations. When negotiations are conducted within an intergovernmental conference, such as in case of accession negotiations, the Presidencies can become main drivers of the entire process by clearly setting the negotiation agenda, finding consensus among fellow Member States and pushing both sides to accept a compromise (</w:t>
      </w:r>
      <w:r w:rsidRPr="00BC4F1D">
        <w:rPr>
          <w:rFonts w:cs="Times New Roman"/>
          <w:noProof/>
          <w:sz w:val="24"/>
          <w:szCs w:val="24"/>
        </w:rPr>
        <w:t>Ludlow, 2004</w:t>
      </w:r>
      <w:r w:rsidRPr="00BC4F1D">
        <w:rPr>
          <w:rFonts w:cs="Times New Roman"/>
          <w:sz w:val="24"/>
          <w:szCs w:val="24"/>
        </w:rPr>
        <w:t xml:space="preserve">). Moreover, they tend to compete and show off what was achieved under their helm. In trade negotiations, including TTIP negotiations, however, the Presidencies play rather a marginal role. It is not up to them to propose next steps and draft texts, but up to the Commission. Since Member States do not sit at the TTIP negotiating table, the Presidencies do not run the show. They are more or less only involved to the extent that they chair meetings of the Council dedicated to trade issues and the Trade Policy Committee. </w:t>
      </w:r>
    </w:p>
    <w:p w:rsidR="0058730E" w:rsidRPr="00BC4F1D" w:rsidRDefault="0058730E" w:rsidP="009C3126">
      <w:pPr>
        <w:spacing w:after="0" w:line="240" w:lineRule="auto"/>
        <w:jc w:val="both"/>
        <w:rPr>
          <w:rFonts w:cs="Times New Roman"/>
          <w:sz w:val="24"/>
          <w:szCs w:val="24"/>
        </w:rPr>
      </w:pPr>
    </w:p>
    <w:p w:rsidR="0058730E" w:rsidRPr="00BC4F1D" w:rsidRDefault="0058730E" w:rsidP="009C3126">
      <w:pPr>
        <w:spacing w:after="0" w:line="240" w:lineRule="auto"/>
        <w:jc w:val="both"/>
        <w:rPr>
          <w:rFonts w:cs="Times New Roman"/>
          <w:sz w:val="24"/>
          <w:szCs w:val="24"/>
        </w:rPr>
      </w:pPr>
      <w:r w:rsidRPr="00BC4F1D">
        <w:rPr>
          <w:rFonts w:cs="Times New Roman"/>
          <w:sz w:val="24"/>
          <w:szCs w:val="24"/>
        </w:rPr>
        <w:t>Moreover, the intensity of the relationship with the Commission’s TTIP negotiating team varies depending on the issue at stake and a specific moment during the negotiation process. When the Presidency is lucky enough to be in the chair when it comes to decision time, the TTIP negotiators may work with it very closely. On the other hand, during the more routine periods, the relationship is looser and is basically limited to reporting by the DG TRADE negotiators on the TTIP negotiations’ state of play. As with other issues related to the clout of Presidencies, they come and go every six months and, depending on their own priorities and quality of the resources, they may be more (as the Irish in the first half of 2013 who worked hard on getting the negotiating mandate) or less active (as the Greeks in the first half of 2014) on TTIP-related issues.</w:t>
      </w:r>
    </w:p>
    <w:p w:rsidR="0058730E" w:rsidRPr="00BC4F1D" w:rsidRDefault="0058730E" w:rsidP="009C3126">
      <w:pPr>
        <w:spacing w:after="0" w:line="240" w:lineRule="auto"/>
        <w:jc w:val="both"/>
        <w:rPr>
          <w:rFonts w:cs="Times New Roman"/>
          <w:sz w:val="24"/>
          <w:szCs w:val="24"/>
        </w:rPr>
      </w:pPr>
    </w:p>
    <w:p w:rsidR="0058730E" w:rsidRPr="00BC4F1D" w:rsidRDefault="0058730E" w:rsidP="009C3126">
      <w:pPr>
        <w:spacing w:after="0" w:line="240" w:lineRule="auto"/>
        <w:jc w:val="both"/>
        <w:rPr>
          <w:rFonts w:cs="Times New Roman"/>
          <w:sz w:val="24"/>
          <w:szCs w:val="24"/>
        </w:rPr>
      </w:pPr>
      <w:r w:rsidRPr="00BC4F1D">
        <w:rPr>
          <w:rFonts w:cs="Times New Roman"/>
          <w:sz w:val="24"/>
          <w:szCs w:val="24"/>
        </w:rPr>
        <w:t xml:space="preserve">To better compare the TTIP negotiation process on both sides of the Atlantic but without going much into the </w:t>
      </w:r>
      <w:proofErr w:type="gramStart"/>
      <w:r w:rsidRPr="00BC4F1D">
        <w:rPr>
          <w:rFonts w:cs="Times New Roman"/>
          <w:sz w:val="24"/>
          <w:szCs w:val="24"/>
        </w:rPr>
        <w:t>detail,</w:t>
      </w:r>
      <w:proofErr w:type="gramEnd"/>
      <w:r w:rsidRPr="00BC4F1D">
        <w:rPr>
          <w:rFonts w:cs="Times New Roman"/>
          <w:sz w:val="24"/>
          <w:szCs w:val="24"/>
        </w:rPr>
        <w:t xml:space="preserve"> it suffices to say that the US negotiating position goes through a triple </w:t>
      </w:r>
      <w:r w:rsidRPr="00BC4F1D">
        <w:rPr>
          <w:rFonts w:cs="Times New Roman"/>
          <w:sz w:val="24"/>
          <w:szCs w:val="24"/>
        </w:rPr>
        <w:lastRenderedPageBreak/>
        <w:t>consultation process.</w:t>
      </w:r>
      <w:r w:rsidRPr="00BC4F1D">
        <w:rPr>
          <w:rStyle w:val="Znakapoznpodarou"/>
          <w:rFonts w:cs="Times New Roman"/>
          <w:sz w:val="24"/>
          <w:szCs w:val="24"/>
        </w:rPr>
        <w:footnoteReference w:id="9"/>
      </w:r>
      <w:r w:rsidRPr="00BC4F1D">
        <w:rPr>
          <w:rFonts w:cs="Times New Roman"/>
          <w:sz w:val="24"/>
          <w:szCs w:val="24"/>
        </w:rPr>
        <w:t xml:space="preserve"> As with the inter-service consultations within the Commission, the American draft position papers firstly go through an internal ‘inter-agency’ process. Once a draft is complete, it is sent to the US Congress where it is looked over by the House and Senate staffers and experts. In the third step, the US TTIP position paper is submitted through a secured website to the Advisory Committee for Trade Policy and Negotiations (ACTPN) whose advisors have about five to ten working days to provide their feedback. </w:t>
      </w:r>
    </w:p>
    <w:p w:rsidR="0058730E" w:rsidRPr="00BC4F1D" w:rsidRDefault="0058730E" w:rsidP="009C3126">
      <w:pPr>
        <w:spacing w:after="0" w:line="240" w:lineRule="auto"/>
        <w:jc w:val="both"/>
        <w:rPr>
          <w:rFonts w:cs="Times New Roman"/>
          <w:sz w:val="24"/>
          <w:szCs w:val="24"/>
        </w:rPr>
      </w:pPr>
    </w:p>
    <w:p w:rsidR="0058730E" w:rsidRPr="00BC4F1D" w:rsidRDefault="0058730E" w:rsidP="009C3126">
      <w:pPr>
        <w:spacing w:after="0" w:line="240" w:lineRule="auto"/>
        <w:jc w:val="both"/>
        <w:rPr>
          <w:rFonts w:cs="Times New Roman"/>
          <w:sz w:val="24"/>
          <w:szCs w:val="24"/>
        </w:rPr>
      </w:pPr>
      <w:r w:rsidRPr="00BC4F1D">
        <w:rPr>
          <w:rFonts w:cs="Times New Roman"/>
          <w:sz w:val="24"/>
          <w:szCs w:val="24"/>
        </w:rPr>
        <w:t>Only after this sophisticated and, to some extent, even more complex than in Europe process of consultations with the additional third layer of trade advisors is complete, the US negotiating position on TTIP is presented to the European counterparts. Interestingly though, and in contrast to other negotiating partners that the EU is involved with in trade talks, the US side does not allow to share its position papers with EU Member States. In a way, this also confirms this paper’s hypothesis that TTIP may in the end strengthen the clout of the supranational bodies at the expense of intergovernmental decision-making among EU Member States. Since any final TTIP agreement will be an EU (rather than EU Member States)-US deal and it is the Commission who represents the Union at the TTIP talks, from the American perspective it is logical that only EU officials should have access to the key documents. As a Commission official indicated, Member States are unsurprisingly unhappy about this situation but none of them has so far told the Commission TTIP negotiators to stop the talks and otherwise ‘what else you can do about it’.</w:t>
      </w:r>
      <w:r w:rsidRPr="00BC4F1D">
        <w:rPr>
          <w:rStyle w:val="Znakapoznpodarou"/>
          <w:rFonts w:cs="Times New Roman"/>
          <w:sz w:val="24"/>
          <w:szCs w:val="24"/>
        </w:rPr>
        <w:footnoteReference w:id="10"/>
      </w:r>
      <w:r w:rsidRPr="00BC4F1D">
        <w:rPr>
          <w:rFonts w:cs="Times New Roman"/>
          <w:sz w:val="24"/>
          <w:szCs w:val="24"/>
        </w:rPr>
        <w:t xml:space="preserve">  </w:t>
      </w:r>
    </w:p>
    <w:p w:rsidR="0058730E" w:rsidRPr="00BC4F1D" w:rsidRDefault="0058730E" w:rsidP="009C3126">
      <w:pPr>
        <w:spacing w:after="0" w:line="240" w:lineRule="auto"/>
        <w:jc w:val="both"/>
        <w:rPr>
          <w:rFonts w:cs="Times New Roman"/>
          <w:sz w:val="24"/>
          <w:szCs w:val="24"/>
        </w:rPr>
      </w:pPr>
    </w:p>
    <w:p w:rsidR="0058730E" w:rsidRPr="00BC4F1D" w:rsidRDefault="0058730E" w:rsidP="009C3126">
      <w:pPr>
        <w:spacing w:after="0" w:line="240" w:lineRule="auto"/>
        <w:jc w:val="both"/>
        <w:rPr>
          <w:rFonts w:cs="Times New Roman"/>
          <w:sz w:val="24"/>
          <w:szCs w:val="24"/>
        </w:rPr>
      </w:pPr>
      <w:r w:rsidRPr="00BC4F1D">
        <w:rPr>
          <w:rFonts w:cs="Times New Roman"/>
          <w:sz w:val="24"/>
          <w:szCs w:val="24"/>
        </w:rPr>
        <w:t>All in all, this section of the paper demonstrated that TTIP negotiations are on the European side clearly led by supranational institutions, the European Commission with its DG TRADE in particular. Although EU Member States get involved in the strategic political aspects of TTIP by, for instance, pushing for the start of TTIP talks, throughout the negotiation process they are rather bystanders than key players. Their side role is well understood and reflected by the wish of the American partners who ban them from seeing the US negotiation positions. As a result of potentially successful conclusion of TTIP talks, the balance of powers between EU institutions and EU Member States can shift towards the EU side. A TTIP agreement will after all be an EU deal with the US rather than a treaty among EU Member States with a third party.</w:t>
      </w:r>
    </w:p>
    <w:p w:rsidR="0058730E" w:rsidRPr="00BC4F1D" w:rsidRDefault="0058730E" w:rsidP="009C3126">
      <w:pPr>
        <w:spacing w:after="0" w:line="240" w:lineRule="auto"/>
        <w:jc w:val="both"/>
        <w:rPr>
          <w:rFonts w:cs="Times New Roman"/>
          <w:sz w:val="24"/>
          <w:szCs w:val="24"/>
        </w:rPr>
      </w:pPr>
    </w:p>
    <w:p w:rsidR="0058730E" w:rsidRPr="00BC4F1D" w:rsidRDefault="0058730E" w:rsidP="001A2028">
      <w:pPr>
        <w:spacing w:after="0" w:line="240" w:lineRule="auto"/>
        <w:jc w:val="both"/>
        <w:rPr>
          <w:rFonts w:cs="Times New Roman"/>
          <w:sz w:val="24"/>
          <w:szCs w:val="24"/>
        </w:rPr>
      </w:pPr>
      <w:r w:rsidRPr="00BC4F1D">
        <w:rPr>
          <w:rFonts w:cs="Times New Roman"/>
          <w:sz w:val="24"/>
          <w:szCs w:val="24"/>
        </w:rPr>
        <w:t>Yet the question remains: will this potential swing towards the clout of EU institutions be replicated in transatlantic relations in general or will it be limited to the transatlantic trade and investment relationship? In other words, how can TTIP impact on the EU’s foreign policy-making vis-à-vis the US? The second section of this paper will examine these questions.</w:t>
      </w:r>
    </w:p>
    <w:p w:rsidR="0058730E" w:rsidRPr="00BC4F1D" w:rsidRDefault="0058730E" w:rsidP="001A2028">
      <w:pPr>
        <w:spacing w:after="0" w:line="240" w:lineRule="auto"/>
        <w:jc w:val="both"/>
        <w:rPr>
          <w:rFonts w:cs="Times New Roman"/>
          <w:sz w:val="24"/>
          <w:szCs w:val="24"/>
        </w:rPr>
      </w:pPr>
    </w:p>
    <w:p w:rsidR="0058730E" w:rsidRPr="00BC4F1D" w:rsidRDefault="0058730E" w:rsidP="001A2028">
      <w:pPr>
        <w:spacing w:after="0" w:line="240" w:lineRule="auto"/>
        <w:jc w:val="both"/>
        <w:rPr>
          <w:rFonts w:cs="Times New Roman"/>
          <w:sz w:val="24"/>
          <w:szCs w:val="24"/>
        </w:rPr>
      </w:pPr>
    </w:p>
    <w:p w:rsidR="0058730E" w:rsidRPr="00BC4F1D" w:rsidRDefault="0058730E" w:rsidP="001A2028">
      <w:pPr>
        <w:spacing w:after="0" w:line="240" w:lineRule="auto"/>
        <w:jc w:val="both"/>
        <w:rPr>
          <w:rFonts w:cs="Times New Roman"/>
          <w:sz w:val="24"/>
          <w:szCs w:val="24"/>
        </w:rPr>
      </w:pPr>
    </w:p>
    <w:p w:rsidR="0058730E" w:rsidRPr="00BC4F1D" w:rsidRDefault="0058730E">
      <w:pPr>
        <w:rPr>
          <w:rFonts w:cs="Times New Roman"/>
          <w:b/>
          <w:sz w:val="24"/>
          <w:szCs w:val="24"/>
        </w:rPr>
      </w:pPr>
      <w:r w:rsidRPr="00BC4F1D">
        <w:rPr>
          <w:rFonts w:cs="Times New Roman"/>
          <w:b/>
          <w:sz w:val="24"/>
          <w:szCs w:val="24"/>
        </w:rPr>
        <w:br w:type="page"/>
      </w:r>
    </w:p>
    <w:p w:rsidR="0058730E" w:rsidRPr="00BC4F1D" w:rsidRDefault="0058730E" w:rsidP="001A2028">
      <w:pPr>
        <w:spacing w:after="0" w:line="240" w:lineRule="auto"/>
        <w:jc w:val="both"/>
        <w:rPr>
          <w:rFonts w:cs="Times New Roman"/>
          <w:b/>
          <w:sz w:val="24"/>
          <w:szCs w:val="24"/>
        </w:rPr>
      </w:pPr>
      <w:r w:rsidRPr="00BC4F1D">
        <w:rPr>
          <w:rFonts w:cs="Times New Roman"/>
          <w:b/>
          <w:sz w:val="24"/>
          <w:szCs w:val="24"/>
        </w:rPr>
        <w:lastRenderedPageBreak/>
        <w:t>The European Commission vs. European Diplomatic Service in TTIP Negotiations</w:t>
      </w:r>
    </w:p>
    <w:p w:rsidR="0058730E" w:rsidRPr="00BC4F1D" w:rsidRDefault="0058730E" w:rsidP="001A2028">
      <w:pPr>
        <w:spacing w:after="0" w:line="240" w:lineRule="auto"/>
        <w:jc w:val="both"/>
        <w:rPr>
          <w:rFonts w:cs="Times New Roman"/>
          <w:sz w:val="24"/>
          <w:szCs w:val="24"/>
        </w:rPr>
      </w:pPr>
    </w:p>
    <w:p w:rsidR="0058730E" w:rsidRPr="00BC4F1D" w:rsidRDefault="0058730E" w:rsidP="001A2028">
      <w:pPr>
        <w:spacing w:after="0" w:line="240" w:lineRule="auto"/>
        <w:jc w:val="both"/>
        <w:rPr>
          <w:rFonts w:cs="Times New Roman"/>
          <w:sz w:val="24"/>
          <w:szCs w:val="24"/>
        </w:rPr>
      </w:pPr>
      <w:r w:rsidRPr="00BC4F1D">
        <w:rPr>
          <w:rFonts w:cs="Times New Roman"/>
          <w:sz w:val="24"/>
          <w:szCs w:val="24"/>
        </w:rPr>
        <w:t>The partnership with the US and transatlantic relations have traditionally been at the forefront of the EU’s foreign policy. Not only is the US one of the key EU’s Strategic Partners,</w:t>
      </w:r>
      <w:r w:rsidRPr="00BC4F1D">
        <w:rPr>
          <w:rStyle w:val="Znakapoznpodarou"/>
          <w:rFonts w:cs="Times New Roman"/>
          <w:sz w:val="24"/>
          <w:szCs w:val="24"/>
        </w:rPr>
        <w:footnoteReference w:id="11"/>
      </w:r>
      <w:r w:rsidRPr="00BC4F1D">
        <w:rPr>
          <w:rFonts w:cs="Times New Roman"/>
          <w:sz w:val="24"/>
          <w:szCs w:val="24"/>
        </w:rPr>
        <w:t xml:space="preserve"> but the EU (and previously the Commission) Delegation to Washington, DC has been the first representative office of the European Communities since the 1950s in a third country outside of the EU (</w:t>
      </w:r>
      <w:r w:rsidRPr="00BC4F1D">
        <w:rPr>
          <w:rFonts w:cs="Times New Roman"/>
          <w:noProof/>
          <w:sz w:val="24"/>
          <w:szCs w:val="24"/>
        </w:rPr>
        <w:t>Maurer and Raik, 2014</w:t>
      </w:r>
      <w:r w:rsidRPr="00BC4F1D">
        <w:rPr>
          <w:rFonts w:cs="Times New Roman"/>
          <w:sz w:val="24"/>
          <w:szCs w:val="24"/>
        </w:rPr>
        <w:t>).</w:t>
      </w:r>
      <w:r w:rsidRPr="00BC4F1D">
        <w:rPr>
          <w:rStyle w:val="Znakapoznpodarou"/>
          <w:rFonts w:cs="Times New Roman"/>
          <w:sz w:val="24"/>
          <w:szCs w:val="24"/>
        </w:rPr>
        <w:footnoteReference w:id="12"/>
      </w:r>
      <w:r w:rsidRPr="00BC4F1D">
        <w:rPr>
          <w:rFonts w:cs="Times New Roman"/>
          <w:sz w:val="24"/>
          <w:szCs w:val="24"/>
        </w:rPr>
        <w:t xml:space="preserve"> The EU Delegation to Washington is also one of the most active EU offices around the world whose work is generally welcomed and supported by the US administration and enjoys a good access to senior US officials (</w:t>
      </w:r>
      <w:r w:rsidRPr="00BC4F1D">
        <w:rPr>
          <w:rFonts w:cs="Times New Roman"/>
          <w:noProof/>
          <w:sz w:val="24"/>
          <w:szCs w:val="24"/>
        </w:rPr>
        <w:t>Novotna, 2014</w:t>
      </w:r>
      <w:r w:rsidRPr="00BC4F1D">
        <w:rPr>
          <w:rFonts w:cs="Times New Roman"/>
          <w:sz w:val="24"/>
          <w:szCs w:val="24"/>
        </w:rPr>
        <w:t xml:space="preserve">). Moreover, since the creation of the EEAS, a special division covering North America has been created within a managing directorate for the Americas. </w:t>
      </w:r>
    </w:p>
    <w:p w:rsidR="0058730E" w:rsidRPr="00BC4F1D" w:rsidRDefault="0058730E" w:rsidP="001A2028">
      <w:pPr>
        <w:spacing w:after="0" w:line="240" w:lineRule="auto"/>
        <w:jc w:val="both"/>
        <w:rPr>
          <w:rFonts w:cs="Times New Roman"/>
          <w:sz w:val="24"/>
          <w:szCs w:val="24"/>
        </w:rPr>
      </w:pPr>
    </w:p>
    <w:p w:rsidR="0058730E" w:rsidRPr="00BC4F1D" w:rsidRDefault="0058730E" w:rsidP="001A2028">
      <w:pPr>
        <w:spacing w:after="0" w:line="240" w:lineRule="auto"/>
        <w:jc w:val="both"/>
        <w:rPr>
          <w:rFonts w:cs="Times New Roman"/>
          <w:sz w:val="24"/>
          <w:szCs w:val="24"/>
        </w:rPr>
      </w:pPr>
      <w:r w:rsidRPr="00BC4F1D">
        <w:rPr>
          <w:rFonts w:cs="Times New Roman"/>
          <w:sz w:val="24"/>
          <w:szCs w:val="24"/>
        </w:rPr>
        <w:t>Despite having a good pool of resources when it comes to TTIP, however, neither EEAS with its head, HRVP, nor EU Delegation get much involved. Yet once concluded, a TTIP treaty will not only have economic but also political and geostrategic implications (</w:t>
      </w:r>
      <w:r w:rsidRPr="00BC4F1D">
        <w:rPr>
          <w:rFonts w:cs="Times New Roman"/>
          <w:noProof/>
          <w:sz w:val="24"/>
          <w:szCs w:val="24"/>
        </w:rPr>
        <w:t>Hamilton, 2014a</w:t>
      </w:r>
      <w:r w:rsidRPr="00BC4F1D">
        <w:rPr>
          <w:rFonts w:cs="Times New Roman"/>
          <w:sz w:val="24"/>
          <w:szCs w:val="24"/>
        </w:rPr>
        <w:t xml:space="preserve">, </w:t>
      </w:r>
      <w:r w:rsidRPr="00BC4F1D">
        <w:rPr>
          <w:rFonts w:cs="Times New Roman"/>
          <w:noProof/>
          <w:sz w:val="24"/>
          <w:szCs w:val="24"/>
        </w:rPr>
        <w:t>Hamilton, 2014b</w:t>
      </w:r>
      <w:r w:rsidRPr="00BC4F1D">
        <w:rPr>
          <w:rFonts w:cs="Times New Roman"/>
          <w:sz w:val="24"/>
          <w:szCs w:val="24"/>
        </w:rPr>
        <w:t xml:space="preserve">) which should not be overlooked by the EU’s foreign policy machinery. To some extent, the ambiguous stance of EEAS, HRVP and the Delegation on what to do about TTIP reflects the hybrid structures and lacking consistency in the EU’s foreign policy-making as well as EEAS’s ambivalent cooperation with other EU institutions, the Commission in particular. </w:t>
      </w:r>
    </w:p>
    <w:p w:rsidR="0058730E" w:rsidRPr="00BC4F1D" w:rsidRDefault="0058730E" w:rsidP="001A2028">
      <w:pPr>
        <w:spacing w:after="0" w:line="240" w:lineRule="auto"/>
        <w:jc w:val="both"/>
        <w:rPr>
          <w:rFonts w:cs="Times New Roman"/>
          <w:sz w:val="24"/>
          <w:szCs w:val="24"/>
        </w:rPr>
      </w:pPr>
    </w:p>
    <w:p w:rsidR="0058730E" w:rsidRPr="00BC4F1D" w:rsidRDefault="0058730E" w:rsidP="001A2028">
      <w:pPr>
        <w:spacing w:after="0" w:line="240" w:lineRule="auto"/>
        <w:jc w:val="both"/>
        <w:rPr>
          <w:rFonts w:cs="Times New Roman"/>
          <w:sz w:val="24"/>
          <w:szCs w:val="24"/>
        </w:rPr>
      </w:pPr>
      <w:r w:rsidRPr="00BC4F1D">
        <w:rPr>
          <w:rFonts w:cs="Times New Roman"/>
          <w:sz w:val="24"/>
          <w:szCs w:val="24"/>
        </w:rPr>
        <w:t>Although the head and deputy head of EU Delegation to Washington follow TTIP closely and the press and political sections offer a useful analysis of the American situation, their role is more or less limited to providing input in terms of intelligence gathering. The trade section within the EU Delegation in Washington, on the contrary, is a part of the DG TRADE’s negotiation team and reports directly to the Commission’s deputy TTIP negotiator.</w:t>
      </w:r>
      <w:r w:rsidRPr="00BC4F1D">
        <w:rPr>
          <w:rStyle w:val="Znakapoznpodarou"/>
          <w:rFonts w:cs="Times New Roman"/>
          <w:sz w:val="24"/>
          <w:szCs w:val="24"/>
        </w:rPr>
        <w:footnoteReference w:id="13"/>
      </w:r>
      <w:r w:rsidRPr="00BC4F1D">
        <w:rPr>
          <w:rFonts w:cs="Times New Roman"/>
          <w:sz w:val="24"/>
          <w:szCs w:val="24"/>
        </w:rPr>
        <w:t xml:space="preserve"> The coordination on TTIP within the Delegation thus does not go through a single person, i.e. the head of EU Delegation, but through two Brussels channels that are separate from one another – EEAS and its North America division on the one hand and the North America Trade Relations unit in DG TRADE on the other. </w:t>
      </w:r>
    </w:p>
    <w:p w:rsidR="0058730E" w:rsidRPr="00BC4F1D" w:rsidRDefault="0058730E" w:rsidP="001A2028">
      <w:pPr>
        <w:spacing w:after="0" w:line="240" w:lineRule="auto"/>
        <w:jc w:val="both"/>
        <w:rPr>
          <w:rFonts w:cs="Times New Roman"/>
          <w:sz w:val="24"/>
          <w:szCs w:val="24"/>
        </w:rPr>
      </w:pPr>
    </w:p>
    <w:p w:rsidR="0058730E" w:rsidRPr="00BC4F1D" w:rsidRDefault="0058730E" w:rsidP="001A2028">
      <w:pPr>
        <w:spacing w:after="0" w:line="240" w:lineRule="auto"/>
        <w:jc w:val="both"/>
        <w:rPr>
          <w:rFonts w:cs="Times New Roman"/>
          <w:sz w:val="24"/>
          <w:szCs w:val="24"/>
        </w:rPr>
      </w:pPr>
      <w:r w:rsidRPr="00BC4F1D">
        <w:rPr>
          <w:rFonts w:cs="Times New Roman"/>
          <w:sz w:val="24"/>
          <w:szCs w:val="24"/>
        </w:rPr>
        <w:t xml:space="preserve">The practical aspects of inadequate coordination on TTIP among EU institutions are also illustrated by practical issues, such as the logistics for trips of the negotiating teams to both sides of the Atlantic. Since the logistical aspects, such as flights and accommodation for TTIP negotiators, are supposed to be taken care of by the host negotiating country, it is DG TRADE’s negotiation unit which handles these issues when the European negotiators visit the US rather than the locally-based EU Delegation. The communication and coordination between EEAS and the Commission is thus left to personal contacts: the heads of both North America sections in EEAS and DG TRADE meet for a weekly coffee to discuss the latest developments in TTIP negotiations and transatlantic relations. It is the sad truth that the North America unit is the </w:t>
      </w:r>
      <w:r w:rsidRPr="00BC4F1D">
        <w:rPr>
          <w:rFonts w:cs="Times New Roman"/>
          <w:sz w:val="24"/>
          <w:szCs w:val="24"/>
        </w:rPr>
        <w:lastRenderedPageBreak/>
        <w:t>only unit in DG TRADE which meets its geographical counterpart from EEAS on such a regular and frequent basis.</w:t>
      </w:r>
      <w:r w:rsidRPr="00BC4F1D">
        <w:rPr>
          <w:rStyle w:val="Znakapoznpodarou"/>
          <w:rFonts w:cs="Times New Roman"/>
          <w:sz w:val="24"/>
          <w:szCs w:val="24"/>
        </w:rPr>
        <w:footnoteReference w:id="14"/>
      </w:r>
    </w:p>
    <w:p w:rsidR="0058730E" w:rsidRPr="00BC4F1D" w:rsidRDefault="0058730E" w:rsidP="001A2028">
      <w:pPr>
        <w:spacing w:after="0" w:line="240" w:lineRule="auto"/>
        <w:jc w:val="both"/>
        <w:rPr>
          <w:rFonts w:cs="Times New Roman"/>
          <w:sz w:val="24"/>
          <w:szCs w:val="24"/>
        </w:rPr>
      </w:pPr>
    </w:p>
    <w:p w:rsidR="0058730E" w:rsidRPr="00BC4F1D" w:rsidRDefault="0058730E" w:rsidP="001A2028">
      <w:pPr>
        <w:spacing w:after="0" w:line="240" w:lineRule="auto"/>
        <w:jc w:val="both"/>
        <w:rPr>
          <w:rFonts w:cs="Times New Roman"/>
          <w:sz w:val="24"/>
          <w:szCs w:val="24"/>
        </w:rPr>
      </w:pPr>
    </w:p>
    <w:p w:rsidR="0058730E" w:rsidRPr="00BC4F1D" w:rsidRDefault="0058730E" w:rsidP="001A2028">
      <w:pPr>
        <w:spacing w:after="0" w:line="240" w:lineRule="auto"/>
        <w:jc w:val="both"/>
        <w:rPr>
          <w:rFonts w:cs="Times New Roman"/>
          <w:sz w:val="24"/>
          <w:szCs w:val="24"/>
        </w:rPr>
      </w:pPr>
    </w:p>
    <w:p w:rsidR="0058730E" w:rsidRPr="00BC4F1D" w:rsidRDefault="0058730E" w:rsidP="001A2028">
      <w:pPr>
        <w:spacing w:after="0" w:line="240" w:lineRule="auto"/>
        <w:jc w:val="both"/>
        <w:rPr>
          <w:rFonts w:cs="Times New Roman"/>
          <w:sz w:val="24"/>
          <w:szCs w:val="24"/>
        </w:rPr>
      </w:pPr>
    </w:p>
    <w:p w:rsidR="0058730E" w:rsidRPr="00BC4F1D" w:rsidRDefault="0058730E" w:rsidP="001A2028">
      <w:pPr>
        <w:spacing w:after="0" w:line="240" w:lineRule="auto"/>
        <w:jc w:val="both"/>
        <w:rPr>
          <w:rFonts w:cs="Times New Roman"/>
          <w:b/>
          <w:sz w:val="24"/>
          <w:szCs w:val="24"/>
        </w:rPr>
      </w:pPr>
      <w:r w:rsidRPr="00BC4F1D">
        <w:rPr>
          <w:rFonts w:cs="Times New Roman"/>
          <w:b/>
          <w:sz w:val="24"/>
          <w:szCs w:val="24"/>
        </w:rPr>
        <w:t xml:space="preserve">Conclusion: TTIP and </w:t>
      </w:r>
      <w:r w:rsidR="00B92194">
        <w:rPr>
          <w:rFonts w:cs="Times New Roman"/>
          <w:b/>
          <w:sz w:val="24"/>
          <w:szCs w:val="24"/>
        </w:rPr>
        <w:t>the Balance of Power</w:t>
      </w:r>
      <w:r w:rsidRPr="00BC4F1D">
        <w:rPr>
          <w:rFonts w:cs="Times New Roman"/>
          <w:b/>
          <w:sz w:val="24"/>
          <w:szCs w:val="24"/>
        </w:rPr>
        <w:t xml:space="preserve"> in Brussels </w:t>
      </w:r>
    </w:p>
    <w:p w:rsidR="0058730E" w:rsidRPr="00BC4F1D" w:rsidRDefault="0058730E" w:rsidP="001A2028">
      <w:pPr>
        <w:spacing w:after="0" w:line="240" w:lineRule="auto"/>
        <w:jc w:val="both"/>
        <w:rPr>
          <w:rFonts w:cs="Times New Roman"/>
          <w:sz w:val="24"/>
          <w:szCs w:val="24"/>
        </w:rPr>
      </w:pPr>
    </w:p>
    <w:p w:rsidR="0058730E" w:rsidRPr="00BC4F1D" w:rsidRDefault="0058730E" w:rsidP="001A2028">
      <w:pPr>
        <w:spacing w:after="0" w:line="240" w:lineRule="auto"/>
        <w:jc w:val="both"/>
        <w:rPr>
          <w:rFonts w:cs="Times New Roman"/>
          <w:sz w:val="24"/>
          <w:szCs w:val="24"/>
        </w:rPr>
      </w:pPr>
      <w:r w:rsidRPr="00BC4F1D">
        <w:rPr>
          <w:rFonts w:cs="Times New Roman"/>
          <w:sz w:val="24"/>
          <w:szCs w:val="24"/>
        </w:rPr>
        <w:t xml:space="preserve">Even though TTIP and TTIP negotiations are primarily about getting the best trade deal between the EU and the US, there are broader political ramifications related to TTIP which are worth exploring. This paper focused on two factors tapping into TTIP negotiations. Firstly, at the European side, who is in charge of the negotiation process: do we see EU Member States leading the direction of the talks or can we observe EU institutions and the European Commission in particular having the main say? Secondly, the paper examined the input and participation of the EU foreign policy-making bodies in TTIP negotiations, thus asking who has traded the place (and influence) with whom. </w:t>
      </w:r>
    </w:p>
    <w:p w:rsidR="0058730E" w:rsidRPr="00BC4F1D" w:rsidRDefault="0058730E" w:rsidP="001A2028">
      <w:pPr>
        <w:spacing w:after="0" w:line="240" w:lineRule="auto"/>
        <w:jc w:val="both"/>
        <w:rPr>
          <w:rFonts w:cs="Times New Roman"/>
          <w:sz w:val="24"/>
          <w:szCs w:val="24"/>
        </w:rPr>
      </w:pPr>
    </w:p>
    <w:p w:rsidR="0058730E" w:rsidRPr="00BC4F1D" w:rsidRDefault="0058730E" w:rsidP="001A2028">
      <w:pPr>
        <w:spacing w:after="0" w:line="240" w:lineRule="auto"/>
        <w:jc w:val="both"/>
        <w:rPr>
          <w:rFonts w:cs="Times New Roman"/>
          <w:sz w:val="24"/>
          <w:szCs w:val="24"/>
        </w:rPr>
      </w:pPr>
      <w:r w:rsidRPr="00BC4F1D">
        <w:rPr>
          <w:rFonts w:cs="Times New Roman"/>
          <w:sz w:val="24"/>
          <w:szCs w:val="24"/>
        </w:rPr>
        <w:t xml:space="preserve">Despite the fact that EU Member States spurred the launch of TTIP negotiations, it is primarily the Commission with its DG TRADE which is in control of the TTIP process. Thanks to the fact that EU Member States are not required to approve any negotiation positions and do not directly participate in TTIP talks, their influence on the final outcome has rapidly decreased, particularly in comparison to other types of negotiations which are led at the EU level, such as in case of EU enlargement. Therefore, the paper argues that thanks to the negotiation process but mainly if TTIP agreement takes place and common transatlantic market is created, the balance of power between EU Member States and EU institutions may be significantly shifted towards the supranational side, at least in relationship to the US. </w:t>
      </w:r>
    </w:p>
    <w:p w:rsidR="0058730E" w:rsidRPr="00BC4F1D" w:rsidRDefault="0058730E" w:rsidP="001A2028">
      <w:pPr>
        <w:spacing w:after="0" w:line="240" w:lineRule="auto"/>
        <w:jc w:val="both"/>
        <w:rPr>
          <w:rFonts w:cs="Times New Roman"/>
          <w:sz w:val="24"/>
          <w:szCs w:val="24"/>
        </w:rPr>
      </w:pPr>
    </w:p>
    <w:p w:rsidR="0058730E" w:rsidRPr="00BC4F1D" w:rsidRDefault="0058730E" w:rsidP="00875314">
      <w:pPr>
        <w:spacing w:after="0" w:line="240" w:lineRule="auto"/>
        <w:jc w:val="both"/>
        <w:rPr>
          <w:rFonts w:cs="Times New Roman"/>
          <w:sz w:val="24"/>
          <w:szCs w:val="24"/>
        </w:rPr>
      </w:pPr>
      <w:r w:rsidRPr="00BC4F1D">
        <w:rPr>
          <w:rFonts w:cs="Times New Roman"/>
          <w:sz w:val="24"/>
          <w:szCs w:val="24"/>
        </w:rPr>
        <w:t>Nevertheless, a word of caution needs to be mentioned here: all EU Member States are adamant to keep their bilateral relations with the US which is evidenced by the fact that all EU-28 keep their national embassies fully staffed in Washington. Moreover, some Member States allegedly complain about the Commission’s negotiators directly to the American side (USTR).</w:t>
      </w:r>
      <w:r w:rsidRPr="00BC4F1D">
        <w:rPr>
          <w:rStyle w:val="Znakapoznpodarou"/>
          <w:rFonts w:cs="Times New Roman"/>
          <w:sz w:val="24"/>
          <w:szCs w:val="24"/>
        </w:rPr>
        <w:footnoteReference w:id="15"/>
      </w:r>
      <w:r w:rsidRPr="00BC4F1D">
        <w:rPr>
          <w:rFonts w:cs="Times New Roman"/>
          <w:sz w:val="24"/>
          <w:szCs w:val="24"/>
        </w:rPr>
        <w:t xml:space="preserve"> This, however, undermines the EU’s negotiating position instead of strengthening it. As a result, the US officials can play a good-bad cop double act: a good cop vis-à-vis EU Member States and a bad cop vis-à-vis the Commission negotiators, thereby exploiting the desire of Member States to maintain their bilateral relations and be appreciated by them. As a senior American diplomat put it, ‘if you cannot get or do not like the EU’s common position, you know that you have to go to the national governments.’</w:t>
      </w:r>
      <w:r w:rsidRPr="00BC4F1D">
        <w:rPr>
          <w:rStyle w:val="Znakapoznpodarou"/>
          <w:rFonts w:cs="Times New Roman"/>
          <w:sz w:val="24"/>
          <w:szCs w:val="24"/>
        </w:rPr>
        <w:footnoteReference w:id="16"/>
      </w:r>
    </w:p>
    <w:p w:rsidR="0058730E" w:rsidRPr="00BC4F1D" w:rsidRDefault="0058730E" w:rsidP="00875314">
      <w:pPr>
        <w:spacing w:after="0" w:line="240" w:lineRule="auto"/>
        <w:jc w:val="both"/>
        <w:rPr>
          <w:rFonts w:cs="Times New Roman"/>
          <w:sz w:val="24"/>
          <w:szCs w:val="24"/>
        </w:rPr>
      </w:pPr>
    </w:p>
    <w:p w:rsidR="0058730E" w:rsidRPr="00BC4F1D" w:rsidRDefault="0058730E" w:rsidP="00875314">
      <w:pPr>
        <w:spacing w:after="0" w:line="240" w:lineRule="auto"/>
        <w:jc w:val="both"/>
        <w:rPr>
          <w:rFonts w:cs="Times New Roman"/>
          <w:sz w:val="24"/>
          <w:szCs w:val="24"/>
        </w:rPr>
      </w:pPr>
      <w:r w:rsidRPr="00BC4F1D">
        <w:rPr>
          <w:rFonts w:cs="Times New Roman"/>
          <w:sz w:val="24"/>
          <w:szCs w:val="24"/>
        </w:rPr>
        <w:t xml:space="preserve">The foreign policy aspects of TTIP have not been yet fully explored by academic literature. This paper therefore analyzed to what extent and how the EU’s diplomatic service (EEAS) with its EU </w:t>
      </w:r>
      <w:r w:rsidRPr="00BC4F1D">
        <w:rPr>
          <w:rFonts w:cs="Times New Roman"/>
          <w:sz w:val="24"/>
          <w:szCs w:val="24"/>
        </w:rPr>
        <w:lastRenderedPageBreak/>
        <w:t xml:space="preserve">Delegation based in Washington participates in and is shaped by TTIP negotiations. The paper highlights that despite having promising means of influence that could ensure better impact and coordination both on the ground in Washington and in the Brussels HQ, EEAS and HRVP have not seized yet upon its possibilities and, to some degree, distanced itself from TTIP. Although it is understandable that EEAS does not want to get in the way of the Commission’s prerogatives and increase already tangible tensions between these two Brussels-based EU bodies, it is a shame because TTIP provides a unique chance for HRVP to make full use of her Commission’s Vice-Presidential hat and lead the way in terms of strategic thinking about TTIP and transatlantic partnership. </w:t>
      </w:r>
    </w:p>
    <w:p w:rsidR="0058730E" w:rsidRPr="00BC4F1D" w:rsidRDefault="0058730E" w:rsidP="00875314">
      <w:pPr>
        <w:spacing w:after="0" w:line="240" w:lineRule="auto"/>
        <w:jc w:val="both"/>
        <w:rPr>
          <w:rFonts w:cs="Times New Roman"/>
          <w:sz w:val="24"/>
          <w:szCs w:val="24"/>
        </w:rPr>
      </w:pPr>
    </w:p>
    <w:p w:rsidR="0058730E" w:rsidRPr="00BC4F1D" w:rsidRDefault="0058730E" w:rsidP="00875314">
      <w:pPr>
        <w:spacing w:after="0" w:line="240" w:lineRule="auto"/>
        <w:jc w:val="both"/>
        <w:rPr>
          <w:rFonts w:cs="Times New Roman"/>
          <w:sz w:val="24"/>
          <w:szCs w:val="24"/>
        </w:rPr>
      </w:pPr>
      <w:r w:rsidRPr="00BC4F1D">
        <w:rPr>
          <w:rFonts w:cs="Times New Roman"/>
          <w:sz w:val="24"/>
          <w:szCs w:val="24"/>
        </w:rPr>
        <w:t>In fact, TTIP offers an exceptional opportunity for the ‘comprehensive approach’ combining management of foreign policy with the EU’s external policies (trade in particular) to be implemented in one of the most significant partner countries for the EU. On the other hand</w:t>
      </w:r>
      <w:proofErr w:type="gramStart"/>
      <w:r w:rsidRPr="00BC4F1D">
        <w:rPr>
          <w:rFonts w:cs="Times New Roman"/>
          <w:sz w:val="24"/>
          <w:szCs w:val="24"/>
        </w:rPr>
        <w:t>,  a</w:t>
      </w:r>
      <w:proofErr w:type="gramEnd"/>
      <w:r w:rsidRPr="00BC4F1D">
        <w:rPr>
          <w:rFonts w:cs="Times New Roman"/>
          <w:sz w:val="24"/>
          <w:szCs w:val="24"/>
        </w:rPr>
        <w:t xml:space="preserve"> reluctant approach is hazardous for EU’s diplomacy because once the TTIP train is set into full motion and the Commission is one of the two principal drivers, it will be hard to become at least a substitute driver. </w:t>
      </w:r>
    </w:p>
    <w:p w:rsidR="0058730E" w:rsidRPr="00BC4F1D" w:rsidRDefault="0058730E" w:rsidP="00875314">
      <w:pPr>
        <w:spacing w:after="0" w:line="240" w:lineRule="auto"/>
        <w:jc w:val="both"/>
        <w:rPr>
          <w:rFonts w:cs="Times New Roman"/>
          <w:sz w:val="24"/>
          <w:szCs w:val="24"/>
        </w:rPr>
      </w:pPr>
    </w:p>
    <w:p w:rsidR="0058730E" w:rsidRPr="00BC4F1D" w:rsidRDefault="0058730E" w:rsidP="00BD7CC8">
      <w:pPr>
        <w:spacing w:after="0" w:line="240" w:lineRule="auto"/>
        <w:jc w:val="both"/>
        <w:rPr>
          <w:rFonts w:cs="Times New Roman"/>
          <w:sz w:val="24"/>
          <w:szCs w:val="24"/>
        </w:rPr>
      </w:pPr>
      <w:r w:rsidRPr="00BC4F1D">
        <w:rPr>
          <w:rFonts w:cs="Times New Roman"/>
          <w:sz w:val="24"/>
          <w:szCs w:val="24"/>
        </w:rPr>
        <w:t>Not all is lost for EEAS and HRVP, however. Much depends on agencies and actors which are coming into place rather than structures. Firstly, David O’Sullivan, former Director-General in DG TRADE and HRVP Catherine Ashton’s chief operating officer overseeing the set-up of EEAS, has become a new head of EU Delegation in Washington in November 2014. Perhaps his past experience and credentials are the best asset for the EU Delegation to establish itself on the TTIP negotiation stage. Indeed, he has himself confirmed that TTIP would be his top priority in his new post</w:t>
      </w:r>
      <w:r w:rsidRPr="00BC4F1D">
        <w:rPr>
          <w:rStyle w:val="Znakapoznpodarou"/>
          <w:rFonts w:cs="Times New Roman"/>
          <w:sz w:val="24"/>
          <w:szCs w:val="24"/>
        </w:rPr>
        <w:footnoteReference w:id="17"/>
      </w:r>
      <w:r w:rsidRPr="00BC4F1D">
        <w:rPr>
          <w:rFonts w:cs="Times New Roman"/>
          <w:sz w:val="24"/>
          <w:szCs w:val="24"/>
        </w:rPr>
        <w:t xml:space="preserve"> and, about two months in his office, he seems to delivering on his promise. </w:t>
      </w:r>
    </w:p>
    <w:p w:rsidR="0058730E" w:rsidRPr="00BC4F1D" w:rsidRDefault="0058730E" w:rsidP="00BD7CC8">
      <w:pPr>
        <w:spacing w:after="0" w:line="240" w:lineRule="auto"/>
        <w:jc w:val="both"/>
        <w:rPr>
          <w:rFonts w:cs="Times New Roman"/>
          <w:sz w:val="24"/>
          <w:szCs w:val="24"/>
        </w:rPr>
      </w:pPr>
    </w:p>
    <w:p w:rsidR="0058730E" w:rsidRPr="00BC4F1D" w:rsidRDefault="0058730E" w:rsidP="00AB7A53">
      <w:pPr>
        <w:spacing w:after="0" w:line="240" w:lineRule="auto"/>
        <w:jc w:val="both"/>
        <w:rPr>
          <w:rFonts w:cs="Times New Roman"/>
          <w:sz w:val="24"/>
          <w:szCs w:val="24"/>
        </w:rPr>
      </w:pPr>
      <w:r w:rsidRPr="00BC4F1D">
        <w:rPr>
          <w:rFonts w:cs="Times New Roman"/>
          <w:sz w:val="24"/>
          <w:szCs w:val="24"/>
        </w:rPr>
        <w:t xml:space="preserve">Moreover, although Jean-Claude </w:t>
      </w:r>
      <w:proofErr w:type="spellStart"/>
      <w:r w:rsidRPr="00BC4F1D">
        <w:rPr>
          <w:rFonts w:cs="Times New Roman"/>
          <w:sz w:val="24"/>
          <w:szCs w:val="24"/>
        </w:rPr>
        <w:t>Juncker’s</w:t>
      </w:r>
      <w:proofErr w:type="spellEnd"/>
      <w:r w:rsidRPr="00BC4F1D">
        <w:rPr>
          <w:rFonts w:cs="Times New Roman"/>
          <w:sz w:val="24"/>
          <w:szCs w:val="24"/>
        </w:rPr>
        <w:t xml:space="preserve"> restructuring of the Commission services into ‘clusters’ or ‘project teams’ headed by Vice-Presidents is still work in progress, it is indeed HRVP Federica Mogherini who in her role as the Commission’s Vice-President controls the foreign policy cluster which includes the Commissioner for Trade and DG TRADE (</w:t>
      </w:r>
      <w:r w:rsidRPr="00BC4F1D">
        <w:rPr>
          <w:rFonts w:cs="Times New Roman"/>
          <w:noProof/>
          <w:sz w:val="24"/>
          <w:szCs w:val="24"/>
        </w:rPr>
        <w:t>European Commission, 2014b</w:t>
      </w:r>
      <w:r w:rsidRPr="00BC4F1D">
        <w:rPr>
          <w:rFonts w:cs="Times New Roman"/>
          <w:sz w:val="24"/>
          <w:szCs w:val="24"/>
        </w:rPr>
        <w:t xml:space="preserve">b). </w:t>
      </w:r>
      <w:proofErr w:type="spellStart"/>
      <w:r w:rsidRPr="00BC4F1D">
        <w:rPr>
          <w:rFonts w:cs="Times New Roman"/>
          <w:sz w:val="24"/>
          <w:szCs w:val="24"/>
        </w:rPr>
        <w:t>Althought</w:t>
      </w:r>
      <w:proofErr w:type="spellEnd"/>
      <w:r w:rsidRPr="00BC4F1D">
        <w:rPr>
          <w:rFonts w:cs="Times New Roman"/>
          <w:sz w:val="24"/>
          <w:szCs w:val="24"/>
        </w:rPr>
        <w:t xml:space="preserve"> it is still too soon to tell, the early signs indicate that Mogherini is keen on enhancing her </w:t>
      </w:r>
      <w:proofErr w:type="spellStart"/>
      <w:r w:rsidRPr="00BC4F1D">
        <w:rPr>
          <w:rFonts w:cs="Times New Roman"/>
          <w:sz w:val="24"/>
          <w:szCs w:val="24"/>
        </w:rPr>
        <w:t>vicepresidential</w:t>
      </w:r>
      <w:proofErr w:type="spellEnd"/>
      <w:r w:rsidRPr="00BC4F1D">
        <w:rPr>
          <w:rFonts w:cs="Times New Roman"/>
          <w:sz w:val="24"/>
          <w:szCs w:val="24"/>
        </w:rPr>
        <w:t xml:space="preserve"> role and is trying to be firmly in charge of her ‘Group of Commissioners on External Action’ (</w:t>
      </w:r>
      <w:r w:rsidRPr="00BC4F1D">
        <w:rPr>
          <w:rFonts w:cs="Times New Roman"/>
          <w:noProof/>
          <w:sz w:val="24"/>
          <w:szCs w:val="24"/>
        </w:rPr>
        <w:t>European Commission, 2014a</w:t>
      </w:r>
      <w:r w:rsidRPr="00BC4F1D">
        <w:rPr>
          <w:rFonts w:cs="Times New Roman"/>
          <w:sz w:val="24"/>
          <w:szCs w:val="24"/>
        </w:rPr>
        <w:t xml:space="preserve">; </w:t>
      </w:r>
      <w:r w:rsidRPr="00BC4F1D">
        <w:rPr>
          <w:rFonts w:cs="Times New Roman"/>
          <w:noProof/>
          <w:sz w:val="24"/>
          <w:szCs w:val="24"/>
        </w:rPr>
        <w:t>Lange, 2014</w:t>
      </w:r>
      <w:r w:rsidRPr="00BC4F1D">
        <w:rPr>
          <w:rFonts w:cs="Times New Roman"/>
          <w:sz w:val="24"/>
          <w:szCs w:val="24"/>
        </w:rPr>
        <w:t>) cluster through, for instance, regular chairing of this Relex Group of Commissioners meetings.</w:t>
      </w:r>
    </w:p>
    <w:p w:rsidR="0058730E" w:rsidRPr="00BC4F1D" w:rsidRDefault="0058730E" w:rsidP="00BD7CC8">
      <w:pPr>
        <w:spacing w:after="0" w:line="240" w:lineRule="auto"/>
        <w:jc w:val="both"/>
        <w:rPr>
          <w:rFonts w:cs="Times New Roman"/>
          <w:sz w:val="24"/>
          <w:szCs w:val="24"/>
        </w:rPr>
      </w:pPr>
    </w:p>
    <w:p w:rsidR="0058730E" w:rsidRPr="00BC4F1D" w:rsidRDefault="0058730E" w:rsidP="00BD7CC8">
      <w:pPr>
        <w:spacing w:after="0" w:line="240" w:lineRule="auto"/>
        <w:jc w:val="both"/>
        <w:rPr>
          <w:rFonts w:cs="Times New Roman"/>
          <w:sz w:val="24"/>
          <w:szCs w:val="24"/>
        </w:rPr>
      </w:pPr>
      <w:r w:rsidRPr="00BC4F1D">
        <w:rPr>
          <w:rFonts w:cs="Times New Roman"/>
          <w:sz w:val="24"/>
          <w:szCs w:val="24"/>
        </w:rPr>
        <w:t xml:space="preserve">Last but not least, even though it is not the case yet, given the significance of the transatlantic partnership, the new Commission President Juncker may still decide to make TTIP a </w:t>
      </w:r>
      <w:proofErr w:type="spellStart"/>
      <w:r w:rsidRPr="00BC4F1D">
        <w:rPr>
          <w:rFonts w:cs="Times New Roman"/>
          <w:i/>
          <w:sz w:val="24"/>
          <w:szCs w:val="24"/>
        </w:rPr>
        <w:t>Chefsache</w:t>
      </w:r>
      <w:proofErr w:type="spellEnd"/>
      <w:r w:rsidRPr="00BC4F1D">
        <w:rPr>
          <w:rFonts w:cs="Times New Roman"/>
          <w:sz w:val="24"/>
          <w:szCs w:val="24"/>
        </w:rPr>
        <w:t xml:space="preserve"> and get personally involved. Even if we may not yet clearly say if the main actors will in fact trade their places, it is clear that TTIP will impact on not just trade and politics, but also on how the foreign policy business is done in Europe. </w:t>
      </w:r>
      <w:r w:rsidR="00B92194">
        <w:rPr>
          <w:rFonts w:cs="Times New Roman"/>
          <w:sz w:val="24"/>
          <w:szCs w:val="24"/>
        </w:rPr>
        <w:t xml:space="preserve">There indeed remains </w:t>
      </w:r>
      <w:bookmarkStart w:id="0" w:name="_GoBack"/>
      <w:bookmarkEnd w:id="0"/>
      <w:r w:rsidR="00B92194">
        <w:rPr>
          <w:rFonts w:cs="Times New Roman"/>
          <w:sz w:val="24"/>
          <w:szCs w:val="24"/>
        </w:rPr>
        <w:t>a long walk to TTIP.</w:t>
      </w:r>
    </w:p>
    <w:p w:rsidR="0058730E" w:rsidRPr="00BC4F1D" w:rsidRDefault="0058730E">
      <w:pPr>
        <w:rPr>
          <w:rFonts w:cs="Times New Roman"/>
          <w:sz w:val="24"/>
          <w:szCs w:val="24"/>
        </w:rPr>
      </w:pPr>
      <w:r w:rsidRPr="00BC4F1D">
        <w:rPr>
          <w:rFonts w:cs="Times New Roman"/>
          <w:sz w:val="24"/>
          <w:szCs w:val="24"/>
        </w:rPr>
        <w:br w:type="page"/>
      </w:r>
    </w:p>
    <w:p w:rsidR="0058730E" w:rsidRPr="0070316B" w:rsidRDefault="0058730E" w:rsidP="0070316B">
      <w:pPr>
        <w:spacing w:after="0" w:line="240" w:lineRule="auto"/>
        <w:jc w:val="both"/>
        <w:rPr>
          <w:rFonts w:cs="Times New Roman"/>
          <w:b/>
          <w:sz w:val="28"/>
          <w:szCs w:val="24"/>
        </w:rPr>
      </w:pPr>
      <w:r w:rsidRPr="0070316B">
        <w:rPr>
          <w:rFonts w:cs="Times New Roman"/>
          <w:b/>
          <w:sz w:val="28"/>
          <w:szCs w:val="24"/>
        </w:rPr>
        <w:lastRenderedPageBreak/>
        <w:t>References</w:t>
      </w:r>
    </w:p>
    <w:p w:rsidR="0058730E" w:rsidRPr="0070316B" w:rsidRDefault="0058730E" w:rsidP="0070316B">
      <w:pPr>
        <w:spacing w:after="0" w:line="240" w:lineRule="auto"/>
        <w:jc w:val="both"/>
        <w:rPr>
          <w:rFonts w:cs="Times New Roman"/>
          <w:sz w:val="28"/>
          <w:szCs w:val="24"/>
        </w:rPr>
      </w:pPr>
    </w:p>
    <w:p w:rsidR="0058730E" w:rsidRPr="0070316B" w:rsidRDefault="0058730E" w:rsidP="0070316B">
      <w:pPr>
        <w:pStyle w:val="EndNoteBibliography"/>
        <w:spacing w:after="0"/>
        <w:jc w:val="both"/>
        <w:rPr>
          <w:sz w:val="24"/>
        </w:rPr>
      </w:pPr>
      <w:r w:rsidRPr="0070316B">
        <w:rPr>
          <w:sz w:val="24"/>
        </w:rPr>
        <w:t xml:space="preserve">Bátora, Jozef (2013). "The ‘Mitrailleuse Effect’: The EEAS as an Interstitial Organization and the Dynamics of Innovation in Diplomacy." </w:t>
      </w:r>
      <w:r w:rsidRPr="0070316B">
        <w:rPr>
          <w:i/>
          <w:sz w:val="24"/>
        </w:rPr>
        <w:t>Journal of Common Market Studies</w:t>
      </w:r>
      <w:r w:rsidRPr="0070316B">
        <w:rPr>
          <w:sz w:val="24"/>
        </w:rPr>
        <w:t xml:space="preserve"> 51, 4, 598-613.</w:t>
      </w:r>
    </w:p>
    <w:p w:rsidR="0058730E" w:rsidRPr="0070316B" w:rsidRDefault="0058730E" w:rsidP="0070316B">
      <w:pPr>
        <w:pStyle w:val="EndNoteBibliography"/>
        <w:spacing w:after="0"/>
        <w:jc w:val="both"/>
        <w:rPr>
          <w:sz w:val="24"/>
        </w:rPr>
      </w:pPr>
    </w:p>
    <w:p w:rsidR="0058730E" w:rsidRPr="0070316B" w:rsidRDefault="0058730E" w:rsidP="0070316B">
      <w:pPr>
        <w:pStyle w:val="EndNoteBibliography"/>
        <w:spacing w:after="0"/>
        <w:jc w:val="both"/>
        <w:rPr>
          <w:sz w:val="24"/>
        </w:rPr>
      </w:pPr>
      <w:r w:rsidRPr="0070316B">
        <w:rPr>
          <w:sz w:val="24"/>
        </w:rPr>
        <w:t>Council of the European Union (2013). "Council approves launch of trade and investment negotiations with the United States." http://www.consilium.europa.eu/uedocs/cms_data/docs/pressdata/EN/foraff/137485.pdf (accessed 28.9.2014).</w:t>
      </w:r>
    </w:p>
    <w:p w:rsidR="0058730E" w:rsidRPr="0070316B" w:rsidRDefault="0058730E" w:rsidP="0070316B">
      <w:pPr>
        <w:pStyle w:val="EndNoteBibliography"/>
        <w:spacing w:after="0"/>
        <w:jc w:val="both"/>
        <w:rPr>
          <w:sz w:val="24"/>
        </w:rPr>
      </w:pPr>
    </w:p>
    <w:p w:rsidR="0058730E" w:rsidRPr="0070316B" w:rsidRDefault="0058730E" w:rsidP="0070316B">
      <w:pPr>
        <w:pStyle w:val="EndNoteBibliography"/>
        <w:spacing w:after="0"/>
        <w:jc w:val="both"/>
        <w:rPr>
          <w:sz w:val="24"/>
        </w:rPr>
      </w:pPr>
      <w:r w:rsidRPr="0070316B">
        <w:rPr>
          <w:sz w:val="24"/>
        </w:rPr>
        <w:t>Council of the European Union (2014). "Council conclusions on the EU's comprehensive approach." Place Published. http://www.consilium.europa.eu/uedocs/cms_Data/docs/pressdata/EN/foraff/142552.pdf (accessed 28.9.2014).</w:t>
      </w:r>
    </w:p>
    <w:p w:rsidR="0058730E" w:rsidRPr="0070316B" w:rsidRDefault="0058730E" w:rsidP="0070316B">
      <w:pPr>
        <w:pStyle w:val="EndNoteBibliography"/>
        <w:spacing w:after="0"/>
        <w:jc w:val="both"/>
        <w:rPr>
          <w:sz w:val="24"/>
        </w:rPr>
      </w:pPr>
    </w:p>
    <w:p w:rsidR="0058730E" w:rsidRPr="0070316B" w:rsidRDefault="0058730E" w:rsidP="0070316B">
      <w:pPr>
        <w:pStyle w:val="EndNoteBibliography"/>
        <w:spacing w:after="0"/>
        <w:jc w:val="both"/>
        <w:rPr>
          <w:sz w:val="24"/>
        </w:rPr>
      </w:pPr>
      <w:r w:rsidRPr="0070316B">
        <w:rPr>
          <w:sz w:val="24"/>
        </w:rPr>
        <w:t>EurActiv (2014). "MEPs call for freezing EU-US trade talks over spying allegations." http://www.euractiv.com/global-europe/meps-call-freezing-eu-us-trade-t-news-529020 (accessed 28.9.2014).</w:t>
      </w:r>
    </w:p>
    <w:p w:rsidR="0058730E" w:rsidRPr="0070316B" w:rsidRDefault="0058730E" w:rsidP="0070316B">
      <w:pPr>
        <w:pStyle w:val="EndNoteBibliography"/>
        <w:spacing w:after="0"/>
        <w:jc w:val="both"/>
        <w:rPr>
          <w:sz w:val="24"/>
        </w:rPr>
      </w:pPr>
    </w:p>
    <w:p w:rsidR="0058730E" w:rsidRPr="0070316B" w:rsidRDefault="0058730E" w:rsidP="0070316B">
      <w:pPr>
        <w:pStyle w:val="EndNoteBibliography"/>
        <w:spacing w:after="0"/>
        <w:jc w:val="both"/>
        <w:rPr>
          <w:sz w:val="24"/>
        </w:rPr>
      </w:pPr>
      <w:r w:rsidRPr="0070316B">
        <w:rPr>
          <w:sz w:val="24"/>
        </w:rPr>
        <w:t>European Commission and High Representative of the European Union for Foreign Affairs and Security Policy (2013). "Joint Communication by the High Representative and the European Commission to the European Parliament and the Council on the EU's comprehensive approach to external conflict and crises." Place Published. http://www.eeas.europa.eu/statements/docs/2013/131211_03_en.pdf (accessed 28.9.2014).</w:t>
      </w:r>
    </w:p>
    <w:p w:rsidR="0058730E" w:rsidRPr="0070316B" w:rsidRDefault="0058730E" w:rsidP="0070316B">
      <w:pPr>
        <w:pStyle w:val="EndNoteBibliography"/>
        <w:spacing w:after="0"/>
        <w:jc w:val="both"/>
        <w:rPr>
          <w:sz w:val="24"/>
        </w:rPr>
      </w:pPr>
    </w:p>
    <w:p w:rsidR="0058730E" w:rsidRPr="0070316B" w:rsidRDefault="0058730E" w:rsidP="0070316B">
      <w:pPr>
        <w:pStyle w:val="EndNoteBibliography"/>
        <w:spacing w:after="0"/>
        <w:jc w:val="both"/>
        <w:rPr>
          <w:sz w:val="24"/>
        </w:rPr>
      </w:pPr>
      <w:r w:rsidRPr="0070316B">
        <w:rPr>
          <w:sz w:val="24"/>
        </w:rPr>
        <w:t xml:space="preserve">European Commission (2014a). </w:t>
      </w:r>
      <w:r w:rsidRPr="0070316B">
        <w:rPr>
          <w:i/>
          <w:sz w:val="24"/>
        </w:rPr>
        <w:t>Decision of the President of the European Commission of 11 November 2014 on the creation of a Commissioners' Group on External Action</w:t>
      </w:r>
      <w:r w:rsidRPr="0070316B">
        <w:rPr>
          <w:sz w:val="24"/>
        </w:rPr>
        <w:t xml:space="preserve">. </w:t>
      </w:r>
      <w:r w:rsidRPr="0070316B">
        <w:rPr>
          <w:i/>
          <w:sz w:val="24"/>
        </w:rPr>
        <w:t>C(2014) 9003</w:t>
      </w:r>
      <w:r w:rsidRPr="0070316B">
        <w:rPr>
          <w:sz w:val="24"/>
        </w:rPr>
        <w:t>. Brussels: European Commission.</w:t>
      </w:r>
    </w:p>
    <w:p w:rsidR="0058730E" w:rsidRPr="0070316B" w:rsidRDefault="0058730E" w:rsidP="0070316B">
      <w:pPr>
        <w:pStyle w:val="EndNoteBibliography"/>
        <w:spacing w:after="0"/>
        <w:jc w:val="both"/>
        <w:rPr>
          <w:sz w:val="24"/>
        </w:rPr>
      </w:pPr>
    </w:p>
    <w:p w:rsidR="0058730E" w:rsidRPr="0070316B" w:rsidRDefault="0058730E" w:rsidP="0070316B">
      <w:pPr>
        <w:pStyle w:val="EndNoteBibliography"/>
        <w:spacing w:after="0"/>
        <w:jc w:val="both"/>
        <w:rPr>
          <w:sz w:val="24"/>
        </w:rPr>
      </w:pPr>
      <w:r w:rsidRPr="0070316B">
        <w:rPr>
          <w:sz w:val="24"/>
        </w:rPr>
        <w:t>European Commission (2014b). "The Juncker Commission: A strong and experienced team standing for change." http://europa.eu/rapid/press-release_IP-14-984_en.htm (accessed 28.9.2014).</w:t>
      </w:r>
    </w:p>
    <w:p w:rsidR="0058730E" w:rsidRPr="0070316B" w:rsidRDefault="0058730E" w:rsidP="0070316B">
      <w:pPr>
        <w:pStyle w:val="EndNoteBibliography"/>
        <w:spacing w:after="0"/>
        <w:jc w:val="both"/>
        <w:rPr>
          <w:sz w:val="24"/>
        </w:rPr>
      </w:pPr>
    </w:p>
    <w:p w:rsidR="0058730E" w:rsidRPr="0070316B" w:rsidRDefault="0058730E" w:rsidP="0070316B">
      <w:pPr>
        <w:pStyle w:val="EndNoteBibliography"/>
        <w:spacing w:after="0"/>
        <w:jc w:val="both"/>
        <w:rPr>
          <w:sz w:val="24"/>
        </w:rPr>
      </w:pPr>
      <w:r w:rsidRPr="0070316B">
        <w:rPr>
          <w:sz w:val="24"/>
        </w:rPr>
        <w:t>European Parliament (2013). "European Parliament resolution of 23 May 2013 on EU trade and investment negotiations with the United States of America." Strasbourg: European Parliament. Reprint.</w:t>
      </w:r>
    </w:p>
    <w:p w:rsidR="0058730E" w:rsidRPr="0070316B" w:rsidRDefault="0058730E" w:rsidP="0070316B">
      <w:pPr>
        <w:pStyle w:val="EndNoteBibliography"/>
        <w:spacing w:after="0"/>
        <w:jc w:val="both"/>
        <w:rPr>
          <w:sz w:val="24"/>
        </w:rPr>
      </w:pPr>
    </w:p>
    <w:p w:rsidR="0058730E" w:rsidRPr="0070316B" w:rsidRDefault="0058730E" w:rsidP="0070316B">
      <w:pPr>
        <w:pStyle w:val="EndNoteBibliography"/>
        <w:spacing w:after="0"/>
        <w:jc w:val="both"/>
        <w:rPr>
          <w:sz w:val="24"/>
        </w:rPr>
      </w:pPr>
      <w:r w:rsidRPr="0070316B">
        <w:rPr>
          <w:sz w:val="24"/>
        </w:rPr>
        <w:t xml:space="preserve">Hamilton, Daniel (2014a). </w:t>
      </w:r>
      <w:r w:rsidRPr="0070316B">
        <w:rPr>
          <w:i/>
          <w:sz w:val="24"/>
        </w:rPr>
        <w:t>TTIP's Geostrategic Implications</w:t>
      </w:r>
      <w:r w:rsidRPr="0070316B">
        <w:rPr>
          <w:sz w:val="24"/>
        </w:rPr>
        <w:t xml:space="preserve">. </w:t>
      </w:r>
      <w:r w:rsidRPr="0070316B">
        <w:rPr>
          <w:i/>
          <w:sz w:val="24"/>
        </w:rPr>
        <w:t>Transatlantic Partnership Forum Working Paper Series</w:t>
      </w:r>
      <w:r w:rsidRPr="0070316B">
        <w:rPr>
          <w:sz w:val="24"/>
        </w:rPr>
        <w:t>: Johns Hopkins SAIS Center for Transatlantic Relations.</w:t>
      </w:r>
    </w:p>
    <w:p w:rsidR="0058730E" w:rsidRPr="0070316B" w:rsidRDefault="0058730E" w:rsidP="0070316B">
      <w:pPr>
        <w:pStyle w:val="EndNoteBibliography"/>
        <w:spacing w:after="0"/>
        <w:jc w:val="both"/>
        <w:rPr>
          <w:sz w:val="24"/>
        </w:rPr>
      </w:pPr>
    </w:p>
    <w:p w:rsidR="0058730E" w:rsidRPr="0070316B" w:rsidRDefault="0058730E" w:rsidP="0070316B">
      <w:pPr>
        <w:pStyle w:val="EndNoteBibliography"/>
        <w:spacing w:after="0"/>
        <w:jc w:val="both"/>
        <w:rPr>
          <w:sz w:val="24"/>
        </w:rPr>
      </w:pPr>
      <w:r w:rsidRPr="0070316B">
        <w:rPr>
          <w:sz w:val="24"/>
        </w:rPr>
        <w:t xml:space="preserve">Hamilton, Daniel (2014b). "Transatlantic Challenges: Ukraine, TTIP and Struggle to be Strategic." </w:t>
      </w:r>
      <w:r w:rsidRPr="0070316B">
        <w:rPr>
          <w:i/>
          <w:sz w:val="24"/>
        </w:rPr>
        <w:t>Journal of Common Market Studies Annual Review</w:t>
      </w:r>
      <w:r w:rsidRPr="0070316B">
        <w:rPr>
          <w:sz w:val="24"/>
        </w:rPr>
        <w:t xml:space="preserve"> 52, 1, 25-39.</w:t>
      </w:r>
    </w:p>
    <w:p w:rsidR="0058730E" w:rsidRPr="0070316B" w:rsidRDefault="0058730E" w:rsidP="0070316B">
      <w:pPr>
        <w:pStyle w:val="EndNoteBibliography"/>
        <w:spacing w:after="0"/>
        <w:jc w:val="both"/>
        <w:rPr>
          <w:sz w:val="24"/>
        </w:rPr>
      </w:pPr>
    </w:p>
    <w:p w:rsidR="0058730E" w:rsidRPr="0070316B" w:rsidRDefault="0058730E" w:rsidP="0070316B">
      <w:pPr>
        <w:pStyle w:val="EndNoteBibliography"/>
        <w:spacing w:after="0"/>
        <w:jc w:val="both"/>
        <w:rPr>
          <w:sz w:val="24"/>
        </w:rPr>
      </w:pPr>
      <w:r w:rsidRPr="0070316B">
        <w:rPr>
          <w:sz w:val="24"/>
        </w:rPr>
        <w:lastRenderedPageBreak/>
        <w:t xml:space="preserve">Haughton, Tim (2007). "When Does the EU Make a Difference? Conditionality and the Accession Political Studies Review." </w:t>
      </w:r>
      <w:r w:rsidRPr="0070316B">
        <w:rPr>
          <w:i/>
          <w:sz w:val="24"/>
        </w:rPr>
        <w:t>Political Studies Review</w:t>
      </w:r>
      <w:r w:rsidRPr="0070316B">
        <w:rPr>
          <w:sz w:val="24"/>
        </w:rPr>
        <w:t xml:space="preserve"> 5, 2, 233-46.</w:t>
      </w:r>
    </w:p>
    <w:p w:rsidR="0058730E" w:rsidRPr="0070316B" w:rsidRDefault="0058730E" w:rsidP="0070316B">
      <w:pPr>
        <w:pStyle w:val="EndNoteBibliography"/>
        <w:spacing w:after="0"/>
        <w:jc w:val="both"/>
        <w:rPr>
          <w:sz w:val="24"/>
        </w:rPr>
      </w:pPr>
    </w:p>
    <w:p w:rsidR="0058730E" w:rsidRPr="0070316B" w:rsidRDefault="0058730E" w:rsidP="0070316B">
      <w:pPr>
        <w:pStyle w:val="EndNoteBibliography"/>
        <w:spacing w:after="0"/>
        <w:jc w:val="both"/>
        <w:rPr>
          <w:sz w:val="24"/>
        </w:rPr>
      </w:pPr>
      <w:r w:rsidRPr="0070316B">
        <w:rPr>
          <w:sz w:val="24"/>
        </w:rPr>
        <w:t>High Level Working Group on Jobs and Growth (2012). "Interim Report to Leaders from the Co-Chairs." http://trade.ec.europa.eu/doclib/docs/2012/june/tradoc_149557.pdf (accessed 28.9.2014).</w:t>
      </w:r>
    </w:p>
    <w:p w:rsidR="0058730E" w:rsidRPr="0070316B" w:rsidRDefault="0058730E" w:rsidP="0070316B">
      <w:pPr>
        <w:pStyle w:val="EndNoteBibliography"/>
        <w:spacing w:after="0"/>
        <w:jc w:val="both"/>
        <w:rPr>
          <w:sz w:val="24"/>
        </w:rPr>
      </w:pPr>
    </w:p>
    <w:p w:rsidR="0058730E" w:rsidRPr="0070316B" w:rsidRDefault="0058730E" w:rsidP="0070316B">
      <w:pPr>
        <w:pStyle w:val="EndNoteBibliography"/>
        <w:spacing w:after="0"/>
        <w:jc w:val="both"/>
        <w:rPr>
          <w:sz w:val="24"/>
        </w:rPr>
      </w:pPr>
      <w:r w:rsidRPr="0070316B">
        <w:rPr>
          <w:sz w:val="24"/>
        </w:rPr>
        <w:t>High Level Working Group on Jobs and Growth (2013). "Final Report." http://trade.ec.europa.eu/doclib/docs/2013/february/tradoc_150519.pdf (accessed 28.9.2014).</w:t>
      </w:r>
    </w:p>
    <w:p w:rsidR="0070316B" w:rsidRDefault="0070316B" w:rsidP="0070316B">
      <w:pPr>
        <w:pStyle w:val="EndNoteBibliography"/>
        <w:spacing w:after="0"/>
        <w:jc w:val="both"/>
        <w:rPr>
          <w:sz w:val="24"/>
        </w:rPr>
      </w:pPr>
    </w:p>
    <w:p w:rsidR="0058730E" w:rsidRPr="0070316B" w:rsidRDefault="0058730E" w:rsidP="0070316B">
      <w:pPr>
        <w:pStyle w:val="EndNoteBibliography"/>
        <w:spacing w:after="0"/>
        <w:jc w:val="both"/>
        <w:rPr>
          <w:sz w:val="24"/>
        </w:rPr>
      </w:pPr>
      <w:r w:rsidRPr="0070316B">
        <w:rPr>
          <w:sz w:val="24"/>
        </w:rPr>
        <w:t xml:space="preserve">Howorth, Jolyon (2011). "The ‘new faces’ of Lisbon: assessing the performance of Catherine Ashton and Herman van Rompuy on the global stage." </w:t>
      </w:r>
      <w:r w:rsidRPr="0070316B">
        <w:rPr>
          <w:i/>
          <w:sz w:val="24"/>
        </w:rPr>
        <w:t>european Foreign Affairs Review</w:t>
      </w:r>
      <w:r w:rsidRPr="0070316B">
        <w:rPr>
          <w:sz w:val="24"/>
        </w:rPr>
        <w:t xml:space="preserve"> 16, 3, 303-23.</w:t>
      </w:r>
    </w:p>
    <w:p w:rsidR="0058730E" w:rsidRPr="0070316B" w:rsidRDefault="0058730E" w:rsidP="0070316B">
      <w:pPr>
        <w:pStyle w:val="EndNoteBibliography"/>
        <w:spacing w:after="0"/>
        <w:jc w:val="both"/>
        <w:rPr>
          <w:sz w:val="24"/>
        </w:rPr>
      </w:pPr>
    </w:p>
    <w:p w:rsidR="0058730E" w:rsidRPr="0070316B" w:rsidRDefault="0058730E" w:rsidP="0070316B">
      <w:pPr>
        <w:pStyle w:val="EndNoteBibliography"/>
        <w:spacing w:after="0"/>
        <w:jc w:val="both"/>
        <w:rPr>
          <w:sz w:val="24"/>
        </w:rPr>
      </w:pPr>
      <w:r w:rsidRPr="0070316B">
        <w:rPr>
          <w:sz w:val="24"/>
        </w:rPr>
        <w:t xml:space="preserve">King, Tim (2014). "Juncker deals out the pack." </w:t>
      </w:r>
      <w:r w:rsidRPr="0070316B">
        <w:rPr>
          <w:i/>
          <w:sz w:val="24"/>
        </w:rPr>
        <w:t>European Voice</w:t>
      </w:r>
      <w:r w:rsidRPr="0070316B">
        <w:rPr>
          <w:sz w:val="24"/>
        </w:rPr>
        <w:t>, 10.9.</w:t>
      </w:r>
    </w:p>
    <w:p w:rsidR="0058730E" w:rsidRPr="0070316B" w:rsidRDefault="0058730E" w:rsidP="0070316B">
      <w:pPr>
        <w:pStyle w:val="EndNoteBibliography"/>
        <w:spacing w:after="0"/>
        <w:jc w:val="both"/>
        <w:rPr>
          <w:sz w:val="24"/>
        </w:rPr>
      </w:pPr>
    </w:p>
    <w:p w:rsidR="0058730E" w:rsidRPr="0070316B" w:rsidRDefault="0058730E" w:rsidP="0070316B">
      <w:pPr>
        <w:pStyle w:val="EndNoteBibliography"/>
        <w:spacing w:after="0"/>
        <w:jc w:val="both"/>
        <w:rPr>
          <w:sz w:val="24"/>
        </w:rPr>
      </w:pPr>
      <w:r w:rsidRPr="0070316B">
        <w:rPr>
          <w:sz w:val="24"/>
        </w:rPr>
        <w:t xml:space="preserve">Lange, Sabina (2014). </w:t>
      </w:r>
      <w:r w:rsidRPr="0070316B">
        <w:rPr>
          <w:i/>
          <w:sz w:val="24"/>
        </w:rPr>
        <w:t>HR/VP to VP/HR: the next generation?</w:t>
      </w:r>
      <w:r w:rsidRPr="0070316B">
        <w:rPr>
          <w:sz w:val="24"/>
        </w:rPr>
        <w:t xml:space="preserve"> </w:t>
      </w:r>
      <w:r w:rsidRPr="0070316B">
        <w:rPr>
          <w:i/>
          <w:sz w:val="24"/>
        </w:rPr>
        <w:t>EUISS Brief</w:t>
      </w:r>
      <w:r w:rsidRPr="0070316B">
        <w:rPr>
          <w:sz w:val="24"/>
        </w:rPr>
        <w:t>. Vol. 30. Paris: EUISS.</w:t>
      </w:r>
    </w:p>
    <w:p w:rsidR="0058730E" w:rsidRPr="0070316B" w:rsidRDefault="0058730E" w:rsidP="0070316B">
      <w:pPr>
        <w:pStyle w:val="EndNoteBibliography"/>
        <w:spacing w:after="0"/>
        <w:jc w:val="both"/>
        <w:rPr>
          <w:sz w:val="24"/>
        </w:rPr>
      </w:pPr>
    </w:p>
    <w:p w:rsidR="0058730E" w:rsidRPr="0070316B" w:rsidRDefault="0058730E" w:rsidP="0070316B">
      <w:pPr>
        <w:pStyle w:val="EndNoteBibliography"/>
        <w:spacing w:after="0"/>
        <w:jc w:val="both"/>
        <w:rPr>
          <w:sz w:val="24"/>
        </w:rPr>
      </w:pPr>
      <w:r w:rsidRPr="0070316B">
        <w:rPr>
          <w:sz w:val="24"/>
        </w:rPr>
        <w:t xml:space="preserve">Lehne, Stefan (2013). </w:t>
      </w:r>
      <w:r w:rsidRPr="0070316B">
        <w:rPr>
          <w:i/>
          <w:sz w:val="24"/>
        </w:rPr>
        <w:t>Promoting a Comprehensive Approach to EU Foreign Policy</w:t>
      </w:r>
      <w:r w:rsidRPr="0070316B">
        <w:rPr>
          <w:sz w:val="24"/>
        </w:rPr>
        <w:t>. Brussels: Carnegie Europe.</w:t>
      </w:r>
    </w:p>
    <w:p w:rsidR="0058730E" w:rsidRPr="0070316B" w:rsidRDefault="0058730E" w:rsidP="0070316B">
      <w:pPr>
        <w:pStyle w:val="EndNoteBibliography"/>
        <w:spacing w:after="0"/>
        <w:jc w:val="both"/>
        <w:rPr>
          <w:sz w:val="24"/>
        </w:rPr>
      </w:pPr>
    </w:p>
    <w:p w:rsidR="0058730E" w:rsidRPr="0070316B" w:rsidRDefault="0058730E" w:rsidP="0070316B">
      <w:pPr>
        <w:pStyle w:val="EndNoteBibliography"/>
        <w:spacing w:after="0"/>
        <w:jc w:val="both"/>
        <w:rPr>
          <w:sz w:val="24"/>
          <w:lang w:val="fr-BE"/>
        </w:rPr>
      </w:pPr>
      <w:r w:rsidRPr="0070316B">
        <w:rPr>
          <w:sz w:val="24"/>
        </w:rPr>
        <w:t xml:space="preserve">Ludlow, Peter (2004). </w:t>
      </w:r>
      <w:r w:rsidRPr="0070316B">
        <w:rPr>
          <w:i/>
          <w:sz w:val="24"/>
        </w:rPr>
        <w:t>The Making of the New Europe. The European Councils in Brussels and Copenhagen 2002</w:t>
      </w:r>
      <w:r w:rsidRPr="0070316B">
        <w:rPr>
          <w:sz w:val="24"/>
        </w:rPr>
        <w:t xml:space="preserve"> 2 vols. </w:t>
      </w:r>
      <w:r w:rsidRPr="0070316B">
        <w:rPr>
          <w:sz w:val="24"/>
          <w:lang w:val="fr-BE"/>
        </w:rPr>
        <w:t>Vol. 1. Brussels: EuroComment.</w:t>
      </w:r>
    </w:p>
    <w:p w:rsidR="0058730E" w:rsidRPr="0070316B" w:rsidRDefault="0058730E" w:rsidP="0070316B">
      <w:pPr>
        <w:pStyle w:val="EndNoteBibliography"/>
        <w:spacing w:after="0"/>
        <w:jc w:val="both"/>
        <w:rPr>
          <w:sz w:val="24"/>
          <w:lang w:val="fr-BE"/>
        </w:rPr>
      </w:pPr>
    </w:p>
    <w:p w:rsidR="0058730E" w:rsidRPr="0070316B" w:rsidRDefault="0058730E" w:rsidP="0070316B">
      <w:pPr>
        <w:pStyle w:val="EndNoteBibliography"/>
        <w:spacing w:after="0"/>
        <w:jc w:val="both"/>
        <w:rPr>
          <w:sz w:val="24"/>
        </w:rPr>
      </w:pPr>
      <w:r w:rsidRPr="0070316B">
        <w:rPr>
          <w:sz w:val="24"/>
          <w:lang w:val="fr-BE"/>
        </w:rPr>
        <w:t xml:space="preserve">Marangoni, Anne-Claire and Kolja Raube (2014). "Virtue or Vice? </w:t>
      </w:r>
      <w:r w:rsidRPr="0070316B">
        <w:rPr>
          <w:sz w:val="24"/>
        </w:rPr>
        <w:t xml:space="preserve">The Coherence of the EU’s External Policies." </w:t>
      </w:r>
      <w:r w:rsidRPr="0070316B">
        <w:rPr>
          <w:i/>
          <w:sz w:val="24"/>
        </w:rPr>
        <w:t>Journal of European Integration</w:t>
      </w:r>
      <w:r w:rsidRPr="0070316B">
        <w:rPr>
          <w:sz w:val="24"/>
        </w:rPr>
        <w:t xml:space="preserve"> 36, 5, 473-89.</w:t>
      </w:r>
    </w:p>
    <w:p w:rsidR="0058730E" w:rsidRPr="0070316B" w:rsidRDefault="0058730E" w:rsidP="0070316B">
      <w:pPr>
        <w:pStyle w:val="EndNoteBibliography"/>
        <w:spacing w:after="0"/>
        <w:jc w:val="both"/>
        <w:rPr>
          <w:sz w:val="24"/>
        </w:rPr>
      </w:pPr>
    </w:p>
    <w:p w:rsidR="0058730E" w:rsidRPr="0070316B" w:rsidRDefault="0058730E" w:rsidP="0070316B">
      <w:pPr>
        <w:pStyle w:val="EndNoteBibliography"/>
        <w:spacing w:after="0"/>
        <w:jc w:val="both"/>
        <w:rPr>
          <w:sz w:val="24"/>
        </w:rPr>
      </w:pPr>
      <w:r w:rsidRPr="0070316B">
        <w:rPr>
          <w:sz w:val="24"/>
        </w:rPr>
        <w:t xml:space="preserve">Maurer, Heidi and Kristi Raik (2014). </w:t>
      </w:r>
      <w:r w:rsidRPr="0070316B">
        <w:rPr>
          <w:i/>
          <w:sz w:val="24"/>
        </w:rPr>
        <w:t>Pioneers of a European Diplomatic System: EU Delegations in Moscow and Washington</w:t>
      </w:r>
      <w:r w:rsidRPr="0070316B">
        <w:rPr>
          <w:sz w:val="24"/>
        </w:rPr>
        <w:t xml:space="preserve">. </w:t>
      </w:r>
      <w:r w:rsidRPr="0070316B">
        <w:rPr>
          <w:i/>
          <w:sz w:val="24"/>
        </w:rPr>
        <w:t>FIIA Analysis</w:t>
      </w:r>
      <w:r w:rsidRPr="0070316B">
        <w:rPr>
          <w:sz w:val="24"/>
        </w:rPr>
        <w:t>. Helsinki: Finnish Institute of International Affairs.</w:t>
      </w:r>
    </w:p>
    <w:p w:rsidR="0058730E" w:rsidRPr="0070316B" w:rsidRDefault="0058730E" w:rsidP="0070316B">
      <w:pPr>
        <w:pStyle w:val="EndNoteBibliography"/>
        <w:spacing w:after="0"/>
        <w:jc w:val="both"/>
        <w:rPr>
          <w:sz w:val="24"/>
        </w:rPr>
      </w:pPr>
    </w:p>
    <w:p w:rsidR="0058730E" w:rsidRPr="0070316B" w:rsidRDefault="0058730E" w:rsidP="0070316B">
      <w:pPr>
        <w:pStyle w:val="EndNoteBibliography"/>
        <w:spacing w:after="0"/>
        <w:jc w:val="both"/>
        <w:rPr>
          <w:sz w:val="24"/>
        </w:rPr>
      </w:pPr>
      <w:r w:rsidRPr="0070316B">
        <w:rPr>
          <w:sz w:val="24"/>
        </w:rPr>
        <w:t xml:space="preserve">Mayer, Hartmut (forthcoming 2015). "Between ‘NATO for trade’ and ‘pride in angst’. The German TTIP debate and its spill-over into wider transatlantic concerns." In Jean-Frédéric Morin, Tereza Novotna, Frederik Ponjaert and Mario Telò (eds.) </w:t>
      </w:r>
      <w:r w:rsidRPr="0070316B">
        <w:rPr>
          <w:i/>
          <w:sz w:val="24"/>
        </w:rPr>
        <w:t>The Politics of Transatlantic Trade Negotiations: TTIP in a Globalized World</w:t>
      </w:r>
      <w:r w:rsidRPr="0070316B">
        <w:rPr>
          <w:sz w:val="24"/>
        </w:rPr>
        <w:t>. Farnham: Ashgate.</w:t>
      </w:r>
    </w:p>
    <w:p w:rsidR="0058730E" w:rsidRPr="0070316B" w:rsidRDefault="0058730E" w:rsidP="0070316B">
      <w:pPr>
        <w:pStyle w:val="EndNoteBibliography"/>
        <w:spacing w:after="0"/>
        <w:jc w:val="both"/>
        <w:rPr>
          <w:sz w:val="24"/>
        </w:rPr>
      </w:pPr>
    </w:p>
    <w:p w:rsidR="0058730E" w:rsidRPr="0070316B" w:rsidRDefault="0058730E" w:rsidP="0070316B">
      <w:pPr>
        <w:pStyle w:val="EndNoteBibliography"/>
        <w:spacing w:after="0"/>
        <w:jc w:val="both"/>
        <w:rPr>
          <w:sz w:val="24"/>
        </w:rPr>
      </w:pPr>
      <w:r w:rsidRPr="0070316B">
        <w:rPr>
          <w:sz w:val="24"/>
        </w:rPr>
        <w:t xml:space="preserve">Novotna, Tereza (2014). "The EU’s Voice in Third Countries: The EU Delegations around the World." </w:t>
      </w:r>
      <w:r w:rsidRPr="0070316B">
        <w:rPr>
          <w:i/>
          <w:sz w:val="24"/>
        </w:rPr>
        <w:t>Studia Diplomatica</w:t>
      </w:r>
      <w:r w:rsidRPr="0070316B">
        <w:rPr>
          <w:sz w:val="24"/>
        </w:rPr>
        <w:t xml:space="preserve"> LXVII, 1, 29-46.</w:t>
      </w:r>
    </w:p>
    <w:p w:rsidR="0058730E" w:rsidRPr="0070316B" w:rsidRDefault="0058730E" w:rsidP="0070316B">
      <w:pPr>
        <w:pStyle w:val="EndNoteBibliography"/>
        <w:spacing w:after="0"/>
        <w:jc w:val="both"/>
        <w:rPr>
          <w:sz w:val="24"/>
        </w:rPr>
      </w:pPr>
    </w:p>
    <w:p w:rsidR="0058730E" w:rsidRPr="0070316B" w:rsidRDefault="0058730E" w:rsidP="0070316B">
      <w:pPr>
        <w:pStyle w:val="EndNoteBibliography"/>
        <w:spacing w:after="0"/>
        <w:jc w:val="both"/>
        <w:rPr>
          <w:sz w:val="24"/>
        </w:rPr>
      </w:pPr>
      <w:r w:rsidRPr="0070316B">
        <w:rPr>
          <w:sz w:val="24"/>
        </w:rPr>
        <w:t>Novotná, Tereza (2012). "Negotiating the Accession: Transformation of the State during the German Unification and Eastern Enlargement of the EU." Boston University.</w:t>
      </w:r>
    </w:p>
    <w:p w:rsidR="0058730E" w:rsidRPr="0070316B" w:rsidRDefault="0058730E" w:rsidP="0070316B">
      <w:pPr>
        <w:pStyle w:val="EndNoteBibliography"/>
        <w:spacing w:after="0"/>
        <w:jc w:val="both"/>
        <w:rPr>
          <w:sz w:val="24"/>
        </w:rPr>
      </w:pPr>
    </w:p>
    <w:p w:rsidR="0058730E" w:rsidRPr="0070316B" w:rsidRDefault="0058730E" w:rsidP="0070316B">
      <w:pPr>
        <w:pStyle w:val="EndNoteBibliography"/>
        <w:spacing w:after="0"/>
        <w:jc w:val="both"/>
        <w:rPr>
          <w:sz w:val="24"/>
        </w:rPr>
      </w:pPr>
      <w:r w:rsidRPr="0070316B">
        <w:rPr>
          <w:sz w:val="24"/>
        </w:rPr>
        <w:t xml:space="preserve">Novotná, Tereza (forthcoming 2015). </w:t>
      </w:r>
      <w:r w:rsidRPr="0070316B">
        <w:rPr>
          <w:i/>
          <w:sz w:val="24"/>
        </w:rPr>
        <w:t>Negotiating the Accession: How Germany Unified and the EU Enlarged</w:t>
      </w:r>
      <w:r w:rsidRPr="0070316B">
        <w:rPr>
          <w:sz w:val="24"/>
        </w:rPr>
        <w:t xml:space="preserve">. </w:t>
      </w:r>
      <w:r w:rsidRPr="0070316B">
        <w:rPr>
          <w:i/>
          <w:sz w:val="24"/>
        </w:rPr>
        <w:t>New Perspectives in German Political Studies</w:t>
      </w:r>
      <w:r w:rsidRPr="0070316B">
        <w:rPr>
          <w:sz w:val="24"/>
        </w:rPr>
        <w:t>. Basingstoke: Palgrave Macmillan.</w:t>
      </w:r>
    </w:p>
    <w:p w:rsidR="0058730E" w:rsidRPr="0070316B" w:rsidRDefault="0058730E" w:rsidP="0070316B">
      <w:pPr>
        <w:pStyle w:val="EndNoteBibliography"/>
        <w:spacing w:after="0"/>
        <w:jc w:val="both"/>
        <w:rPr>
          <w:sz w:val="24"/>
        </w:rPr>
      </w:pPr>
      <w:r w:rsidRPr="0070316B">
        <w:rPr>
          <w:sz w:val="24"/>
        </w:rPr>
        <w:lastRenderedPageBreak/>
        <w:t xml:space="preserve">Schimmelfennig, Frank (2001). "The Community Trap: Liberal Norms, Rhetorical Action, and the Eastern Enlargement of the EU." </w:t>
      </w:r>
      <w:r w:rsidRPr="0070316B">
        <w:rPr>
          <w:i/>
          <w:sz w:val="24"/>
        </w:rPr>
        <w:t>International Organization</w:t>
      </w:r>
      <w:r w:rsidRPr="0070316B">
        <w:rPr>
          <w:sz w:val="24"/>
        </w:rPr>
        <w:t xml:space="preserve"> 55, 1, 47-80.</w:t>
      </w:r>
    </w:p>
    <w:p w:rsidR="0058730E" w:rsidRPr="0070316B" w:rsidRDefault="0058730E" w:rsidP="0070316B">
      <w:pPr>
        <w:pStyle w:val="EndNoteBibliography"/>
        <w:spacing w:after="0"/>
        <w:jc w:val="both"/>
        <w:rPr>
          <w:sz w:val="24"/>
        </w:rPr>
      </w:pPr>
    </w:p>
    <w:p w:rsidR="0058730E" w:rsidRPr="0070316B" w:rsidRDefault="0058730E" w:rsidP="0070316B">
      <w:pPr>
        <w:pStyle w:val="EndNoteBibliography"/>
        <w:spacing w:after="0"/>
        <w:jc w:val="both"/>
        <w:rPr>
          <w:sz w:val="24"/>
        </w:rPr>
      </w:pPr>
      <w:r w:rsidRPr="0070316B">
        <w:rPr>
          <w:sz w:val="24"/>
        </w:rPr>
        <w:t xml:space="preserve">Schneider, Christina J. (2008). </w:t>
      </w:r>
      <w:r w:rsidRPr="0070316B">
        <w:rPr>
          <w:i/>
          <w:sz w:val="24"/>
        </w:rPr>
        <w:t>Conflict, Negotiation and European Union Enlargement</w:t>
      </w:r>
      <w:r w:rsidRPr="0070316B">
        <w:rPr>
          <w:sz w:val="24"/>
        </w:rPr>
        <w:t>. Cambridge: Cambridge University Press,.</w:t>
      </w:r>
    </w:p>
    <w:p w:rsidR="0058730E" w:rsidRPr="0070316B" w:rsidRDefault="0058730E" w:rsidP="0070316B">
      <w:pPr>
        <w:pStyle w:val="EndNoteBibliography"/>
        <w:spacing w:after="0"/>
        <w:jc w:val="both"/>
        <w:rPr>
          <w:sz w:val="24"/>
        </w:rPr>
      </w:pPr>
    </w:p>
    <w:p w:rsidR="0058730E" w:rsidRPr="0070316B" w:rsidRDefault="0058730E" w:rsidP="0070316B">
      <w:pPr>
        <w:pStyle w:val="EndNoteBibliography"/>
        <w:spacing w:after="0"/>
        <w:jc w:val="both"/>
        <w:rPr>
          <w:sz w:val="24"/>
        </w:rPr>
      </w:pPr>
      <w:r w:rsidRPr="0070316B">
        <w:rPr>
          <w:sz w:val="24"/>
        </w:rPr>
        <w:t xml:space="preserve">Telička, Pavel and Karel Barták (2003). </w:t>
      </w:r>
      <w:r w:rsidRPr="0070316B">
        <w:rPr>
          <w:i/>
          <w:sz w:val="24"/>
        </w:rPr>
        <w:t>Kterak jsme vstupovali</w:t>
      </w:r>
      <w:r w:rsidRPr="0070316B">
        <w:rPr>
          <w:sz w:val="24"/>
        </w:rPr>
        <w:t>. Praha: Paseka.</w:t>
      </w:r>
    </w:p>
    <w:p w:rsidR="0058730E" w:rsidRPr="0070316B" w:rsidRDefault="0058730E" w:rsidP="0070316B">
      <w:pPr>
        <w:pStyle w:val="EndNoteBibliography"/>
        <w:spacing w:after="0"/>
        <w:jc w:val="both"/>
        <w:rPr>
          <w:sz w:val="24"/>
        </w:rPr>
      </w:pPr>
    </w:p>
    <w:p w:rsidR="0058730E" w:rsidRPr="0070316B" w:rsidRDefault="0058730E" w:rsidP="0070316B">
      <w:pPr>
        <w:pStyle w:val="EndNoteBibliography"/>
        <w:spacing w:after="0"/>
        <w:jc w:val="both"/>
        <w:rPr>
          <w:sz w:val="24"/>
        </w:rPr>
      </w:pPr>
      <w:r w:rsidRPr="0070316B">
        <w:rPr>
          <w:sz w:val="24"/>
        </w:rPr>
        <w:t xml:space="preserve">Telò, Mario and Frederik Ponjaert (eds.) (2013). </w:t>
      </w:r>
      <w:r w:rsidRPr="0070316B">
        <w:rPr>
          <w:i/>
          <w:sz w:val="24"/>
        </w:rPr>
        <w:t xml:space="preserve">The EU's Foreign Policy: What Kind of Power and Diplomatic Action? </w:t>
      </w:r>
      <w:r w:rsidRPr="0070316B">
        <w:rPr>
          <w:sz w:val="24"/>
        </w:rPr>
        <w:t xml:space="preserve">, </w:t>
      </w:r>
      <w:r w:rsidRPr="0070316B">
        <w:rPr>
          <w:i/>
          <w:sz w:val="24"/>
        </w:rPr>
        <w:t>GREEN-GEM Book Series on Globalisation, Europe and Multilateralism</w:t>
      </w:r>
      <w:r w:rsidRPr="0070316B">
        <w:rPr>
          <w:sz w:val="24"/>
        </w:rPr>
        <w:t>. Farnham: Ashgate.</w:t>
      </w:r>
    </w:p>
    <w:p w:rsidR="0058730E" w:rsidRPr="0070316B" w:rsidRDefault="0058730E" w:rsidP="0070316B">
      <w:pPr>
        <w:pStyle w:val="EndNoteBibliography"/>
        <w:spacing w:after="0"/>
        <w:jc w:val="both"/>
        <w:rPr>
          <w:sz w:val="24"/>
        </w:rPr>
      </w:pPr>
    </w:p>
    <w:p w:rsidR="0058730E" w:rsidRPr="0070316B" w:rsidRDefault="0058730E" w:rsidP="0070316B">
      <w:pPr>
        <w:pStyle w:val="EndNoteBibliography"/>
        <w:spacing w:after="0"/>
        <w:jc w:val="both"/>
        <w:rPr>
          <w:sz w:val="24"/>
        </w:rPr>
      </w:pPr>
      <w:r w:rsidRPr="0070316B">
        <w:rPr>
          <w:sz w:val="24"/>
        </w:rPr>
        <w:t xml:space="preserve">Telò, Mario (forthcoming 2015). "Transatlantic partnership and global governance from the EU’s perspective." In Jean-Frédéric morin, Tereza Novotna, Frederik Ponjaert and Mario Telò (eds.) </w:t>
      </w:r>
      <w:r w:rsidRPr="0070316B">
        <w:rPr>
          <w:i/>
          <w:sz w:val="24"/>
        </w:rPr>
        <w:t>The Politics of Transatlantic Trade Negotiations: TTIP in a Globalized World</w:t>
      </w:r>
      <w:r w:rsidRPr="0070316B">
        <w:rPr>
          <w:sz w:val="24"/>
        </w:rPr>
        <w:t>. Farnham: Ashgate.</w:t>
      </w:r>
    </w:p>
    <w:p w:rsidR="0058730E" w:rsidRPr="0070316B" w:rsidRDefault="0058730E" w:rsidP="0070316B">
      <w:pPr>
        <w:pStyle w:val="EndNoteBibliography"/>
        <w:spacing w:after="0"/>
        <w:jc w:val="both"/>
        <w:rPr>
          <w:sz w:val="24"/>
        </w:rPr>
      </w:pPr>
      <w:r w:rsidRPr="0070316B">
        <w:rPr>
          <w:sz w:val="24"/>
        </w:rPr>
        <w:t xml:space="preserve">Vachudova, Milada Anna (2005). </w:t>
      </w:r>
      <w:r w:rsidRPr="0070316B">
        <w:rPr>
          <w:i/>
          <w:sz w:val="24"/>
        </w:rPr>
        <w:t>Europe Undivided. Democracy, Leverage and Integration after Communism</w:t>
      </w:r>
      <w:r w:rsidRPr="0070316B">
        <w:rPr>
          <w:sz w:val="24"/>
        </w:rPr>
        <w:t>. Oxford: Oxford University Press.</w:t>
      </w:r>
    </w:p>
    <w:p w:rsidR="0058730E" w:rsidRPr="0070316B" w:rsidRDefault="0058730E" w:rsidP="0070316B">
      <w:pPr>
        <w:pStyle w:val="EndNoteBibliography"/>
        <w:spacing w:after="0"/>
        <w:jc w:val="both"/>
        <w:rPr>
          <w:sz w:val="24"/>
        </w:rPr>
      </w:pPr>
    </w:p>
    <w:p w:rsidR="0058730E" w:rsidRPr="0070316B" w:rsidRDefault="0058730E" w:rsidP="0070316B">
      <w:pPr>
        <w:pStyle w:val="EndNoteBibliography"/>
        <w:spacing w:after="0"/>
        <w:jc w:val="both"/>
        <w:rPr>
          <w:sz w:val="24"/>
        </w:rPr>
      </w:pPr>
      <w:r w:rsidRPr="0070316B">
        <w:rPr>
          <w:sz w:val="24"/>
        </w:rPr>
        <w:t xml:space="preserve">Vassiliou, George (ed.) (2007). </w:t>
      </w:r>
      <w:r w:rsidRPr="0070316B">
        <w:rPr>
          <w:i/>
          <w:sz w:val="24"/>
        </w:rPr>
        <w:t>The Accession Story: The EU from 15 to 25 Countries</w:t>
      </w:r>
      <w:r w:rsidRPr="0070316B">
        <w:rPr>
          <w:sz w:val="24"/>
        </w:rPr>
        <w:t>. Oxford: Oxford University Press.</w:t>
      </w:r>
    </w:p>
    <w:p w:rsidR="0058730E" w:rsidRPr="0070316B" w:rsidRDefault="0058730E" w:rsidP="0070316B">
      <w:pPr>
        <w:pStyle w:val="EndNoteBibliography"/>
        <w:spacing w:after="0"/>
        <w:jc w:val="both"/>
        <w:rPr>
          <w:sz w:val="24"/>
        </w:rPr>
      </w:pPr>
    </w:p>
    <w:p w:rsidR="0058730E" w:rsidRPr="0070316B" w:rsidRDefault="0058730E" w:rsidP="0070316B">
      <w:pPr>
        <w:pStyle w:val="EndNoteBibliography"/>
        <w:spacing w:after="0"/>
        <w:jc w:val="both"/>
        <w:rPr>
          <w:sz w:val="24"/>
        </w:rPr>
      </w:pPr>
      <w:r w:rsidRPr="0070316B">
        <w:rPr>
          <w:sz w:val="24"/>
        </w:rPr>
        <w:t xml:space="preserve">Young, Alasdair R. (2002). </w:t>
      </w:r>
      <w:r w:rsidRPr="0070316B">
        <w:rPr>
          <w:i/>
          <w:sz w:val="24"/>
        </w:rPr>
        <w:t>Extending European Cooperation: The European Union and the ‘New’ International Trade Agenda</w:t>
      </w:r>
      <w:r w:rsidRPr="0070316B">
        <w:rPr>
          <w:sz w:val="24"/>
        </w:rPr>
        <w:t>. Manchester: Manchester University Press.</w:t>
      </w:r>
    </w:p>
    <w:p w:rsidR="0058730E" w:rsidRPr="0070316B" w:rsidRDefault="0058730E" w:rsidP="0070316B">
      <w:pPr>
        <w:pStyle w:val="EndNoteBibliography"/>
        <w:spacing w:after="0"/>
        <w:jc w:val="both"/>
        <w:rPr>
          <w:sz w:val="24"/>
        </w:rPr>
      </w:pPr>
    </w:p>
    <w:p w:rsidR="0058730E" w:rsidRPr="0070316B" w:rsidRDefault="0058730E" w:rsidP="0070316B">
      <w:pPr>
        <w:spacing w:after="0" w:line="240" w:lineRule="auto"/>
        <w:jc w:val="both"/>
        <w:rPr>
          <w:rFonts w:cs="Times New Roman"/>
          <w:sz w:val="28"/>
          <w:szCs w:val="24"/>
        </w:rPr>
      </w:pPr>
    </w:p>
    <w:p w:rsidR="00DC2477" w:rsidRDefault="00DC2477" w:rsidP="0070316B">
      <w:pPr>
        <w:jc w:val="both"/>
      </w:pPr>
    </w:p>
    <w:sectPr w:rsidR="00DC24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781" w:rsidRDefault="00124781" w:rsidP="0058730E">
      <w:pPr>
        <w:spacing w:after="0" w:line="240" w:lineRule="auto"/>
      </w:pPr>
      <w:r>
        <w:separator/>
      </w:r>
    </w:p>
  </w:endnote>
  <w:endnote w:type="continuationSeparator" w:id="0">
    <w:p w:rsidR="00124781" w:rsidRDefault="00124781" w:rsidP="0058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30167408"/>
      <w:docPartObj>
        <w:docPartGallery w:val="Page Numbers (Bottom of Page)"/>
        <w:docPartUnique/>
      </w:docPartObj>
    </w:sdtPr>
    <w:sdtEndPr>
      <w:rPr>
        <w:noProof/>
      </w:rPr>
    </w:sdtEndPr>
    <w:sdtContent>
      <w:p w:rsidR="00D33205" w:rsidRPr="00BA3D43" w:rsidRDefault="00BF2F1F" w:rsidP="00BA3D43">
        <w:pPr>
          <w:pStyle w:val="Zpat"/>
          <w:jc w:val="right"/>
          <w:rPr>
            <w:rFonts w:ascii="Times New Roman" w:hAnsi="Times New Roman" w:cs="Times New Roman"/>
            <w:sz w:val="24"/>
            <w:szCs w:val="24"/>
          </w:rPr>
        </w:pPr>
        <w:r w:rsidRPr="00BA3D43">
          <w:rPr>
            <w:rFonts w:ascii="Times New Roman" w:hAnsi="Times New Roman" w:cs="Times New Roman"/>
            <w:sz w:val="24"/>
            <w:szCs w:val="24"/>
          </w:rPr>
          <w:fldChar w:fldCharType="begin"/>
        </w:r>
        <w:r w:rsidRPr="00BA3D43">
          <w:rPr>
            <w:rFonts w:ascii="Times New Roman" w:hAnsi="Times New Roman" w:cs="Times New Roman"/>
            <w:sz w:val="24"/>
            <w:szCs w:val="24"/>
          </w:rPr>
          <w:instrText xml:space="preserve"> PAGE   \* MERGEFORMAT </w:instrText>
        </w:r>
        <w:r w:rsidRPr="00BA3D43">
          <w:rPr>
            <w:rFonts w:ascii="Times New Roman" w:hAnsi="Times New Roman" w:cs="Times New Roman"/>
            <w:sz w:val="24"/>
            <w:szCs w:val="24"/>
          </w:rPr>
          <w:fldChar w:fldCharType="separate"/>
        </w:r>
        <w:r w:rsidR="00B92194">
          <w:rPr>
            <w:rFonts w:ascii="Times New Roman" w:hAnsi="Times New Roman" w:cs="Times New Roman"/>
            <w:noProof/>
            <w:sz w:val="24"/>
            <w:szCs w:val="24"/>
          </w:rPr>
          <w:t>10</w:t>
        </w:r>
        <w:r w:rsidRPr="00BA3D43">
          <w:rPr>
            <w:rFonts w:ascii="Times New Roman" w:hAnsi="Times New Roman" w:cs="Times New Roman"/>
            <w:noProof/>
            <w:sz w:val="24"/>
            <w:szCs w:val="24"/>
          </w:rPr>
          <w:fldChar w:fldCharType="end"/>
        </w:r>
      </w:p>
    </w:sdtContent>
  </w:sdt>
  <w:p w:rsidR="00D33205" w:rsidRDefault="001247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781" w:rsidRDefault="00124781" w:rsidP="0058730E">
      <w:pPr>
        <w:spacing w:after="0" w:line="240" w:lineRule="auto"/>
      </w:pPr>
      <w:r>
        <w:separator/>
      </w:r>
    </w:p>
  </w:footnote>
  <w:footnote w:type="continuationSeparator" w:id="0">
    <w:p w:rsidR="00124781" w:rsidRDefault="00124781" w:rsidP="0058730E">
      <w:pPr>
        <w:spacing w:after="0" w:line="240" w:lineRule="auto"/>
      </w:pPr>
      <w:r>
        <w:continuationSeparator/>
      </w:r>
    </w:p>
  </w:footnote>
  <w:footnote w:id="1">
    <w:p w:rsidR="0058730E" w:rsidRPr="00F874A4" w:rsidRDefault="0058730E">
      <w:pPr>
        <w:pStyle w:val="Textpoznpodarou"/>
        <w:rPr>
          <w:rFonts w:cs="Times New Roman"/>
        </w:rPr>
      </w:pPr>
      <w:r w:rsidRPr="00F874A4">
        <w:rPr>
          <w:rStyle w:val="Znakapoznpodarou"/>
          <w:rFonts w:cs="Times New Roman"/>
        </w:rPr>
        <w:footnoteRef/>
      </w:r>
      <w:r w:rsidRPr="00F874A4">
        <w:rPr>
          <w:rFonts w:cs="Times New Roman"/>
        </w:rPr>
        <w:t xml:space="preserve"> DG TRADE, </w:t>
      </w:r>
      <w:hyperlink r:id="rId1" w:history="1">
        <w:r w:rsidRPr="00F874A4">
          <w:rPr>
            <w:rStyle w:val="Hypertextovodkaz"/>
            <w:rFonts w:cs="Times New Roman"/>
          </w:rPr>
          <w:t>http://ec.europa.eu/trade/policy/policy-making/</w:t>
        </w:r>
      </w:hyperlink>
      <w:r w:rsidRPr="00F874A4">
        <w:rPr>
          <w:rFonts w:cs="Times New Roman"/>
        </w:rPr>
        <w:t xml:space="preserve"> (accessed 11.2.2015).</w:t>
      </w:r>
    </w:p>
  </w:footnote>
  <w:footnote w:id="2">
    <w:p w:rsidR="0058730E" w:rsidRPr="00F874A4" w:rsidRDefault="0058730E">
      <w:pPr>
        <w:pStyle w:val="Textpoznpodarou"/>
      </w:pPr>
      <w:r w:rsidRPr="00F874A4">
        <w:rPr>
          <w:rStyle w:val="Znakapoznpodarou"/>
        </w:rPr>
        <w:footnoteRef/>
      </w:r>
      <w:r w:rsidRPr="00F874A4">
        <w:t xml:space="preserve"> </w:t>
      </w:r>
      <w:proofErr w:type="gramStart"/>
      <w:r w:rsidRPr="00F874A4">
        <w:t>An informal discussion with a US senior diplomat, the US mission to the EU, Brussels.</w:t>
      </w:r>
      <w:proofErr w:type="gramEnd"/>
    </w:p>
  </w:footnote>
  <w:footnote w:id="3">
    <w:p w:rsidR="0058730E" w:rsidRPr="00F874A4" w:rsidRDefault="0058730E">
      <w:pPr>
        <w:pStyle w:val="Textpoznpodarou"/>
        <w:rPr>
          <w:rFonts w:cs="Times New Roman"/>
        </w:rPr>
      </w:pPr>
      <w:r w:rsidRPr="00F874A4">
        <w:rPr>
          <w:rStyle w:val="Znakapoznpodarou"/>
          <w:rFonts w:cs="Times New Roman"/>
        </w:rPr>
        <w:footnoteRef/>
      </w:r>
      <w:r w:rsidRPr="00F874A4">
        <w:rPr>
          <w:rFonts w:cs="Times New Roman"/>
        </w:rPr>
        <w:t xml:space="preserve"> </w:t>
      </w:r>
      <w:proofErr w:type="gramStart"/>
      <w:r w:rsidRPr="00F874A4">
        <w:rPr>
          <w:rFonts w:cs="Times New Roman"/>
        </w:rPr>
        <w:t>An interview with a senior official, DG TRADE, Brussels.</w:t>
      </w:r>
      <w:proofErr w:type="gramEnd"/>
    </w:p>
  </w:footnote>
  <w:footnote w:id="4">
    <w:p w:rsidR="0058730E" w:rsidRPr="00F874A4" w:rsidRDefault="0058730E">
      <w:pPr>
        <w:pStyle w:val="Textpoznpodarou"/>
        <w:rPr>
          <w:rFonts w:cs="Times New Roman"/>
        </w:rPr>
      </w:pPr>
      <w:r w:rsidRPr="00F874A4">
        <w:rPr>
          <w:rStyle w:val="Znakapoznpodarou"/>
          <w:rFonts w:cs="Times New Roman"/>
        </w:rPr>
        <w:footnoteRef/>
      </w:r>
      <w:r w:rsidRPr="00F874A4">
        <w:rPr>
          <w:rFonts w:cs="Times New Roman"/>
        </w:rPr>
        <w:t xml:space="preserve"> </w:t>
      </w:r>
      <w:proofErr w:type="gramStart"/>
      <w:r w:rsidRPr="00F874A4">
        <w:rPr>
          <w:rFonts w:cs="Times New Roman"/>
        </w:rPr>
        <w:t>An interview with a senior official, DG TRADE, Brussels.</w:t>
      </w:r>
      <w:proofErr w:type="gramEnd"/>
    </w:p>
  </w:footnote>
  <w:footnote w:id="5">
    <w:p w:rsidR="0058730E" w:rsidRPr="00F874A4" w:rsidRDefault="0058730E">
      <w:pPr>
        <w:pStyle w:val="Textpoznpodarou"/>
        <w:rPr>
          <w:rFonts w:cs="Times New Roman"/>
        </w:rPr>
      </w:pPr>
      <w:r w:rsidRPr="00F874A4">
        <w:rPr>
          <w:rStyle w:val="Znakapoznpodarou"/>
          <w:rFonts w:cs="Times New Roman"/>
        </w:rPr>
        <w:footnoteRef/>
      </w:r>
      <w:r w:rsidRPr="00F874A4">
        <w:rPr>
          <w:rFonts w:cs="Times New Roman"/>
        </w:rPr>
        <w:t xml:space="preserve"> </w:t>
      </w:r>
      <w:proofErr w:type="gramStart"/>
      <w:r w:rsidRPr="00F874A4">
        <w:rPr>
          <w:rFonts w:cs="Times New Roman"/>
        </w:rPr>
        <w:t>An interview with a senior official, DG TRADE, Brussels.</w:t>
      </w:r>
      <w:proofErr w:type="gramEnd"/>
    </w:p>
  </w:footnote>
  <w:footnote w:id="6">
    <w:p w:rsidR="0058730E" w:rsidRDefault="0058730E">
      <w:pPr>
        <w:pStyle w:val="Textpoznpodarou"/>
      </w:pPr>
      <w:r>
        <w:rPr>
          <w:rStyle w:val="Znakapoznpodarou"/>
        </w:rPr>
        <w:footnoteRef/>
      </w:r>
      <w:r>
        <w:t xml:space="preserve"> For further details on the EP’s activities related to TTIP, see </w:t>
      </w:r>
      <w:hyperlink r:id="rId2" w:history="1">
        <w:r w:rsidRPr="002E69C7">
          <w:rPr>
            <w:rStyle w:val="Hypertextovodkaz"/>
          </w:rPr>
          <w:t>http://www.europarl.europa.eu/news/en/news-room/content/20150126STO15022/html/TTIP-spotlight-on-the-sensitive-issues-at-EP-public-hearing</w:t>
        </w:r>
      </w:hyperlink>
      <w:r>
        <w:t xml:space="preserve"> (accessed on 11.2.2015).</w:t>
      </w:r>
    </w:p>
  </w:footnote>
  <w:footnote w:id="7">
    <w:p w:rsidR="0058730E" w:rsidRPr="00F874A4" w:rsidRDefault="0058730E">
      <w:pPr>
        <w:pStyle w:val="Textpoznpodarou"/>
        <w:rPr>
          <w:rFonts w:cs="Times New Roman"/>
        </w:rPr>
      </w:pPr>
      <w:r w:rsidRPr="00F874A4">
        <w:rPr>
          <w:rStyle w:val="Znakapoznpodarou"/>
          <w:rFonts w:cs="Times New Roman"/>
        </w:rPr>
        <w:footnoteRef/>
      </w:r>
      <w:r w:rsidRPr="00F874A4">
        <w:rPr>
          <w:rFonts w:cs="Times New Roman"/>
        </w:rPr>
        <w:t xml:space="preserve"> It is also possible to split the issues between the lead and co-lead DGs.</w:t>
      </w:r>
    </w:p>
  </w:footnote>
  <w:footnote w:id="8">
    <w:p w:rsidR="0058730E" w:rsidRPr="00F874A4" w:rsidRDefault="0058730E" w:rsidP="008A4D43">
      <w:pPr>
        <w:pStyle w:val="Textpoznpodarou"/>
        <w:rPr>
          <w:rFonts w:cs="Times New Roman"/>
        </w:rPr>
      </w:pPr>
      <w:r w:rsidRPr="00F874A4">
        <w:rPr>
          <w:rStyle w:val="Znakapoznpodarou"/>
          <w:rFonts w:cs="Times New Roman"/>
        </w:rPr>
        <w:footnoteRef/>
      </w:r>
      <w:r w:rsidRPr="00F874A4">
        <w:rPr>
          <w:rFonts w:cs="Times New Roman"/>
        </w:rPr>
        <w:t xml:space="preserve"> </w:t>
      </w:r>
      <w:proofErr w:type="gramStart"/>
      <w:r w:rsidRPr="00F874A4">
        <w:rPr>
          <w:rFonts w:cs="Times New Roman"/>
        </w:rPr>
        <w:t>An interview with a senior official, DG TRADE, Brussels.</w:t>
      </w:r>
      <w:proofErr w:type="gramEnd"/>
    </w:p>
  </w:footnote>
  <w:footnote w:id="9">
    <w:p w:rsidR="0058730E" w:rsidRPr="00F874A4" w:rsidRDefault="0058730E">
      <w:pPr>
        <w:pStyle w:val="Textpoznpodarou"/>
        <w:rPr>
          <w:rFonts w:cs="Times New Roman"/>
        </w:rPr>
      </w:pPr>
      <w:r w:rsidRPr="00F874A4">
        <w:rPr>
          <w:rStyle w:val="Znakapoznpodarou"/>
          <w:rFonts w:cs="Times New Roman"/>
        </w:rPr>
        <w:footnoteRef/>
      </w:r>
      <w:r w:rsidRPr="00F874A4">
        <w:rPr>
          <w:rFonts w:cs="Times New Roman"/>
        </w:rPr>
        <w:t xml:space="preserve"> </w:t>
      </w:r>
      <w:proofErr w:type="gramStart"/>
      <w:r w:rsidRPr="00F874A4">
        <w:rPr>
          <w:rFonts w:cs="Times New Roman"/>
        </w:rPr>
        <w:t>An interview with a senior official, USTR Office, Brussels.</w:t>
      </w:r>
      <w:proofErr w:type="gramEnd"/>
    </w:p>
  </w:footnote>
  <w:footnote w:id="10">
    <w:p w:rsidR="0058730E" w:rsidRPr="00F874A4" w:rsidRDefault="0058730E">
      <w:pPr>
        <w:pStyle w:val="Textpoznpodarou"/>
        <w:rPr>
          <w:rFonts w:cs="Times New Roman"/>
        </w:rPr>
      </w:pPr>
      <w:r w:rsidRPr="00F874A4">
        <w:rPr>
          <w:rStyle w:val="Znakapoznpodarou"/>
          <w:rFonts w:cs="Times New Roman"/>
        </w:rPr>
        <w:footnoteRef/>
      </w:r>
      <w:r w:rsidRPr="00F874A4">
        <w:rPr>
          <w:rFonts w:cs="Times New Roman"/>
        </w:rPr>
        <w:t xml:space="preserve"> </w:t>
      </w:r>
      <w:proofErr w:type="gramStart"/>
      <w:r w:rsidRPr="00F874A4">
        <w:rPr>
          <w:rFonts w:cs="Times New Roman"/>
        </w:rPr>
        <w:t>An interview with a member of the negotiating team, DG TRADE, Brussels.</w:t>
      </w:r>
      <w:proofErr w:type="gramEnd"/>
    </w:p>
  </w:footnote>
  <w:footnote w:id="11">
    <w:p w:rsidR="0058730E" w:rsidRPr="00F874A4" w:rsidRDefault="0058730E">
      <w:pPr>
        <w:pStyle w:val="Textpoznpodarou"/>
      </w:pPr>
      <w:r w:rsidRPr="00A50496">
        <w:rPr>
          <w:rStyle w:val="Znakapoznpodarou"/>
        </w:rPr>
        <w:footnoteRef/>
      </w:r>
      <w:r w:rsidRPr="00A50496">
        <w:t xml:space="preserve"> The EU’s Strategic Partners include: Brazil, Canada, China, India, Japan, Mexico, Russia, South Korea, South Africa and the United States.</w:t>
      </w:r>
    </w:p>
  </w:footnote>
  <w:footnote w:id="12">
    <w:p w:rsidR="0058730E" w:rsidRPr="00F874A4" w:rsidRDefault="0058730E">
      <w:pPr>
        <w:pStyle w:val="Textpoznpodarou"/>
        <w:rPr>
          <w:rFonts w:cs="Times New Roman"/>
        </w:rPr>
      </w:pPr>
      <w:r w:rsidRPr="00F874A4">
        <w:rPr>
          <w:rStyle w:val="Znakapoznpodarou"/>
          <w:rFonts w:cs="Times New Roman"/>
        </w:rPr>
        <w:footnoteRef/>
      </w:r>
      <w:r w:rsidRPr="00F874A4">
        <w:rPr>
          <w:rFonts w:cs="Times New Roman"/>
        </w:rPr>
        <w:t xml:space="preserve"> The first EC Delegation was opened in London, but the United Kingdom has since then joined the EC/EU.</w:t>
      </w:r>
    </w:p>
  </w:footnote>
  <w:footnote w:id="13">
    <w:p w:rsidR="0058730E" w:rsidRPr="00F874A4" w:rsidRDefault="0058730E">
      <w:pPr>
        <w:pStyle w:val="Textpoznpodarou"/>
        <w:rPr>
          <w:rFonts w:cs="Times New Roman"/>
        </w:rPr>
      </w:pPr>
      <w:r w:rsidRPr="00F874A4">
        <w:rPr>
          <w:rStyle w:val="Znakapoznpodarou"/>
          <w:rFonts w:cs="Times New Roman"/>
        </w:rPr>
        <w:footnoteRef/>
      </w:r>
      <w:r w:rsidRPr="00F874A4">
        <w:rPr>
          <w:rFonts w:cs="Times New Roman"/>
        </w:rPr>
        <w:t xml:space="preserve"> </w:t>
      </w:r>
      <w:proofErr w:type="gramStart"/>
      <w:r w:rsidRPr="00F874A4">
        <w:rPr>
          <w:rFonts w:cs="Times New Roman"/>
        </w:rPr>
        <w:t>An interview with a member of the negotiating team, DG TRADE, Brussels.</w:t>
      </w:r>
      <w:proofErr w:type="gramEnd"/>
    </w:p>
  </w:footnote>
  <w:footnote w:id="14">
    <w:p w:rsidR="0058730E" w:rsidRPr="00F874A4" w:rsidRDefault="0058730E" w:rsidP="00B83467">
      <w:pPr>
        <w:pStyle w:val="Textpoznpodarou"/>
        <w:rPr>
          <w:rFonts w:cs="Times New Roman"/>
        </w:rPr>
      </w:pPr>
      <w:r w:rsidRPr="00F874A4">
        <w:rPr>
          <w:rStyle w:val="Znakapoznpodarou"/>
          <w:rFonts w:cs="Times New Roman"/>
        </w:rPr>
        <w:footnoteRef/>
      </w:r>
      <w:r w:rsidRPr="00F874A4">
        <w:rPr>
          <w:rFonts w:cs="Times New Roman"/>
        </w:rPr>
        <w:t xml:space="preserve"> </w:t>
      </w:r>
      <w:proofErr w:type="gramStart"/>
      <w:r w:rsidRPr="00F874A4">
        <w:rPr>
          <w:rFonts w:cs="Times New Roman"/>
        </w:rPr>
        <w:t>An interview with a senior official, EEAS, Brussels.</w:t>
      </w:r>
      <w:proofErr w:type="gramEnd"/>
    </w:p>
  </w:footnote>
  <w:footnote w:id="15">
    <w:p w:rsidR="0058730E" w:rsidRDefault="0058730E">
      <w:pPr>
        <w:pStyle w:val="Textpoznpodarou"/>
      </w:pPr>
      <w:r>
        <w:rPr>
          <w:rStyle w:val="Znakapoznpodarou"/>
        </w:rPr>
        <w:footnoteRef/>
      </w:r>
      <w:r>
        <w:t xml:space="preserve"> </w:t>
      </w:r>
      <w:proofErr w:type="gramStart"/>
      <w:r w:rsidRPr="00F874A4">
        <w:rPr>
          <w:rFonts w:cs="Times New Roman"/>
        </w:rPr>
        <w:t>An interview with a member of the negotiating team, DG TRADE, Brussels.</w:t>
      </w:r>
      <w:proofErr w:type="gramEnd"/>
    </w:p>
  </w:footnote>
  <w:footnote w:id="16">
    <w:p w:rsidR="0058730E" w:rsidRDefault="0058730E">
      <w:pPr>
        <w:pStyle w:val="Textpoznpodarou"/>
      </w:pPr>
      <w:r>
        <w:rPr>
          <w:rStyle w:val="Znakapoznpodarou"/>
        </w:rPr>
        <w:footnoteRef/>
      </w:r>
      <w:r>
        <w:t xml:space="preserve"> </w:t>
      </w:r>
      <w:proofErr w:type="gramStart"/>
      <w:r w:rsidRPr="00F874A4">
        <w:t>An informal discussion with a US senior diplomat, the US mission to the EU, Brussels.</w:t>
      </w:r>
      <w:proofErr w:type="gramEnd"/>
    </w:p>
  </w:footnote>
  <w:footnote w:id="17">
    <w:p w:rsidR="0058730E" w:rsidRPr="00F874A4" w:rsidRDefault="0058730E">
      <w:pPr>
        <w:pStyle w:val="Textpoznpodarou"/>
        <w:rPr>
          <w:rFonts w:cs="Times New Roman"/>
        </w:rPr>
      </w:pPr>
      <w:r w:rsidRPr="00F874A4">
        <w:rPr>
          <w:rStyle w:val="Znakapoznpodarou"/>
          <w:rFonts w:cs="Times New Roman"/>
        </w:rPr>
        <w:footnoteRef/>
      </w:r>
      <w:r w:rsidRPr="00F874A4">
        <w:rPr>
          <w:rFonts w:cs="Times New Roman"/>
        </w:rPr>
        <w:t xml:space="preserve"> </w:t>
      </w:r>
      <w:proofErr w:type="gramStart"/>
      <w:r w:rsidRPr="00F874A4">
        <w:rPr>
          <w:rFonts w:cs="Times New Roman"/>
        </w:rPr>
        <w:t>An interview with a top official, EEAS, Brussels.</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C60A9"/>
    <w:multiLevelType w:val="hybridMultilevel"/>
    <w:tmpl w:val="1EF4BBDE"/>
    <w:lvl w:ilvl="0" w:tplc="7848D7B0">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05B67"/>
    <w:multiLevelType w:val="hybridMultilevel"/>
    <w:tmpl w:val="73EA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A00F1"/>
    <w:multiLevelType w:val="hybridMultilevel"/>
    <w:tmpl w:val="D04C963A"/>
    <w:lvl w:ilvl="0" w:tplc="5894780C">
      <w:start w:val="12"/>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F1497C"/>
    <w:multiLevelType w:val="hybridMultilevel"/>
    <w:tmpl w:val="D6E0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8730E"/>
    <w:rsid w:val="00124781"/>
    <w:rsid w:val="0058730E"/>
    <w:rsid w:val="0070316B"/>
    <w:rsid w:val="009108D3"/>
    <w:rsid w:val="00AA03F0"/>
    <w:rsid w:val="00B92194"/>
    <w:rsid w:val="00BF2F1F"/>
    <w:rsid w:val="00DC2477"/>
    <w:rsid w:val="00E6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30E"/>
  </w:style>
  <w:style w:type="paragraph" w:styleId="Nadpis1">
    <w:name w:val="heading 1"/>
    <w:basedOn w:val="Normln"/>
    <w:next w:val="Normln"/>
    <w:link w:val="Nadpis1Char"/>
    <w:uiPriority w:val="9"/>
    <w:qFormat/>
    <w:rsid w:val="005873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873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8730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8730E"/>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58730E"/>
    <w:pPr>
      <w:ind w:left="720"/>
      <w:contextualSpacing/>
    </w:pPr>
  </w:style>
  <w:style w:type="paragraph" w:styleId="Zhlav">
    <w:name w:val="header"/>
    <w:basedOn w:val="Normln"/>
    <w:link w:val="ZhlavChar"/>
    <w:uiPriority w:val="99"/>
    <w:unhideWhenUsed/>
    <w:rsid w:val="0058730E"/>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58730E"/>
  </w:style>
  <w:style w:type="paragraph" w:styleId="Zpat">
    <w:name w:val="footer"/>
    <w:basedOn w:val="Normln"/>
    <w:link w:val="ZpatChar"/>
    <w:uiPriority w:val="99"/>
    <w:unhideWhenUsed/>
    <w:rsid w:val="0058730E"/>
    <w:pPr>
      <w:tabs>
        <w:tab w:val="center" w:pos="4680"/>
        <w:tab w:val="right" w:pos="9360"/>
      </w:tabs>
      <w:spacing w:after="0" w:line="240" w:lineRule="auto"/>
    </w:pPr>
  </w:style>
  <w:style w:type="character" w:customStyle="1" w:styleId="ZpatChar">
    <w:name w:val="Zápatí Char"/>
    <w:basedOn w:val="Standardnpsmoodstavce"/>
    <w:link w:val="Zpat"/>
    <w:uiPriority w:val="99"/>
    <w:rsid w:val="0058730E"/>
  </w:style>
  <w:style w:type="paragraph" w:customStyle="1" w:styleId="EndNoteBibliographyTitle">
    <w:name w:val="EndNote Bibliography Title"/>
    <w:basedOn w:val="Normln"/>
    <w:link w:val="EndNoteBibliographyTitleChar"/>
    <w:rsid w:val="0058730E"/>
    <w:pPr>
      <w:spacing w:after="0"/>
      <w:jc w:val="center"/>
    </w:pPr>
    <w:rPr>
      <w:rFonts w:ascii="Calibri" w:hAnsi="Calibri"/>
      <w:noProof/>
    </w:rPr>
  </w:style>
  <w:style w:type="character" w:customStyle="1" w:styleId="EndNoteBibliographyTitleChar">
    <w:name w:val="EndNote Bibliography Title Char"/>
    <w:basedOn w:val="Standardnpsmoodstavce"/>
    <w:link w:val="EndNoteBibliographyTitle"/>
    <w:rsid w:val="0058730E"/>
    <w:rPr>
      <w:rFonts w:ascii="Calibri" w:hAnsi="Calibri"/>
      <w:noProof/>
    </w:rPr>
  </w:style>
  <w:style w:type="paragraph" w:customStyle="1" w:styleId="EndNoteBibliography">
    <w:name w:val="EndNote Bibliography"/>
    <w:basedOn w:val="Normln"/>
    <w:link w:val="EndNoteBibliographyChar"/>
    <w:rsid w:val="0058730E"/>
    <w:pPr>
      <w:spacing w:line="240" w:lineRule="auto"/>
    </w:pPr>
    <w:rPr>
      <w:rFonts w:ascii="Calibri" w:hAnsi="Calibri"/>
      <w:noProof/>
    </w:rPr>
  </w:style>
  <w:style w:type="character" w:customStyle="1" w:styleId="EndNoteBibliographyChar">
    <w:name w:val="EndNote Bibliography Char"/>
    <w:basedOn w:val="Standardnpsmoodstavce"/>
    <w:link w:val="EndNoteBibliography"/>
    <w:rsid w:val="0058730E"/>
    <w:rPr>
      <w:rFonts w:ascii="Calibri" w:hAnsi="Calibri"/>
      <w:noProof/>
    </w:rPr>
  </w:style>
  <w:style w:type="character" w:styleId="Hypertextovodkaz">
    <w:name w:val="Hyperlink"/>
    <w:basedOn w:val="Standardnpsmoodstavce"/>
    <w:uiPriority w:val="99"/>
    <w:unhideWhenUsed/>
    <w:rsid w:val="0058730E"/>
    <w:rPr>
      <w:color w:val="0000FF" w:themeColor="hyperlink"/>
      <w:u w:val="single"/>
    </w:rPr>
  </w:style>
  <w:style w:type="paragraph" w:styleId="Textpoznpodarou">
    <w:name w:val="footnote text"/>
    <w:basedOn w:val="Normln"/>
    <w:link w:val="TextpoznpodarouChar"/>
    <w:uiPriority w:val="99"/>
    <w:unhideWhenUsed/>
    <w:rsid w:val="0058730E"/>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58730E"/>
    <w:rPr>
      <w:sz w:val="20"/>
      <w:szCs w:val="20"/>
    </w:rPr>
  </w:style>
  <w:style w:type="character" w:styleId="Znakapoznpodarou">
    <w:name w:val="footnote reference"/>
    <w:basedOn w:val="Standardnpsmoodstavce"/>
    <w:uiPriority w:val="99"/>
    <w:unhideWhenUsed/>
    <w:rsid w:val="0058730E"/>
    <w:rPr>
      <w:vertAlign w:val="superscript"/>
    </w:rPr>
  </w:style>
  <w:style w:type="character" w:styleId="Odkaznakoment">
    <w:name w:val="annotation reference"/>
    <w:basedOn w:val="Standardnpsmoodstavce"/>
    <w:uiPriority w:val="99"/>
    <w:semiHidden/>
    <w:unhideWhenUsed/>
    <w:rsid w:val="0058730E"/>
    <w:rPr>
      <w:sz w:val="16"/>
      <w:szCs w:val="16"/>
    </w:rPr>
  </w:style>
  <w:style w:type="paragraph" w:styleId="Textkomente">
    <w:name w:val="annotation text"/>
    <w:basedOn w:val="Normln"/>
    <w:link w:val="TextkomenteChar"/>
    <w:uiPriority w:val="99"/>
    <w:semiHidden/>
    <w:unhideWhenUsed/>
    <w:rsid w:val="0058730E"/>
    <w:pPr>
      <w:spacing w:line="240" w:lineRule="auto"/>
    </w:pPr>
    <w:rPr>
      <w:sz w:val="20"/>
      <w:szCs w:val="20"/>
    </w:rPr>
  </w:style>
  <w:style w:type="character" w:customStyle="1" w:styleId="TextkomenteChar">
    <w:name w:val="Text komentáře Char"/>
    <w:basedOn w:val="Standardnpsmoodstavce"/>
    <w:link w:val="Textkomente"/>
    <w:uiPriority w:val="99"/>
    <w:semiHidden/>
    <w:rsid w:val="0058730E"/>
    <w:rPr>
      <w:sz w:val="20"/>
      <w:szCs w:val="20"/>
    </w:rPr>
  </w:style>
  <w:style w:type="paragraph" w:styleId="Pedmtkomente">
    <w:name w:val="annotation subject"/>
    <w:basedOn w:val="Textkomente"/>
    <w:next w:val="Textkomente"/>
    <w:link w:val="PedmtkomenteChar"/>
    <w:uiPriority w:val="99"/>
    <w:semiHidden/>
    <w:unhideWhenUsed/>
    <w:rsid w:val="0058730E"/>
    <w:rPr>
      <w:b/>
      <w:bCs/>
    </w:rPr>
  </w:style>
  <w:style w:type="character" w:customStyle="1" w:styleId="PedmtkomenteChar">
    <w:name w:val="Předmět komentáře Char"/>
    <w:basedOn w:val="TextkomenteChar"/>
    <w:link w:val="Pedmtkomente"/>
    <w:uiPriority w:val="99"/>
    <w:semiHidden/>
    <w:rsid w:val="0058730E"/>
    <w:rPr>
      <w:b/>
      <w:bCs/>
      <w:sz w:val="20"/>
      <w:szCs w:val="20"/>
    </w:rPr>
  </w:style>
  <w:style w:type="paragraph" w:styleId="Textbubliny">
    <w:name w:val="Balloon Text"/>
    <w:basedOn w:val="Normln"/>
    <w:link w:val="TextbublinyChar"/>
    <w:uiPriority w:val="99"/>
    <w:semiHidden/>
    <w:unhideWhenUsed/>
    <w:rsid w:val="005873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730E"/>
    <w:rPr>
      <w:rFonts w:ascii="Tahoma" w:hAnsi="Tahoma" w:cs="Tahoma"/>
      <w:sz w:val="16"/>
      <w:szCs w:val="16"/>
    </w:rPr>
  </w:style>
  <w:style w:type="paragraph" w:customStyle="1" w:styleId="articledetails">
    <w:name w:val="articledetails"/>
    <w:basedOn w:val="Normln"/>
    <w:rsid w:val="0058730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30E"/>
  </w:style>
  <w:style w:type="paragraph" w:styleId="Nadpis1">
    <w:name w:val="heading 1"/>
    <w:basedOn w:val="Normln"/>
    <w:next w:val="Normln"/>
    <w:link w:val="Nadpis1Char"/>
    <w:uiPriority w:val="9"/>
    <w:qFormat/>
    <w:rsid w:val="005873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873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8730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8730E"/>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58730E"/>
    <w:pPr>
      <w:ind w:left="720"/>
      <w:contextualSpacing/>
    </w:pPr>
  </w:style>
  <w:style w:type="paragraph" w:styleId="Zhlav">
    <w:name w:val="header"/>
    <w:basedOn w:val="Normln"/>
    <w:link w:val="ZhlavChar"/>
    <w:uiPriority w:val="99"/>
    <w:unhideWhenUsed/>
    <w:rsid w:val="0058730E"/>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58730E"/>
  </w:style>
  <w:style w:type="paragraph" w:styleId="Zpat">
    <w:name w:val="footer"/>
    <w:basedOn w:val="Normln"/>
    <w:link w:val="ZpatChar"/>
    <w:uiPriority w:val="99"/>
    <w:unhideWhenUsed/>
    <w:rsid w:val="0058730E"/>
    <w:pPr>
      <w:tabs>
        <w:tab w:val="center" w:pos="4680"/>
        <w:tab w:val="right" w:pos="9360"/>
      </w:tabs>
      <w:spacing w:after="0" w:line="240" w:lineRule="auto"/>
    </w:pPr>
  </w:style>
  <w:style w:type="character" w:customStyle="1" w:styleId="ZpatChar">
    <w:name w:val="Zápatí Char"/>
    <w:basedOn w:val="Standardnpsmoodstavce"/>
    <w:link w:val="Zpat"/>
    <w:uiPriority w:val="99"/>
    <w:rsid w:val="0058730E"/>
  </w:style>
  <w:style w:type="paragraph" w:customStyle="1" w:styleId="EndNoteBibliographyTitle">
    <w:name w:val="EndNote Bibliography Title"/>
    <w:basedOn w:val="Normln"/>
    <w:link w:val="EndNoteBibliographyTitleChar"/>
    <w:rsid w:val="0058730E"/>
    <w:pPr>
      <w:spacing w:after="0"/>
      <w:jc w:val="center"/>
    </w:pPr>
    <w:rPr>
      <w:rFonts w:ascii="Calibri" w:hAnsi="Calibri"/>
      <w:noProof/>
    </w:rPr>
  </w:style>
  <w:style w:type="character" w:customStyle="1" w:styleId="EndNoteBibliographyTitleChar">
    <w:name w:val="EndNote Bibliography Title Char"/>
    <w:basedOn w:val="Standardnpsmoodstavce"/>
    <w:link w:val="EndNoteBibliographyTitle"/>
    <w:rsid w:val="0058730E"/>
    <w:rPr>
      <w:rFonts w:ascii="Calibri" w:hAnsi="Calibri"/>
      <w:noProof/>
    </w:rPr>
  </w:style>
  <w:style w:type="paragraph" w:customStyle="1" w:styleId="EndNoteBibliography">
    <w:name w:val="EndNote Bibliography"/>
    <w:basedOn w:val="Normln"/>
    <w:link w:val="EndNoteBibliographyChar"/>
    <w:rsid w:val="0058730E"/>
    <w:pPr>
      <w:spacing w:line="240" w:lineRule="auto"/>
    </w:pPr>
    <w:rPr>
      <w:rFonts w:ascii="Calibri" w:hAnsi="Calibri"/>
      <w:noProof/>
    </w:rPr>
  </w:style>
  <w:style w:type="character" w:customStyle="1" w:styleId="EndNoteBibliographyChar">
    <w:name w:val="EndNote Bibliography Char"/>
    <w:basedOn w:val="Standardnpsmoodstavce"/>
    <w:link w:val="EndNoteBibliography"/>
    <w:rsid w:val="0058730E"/>
    <w:rPr>
      <w:rFonts w:ascii="Calibri" w:hAnsi="Calibri"/>
      <w:noProof/>
    </w:rPr>
  </w:style>
  <w:style w:type="character" w:styleId="Hypertextovodkaz">
    <w:name w:val="Hyperlink"/>
    <w:basedOn w:val="Standardnpsmoodstavce"/>
    <w:uiPriority w:val="99"/>
    <w:unhideWhenUsed/>
    <w:rsid w:val="0058730E"/>
    <w:rPr>
      <w:color w:val="0000FF" w:themeColor="hyperlink"/>
      <w:u w:val="single"/>
    </w:rPr>
  </w:style>
  <w:style w:type="paragraph" w:styleId="Textpoznpodarou">
    <w:name w:val="footnote text"/>
    <w:basedOn w:val="Normln"/>
    <w:link w:val="TextpoznpodarouChar"/>
    <w:uiPriority w:val="99"/>
    <w:unhideWhenUsed/>
    <w:rsid w:val="0058730E"/>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58730E"/>
    <w:rPr>
      <w:sz w:val="20"/>
      <w:szCs w:val="20"/>
    </w:rPr>
  </w:style>
  <w:style w:type="character" w:styleId="Znakapoznpodarou">
    <w:name w:val="footnote reference"/>
    <w:basedOn w:val="Standardnpsmoodstavce"/>
    <w:uiPriority w:val="99"/>
    <w:unhideWhenUsed/>
    <w:rsid w:val="0058730E"/>
    <w:rPr>
      <w:vertAlign w:val="superscript"/>
    </w:rPr>
  </w:style>
  <w:style w:type="character" w:styleId="Odkaznakoment">
    <w:name w:val="annotation reference"/>
    <w:basedOn w:val="Standardnpsmoodstavce"/>
    <w:uiPriority w:val="99"/>
    <w:semiHidden/>
    <w:unhideWhenUsed/>
    <w:rsid w:val="0058730E"/>
    <w:rPr>
      <w:sz w:val="16"/>
      <w:szCs w:val="16"/>
    </w:rPr>
  </w:style>
  <w:style w:type="paragraph" w:styleId="Textkomente">
    <w:name w:val="annotation text"/>
    <w:basedOn w:val="Normln"/>
    <w:link w:val="TextkomenteChar"/>
    <w:uiPriority w:val="99"/>
    <w:semiHidden/>
    <w:unhideWhenUsed/>
    <w:rsid w:val="0058730E"/>
    <w:pPr>
      <w:spacing w:line="240" w:lineRule="auto"/>
    </w:pPr>
    <w:rPr>
      <w:sz w:val="20"/>
      <w:szCs w:val="20"/>
    </w:rPr>
  </w:style>
  <w:style w:type="character" w:customStyle="1" w:styleId="TextkomenteChar">
    <w:name w:val="Text komentáře Char"/>
    <w:basedOn w:val="Standardnpsmoodstavce"/>
    <w:link w:val="Textkomente"/>
    <w:uiPriority w:val="99"/>
    <w:semiHidden/>
    <w:rsid w:val="0058730E"/>
    <w:rPr>
      <w:sz w:val="20"/>
      <w:szCs w:val="20"/>
    </w:rPr>
  </w:style>
  <w:style w:type="paragraph" w:styleId="Pedmtkomente">
    <w:name w:val="annotation subject"/>
    <w:basedOn w:val="Textkomente"/>
    <w:next w:val="Textkomente"/>
    <w:link w:val="PedmtkomenteChar"/>
    <w:uiPriority w:val="99"/>
    <w:semiHidden/>
    <w:unhideWhenUsed/>
    <w:rsid w:val="0058730E"/>
    <w:rPr>
      <w:b/>
      <w:bCs/>
    </w:rPr>
  </w:style>
  <w:style w:type="character" w:customStyle="1" w:styleId="PedmtkomenteChar">
    <w:name w:val="Předmět komentáře Char"/>
    <w:basedOn w:val="TextkomenteChar"/>
    <w:link w:val="Pedmtkomente"/>
    <w:uiPriority w:val="99"/>
    <w:semiHidden/>
    <w:rsid w:val="0058730E"/>
    <w:rPr>
      <w:b/>
      <w:bCs/>
      <w:sz w:val="20"/>
      <w:szCs w:val="20"/>
    </w:rPr>
  </w:style>
  <w:style w:type="paragraph" w:styleId="Textbubliny">
    <w:name w:val="Balloon Text"/>
    <w:basedOn w:val="Normln"/>
    <w:link w:val="TextbublinyChar"/>
    <w:uiPriority w:val="99"/>
    <w:semiHidden/>
    <w:unhideWhenUsed/>
    <w:rsid w:val="005873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730E"/>
    <w:rPr>
      <w:rFonts w:ascii="Tahoma" w:hAnsi="Tahoma" w:cs="Tahoma"/>
      <w:sz w:val="16"/>
      <w:szCs w:val="16"/>
    </w:rPr>
  </w:style>
  <w:style w:type="paragraph" w:customStyle="1" w:styleId="articledetails">
    <w:name w:val="articledetails"/>
    <w:basedOn w:val="Normln"/>
    <w:rsid w:val="005873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uroparl.europa.eu/news/en/news-room/content/20150126STO15022/html/TTIP-spotlight-on-the-sensitive-issues-at-EP-public-hearing" TargetMode="External"/><Relationship Id="rId1" Type="http://schemas.openxmlformats.org/officeDocument/2006/relationships/hyperlink" Target="http://ec.europa.eu/trade/policy/policy-m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5205</Words>
  <Characters>30713</Characters>
  <Application>Microsoft Office Word</Application>
  <DocSecurity>0</DocSecurity>
  <Lines>255</Lines>
  <Paragraphs>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dc:creator>
  <cp:lastModifiedBy>Anna Jindrich Novotni</cp:lastModifiedBy>
  <cp:revision>4</cp:revision>
  <cp:lastPrinted>2015-02-13T23:19:00Z</cp:lastPrinted>
  <dcterms:created xsi:type="dcterms:W3CDTF">2015-02-27T23:45:00Z</dcterms:created>
  <dcterms:modified xsi:type="dcterms:W3CDTF">2015-02-27T23:54:00Z</dcterms:modified>
</cp:coreProperties>
</file>