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008D7" w14:textId="77777777" w:rsidR="0080269D" w:rsidRPr="009C52FB" w:rsidRDefault="0080269D" w:rsidP="00944873">
      <w:pPr>
        <w:jc w:val="center"/>
        <w:rPr>
          <w:rFonts w:ascii="Garamond" w:hAnsi="Garamond"/>
          <w:b/>
        </w:rPr>
      </w:pPr>
      <w:proofErr w:type="gramStart"/>
      <w:r w:rsidRPr="009C52FB">
        <w:rPr>
          <w:rFonts w:ascii="Garamond" w:hAnsi="Garamond"/>
          <w:b/>
        </w:rPr>
        <w:t>A More Martial Europe?</w:t>
      </w:r>
      <w:proofErr w:type="gramEnd"/>
      <w:r w:rsidRPr="009C52FB">
        <w:rPr>
          <w:rFonts w:ascii="Garamond" w:hAnsi="Garamond"/>
          <w:b/>
        </w:rPr>
        <w:t xml:space="preserve"> Permissive Consensus or Robust Support for CSDP</w:t>
      </w:r>
    </w:p>
    <w:p w14:paraId="7B7FF1B3" w14:textId="77777777" w:rsidR="0080269D" w:rsidRPr="009C52FB" w:rsidRDefault="0080269D" w:rsidP="00944873">
      <w:pPr>
        <w:jc w:val="center"/>
        <w:rPr>
          <w:rFonts w:ascii="Garamond" w:hAnsi="Garamond"/>
          <w:b/>
        </w:rPr>
      </w:pPr>
    </w:p>
    <w:p w14:paraId="766858CF" w14:textId="77777777" w:rsidR="0080269D" w:rsidRPr="009C52FB" w:rsidRDefault="0080269D" w:rsidP="00944873">
      <w:pPr>
        <w:jc w:val="center"/>
        <w:rPr>
          <w:rFonts w:ascii="Garamond" w:hAnsi="Garamond"/>
          <w:b/>
        </w:rPr>
      </w:pPr>
      <w:proofErr w:type="spellStart"/>
      <w:r w:rsidRPr="009C52FB">
        <w:rPr>
          <w:rFonts w:ascii="Garamond" w:hAnsi="Garamond"/>
          <w:b/>
        </w:rPr>
        <w:t>Kaija</w:t>
      </w:r>
      <w:proofErr w:type="spellEnd"/>
      <w:r w:rsidRPr="009C52FB">
        <w:rPr>
          <w:rFonts w:ascii="Garamond" w:hAnsi="Garamond"/>
          <w:b/>
        </w:rPr>
        <w:t xml:space="preserve"> </w:t>
      </w:r>
      <w:proofErr w:type="spellStart"/>
      <w:r w:rsidRPr="009C52FB">
        <w:rPr>
          <w:rFonts w:ascii="Garamond" w:hAnsi="Garamond"/>
          <w:b/>
        </w:rPr>
        <w:t>Schilde</w:t>
      </w:r>
      <w:proofErr w:type="spellEnd"/>
    </w:p>
    <w:p w14:paraId="1C23F5E9" w14:textId="77777777" w:rsidR="0080269D" w:rsidRPr="009C52FB" w:rsidRDefault="0080269D" w:rsidP="00944873">
      <w:pPr>
        <w:jc w:val="center"/>
        <w:rPr>
          <w:rFonts w:ascii="Garamond" w:hAnsi="Garamond"/>
          <w:b/>
        </w:rPr>
      </w:pPr>
      <w:r w:rsidRPr="009C52FB">
        <w:rPr>
          <w:rFonts w:ascii="Garamond" w:hAnsi="Garamond"/>
          <w:b/>
        </w:rPr>
        <w:t>Boston University</w:t>
      </w:r>
    </w:p>
    <w:p w14:paraId="2A9DB719" w14:textId="77777777" w:rsidR="0080269D" w:rsidRPr="009C52FB" w:rsidRDefault="0080269D" w:rsidP="00944873">
      <w:pPr>
        <w:jc w:val="center"/>
        <w:rPr>
          <w:rFonts w:ascii="Garamond" w:hAnsi="Garamond"/>
          <w:b/>
        </w:rPr>
      </w:pPr>
    </w:p>
    <w:p w14:paraId="7F86108C" w14:textId="77777777" w:rsidR="0080269D" w:rsidRPr="009C52FB" w:rsidRDefault="0080269D" w:rsidP="00944873">
      <w:pPr>
        <w:jc w:val="center"/>
        <w:rPr>
          <w:rFonts w:ascii="Garamond" w:hAnsi="Garamond"/>
          <w:b/>
        </w:rPr>
      </w:pPr>
      <w:r w:rsidRPr="009C52FB">
        <w:rPr>
          <w:rFonts w:ascii="Garamond" w:hAnsi="Garamond"/>
          <w:b/>
        </w:rPr>
        <w:t>Stephanie Anderson</w:t>
      </w:r>
    </w:p>
    <w:p w14:paraId="5535BC3A" w14:textId="77777777" w:rsidR="0080269D" w:rsidRPr="009C52FB" w:rsidRDefault="0080269D" w:rsidP="00944873">
      <w:pPr>
        <w:jc w:val="center"/>
        <w:rPr>
          <w:rFonts w:ascii="Garamond" w:hAnsi="Garamond"/>
          <w:b/>
        </w:rPr>
      </w:pPr>
      <w:r w:rsidRPr="009C52FB">
        <w:rPr>
          <w:rFonts w:ascii="Garamond" w:hAnsi="Garamond"/>
          <w:b/>
        </w:rPr>
        <w:t>University of Wyoming</w:t>
      </w:r>
    </w:p>
    <w:p w14:paraId="0982D02B" w14:textId="77777777" w:rsidR="0080269D" w:rsidRPr="009C52FB" w:rsidRDefault="0080269D" w:rsidP="00944873">
      <w:pPr>
        <w:jc w:val="center"/>
        <w:rPr>
          <w:rFonts w:ascii="Garamond" w:hAnsi="Garamond"/>
          <w:b/>
        </w:rPr>
      </w:pPr>
    </w:p>
    <w:p w14:paraId="7A78C5F4" w14:textId="77777777" w:rsidR="0080269D" w:rsidRPr="009C52FB" w:rsidRDefault="0080269D" w:rsidP="00944873">
      <w:pPr>
        <w:jc w:val="center"/>
        <w:rPr>
          <w:rFonts w:ascii="Garamond" w:hAnsi="Garamond"/>
          <w:b/>
        </w:rPr>
      </w:pPr>
      <w:r w:rsidRPr="009C52FB">
        <w:rPr>
          <w:rFonts w:ascii="Garamond" w:hAnsi="Garamond"/>
          <w:b/>
        </w:rPr>
        <w:t>Andrew Garner</w:t>
      </w:r>
    </w:p>
    <w:p w14:paraId="064F14A9" w14:textId="77777777" w:rsidR="0080269D" w:rsidRPr="009C52FB" w:rsidRDefault="0080269D" w:rsidP="00944873">
      <w:pPr>
        <w:jc w:val="center"/>
        <w:rPr>
          <w:rFonts w:ascii="Garamond" w:hAnsi="Garamond"/>
          <w:b/>
        </w:rPr>
      </w:pPr>
      <w:r w:rsidRPr="009C52FB">
        <w:rPr>
          <w:rFonts w:ascii="Garamond" w:hAnsi="Garamond"/>
          <w:b/>
        </w:rPr>
        <w:t>University of Wyoming</w:t>
      </w:r>
    </w:p>
    <w:p w14:paraId="22D843FB" w14:textId="77777777" w:rsidR="0080269D" w:rsidRPr="009C52FB" w:rsidRDefault="0080269D" w:rsidP="00944873">
      <w:pPr>
        <w:jc w:val="center"/>
        <w:rPr>
          <w:rFonts w:ascii="Garamond" w:hAnsi="Garamond"/>
          <w:b/>
        </w:rPr>
      </w:pPr>
    </w:p>
    <w:p w14:paraId="5DB4AA94" w14:textId="77777777" w:rsidR="0080269D" w:rsidRPr="009C52FB" w:rsidRDefault="0080269D" w:rsidP="00944873">
      <w:pPr>
        <w:jc w:val="center"/>
        <w:rPr>
          <w:rFonts w:ascii="Garamond" w:hAnsi="Garamond"/>
          <w:i/>
        </w:rPr>
      </w:pPr>
      <w:r w:rsidRPr="009C52FB">
        <w:rPr>
          <w:rFonts w:ascii="Garamond" w:hAnsi="Garamond"/>
          <w:i/>
        </w:rPr>
        <w:t>Prepared for the European Union Studies Association Conference</w:t>
      </w:r>
    </w:p>
    <w:p w14:paraId="7700EB05" w14:textId="77777777" w:rsidR="0080269D" w:rsidRPr="009C52FB" w:rsidRDefault="0080269D" w:rsidP="00944873">
      <w:pPr>
        <w:jc w:val="center"/>
        <w:rPr>
          <w:rFonts w:ascii="Garamond" w:hAnsi="Garamond"/>
          <w:i/>
        </w:rPr>
      </w:pPr>
      <w:r w:rsidRPr="009C52FB">
        <w:rPr>
          <w:rFonts w:ascii="Garamond" w:hAnsi="Garamond"/>
          <w:i/>
        </w:rPr>
        <w:t>Boston, MA March 5-7, 2015</w:t>
      </w:r>
    </w:p>
    <w:p w14:paraId="7945174C" w14:textId="77777777" w:rsidR="0080269D" w:rsidRPr="009C52FB" w:rsidRDefault="0080269D" w:rsidP="00944873">
      <w:pPr>
        <w:jc w:val="center"/>
        <w:rPr>
          <w:rFonts w:ascii="Garamond" w:hAnsi="Garamond"/>
          <w:i/>
        </w:rPr>
      </w:pPr>
    </w:p>
    <w:p w14:paraId="6A9BC1CE" w14:textId="77777777" w:rsidR="0080269D" w:rsidRPr="009C52FB" w:rsidRDefault="0080269D" w:rsidP="00944873">
      <w:pPr>
        <w:jc w:val="center"/>
        <w:rPr>
          <w:rFonts w:ascii="Garamond" w:hAnsi="Garamond"/>
          <w:b/>
        </w:rPr>
      </w:pPr>
      <w:r w:rsidRPr="009C52FB">
        <w:rPr>
          <w:rFonts w:ascii="Garamond" w:hAnsi="Garamond"/>
          <w:i/>
        </w:rPr>
        <w:t>*Draft, please do not cite without authors’ permission</w:t>
      </w:r>
      <w:r w:rsidRPr="009C52FB">
        <w:rPr>
          <w:rFonts w:ascii="Garamond" w:hAnsi="Garamond"/>
          <w:b/>
        </w:rPr>
        <w:br w:type="page"/>
      </w:r>
    </w:p>
    <w:p w14:paraId="0A95690F" w14:textId="77777777" w:rsidR="001F2B05" w:rsidRPr="009C52FB" w:rsidRDefault="001F2B05" w:rsidP="00944873">
      <w:pPr>
        <w:jc w:val="both"/>
        <w:rPr>
          <w:rFonts w:ascii="Garamond" w:hAnsi="Garamond"/>
        </w:rPr>
      </w:pPr>
    </w:p>
    <w:p w14:paraId="447A7B2F" w14:textId="77777777" w:rsidR="00DC0458" w:rsidRPr="009C52FB" w:rsidRDefault="00DC0458" w:rsidP="00944873">
      <w:pPr>
        <w:pStyle w:val="Heading1"/>
        <w:jc w:val="both"/>
        <w:rPr>
          <w:rFonts w:ascii="Garamond" w:hAnsi="Garamond"/>
          <w:sz w:val="24"/>
          <w:szCs w:val="24"/>
        </w:rPr>
      </w:pPr>
      <w:r w:rsidRPr="009C52FB">
        <w:rPr>
          <w:rFonts w:ascii="Garamond" w:hAnsi="Garamond"/>
          <w:sz w:val="24"/>
          <w:szCs w:val="24"/>
        </w:rPr>
        <w:t>Introduction</w:t>
      </w:r>
    </w:p>
    <w:p w14:paraId="29D49124" w14:textId="77777777" w:rsidR="00DC0458" w:rsidRPr="009C52FB" w:rsidRDefault="00DC0458" w:rsidP="00944873">
      <w:pPr>
        <w:jc w:val="both"/>
        <w:rPr>
          <w:rFonts w:ascii="Garamond" w:hAnsi="Garamond"/>
          <w:i/>
        </w:rPr>
      </w:pPr>
    </w:p>
    <w:p w14:paraId="63E244F8" w14:textId="12476E2D" w:rsidR="008467B8" w:rsidRPr="009C52FB" w:rsidRDefault="00DC0458" w:rsidP="00944873">
      <w:pPr>
        <w:jc w:val="both"/>
        <w:rPr>
          <w:rFonts w:ascii="Garamond" w:hAnsi="Garamond"/>
        </w:rPr>
      </w:pPr>
      <w:r w:rsidRPr="009C52FB">
        <w:rPr>
          <w:rFonts w:ascii="Garamond" w:hAnsi="Garamond"/>
          <w:i/>
        </w:rPr>
        <w:tab/>
      </w:r>
      <w:r w:rsidRPr="009C52FB">
        <w:rPr>
          <w:rFonts w:ascii="Garamond" w:hAnsi="Garamond"/>
        </w:rPr>
        <w:t>When it comes to European public opinion over defense and—in particular—European Union defense policy—there is a severe disconnect between public opinion polling an</w:t>
      </w:r>
      <w:r w:rsidR="008467B8" w:rsidRPr="009C52FB">
        <w:rPr>
          <w:rFonts w:ascii="Garamond" w:hAnsi="Garamond"/>
        </w:rPr>
        <w:t xml:space="preserve">d political discourse. In Robert </w:t>
      </w:r>
      <w:proofErr w:type="spellStart"/>
      <w:r w:rsidR="008467B8" w:rsidRPr="009C52FB">
        <w:rPr>
          <w:rFonts w:ascii="Garamond" w:hAnsi="Garamond"/>
        </w:rPr>
        <w:t>Kagan’s</w:t>
      </w:r>
      <w:proofErr w:type="spellEnd"/>
      <w:r w:rsidR="008467B8" w:rsidRPr="009C52FB">
        <w:rPr>
          <w:rFonts w:ascii="Garamond" w:hAnsi="Garamond"/>
        </w:rPr>
        <w:softHyphen/>
        <w:t xml:space="preserve"> article written before the Iraq War, he alludes to the famous book on relationship advice</w:t>
      </w:r>
      <w:r w:rsidR="008467B8" w:rsidRPr="009C52FB">
        <w:rPr>
          <w:rStyle w:val="FootnoteReference"/>
          <w:rFonts w:ascii="Garamond" w:hAnsi="Garamond"/>
        </w:rPr>
        <w:footnoteReference w:id="1"/>
      </w:r>
      <w:r w:rsidR="008467B8" w:rsidRPr="009C52FB">
        <w:rPr>
          <w:rFonts w:ascii="Garamond" w:hAnsi="Garamond"/>
        </w:rPr>
        <w:t>, arguing that America was from Ma</w:t>
      </w:r>
      <w:r w:rsidR="008467B8" w:rsidRPr="009C52FB">
        <w:rPr>
          <w:rFonts w:ascii="Garamond" w:hAnsi="Garamond"/>
        </w:rPr>
        <w:softHyphen/>
      </w:r>
      <w:r w:rsidR="008467B8" w:rsidRPr="009C52FB">
        <w:rPr>
          <w:rFonts w:ascii="Garamond" w:hAnsi="Garamond"/>
        </w:rPr>
        <w:softHyphen/>
        <w:t xml:space="preserve">rs and Europe from Venus.  Like men, </w:t>
      </w:r>
      <w:proofErr w:type="spellStart"/>
      <w:r w:rsidR="008467B8" w:rsidRPr="009C52FB">
        <w:rPr>
          <w:rFonts w:ascii="Garamond" w:hAnsi="Garamond"/>
        </w:rPr>
        <w:t>Kagan</w:t>
      </w:r>
      <w:proofErr w:type="spellEnd"/>
      <w:r w:rsidR="008467B8" w:rsidRPr="009C52FB">
        <w:rPr>
          <w:rFonts w:ascii="Garamond" w:hAnsi="Garamond"/>
        </w:rPr>
        <w:t xml:space="preserve"> characterized the United States as more violent with “Americans generally favor[</w:t>
      </w:r>
      <w:proofErr w:type="spellStart"/>
      <w:r w:rsidR="008467B8" w:rsidRPr="009C52FB">
        <w:rPr>
          <w:rFonts w:ascii="Garamond" w:hAnsi="Garamond"/>
        </w:rPr>
        <w:t>ing</w:t>
      </w:r>
      <w:proofErr w:type="spellEnd"/>
      <w:r w:rsidR="008467B8" w:rsidRPr="009C52FB">
        <w:rPr>
          <w:rFonts w:ascii="Garamond" w:hAnsi="Garamond"/>
        </w:rPr>
        <w:t xml:space="preserve">] policies of coercion rather than persuasion, emphasizing punitive sanctions over inducements to better behavior, the stick over the carrot.” Being very powerful, the US could work alone. Being weaker, </w:t>
      </w:r>
      <w:proofErr w:type="spellStart"/>
      <w:r w:rsidR="008467B8" w:rsidRPr="009C52FB">
        <w:rPr>
          <w:rFonts w:ascii="Garamond" w:hAnsi="Garamond"/>
        </w:rPr>
        <w:t>Kagan</w:t>
      </w:r>
      <w:proofErr w:type="spellEnd"/>
      <w:r w:rsidR="008467B8" w:rsidRPr="009C52FB">
        <w:rPr>
          <w:rFonts w:ascii="Garamond" w:hAnsi="Garamond"/>
        </w:rPr>
        <w:t xml:space="preserve"> characterized Europeans as “generally favor[</w:t>
      </w:r>
      <w:proofErr w:type="spellStart"/>
      <w:r w:rsidR="008467B8" w:rsidRPr="009C52FB">
        <w:rPr>
          <w:rFonts w:ascii="Garamond" w:hAnsi="Garamond"/>
        </w:rPr>
        <w:t>ing</w:t>
      </w:r>
      <w:proofErr w:type="spellEnd"/>
      <w:r w:rsidR="008467B8" w:rsidRPr="009C52FB">
        <w:rPr>
          <w:rFonts w:ascii="Garamond" w:hAnsi="Garamond"/>
        </w:rPr>
        <w:t>] peaceful responses to problems, preferring negotiation, diplomacy, and persuasion to coercion. They are quicker to appeal to international law, international conventions, and international opinion to adjudicate disputes. They try to use commercial and economic ties to bind nations together.”</w:t>
      </w:r>
      <w:r w:rsidR="008467B8" w:rsidRPr="009C52FB">
        <w:rPr>
          <w:rStyle w:val="FootnoteReference"/>
          <w:rFonts w:ascii="Garamond" w:hAnsi="Garamond"/>
        </w:rPr>
        <w:t xml:space="preserve"> </w:t>
      </w:r>
      <w:r w:rsidR="008467B8" w:rsidRPr="009C52FB">
        <w:rPr>
          <w:rStyle w:val="FootnoteReference"/>
          <w:rFonts w:ascii="Garamond" w:hAnsi="Garamond"/>
        </w:rPr>
        <w:footnoteReference w:id="2"/>
      </w:r>
      <w:r w:rsidR="008467B8" w:rsidRPr="009C52FB">
        <w:rPr>
          <w:rFonts w:ascii="Garamond" w:hAnsi="Garamond"/>
        </w:rPr>
        <w:t xml:space="preserve">   </w:t>
      </w:r>
    </w:p>
    <w:p w14:paraId="7A7CBB9A" w14:textId="77777777" w:rsidR="008467B8" w:rsidRPr="009C52FB" w:rsidRDefault="008467B8" w:rsidP="00944873">
      <w:pPr>
        <w:pStyle w:val="a"/>
        <w:tabs>
          <w:tab w:val="left" w:pos="-240"/>
          <w:tab w:val="left" w:pos="0"/>
          <w:tab w:val="num" w:pos="720"/>
        </w:tabs>
        <w:spacing w:before="0" w:line="240" w:lineRule="auto"/>
        <w:rPr>
          <w:rFonts w:ascii="Garamond" w:hAnsi="Garamond"/>
          <w:szCs w:val="24"/>
        </w:rPr>
      </w:pPr>
      <w:r w:rsidRPr="009C52FB">
        <w:rPr>
          <w:rFonts w:ascii="Garamond" w:hAnsi="Garamond"/>
          <w:color w:val="auto"/>
          <w:szCs w:val="24"/>
        </w:rPr>
        <w:tab/>
        <w:t xml:space="preserve">These assertions have become conventional wisdom embraced by a host of academics, journalists and politicians.  Barry Posen </w:t>
      </w:r>
      <w:r w:rsidRPr="009C52FB">
        <w:rPr>
          <w:rFonts w:ascii="Garamond" w:hAnsi="Garamond"/>
          <w:szCs w:val="24"/>
        </w:rPr>
        <w:t>(2004) confirmed that “(</w:t>
      </w:r>
      <w:proofErr w:type="gramStart"/>
      <w:r w:rsidRPr="009C52FB">
        <w:rPr>
          <w:rFonts w:ascii="Garamond" w:hAnsi="Garamond"/>
          <w:szCs w:val="24"/>
        </w:rPr>
        <w:t>m)</w:t>
      </w:r>
      <w:proofErr w:type="spellStart"/>
      <w:r w:rsidRPr="009C52FB">
        <w:rPr>
          <w:rFonts w:ascii="Garamond" w:hAnsi="Garamond"/>
          <w:szCs w:val="24"/>
        </w:rPr>
        <w:t>ost</w:t>
      </w:r>
      <w:proofErr w:type="spellEnd"/>
      <w:proofErr w:type="gramEnd"/>
      <w:r w:rsidRPr="009C52FB">
        <w:rPr>
          <w:rFonts w:ascii="Garamond" w:hAnsi="Garamond"/>
          <w:szCs w:val="24"/>
        </w:rPr>
        <w:t xml:space="preserve"> states in the EU have </w:t>
      </w:r>
      <w:proofErr w:type="spellStart"/>
      <w:r w:rsidRPr="009C52FB">
        <w:rPr>
          <w:rFonts w:ascii="Garamond" w:hAnsi="Garamond"/>
          <w:szCs w:val="24"/>
        </w:rPr>
        <w:t>unmartial</w:t>
      </w:r>
      <w:proofErr w:type="spellEnd"/>
      <w:r w:rsidRPr="009C52FB">
        <w:rPr>
          <w:rFonts w:ascii="Garamond" w:hAnsi="Garamond"/>
          <w:szCs w:val="24"/>
        </w:rPr>
        <w:t xml:space="preserve"> publics—the use of force is distasteful to most citizens.”  Whereas the American public has the stomach for warfare, Europe has not because “voters across Europe are beginning to resemble the Germans in their attitudes toward the military. They are becoming more cautious, inward looking and reluctant to use force.”</w:t>
      </w:r>
      <w:r w:rsidRPr="009C52FB">
        <w:rPr>
          <w:rStyle w:val="FootnoteReference"/>
          <w:rFonts w:ascii="Garamond" w:hAnsi="Garamond"/>
          <w:szCs w:val="24"/>
        </w:rPr>
        <w:footnoteReference w:id="3"/>
      </w:r>
      <w:r w:rsidRPr="009C52FB">
        <w:rPr>
          <w:rFonts w:ascii="Garamond" w:hAnsi="Garamond"/>
          <w:szCs w:val="24"/>
        </w:rPr>
        <w:t xml:space="preserve">  </w:t>
      </w:r>
    </w:p>
    <w:p w14:paraId="5AD0EE77" w14:textId="7E7C5ADC" w:rsidR="007B337F" w:rsidRPr="009C52FB" w:rsidRDefault="008467B8" w:rsidP="00944873">
      <w:pPr>
        <w:ind w:firstLine="720"/>
        <w:jc w:val="both"/>
        <w:rPr>
          <w:rFonts w:ascii="Garamond" w:hAnsi="Garamond"/>
        </w:rPr>
      </w:pPr>
      <w:r w:rsidRPr="009C52FB">
        <w:rPr>
          <w:rFonts w:ascii="Garamond" w:hAnsi="Garamond"/>
        </w:rPr>
        <w:t>Policymakers, academics, and politicians agree: defense and security in Europe is on the decline, partly because the average European does not understand high politics or the implications of the Common Security and Defense Policy (CSDP), is wary of the use of force and hard power, and is against the military spending necessary to create a credible force. The impact on European power—both national and EU—is allegedly devastating. The usual prescriptions for reinvigorating European defense include transforming public opinion, that is, convincing Europeans that a robust security and defense policy is worthwhile and not a threat to national sovereignty.  P</w:t>
      </w:r>
      <w:r w:rsidR="00DC0458" w:rsidRPr="009C52FB">
        <w:rPr>
          <w:rFonts w:ascii="Garamond" w:hAnsi="Garamond"/>
        </w:rPr>
        <w:t>oliticians must “ […] educate public opinion on security and defense issues…Parliaments must explain that Europe's future position in the world was at stake if its common foreign, security and defense policy stagnated,”</w:t>
      </w:r>
      <w:r w:rsidR="007B337F" w:rsidRPr="009C52FB">
        <w:rPr>
          <w:rStyle w:val="FootnoteReference"/>
          <w:rFonts w:ascii="Garamond" w:hAnsi="Garamond"/>
        </w:rPr>
        <w:footnoteReference w:id="4"/>
      </w:r>
      <w:r w:rsidR="007B337F" w:rsidRPr="009C52FB">
        <w:rPr>
          <w:rFonts w:ascii="Garamond" w:hAnsi="Garamond"/>
        </w:rPr>
        <w:t xml:space="preserve"> and “convince public opinion that the stagnation of Europe would inevitably lead to its </w:t>
      </w:r>
      <w:proofErr w:type="spellStart"/>
      <w:r w:rsidR="007B337F" w:rsidRPr="009C52FB">
        <w:rPr>
          <w:rFonts w:ascii="Garamond" w:hAnsi="Garamond"/>
        </w:rPr>
        <w:t>marginalisation</w:t>
      </w:r>
      <w:proofErr w:type="spellEnd"/>
      <w:r w:rsidR="007B337F" w:rsidRPr="009C52FB">
        <w:rPr>
          <w:rFonts w:ascii="Garamond" w:hAnsi="Garamond"/>
        </w:rPr>
        <w:t>.”</w:t>
      </w:r>
      <w:r w:rsidR="007B337F" w:rsidRPr="009C52FB">
        <w:rPr>
          <w:rStyle w:val="FootnoteReference"/>
          <w:rFonts w:ascii="Garamond" w:hAnsi="Garamond"/>
        </w:rPr>
        <w:footnoteReference w:id="5"/>
      </w:r>
    </w:p>
    <w:p w14:paraId="6EA8CC0C" w14:textId="45770F39" w:rsidR="007B337F" w:rsidRPr="009C52FB" w:rsidRDefault="007B337F" w:rsidP="00944873">
      <w:pPr>
        <w:jc w:val="both"/>
        <w:rPr>
          <w:rFonts w:ascii="Garamond" w:hAnsi="Garamond"/>
        </w:rPr>
      </w:pPr>
      <w:r w:rsidRPr="009C52FB">
        <w:rPr>
          <w:rFonts w:ascii="Garamond" w:hAnsi="Garamond"/>
        </w:rPr>
        <w:tab/>
        <w:t xml:space="preserve">Crashing the party of this conventional wisdom are the European public opinion polls indicating consistently high levels of support for </w:t>
      </w:r>
      <w:proofErr w:type="gramStart"/>
      <w:r w:rsidRPr="009C52FB">
        <w:rPr>
          <w:rFonts w:ascii="Garamond" w:hAnsi="Garamond"/>
        </w:rPr>
        <w:t>an</w:t>
      </w:r>
      <w:proofErr w:type="gramEnd"/>
      <w:r w:rsidRPr="009C52FB">
        <w:rPr>
          <w:rFonts w:ascii="Garamond" w:hAnsi="Garamond"/>
        </w:rPr>
        <w:t xml:space="preserve"> EU Common Security and Defense Policy. In fact, no other policy domain is as enduring and popular as the idea of pooling national sovereignty over defense policy.  While polls show support for a common defense policy as between 65-75%, any evidence of pro-CSDP public opinion is often dismissed as merely “permissive consent” (</w:t>
      </w:r>
      <w:proofErr w:type="spellStart"/>
      <w:r w:rsidRPr="009C52FB">
        <w:rPr>
          <w:rFonts w:ascii="Garamond" w:hAnsi="Garamond"/>
        </w:rPr>
        <w:t>Tournier</w:t>
      </w:r>
      <w:proofErr w:type="spellEnd"/>
      <w:r w:rsidRPr="009C52FB">
        <w:rPr>
          <w:rFonts w:ascii="Garamond" w:hAnsi="Garamond"/>
        </w:rPr>
        <w:t xml:space="preserve"> 2004, Wagner 2005), rather than robust support.  The idea of a permissive consensus in high politics is a deeply embedded notion, going back to original explanations of the relationship between EU politics and public opinion (Lindberg and </w:t>
      </w:r>
      <w:proofErr w:type="spellStart"/>
      <w:r w:rsidRPr="009C52FB">
        <w:rPr>
          <w:rFonts w:ascii="Garamond" w:hAnsi="Garamond"/>
        </w:rPr>
        <w:t>Sch</w:t>
      </w:r>
      <w:r>
        <w:rPr>
          <w:rFonts w:ascii="Garamond" w:hAnsi="Garamond"/>
        </w:rPr>
        <w:t>e</w:t>
      </w:r>
      <w:r w:rsidRPr="009C52FB">
        <w:rPr>
          <w:rFonts w:ascii="Garamond" w:hAnsi="Garamond"/>
        </w:rPr>
        <w:t>ingold</w:t>
      </w:r>
      <w:proofErr w:type="spellEnd"/>
      <w:r w:rsidRPr="009C52FB">
        <w:rPr>
          <w:rFonts w:ascii="Garamond" w:hAnsi="Garamond"/>
        </w:rPr>
        <w:t xml:space="preserve"> 1970, 41-42), but is also the core of general comparative and American assumptions about public </w:t>
      </w:r>
      <w:proofErr w:type="spellStart"/>
      <w:r w:rsidRPr="009C52FB">
        <w:rPr>
          <w:rFonts w:ascii="Garamond" w:hAnsi="Garamond"/>
        </w:rPr>
        <w:t>nonattitudes</w:t>
      </w:r>
      <w:proofErr w:type="spellEnd"/>
      <w:r w:rsidRPr="009C52FB">
        <w:rPr>
          <w:rFonts w:ascii="Garamond" w:hAnsi="Garamond"/>
        </w:rPr>
        <w:t xml:space="preserve"> over high politics or foreign policy (Converse 1964, 1970: Shapiro and Page 1988, 213). Individuals give shallow and uninformed ‘consent’ over foreign policy issues because it is the ‘hardest’ area of public policy to understand, compared to more accessible and ‘easy’ areas such as welfare or education (Carmines and Stimson 1980).</w:t>
      </w:r>
    </w:p>
    <w:p w14:paraId="22B957AC" w14:textId="37D7909A" w:rsidR="007B337F" w:rsidRPr="009C52FB" w:rsidRDefault="007B337F" w:rsidP="00944873">
      <w:pPr>
        <w:jc w:val="both"/>
        <w:rPr>
          <w:rFonts w:ascii="Garamond" w:hAnsi="Garamond"/>
        </w:rPr>
      </w:pPr>
      <w:r w:rsidRPr="009C52FB">
        <w:rPr>
          <w:rFonts w:ascii="Garamond" w:hAnsi="Garamond"/>
        </w:rPr>
        <w:tab/>
        <w:t xml:space="preserve">The question remains: is this individual support shallow and ignorant, or enduring and </w:t>
      </w:r>
      <w:proofErr w:type="gramStart"/>
      <w:r w:rsidRPr="009C52FB">
        <w:rPr>
          <w:rFonts w:ascii="Garamond" w:hAnsi="Garamond"/>
        </w:rPr>
        <w:t>well-formed</w:t>
      </w:r>
      <w:proofErr w:type="gramEnd"/>
      <w:r w:rsidRPr="009C52FB">
        <w:rPr>
          <w:rFonts w:ascii="Garamond" w:hAnsi="Garamond"/>
        </w:rPr>
        <w:t xml:space="preserve">? We contest prior assumptions about permissive consensus and drill down into public opinion polls to demonstrate that the European publics are 1) knowledgeable and sophisticated in their support for a CSDP, and 2) have coherent preferences over the use of force at the European level. We also test the degree to which 1) Europeans prefer hard or soft power collective security instruments, 2) the costs of military spending attenuates support for CSDP, and whether 3) the US and EU publics differ in their security preferences. Finally, we conclude with further hypotheses about external threats from outside of Europe (including Russia, US, immigration, terrorism, new security threats) possibly driving individual support for CSDP. </w:t>
      </w:r>
    </w:p>
    <w:p w14:paraId="3B651616" w14:textId="3A469612" w:rsidR="007B337F" w:rsidRPr="009C52FB" w:rsidRDefault="007B337F" w:rsidP="00944873">
      <w:pPr>
        <w:ind w:firstLine="720"/>
        <w:jc w:val="both"/>
        <w:rPr>
          <w:rFonts w:ascii="Garamond" w:hAnsi="Garamond"/>
        </w:rPr>
      </w:pPr>
      <w:r w:rsidRPr="009C52FB">
        <w:rPr>
          <w:rFonts w:ascii="Garamond" w:hAnsi="Garamond"/>
        </w:rPr>
        <w:t xml:space="preserve">This paper reflects a research agenda to clarify the individual, social, and national correlates for support of a collective European foreign, defense, and security policy. Extant research (Schoen 2008, Foucault et. al. 2009, Peters 2011) has found important predictors of support in national identities, utilitarian versus ideational correlates, and dimensions of strategic culture. Our research indicates that individuals who support a more robust European presence in the world understand very well what they mean by this support: they are well-educated, high-information citizens who do not necessarily shun the robust use of force under certain conditions, including protecting their societies from asymmetric threats such as terrorism and failed states. If so, individuals might favor more robust European defense, but with variation on the specifics: they might favor collective defense institutions or interventions based on their assessment of specific conflicts, cost/benefit calculations, or even constructed aspects of European prestige or competition </w:t>
      </w:r>
      <w:proofErr w:type="spellStart"/>
      <w:r w:rsidRPr="009C52FB">
        <w:rPr>
          <w:rFonts w:ascii="Garamond" w:hAnsi="Garamond"/>
        </w:rPr>
        <w:t>vis</w:t>
      </w:r>
      <w:proofErr w:type="spellEnd"/>
      <w:r w:rsidRPr="009C52FB">
        <w:rPr>
          <w:rFonts w:ascii="Garamond" w:hAnsi="Garamond"/>
        </w:rPr>
        <w:t xml:space="preserve"> a </w:t>
      </w:r>
      <w:proofErr w:type="spellStart"/>
      <w:r w:rsidRPr="009C52FB">
        <w:rPr>
          <w:rFonts w:ascii="Garamond" w:hAnsi="Garamond"/>
        </w:rPr>
        <w:t>vis</w:t>
      </w:r>
      <w:proofErr w:type="spellEnd"/>
      <w:r w:rsidRPr="009C52FB">
        <w:rPr>
          <w:rFonts w:ascii="Garamond" w:hAnsi="Garamond"/>
        </w:rPr>
        <w:t xml:space="preserve"> the US. These correlates of support demonstrate that the conventional wisdom that Europeans are turning inward, away from global affairs, favor only multilateral foreign policy solutions, and abhor the use of force in security and defense is empirically unsubstantiated.</w:t>
      </w:r>
    </w:p>
    <w:p w14:paraId="300D111A" w14:textId="77777777" w:rsidR="007B337F" w:rsidRPr="009C52FB" w:rsidRDefault="007B337F" w:rsidP="00944873">
      <w:pPr>
        <w:jc w:val="both"/>
        <w:rPr>
          <w:rFonts w:ascii="Garamond" w:hAnsi="Garamond"/>
        </w:rPr>
      </w:pPr>
    </w:p>
    <w:p w14:paraId="06963E35" w14:textId="77777777" w:rsidR="007B337F" w:rsidRPr="009C52FB" w:rsidRDefault="007B337F" w:rsidP="00944873">
      <w:pPr>
        <w:jc w:val="both"/>
        <w:rPr>
          <w:rFonts w:ascii="Garamond" w:hAnsi="Garamond"/>
          <w:b/>
          <w:u w:val="single"/>
        </w:rPr>
      </w:pPr>
      <w:proofErr w:type="spellStart"/>
      <w:r w:rsidRPr="009C52FB">
        <w:rPr>
          <w:rFonts w:ascii="Garamond" w:hAnsi="Garamond"/>
          <w:b/>
          <w:u w:val="single"/>
        </w:rPr>
        <w:t>Passivist</w:t>
      </w:r>
      <w:proofErr w:type="spellEnd"/>
      <w:r w:rsidRPr="009C52FB">
        <w:rPr>
          <w:rFonts w:ascii="Garamond" w:hAnsi="Garamond"/>
          <w:b/>
          <w:u w:val="single"/>
        </w:rPr>
        <w:t xml:space="preserve"> Europe: let us count the ways/assumptions</w:t>
      </w:r>
    </w:p>
    <w:p w14:paraId="77C18771" w14:textId="77777777" w:rsidR="007B337F" w:rsidRPr="009C52FB" w:rsidRDefault="007B337F" w:rsidP="00944873">
      <w:pPr>
        <w:jc w:val="both"/>
        <w:rPr>
          <w:rFonts w:ascii="Garamond" w:hAnsi="Garamond"/>
          <w:u w:val="single"/>
        </w:rPr>
      </w:pPr>
    </w:p>
    <w:p w14:paraId="56760412" w14:textId="1E0F81C0" w:rsidR="007B337F" w:rsidRPr="009C52FB" w:rsidRDefault="007B337F" w:rsidP="00944873">
      <w:pPr>
        <w:jc w:val="both"/>
        <w:rPr>
          <w:rFonts w:ascii="Garamond" w:hAnsi="Garamond"/>
        </w:rPr>
      </w:pPr>
      <w:r w:rsidRPr="009C52FB">
        <w:rPr>
          <w:rFonts w:ascii="Garamond" w:hAnsi="Garamond"/>
        </w:rPr>
        <w:tab/>
        <w:t xml:space="preserve">There is not just one null hypothesis in this study, </w:t>
      </w:r>
      <w:proofErr w:type="gramStart"/>
      <w:r w:rsidRPr="009C52FB">
        <w:rPr>
          <w:rFonts w:ascii="Garamond" w:hAnsi="Garamond"/>
        </w:rPr>
        <w:t>but</w:t>
      </w:r>
      <w:proofErr w:type="gramEnd"/>
      <w:r w:rsidRPr="009C52FB">
        <w:rPr>
          <w:rFonts w:ascii="Garamond" w:hAnsi="Garamond"/>
        </w:rPr>
        <w:t xml:space="preserve"> multiple causal assumptions about the linkages between European public opinion and the creation of security and defense institutions at the European level.  We provide a partial discussion of conventional assumptions (italicized) about Europeans and force:  Europeans are generally characterized as averse to the use of force.  This assertion is based on two underlying premises: 1) Europeans often do not support specific military interventions and 2) Europeans prefer soft power projection to hard power projection.  </w:t>
      </w:r>
    </w:p>
    <w:p w14:paraId="0886FEBC" w14:textId="77777777" w:rsidR="007B337F" w:rsidRPr="009C52FB" w:rsidRDefault="007B337F" w:rsidP="00944873">
      <w:pPr>
        <w:jc w:val="both"/>
        <w:rPr>
          <w:rFonts w:ascii="Garamond" w:hAnsi="Garamond"/>
        </w:rPr>
      </w:pPr>
    </w:p>
    <w:p w14:paraId="5EA73D73" w14:textId="77777777" w:rsidR="007B337F" w:rsidRPr="009C52FB" w:rsidRDefault="007B337F" w:rsidP="00944873">
      <w:pPr>
        <w:jc w:val="both"/>
        <w:rPr>
          <w:rFonts w:ascii="Garamond" w:hAnsi="Garamond"/>
          <w:i/>
        </w:rPr>
      </w:pPr>
      <w:r w:rsidRPr="009C52FB">
        <w:rPr>
          <w:rFonts w:ascii="Garamond" w:hAnsi="Garamond"/>
          <w:i/>
        </w:rPr>
        <w:t>A General Aversion to the Use of Force</w:t>
      </w:r>
    </w:p>
    <w:p w14:paraId="50ED57CB" w14:textId="77777777" w:rsidR="007B337F" w:rsidRPr="009C52FB" w:rsidRDefault="007B337F" w:rsidP="00944873">
      <w:pPr>
        <w:jc w:val="both"/>
        <w:rPr>
          <w:rFonts w:ascii="Garamond" w:hAnsi="Garamond"/>
        </w:rPr>
      </w:pPr>
    </w:p>
    <w:p w14:paraId="3C4DD99E" w14:textId="77777777" w:rsidR="007B337F" w:rsidRPr="009C52FB" w:rsidRDefault="007B337F" w:rsidP="00944873">
      <w:pPr>
        <w:ind w:firstLine="720"/>
        <w:jc w:val="both"/>
        <w:rPr>
          <w:rFonts w:ascii="Garamond" w:hAnsi="Garamond"/>
        </w:rPr>
      </w:pPr>
      <w:r w:rsidRPr="009C52FB">
        <w:rPr>
          <w:rFonts w:ascii="Garamond" w:hAnsi="Garamond"/>
        </w:rPr>
        <w:t xml:space="preserve">In a striking example of the Mars/Venus phenomenon, the German Marshall Fund’s annual </w:t>
      </w:r>
      <w:r w:rsidRPr="009C52FB">
        <w:rPr>
          <w:rFonts w:ascii="Garamond" w:hAnsi="Garamond"/>
          <w:i/>
        </w:rPr>
        <w:t>Transatlantic Trends</w:t>
      </w:r>
      <w:r w:rsidRPr="009C52FB">
        <w:rPr>
          <w:rFonts w:ascii="Garamond" w:hAnsi="Garamond"/>
        </w:rPr>
        <w:t xml:space="preserve"> survey documents that—in 2013—most Europeans oppose the use of force: 31% of Europeans think that force is sometimes necessary to obtain justice, compared to 68% of Americans.</w:t>
      </w:r>
      <w:r w:rsidRPr="009C52FB">
        <w:rPr>
          <w:rStyle w:val="FootnoteReference"/>
          <w:rFonts w:ascii="Garamond" w:hAnsi="Garamond"/>
        </w:rPr>
        <w:footnoteReference w:id="6"/>
      </w:r>
      <w:r w:rsidRPr="009C52FB">
        <w:rPr>
          <w:rFonts w:ascii="Garamond" w:hAnsi="Garamond"/>
        </w:rPr>
        <w:t xml:space="preserve">  These figures have been consistent for years and are reflected in the European </w:t>
      </w:r>
      <w:proofErr w:type="spellStart"/>
      <w:r w:rsidRPr="009C52FB">
        <w:rPr>
          <w:rFonts w:ascii="Garamond" w:hAnsi="Garamond"/>
        </w:rPr>
        <w:t>Defence</w:t>
      </w:r>
      <w:proofErr w:type="spellEnd"/>
      <w:r w:rsidRPr="009C52FB">
        <w:rPr>
          <w:rFonts w:ascii="Garamond" w:hAnsi="Garamond"/>
        </w:rPr>
        <w:t xml:space="preserve"> Agency’s warning in 2006:</w:t>
      </w:r>
    </w:p>
    <w:p w14:paraId="11A25832" w14:textId="77777777" w:rsidR="007B337F" w:rsidRPr="009C52FB" w:rsidRDefault="007B337F" w:rsidP="00944873">
      <w:pPr>
        <w:ind w:firstLine="720"/>
        <w:jc w:val="both"/>
        <w:rPr>
          <w:rFonts w:ascii="Garamond" w:hAnsi="Garamond"/>
        </w:rPr>
      </w:pPr>
    </w:p>
    <w:p w14:paraId="1C1E28D1" w14:textId="77777777" w:rsidR="007B337F" w:rsidRPr="009C52FB" w:rsidRDefault="007B337F" w:rsidP="00944873">
      <w:pPr>
        <w:spacing w:after="120"/>
        <w:ind w:left="720"/>
        <w:jc w:val="both"/>
        <w:rPr>
          <w:rFonts w:ascii="Garamond" w:hAnsi="Garamond"/>
        </w:rPr>
      </w:pPr>
      <w:r w:rsidRPr="009C52FB">
        <w:rPr>
          <w:rFonts w:ascii="Garamond" w:hAnsi="Garamond"/>
        </w:rPr>
        <w:t>[Europe] may become more cautious about military intervention.  The “CNN effect” and associated casualty aversion are already familiar.  Military operations will be subject to ever-increasing scrutiny by elected officials, media and populations. Governments and societies increasingly concerned for internal security and social cohesion may be even more hesitant to undertake potentially controversial interventions abroad – in particular interventions in regions from where large numbers of immigrants have come.</w:t>
      </w:r>
      <w:r w:rsidRPr="009C52FB">
        <w:rPr>
          <w:rStyle w:val="FootnoteReference"/>
          <w:rFonts w:ascii="Garamond" w:hAnsi="Garamond"/>
        </w:rPr>
        <w:footnoteReference w:id="7"/>
      </w:r>
    </w:p>
    <w:p w14:paraId="4C10ABAC" w14:textId="77777777" w:rsidR="007B337F" w:rsidRPr="009C52FB" w:rsidRDefault="007B337F" w:rsidP="00944873">
      <w:pPr>
        <w:spacing w:after="120"/>
        <w:jc w:val="both"/>
        <w:rPr>
          <w:rFonts w:ascii="Garamond" w:hAnsi="Garamond"/>
          <w:iCs/>
        </w:rPr>
      </w:pPr>
      <w:r w:rsidRPr="009C52FB">
        <w:rPr>
          <w:rFonts w:ascii="Garamond" w:hAnsi="Garamond"/>
        </w:rPr>
        <w:t xml:space="preserve">This has become such as truism that public opinion polls or empirical evidence is not cited in support of it, as when the </w:t>
      </w:r>
      <w:r w:rsidRPr="009C52FB">
        <w:rPr>
          <w:rFonts w:ascii="Garamond" w:hAnsi="Garamond"/>
          <w:iCs/>
        </w:rPr>
        <w:t xml:space="preserve">Deutsche </w:t>
      </w:r>
      <w:proofErr w:type="spellStart"/>
      <w:r w:rsidRPr="009C52FB">
        <w:rPr>
          <w:rFonts w:ascii="Garamond" w:hAnsi="Garamond"/>
          <w:iCs/>
        </w:rPr>
        <w:t>Welle</w:t>
      </w:r>
      <w:proofErr w:type="spellEnd"/>
      <w:r w:rsidRPr="009C52FB">
        <w:rPr>
          <w:rFonts w:ascii="Garamond" w:hAnsi="Garamond"/>
          <w:iCs/>
        </w:rPr>
        <w:t xml:space="preserve"> claimed: “Even if more active engagement is in everyone's interests, the problem, of course, is convincing the European people - skeptical of any kind of foreign intervention at the best of times.”</w:t>
      </w:r>
      <w:r w:rsidRPr="009C52FB">
        <w:rPr>
          <w:rStyle w:val="FootnoteReference"/>
          <w:rFonts w:ascii="Garamond" w:hAnsi="Garamond"/>
          <w:iCs/>
        </w:rPr>
        <w:footnoteReference w:id="8"/>
      </w:r>
      <w:r w:rsidRPr="009C52FB">
        <w:rPr>
          <w:rFonts w:ascii="Garamond" w:hAnsi="Garamond"/>
          <w:iCs/>
        </w:rPr>
        <w:t xml:space="preserve"> </w:t>
      </w:r>
    </w:p>
    <w:p w14:paraId="4B85902D" w14:textId="77777777" w:rsidR="007B337F" w:rsidRPr="009C52FB" w:rsidRDefault="007B337F" w:rsidP="00944873">
      <w:pPr>
        <w:spacing w:after="120"/>
        <w:jc w:val="both"/>
        <w:rPr>
          <w:rFonts w:ascii="Garamond" w:hAnsi="Garamond"/>
          <w:i/>
        </w:rPr>
      </w:pPr>
      <w:r w:rsidRPr="009C52FB">
        <w:rPr>
          <w:rFonts w:ascii="Garamond" w:hAnsi="Garamond"/>
          <w:i/>
        </w:rPr>
        <w:t>Limited Support for Military Intervention</w:t>
      </w:r>
    </w:p>
    <w:p w14:paraId="3AFAA1ED" w14:textId="37229766" w:rsidR="007B337F" w:rsidRPr="009C52FB" w:rsidRDefault="007B337F" w:rsidP="00944873">
      <w:pPr>
        <w:spacing w:after="120"/>
        <w:ind w:firstLine="720"/>
        <w:jc w:val="both"/>
        <w:rPr>
          <w:rFonts w:ascii="Garamond" w:hAnsi="Garamond"/>
        </w:rPr>
      </w:pPr>
      <w:r w:rsidRPr="009C52FB">
        <w:rPr>
          <w:rFonts w:ascii="Garamond" w:hAnsi="Garamond"/>
        </w:rPr>
        <w:t>Much of the support for the above view comes from opinion polls based on specific military interventions.  For example, the 2013 GMF poll also found that Europeans were overwhelmingly against any possible intervention in Syria, at over 70% (although 62% of Americans were also against intervention).  Reviewing these results, Judy Dempsey claimed: “If Europeans are not prepared to have the use of force at their disposal, then their diplomatic efforts—at both EU and national level—will be undermined. Moreover, if Europeans are not even prepared to act over the use of chemical weapons in Syria, what can they do to prevent other countries from using them?”  When European publics demonstrate opposition to a particular military intervention (even if their rate of opposition closely tracks the US publics’), the assumption is that they are against national and European security and defense.</w:t>
      </w:r>
    </w:p>
    <w:p w14:paraId="27204B13" w14:textId="77777777" w:rsidR="007B337F" w:rsidRPr="009C52FB" w:rsidRDefault="007B337F" w:rsidP="00944873">
      <w:pPr>
        <w:spacing w:after="120"/>
        <w:jc w:val="both"/>
        <w:rPr>
          <w:rFonts w:ascii="Garamond" w:hAnsi="Garamond"/>
          <w:i/>
        </w:rPr>
      </w:pPr>
      <w:r w:rsidRPr="009C52FB">
        <w:rPr>
          <w:rFonts w:ascii="Garamond" w:hAnsi="Garamond"/>
          <w:i/>
        </w:rPr>
        <w:t>A Preference for Soft Power over Hard Power</w:t>
      </w:r>
    </w:p>
    <w:p w14:paraId="1CECF172" w14:textId="682D91F6" w:rsidR="002A502E" w:rsidRPr="009C52FB" w:rsidRDefault="007B337F" w:rsidP="00944873">
      <w:pPr>
        <w:spacing w:before="100" w:beforeAutospacing="1" w:after="100" w:afterAutospacing="1"/>
        <w:jc w:val="both"/>
        <w:rPr>
          <w:rFonts w:ascii="Garamond" w:hAnsi="Garamond" w:cs="Arial"/>
        </w:rPr>
      </w:pPr>
      <w:r w:rsidRPr="009C52FB">
        <w:rPr>
          <w:rFonts w:ascii="Garamond" w:hAnsi="Garamond"/>
        </w:rPr>
        <w:tab/>
        <w:t xml:space="preserve">Europeans are averse to the use of force and do not support military intervention because of their status as a civilian power with a preference for using carrots rather than sticks in their security policy.  In a 2006 German Marshall Fund poll, </w:t>
      </w:r>
      <w:r w:rsidRPr="009C52FB">
        <w:rPr>
          <w:rFonts w:ascii="Garamond" w:hAnsi="Garamond" w:cs="Arial"/>
        </w:rPr>
        <w:t>although 76 percent wanted the European Union to exert strong leadership in world affairs, 79 percent believed the European Union should emphasize its economic power and not rely on its military power when dealing with international problems outside Europe, while 46 percent believed the European Union should strengthen its military power in order to play a larger role in the world.</w:t>
      </w:r>
      <w:r w:rsidRPr="009C52FB">
        <w:rPr>
          <w:rFonts w:ascii="Garamond" w:hAnsi="Garamond" w:cs="Arial"/>
          <w:vertAlign w:val="superscript"/>
        </w:rPr>
        <w:t xml:space="preserve"> </w:t>
      </w:r>
      <w:r w:rsidRPr="009C52FB">
        <w:rPr>
          <w:rFonts w:ascii="Garamond" w:hAnsi="Garamond" w:cs="Arial"/>
          <w:vertAlign w:val="superscript"/>
        </w:rPr>
        <w:footnoteReference w:id="9"/>
      </w:r>
      <w:r w:rsidRPr="009C52FB">
        <w:rPr>
          <w:rFonts w:ascii="Garamond" w:hAnsi="Garamond" w:cs="Arial"/>
        </w:rPr>
        <w:t xml:space="preserve">  Furthermore, 87 percent of Europeans agree with the statement “economic power is more important in world affairs than military power.”</w:t>
      </w:r>
      <w:r w:rsidRPr="009C52FB">
        <w:rPr>
          <w:rStyle w:val="FootnoteReference"/>
          <w:rFonts w:ascii="Garamond" w:hAnsi="Garamond" w:cs="Arial"/>
        </w:rPr>
        <w:footnoteReference w:id="10"/>
      </w:r>
      <w:r w:rsidRPr="009C52FB">
        <w:rPr>
          <w:rFonts w:ascii="Garamond" w:hAnsi="Garamond" w:cs="Arial"/>
        </w:rPr>
        <w:t xml:space="preserve"> </w:t>
      </w:r>
    </w:p>
    <w:p w14:paraId="48F75836" w14:textId="78BAF04C" w:rsidR="002A502E" w:rsidRPr="009C52FB" w:rsidRDefault="002A502E" w:rsidP="00944873">
      <w:pPr>
        <w:spacing w:before="100" w:beforeAutospacing="1" w:after="100" w:afterAutospacing="1"/>
        <w:ind w:firstLine="720"/>
        <w:jc w:val="both"/>
        <w:rPr>
          <w:rFonts w:ascii="Garamond" w:hAnsi="Garamond" w:cs="Times New Roman"/>
          <w:lang w:val="en-GB"/>
        </w:rPr>
      </w:pPr>
      <w:r w:rsidRPr="009C52FB">
        <w:rPr>
          <w:rFonts w:ascii="Garamond" w:hAnsi="Garamond"/>
        </w:rPr>
        <w:t>The idea of civilian power Europe goes back to Francois Duchene (1972), but has long been part of the identity rhetoric of Europe especially embraced by many German and Nordic scholars.</w:t>
      </w:r>
      <w:r w:rsidRPr="009C52FB">
        <w:rPr>
          <w:rFonts w:ascii="Garamond" w:hAnsi="Garamond" w:cs="Times New Roman"/>
          <w:lang w:val="en-GB"/>
        </w:rPr>
        <w:t xml:space="preserve"> </w:t>
      </w:r>
      <w:proofErr w:type="spellStart"/>
      <w:r w:rsidRPr="009C52FB">
        <w:rPr>
          <w:rFonts w:ascii="Garamond" w:hAnsi="Garamond" w:cs="Times New Roman"/>
          <w:lang w:val="en-GB"/>
        </w:rPr>
        <w:t>Pekka</w:t>
      </w:r>
      <w:proofErr w:type="spellEnd"/>
      <w:r w:rsidRPr="009C52FB">
        <w:rPr>
          <w:rFonts w:ascii="Garamond" w:hAnsi="Garamond" w:cs="Times New Roman"/>
          <w:lang w:val="en-GB"/>
        </w:rPr>
        <w:t xml:space="preserve"> </w:t>
      </w:r>
      <w:proofErr w:type="spellStart"/>
      <w:r w:rsidRPr="009C52FB">
        <w:rPr>
          <w:rFonts w:ascii="Garamond" w:hAnsi="Garamond" w:cs="Times New Roman"/>
          <w:lang w:val="en-GB"/>
        </w:rPr>
        <w:t>Sivonen</w:t>
      </w:r>
      <w:proofErr w:type="spellEnd"/>
      <w:r w:rsidRPr="009C52FB">
        <w:rPr>
          <w:rFonts w:ascii="Garamond" w:hAnsi="Garamond" w:cs="Times New Roman"/>
          <w:lang w:val="en-GB"/>
        </w:rPr>
        <w:t xml:space="preserve"> (1990) and Dieter </w:t>
      </w:r>
      <w:proofErr w:type="spellStart"/>
      <w:r w:rsidRPr="009C52FB">
        <w:rPr>
          <w:rFonts w:ascii="Garamond" w:hAnsi="Garamond" w:cs="Times New Roman"/>
          <w:lang w:val="en-GB"/>
        </w:rPr>
        <w:t>Senghaas</w:t>
      </w:r>
      <w:proofErr w:type="spellEnd"/>
      <w:r w:rsidRPr="009C52FB">
        <w:rPr>
          <w:rFonts w:ascii="Garamond" w:hAnsi="Garamond" w:cs="Times New Roman"/>
          <w:lang w:val="en-GB"/>
        </w:rPr>
        <w:t xml:space="preserve"> (1992) argued that European peace should be secured through the creation of 'a network of institutionalized rules for internal and international state </w:t>
      </w:r>
      <w:proofErr w:type="spellStart"/>
      <w:r w:rsidRPr="009C52FB">
        <w:rPr>
          <w:rFonts w:ascii="Garamond" w:hAnsi="Garamond" w:cs="Times New Roman"/>
          <w:lang w:val="en-GB"/>
        </w:rPr>
        <w:t>behavior</w:t>
      </w:r>
      <w:proofErr w:type="spellEnd"/>
      <w:r w:rsidRPr="009C52FB">
        <w:rPr>
          <w:rFonts w:ascii="Garamond" w:hAnsi="Garamond" w:cs="Times New Roman"/>
          <w:lang w:val="en-GB"/>
        </w:rPr>
        <w:t xml:space="preserve">' (1990).  David Allen and Michael Smith made the case that the EU was so impotent militarily that it could only be considered a civilian power (1998).  </w:t>
      </w:r>
    </w:p>
    <w:p w14:paraId="24B6613F" w14:textId="5DF2C99B" w:rsidR="002A502E" w:rsidRPr="009C52FB" w:rsidRDefault="002A502E" w:rsidP="00944873">
      <w:pPr>
        <w:spacing w:after="120"/>
        <w:ind w:firstLine="720"/>
        <w:jc w:val="both"/>
        <w:rPr>
          <w:rFonts w:ascii="Garamond" w:hAnsi="Garamond"/>
        </w:rPr>
      </w:pPr>
      <w:r w:rsidRPr="009C52FB">
        <w:rPr>
          <w:rFonts w:ascii="Garamond" w:hAnsi="Garamond" w:cs="Times New Roman"/>
          <w:lang w:val="en-GB"/>
        </w:rPr>
        <w:t xml:space="preserve">During the Iraq War, the advent of Joseph Nye’s book </w:t>
      </w:r>
      <w:r w:rsidRPr="009C52FB">
        <w:rPr>
          <w:rFonts w:ascii="Garamond" w:hAnsi="Garamond" w:cs="Times New Roman"/>
          <w:i/>
          <w:lang w:val="en-GB"/>
        </w:rPr>
        <w:t>Soft Power: The Means to Success in World Politics</w:t>
      </w:r>
      <w:r w:rsidRPr="009C52FB">
        <w:rPr>
          <w:rFonts w:ascii="Garamond" w:hAnsi="Garamond" w:cs="Times New Roman"/>
          <w:lang w:val="en-GB"/>
        </w:rPr>
        <w:t xml:space="preserve"> gave a new meaning and impetus to the 2003 European Security Strategy.   </w:t>
      </w:r>
      <w:r w:rsidRPr="009C52FB">
        <w:rPr>
          <w:rFonts w:ascii="Garamond" w:hAnsi="Garamond"/>
        </w:rPr>
        <w:t xml:space="preserve">Daniel </w:t>
      </w:r>
      <w:proofErr w:type="spellStart"/>
      <w:r w:rsidRPr="009C52FB">
        <w:rPr>
          <w:rFonts w:ascii="Garamond" w:hAnsi="Garamond"/>
        </w:rPr>
        <w:t>Keohane</w:t>
      </w:r>
      <w:proofErr w:type="spellEnd"/>
      <w:r w:rsidRPr="009C52FB">
        <w:rPr>
          <w:rFonts w:ascii="Garamond" w:hAnsi="Garamond"/>
        </w:rPr>
        <w:t>, a security specialist at the London-based Center for European Reform, explained that while “The US rates, analyzes and solves problems very much in military terms, … Europe prides itself in using a whole range of means, including aid, economic incentives and civilian police forces.”</w:t>
      </w:r>
      <w:r w:rsidRPr="009C52FB">
        <w:rPr>
          <w:rStyle w:val="FootnoteReference"/>
          <w:rFonts w:ascii="Garamond" w:hAnsi="Garamond"/>
        </w:rPr>
        <w:footnoteReference w:id="11"/>
      </w:r>
      <w:r w:rsidRPr="009C52FB">
        <w:rPr>
          <w:rFonts w:ascii="Garamond" w:hAnsi="Garamond"/>
        </w:rPr>
        <w:t xml:space="preserve">  </w:t>
      </w:r>
      <w:r w:rsidRPr="009C52FB">
        <w:rPr>
          <w:rFonts w:ascii="Garamond" w:hAnsi="Garamond" w:cs="Times New Roman"/>
          <w:lang w:val="en-GB"/>
        </w:rPr>
        <w:t xml:space="preserve">Defining soft power in terms of a state’s values and not military might, </w:t>
      </w:r>
      <w:r w:rsidRPr="009C52FB">
        <w:rPr>
          <w:rFonts w:ascii="Garamond" w:hAnsi="Garamond"/>
        </w:rPr>
        <w:t>one EU minister explained, “</w:t>
      </w:r>
      <w:proofErr w:type="gramStart"/>
      <w:r w:rsidRPr="009C52FB">
        <w:rPr>
          <w:rFonts w:ascii="Garamond" w:hAnsi="Garamond"/>
        </w:rPr>
        <w:t>this</w:t>
      </w:r>
      <w:proofErr w:type="gramEnd"/>
      <w:r w:rsidRPr="009C52FB">
        <w:rPr>
          <w:rFonts w:ascii="Garamond" w:hAnsi="Garamond"/>
        </w:rPr>
        <w:t xml:space="preserve"> is Europe’s answer to the Americans. … This is about how we combine all our ‘soft power’ -- the diplomatic, economic, trade and security instruments – and, at the very end, the threat of the use of force.  That is some achievement for the Europeans to agree on.”</w:t>
      </w:r>
      <w:r w:rsidRPr="009C52FB">
        <w:rPr>
          <w:rStyle w:val="FootnoteReference"/>
          <w:rFonts w:ascii="Garamond" w:hAnsi="Garamond"/>
        </w:rPr>
        <w:footnoteReference w:id="12"/>
      </w:r>
      <w:r w:rsidRPr="009C52FB">
        <w:rPr>
          <w:rFonts w:ascii="Garamond" w:hAnsi="Garamond"/>
        </w:rPr>
        <w:t xml:space="preserve">  </w:t>
      </w:r>
    </w:p>
    <w:p w14:paraId="17FBA888" w14:textId="77777777" w:rsidR="002A502E" w:rsidRPr="009C52FB" w:rsidRDefault="002A502E" w:rsidP="00944873">
      <w:pPr>
        <w:spacing w:after="120"/>
        <w:jc w:val="both"/>
        <w:rPr>
          <w:rFonts w:ascii="Garamond" w:hAnsi="Garamond"/>
          <w:u w:val="single"/>
        </w:rPr>
      </w:pPr>
      <w:r w:rsidRPr="009C52FB">
        <w:rPr>
          <w:rFonts w:ascii="Garamond" w:hAnsi="Garamond"/>
          <w:u w:val="single"/>
        </w:rPr>
        <w:t>Are these assumptions correct?</w:t>
      </w:r>
    </w:p>
    <w:p w14:paraId="2C7D244D" w14:textId="77777777" w:rsidR="002A502E" w:rsidRPr="009C52FB" w:rsidRDefault="002A502E" w:rsidP="00944873">
      <w:pPr>
        <w:ind w:firstLine="720"/>
        <w:jc w:val="both"/>
        <w:rPr>
          <w:rFonts w:ascii="Garamond" w:hAnsi="Garamond"/>
        </w:rPr>
      </w:pPr>
      <w:r w:rsidRPr="009C52FB">
        <w:rPr>
          <w:rFonts w:ascii="Garamond" w:hAnsi="Garamond"/>
          <w:iCs/>
        </w:rPr>
        <w:t>At odds with these assessments is that Europeans have participated in numerous interventions since 2003 whether in the guise of CSDP missions, NATO missions, or national forces.  Europeans have fought in former Yugoslavia, Iraq and Afghanistan.  For example, the EU provided 9.000 troops to support a UN mission to Lebanon.</w:t>
      </w:r>
      <w:r w:rsidRPr="009C52FB">
        <w:rPr>
          <w:rStyle w:val="FootnoteReference"/>
          <w:rFonts w:ascii="Garamond" w:hAnsi="Garamond"/>
          <w:iCs/>
        </w:rPr>
        <w:footnoteReference w:id="13"/>
      </w:r>
      <w:r w:rsidRPr="009C52FB">
        <w:rPr>
          <w:rFonts w:ascii="Garamond" w:hAnsi="Garamond"/>
          <w:iCs/>
        </w:rPr>
        <w:t xml:space="preserve">  The EU has launched more than thirty CSDP missions to date.  </w:t>
      </w:r>
      <w:r w:rsidRPr="009C52FB">
        <w:rPr>
          <w:rFonts w:ascii="Garamond" w:hAnsi="Garamond"/>
        </w:rPr>
        <w:t xml:space="preserve">In a response to the question “who will die for Europe”, German Foreign Minister </w:t>
      </w:r>
      <w:proofErr w:type="spellStart"/>
      <w:r w:rsidRPr="009C52FB">
        <w:rPr>
          <w:rFonts w:ascii="Garamond" w:hAnsi="Garamond" w:cs="Arial"/>
        </w:rPr>
        <w:t>Joschka</w:t>
      </w:r>
      <w:proofErr w:type="spellEnd"/>
      <w:r w:rsidRPr="009C52FB">
        <w:rPr>
          <w:rFonts w:ascii="Garamond" w:hAnsi="Garamond" w:cs="Arial"/>
        </w:rPr>
        <w:t xml:space="preserve"> Fisher replied, “</w:t>
      </w:r>
      <w:r w:rsidRPr="009C52FB">
        <w:rPr>
          <w:rFonts w:ascii="Garamond" w:hAnsi="Garamond"/>
        </w:rPr>
        <w:t xml:space="preserve">European soldiers are facing danger in Afghanistan, Bosnia and Kosovo. […] They are there as members of national contingents, but they are serving a wider interest - Europe's.  There is a soul, [… </w:t>
      </w:r>
      <w:proofErr w:type="gramStart"/>
      <w:r w:rsidRPr="009C52FB">
        <w:rPr>
          <w:rFonts w:ascii="Garamond" w:hAnsi="Garamond"/>
        </w:rPr>
        <w:t>t]here</w:t>
      </w:r>
      <w:proofErr w:type="gramEnd"/>
      <w:r w:rsidRPr="009C52FB">
        <w:rPr>
          <w:rFonts w:ascii="Garamond" w:hAnsi="Garamond"/>
        </w:rPr>
        <w:t xml:space="preserve"> is a sprit. And people die for Europe, and have died."</w:t>
      </w:r>
      <w:r w:rsidRPr="009C52FB">
        <w:rPr>
          <w:rStyle w:val="FootnoteReference"/>
          <w:rFonts w:ascii="Garamond" w:hAnsi="Garamond"/>
        </w:rPr>
        <w:footnoteReference w:id="14"/>
      </w:r>
      <w:r w:rsidRPr="009C52FB">
        <w:rPr>
          <w:rFonts w:ascii="Garamond" w:hAnsi="Garamond"/>
        </w:rPr>
        <w:t xml:space="preserve"> </w:t>
      </w:r>
      <w:r w:rsidRPr="009C52FB">
        <w:rPr>
          <w:rFonts w:ascii="Garamond" w:hAnsi="Garamond"/>
          <w:iCs/>
        </w:rPr>
        <w:t xml:space="preserve">Gilles </w:t>
      </w:r>
      <w:proofErr w:type="spellStart"/>
      <w:r w:rsidRPr="009C52FB">
        <w:rPr>
          <w:rFonts w:ascii="Garamond" w:hAnsi="Garamond"/>
          <w:iCs/>
        </w:rPr>
        <w:t>Polin</w:t>
      </w:r>
      <w:proofErr w:type="spellEnd"/>
      <w:r w:rsidRPr="009C52FB">
        <w:rPr>
          <w:rFonts w:ascii="Garamond" w:hAnsi="Garamond"/>
          <w:iCs/>
        </w:rPr>
        <w:t xml:space="preserve"> was the first soldier to die for Europe in a CSDP mission in EUFOR-</w:t>
      </w:r>
      <w:proofErr w:type="spellStart"/>
      <w:r w:rsidRPr="009C52FB">
        <w:rPr>
          <w:rFonts w:ascii="Garamond" w:hAnsi="Garamond"/>
          <w:iCs/>
        </w:rPr>
        <w:t>Tchad</w:t>
      </w:r>
      <w:proofErr w:type="spellEnd"/>
      <w:r w:rsidRPr="009C52FB">
        <w:rPr>
          <w:rFonts w:ascii="Garamond" w:hAnsi="Garamond"/>
          <w:iCs/>
        </w:rPr>
        <w:t xml:space="preserve"> in 2008. </w:t>
      </w:r>
      <w:r w:rsidRPr="009C52FB">
        <w:rPr>
          <w:rFonts w:ascii="Garamond" w:hAnsi="Garamond"/>
        </w:rPr>
        <w:t xml:space="preserve"> Nevertheless, “Despite a general European public ‘shyness’ toward casualties, soldiers appear to be seeking service in these operations as adventure or escape from otherwise routine duties at home.”</w:t>
      </w:r>
      <w:r w:rsidRPr="009C52FB">
        <w:rPr>
          <w:rStyle w:val="FootnoteReference"/>
          <w:rFonts w:ascii="Garamond" w:hAnsi="Garamond"/>
        </w:rPr>
        <w:footnoteReference w:id="15"/>
      </w:r>
      <w:r w:rsidRPr="009C52FB">
        <w:rPr>
          <w:rFonts w:ascii="Garamond" w:hAnsi="Garamond"/>
        </w:rPr>
        <w:t xml:space="preserve"> </w:t>
      </w:r>
    </w:p>
    <w:p w14:paraId="57E66EF8" w14:textId="37760A30" w:rsidR="002A502E" w:rsidRPr="009C52FB" w:rsidRDefault="002A502E" w:rsidP="00944873">
      <w:pPr>
        <w:spacing w:beforeAutospacing="1" w:after="120" w:afterAutospacing="1"/>
        <w:ind w:firstLine="720"/>
        <w:jc w:val="both"/>
        <w:rPr>
          <w:rFonts w:ascii="Garamond" w:hAnsi="Garamond"/>
        </w:rPr>
      </w:pPr>
      <w:r w:rsidRPr="009C52FB">
        <w:rPr>
          <w:rFonts w:ascii="Garamond" w:hAnsi="Garamond"/>
        </w:rPr>
        <w:t>When asked specifically about support for a common security and defense policy, public opinion in the EU has remained extremely high and extremely steady for the period from 1992 to 2014 at around 70 percent. What explains CSDP and the consistent high support for European security and defense if indeed the Europeans are averse to the use of force?</w:t>
      </w:r>
    </w:p>
    <w:p w14:paraId="709F3A34" w14:textId="77777777" w:rsidR="002A502E" w:rsidRPr="009C52FB" w:rsidRDefault="002A502E" w:rsidP="00944873">
      <w:pPr>
        <w:spacing w:beforeAutospacing="1" w:after="120" w:afterAutospacing="1"/>
        <w:jc w:val="both"/>
        <w:rPr>
          <w:rFonts w:ascii="Garamond" w:hAnsi="Garamond"/>
          <w:b/>
        </w:rPr>
      </w:pPr>
      <w:proofErr w:type="gramStart"/>
      <w:r w:rsidRPr="009C52FB">
        <w:rPr>
          <w:rFonts w:ascii="Garamond" w:hAnsi="Garamond"/>
          <w:b/>
        </w:rPr>
        <w:t>Permissive Consensus only?</w:t>
      </w:r>
      <w:proofErr w:type="gramEnd"/>
      <w:r w:rsidRPr="009C52FB">
        <w:rPr>
          <w:rFonts w:ascii="Garamond" w:hAnsi="Garamond"/>
          <w:b/>
        </w:rPr>
        <w:t xml:space="preserve"> </w:t>
      </w:r>
    </w:p>
    <w:p w14:paraId="03BD809D" w14:textId="4EF53BDC" w:rsidR="002A502E" w:rsidRPr="009C52FB" w:rsidRDefault="002A502E" w:rsidP="0049305B">
      <w:pPr>
        <w:spacing w:beforeAutospacing="1" w:after="120" w:afterAutospacing="1"/>
        <w:jc w:val="both"/>
        <w:rPr>
          <w:rFonts w:ascii="Garamond" w:hAnsi="Garamond"/>
        </w:rPr>
      </w:pPr>
      <w:r w:rsidRPr="009C52FB">
        <w:rPr>
          <w:rFonts w:ascii="Garamond" w:hAnsi="Garamond"/>
        </w:rPr>
        <w:t>The conventional wisdom discounts the European participation in NATO and UN missions as examples of national rather than European use of force.   Europeans prefer national defense to European defense.  Moreover, support for CSDP falters when cost is mentio</w:t>
      </w:r>
      <w:r w:rsidR="0049305B">
        <w:rPr>
          <w:rFonts w:ascii="Garamond" w:hAnsi="Garamond"/>
        </w:rPr>
        <w:t xml:space="preserve">ned.  Clearly, there is </w:t>
      </w:r>
      <w:proofErr w:type="spellStart"/>
      <w:r w:rsidR="0049305B">
        <w:rPr>
          <w:rFonts w:ascii="Garamond" w:hAnsi="Garamond"/>
        </w:rPr>
        <w:t>confusi</w:t>
      </w:r>
      <w:r w:rsidRPr="009C52FB">
        <w:rPr>
          <w:rFonts w:ascii="Garamond" w:hAnsi="Garamond"/>
        </w:rPr>
        <w:t>n</w:t>
      </w:r>
      <w:proofErr w:type="spellEnd"/>
      <w:r w:rsidRPr="009C52FB">
        <w:rPr>
          <w:rFonts w:ascii="Garamond" w:hAnsi="Garamond"/>
        </w:rPr>
        <w:t xml:space="preserve"> among the public as to what EU defense would entail.  As a result, despite the ‘permissive consensus’, politicians must work hard to convince Europeans of the importance of the EU being active in the world lest it be marginalized.</w:t>
      </w:r>
    </w:p>
    <w:p w14:paraId="3D88B599" w14:textId="77777777" w:rsidR="002A502E" w:rsidRPr="009C52FB" w:rsidRDefault="002A502E" w:rsidP="00944873">
      <w:pPr>
        <w:spacing w:beforeAutospacing="1" w:after="120" w:afterAutospacing="1"/>
        <w:jc w:val="both"/>
        <w:rPr>
          <w:rFonts w:ascii="Garamond" w:hAnsi="Garamond"/>
          <w:i/>
        </w:rPr>
      </w:pPr>
      <w:r w:rsidRPr="009C52FB">
        <w:rPr>
          <w:rFonts w:ascii="Garamond" w:hAnsi="Garamond"/>
          <w:i/>
        </w:rPr>
        <w:t>Europeans prefer national defense to European defense</w:t>
      </w:r>
    </w:p>
    <w:p w14:paraId="40AB76AA" w14:textId="77777777" w:rsidR="002A502E" w:rsidRPr="009C52FB" w:rsidRDefault="002A502E" w:rsidP="00944873">
      <w:pPr>
        <w:ind w:firstLine="360"/>
        <w:jc w:val="both"/>
        <w:rPr>
          <w:rStyle w:val="foreground"/>
          <w:rFonts w:ascii="Garamond" w:hAnsi="Garamond"/>
        </w:rPr>
      </w:pPr>
      <w:r w:rsidRPr="009C52FB">
        <w:rPr>
          <w:rFonts w:ascii="Garamond" w:hAnsi="Garamond"/>
        </w:rPr>
        <w:tab/>
      </w:r>
      <w:r w:rsidRPr="009C52FB">
        <w:rPr>
          <w:rStyle w:val="foreground"/>
          <w:rFonts w:ascii="Garamond" w:hAnsi="Garamond"/>
        </w:rPr>
        <w:t xml:space="preserve">Jan </w:t>
      </w:r>
      <w:proofErr w:type="spellStart"/>
      <w:r w:rsidRPr="009C52FB">
        <w:rPr>
          <w:rStyle w:val="foreground"/>
          <w:rFonts w:ascii="Garamond" w:hAnsi="Garamond"/>
        </w:rPr>
        <w:t>Techau</w:t>
      </w:r>
      <w:proofErr w:type="spellEnd"/>
      <w:r w:rsidRPr="009C52FB">
        <w:rPr>
          <w:rStyle w:val="foreground"/>
          <w:rFonts w:ascii="Garamond" w:hAnsi="Garamond"/>
        </w:rPr>
        <w:t xml:space="preserve"> explained that </w:t>
      </w:r>
    </w:p>
    <w:p w14:paraId="0CF4278F" w14:textId="77777777" w:rsidR="002A502E" w:rsidRPr="009C52FB" w:rsidRDefault="002A502E" w:rsidP="00944873">
      <w:pPr>
        <w:ind w:firstLine="360"/>
        <w:jc w:val="both"/>
        <w:rPr>
          <w:rStyle w:val="foreground"/>
          <w:rFonts w:ascii="Garamond" w:hAnsi="Garamond"/>
        </w:rPr>
      </w:pPr>
      <w:r w:rsidRPr="009C52FB">
        <w:rPr>
          <w:rStyle w:val="foreground"/>
          <w:rFonts w:ascii="Garamond" w:hAnsi="Garamond"/>
        </w:rPr>
        <w:t xml:space="preserve"> </w:t>
      </w:r>
    </w:p>
    <w:p w14:paraId="0D9E5D96" w14:textId="77777777" w:rsidR="002A502E" w:rsidRPr="009C52FB" w:rsidRDefault="002A502E" w:rsidP="00944873">
      <w:pPr>
        <w:ind w:left="720"/>
        <w:jc w:val="both"/>
        <w:rPr>
          <w:rStyle w:val="foreground"/>
          <w:rFonts w:ascii="Garamond" w:hAnsi="Garamond"/>
        </w:rPr>
      </w:pPr>
      <w:r w:rsidRPr="009C52FB">
        <w:rPr>
          <w:rStyle w:val="foreground"/>
          <w:rFonts w:ascii="Garamond" w:hAnsi="Garamond"/>
        </w:rPr>
        <w:t xml:space="preserve">Europeans are not per se unwilling to use force to achieve political goals. </w:t>
      </w:r>
      <w:r w:rsidRPr="009C52FB">
        <w:rPr>
          <w:rStyle w:val="foreground"/>
          <w:rFonts w:ascii="Garamond" w:hAnsi="Garamond"/>
          <w:i/>
        </w:rPr>
        <w:t>They only seem to be unwilling to do so in the framework of the EU</w:t>
      </w:r>
      <w:r w:rsidRPr="009C52FB">
        <w:rPr>
          <w:rStyle w:val="foreground"/>
          <w:rFonts w:ascii="Garamond" w:hAnsi="Garamond"/>
        </w:rPr>
        <w:t>. The perceived absence of a shared threat, the differences in strategic culture, the institutional weaknesses, the lack of resources, the lack of ambition and trust, and the fact that, with NATO, a better alternative is at hand for the management of Europe’s hard power concerns, make it unlikely that the EU will become a relevant military operator any time soon. The structural, political impediments to more cohesive defense cooperation go so deep that economic pressure alone will not be enough of an incentive to unite their military activities within CSDP.</w:t>
      </w:r>
      <w:r w:rsidRPr="009C52FB">
        <w:rPr>
          <w:rStyle w:val="FootnoteReference"/>
          <w:rFonts w:ascii="Garamond" w:hAnsi="Garamond"/>
        </w:rPr>
        <w:footnoteReference w:id="16"/>
      </w:r>
      <w:r w:rsidRPr="009C52FB">
        <w:rPr>
          <w:rStyle w:val="foreground"/>
          <w:rFonts w:ascii="Garamond" w:hAnsi="Garamond"/>
        </w:rPr>
        <w:t xml:space="preserve"> </w:t>
      </w:r>
    </w:p>
    <w:p w14:paraId="0F7905A8" w14:textId="77777777" w:rsidR="002A502E" w:rsidRPr="009C52FB" w:rsidRDefault="002A502E" w:rsidP="00944873">
      <w:pPr>
        <w:jc w:val="both"/>
        <w:rPr>
          <w:rStyle w:val="foreground"/>
          <w:rFonts w:ascii="Garamond" w:hAnsi="Garamond"/>
        </w:rPr>
      </w:pPr>
    </w:p>
    <w:p w14:paraId="30DAC06B" w14:textId="77777777" w:rsidR="002A502E" w:rsidRPr="009C52FB" w:rsidRDefault="002A502E" w:rsidP="00944873">
      <w:pPr>
        <w:jc w:val="both"/>
        <w:rPr>
          <w:rFonts w:ascii="Garamond" w:hAnsi="Garamond"/>
        </w:rPr>
      </w:pPr>
      <w:r w:rsidRPr="009C52FB">
        <w:rPr>
          <w:rFonts w:ascii="Garamond" w:hAnsi="Garamond"/>
        </w:rPr>
        <w:t xml:space="preserve">This conventional wisdom conflates two dimensions of support: First, that support for national security policy will be greater than or prior to support for European security policy (when, alternately, an individual might </w:t>
      </w:r>
      <w:r w:rsidRPr="009C52FB">
        <w:rPr>
          <w:rFonts w:ascii="Garamond" w:hAnsi="Garamond"/>
          <w:i/>
        </w:rPr>
        <w:t xml:space="preserve">prefer </w:t>
      </w:r>
      <w:r w:rsidRPr="009C52FB">
        <w:rPr>
          <w:rFonts w:ascii="Garamond" w:hAnsi="Garamond"/>
        </w:rPr>
        <w:t xml:space="preserve">European to National policy), and second, that support for European security policy is predicated on the use of force in </w:t>
      </w:r>
      <w:r w:rsidRPr="009C52FB">
        <w:rPr>
          <w:rFonts w:ascii="Garamond" w:hAnsi="Garamond"/>
          <w:i/>
        </w:rPr>
        <w:t>specific out-of-area interventions</w:t>
      </w:r>
      <w:r w:rsidRPr="009C52FB">
        <w:rPr>
          <w:rFonts w:ascii="Garamond" w:hAnsi="Garamond"/>
        </w:rPr>
        <w:t xml:space="preserve"> (when, alternately, an individual might support CSDP but not want it used for out-of-area expeditionary force).</w:t>
      </w:r>
    </w:p>
    <w:p w14:paraId="5314A029" w14:textId="77777777" w:rsidR="002A502E" w:rsidRPr="009C52FB" w:rsidRDefault="002A502E" w:rsidP="00944873">
      <w:pPr>
        <w:ind w:firstLine="720"/>
        <w:jc w:val="both"/>
        <w:rPr>
          <w:rFonts w:ascii="Garamond" w:hAnsi="Garamond"/>
        </w:rPr>
      </w:pPr>
      <w:r w:rsidRPr="009C52FB">
        <w:rPr>
          <w:rFonts w:ascii="Garamond" w:hAnsi="Garamond"/>
        </w:rPr>
        <w:t xml:space="preserve">However, there is a deep tension between surveys capturing a European reluctance to use force towards military interventions and an apparent enthusiasm on the part of Europeans to organize defense </w:t>
      </w:r>
      <w:proofErr w:type="spellStart"/>
      <w:r w:rsidRPr="009C52FB">
        <w:rPr>
          <w:rFonts w:ascii="Garamond" w:hAnsi="Garamond"/>
        </w:rPr>
        <w:t>supranationally</w:t>
      </w:r>
      <w:proofErr w:type="spellEnd"/>
      <w:r w:rsidRPr="009C52FB">
        <w:rPr>
          <w:rFonts w:ascii="Garamond" w:hAnsi="Garamond"/>
        </w:rPr>
        <w:t xml:space="preserve">. In 2011, 65% of Europeans preferred defense and security to be at a supranational rather than national level. The </w:t>
      </w:r>
      <w:proofErr w:type="spellStart"/>
      <w:r w:rsidRPr="009C52FB">
        <w:rPr>
          <w:rFonts w:ascii="Garamond" w:hAnsi="Garamond"/>
        </w:rPr>
        <w:t>Eurobarometer</w:t>
      </w:r>
      <w:proofErr w:type="spellEnd"/>
      <w:r w:rsidRPr="009C52FB">
        <w:rPr>
          <w:rFonts w:ascii="Garamond" w:hAnsi="Garamond"/>
        </w:rPr>
        <w:t xml:space="preserve"> question was vaguely worded though, as it did not specify whether individuals meant the EU or NATO.</w:t>
      </w:r>
      <w:r w:rsidRPr="009C52FB">
        <w:rPr>
          <w:rStyle w:val="FootnoteReference"/>
          <w:rFonts w:ascii="Garamond" w:hAnsi="Garamond"/>
        </w:rPr>
        <w:footnoteReference w:id="17"/>
      </w:r>
      <w:r w:rsidRPr="009C52FB">
        <w:rPr>
          <w:rFonts w:ascii="Garamond" w:hAnsi="Garamond"/>
        </w:rPr>
        <w:t xml:space="preserve"> However, a 2001 one-time </w:t>
      </w:r>
      <w:proofErr w:type="spellStart"/>
      <w:r w:rsidRPr="009C52FB">
        <w:rPr>
          <w:rFonts w:ascii="Garamond" w:hAnsi="Garamond"/>
        </w:rPr>
        <w:t>Eurobarometer</w:t>
      </w:r>
      <w:proofErr w:type="spellEnd"/>
      <w:r w:rsidRPr="009C52FB">
        <w:rPr>
          <w:rFonts w:ascii="Garamond" w:hAnsi="Garamond"/>
        </w:rPr>
        <w:t xml:space="preserve"> poll posed this specific question: UN, NATO, EU, or national defense? It specifically queried individual preferences about what level of governance “best addressed defense threats,” not softer concepts such as security or </w:t>
      </w:r>
      <w:proofErr w:type="spellStart"/>
      <w:r w:rsidRPr="009C52FB">
        <w:rPr>
          <w:rFonts w:ascii="Garamond" w:hAnsi="Garamond"/>
        </w:rPr>
        <w:t>peacebuilding</w:t>
      </w:r>
      <w:proofErr w:type="spellEnd"/>
      <w:r w:rsidRPr="009C52FB">
        <w:rPr>
          <w:rFonts w:ascii="Garamond" w:hAnsi="Garamond"/>
        </w:rPr>
        <w:t xml:space="preserve">. The results were startling. When asked to choose what organizations would best address defense, Europeans overwhelmingly chose the EU, over NATO and national defense (see Figure 1). With 43% support, there was no majority choosing the EU over other levels, but it is a strong plurality, with almost double those supporting the status quos of National Governments (24%) and NATO (17%). </w:t>
      </w:r>
    </w:p>
    <w:p w14:paraId="5951362F" w14:textId="77777777" w:rsidR="002A502E" w:rsidRPr="009C52FB" w:rsidRDefault="002A502E" w:rsidP="00944873">
      <w:pPr>
        <w:ind w:firstLine="720"/>
        <w:jc w:val="both"/>
        <w:rPr>
          <w:rFonts w:ascii="Garamond" w:hAnsi="Garamond"/>
        </w:rPr>
      </w:pPr>
    </w:p>
    <w:p w14:paraId="1B989B7E" w14:textId="77777777" w:rsidR="002A502E" w:rsidRPr="009C52FB" w:rsidRDefault="002A502E" w:rsidP="00944873">
      <w:pPr>
        <w:ind w:firstLine="720"/>
        <w:jc w:val="both"/>
        <w:rPr>
          <w:rFonts w:ascii="Garamond" w:hAnsi="Garamond"/>
        </w:rPr>
      </w:pPr>
    </w:p>
    <w:p w14:paraId="4891F243" w14:textId="77777777" w:rsidR="002A502E" w:rsidRPr="009C52FB" w:rsidRDefault="002A502E" w:rsidP="00D140B7">
      <w:pPr>
        <w:ind w:firstLine="720"/>
        <w:jc w:val="center"/>
        <w:rPr>
          <w:rFonts w:ascii="Garamond" w:hAnsi="Garamond"/>
        </w:rPr>
      </w:pPr>
      <w:r w:rsidRPr="009C52FB">
        <w:rPr>
          <w:rFonts w:ascii="Garamond" w:hAnsi="Garamond"/>
          <w:noProof/>
        </w:rPr>
        <w:drawing>
          <wp:inline distT="0" distB="0" distL="0" distR="0" wp14:anchorId="1F135CAE" wp14:editId="46207171">
            <wp:extent cx="4699000" cy="3200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9726C4" w14:textId="77777777" w:rsidR="00D140B7" w:rsidRDefault="00D140B7" w:rsidP="00D140B7">
      <w:pPr>
        <w:ind w:firstLine="720"/>
        <w:jc w:val="center"/>
        <w:rPr>
          <w:rFonts w:ascii="Garamond" w:hAnsi="Garamond"/>
        </w:rPr>
      </w:pPr>
    </w:p>
    <w:p w14:paraId="08936D4D" w14:textId="2D2F24C3" w:rsidR="00DC0458" w:rsidRPr="00733F64" w:rsidRDefault="002A502E" w:rsidP="00733F64">
      <w:pPr>
        <w:ind w:firstLine="720"/>
        <w:jc w:val="center"/>
        <w:rPr>
          <w:rFonts w:ascii="Garamond" w:hAnsi="Garamond"/>
          <w:b/>
        </w:rPr>
      </w:pPr>
      <w:r w:rsidRPr="00733F64">
        <w:rPr>
          <w:rFonts w:ascii="Garamond" w:hAnsi="Garamond"/>
          <w:b/>
        </w:rPr>
        <w:t xml:space="preserve">Figure 1: European public opinion on which level of governance best addresses defense threats (Source: 2001 Special </w:t>
      </w:r>
      <w:proofErr w:type="spellStart"/>
      <w:r w:rsidRPr="00733F64">
        <w:rPr>
          <w:rFonts w:ascii="Garamond" w:hAnsi="Garamond"/>
          <w:b/>
        </w:rPr>
        <w:t>Eurobarometer</w:t>
      </w:r>
      <w:proofErr w:type="spellEnd"/>
      <w:r w:rsidRPr="00733F64">
        <w:rPr>
          <w:rFonts w:ascii="Garamond" w:hAnsi="Garamond"/>
          <w:b/>
        </w:rPr>
        <w:t xml:space="preserve"> on Security and Defense)</w:t>
      </w:r>
    </w:p>
    <w:p w14:paraId="3D5E4469" w14:textId="77777777" w:rsidR="002A502E" w:rsidRPr="009C52FB" w:rsidRDefault="002A502E" w:rsidP="00944873">
      <w:pPr>
        <w:pStyle w:val="ListParagraph"/>
        <w:ind w:left="360"/>
        <w:jc w:val="both"/>
        <w:rPr>
          <w:rFonts w:ascii="Garamond" w:hAnsi="Garamond"/>
          <w:i/>
        </w:rPr>
      </w:pPr>
      <w:r w:rsidRPr="009C52FB">
        <w:rPr>
          <w:rFonts w:ascii="Garamond" w:hAnsi="Garamond"/>
          <w:i/>
        </w:rPr>
        <w:t xml:space="preserve">Even when Europeans support CSDP, </w:t>
      </w:r>
      <w:r w:rsidRPr="009C52FB">
        <w:rPr>
          <w:rFonts w:ascii="Garamond" w:hAnsi="Garamond"/>
          <w:bCs/>
          <w:i/>
        </w:rPr>
        <w:t>they do not support the necessary spending to finance it.</w:t>
      </w:r>
    </w:p>
    <w:p w14:paraId="647338C0" w14:textId="77777777" w:rsidR="002A502E" w:rsidRPr="009C52FB" w:rsidRDefault="002A502E" w:rsidP="00944873">
      <w:pPr>
        <w:jc w:val="both"/>
        <w:rPr>
          <w:rFonts w:ascii="Garamond" w:hAnsi="Garamond"/>
          <w:b/>
          <w:bCs/>
        </w:rPr>
      </w:pPr>
    </w:p>
    <w:p w14:paraId="33550EF8" w14:textId="77777777" w:rsidR="002A502E" w:rsidRPr="009C52FB" w:rsidRDefault="002A502E" w:rsidP="00944873">
      <w:pPr>
        <w:pStyle w:val="story-body-text"/>
        <w:ind w:firstLine="360"/>
        <w:jc w:val="both"/>
        <w:rPr>
          <w:rFonts w:ascii="Garamond" w:hAnsi="Garamond" w:cs="Times New Roman"/>
          <w:sz w:val="24"/>
          <w:szCs w:val="24"/>
        </w:rPr>
      </w:pPr>
      <w:r w:rsidRPr="009C52FB">
        <w:rPr>
          <w:rFonts w:ascii="Garamond" w:hAnsi="Garamond"/>
          <w:color w:val="000000"/>
          <w:sz w:val="24"/>
          <w:szCs w:val="24"/>
        </w:rPr>
        <w:t xml:space="preserve">Whatever the </w:t>
      </w:r>
      <w:proofErr w:type="gramStart"/>
      <w:r w:rsidRPr="009C52FB">
        <w:rPr>
          <w:rFonts w:ascii="Garamond" w:hAnsi="Garamond"/>
          <w:color w:val="000000"/>
          <w:sz w:val="24"/>
          <w:szCs w:val="24"/>
        </w:rPr>
        <w:t>public support</w:t>
      </w:r>
      <w:proofErr w:type="gramEnd"/>
      <w:r w:rsidRPr="009C52FB">
        <w:rPr>
          <w:rFonts w:ascii="Garamond" w:hAnsi="Garamond"/>
          <w:color w:val="000000"/>
          <w:sz w:val="24"/>
          <w:szCs w:val="24"/>
        </w:rPr>
        <w:t xml:space="preserve"> for EU defense, Europeans are unwilling to pay for it.  All countries, that have been both EU and NATO members since 1986, have significantly reduced their defense spending since the end of the Cold War.</w:t>
      </w:r>
      <w:r w:rsidRPr="009C52FB">
        <w:rPr>
          <w:rStyle w:val="FootnoteReference"/>
          <w:rFonts w:ascii="Garamond" w:hAnsi="Garamond"/>
          <w:color w:val="000000"/>
          <w:sz w:val="24"/>
          <w:szCs w:val="24"/>
        </w:rPr>
        <w:footnoteReference w:id="18"/>
      </w:r>
      <w:r w:rsidRPr="009C52FB">
        <w:rPr>
          <w:rFonts w:ascii="Garamond" w:hAnsi="Garamond"/>
          <w:color w:val="000000"/>
          <w:sz w:val="24"/>
          <w:szCs w:val="24"/>
        </w:rPr>
        <w:t xml:space="preserve">  To address the issue, NATO governments agreed informally to keep defense expenditures at, at least, two per cent.  At a NATO defense ministers meeting in June 2005, General James Jones, the US’s most senior soldier in Europe, expressed his disapproval:  “Sadly for the alliance most nations are slipping behind the so-called gentleman's agreement at (</w:t>
      </w:r>
      <w:proofErr w:type="spellStart"/>
      <w:r w:rsidRPr="009C52FB">
        <w:rPr>
          <w:rFonts w:ascii="Garamond" w:hAnsi="Garamond"/>
          <w:color w:val="000000"/>
          <w:sz w:val="24"/>
          <w:szCs w:val="24"/>
        </w:rPr>
        <w:t>Nato's</w:t>
      </w:r>
      <w:proofErr w:type="spellEnd"/>
      <w:r w:rsidRPr="009C52FB">
        <w:rPr>
          <w:rFonts w:ascii="Garamond" w:hAnsi="Garamond"/>
          <w:color w:val="000000"/>
          <w:sz w:val="24"/>
          <w:szCs w:val="24"/>
        </w:rPr>
        <w:t xml:space="preserve"> 2002 summit in) Prague. … The 2 per cent floor is becoming a ceiling."</w:t>
      </w:r>
      <w:r w:rsidRPr="009C52FB">
        <w:rPr>
          <w:rStyle w:val="FootnoteReference"/>
          <w:rFonts w:ascii="Garamond" w:hAnsi="Garamond"/>
          <w:color w:val="000000"/>
          <w:sz w:val="24"/>
          <w:szCs w:val="24"/>
        </w:rPr>
        <w:footnoteReference w:id="19"/>
      </w:r>
      <w:r w:rsidRPr="009C52FB">
        <w:rPr>
          <w:rFonts w:ascii="Garamond" w:hAnsi="Garamond"/>
          <w:color w:val="000000"/>
          <w:sz w:val="24"/>
          <w:szCs w:val="24"/>
        </w:rPr>
        <w:t xml:space="preserve">  By 2013, NATO Secretary General, </w:t>
      </w:r>
      <w:r w:rsidRPr="009C52FB">
        <w:rPr>
          <w:rFonts w:ascii="Garamond" w:hAnsi="Garamond" w:cs="Times New Roman"/>
          <w:sz w:val="24"/>
          <w:szCs w:val="24"/>
        </w:rPr>
        <w:t xml:space="preserve">Anders </w:t>
      </w:r>
      <w:proofErr w:type="spellStart"/>
      <w:r w:rsidRPr="009C52FB">
        <w:rPr>
          <w:rFonts w:ascii="Garamond" w:hAnsi="Garamond" w:cs="Times New Roman"/>
          <w:sz w:val="24"/>
          <w:szCs w:val="24"/>
        </w:rPr>
        <w:t>Fogh</w:t>
      </w:r>
      <w:proofErr w:type="spellEnd"/>
      <w:r w:rsidRPr="009C52FB">
        <w:rPr>
          <w:rFonts w:ascii="Garamond" w:hAnsi="Garamond" w:cs="Times New Roman"/>
          <w:sz w:val="24"/>
          <w:szCs w:val="24"/>
        </w:rPr>
        <w:t xml:space="preserve"> Rasmussen sounded the alarm noting that when added together, the European decrease in defense spending added up to $45 billion, the same as Germany’s entire military budget.</w:t>
      </w:r>
    </w:p>
    <w:p w14:paraId="612C052D" w14:textId="77777777" w:rsidR="002A502E" w:rsidRPr="009C52FB" w:rsidRDefault="002A502E" w:rsidP="00944873">
      <w:pPr>
        <w:pStyle w:val="story-body-text"/>
        <w:jc w:val="both"/>
        <w:rPr>
          <w:rFonts w:ascii="Garamond" w:hAnsi="Garamond" w:cs="Times New Roman"/>
          <w:sz w:val="24"/>
          <w:szCs w:val="24"/>
        </w:rPr>
      </w:pPr>
      <w:r w:rsidRPr="009C52FB">
        <w:rPr>
          <w:rFonts w:ascii="Garamond" w:hAnsi="Garamond" w:cs="Times New Roman"/>
          <w:sz w:val="24"/>
          <w:szCs w:val="24"/>
        </w:rPr>
        <w:tab/>
        <w:t xml:space="preserve">Why would Europeans support added spending for the EU on top of national defense and NATO?  </w:t>
      </w:r>
      <w:r w:rsidRPr="009C52FB">
        <w:rPr>
          <w:rFonts w:ascii="Garamond" w:hAnsi="Garamond"/>
          <w:sz w:val="24"/>
          <w:szCs w:val="24"/>
        </w:rPr>
        <w:t>Public support for an ESDP drops significantly once asked whether they are willing to pay for it.  In 2004, although 71</w:t>
      </w:r>
      <w:r w:rsidRPr="009C52FB">
        <w:rPr>
          <w:rFonts w:ascii="Garamond" w:hAnsi="Garamond" w:cs="Arial"/>
          <w:sz w:val="24"/>
          <w:szCs w:val="24"/>
        </w:rPr>
        <w:t xml:space="preserve"> percent of Europeans wanted the EU to become a superpower like the U.S., 47 percent of the 71 percent withdrew their support if that ambition meant an increase in military spending.</w:t>
      </w:r>
      <w:r w:rsidRPr="009C52FB">
        <w:rPr>
          <w:rStyle w:val="FootnoteReference"/>
          <w:rFonts w:ascii="Garamond" w:hAnsi="Garamond" w:cs="Arial"/>
          <w:sz w:val="24"/>
          <w:szCs w:val="24"/>
        </w:rPr>
        <w:footnoteReference w:id="20"/>
      </w:r>
      <w:r w:rsidRPr="009C52FB">
        <w:rPr>
          <w:rFonts w:ascii="Garamond" w:hAnsi="Garamond" w:cs="Arial"/>
          <w:sz w:val="24"/>
          <w:szCs w:val="24"/>
        </w:rPr>
        <w:t xml:space="preserve">  </w:t>
      </w:r>
      <w:r w:rsidRPr="009C52FB">
        <w:rPr>
          <w:rFonts w:ascii="Garamond" w:hAnsi="Garamond"/>
          <w:sz w:val="24"/>
          <w:szCs w:val="24"/>
        </w:rPr>
        <w:t xml:space="preserve">European politicians are very concerned.  The UK Parliament hosted a two-day seminar on “Building a secure Europe in a better world: Parliamentary responsibility and action in shaping public opinion on security and </w:t>
      </w:r>
      <w:proofErr w:type="spellStart"/>
      <w:r w:rsidRPr="009C52FB">
        <w:rPr>
          <w:rFonts w:ascii="Garamond" w:hAnsi="Garamond"/>
          <w:sz w:val="24"/>
          <w:szCs w:val="24"/>
        </w:rPr>
        <w:t>defence</w:t>
      </w:r>
      <w:proofErr w:type="spellEnd"/>
      <w:r w:rsidRPr="009C52FB">
        <w:rPr>
          <w:rFonts w:ascii="Garamond" w:hAnsi="Garamond"/>
          <w:sz w:val="24"/>
          <w:szCs w:val="24"/>
        </w:rPr>
        <w:t xml:space="preserve">.”  As WEU Assembly President Jean-Pierre </w:t>
      </w:r>
      <w:proofErr w:type="spellStart"/>
      <w:r w:rsidRPr="009C52FB">
        <w:rPr>
          <w:rFonts w:ascii="Garamond" w:hAnsi="Garamond"/>
          <w:sz w:val="24"/>
          <w:szCs w:val="24"/>
        </w:rPr>
        <w:t>Masseret</w:t>
      </w:r>
      <w:proofErr w:type="spellEnd"/>
      <w:r w:rsidRPr="009C52FB">
        <w:rPr>
          <w:rFonts w:ascii="Garamond" w:hAnsi="Garamond"/>
          <w:sz w:val="24"/>
          <w:szCs w:val="24"/>
        </w:rPr>
        <w:t xml:space="preserve"> (France, Socialist group), explained, national parliaments “must address the security concerns of European citizens and at the same time educate public opinion on security and defense issues.  Parliaments must explain that Europe's future position in the world was at stake if its common foreign, security and defense policy stagnated.”  He even suggested that </w:t>
      </w:r>
      <w:proofErr w:type="spellStart"/>
      <w:r w:rsidRPr="009C52FB">
        <w:rPr>
          <w:rFonts w:ascii="Garamond" w:hAnsi="Garamond"/>
          <w:i/>
          <w:sz w:val="24"/>
          <w:szCs w:val="24"/>
        </w:rPr>
        <w:t>Eurobarometer</w:t>
      </w:r>
      <w:proofErr w:type="spellEnd"/>
      <w:r w:rsidRPr="009C52FB">
        <w:rPr>
          <w:rFonts w:ascii="Garamond" w:hAnsi="Garamond"/>
          <w:sz w:val="24"/>
          <w:szCs w:val="24"/>
        </w:rPr>
        <w:t xml:space="preserve"> ask a new question in its polls: “how much more are you prepared to pay for your security?”</w:t>
      </w:r>
      <w:r w:rsidRPr="009C52FB">
        <w:rPr>
          <w:rStyle w:val="FootnoteReference"/>
          <w:rFonts w:ascii="Garamond" w:hAnsi="Garamond"/>
          <w:sz w:val="24"/>
          <w:szCs w:val="24"/>
        </w:rPr>
        <w:footnoteReference w:id="21"/>
      </w:r>
      <w:r w:rsidRPr="009C52FB">
        <w:rPr>
          <w:rFonts w:ascii="Garamond" w:hAnsi="Garamond"/>
          <w:sz w:val="24"/>
          <w:szCs w:val="24"/>
        </w:rPr>
        <w:t xml:space="preserve">  Rob de </w:t>
      </w:r>
      <w:proofErr w:type="spellStart"/>
      <w:r w:rsidRPr="009C52FB">
        <w:rPr>
          <w:rFonts w:ascii="Garamond" w:hAnsi="Garamond"/>
          <w:sz w:val="24"/>
          <w:szCs w:val="24"/>
        </w:rPr>
        <w:t>Wijk</w:t>
      </w:r>
      <w:proofErr w:type="spellEnd"/>
      <w:r w:rsidRPr="009C52FB">
        <w:rPr>
          <w:rFonts w:ascii="Garamond" w:hAnsi="Garamond"/>
          <w:sz w:val="24"/>
          <w:szCs w:val="24"/>
        </w:rPr>
        <w:t xml:space="preserve">, director of the </w:t>
      </w:r>
      <w:proofErr w:type="spellStart"/>
      <w:r w:rsidRPr="009C52FB">
        <w:rPr>
          <w:rFonts w:ascii="Garamond" w:hAnsi="Garamond"/>
          <w:sz w:val="24"/>
          <w:szCs w:val="24"/>
        </w:rPr>
        <w:t>Clingendael</w:t>
      </w:r>
      <w:proofErr w:type="spellEnd"/>
      <w:r w:rsidRPr="009C52FB">
        <w:rPr>
          <w:rFonts w:ascii="Garamond" w:hAnsi="Garamond"/>
          <w:sz w:val="24"/>
          <w:szCs w:val="24"/>
        </w:rPr>
        <w:t xml:space="preserve"> Institute in The Hague, argued that parliamentarians needed to “convince public opinion that the stagnation of Europe would inevitably lead to its </w:t>
      </w:r>
      <w:proofErr w:type="spellStart"/>
      <w:r w:rsidRPr="009C52FB">
        <w:rPr>
          <w:rFonts w:ascii="Garamond" w:hAnsi="Garamond"/>
          <w:sz w:val="24"/>
          <w:szCs w:val="24"/>
        </w:rPr>
        <w:t>marginalisation</w:t>
      </w:r>
      <w:proofErr w:type="spellEnd"/>
      <w:r w:rsidRPr="009C52FB">
        <w:rPr>
          <w:rFonts w:ascii="Garamond" w:hAnsi="Garamond"/>
          <w:sz w:val="24"/>
          <w:szCs w:val="24"/>
        </w:rPr>
        <w:t>.”</w:t>
      </w:r>
      <w:r w:rsidRPr="009C52FB">
        <w:rPr>
          <w:rStyle w:val="FootnoteReference"/>
          <w:rFonts w:ascii="Garamond" w:hAnsi="Garamond"/>
          <w:sz w:val="24"/>
          <w:szCs w:val="24"/>
        </w:rPr>
        <w:footnoteReference w:id="22"/>
      </w:r>
    </w:p>
    <w:p w14:paraId="5A55CFD8" w14:textId="77777777" w:rsidR="002A502E" w:rsidRPr="009C52FB" w:rsidRDefault="002A502E" w:rsidP="00944873">
      <w:pPr>
        <w:spacing w:beforeAutospacing="1" w:after="120" w:afterAutospacing="1"/>
        <w:jc w:val="both"/>
        <w:rPr>
          <w:rFonts w:ascii="Garamond" w:hAnsi="Garamond"/>
          <w:i/>
        </w:rPr>
      </w:pPr>
      <w:r w:rsidRPr="009C52FB">
        <w:rPr>
          <w:rFonts w:ascii="Garamond" w:hAnsi="Garamond"/>
          <w:i/>
        </w:rPr>
        <w:t>When Europeans say they support the EU security and defense, they don’t understand</w:t>
      </w:r>
    </w:p>
    <w:p w14:paraId="29137DBE" w14:textId="77777777" w:rsidR="002A502E" w:rsidRPr="009C52FB" w:rsidRDefault="002A502E" w:rsidP="00944873">
      <w:pPr>
        <w:ind w:firstLine="720"/>
        <w:jc w:val="both"/>
        <w:rPr>
          <w:rFonts w:ascii="Garamond" w:hAnsi="Garamond"/>
        </w:rPr>
      </w:pPr>
      <w:r w:rsidRPr="009C52FB">
        <w:rPr>
          <w:rFonts w:ascii="Garamond" w:hAnsi="Garamond"/>
        </w:rPr>
        <w:t xml:space="preserve">If the recent GMFUS poll and pundits are correct, there has been a radical shift in public opinion from a decade ago, when </w:t>
      </w:r>
      <w:proofErr w:type="spellStart"/>
      <w:r w:rsidRPr="009C52FB">
        <w:rPr>
          <w:rFonts w:ascii="Garamond" w:hAnsi="Garamond"/>
        </w:rPr>
        <w:t>Eurobarometer</w:t>
      </w:r>
      <w:proofErr w:type="spellEnd"/>
      <w:r w:rsidRPr="009C52FB">
        <w:rPr>
          <w:rFonts w:ascii="Garamond" w:hAnsi="Garamond"/>
        </w:rPr>
        <w:t xml:space="preserve"> polls (</w:t>
      </w:r>
      <w:proofErr w:type="spellStart"/>
      <w:r w:rsidRPr="009C52FB">
        <w:rPr>
          <w:rFonts w:ascii="Garamond" w:hAnsi="Garamond"/>
        </w:rPr>
        <w:t>Eurobarometer</w:t>
      </w:r>
      <w:proofErr w:type="spellEnd"/>
      <w:r w:rsidRPr="009C52FB">
        <w:rPr>
          <w:rFonts w:ascii="Garamond" w:hAnsi="Garamond"/>
        </w:rPr>
        <w:t xml:space="preserve"> 54.1 in 2001 and national public opinion surveys) indicated that European publics were generally supportive of defense policies, and that this support extended from national to European defense, as well.</w:t>
      </w:r>
      <w:r w:rsidRPr="009C52FB">
        <w:rPr>
          <w:rStyle w:val="FootnoteReference"/>
          <w:rFonts w:ascii="Garamond" w:hAnsi="Garamond"/>
        </w:rPr>
        <w:footnoteReference w:id="23"/>
      </w:r>
      <w:r w:rsidRPr="009C52FB">
        <w:rPr>
          <w:rFonts w:ascii="Garamond" w:hAnsi="Garamond"/>
        </w:rPr>
        <w:t xml:space="preserve"> Only 6% of Europeans perceived no value to the military, and 70% favored common EU defense. There are large national differences in this support, however, with Britain and Scandinavian countries lower in support than the others. Overall, over 40% of Europeans consider military integration to be central to the European project: 37% would like to see an EU rapid reaction force be added to existing national capabilities, while 20% would like to see a full integration of forces at the expense of national militaries.</w:t>
      </w:r>
      <w:r w:rsidRPr="009C52FB">
        <w:rPr>
          <w:rStyle w:val="FootnoteReference"/>
          <w:rFonts w:ascii="Garamond" w:hAnsi="Garamond"/>
        </w:rPr>
        <w:footnoteReference w:id="24"/>
      </w:r>
      <w:r w:rsidRPr="009C52FB">
        <w:rPr>
          <w:rFonts w:ascii="Garamond" w:hAnsi="Garamond"/>
        </w:rPr>
        <w:t xml:space="preserve"> </w:t>
      </w:r>
    </w:p>
    <w:p w14:paraId="6BCBA78E" w14:textId="77777777" w:rsidR="002A502E" w:rsidRPr="009C52FB" w:rsidRDefault="002A502E" w:rsidP="00944873">
      <w:pPr>
        <w:widowControl w:val="0"/>
        <w:autoSpaceDE w:val="0"/>
        <w:autoSpaceDN w:val="0"/>
        <w:adjustRightInd w:val="0"/>
        <w:ind w:firstLine="720"/>
        <w:jc w:val="both"/>
        <w:rPr>
          <w:rFonts w:ascii="Garamond" w:hAnsi="Garamond" w:cs="TimesNewRomanPSMT"/>
        </w:rPr>
      </w:pPr>
      <w:r w:rsidRPr="009C52FB">
        <w:rPr>
          <w:rFonts w:ascii="Garamond" w:hAnsi="Garamond"/>
        </w:rPr>
        <w:t>Scholars who have reviewed this data have concluded that the results indicate ambivalence and indifference on the part of Europeans toward common defense, because the positive respondents are not always clear majorities, and conclude that there is a “gap between the vague desire for a European defense and making such a policy operational,” because of a lack of real knowledge about what ESDP and CSDP actually are.</w:t>
      </w:r>
      <w:r w:rsidRPr="009C52FB">
        <w:rPr>
          <w:rStyle w:val="FootnoteReference"/>
          <w:rFonts w:ascii="Garamond" w:hAnsi="Garamond"/>
        </w:rPr>
        <w:footnoteReference w:id="25"/>
      </w:r>
      <w:r w:rsidRPr="009C52FB">
        <w:rPr>
          <w:rFonts w:ascii="Garamond" w:hAnsi="Garamond"/>
        </w:rPr>
        <w:t xml:space="preserve"> </w:t>
      </w:r>
      <w:r w:rsidRPr="009C52FB">
        <w:rPr>
          <w:rFonts w:ascii="Garamond" w:hAnsi="Garamond" w:cs="TimesNewRomanPSMT"/>
        </w:rPr>
        <w:t>A more recent study (Foucault et al 2014</w:t>
      </w:r>
      <w:proofErr w:type="gramStart"/>
      <w:r w:rsidRPr="009C52FB">
        <w:rPr>
          <w:rFonts w:ascii="Garamond" w:hAnsi="Garamond" w:cs="TimesNewRomanPSMT"/>
        </w:rPr>
        <w:t>),</w:t>
      </w:r>
      <w:proofErr w:type="gramEnd"/>
      <w:r w:rsidRPr="009C52FB">
        <w:rPr>
          <w:rFonts w:ascii="Garamond" w:hAnsi="Garamond" w:cs="TimesNewRomanPSMT"/>
        </w:rPr>
        <w:t xml:space="preserve"> attenuates the 77% support for CSDP in 2007 as “conceal[</w:t>
      </w:r>
      <w:proofErr w:type="spellStart"/>
      <w:r w:rsidRPr="009C52FB">
        <w:rPr>
          <w:rFonts w:ascii="Garamond" w:hAnsi="Garamond" w:cs="TimesNewRomanPSMT"/>
        </w:rPr>
        <w:t>ing</w:t>
      </w:r>
      <w:proofErr w:type="spellEnd"/>
      <w:r w:rsidRPr="009C52FB">
        <w:rPr>
          <w:rFonts w:ascii="Garamond" w:hAnsi="Garamond" w:cs="TimesNewRomanPSMT"/>
        </w:rPr>
        <w:t>] the fact that the definition of ESDP remains very much in flux. For some, ESDP is associated to European unification and identity. For others, ESDP is primarily a civilian crisis management tool for peacekeeping g purposes. For others still, ESDP is a means to balance US power with military capabilities.”</w:t>
      </w:r>
      <w:r w:rsidRPr="009C52FB">
        <w:rPr>
          <w:rStyle w:val="FootnoteReference"/>
          <w:rFonts w:ascii="Garamond" w:hAnsi="Garamond" w:cs="TimesNewRomanPSMT"/>
        </w:rPr>
        <w:footnoteReference w:id="26"/>
      </w:r>
      <w:r w:rsidRPr="009C52FB">
        <w:rPr>
          <w:rFonts w:ascii="Garamond" w:hAnsi="Garamond" w:cs="TimesNewRomanPSMT"/>
        </w:rPr>
        <w:t xml:space="preserve"> Because ESDP/CSDP might mean different things to different people, this is supposed to weaken its public meaning.</w:t>
      </w:r>
    </w:p>
    <w:p w14:paraId="3DE3327B" w14:textId="77777777" w:rsidR="002A502E" w:rsidRPr="009C52FB" w:rsidRDefault="002A502E" w:rsidP="00944873">
      <w:pPr>
        <w:widowControl w:val="0"/>
        <w:autoSpaceDE w:val="0"/>
        <w:autoSpaceDN w:val="0"/>
        <w:adjustRightInd w:val="0"/>
        <w:ind w:firstLine="720"/>
        <w:jc w:val="both"/>
        <w:rPr>
          <w:rFonts w:ascii="Garamond" w:hAnsi="Garamond" w:cs="TimesNewRomanPSMT"/>
        </w:rPr>
      </w:pPr>
    </w:p>
    <w:p w14:paraId="7E73A73B" w14:textId="77777777" w:rsidR="002A502E" w:rsidRPr="009C52FB" w:rsidRDefault="002A502E" w:rsidP="00944873">
      <w:pPr>
        <w:widowControl w:val="0"/>
        <w:autoSpaceDE w:val="0"/>
        <w:autoSpaceDN w:val="0"/>
        <w:adjustRightInd w:val="0"/>
        <w:jc w:val="both"/>
        <w:rPr>
          <w:rFonts w:ascii="Garamond" w:hAnsi="Garamond" w:cs="TimesNewRomanPSMT"/>
          <w:b/>
        </w:rPr>
      </w:pPr>
      <w:r w:rsidRPr="009C52FB">
        <w:rPr>
          <w:rFonts w:ascii="Garamond" w:hAnsi="Garamond" w:cs="TimesNewRomanPSMT"/>
          <w:b/>
        </w:rPr>
        <w:t>Robust Support? European Public Opinion in Context</w:t>
      </w:r>
    </w:p>
    <w:p w14:paraId="35E38CD4" w14:textId="77777777" w:rsidR="002A502E" w:rsidRPr="009C52FB" w:rsidRDefault="002A502E" w:rsidP="00944873">
      <w:pPr>
        <w:ind w:firstLine="720"/>
        <w:jc w:val="both"/>
        <w:rPr>
          <w:rFonts w:ascii="Garamond" w:hAnsi="Garamond"/>
        </w:rPr>
      </w:pPr>
      <w:r w:rsidRPr="009C52FB">
        <w:rPr>
          <w:rFonts w:ascii="Garamond" w:hAnsi="Garamond"/>
        </w:rPr>
        <w:t xml:space="preserve"> However, a direct empirical test of the permissive consensus hypothesis has never been applied to public support for CSDP. Is individual support for CSDP an epiphenomenal and fleeting result of the </w:t>
      </w:r>
      <w:proofErr w:type="spellStart"/>
      <w:r w:rsidRPr="009C52FB">
        <w:rPr>
          <w:rFonts w:ascii="Garamond" w:hAnsi="Garamond"/>
        </w:rPr>
        <w:t>Eurobarometer</w:t>
      </w:r>
      <w:proofErr w:type="spellEnd"/>
      <w:r w:rsidRPr="009C52FB">
        <w:rPr>
          <w:rFonts w:ascii="Garamond" w:hAnsi="Garamond"/>
        </w:rPr>
        <w:t xml:space="preserve"> survey, and a case of shallow attachments or permissive consensus? One way of testing the strength of CSDP support is to see what citizens say when costs are framed into their support. However, it is important to ask this question in a comparative context, as well, as there may be no polity that ‘chooses security’ when framed against costs or other public policy options (guns </w:t>
      </w:r>
      <w:proofErr w:type="spellStart"/>
      <w:r w:rsidRPr="009C52FB">
        <w:rPr>
          <w:rFonts w:ascii="Garamond" w:hAnsi="Garamond"/>
        </w:rPr>
        <w:t>vs</w:t>
      </w:r>
      <w:proofErr w:type="spellEnd"/>
      <w:r w:rsidRPr="009C52FB">
        <w:rPr>
          <w:rFonts w:ascii="Garamond" w:hAnsi="Garamond"/>
        </w:rPr>
        <w:t xml:space="preserve"> butter). Another way of looking at the issue of a permissive consensus is whether support for CSDP reflects a lack of real knowledge. In order to test whether respondents who support CSDP are generally knowledgeable about European politics, we can test whether they are high or low information citizens and consume more information about the EU than other respondents.</w:t>
      </w:r>
    </w:p>
    <w:p w14:paraId="759E675F" w14:textId="5884C3C9" w:rsidR="002A502E" w:rsidRPr="009C52FB" w:rsidRDefault="002A502E" w:rsidP="00944873">
      <w:pPr>
        <w:jc w:val="both"/>
        <w:rPr>
          <w:rFonts w:ascii="Garamond" w:hAnsi="Garamond"/>
        </w:rPr>
      </w:pPr>
      <w:r w:rsidRPr="009C52FB">
        <w:rPr>
          <w:rFonts w:ascii="Garamond" w:hAnsi="Garamond"/>
        </w:rPr>
        <w:tab/>
        <w:t xml:space="preserve">Is support for CSDP amongst Europeans really a case of “permissive consensus”, as indicated by previous studies? If individuals balk at the costs of defense, or know little about the institutions and policies at the core of CSDP, does this mean that support is shallow and uninformed? Are the Europeans really that different in their support for security and defense as public policy than other publics? Recent scholarship (Foucault and </w:t>
      </w:r>
      <w:proofErr w:type="spellStart"/>
      <w:r w:rsidRPr="009C52FB">
        <w:rPr>
          <w:rFonts w:ascii="Garamond" w:hAnsi="Garamond"/>
        </w:rPr>
        <w:t>Irondelle</w:t>
      </w:r>
      <w:proofErr w:type="spellEnd"/>
      <w:r w:rsidRPr="009C52FB">
        <w:rPr>
          <w:rFonts w:ascii="Garamond" w:hAnsi="Garamond"/>
        </w:rPr>
        <w:t xml:space="preserve"> 2010) has provided some perspective on the last question, and the answer is no…Europeans are really not that different—at least from Americans—in their preferences and perceptions of security policy. Looking at GMFUS surveys over different points in time, they </w:t>
      </w:r>
      <w:proofErr w:type="gramStart"/>
      <w:r w:rsidR="0049305B" w:rsidRPr="009C52FB">
        <w:rPr>
          <w:rFonts w:ascii="Garamond" w:hAnsi="Garamond"/>
        </w:rPr>
        <w:t>concluded</w:t>
      </w:r>
      <w:proofErr w:type="gramEnd"/>
      <w:r w:rsidRPr="009C52FB">
        <w:rPr>
          <w:rFonts w:ascii="Garamond" w:hAnsi="Garamond"/>
        </w:rPr>
        <w:t xml:space="preserve"> “Europeans and Americans follow the same evolution in their perceived or possible threats but with a different intensity for immigration issues (+25 per cent in Europe) and terrorism (–17 per cent in the US)”.</w:t>
      </w:r>
      <w:r w:rsidRPr="009C52FB">
        <w:rPr>
          <w:rStyle w:val="FootnoteReference"/>
          <w:rFonts w:ascii="Garamond" w:hAnsi="Garamond"/>
        </w:rPr>
        <w:footnoteReference w:id="27"/>
      </w:r>
    </w:p>
    <w:p w14:paraId="2BA72243" w14:textId="7BE31A36" w:rsidR="002A502E" w:rsidRPr="009C52FB" w:rsidRDefault="002A502E" w:rsidP="00106AC9">
      <w:pPr>
        <w:ind w:firstLine="720"/>
        <w:jc w:val="both"/>
        <w:rPr>
          <w:rFonts w:ascii="Garamond" w:hAnsi="Garamond"/>
        </w:rPr>
      </w:pPr>
      <w:r w:rsidRPr="009C52FB">
        <w:rPr>
          <w:rFonts w:ascii="Garamond" w:hAnsi="Garamond"/>
        </w:rPr>
        <w:t xml:space="preserve">The questions remain, then, as to 1) who supports collective European defense (at the individual level), and 2) what determines this support? Or, put differently, under what conditions do Europeans support CSDP? Who is more likely to support CSDP, what factors make individuals lean towards supporting CSDP, and what do they mean by CSDP when they support it? In terms of answering the question of </w:t>
      </w:r>
      <w:proofErr w:type="gramStart"/>
      <w:r w:rsidRPr="009C52FB">
        <w:rPr>
          <w:rFonts w:ascii="Garamond" w:hAnsi="Garamond"/>
          <w:i/>
        </w:rPr>
        <w:t>who</w:t>
      </w:r>
      <w:proofErr w:type="gramEnd"/>
      <w:r w:rsidRPr="009C52FB">
        <w:rPr>
          <w:rFonts w:ascii="Garamond" w:hAnsi="Garamond"/>
        </w:rPr>
        <w:t xml:space="preserve"> in Europe supports CSDP, there is some extant research. Socio-demographic and economic variables usually predict an individual’s support for EU policies, but this is not the case with CSDP, where the most powerful predictor found has been national identity (Schoen 2008, Foucault and </w:t>
      </w:r>
      <w:proofErr w:type="spellStart"/>
      <w:r w:rsidRPr="009C52FB">
        <w:rPr>
          <w:rFonts w:ascii="Garamond" w:hAnsi="Garamond"/>
        </w:rPr>
        <w:t>Irondelle</w:t>
      </w:r>
      <w:proofErr w:type="spellEnd"/>
      <w:r w:rsidRPr="009C52FB">
        <w:rPr>
          <w:rFonts w:ascii="Garamond" w:hAnsi="Garamond"/>
        </w:rPr>
        <w:t xml:space="preserve"> 2009; Peters 2013). If you live in the UK, you are less likely to support CSDP; if you live in Germany, you are more likely to support it. Less robust predictors of support for CSDP include fear of security threats such as nontraditional and transnational threats (</w:t>
      </w:r>
      <w:r w:rsidRPr="009C52FB">
        <w:rPr>
          <w:rFonts w:ascii="Garamond" w:hAnsi="Garamond" w:cs="TimesNewRomanPSMT"/>
        </w:rPr>
        <w:t xml:space="preserve">Foucault and </w:t>
      </w:r>
      <w:proofErr w:type="spellStart"/>
      <w:r w:rsidRPr="009C52FB">
        <w:rPr>
          <w:rFonts w:ascii="Garamond" w:hAnsi="Garamond" w:cs="TimesNewRomanPSMT"/>
        </w:rPr>
        <w:t>Irondelle</w:t>
      </w:r>
      <w:proofErr w:type="spellEnd"/>
      <w:r w:rsidRPr="009C52FB">
        <w:rPr>
          <w:rFonts w:ascii="Garamond" w:hAnsi="Garamond" w:cs="TimesNewRomanPSMT"/>
        </w:rPr>
        <w:t xml:space="preserve"> 2009) and terrorism (Ray and Johnston 2007). Some models have found linkages between individual utilitarian assessment of low national capabilities (Schoen 2008) or defense spending (</w:t>
      </w:r>
      <w:proofErr w:type="spellStart"/>
      <w:r w:rsidRPr="009C52FB">
        <w:rPr>
          <w:rFonts w:ascii="Garamond" w:hAnsi="Garamond" w:cs="TimesNewRomanPSMT"/>
        </w:rPr>
        <w:t>Carruba</w:t>
      </w:r>
      <w:proofErr w:type="spellEnd"/>
      <w:r w:rsidRPr="009C52FB">
        <w:rPr>
          <w:rFonts w:ascii="Garamond" w:hAnsi="Garamond" w:cs="TimesNewRomanPSMT"/>
        </w:rPr>
        <w:t xml:space="preserve"> and Singh 2004) and a support for supranational defense. Generally lacking are any hypotheses linking cultural or identity directly to CSDP support, though Foucault et al (2009) find that different social representations of security can be linked to levels of support for CSDP, helping explain why support for CSDP can mean different things to different people.</w:t>
      </w:r>
    </w:p>
    <w:p w14:paraId="5D5140DC" w14:textId="24E1EE09" w:rsidR="0080269D" w:rsidRPr="009C52FB" w:rsidRDefault="0080269D" w:rsidP="00944873">
      <w:pPr>
        <w:pStyle w:val="Heading1"/>
        <w:jc w:val="both"/>
        <w:rPr>
          <w:rFonts w:ascii="Garamond" w:hAnsi="Garamond"/>
          <w:sz w:val="24"/>
          <w:szCs w:val="24"/>
        </w:rPr>
      </w:pPr>
      <w:r w:rsidRPr="009C52FB">
        <w:rPr>
          <w:rFonts w:ascii="Garamond" w:hAnsi="Garamond"/>
          <w:sz w:val="24"/>
          <w:szCs w:val="24"/>
        </w:rPr>
        <w:t>Hypotheses</w:t>
      </w:r>
      <w:r w:rsidR="00DC0458" w:rsidRPr="009C52FB">
        <w:rPr>
          <w:rFonts w:ascii="Garamond" w:hAnsi="Garamond"/>
          <w:sz w:val="24"/>
          <w:szCs w:val="24"/>
        </w:rPr>
        <w:t xml:space="preserve"> and Research Design</w:t>
      </w:r>
    </w:p>
    <w:p w14:paraId="11321D01" w14:textId="77777777" w:rsidR="0080269D" w:rsidRPr="009C52FB" w:rsidRDefault="0080269D" w:rsidP="00944873">
      <w:pPr>
        <w:jc w:val="both"/>
        <w:rPr>
          <w:rFonts w:ascii="Garamond" w:hAnsi="Garamond"/>
        </w:rPr>
      </w:pPr>
    </w:p>
    <w:p w14:paraId="4A8F641D" w14:textId="6EBCC307" w:rsidR="007C202B" w:rsidRPr="009C52FB" w:rsidRDefault="00694805" w:rsidP="00944873">
      <w:pPr>
        <w:jc w:val="both"/>
        <w:rPr>
          <w:rFonts w:ascii="Garamond" w:hAnsi="Garamond"/>
        </w:rPr>
      </w:pPr>
      <w:r w:rsidRPr="009C52FB">
        <w:rPr>
          <w:rFonts w:ascii="Garamond" w:hAnsi="Garamond"/>
        </w:rPr>
        <w:tab/>
        <w:t>We developed a</w:t>
      </w:r>
      <w:r w:rsidR="00133D3A" w:rsidRPr="009C52FB">
        <w:rPr>
          <w:rFonts w:ascii="Garamond" w:hAnsi="Garamond"/>
        </w:rPr>
        <w:t xml:space="preserve"> study based on four hypotheses:</w:t>
      </w:r>
    </w:p>
    <w:p w14:paraId="7A008193" w14:textId="77777777" w:rsidR="007C202B" w:rsidRPr="009C52FB" w:rsidRDefault="007C202B" w:rsidP="00944873">
      <w:pPr>
        <w:jc w:val="both"/>
        <w:rPr>
          <w:rFonts w:ascii="Garamond" w:hAnsi="Garamond"/>
        </w:rPr>
      </w:pPr>
    </w:p>
    <w:p w14:paraId="0077EAD4" w14:textId="5A92D429" w:rsidR="007C202B" w:rsidRPr="009C52FB" w:rsidRDefault="007C202B" w:rsidP="00944873">
      <w:pPr>
        <w:jc w:val="both"/>
        <w:rPr>
          <w:rFonts w:ascii="Garamond" w:hAnsi="Garamond"/>
          <w:b/>
        </w:rPr>
      </w:pPr>
      <w:r w:rsidRPr="009C52FB">
        <w:rPr>
          <w:rFonts w:ascii="Garamond" w:hAnsi="Garamond"/>
          <w:b/>
        </w:rPr>
        <w:t xml:space="preserve">H1) Individuals supporting CSDP are aware of EU policy, </w:t>
      </w:r>
      <w:r w:rsidR="00133D3A" w:rsidRPr="009C52FB">
        <w:rPr>
          <w:rFonts w:ascii="Garamond" w:hAnsi="Garamond"/>
          <w:b/>
        </w:rPr>
        <w:t xml:space="preserve">knowledgeable about politics and </w:t>
      </w:r>
      <w:r w:rsidRPr="009C52FB">
        <w:rPr>
          <w:rFonts w:ascii="Garamond" w:hAnsi="Garamond"/>
          <w:b/>
        </w:rPr>
        <w:t>current events, and are not reacting in simplistic ways to the survey prompts.</w:t>
      </w:r>
    </w:p>
    <w:p w14:paraId="13787566" w14:textId="77777777" w:rsidR="00BD1E2B" w:rsidRPr="009C52FB" w:rsidRDefault="00BD1E2B" w:rsidP="00944873">
      <w:pPr>
        <w:jc w:val="both"/>
        <w:rPr>
          <w:rFonts w:ascii="Garamond" w:hAnsi="Garamond"/>
        </w:rPr>
      </w:pPr>
    </w:p>
    <w:p w14:paraId="0F3C8E3E" w14:textId="63222F6D" w:rsidR="00BD1E2B" w:rsidRPr="009C52FB" w:rsidRDefault="00BD1E2B" w:rsidP="00944873">
      <w:pPr>
        <w:jc w:val="both"/>
        <w:rPr>
          <w:rFonts w:ascii="Garamond" w:hAnsi="Garamond"/>
          <w:b/>
        </w:rPr>
      </w:pPr>
      <w:r w:rsidRPr="009C52FB">
        <w:rPr>
          <w:rFonts w:ascii="Garamond" w:hAnsi="Garamond"/>
          <w:b/>
        </w:rPr>
        <w:t xml:space="preserve">H2) Individuals supporting CSDP </w:t>
      </w:r>
      <w:r w:rsidR="00127D66" w:rsidRPr="009C52FB">
        <w:rPr>
          <w:rFonts w:ascii="Garamond" w:hAnsi="Garamond"/>
          <w:b/>
        </w:rPr>
        <w:t>have a</w:t>
      </w:r>
      <w:r w:rsidR="00133D3A" w:rsidRPr="009C52FB">
        <w:rPr>
          <w:rFonts w:ascii="Garamond" w:hAnsi="Garamond"/>
          <w:b/>
        </w:rPr>
        <w:t>n internally</w:t>
      </w:r>
      <w:r w:rsidR="00127D66" w:rsidRPr="009C52FB">
        <w:rPr>
          <w:rFonts w:ascii="Garamond" w:hAnsi="Garamond"/>
          <w:b/>
        </w:rPr>
        <w:t xml:space="preserve"> coherent idea of</w:t>
      </w:r>
      <w:r w:rsidR="00133D3A" w:rsidRPr="009C52FB">
        <w:rPr>
          <w:rFonts w:ascii="Garamond" w:hAnsi="Garamond"/>
          <w:b/>
        </w:rPr>
        <w:t xml:space="preserve"> what CSDP means</w:t>
      </w:r>
      <w:r w:rsidRPr="009C52FB">
        <w:rPr>
          <w:rFonts w:ascii="Garamond" w:hAnsi="Garamond"/>
          <w:b/>
        </w:rPr>
        <w:t>.</w:t>
      </w:r>
    </w:p>
    <w:p w14:paraId="2129AABE" w14:textId="77777777" w:rsidR="007C202B" w:rsidRPr="009C52FB" w:rsidRDefault="007C202B" w:rsidP="00944873">
      <w:pPr>
        <w:jc w:val="both"/>
        <w:rPr>
          <w:rFonts w:ascii="Garamond" w:hAnsi="Garamond"/>
        </w:rPr>
      </w:pPr>
    </w:p>
    <w:p w14:paraId="5687FE6C" w14:textId="77777777" w:rsidR="0080269D" w:rsidRPr="009C52FB" w:rsidRDefault="00127D66" w:rsidP="00944873">
      <w:pPr>
        <w:jc w:val="both"/>
        <w:rPr>
          <w:rFonts w:ascii="Garamond" w:hAnsi="Garamond"/>
          <w:b/>
        </w:rPr>
      </w:pPr>
      <w:r w:rsidRPr="009C52FB">
        <w:rPr>
          <w:rFonts w:ascii="Garamond" w:hAnsi="Garamond"/>
          <w:b/>
        </w:rPr>
        <w:t>H3</w:t>
      </w:r>
      <w:r w:rsidR="00A676F8" w:rsidRPr="009C52FB">
        <w:rPr>
          <w:rFonts w:ascii="Garamond" w:hAnsi="Garamond"/>
          <w:b/>
        </w:rPr>
        <w:t xml:space="preserve">: When Europeans prefer EU security policy to national security policy, </w:t>
      </w:r>
      <w:r w:rsidRPr="009C52FB">
        <w:rPr>
          <w:rFonts w:ascii="Garamond" w:hAnsi="Garamond"/>
          <w:b/>
        </w:rPr>
        <w:t xml:space="preserve">they </w:t>
      </w:r>
      <w:r w:rsidR="00A676F8" w:rsidRPr="009C52FB">
        <w:rPr>
          <w:rFonts w:ascii="Garamond" w:hAnsi="Garamond"/>
          <w:b/>
        </w:rPr>
        <w:t>also intend for it to be an arm of hard power, not just soft power.</w:t>
      </w:r>
    </w:p>
    <w:p w14:paraId="3A384AB1" w14:textId="77777777" w:rsidR="00127D66" w:rsidRPr="009C52FB" w:rsidRDefault="00127D66" w:rsidP="00944873">
      <w:pPr>
        <w:jc w:val="both"/>
        <w:rPr>
          <w:rFonts w:ascii="Garamond" w:hAnsi="Garamond"/>
          <w:b/>
        </w:rPr>
      </w:pPr>
    </w:p>
    <w:p w14:paraId="1C96352E" w14:textId="77777777" w:rsidR="00127D66" w:rsidRPr="009C52FB" w:rsidRDefault="00127D66" w:rsidP="00944873">
      <w:pPr>
        <w:jc w:val="both"/>
        <w:rPr>
          <w:rFonts w:ascii="Garamond" w:hAnsi="Garamond"/>
          <w:b/>
        </w:rPr>
      </w:pPr>
      <w:r w:rsidRPr="009C52FB">
        <w:rPr>
          <w:rFonts w:ascii="Garamond" w:hAnsi="Garamond"/>
          <w:b/>
        </w:rPr>
        <w:t>H4) European support for CSDP will not be significantly affected by cost considerations (i.e. they will not automatically support “butter” over “guns”)</w:t>
      </w:r>
    </w:p>
    <w:p w14:paraId="3DE9800E" w14:textId="77777777" w:rsidR="007C202B" w:rsidRPr="009C52FB" w:rsidRDefault="007C202B" w:rsidP="00944873">
      <w:pPr>
        <w:jc w:val="both"/>
        <w:rPr>
          <w:rFonts w:ascii="Garamond" w:hAnsi="Garamond"/>
        </w:rPr>
      </w:pPr>
    </w:p>
    <w:p w14:paraId="41E2733A" w14:textId="22C3945F" w:rsidR="00BD1E2B" w:rsidRPr="009C52FB" w:rsidRDefault="007C202B" w:rsidP="00944873">
      <w:pPr>
        <w:jc w:val="both"/>
        <w:rPr>
          <w:rFonts w:ascii="Garamond" w:hAnsi="Garamond"/>
        </w:rPr>
      </w:pPr>
      <w:r w:rsidRPr="009C52FB">
        <w:rPr>
          <w:rFonts w:ascii="Garamond" w:hAnsi="Garamond"/>
        </w:rPr>
        <w:tab/>
      </w:r>
      <w:r w:rsidR="00133D3A" w:rsidRPr="009C52FB">
        <w:rPr>
          <w:rFonts w:ascii="Garamond" w:hAnsi="Garamond"/>
        </w:rPr>
        <w:t xml:space="preserve">In order to evaluate hypothesis 1, we used the questions asked over 13 years of the </w:t>
      </w:r>
      <w:proofErr w:type="spellStart"/>
      <w:r w:rsidR="00133D3A" w:rsidRPr="009C52FB">
        <w:rPr>
          <w:rFonts w:ascii="Garamond" w:hAnsi="Garamond"/>
        </w:rPr>
        <w:t>Eurobarometer</w:t>
      </w:r>
      <w:proofErr w:type="spellEnd"/>
      <w:r w:rsidR="00133D3A" w:rsidRPr="009C52FB">
        <w:rPr>
          <w:rFonts w:ascii="Garamond" w:hAnsi="Garamond"/>
        </w:rPr>
        <w:t xml:space="preserve"> public opinion survey and standardized in the Mannheim </w:t>
      </w:r>
      <w:proofErr w:type="spellStart"/>
      <w:r w:rsidR="00133D3A" w:rsidRPr="009C52FB">
        <w:rPr>
          <w:rFonts w:ascii="Garamond" w:hAnsi="Garamond"/>
        </w:rPr>
        <w:t>Eurobarometer</w:t>
      </w:r>
      <w:proofErr w:type="spellEnd"/>
      <w:r w:rsidR="00133D3A" w:rsidRPr="009C52FB">
        <w:rPr>
          <w:rFonts w:ascii="Garamond" w:hAnsi="Garamond"/>
        </w:rPr>
        <w:t xml:space="preserve"> Trend File. The dependent variable of the model was question 339, measuring support for policy areas that should be handled at the national or European level.</w:t>
      </w:r>
      <w:r w:rsidR="00133D3A" w:rsidRPr="009C52FB">
        <w:rPr>
          <w:rStyle w:val="FootnoteReference"/>
          <w:rFonts w:ascii="Garamond" w:hAnsi="Garamond"/>
        </w:rPr>
        <w:footnoteReference w:id="28"/>
      </w:r>
      <w:r w:rsidR="00133D3A" w:rsidRPr="009C52FB">
        <w:rPr>
          <w:rFonts w:ascii="Garamond" w:hAnsi="Garamond"/>
        </w:rPr>
        <w:t xml:space="preserve"> The independent variables reflecting knowledge about the EU were captured from a range of questions that reflect both objective and subjective political knowledge. They include objective variables reflecting level of education, interest in politics, and interest in EU affairs. They also include subjective (self reported) variables capturing knowledge about EU politics and whether the individual is an opinion leader or follower.</w:t>
      </w:r>
      <w:r w:rsidR="00133D3A" w:rsidRPr="009C52FB">
        <w:rPr>
          <w:rStyle w:val="FootnoteReference"/>
          <w:rFonts w:ascii="Garamond" w:hAnsi="Garamond"/>
        </w:rPr>
        <w:footnoteReference w:id="29"/>
      </w:r>
      <w:r w:rsidR="00133D3A" w:rsidRPr="009C52FB">
        <w:rPr>
          <w:rFonts w:ascii="Garamond" w:hAnsi="Garamond"/>
        </w:rPr>
        <w:t xml:space="preserve">  The models were estimated with logistic regression and all independent variables were significant at p </w:t>
      </w:r>
      <w:proofErr w:type="gramStart"/>
      <w:r w:rsidR="00133D3A" w:rsidRPr="009C52FB">
        <w:rPr>
          <w:rFonts w:ascii="Garamond" w:hAnsi="Garamond"/>
        </w:rPr>
        <w:t>&lt; .05 significance level.</w:t>
      </w:r>
      <w:proofErr w:type="gramEnd"/>
    </w:p>
    <w:p w14:paraId="276B3F41" w14:textId="61AA51D2" w:rsidR="00B25F84" w:rsidRPr="009C52FB" w:rsidRDefault="00BD1E2B" w:rsidP="00944873">
      <w:pPr>
        <w:jc w:val="both"/>
        <w:rPr>
          <w:rFonts w:ascii="Garamond" w:hAnsi="Garamond"/>
        </w:rPr>
      </w:pPr>
      <w:r w:rsidRPr="009C52FB">
        <w:rPr>
          <w:rFonts w:ascii="Garamond" w:hAnsi="Garamond"/>
        </w:rPr>
        <w:tab/>
        <w:t>In order to understand hypotheses two and three, we c</w:t>
      </w:r>
      <w:r w:rsidR="004E3110" w:rsidRPr="009C52FB">
        <w:rPr>
          <w:rFonts w:ascii="Garamond" w:hAnsi="Garamond"/>
        </w:rPr>
        <w:t>reated a model based on the 2000</w:t>
      </w:r>
      <w:r w:rsidRPr="009C52FB">
        <w:rPr>
          <w:rFonts w:ascii="Garamond" w:hAnsi="Garamond"/>
        </w:rPr>
        <w:t xml:space="preserve"> Special </w:t>
      </w:r>
      <w:proofErr w:type="spellStart"/>
      <w:r w:rsidRPr="009C52FB">
        <w:rPr>
          <w:rFonts w:ascii="Garamond" w:hAnsi="Garamond"/>
        </w:rPr>
        <w:t>Eurobarometer</w:t>
      </w:r>
      <w:proofErr w:type="spellEnd"/>
      <w:r w:rsidRPr="009C52FB">
        <w:rPr>
          <w:rFonts w:ascii="Garamond" w:hAnsi="Garamond"/>
        </w:rPr>
        <w:t xml:space="preserve"> for Security and Defense, which probed individuals about CSDP with more granularity.</w:t>
      </w:r>
      <w:r w:rsidR="004E3110" w:rsidRPr="009C52FB">
        <w:rPr>
          <w:rStyle w:val="FootnoteReference"/>
          <w:rFonts w:ascii="Garamond" w:hAnsi="Garamond"/>
        </w:rPr>
        <w:footnoteReference w:id="30"/>
      </w:r>
      <w:r w:rsidR="004E3110" w:rsidRPr="009C52FB">
        <w:rPr>
          <w:rFonts w:ascii="Garamond" w:hAnsi="Garamond"/>
        </w:rPr>
        <w:t xml:space="preserve"> For the dependent variable measuring support for CSDP, we used question 129, which asked whether or not “[</w:t>
      </w:r>
      <w:proofErr w:type="gramStart"/>
      <w:r w:rsidR="004E3110" w:rsidRPr="009C52FB">
        <w:rPr>
          <w:rFonts w:ascii="Garamond" w:hAnsi="Garamond"/>
        </w:rPr>
        <w:t>t]he</w:t>
      </w:r>
      <w:proofErr w:type="gramEnd"/>
      <w:r w:rsidR="004E3110" w:rsidRPr="009C52FB">
        <w:rPr>
          <w:rFonts w:ascii="Garamond" w:hAnsi="Garamond"/>
        </w:rPr>
        <w:t xml:space="preserve"> European Union member states should have a common </w:t>
      </w:r>
      <w:proofErr w:type="spellStart"/>
      <w:r w:rsidR="004E3110" w:rsidRPr="009C52FB">
        <w:rPr>
          <w:rFonts w:ascii="Garamond" w:hAnsi="Garamond"/>
        </w:rPr>
        <w:t>defence</w:t>
      </w:r>
      <w:proofErr w:type="spellEnd"/>
      <w:r w:rsidR="004E3110" w:rsidRPr="009C52FB">
        <w:rPr>
          <w:rFonts w:ascii="Garamond" w:hAnsi="Garamond"/>
        </w:rPr>
        <w:t xml:space="preserve"> and security policy”.</w:t>
      </w:r>
      <w:r w:rsidR="004E3110" w:rsidRPr="009C52FB">
        <w:rPr>
          <w:rStyle w:val="FootnoteReference"/>
          <w:rFonts w:ascii="Garamond" w:hAnsi="Garamond"/>
        </w:rPr>
        <w:footnoteReference w:id="31"/>
      </w:r>
      <w:r w:rsidR="004E3110" w:rsidRPr="009C52FB">
        <w:rPr>
          <w:rFonts w:ascii="Garamond" w:hAnsi="Garamond"/>
        </w:rPr>
        <w:t xml:space="preserve"> At the top level of the results, 65.6% were for, 17.4% against, 11% didn’t </w:t>
      </w:r>
      <w:r w:rsidR="00C834E8" w:rsidRPr="009C52FB">
        <w:rPr>
          <w:rFonts w:ascii="Garamond" w:hAnsi="Garamond"/>
        </w:rPr>
        <w:t>k</w:t>
      </w:r>
      <w:r w:rsidR="004E3110" w:rsidRPr="009C52FB">
        <w:rPr>
          <w:rFonts w:ascii="Garamond" w:hAnsi="Garamond"/>
        </w:rPr>
        <w:t xml:space="preserve">now, and 6% were from European countries outside of the EU, such as Norway, and this question was not relevant to them. This model used a separate question (Q56), about what the role of the future EU army should be, to construct the independent variables and factor analysis. </w:t>
      </w:r>
      <w:r w:rsidR="004E3110" w:rsidRPr="009C52FB">
        <w:rPr>
          <w:rStyle w:val="FootnoteReference"/>
          <w:rFonts w:ascii="Garamond" w:hAnsi="Garamond"/>
        </w:rPr>
        <w:footnoteReference w:id="32"/>
      </w:r>
      <w:r w:rsidR="004E3110" w:rsidRPr="009C52FB">
        <w:rPr>
          <w:rFonts w:ascii="Garamond" w:hAnsi="Garamond"/>
        </w:rPr>
        <w:t xml:space="preserve"> </w:t>
      </w:r>
      <w:r w:rsidR="00A676F8" w:rsidRPr="009C52FB">
        <w:rPr>
          <w:rFonts w:ascii="Garamond" w:hAnsi="Garamond"/>
        </w:rPr>
        <w:t xml:space="preserve"> Hypothesis two tests the internal coherence of clusters of responses, further evaluating the null hypothesis of permissive consensus. Hypothesis three evaluates the responses by sorting them into categories of soft and hard power, to see what respondents think the content of CSDP should be, and the prevalence of each category of power. </w:t>
      </w:r>
    </w:p>
    <w:p w14:paraId="58666984" w14:textId="77777777" w:rsidR="00B25F84" w:rsidRPr="009C52FB" w:rsidRDefault="00B25F84" w:rsidP="00944873">
      <w:pPr>
        <w:jc w:val="both"/>
        <w:rPr>
          <w:rFonts w:ascii="Garamond" w:hAnsi="Garamond"/>
        </w:rPr>
      </w:pPr>
      <w:r w:rsidRPr="009C52FB">
        <w:rPr>
          <w:rFonts w:ascii="Garamond" w:hAnsi="Garamond"/>
        </w:rPr>
        <w:tab/>
        <w:t>We considered the following division between soft and hard power in the model:</w:t>
      </w:r>
    </w:p>
    <w:p w14:paraId="6BEAE30A" w14:textId="77777777" w:rsidR="00B25F84" w:rsidRPr="009C52FB" w:rsidRDefault="00B25F84" w:rsidP="00944873">
      <w:pPr>
        <w:widowControl w:val="0"/>
        <w:autoSpaceDE w:val="0"/>
        <w:autoSpaceDN w:val="0"/>
        <w:adjustRightInd w:val="0"/>
        <w:jc w:val="both"/>
        <w:rPr>
          <w:rFonts w:ascii="Garamond" w:hAnsi="Garamond" w:cs="Times New Roman"/>
        </w:rPr>
      </w:pPr>
      <w:r w:rsidRPr="009C52FB">
        <w:rPr>
          <w:rFonts w:ascii="Garamond" w:hAnsi="Garamond" w:cs="Times New Roman"/>
        </w:rPr>
        <w:t>Hard Power/unilateralism/military power:</w:t>
      </w:r>
    </w:p>
    <w:p w14:paraId="2D14DAAA" w14:textId="2F5B96A4" w:rsidR="00B25F84" w:rsidRPr="009C52FB" w:rsidRDefault="00B25F84" w:rsidP="00944873">
      <w:pPr>
        <w:pStyle w:val="ListParagraph"/>
        <w:widowControl w:val="0"/>
        <w:numPr>
          <w:ilvl w:val="0"/>
          <w:numId w:val="2"/>
        </w:numPr>
        <w:autoSpaceDE w:val="0"/>
        <w:autoSpaceDN w:val="0"/>
        <w:adjustRightInd w:val="0"/>
        <w:jc w:val="both"/>
        <w:rPr>
          <w:rFonts w:ascii="Garamond" w:hAnsi="Garamond" w:cs="Times New Roman"/>
        </w:rPr>
      </w:pPr>
      <w:r w:rsidRPr="009C52FB">
        <w:rPr>
          <w:rFonts w:ascii="Garamond" w:hAnsi="Garamond" w:cs="Times New Roman"/>
        </w:rPr>
        <w:t>Defending the t</w:t>
      </w:r>
      <w:r w:rsidR="00C834E8" w:rsidRPr="009C52FB">
        <w:rPr>
          <w:rFonts w:ascii="Garamond" w:hAnsi="Garamond" w:cs="Times New Roman"/>
        </w:rPr>
        <w:t>erritory of the European Union</w:t>
      </w:r>
    </w:p>
    <w:p w14:paraId="1415721E" w14:textId="77777777" w:rsidR="00B25F84" w:rsidRPr="009C52FB" w:rsidRDefault="00B25F84" w:rsidP="00944873">
      <w:pPr>
        <w:pStyle w:val="ListParagraph"/>
        <w:widowControl w:val="0"/>
        <w:numPr>
          <w:ilvl w:val="0"/>
          <w:numId w:val="2"/>
        </w:numPr>
        <w:autoSpaceDE w:val="0"/>
        <w:autoSpaceDN w:val="0"/>
        <w:adjustRightInd w:val="0"/>
        <w:jc w:val="both"/>
        <w:rPr>
          <w:rFonts w:ascii="Garamond" w:hAnsi="Garamond" w:cs="Times New Roman"/>
        </w:rPr>
      </w:pPr>
      <w:r w:rsidRPr="009C52FB">
        <w:rPr>
          <w:rFonts w:ascii="Garamond" w:hAnsi="Garamond" w:cs="Times New Roman"/>
        </w:rPr>
        <w:t xml:space="preserve">Intervening in conflicts at the borders of the European Union </w:t>
      </w:r>
    </w:p>
    <w:p w14:paraId="15C7B1E2" w14:textId="77777777" w:rsidR="00B25F84" w:rsidRPr="009C52FB" w:rsidRDefault="00B25F84" w:rsidP="00944873">
      <w:pPr>
        <w:pStyle w:val="ListParagraph"/>
        <w:widowControl w:val="0"/>
        <w:numPr>
          <w:ilvl w:val="0"/>
          <w:numId w:val="2"/>
        </w:numPr>
        <w:autoSpaceDE w:val="0"/>
        <w:autoSpaceDN w:val="0"/>
        <w:adjustRightInd w:val="0"/>
        <w:jc w:val="both"/>
        <w:rPr>
          <w:rFonts w:ascii="Garamond" w:hAnsi="Garamond" w:cs="Times New Roman"/>
        </w:rPr>
      </w:pPr>
      <w:r w:rsidRPr="009C52FB">
        <w:rPr>
          <w:rFonts w:ascii="Garamond" w:hAnsi="Garamond" w:cs="Times New Roman"/>
        </w:rPr>
        <w:t xml:space="preserve">Intervening in conflicts in other parts of the world </w:t>
      </w:r>
    </w:p>
    <w:p w14:paraId="28FFDB6F" w14:textId="77777777" w:rsidR="00B25F84" w:rsidRPr="009C52FB" w:rsidRDefault="00B25F84" w:rsidP="00944873">
      <w:pPr>
        <w:pStyle w:val="ListParagraph"/>
        <w:widowControl w:val="0"/>
        <w:numPr>
          <w:ilvl w:val="0"/>
          <w:numId w:val="2"/>
        </w:numPr>
        <w:autoSpaceDE w:val="0"/>
        <w:autoSpaceDN w:val="0"/>
        <w:adjustRightInd w:val="0"/>
        <w:jc w:val="both"/>
        <w:rPr>
          <w:rFonts w:ascii="Garamond" w:hAnsi="Garamond" w:cs="Times New Roman"/>
        </w:rPr>
      </w:pPr>
      <w:r w:rsidRPr="009C52FB">
        <w:rPr>
          <w:rFonts w:ascii="Garamond" w:hAnsi="Garamond" w:cs="Times New Roman"/>
        </w:rPr>
        <w:t xml:space="preserve">Taking part in peace-keeping missions outside the E.U., </w:t>
      </w:r>
      <w:r w:rsidRPr="009C52FB">
        <w:rPr>
          <w:rFonts w:ascii="Garamond" w:hAnsi="Garamond" w:cs="Times New Roman"/>
          <w:i/>
        </w:rPr>
        <w:t>without</w:t>
      </w:r>
      <w:r w:rsidRPr="009C52FB">
        <w:rPr>
          <w:rFonts w:ascii="Garamond" w:hAnsi="Garamond" w:cs="Times New Roman"/>
        </w:rPr>
        <w:t xml:space="preserve"> the U.N.'s agreement </w:t>
      </w:r>
    </w:p>
    <w:p w14:paraId="7A91EADE" w14:textId="77777777" w:rsidR="00B25F84" w:rsidRPr="009C52FB" w:rsidRDefault="00B25F84" w:rsidP="00944873">
      <w:pPr>
        <w:pStyle w:val="ListParagraph"/>
        <w:widowControl w:val="0"/>
        <w:autoSpaceDE w:val="0"/>
        <w:autoSpaceDN w:val="0"/>
        <w:adjustRightInd w:val="0"/>
        <w:jc w:val="both"/>
        <w:rPr>
          <w:rFonts w:ascii="Garamond" w:hAnsi="Garamond" w:cs="Times New Roman"/>
        </w:rPr>
      </w:pPr>
    </w:p>
    <w:p w14:paraId="4AEC33AB" w14:textId="77777777" w:rsidR="00B25F84" w:rsidRPr="009C52FB" w:rsidRDefault="00B25F84" w:rsidP="00944873">
      <w:pPr>
        <w:widowControl w:val="0"/>
        <w:autoSpaceDE w:val="0"/>
        <w:autoSpaceDN w:val="0"/>
        <w:adjustRightInd w:val="0"/>
        <w:jc w:val="both"/>
        <w:rPr>
          <w:rFonts w:ascii="Garamond" w:hAnsi="Garamond" w:cs="Times New Roman"/>
        </w:rPr>
      </w:pPr>
      <w:r w:rsidRPr="009C52FB">
        <w:rPr>
          <w:rFonts w:ascii="Garamond" w:hAnsi="Garamond" w:cs="Times New Roman"/>
        </w:rPr>
        <w:t>Soft Power/multilateralism/civilian power:</w:t>
      </w:r>
    </w:p>
    <w:p w14:paraId="62870C0C"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r w:rsidRPr="009C52FB">
        <w:rPr>
          <w:rFonts w:ascii="Garamond" w:hAnsi="Garamond" w:cs="Times New Roman"/>
        </w:rPr>
        <w:t xml:space="preserve">Guaranteeing peace in the European Union </w:t>
      </w:r>
    </w:p>
    <w:p w14:paraId="71E61BE5"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r w:rsidRPr="009C52FB">
        <w:rPr>
          <w:rFonts w:ascii="Garamond" w:hAnsi="Garamond" w:cs="Times New Roman"/>
        </w:rPr>
        <w:t xml:space="preserve">Repatriating Europeans who are in areas where there is a conflict </w:t>
      </w:r>
    </w:p>
    <w:p w14:paraId="23C923D8"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r w:rsidRPr="009C52FB">
        <w:rPr>
          <w:rFonts w:ascii="Garamond" w:hAnsi="Garamond" w:cs="Times New Roman"/>
        </w:rPr>
        <w:t xml:space="preserve">Intervening in case of natural, ecological or nuclear disaster in Europe </w:t>
      </w:r>
    </w:p>
    <w:p w14:paraId="60AE7404" w14:textId="36E30823" w:rsidR="00B25F84" w:rsidRPr="009C52FB" w:rsidRDefault="0049305B" w:rsidP="00944873">
      <w:pPr>
        <w:pStyle w:val="ListParagraph"/>
        <w:widowControl w:val="0"/>
        <w:numPr>
          <w:ilvl w:val="0"/>
          <w:numId w:val="3"/>
        </w:numPr>
        <w:autoSpaceDE w:val="0"/>
        <w:autoSpaceDN w:val="0"/>
        <w:adjustRightInd w:val="0"/>
        <w:jc w:val="both"/>
        <w:rPr>
          <w:rFonts w:ascii="Garamond" w:hAnsi="Garamond" w:cs="Times New Roman"/>
        </w:rPr>
      </w:pPr>
      <w:r>
        <w:rPr>
          <w:rFonts w:ascii="Garamond" w:hAnsi="Garamond" w:cs="Times New Roman"/>
        </w:rPr>
        <w:t>Interven</w:t>
      </w:r>
      <w:r w:rsidR="00B25F84" w:rsidRPr="009C52FB">
        <w:rPr>
          <w:rFonts w:ascii="Garamond" w:hAnsi="Garamond" w:cs="Times New Roman"/>
        </w:rPr>
        <w:t>in</w:t>
      </w:r>
      <w:r>
        <w:rPr>
          <w:rFonts w:ascii="Garamond" w:hAnsi="Garamond" w:cs="Times New Roman"/>
        </w:rPr>
        <w:t>g in</w:t>
      </w:r>
      <w:r w:rsidR="00C834E8" w:rsidRPr="009C52FB">
        <w:rPr>
          <w:rFonts w:ascii="Garamond" w:hAnsi="Garamond" w:cs="Times New Roman"/>
        </w:rPr>
        <w:t xml:space="preserve"> oth</w:t>
      </w:r>
      <w:r>
        <w:rPr>
          <w:rFonts w:ascii="Garamond" w:hAnsi="Garamond" w:cs="Times New Roman"/>
        </w:rPr>
        <w:t>er</w:t>
      </w:r>
      <w:r w:rsidR="00C834E8" w:rsidRPr="009C52FB">
        <w:rPr>
          <w:rFonts w:ascii="Garamond" w:hAnsi="Garamond" w:cs="Times New Roman"/>
        </w:rPr>
        <w:t xml:space="preserve"> parts of the world (natural</w:t>
      </w:r>
      <w:r w:rsidR="00B25F84" w:rsidRPr="009C52FB">
        <w:rPr>
          <w:rFonts w:ascii="Garamond" w:hAnsi="Garamond" w:cs="Times New Roman"/>
        </w:rPr>
        <w:t>, ec</w:t>
      </w:r>
      <w:r w:rsidR="00C834E8" w:rsidRPr="009C52FB">
        <w:rPr>
          <w:rFonts w:ascii="Garamond" w:hAnsi="Garamond" w:cs="Times New Roman"/>
        </w:rPr>
        <w:t>ol. or nucl</w:t>
      </w:r>
      <w:r>
        <w:rPr>
          <w:rFonts w:ascii="Garamond" w:hAnsi="Garamond" w:cs="Times New Roman"/>
        </w:rPr>
        <w:t>ear</w:t>
      </w:r>
      <w:r w:rsidR="00C834E8" w:rsidRPr="009C52FB">
        <w:rPr>
          <w:rFonts w:ascii="Garamond" w:hAnsi="Garamond" w:cs="Times New Roman"/>
        </w:rPr>
        <w:t xml:space="preserve"> disast</w:t>
      </w:r>
      <w:r>
        <w:rPr>
          <w:rFonts w:ascii="Garamond" w:hAnsi="Garamond" w:cs="Times New Roman"/>
        </w:rPr>
        <w:t>er</w:t>
      </w:r>
      <w:r w:rsidR="00C834E8" w:rsidRPr="009C52FB">
        <w:rPr>
          <w:rFonts w:ascii="Garamond" w:hAnsi="Garamond" w:cs="Times New Roman"/>
        </w:rPr>
        <w:t xml:space="preserve">, </w:t>
      </w:r>
      <w:r w:rsidR="00B25F84" w:rsidRPr="009C52FB">
        <w:rPr>
          <w:rFonts w:ascii="Garamond" w:hAnsi="Garamond" w:cs="Times New Roman"/>
        </w:rPr>
        <w:t>famine, or cleaning minefields</w:t>
      </w:r>
      <w:r w:rsidR="00C834E8" w:rsidRPr="009C52FB">
        <w:rPr>
          <w:rFonts w:ascii="Garamond" w:hAnsi="Garamond" w:cs="Times New Roman"/>
        </w:rPr>
        <w:t>)</w:t>
      </w:r>
    </w:p>
    <w:p w14:paraId="1FA598CB"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r w:rsidRPr="009C52FB">
        <w:rPr>
          <w:rFonts w:ascii="Garamond" w:hAnsi="Garamond" w:cs="Times New Roman"/>
        </w:rPr>
        <w:t xml:space="preserve">Taking part in peace-keeping mission outside the E.U., </w:t>
      </w:r>
      <w:r w:rsidRPr="009C52FB">
        <w:rPr>
          <w:rFonts w:ascii="Garamond" w:hAnsi="Garamond" w:cs="Times New Roman"/>
          <w:i/>
        </w:rPr>
        <w:t>decided by the U.N</w:t>
      </w:r>
      <w:r w:rsidRPr="009C52FB">
        <w:rPr>
          <w:rFonts w:ascii="Garamond" w:hAnsi="Garamond" w:cs="Times New Roman"/>
        </w:rPr>
        <w:t xml:space="preserve">. (UN troops) </w:t>
      </w:r>
    </w:p>
    <w:p w14:paraId="2EE36755"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r w:rsidRPr="009C52FB">
        <w:rPr>
          <w:rFonts w:ascii="Garamond" w:hAnsi="Garamond" w:cs="Times New Roman"/>
        </w:rPr>
        <w:t xml:space="preserve">Defending Human Rights </w:t>
      </w:r>
    </w:p>
    <w:p w14:paraId="64FFFB92"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r w:rsidRPr="009C52FB">
        <w:rPr>
          <w:rFonts w:ascii="Garamond" w:hAnsi="Garamond" w:cs="Times New Roman"/>
        </w:rPr>
        <w:t xml:space="preserve">Carrying out humanitarian missions </w:t>
      </w:r>
    </w:p>
    <w:p w14:paraId="4B630C1F"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r w:rsidRPr="009C52FB">
        <w:rPr>
          <w:rFonts w:ascii="Garamond" w:hAnsi="Garamond" w:cs="Times New Roman"/>
        </w:rPr>
        <w:t xml:space="preserve">Defending the economic interests of the European Union </w:t>
      </w:r>
    </w:p>
    <w:p w14:paraId="31D4D34F" w14:textId="77777777" w:rsidR="00B25F84" w:rsidRPr="009C52FB" w:rsidRDefault="00B25F84" w:rsidP="00944873">
      <w:pPr>
        <w:pStyle w:val="ListParagraph"/>
        <w:widowControl w:val="0"/>
        <w:numPr>
          <w:ilvl w:val="0"/>
          <w:numId w:val="3"/>
        </w:numPr>
        <w:autoSpaceDE w:val="0"/>
        <w:autoSpaceDN w:val="0"/>
        <w:adjustRightInd w:val="0"/>
        <w:jc w:val="both"/>
        <w:rPr>
          <w:rFonts w:ascii="Garamond" w:hAnsi="Garamond" w:cs="Times New Roman"/>
        </w:rPr>
      </w:pPr>
      <w:proofErr w:type="spellStart"/>
      <w:r w:rsidRPr="009C52FB">
        <w:rPr>
          <w:rFonts w:ascii="Garamond" w:hAnsi="Garamond" w:cs="Times New Roman"/>
        </w:rPr>
        <w:t>Symbolising</w:t>
      </w:r>
      <w:proofErr w:type="spellEnd"/>
      <w:r w:rsidRPr="009C52FB">
        <w:rPr>
          <w:rFonts w:ascii="Garamond" w:hAnsi="Garamond" w:cs="Times New Roman"/>
        </w:rPr>
        <w:t xml:space="preserve"> a European identity </w:t>
      </w:r>
    </w:p>
    <w:p w14:paraId="4CBB5391" w14:textId="77777777" w:rsidR="00B25F84" w:rsidRPr="009C52FB" w:rsidRDefault="00B25F84" w:rsidP="00944873">
      <w:pPr>
        <w:jc w:val="both"/>
        <w:rPr>
          <w:rFonts w:ascii="Garamond" w:hAnsi="Garamond"/>
        </w:rPr>
      </w:pPr>
    </w:p>
    <w:p w14:paraId="4981C1A9" w14:textId="77777777" w:rsidR="0080269D" w:rsidRPr="009C52FB" w:rsidRDefault="00B25F84" w:rsidP="00944873">
      <w:pPr>
        <w:jc w:val="both"/>
        <w:rPr>
          <w:rFonts w:ascii="Garamond" w:hAnsi="Garamond"/>
        </w:rPr>
      </w:pPr>
      <w:r w:rsidRPr="009C52FB">
        <w:rPr>
          <w:rFonts w:ascii="Garamond" w:hAnsi="Garamond"/>
        </w:rPr>
        <w:tab/>
        <w:t>In order to evaluate hypothesis four, we intend to construct a model of support for CSDP with preferences over defense spending versus other fiscal categories, both within Europe and as a comparison to the US. Currently we provide descriptive statistics about the European public.</w:t>
      </w:r>
    </w:p>
    <w:p w14:paraId="11EF3E06" w14:textId="77777777" w:rsidR="0080269D" w:rsidRPr="009C52FB" w:rsidRDefault="0080269D" w:rsidP="00944873">
      <w:pPr>
        <w:pStyle w:val="Heading1"/>
        <w:jc w:val="both"/>
        <w:rPr>
          <w:rFonts w:ascii="Garamond" w:hAnsi="Garamond"/>
          <w:sz w:val="24"/>
          <w:szCs w:val="24"/>
        </w:rPr>
      </w:pPr>
      <w:r w:rsidRPr="009C52FB">
        <w:rPr>
          <w:rFonts w:ascii="Garamond" w:hAnsi="Garamond"/>
          <w:sz w:val="24"/>
          <w:szCs w:val="24"/>
        </w:rPr>
        <w:t>Results</w:t>
      </w:r>
    </w:p>
    <w:p w14:paraId="222B268D" w14:textId="77777777" w:rsidR="00694805" w:rsidRPr="009C52FB" w:rsidRDefault="00694805" w:rsidP="00944873">
      <w:pPr>
        <w:jc w:val="both"/>
        <w:rPr>
          <w:rFonts w:ascii="Garamond" w:hAnsi="Garamond"/>
        </w:rPr>
      </w:pPr>
    </w:p>
    <w:p w14:paraId="36C6AC3B" w14:textId="77777777" w:rsidR="00133D3A" w:rsidRPr="009C52FB" w:rsidRDefault="00694805" w:rsidP="00944873">
      <w:pPr>
        <w:jc w:val="both"/>
        <w:rPr>
          <w:rFonts w:ascii="Garamond" w:hAnsi="Garamond"/>
        </w:rPr>
      </w:pPr>
      <w:r w:rsidRPr="009C52FB">
        <w:rPr>
          <w:rFonts w:ascii="Garamond" w:hAnsi="Garamond"/>
        </w:rPr>
        <w:tab/>
      </w:r>
      <w:r w:rsidR="00133D3A" w:rsidRPr="009C52FB">
        <w:rPr>
          <w:rFonts w:ascii="Garamond" w:hAnsi="Garamond"/>
        </w:rPr>
        <w:t>Hypothesis 1 tested the degree to which individuals who support CSDP are knowledgeable about politics and EU policies. We expected that individuals supporting CSDP are knowledgeable about the EU, and are not reacting in simplistic ways to the survey prompts. When they support CSDP, they know what they are supporting.</w:t>
      </w:r>
    </w:p>
    <w:p w14:paraId="07B57DBA" w14:textId="0EECD0B3" w:rsidR="00694805" w:rsidRPr="009C52FB" w:rsidRDefault="00133D3A" w:rsidP="00944873">
      <w:pPr>
        <w:jc w:val="both"/>
        <w:rPr>
          <w:rFonts w:ascii="Garamond" w:hAnsi="Garamond"/>
        </w:rPr>
      </w:pPr>
      <w:r w:rsidRPr="009C52FB">
        <w:rPr>
          <w:rFonts w:ascii="Garamond" w:hAnsi="Garamond"/>
        </w:rPr>
        <w:tab/>
        <w:t>We first tested this hypothesis by looking at levels of political knowledge and engagement. Figure 2 shows the predicted percent supporting CSDP for levels of political knowledge/engagement.  Each model used logistic regression to create the predicted percentages for each level of political knowledge/engagement.  As Table 2 shows, support for common defense and security policy is strongest among those who are most interested, feel the most informed, and rank highest on the leadership index.  Across all three models, citizens who scored lowest on the knowledge and engagement measures were predicted to show about 42-44% support for European determined security policy while those scoring highest had predicted support levels around 56-60%.  Moreover, support for common defense and security policy is also strongest among those with the highest level of education (data not shown).</w:t>
      </w:r>
      <w:r w:rsidRPr="009C52FB">
        <w:rPr>
          <w:rStyle w:val="FootnoteReference"/>
          <w:rFonts w:ascii="Garamond" w:hAnsi="Garamond"/>
        </w:rPr>
        <w:footnoteReference w:id="33"/>
      </w:r>
      <w:r w:rsidRPr="009C52FB">
        <w:rPr>
          <w:rFonts w:ascii="Garamond" w:hAnsi="Garamond"/>
        </w:rPr>
        <w:t xml:space="preserve"> </w:t>
      </w:r>
      <w:r w:rsidR="00694805" w:rsidRPr="009C52FB">
        <w:rPr>
          <w:rFonts w:ascii="Garamond" w:hAnsi="Garamond"/>
        </w:rPr>
        <w:t>Knowledge about the EU was a stronger predictor of support for CSDP than even degrees of European identity (European only or European with national identity).</w:t>
      </w:r>
      <w:r w:rsidR="00DE06A6" w:rsidRPr="009C52FB">
        <w:rPr>
          <w:rFonts w:ascii="Garamond" w:hAnsi="Garamond"/>
        </w:rPr>
        <w:t xml:space="preserve"> </w:t>
      </w:r>
    </w:p>
    <w:p w14:paraId="58A4EC9C" w14:textId="77777777" w:rsidR="0080269D" w:rsidRPr="009C52FB" w:rsidRDefault="0080269D" w:rsidP="00944873">
      <w:pPr>
        <w:jc w:val="both"/>
        <w:rPr>
          <w:rFonts w:ascii="Garamond" w:hAnsi="Garamond"/>
        </w:rPr>
      </w:pPr>
    </w:p>
    <w:p w14:paraId="4A1604AC" w14:textId="77777777" w:rsidR="00694805" w:rsidRPr="009C52FB" w:rsidRDefault="00694805" w:rsidP="00944873">
      <w:pPr>
        <w:jc w:val="both"/>
        <w:rPr>
          <w:rFonts w:ascii="Garamond" w:hAnsi="Garamond"/>
        </w:rPr>
      </w:pPr>
    </w:p>
    <w:p w14:paraId="49BE18D2" w14:textId="77777777" w:rsidR="00694805" w:rsidRPr="009C52FB" w:rsidRDefault="00694805" w:rsidP="003A0CA4">
      <w:pPr>
        <w:jc w:val="center"/>
        <w:rPr>
          <w:rFonts w:ascii="Garamond" w:hAnsi="Garamond"/>
        </w:rPr>
      </w:pPr>
      <w:r w:rsidRPr="009C52FB">
        <w:rPr>
          <w:rFonts w:ascii="Garamond" w:hAnsi="Garamond"/>
          <w:noProof/>
        </w:rPr>
        <w:drawing>
          <wp:inline distT="0" distB="0" distL="0" distR="0" wp14:anchorId="52325653" wp14:editId="0351EE24">
            <wp:extent cx="4775200" cy="3716020"/>
            <wp:effectExtent l="0" t="0" r="25400" b="17780"/>
            <wp:docPr id="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819A7C" w14:textId="77777777" w:rsidR="00694805" w:rsidRPr="009C52FB" w:rsidRDefault="00694805" w:rsidP="00944873">
      <w:pPr>
        <w:jc w:val="both"/>
        <w:rPr>
          <w:rFonts w:ascii="Garamond" w:hAnsi="Garamond"/>
        </w:rPr>
      </w:pPr>
    </w:p>
    <w:p w14:paraId="31104563" w14:textId="7099DDB3" w:rsidR="00836F4D" w:rsidRPr="00733F64" w:rsidRDefault="006F0FCD" w:rsidP="00733F64">
      <w:pPr>
        <w:jc w:val="center"/>
        <w:rPr>
          <w:rFonts w:ascii="Garamond" w:hAnsi="Garamond"/>
          <w:b/>
        </w:rPr>
      </w:pPr>
      <w:r w:rsidRPr="00733F64">
        <w:rPr>
          <w:rFonts w:ascii="Garamond" w:hAnsi="Garamond"/>
          <w:b/>
        </w:rPr>
        <w:t>Figure 2</w:t>
      </w:r>
      <w:r w:rsidR="0080269D" w:rsidRPr="00733F64">
        <w:rPr>
          <w:rFonts w:ascii="Garamond" w:hAnsi="Garamond"/>
          <w:b/>
        </w:rPr>
        <w:t>: Predicted Support for CSDP, by Level of Political Knowledge and Engagement</w:t>
      </w:r>
    </w:p>
    <w:p w14:paraId="5842C599" w14:textId="77777777" w:rsidR="00836F4D" w:rsidRPr="009C52FB" w:rsidRDefault="00836F4D" w:rsidP="00944873">
      <w:pPr>
        <w:jc w:val="both"/>
        <w:rPr>
          <w:rFonts w:ascii="Garamond" w:hAnsi="Garamond"/>
        </w:rPr>
      </w:pPr>
      <w:r w:rsidRPr="009C52FB">
        <w:rPr>
          <w:rFonts w:ascii="Garamond" w:hAnsi="Garamond"/>
        </w:rPr>
        <w:tab/>
      </w:r>
    </w:p>
    <w:p w14:paraId="4A2B84A0" w14:textId="48AE12F4" w:rsidR="00133D3A" w:rsidRPr="009C52FB" w:rsidRDefault="00836F4D" w:rsidP="00944873">
      <w:pPr>
        <w:jc w:val="both"/>
        <w:rPr>
          <w:rFonts w:ascii="Garamond" w:hAnsi="Garamond"/>
        </w:rPr>
      </w:pPr>
      <w:r w:rsidRPr="009C52FB">
        <w:rPr>
          <w:rFonts w:ascii="Garamond" w:hAnsi="Garamond"/>
        </w:rPr>
        <w:tab/>
      </w:r>
      <w:r w:rsidR="00133D3A" w:rsidRPr="009C52FB">
        <w:rPr>
          <w:rFonts w:ascii="Garamond" w:hAnsi="Garamond"/>
        </w:rPr>
        <w:t>Another method for estimating the distribution/degree of certainty and uncertainty amongst individuals in a population is to measure the degree of “don’t knows” in response to a particular policy domain compared to other policy domains.  If the permissive consensus hypothesis was correct, where there is both uncertainty combined with shallow support for an area of high politics, one would expect to find a low level of individuals responding with “Don’t Know” rather than “Yes” (</w:t>
      </w:r>
      <w:proofErr w:type="spellStart"/>
      <w:r w:rsidR="00133D3A" w:rsidRPr="009C52FB">
        <w:rPr>
          <w:rFonts w:ascii="Garamond" w:hAnsi="Garamond"/>
        </w:rPr>
        <w:t>Zaller</w:t>
      </w:r>
      <w:proofErr w:type="spellEnd"/>
      <w:r w:rsidR="00133D3A" w:rsidRPr="009C52FB">
        <w:rPr>
          <w:rFonts w:ascii="Garamond" w:hAnsi="Garamond"/>
        </w:rPr>
        <w:t xml:space="preserve"> 1992).  This is in contrast to more salient and controversial ‘low’ policies such as welfare or education, where individual support for a policy would be deeper and clearer, indicated by fewer “Don’t Know” responses.  Put simply, if the permissive consensus hypothesis is correct, then there should be greater instances of “non-attitudes” (Converse 1970), indicated by the percent of people responding “Don’t Know”.  In fact, the percent of “Don’t Know” responses for the security variable (CPSECUR) was actually lower than the percent for most of the other EU domain variables.  Out of the 19 EU domain variables, 12 had higher levels of “Don’t Know” responses.</w:t>
      </w:r>
      <w:r w:rsidR="00133D3A" w:rsidRPr="009C52FB">
        <w:rPr>
          <w:rStyle w:val="FootnoteReference"/>
          <w:rFonts w:ascii="Garamond" w:hAnsi="Garamond"/>
        </w:rPr>
        <w:footnoteReference w:id="34"/>
      </w:r>
      <w:r w:rsidR="00133D3A" w:rsidRPr="009C52FB">
        <w:rPr>
          <w:rFonts w:ascii="Garamond" w:hAnsi="Garamond"/>
        </w:rPr>
        <w:t xml:space="preserve"> </w:t>
      </w:r>
    </w:p>
    <w:p w14:paraId="5BE27D9E" w14:textId="762D7D44" w:rsidR="0080269D" w:rsidRPr="009C52FB" w:rsidRDefault="0080269D" w:rsidP="00944873">
      <w:pPr>
        <w:jc w:val="both"/>
        <w:rPr>
          <w:rFonts w:ascii="Garamond" w:hAnsi="Garamond"/>
        </w:rPr>
      </w:pPr>
    </w:p>
    <w:p w14:paraId="1AF9FC9A" w14:textId="77777777" w:rsidR="00836F4D" w:rsidRPr="009C52FB" w:rsidRDefault="00694805" w:rsidP="00944873">
      <w:pPr>
        <w:jc w:val="both"/>
        <w:rPr>
          <w:rFonts w:ascii="Garamond" w:hAnsi="Garamond"/>
        </w:rPr>
      </w:pPr>
      <w:r w:rsidRPr="009C52FB">
        <w:rPr>
          <w:rFonts w:ascii="Garamond" w:hAnsi="Garamond"/>
        </w:rPr>
        <w:tab/>
        <w:t xml:space="preserve">Hypothesis two is closely related to hypothesis one. </w:t>
      </w:r>
      <w:r w:rsidR="00836F4D" w:rsidRPr="009C52FB">
        <w:rPr>
          <w:rFonts w:ascii="Garamond" w:hAnsi="Garamond"/>
        </w:rPr>
        <w:t xml:space="preserve"> If individuals support a policy such as CSDP, they should have stable preferences over the content of CSDP policy.  We expected the preferences to be stable and group into clusters of results that align with different preferences over the use of military power at the EU level. Table 1 shows the percent of respondents who mentioned each item as being an appropriate role for </w:t>
      </w:r>
      <w:proofErr w:type="gramStart"/>
      <w:r w:rsidR="00836F4D" w:rsidRPr="009C52FB">
        <w:rPr>
          <w:rFonts w:ascii="Garamond" w:hAnsi="Garamond"/>
        </w:rPr>
        <w:t>an</w:t>
      </w:r>
      <w:proofErr w:type="gramEnd"/>
      <w:r w:rsidR="00836F4D" w:rsidRPr="009C52FB">
        <w:rPr>
          <w:rFonts w:ascii="Garamond" w:hAnsi="Garamond"/>
        </w:rPr>
        <w:t xml:space="preserve"> EU army, from the highest percent of mentions to the lowest.  The second column is the percent among those who oppose a CSDP</w:t>
      </w:r>
      <w:r w:rsidR="00836F4D" w:rsidRPr="009C52FB">
        <w:rPr>
          <w:rStyle w:val="FootnoteReference"/>
          <w:rFonts w:ascii="Garamond" w:hAnsi="Garamond"/>
        </w:rPr>
        <w:footnoteReference w:id="35"/>
      </w:r>
      <w:r w:rsidR="00836F4D" w:rsidRPr="009C52FB">
        <w:rPr>
          <w:rFonts w:ascii="Garamond" w:hAnsi="Garamond"/>
        </w:rPr>
        <w:t xml:space="preserve"> while the last column is the percent among those who support a CSDP. </w:t>
      </w:r>
      <w:r w:rsidR="00DE06A6" w:rsidRPr="009C52FB">
        <w:rPr>
          <w:rFonts w:ascii="Garamond" w:hAnsi="Garamond"/>
        </w:rPr>
        <w:t xml:space="preserve">At the most basic level, those who oppose </w:t>
      </w:r>
      <w:proofErr w:type="gramStart"/>
      <w:r w:rsidR="00DE06A6" w:rsidRPr="009C52FB">
        <w:rPr>
          <w:rFonts w:ascii="Garamond" w:hAnsi="Garamond"/>
        </w:rPr>
        <w:t>an</w:t>
      </w:r>
      <w:proofErr w:type="gramEnd"/>
      <w:r w:rsidR="00DE06A6" w:rsidRPr="009C52FB">
        <w:rPr>
          <w:rFonts w:ascii="Garamond" w:hAnsi="Garamond"/>
        </w:rPr>
        <w:t xml:space="preserve"> EU army also do not think there should be an EU army, </w:t>
      </w:r>
      <w:r w:rsidR="00FA21D2" w:rsidRPr="009C52FB">
        <w:rPr>
          <w:rFonts w:ascii="Garamond" w:hAnsi="Garamond"/>
        </w:rPr>
        <w:t xml:space="preserve">but both responses for and against CSDP seem to understand the real implications of military force. Respondents both against and for CSDP seem to explain the role of a theoretical EU army as one that would be an entity fulfilling conventional or hard military power roles, as well as softer humanitarian or human rights functions. It does not appear from Table 1 that respondents take a soft or idealistic stance towards the role of power at the common European level. </w:t>
      </w:r>
    </w:p>
    <w:p w14:paraId="2039588E" w14:textId="77777777" w:rsidR="00CB1BEB" w:rsidRPr="009C52FB" w:rsidRDefault="00CB1BEB" w:rsidP="00944873">
      <w:pPr>
        <w:jc w:val="both"/>
      </w:pPr>
    </w:p>
    <w:tbl>
      <w:tblPr>
        <w:tblW w:w="6584" w:type="dxa"/>
        <w:jc w:val="center"/>
        <w:tblInd w:w="93" w:type="dxa"/>
        <w:tblLook w:val="04A0" w:firstRow="1" w:lastRow="0" w:firstColumn="1" w:lastColumn="0" w:noHBand="0" w:noVBand="1"/>
      </w:tblPr>
      <w:tblGrid>
        <w:gridCol w:w="3562"/>
        <w:gridCol w:w="1420"/>
        <w:gridCol w:w="1602"/>
      </w:tblGrid>
      <w:tr w:rsidR="00CB1BEB" w:rsidRPr="0049305B" w14:paraId="5D9F1990" w14:textId="77777777" w:rsidTr="008467B8">
        <w:trPr>
          <w:trHeight w:val="441"/>
          <w:jc w:val="center"/>
        </w:trPr>
        <w:tc>
          <w:tcPr>
            <w:tcW w:w="3562" w:type="dxa"/>
            <w:tcBorders>
              <w:top w:val="nil"/>
              <w:left w:val="nil"/>
              <w:bottom w:val="nil"/>
              <w:right w:val="nil"/>
            </w:tcBorders>
            <w:shd w:val="clear" w:color="auto" w:fill="auto"/>
            <w:vAlign w:val="bottom"/>
            <w:hideMark/>
          </w:tcPr>
          <w:p w14:paraId="5307148E" w14:textId="77777777" w:rsidR="00CB1BEB" w:rsidRPr="0049305B" w:rsidRDefault="00CB1BEB" w:rsidP="00944873">
            <w:pPr>
              <w:jc w:val="both"/>
              <w:rPr>
                <w:rFonts w:ascii="Garamond" w:eastAsia="Times New Roman" w:hAnsi="Garamond" w:cs="Times New Roman"/>
                <w:color w:val="000000"/>
              </w:rPr>
            </w:pPr>
          </w:p>
        </w:tc>
        <w:tc>
          <w:tcPr>
            <w:tcW w:w="3022" w:type="dxa"/>
            <w:gridSpan w:val="2"/>
            <w:tcBorders>
              <w:top w:val="nil"/>
              <w:left w:val="nil"/>
              <w:bottom w:val="nil"/>
              <w:right w:val="nil"/>
            </w:tcBorders>
            <w:shd w:val="clear" w:color="auto" w:fill="auto"/>
            <w:vAlign w:val="bottom"/>
            <w:hideMark/>
          </w:tcPr>
          <w:p w14:paraId="51AC64AD"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Common Defense (Q29)</w:t>
            </w:r>
          </w:p>
        </w:tc>
      </w:tr>
      <w:tr w:rsidR="00CB1BEB" w:rsidRPr="0049305B" w14:paraId="5D8949D9" w14:textId="77777777" w:rsidTr="009710B0">
        <w:trPr>
          <w:trHeight w:val="360"/>
          <w:jc w:val="center"/>
        </w:trPr>
        <w:tc>
          <w:tcPr>
            <w:tcW w:w="3562" w:type="dxa"/>
            <w:tcBorders>
              <w:top w:val="nil"/>
              <w:left w:val="nil"/>
              <w:bottom w:val="single" w:sz="4" w:space="0" w:color="auto"/>
              <w:right w:val="nil"/>
            </w:tcBorders>
            <w:shd w:val="clear" w:color="auto" w:fill="auto"/>
            <w:vAlign w:val="bottom"/>
            <w:hideMark/>
          </w:tcPr>
          <w:p w14:paraId="3BA4858D" w14:textId="748BDF03" w:rsidR="009710B0"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Q56 Role of EU Army</w:t>
            </w:r>
          </w:p>
        </w:tc>
        <w:tc>
          <w:tcPr>
            <w:tcW w:w="1420" w:type="dxa"/>
            <w:tcBorders>
              <w:top w:val="nil"/>
              <w:left w:val="nil"/>
              <w:bottom w:val="single" w:sz="4" w:space="0" w:color="auto"/>
              <w:right w:val="nil"/>
            </w:tcBorders>
            <w:shd w:val="clear" w:color="auto" w:fill="auto"/>
            <w:vAlign w:val="bottom"/>
            <w:hideMark/>
          </w:tcPr>
          <w:p w14:paraId="31A43CB4"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Oppose</w:t>
            </w:r>
          </w:p>
        </w:tc>
        <w:tc>
          <w:tcPr>
            <w:tcW w:w="1602" w:type="dxa"/>
            <w:tcBorders>
              <w:top w:val="nil"/>
              <w:left w:val="nil"/>
              <w:bottom w:val="single" w:sz="4" w:space="0" w:color="auto"/>
              <w:right w:val="nil"/>
            </w:tcBorders>
            <w:shd w:val="clear" w:color="auto" w:fill="auto"/>
            <w:vAlign w:val="bottom"/>
            <w:hideMark/>
          </w:tcPr>
          <w:p w14:paraId="04B98E00"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Support</w:t>
            </w:r>
          </w:p>
        </w:tc>
      </w:tr>
      <w:tr w:rsidR="00CB1BEB" w:rsidRPr="0049305B" w14:paraId="376355F6" w14:textId="77777777" w:rsidTr="008467B8">
        <w:trPr>
          <w:trHeight w:val="521"/>
          <w:jc w:val="center"/>
        </w:trPr>
        <w:tc>
          <w:tcPr>
            <w:tcW w:w="3562" w:type="dxa"/>
            <w:tcBorders>
              <w:top w:val="single" w:sz="4" w:space="0" w:color="auto"/>
              <w:left w:val="nil"/>
              <w:bottom w:val="nil"/>
              <w:right w:val="nil"/>
            </w:tcBorders>
            <w:shd w:val="clear" w:color="auto" w:fill="auto"/>
            <w:vAlign w:val="bottom"/>
            <w:hideMark/>
          </w:tcPr>
          <w:p w14:paraId="76E2FE58"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Defend Territory</w:t>
            </w:r>
          </w:p>
        </w:tc>
        <w:tc>
          <w:tcPr>
            <w:tcW w:w="1420" w:type="dxa"/>
            <w:tcBorders>
              <w:top w:val="single" w:sz="4" w:space="0" w:color="auto"/>
              <w:left w:val="nil"/>
              <w:bottom w:val="nil"/>
              <w:right w:val="nil"/>
            </w:tcBorders>
            <w:shd w:val="clear" w:color="auto" w:fill="auto"/>
            <w:vAlign w:val="bottom"/>
            <w:hideMark/>
          </w:tcPr>
          <w:p w14:paraId="7D44611D"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54.10%</w:t>
            </w:r>
          </w:p>
        </w:tc>
        <w:tc>
          <w:tcPr>
            <w:tcW w:w="1602" w:type="dxa"/>
            <w:tcBorders>
              <w:top w:val="single" w:sz="4" w:space="0" w:color="auto"/>
              <w:left w:val="nil"/>
              <w:bottom w:val="nil"/>
              <w:right w:val="nil"/>
            </w:tcBorders>
            <w:shd w:val="clear" w:color="auto" w:fill="auto"/>
            <w:vAlign w:val="bottom"/>
            <w:hideMark/>
          </w:tcPr>
          <w:p w14:paraId="434E8C26"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75.90%</w:t>
            </w:r>
          </w:p>
        </w:tc>
      </w:tr>
      <w:tr w:rsidR="00CB1BEB" w:rsidRPr="0049305B" w14:paraId="7A0BA430" w14:textId="77777777" w:rsidTr="008467B8">
        <w:trPr>
          <w:trHeight w:val="328"/>
          <w:jc w:val="center"/>
        </w:trPr>
        <w:tc>
          <w:tcPr>
            <w:tcW w:w="3562" w:type="dxa"/>
            <w:tcBorders>
              <w:top w:val="nil"/>
              <w:left w:val="nil"/>
              <w:bottom w:val="nil"/>
              <w:right w:val="nil"/>
            </w:tcBorders>
            <w:shd w:val="clear" w:color="auto" w:fill="auto"/>
            <w:vAlign w:val="bottom"/>
            <w:hideMark/>
          </w:tcPr>
          <w:p w14:paraId="78E59522"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Guarantee EU Peace</w:t>
            </w:r>
          </w:p>
        </w:tc>
        <w:tc>
          <w:tcPr>
            <w:tcW w:w="1420" w:type="dxa"/>
            <w:tcBorders>
              <w:top w:val="nil"/>
              <w:left w:val="nil"/>
              <w:bottom w:val="nil"/>
              <w:right w:val="nil"/>
            </w:tcBorders>
            <w:shd w:val="clear" w:color="auto" w:fill="auto"/>
            <w:vAlign w:val="bottom"/>
            <w:hideMark/>
          </w:tcPr>
          <w:p w14:paraId="1A97203B"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51.40%</w:t>
            </w:r>
          </w:p>
        </w:tc>
        <w:tc>
          <w:tcPr>
            <w:tcW w:w="1602" w:type="dxa"/>
            <w:tcBorders>
              <w:top w:val="nil"/>
              <w:left w:val="nil"/>
              <w:bottom w:val="nil"/>
              <w:right w:val="nil"/>
            </w:tcBorders>
            <w:shd w:val="clear" w:color="auto" w:fill="auto"/>
            <w:vAlign w:val="bottom"/>
            <w:hideMark/>
          </w:tcPr>
          <w:p w14:paraId="32BC3A0C"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69.40%</w:t>
            </w:r>
          </w:p>
        </w:tc>
      </w:tr>
      <w:tr w:rsidR="00CB1BEB" w:rsidRPr="0049305B" w14:paraId="6767FFB4" w14:textId="77777777" w:rsidTr="008467B8">
        <w:trPr>
          <w:trHeight w:val="328"/>
          <w:jc w:val="center"/>
        </w:trPr>
        <w:tc>
          <w:tcPr>
            <w:tcW w:w="3562" w:type="dxa"/>
            <w:tcBorders>
              <w:top w:val="nil"/>
              <w:left w:val="nil"/>
              <w:bottom w:val="nil"/>
              <w:right w:val="nil"/>
            </w:tcBorders>
            <w:shd w:val="clear" w:color="auto" w:fill="auto"/>
            <w:vAlign w:val="bottom"/>
            <w:hideMark/>
          </w:tcPr>
          <w:p w14:paraId="2BA6D0BB"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Disasters in Europe</w:t>
            </w:r>
          </w:p>
        </w:tc>
        <w:tc>
          <w:tcPr>
            <w:tcW w:w="1420" w:type="dxa"/>
            <w:tcBorders>
              <w:top w:val="nil"/>
              <w:left w:val="nil"/>
              <w:bottom w:val="nil"/>
              <w:right w:val="nil"/>
            </w:tcBorders>
            <w:shd w:val="clear" w:color="auto" w:fill="auto"/>
            <w:vAlign w:val="bottom"/>
            <w:hideMark/>
          </w:tcPr>
          <w:p w14:paraId="39A2632F"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50.90%</w:t>
            </w:r>
          </w:p>
        </w:tc>
        <w:tc>
          <w:tcPr>
            <w:tcW w:w="1602" w:type="dxa"/>
            <w:tcBorders>
              <w:top w:val="nil"/>
              <w:left w:val="nil"/>
              <w:bottom w:val="nil"/>
              <w:right w:val="nil"/>
            </w:tcBorders>
            <w:shd w:val="clear" w:color="auto" w:fill="auto"/>
            <w:vAlign w:val="bottom"/>
            <w:hideMark/>
          </w:tcPr>
          <w:p w14:paraId="25C3E655"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62.70%</w:t>
            </w:r>
          </w:p>
        </w:tc>
      </w:tr>
      <w:tr w:rsidR="00CB1BEB" w:rsidRPr="0049305B" w14:paraId="5BC0B8A2" w14:textId="77777777" w:rsidTr="008467B8">
        <w:trPr>
          <w:trHeight w:val="328"/>
          <w:jc w:val="center"/>
        </w:trPr>
        <w:tc>
          <w:tcPr>
            <w:tcW w:w="3562" w:type="dxa"/>
            <w:tcBorders>
              <w:top w:val="nil"/>
              <w:left w:val="nil"/>
              <w:bottom w:val="nil"/>
              <w:right w:val="nil"/>
            </w:tcBorders>
            <w:shd w:val="clear" w:color="auto" w:fill="auto"/>
            <w:vAlign w:val="bottom"/>
            <w:hideMark/>
          </w:tcPr>
          <w:p w14:paraId="1BC97868"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Human Rights</w:t>
            </w:r>
          </w:p>
        </w:tc>
        <w:tc>
          <w:tcPr>
            <w:tcW w:w="1420" w:type="dxa"/>
            <w:tcBorders>
              <w:top w:val="nil"/>
              <w:left w:val="nil"/>
              <w:bottom w:val="nil"/>
              <w:right w:val="nil"/>
            </w:tcBorders>
            <w:shd w:val="clear" w:color="auto" w:fill="auto"/>
            <w:vAlign w:val="bottom"/>
            <w:hideMark/>
          </w:tcPr>
          <w:p w14:paraId="1B1CE35C"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42.80%</w:t>
            </w:r>
          </w:p>
        </w:tc>
        <w:tc>
          <w:tcPr>
            <w:tcW w:w="1602" w:type="dxa"/>
            <w:tcBorders>
              <w:top w:val="nil"/>
              <w:left w:val="nil"/>
              <w:bottom w:val="nil"/>
              <w:right w:val="nil"/>
            </w:tcBorders>
            <w:shd w:val="clear" w:color="auto" w:fill="auto"/>
            <w:vAlign w:val="bottom"/>
            <w:hideMark/>
          </w:tcPr>
          <w:p w14:paraId="3E4AEF07"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54.20%</w:t>
            </w:r>
          </w:p>
        </w:tc>
      </w:tr>
      <w:tr w:rsidR="00CB1BEB" w:rsidRPr="0049305B" w14:paraId="5E39AC04" w14:textId="77777777" w:rsidTr="008467B8">
        <w:trPr>
          <w:trHeight w:val="328"/>
          <w:jc w:val="center"/>
        </w:trPr>
        <w:tc>
          <w:tcPr>
            <w:tcW w:w="3562" w:type="dxa"/>
            <w:tcBorders>
              <w:top w:val="nil"/>
              <w:left w:val="nil"/>
              <w:bottom w:val="nil"/>
              <w:right w:val="nil"/>
            </w:tcBorders>
            <w:shd w:val="clear" w:color="auto" w:fill="auto"/>
            <w:vAlign w:val="bottom"/>
            <w:hideMark/>
          </w:tcPr>
          <w:p w14:paraId="0B77F792"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Border Conflicts</w:t>
            </w:r>
          </w:p>
        </w:tc>
        <w:tc>
          <w:tcPr>
            <w:tcW w:w="1420" w:type="dxa"/>
            <w:tcBorders>
              <w:top w:val="nil"/>
              <w:left w:val="nil"/>
              <w:bottom w:val="nil"/>
              <w:right w:val="nil"/>
            </w:tcBorders>
            <w:shd w:val="clear" w:color="auto" w:fill="auto"/>
            <w:vAlign w:val="bottom"/>
            <w:hideMark/>
          </w:tcPr>
          <w:p w14:paraId="146151EA"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37.10%</w:t>
            </w:r>
          </w:p>
        </w:tc>
        <w:tc>
          <w:tcPr>
            <w:tcW w:w="1602" w:type="dxa"/>
            <w:tcBorders>
              <w:top w:val="nil"/>
              <w:left w:val="nil"/>
              <w:bottom w:val="nil"/>
              <w:right w:val="nil"/>
            </w:tcBorders>
            <w:shd w:val="clear" w:color="auto" w:fill="auto"/>
            <w:vAlign w:val="bottom"/>
            <w:hideMark/>
          </w:tcPr>
          <w:p w14:paraId="7490487C"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50.50%</w:t>
            </w:r>
          </w:p>
        </w:tc>
      </w:tr>
      <w:tr w:rsidR="00CB1BEB" w:rsidRPr="0049305B" w14:paraId="1F676149" w14:textId="77777777" w:rsidTr="008467B8">
        <w:trPr>
          <w:trHeight w:val="328"/>
          <w:jc w:val="center"/>
        </w:trPr>
        <w:tc>
          <w:tcPr>
            <w:tcW w:w="3562" w:type="dxa"/>
            <w:tcBorders>
              <w:top w:val="nil"/>
              <w:left w:val="nil"/>
              <w:bottom w:val="nil"/>
              <w:right w:val="nil"/>
            </w:tcBorders>
            <w:shd w:val="clear" w:color="auto" w:fill="auto"/>
            <w:vAlign w:val="bottom"/>
            <w:hideMark/>
          </w:tcPr>
          <w:p w14:paraId="6588EFBD"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Humanitarian</w:t>
            </w:r>
          </w:p>
        </w:tc>
        <w:tc>
          <w:tcPr>
            <w:tcW w:w="1420" w:type="dxa"/>
            <w:tcBorders>
              <w:top w:val="nil"/>
              <w:left w:val="nil"/>
              <w:bottom w:val="nil"/>
              <w:right w:val="nil"/>
            </w:tcBorders>
            <w:shd w:val="clear" w:color="auto" w:fill="auto"/>
            <w:vAlign w:val="bottom"/>
            <w:hideMark/>
          </w:tcPr>
          <w:p w14:paraId="51622124"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38.50%</w:t>
            </w:r>
          </w:p>
        </w:tc>
        <w:tc>
          <w:tcPr>
            <w:tcW w:w="1602" w:type="dxa"/>
            <w:tcBorders>
              <w:top w:val="nil"/>
              <w:left w:val="nil"/>
              <w:bottom w:val="nil"/>
              <w:right w:val="nil"/>
            </w:tcBorders>
            <w:shd w:val="clear" w:color="auto" w:fill="auto"/>
            <w:vAlign w:val="bottom"/>
            <w:hideMark/>
          </w:tcPr>
          <w:p w14:paraId="3C9E491B"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50.20%</w:t>
            </w:r>
          </w:p>
        </w:tc>
      </w:tr>
      <w:tr w:rsidR="00CB1BEB" w:rsidRPr="0049305B" w14:paraId="5AE20118" w14:textId="77777777" w:rsidTr="008467B8">
        <w:trPr>
          <w:trHeight w:val="328"/>
          <w:jc w:val="center"/>
        </w:trPr>
        <w:tc>
          <w:tcPr>
            <w:tcW w:w="3562" w:type="dxa"/>
            <w:tcBorders>
              <w:top w:val="nil"/>
              <w:left w:val="nil"/>
              <w:bottom w:val="nil"/>
              <w:right w:val="nil"/>
            </w:tcBorders>
            <w:shd w:val="clear" w:color="auto" w:fill="auto"/>
            <w:vAlign w:val="bottom"/>
            <w:hideMark/>
          </w:tcPr>
          <w:p w14:paraId="5C0BE424"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Repatriation</w:t>
            </w:r>
          </w:p>
        </w:tc>
        <w:tc>
          <w:tcPr>
            <w:tcW w:w="1420" w:type="dxa"/>
            <w:tcBorders>
              <w:top w:val="nil"/>
              <w:left w:val="nil"/>
              <w:bottom w:val="nil"/>
              <w:right w:val="nil"/>
            </w:tcBorders>
            <w:shd w:val="clear" w:color="auto" w:fill="auto"/>
            <w:vAlign w:val="bottom"/>
            <w:hideMark/>
          </w:tcPr>
          <w:p w14:paraId="4F3C22E0"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29.70%</w:t>
            </w:r>
          </w:p>
        </w:tc>
        <w:tc>
          <w:tcPr>
            <w:tcW w:w="1602" w:type="dxa"/>
            <w:tcBorders>
              <w:top w:val="nil"/>
              <w:left w:val="nil"/>
              <w:bottom w:val="nil"/>
              <w:right w:val="nil"/>
            </w:tcBorders>
            <w:shd w:val="clear" w:color="auto" w:fill="auto"/>
            <w:vAlign w:val="bottom"/>
            <w:hideMark/>
          </w:tcPr>
          <w:p w14:paraId="5112D77F"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42.90%</w:t>
            </w:r>
          </w:p>
        </w:tc>
      </w:tr>
      <w:tr w:rsidR="00CB1BEB" w:rsidRPr="0049305B" w14:paraId="386AB218" w14:textId="77777777" w:rsidTr="008467B8">
        <w:trPr>
          <w:trHeight w:val="328"/>
          <w:jc w:val="center"/>
        </w:trPr>
        <w:tc>
          <w:tcPr>
            <w:tcW w:w="3562" w:type="dxa"/>
            <w:tcBorders>
              <w:top w:val="nil"/>
              <w:left w:val="nil"/>
              <w:bottom w:val="nil"/>
              <w:right w:val="nil"/>
            </w:tcBorders>
            <w:shd w:val="clear" w:color="auto" w:fill="auto"/>
            <w:vAlign w:val="bottom"/>
            <w:hideMark/>
          </w:tcPr>
          <w:p w14:paraId="2B50ED61"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Disasters in World</w:t>
            </w:r>
          </w:p>
        </w:tc>
        <w:tc>
          <w:tcPr>
            <w:tcW w:w="1420" w:type="dxa"/>
            <w:tcBorders>
              <w:top w:val="nil"/>
              <w:left w:val="nil"/>
              <w:bottom w:val="nil"/>
              <w:right w:val="nil"/>
            </w:tcBorders>
            <w:shd w:val="clear" w:color="auto" w:fill="auto"/>
            <w:vAlign w:val="bottom"/>
            <w:hideMark/>
          </w:tcPr>
          <w:p w14:paraId="5AAF7F26"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32.10%</w:t>
            </w:r>
          </w:p>
        </w:tc>
        <w:tc>
          <w:tcPr>
            <w:tcW w:w="1602" w:type="dxa"/>
            <w:tcBorders>
              <w:top w:val="nil"/>
              <w:left w:val="nil"/>
              <w:bottom w:val="nil"/>
              <w:right w:val="nil"/>
            </w:tcBorders>
            <w:shd w:val="clear" w:color="auto" w:fill="auto"/>
            <w:vAlign w:val="bottom"/>
            <w:hideMark/>
          </w:tcPr>
          <w:p w14:paraId="19ADB7A3"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40.40%</w:t>
            </w:r>
          </w:p>
        </w:tc>
      </w:tr>
      <w:tr w:rsidR="00CB1BEB" w:rsidRPr="0049305B" w14:paraId="387D2C88" w14:textId="77777777" w:rsidTr="008467B8">
        <w:trPr>
          <w:trHeight w:val="328"/>
          <w:jc w:val="center"/>
        </w:trPr>
        <w:tc>
          <w:tcPr>
            <w:tcW w:w="3562" w:type="dxa"/>
            <w:tcBorders>
              <w:top w:val="nil"/>
              <w:left w:val="nil"/>
              <w:bottom w:val="nil"/>
              <w:right w:val="nil"/>
            </w:tcBorders>
            <w:shd w:val="clear" w:color="auto" w:fill="auto"/>
            <w:vAlign w:val="bottom"/>
            <w:hideMark/>
          </w:tcPr>
          <w:p w14:paraId="703F204D" w14:textId="52B6C784"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 xml:space="preserve">Peace-keeping </w:t>
            </w:r>
            <w:r w:rsidR="00133D3A" w:rsidRPr="0049305B">
              <w:rPr>
                <w:rFonts w:ascii="Garamond" w:eastAsia="Times New Roman" w:hAnsi="Garamond" w:cs="Times New Roman"/>
                <w:color w:val="000000"/>
              </w:rPr>
              <w:t>–</w:t>
            </w:r>
            <w:r w:rsidRPr="0049305B">
              <w:rPr>
                <w:rFonts w:ascii="Garamond" w:eastAsia="Times New Roman" w:hAnsi="Garamond" w:cs="Times New Roman"/>
                <w:color w:val="000000"/>
              </w:rPr>
              <w:t xml:space="preserve"> UN</w:t>
            </w:r>
          </w:p>
        </w:tc>
        <w:tc>
          <w:tcPr>
            <w:tcW w:w="1420" w:type="dxa"/>
            <w:tcBorders>
              <w:top w:val="nil"/>
              <w:left w:val="nil"/>
              <w:bottom w:val="nil"/>
              <w:right w:val="nil"/>
            </w:tcBorders>
            <w:shd w:val="clear" w:color="auto" w:fill="auto"/>
            <w:vAlign w:val="bottom"/>
            <w:hideMark/>
          </w:tcPr>
          <w:p w14:paraId="40C72528"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30.70%</w:t>
            </w:r>
          </w:p>
        </w:tc>
        <w:tc>
          <w:tcPr>
            <w:tcW w:w="1602" w:type="dxa"/>
            <w:tcBorders>
              <w:top w:val="nil"/>
              <w:left w:val="nil"/>
              <w:bottom w:val="nil"/>
              <w:right w:val="nil"/>
            </w:tcBorders>
            <w:shd w:val="clear" w:color="auto" w:fill="auto"/>
            <w:vAlign w:val="bottom"/>
            <w:hideMark/>
          </w:tcPr>
          <w:p w14:paraId="32E93AAF"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39.60%</w:t>
            </w:r>
          </w:p>
        </w:tc>
      </w:tr>
      <w:tr w:rsidR="00CB1BEB" w:rsidRPr="0049305B" w14:paraId="607D6C5D" w14:textId="77777777" w:rsidTr="008467B8">
        <w:trPr>
          <w:trHeight w:val="328"/>
          <w:jc w:val="center"/>
        </w:trPr>
        <w:tc>
          <w:tcPr>
            <w:tcW w:w="3562" w:type="dxa"/>
            <w:tcBorders>
              <w:top w:val="nil"/>
              <w:left w:val="nil"/>
              <w:bottom w:val="nil"/>
              <w:right w:val="nil"/>
            </w:tcBorders>
            <w:shd w:val="clear" w:color="auto" w:fill="auto"/>
            <w:vAlign w:val="bottom"/>
            <w:hideMark/>
          </w:tcPr>
          <w:p w14:paraId="352238E5"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Economic Interests</w:t>
            </w:r>
          </w:p>
        </w:tc>
        <w:tc>
          <w:tcPr>
            <w:tcW w:w="1420" w:type="dxa"/>
            <w:tcBorders>
              <w:top w:val="nil"/>
              <w:left w:val="nil"/>
              <w:bottom w:val="nil"/>
              <w:right w:val="nil"/>
            </w:tcBorders>
            <w:shd w:val="clear" w:color="auto" w:fill="auto"/>
            <w:vAlign w:val="bottom"/>
            <w:hideMark/>
          </w:tcPr>
          <w:p w14:paraId="7CED7AB6"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15.40%</w:t>
            </w:r>
          </w:p>
        </w:tc>
        <w:tc>
          <w:tcPr>
            <w:tcW w:w="1602" w:type="dxa"/>
            <w:tcBorders>
              <w:top w:val="nil"/>
              <w:left w:val="nil"/>
              <w:bottom w:val="nil"/>
              <w:right w:val="nil"/>
            </w:tcBorders>
            <w:shd w:val="clear" w:color="auto" w:fill="auto"/>
            <w:vAlign w:val="bottom"/>
            <w:hideMark/>
          </w:tcPr>
          <w:p w14:paraId="3D8989EF"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24.90%</w:t>
            </w:r>
          </w:p>
        </w:tc>
      </w:tr>
      <w:tr w:rsidR="00CB1BEB" w:rsidRPr="0049305B" w14:paraId="7544DA40" w14:textId="77777777" w:rsidTr="008467B8">
        <w:trPr>
          <w:trHeight w:val="328"/>
          <w:jc w:val="center"/>
        </w:trPr>
        <w:tc>
          <w:tcPr>
            <w:tcW w:w="3562" w:type="dxa"/>
            <w:tcBorders>
              <w:top w:val="nil"/>
              <w:left w:val="nil"/>
              <w:bottom w:val="nil"/>
              <w:right w:val="nil"/>
            </w:tcBorders>
            <w:shd w:val="clear" w:color="auto" w:fill="auto"/>
            <w:vAlign w:val="bottom"/>
            <w:hideMark/>
          </w:tcPr>
          <w:p w14:paraId="46B3241F"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Symbolize EU Identity</w:t>
            </w:r>
          </w:p>
        </w:tc>
        <w:tc>
          <w:tcPr>
            <w:tcW w:w="1420" w:type="dxa"/>
            <w:tcBorders>
              <w:top w:val="nil"/>
              <w:left w:val="nil"/>
              <w:bottom w:val="nil"/>
              <w:right w:val="nil"/>
            </w:tcBorders>
            <w:shd w:val="clear" w:color="auto" w:fill="auto"/>
            <w:vAlign w:val="bottom"/>
            <w:hideMark/>
          </w:tcPr>
          <w:p w14:paraId="617D8829"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10.70%</w:t>
            </w:r>
          </w:p>
        </w:tc>
        <w:tc>
          <w:tcPr>
            <w:tcW w:w="1602" w:type="dxa"/>
            <w:tcBorders>
              <w:top w:val="nil"/>
              <w:left w:val="nil"/>
              <w:bottom w:val="nil"/>
              <w:right w:val="nil"/>
            </w:tcBorders>
            <w:shd w:val="clear" w:color="auto" w:fill="auto"/>
            <w:vAlign w:val="bottom"/>
            <w:hideMark/>
          </w:tcPr>
          <w:p w14:paraId="27DD7100"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21.60%</w:t>
            </w:r>
          </w:p>
        </w:tc>
      </w:tr>
      <w:tr w:rsidR="00CB1BEB" w:rsidRPr="0049305B" w14:paraId="07D7A2E4" w14:textId="77777777" w:rsidTr="008467B8">
        <w:trPr>
          <w:trHeight w:val="328"/>
          <w:jc w:val="center"/>
        </w:trPr>
        <w:tc>
          <w:tcPr>
            <w:tcW w:w="3562" w:type="dxa"/>
            <w:tcBorders>
              <w:top w:val="nil"/>
              <w:left w:val="nil"/>
              <w:bottom w:val="nil"/>
              <w:right w:val="nil"/>
            </w:tcBorders>
            <w:shd w:val="clear" w:color="auto" w:fill="auto"/>
            <w:vAlign w:val="bottom"/>
            <w:hideMark/>
          </w:tcPr>
          <w:p w14:paraId="6D75AD80"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World Conflicts</w:t>
            </w:r>
          </w:p>
        </w:tc>
        <w:tc>
          <w:tcPr>
            <w:tcW w:w="1420" w:type="dxa"/>
            <w:tcBorders>
              <w:top w:val="nil"/>
              <w:left w:val="nil"/>
              <w:bottom w:val="nil"/>
              <w:right w:val="nil"/>
            </w:tcBorders>
            <w:shd w:val="clear" w:color="auto" w:fill="auto"/>
            <w:vAlign w:val="bottom"/>
            <w:hideMark/>
          </w:tcPr>
          <w:p w14:paraId="568E0933"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13.90%</w:t>
            </w:r>
          </w:p>
        </w:tc>
        <w:tc>
          <w:tcPr>
            <w:tcW w:w="1602" w:type="dxa"/>
            <w:tcBorders>
              <w:top w:val="nil"/>
              <w:left w:val="nil"/>
              <w:bottom w:val="nil"/>
              <w:right w:val="nil"/>
            </w:tcBorders>
            <w:shd w:val="clear" w:color="auto" w:fill="auto"/>
            <w:vAlign w:val="bottom"/>
            <w:hideMark/>
          </w:tcPr>
          <w:p w14:paraId="2203D38E"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19.70%</w:t>
            </w:r>
          </w:p>
        </w:tc>
      </w:tr>
      <w:tr w:rsidR="00CB1BEB" w:rsidRPr="0049305B" w14:paraId="5C7D4ED1" w14:textId="77777777" w:rsidTr="008467B8">
        <w:trPr>
          <w:trHeight w:val="198"/>
          <w:jc w:val="center"/>
        </w:trPr>
        <w:tc>
          <w:tcPr>
            <w:tcW w:w="3562" w:type="dxa"/>
            <w:tcBorders>
              <w:top w:val="nil"/>
              <w:left w:val="nil"/>
              <w:bottom w:val="nil"/>
              <w:right w:val="nil"/>
            </w:tcBorders>
            <w:shd w:val="clear" w:color="auto" w:fill="auto"/>
            <w:vAlign w:val="bottom"/>
            <w:hideMark/>
          </w:tcPr>
          <w:p w14:paraId="7690B00F"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Peace-keeping - non-UN</w:t>
            </w:r>
          </w:p>
        </w:tc>
        <w:tc>
          <w:tcPr>
            <w:tcW w:w="1420" w:type="dxa"/>
            <w:tcBorders>
              <w:top w:val="nil"/>
              <w:left w:val="nil"/>
              <w:bottom w:val="nil"/>
              <w:right w:val="nil"/>
            </w:tcBorders>
            <w:shd w:val="clear" w:color="auto" w:fill="auto"/>
            <w:vAlign w:val="bottom"/>
            <w:hideMark/>
          </w:tcPr>
          <w:p w14:paraId="27BF283C"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10.70%</w:t>
            </w:r>
          </w:p>
        </w:tc>
        <w:tc>
          <w:tcPr>
            <w:tcW w:w="1602" w:type="dxa"/>
            <w:tcBorders>
              <w:top w:val="nil"/>
              <w:left w:val="nil"/>
              <w:bottom w:val="nil"/>
              <w:right w:val="nil"/>
            </w:tcBorders>
            <w:shd w:val="clear" w:color="auto" w:fill="auto"/>
            <w:vAlign w:val="bottom"/>
            <w:hideMark/>
          </w:tcPr>
          <w:p w14:paraId="6B775824"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16.80%</w:t>
            </w:r>
          </w:p>
        </w:tc>
      </w:tr>
      <w:tr w:rsidR="00CB1BEB" w:rsidRPr="0049305B" w14:paraId="278BB0AC" w14:textId="77777777" w:rsidTr="008467B8">
        <w:trPr>
          <w:trHeight w:val="630"/>
          <w:jc w:val="center"/>
        </w:trPr>
        <w:tc>
          <w:tcPr>
            <w:tcW w:w="3562" w:type="dxa"/>
            <w:tcBorders>
              <w:top w:val="nil"/>
              <w:left w:val="nil"/>
              <w:right w:val="nil"/>
            </w:tcBorders>
            <w:shd w:val="clear" w:color="auto" w:fill="auto"/>
            <w:vAlign w:val="bottom"/>
            <w:hideMark/>
          </w:tcPr>
          <w:p w14:paraId="4E459DF0" w14:textId="77777777" w:rsidR="00CB1BEB" w:rsidRPr="0049305B" w:rsidRDefault="00CB1BEB" w:rsidP="00944873">
            <w:pPr>
              <w:jc w:val="both"/>
              <w:rPr>
                <w:rFonts w:ascii="Garamond" w:eastAsia="Times New Roman" w:hAnsi="Garamond" w:cs="Times New Roman"/>
                <w:i/>
                <w:iCs/>
                <w:color w:val="000000"/>
              </w:rPr>
            </w:pPr>
            <w:r w:rsidRPr="0049305B">
              <w:rPr>
                <w:rFonts w:ascii="Garamond" w:eastAsia="Times New Roman" w:hAnsi="Garamond" w:cs="Times New Roman"/>
                <w:i/>
                <w:iCs/>
                <w:color w:val="000000"/>
              </w:rPr>
              <w:t>Don't Know</w:t>
            </w:r>
          </w:p>
        </w:tc>
        <w:tc>
          <w:tcPr>
            <w:tcW w:w="1420" w:type="dxa"/>
            <w:tcBorders>
              <w:top w:val="nil"/>
              <w:left w:val="nil"/>
              <w:right w:val="nil"/>
            </w:tcBorders>
            <w:shd w:val="clear" w:color="auto" w:fill="auto"/>
            <w:vAlign w:val="bottom"/>
            <w:hideMark/>
          </w:tcPr>
          <w:p w14:paraId="5FC8DD3F"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5.77%</w:t>
            </w:r>
          </w:p>
        </w:tc>
        <w:tc>
          <w:tcPr>
            <w:tcW w:w="1602" w:type="dxa"/>
            <w:tcBorders>
              <w:top w:val="nil"/>
              <w:left w:val="nil"/>
              <w:right w:val="nil"/>
            </w:tcBorders>
            <w:shd w:val="clear" w:color="auto" w:fill="auto"/>
            <w:vAlign w:val="bottom"/>
            <w:hideMark/>
          </w:tcPr>
          <w:p w14:paraId="37DCAAA8"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2.44%</w:t>
            </w:r>
          </w:p>
        </w:tc>
      </w:tr>
      <w:tr w:rsidR="00CB1BEB" w:rsidRPr="0049305B" w14:paraId="3DB54992" w14:textId="77777777" w:rsidTr="008467B8">
        <w:trPr>
          <w:trHeight w:val="328"/>
          <w:jc w:val="center"/>
        </w:trPr>
        <w:tc>
          <w:tcPr>
            <w:tcW w:w="3562" w:type="dxa"/>
            <w:tcBorders>
              <w:top w:val="nil"/>
              <w:left w:val="nil"/>
              <w:bottom w:val="single" w:sz="4" w:space="0" w:color="auto"/>
              <w:right w:val="nil"/>
            </w:tcBorders>
            <w:shd w:val="clear" w:color="auto" w:fill="auto"/>
            <w:vAlign w:val="bottom"/>
            <w:hideMark/>
          </w:tcPr>
          <w:p w14:paraId="35056E75" w14:textId="77777777" w:rsidR="00CB1BEB" w:rsidRPr="0049305B" w:rsidRDefault="00CB1BEB" w:rsidP="00944873">
            <w:pPr>
              <w:jc w:val="both"/>
              <w:rPr>
                <w:rFonts w:ascii="Garamond" w:eastAsia="Times New Roman" w:hAnsi="Garamond" w:cs="Times New Roman"/>
                <w:i/>
                <w:iCs/>
                <w:color w:val="000000"/>
              </w:rPr>
            </w:pPr>
            <w:r w:rsidRPr="0049305B">
              <w:rPr>
                <w:rFonts w:ascii="Garamond" w:eastAsia="Times New Roman" w:hAnsi="Garamond" w:cs="Times New Roman"/>
                <w:i/>
                <w:iCs/>
                <w:color w:val="000000"/>
              </w:rPr>
              <w:t>Should not be EU Army</w:t>
            </w:r>
          </w:p>
        </w:tc>
        <w:tc>
          <w:tcPr>
            <w:tcW w:w="1420" w:type="dxa"/>
            <w:tcBorders>
              <w:top w:val="nil"/>
              <w:left w:val="nil"/>
              <w:bottom w:val="single" w:sz="4" w:space="0" w:color="auto"/>
              <w:right w:val="nil"/>
            </w:tcBorders>
            <w:shd w:val="clear" w:color="auto" w:fill="auto"/>
            <w:vAlign w:val="bottom"/>
            <w:hideMark/>
          </w:tcPr>
          <w:p w14:paraId="2C6B4C48"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10.50%</w:t>
            </w:r>
          </w:p>
        </w:tc>
        <w:tc>
          <w:tcPr>
            <w:tcW w:w="1602" w:type="dxa"/>
            <w:tcBorders>
              <w:top w:val="nil"/>
              <w:left w:val="nil"/>
              <w:bottom w:val="single" w:sz="4" w:space="0" w:color="auto"/>
              <w:right w:val="nil"/>
            </w:tcBorders>
            <w:shd w:val="clear" w:color="auto" w:fill="auto"/>
            <w:vAlign w:val="bottom"/>
            <w:hideMark/>
          </w:tcPr>
          <w:p w14:paraId="2B5A2E77" w14:textId="77777777" w:rsidR="00CB1BEB" w:rsidRPr="0049305B" w:rsidRDefault="00CB1BEB"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1.61%</w:t>
            </w:r>
          </w:p>
        </w:tc>
      </w:tr>
    </w:tbl>
    <w:p w14:paraId="6ED444AC" w14:textId="77777777" w:rsidR="00CB1BEB" w:rsidRPr="0049305B" w:rsidRDefault="00CB1BEB" w:rsidP="00944873">
      <w:pPr>
        <w:jc w:val="both"/>
        <w:rPr>
          <w:rFonts w:ascii="Garamond" w:hAnsi="Garamond"/>
        </w:rPr>
      </w:pPr>
    </w:p>
    <w:p w14:paraId="605B6422" w14:textId="77777777" w:rsidR="00CB1BEB" w:rsidRPr="0049305B" w:rsidRDefault="00CB1BEB" w:rsidP="00944873">
      <w:pPr>
        <w:jc w:val="both"/>
        <w:rPr>
          <w:rFonts w:ascii="Garamond" w:hAnsi="Garamond"/>
        </w:rPr>
      </w:pPr>
      <w:r w:rsidRPr="0049305B">
        <w:rPr>
          <w:rFonts w:ascii="Garamond" w:hAnsi="Garamond"/>
        </w:rPr>
        <w:t xml:space="preserve">Note:  </w:t>
      </w:r>
      <w:proofErr w:type="spellStart"/>
      <w:r w:rsidRPr="0049305B">
        <w:rPr>
          <w:rFonts w:ascii="Garamond" w:hAnsi="Garamond"/>
        </w:rPr>
        <w:t>Eurobarometer</w:t>
      </w:r>
      <w:proofErr w:type="spellEnd"/>
      <w:r w:rsidRPr="0049305B">
        <w:rPr>
          <w:rFonts w:ascii="Garamond" w:hAnsi="Garamond"/>
        </w:rPr>
        <w:t xml:space="preserve"> 54.1 (2000).  Results are statistically significant at p &lt; 0.001 for all differences of proportions.  </w:t>
      </w:r>
    </w:p>
    <w:p w14:paraId="1F354640" w14:textId="1C05A937" w:rsidR="00342996" w:rsidRPr="009C52FB" w:rsidRDefault="00342996" w:rsidP="00944873">
      <w:pPr>
        <w:jc w:val="both"/>
        <w:rPr>
          <w:rFonts w:ascii="Garamond" w:hAnsi="Garamond"/>
        </w:rPr>
      </w:pPr>
    </w:p>
    <w:p w14:paraId="59D4CB62" w14:textId="77777777" w:rsidR="00342996" w:rsidRPr="009C52FB" w:rsidRDefault="00342996" w:rsidP="00944873">
      <w:pPr>
        <w:jc w:val="both"/>
        <w:rPr>
          <w:rFonts w:ascii="Garamond" w:hAnsi="Garamond"/>
        </w:rPr>
      </w:pPr>
      <w:r w:rsidRPr="009C52FB">
        <w:rPr>
          <w:rFonts w:ascii="Garamond" w:hAnsi="Garamond"/>
          <w:b/>
          <w:bCs/>
        </w:rPr>
        <w:t>Table 1:  Percent Supporting Roles of EU Army, by Support for CSDP</w:t>
      </w:r>
    </w:p>
    <w:p w14:paraId="538B490A" w14:textId="77777777" w:rsidR="00DE06A6" w:rsidRPr="009C52FB" w:rsidRDefault="00DE06A6" w:rsidP="00944873">
      <w:pPr>
        <w:jc w:val="both"/>
        <w:rPr>
          <w:rFonts w:ascii="Garamond" w:hAnsi="Garamond"/>
        </w:rPr>
      </w:pPr>
    </w:p>
    <w:p w14:paraId="217DE7B1" w14:textId="5DF24EB8" w:rsidR="00FA21D2" w:rsidRPr="009C52FB" w:rsidRDefault="00DE06A6" w:rsidP="00944873">
      <w:pPr>
        <w:jc w:val="both"/>
        <w:rPr>
          <w:rFonts w:ascii="Garamond" w:hAnsi="Garamond"/>
        </w:rPr>
      </w:pPr>
      <w:r w:rsidRPr="009C52FB">
        <w:rPr>
          <w:rFonts w:ascii="Garamond" w:hAnsi="Garamond"/>
        </w:rPr>
        <w:tab/>
        <w:t xml:space="preserve">In a similar test to the results of Table 1, </w:t>
      </w:r>
      <w:r w:rsidR="00FA21D2" w:rsidRPr="009C52FB">
        <w:rPr>
          <w:rFonts w:ascii="Garamond" w:hAnsi="Garamond"/>
        </w:rPr>
        <w:t xml:space="preserve">we tried to understand better whether these more granular preferences about the role of a European military would have any coherent cleavages within the respondent population. We conducted a factor analysis of the distribution of responses to question 56, in order to understand if respondents’ multiple preferences formed a coherent or random response to the prompt. The results in Table 2 document the clusters of responses (bolded). </w:t>
      </w:r>
      <w:r w:rsidR="00484B7C" w:rsidRPr="009C52FB">
        <w:rPr>
          <w:rFonts w:ascii="Garamond" w:hAnsi="Garamond"/>
        </w:rPr>
        <w:t xml:space="preserve">If individuals held incoherent preferences about European defense as a policy domain, we would expect them to have random clusters of ideas about what </w:t>
      </w:r>
      <w:proofErr w:type="gramStart"/>
      <w:r w:rsidR="00484B7C" w:rsidRPr="009C52FB">
        <w:rPr>
          <w:rFonts w:ascii="Garamond" w:hAnsi="Garamond"/>
        </w:rPr>
        <w:t>an</w:t>
      </w:r>
      <w:proofErr w:type="gramEnd"/>
      <w:r w:rsidR="00484B7C" w:rsidRPr="009C52FB">
        <w:rPr>
          <w:rFonts w:ascii="Garamond" w:hAnsi="Garamond"/>
        </w:rPr>
        <w:t xml:space="preserve"> EU army would possibly do. Instead, we see that there are three main clusters of individual responses within the public. One factor or cluster of responses is more preferential to </w:t>
      </w:r>
      <w:r w:rsidR="00CB1BEB" w:rsidRPr="009C52FB">
        <w:rPr>
          <w:rFonts w:ascii="Garamond" w:hAnsi="Garamond"/>
        </w:rPr>
        <w:t xml:space="preserve">internal, geopolitical or classical defense </w:t>
      </w:r>
      <w:r w:rsidR="00484B7C" w:rsidRPr="009C52FB">
        <w:rPr>
          <w:rFonts w:ascii="Garamond" w:hAnsi="Garamond"/>
        </w:rPr>
        <w:t xml:space="preserve">definitions of the role of an EU army, another cluster of responses is more characteristic of </w:t>
      </w:r>
      <w:r w:rsidR="00F64D05" w:rsidRPr="009C52FB">
        <w:rPr>
          <w:rFonts w:ascii="Garamond" w:hAnsi="Garamond"/>
        </w:rPr>
        <w:t>external or extraterritorial roles of an army</w:t>
      </w:r>
      <w:r w:rsidR="00484B7C" w:rsidRPr="009C52FB">
        <w:rPr>
          <w:rFonts w:ascii="Garamond" w:hAnsi="Garamond"/>
        </w:rPr>
        <w:t xml:space="preserve">, while another segment of the European public responded with aspects of an EU army that have no direct connection to military power, such as European identity and Economic strength. </w:t>
      </w:r>
    </w:p>
    <w:p w14:paraId="762E29B8" w14:textId="77777777" w:rsidR="00FA21D2" w:rsidRPr="009C52FB" w:rsidRDefault="00FA21D2" w:rsidP="00944873">
      <w:pPr>
        <w:jc w:val="both"/>
        <w:rPr>
          <w:rFonts w:ascii="Garamond" w:hAnsi="Garamond"/>
        </w:rPr>
      </w:pPr>
    </w:p>
    <w:tbl>
      <w:tblPr>
        <w:tblW w:w="8080" w:type="dxa"/>
        <w:tblInd w:w="93" w:type="dxa"/>
        <w:tblLook w:val="04A0" w:firstRow="1" w:lastRow="0" w:firstColumn="1" w:lastColumn="0" w:noHBand="0" w:noVBand="1"/>
      </w:tblPr>
      <w:tblGrid>
        <w:gridCol w:w="2880"/>
        <w:gridCol w:w="1300"/>
        <w:gridCol w:w="1300"/>
        <w:gridCol w:w="1543"/>
        <w:gridCol w:w="1476"/>
      </w:tblGrid>
      <w:tr w:rsidR="00F64D05" w:rsidRPr="0049305B" w14:paraId="418DA961" w14:textId="77777777" w:rsidTr="00786F90">
        <w:trPr>
          <w:trHeight w:val="300"/>
        </w:trPr>
        <w:tc>
          <w:tcPr>
            <w:tcW w:w="2880" w:type="dxa"/>
            <w:tcBorders>
              <w:top w:val="nil"/>
              <w:left w:val="nil"/>
              <w:bottom w:val="single" w:sz="4" w:space="0" w:color="auto"/>
              <w:right w:val="nil"/>
            </w:tcBorders>
            <w:shd w:val="clear" w:color="auto" w:fill="auto"/>
            <w:noWrap/>
            <w:vAlign w:val="bottom"/>
            <w:hideMark/>
          </w:tcPr>
          <w:p w14:paraId="4D81950C" w14:textId="77777777" w:rsidR="00F64D05" w:rsidRPr="0049305B" w:rsidRDefault="00F64D05" w:rsidP="00944873">
            <w:pPr>
              <w:jc w:val="both"/>
              <w:rPr>
                <w:rFonts w:ascii="Garamond" w:eastAsia="Times New Roman" w:hAnsi="Garamond" w:cs="Times New Roman"/>
                <w:color w:val="000000"/>
                <w:sz w:val="28"/>
              </w:rPr>
            </w:pPr>
            <w:r w:rsidRPr="0049305B">
              <w:rPr>
                <w:rFonts w:ascii="Garamond" w:eastAsia="Times New Roman" w:hAnsi="Garamond" w:cs="Times New Roman"/>
                <w:color w:val="000000"/>
                <w:sz w:val="28"/>
              </w:rPr>
              <w:t>Role of EU Army</w:t>
            </w:r>
          </w:p>
        </w:tc>
        <w:tc>
          <w:tcPr>
            <w:tcW w:w="1300" w:type="dxa"/>
            <w:tcBorders>
              <w:top w:val="nil"/>
              <w:left w:val="nil"/>
              <w:bottom w:val="single" w:sz="4" w:space="0" w:color="auto"/>
              <w:right w:val="nil"/>
            </w:tcBorders>
            <w:shd w:val="clear" w:color="auto" w:fill="auto"/>
            <w:noWrap/>
            <w:vAlign w:val="bottom"/>
            <w:hideMark/>
          </w:tcPr>
          <w:p w14:paraId="7F3FC6D2" w14:textId="3BEDF16B" w:rsidR="00F64D05" w:rsidRPr="0049305B" w:rsidRDefault="00F64D05" w:rsidP="00786F90">
            <w:pPr>
              <w:jc w:val="center"/>
              <w:rPr>
                <w:rFonts w:ascii="Garamond" w:eastAsia="Times New Roman" w:hAnsi="Garamond" w:cs="Times New Roman"/>
                <w:color w:val="000000"/>
                <w:sz w:val="28"/>
              </w:rPr>
            </w:pPr>
            <w:r w:rsidRPr="0049305B">
              <w:rPr>
                <w:rFonts w:ascii="Garamond" w:eastAsia="Times New Roman" w:hAnsi="Garamond" w:cs="Times New Roman"/>
                <w:color w:val="000000"/>
                <w:sz w:val="28"/>
              </w:rPr>
              <w:t>Internal</w:t>
            </w:r>
          </w:p>
        </w:tc>
        <w:tc>
          <w:tcPr>
            <w:tcW w:w="1300" w:type="dxa"/>
            <w:tcBorders>
              <w:top w:val="nil"/>
              <w:left w:val="nil"/>
              <w:bottom w:val="single" w:sz="4" w:space="0" w:color="auto"/>
              <w:right w:val="nil"/>
            </w:tcBorders>
            <w:shd w:val="clear" w:color="auto" w:fill="auto"/>
            <w:noWrap/>
            <w:vAlign w:val="bottom"/>
            <w:hideMark/>
          </w:tcPr>
          <w:p w14:paraId="4CBB61D8" w14:textId="77777777" w:rsidR="00F64D05" w:rsidRPr="0049305B" w:rsidRDefault="00F64D05" w:rsidP="00786F90">
            <w:pPr>
              <w:jc w:val="center"/>
              <w:rPr>
                <w:rFonts w:ascii="Garamond" w:eastAsia="Times New Roman" w:hAnsi="Garamond" w:cs="Times New Roman"/>
                <w:color w:val="000000"/>
                <w:sz w:val="28"/>
              </w:rPr>
            </w:pPr>
            <w:r w:rsidRPr="0049305B">
              <w:rPr>
                <w:rFonts w:ascii="Garamond" w:eastAsia="Times New Roman" w:hAnsi="Garamond" w:cs="Times New Roman"/>
                <w:color w:val="000000"/>
                <w:sz w:val="28"/>
              </w:rPr>
              <w:t>External</w:t>
            </w:r>
          </w:p>
        </w:tc>
        <w:tc>
          <w:tcPr>
            <w:tcW w:w="1300" w:type="dxa"/>
            <w:tcBorders>
              <w:top w:val="nil"/>
              <w:left w:val="nil"/>
              <w:bottom w:val="single" w:sz="4" w:space="0" w:color="auto"/>
              <w:right w:val="nil"/>
            </w:tcBorders>
            <w:shd w:val="clear" w:color="auto" w:fill="auto"/>
            <w:noWrap/>
            <w:vAlign w:val="bottom"/>
            <w:hideMark/>
          </w:tcPr>
          <w:p w14:paraId="4BA5898A" w14:textId="77777777" w:rsidR="00F64D05" w:rsidRPr="0049305B" w:rsidRDefault="00F64D05" w:rsidP="00786F90">
            <w:pPr>
              <w:jc w:val="center"/>
              <w:rPr>
                <w:rFonts w:ascii="Garamond" w:eastAsia="Times New Roman" w:hAnsi="Garamond" w:cs="Times New Roman"/>
                <w:color w:val="000000"/>
                <w:sz w:val="28"/>
              </w:rPr>
            </w:pPr>
            <w:r w:rsidRPr="0049305B">
              <w:rPr>
                <w:rFonts w:ascii="Garamond" w:eastAsia="Times New Roman" w:hAnsi="Garamond" w:cs="Times New Roman"/>
                <w:color w:val="000000"/>
                <w:sz w:val="28"/>
              </w:rPr>
              <w:t>Nondefense</w:t>
            </w:r>
          </w:p>
        </w:tc>
        <w:tc>
          <w:tcPr>
            <w:tcW w:w="1300" w:type="dxa"/>
            <w:tcBorders>
              <w:top w:val="nil"/>
              <w:left w:val="nil"/>
              <w:bottom w:val="single" w:sz="4" w:space="0" w:color="auto"/>
              <w:right w:val="nil"/>
            </w:tcBorders>
            <w:shd w:val="clear" w:color="auto" w:fill="auto"/>
            <w:noWrap/>
            <w:vAlign w:val="bottom"/>
            <w:hideMark/>
          </w:tcPr>
          <w:p w14:paraId="289A4674" w14:textId="77777777" w:rsidR="00F64D05" w:rsidRPr="0049305B" w:rsidRDefault="00F64D05" w:rsidP="00786F90">
            <w:pPr>
              <w:jc w:val="center"/>
              <w:rPr>
                <w:rFonts w:ascii="Garamond" w:eastAsia="Times New Roman" w:hAnsi="Garamond" w:cs="Times New Roman"/>
                <w:color w:val="000000"/>
                <w:sz w:val="28"/>
              </w:rPr>
            </w:pPr>
            <w:r w:rsidRPr="0049305B">
              <w:rPr>
                <w:rFonts w:ascii="Garamond" w:eastAsia="Times New Roman" w:hAnsi="Garamond" w:cs="Times New Roman"/>
                <w:color w:val="000000"/>
                <w:sz w:val="28"/>
              </w:rPr>
              <w:t>Uniqueness</w:t>
            </w:r>
          </w:p>
        </w:tc>
      </w:tr>
      <w:tr w:rsidR="00F64D05" w:rsidRPr="0049305B" w14:paraId="2AD1E0BA" w14:textId="77777777" w:rsidTr="00786F90">
        <w:trPr>
          <w:trHeight w:val="300"/>
        </w:trPr>
        <w:tc>
          <w:tcPr>
            <w:tcW w:w="2880" w:type="dxa"/>
            <w:tcBorders>
              <w:top w:val="single" w:sz="4" w:space="0" w:color="auto"/>
              <w:left w:val="nil"/>
              <w:bottom w:val="nil"/>
              <w:right w:val="nil"/>
            </w:tcBorders>
            <w:shd w:val="clear" w:color="auto" w:fill="auto"/>
            <w:noWrap/>
            <w:vAlign w:val="bottom"/>
            <w:hideMark/>
          </w:tcPr>
          <w:p w14:paraId="72A7D4E3"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Defend Territory</w:t>
            </w:r>
          </w:p>
        </w:tc>
        <w:tc>
          <w:tcPr>
            <w:tcW w:w="1300" w:type="dxa"/>
            <w:tcBorders>
              <w:top w:val="single" w:sz="4" w:space="0" w:color="auto"/>
              <w:left w:val="nil"/>
              <w:bottom w:val="nil"/>
              <w:right w:val="nil"/>
            </w:tcBorders>
            <w:shd w:val="clear" w:color="auto" w:fill="auto"/>
            <w:noWrap/>
            <w:vAlign w:val="bottom"/>
            <w:hideMark/>
          </w:tcPr>
          <w:p w14:paraId="2B9F02D3"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0.620</w:t>
            </w:r>
          </w:p>
        </w:tc>
        <w:tc>
          <w:tcPr>
            <w:tcW w:w="1300" w:type="dxa"/>
            <w:tcBorders>
              <w:top w:val="single" w:sz="4" w:space="0" w:color="auto"/>
              <w:left w:val="nil"/>
              <w:bottom w:val="nil"/>
              <w:right w:val="nil"/>
            </w:tcBorders>
            <w:shd w:val="clear" w:color="auto" w:fill="auto"/>
            <w:noWrap/>
            <w:vAlign w:val="bottom"/>
            <w:hideMark/>
          </w:tcPr>
          <w:p w14:paraId="0E3C23F5"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-0.094</w:t>
            </w:r>
          </w:p>
        </w:tc>
        <w:tc>
          <w:tcPr>
            <w:tcW w:w="1300" w:type="dxa"/>
            <w:tcBorders>
              <w:top w:val="single" w:sz="4" w:space="0" w:color="auto"/>
              <w:left w:val="nil"/>
              <w:bottom w:val="nil"/>
              <w:right w:val="nil"/>
            </w:tcBorders>
            <w:shd w:val="clear" w:color="auto" w:fill="auto"/>
            <w:noWrap/>
            <w:vAlign w:val="bottom"/>
            <w:hideMark/>
          </w:tcPr>
          <w:p w14:paraId="343C3689"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0.181</w:t>
            </w:r>
          </w:p>
        </w:tc>
        <w:tc>
          <w:tcPr>
            <w:tcW w:w="1300" w:type="dxa"/>
            <w:tcBorders>
              <w:top w:val="single" w:sz="4" w:space="0" w:color="auto"/>
              <w:left w:val="nil"/>
              <w:bottom w:val="nil"/>
              <w:right w:val="nil"/>
            </w:tcBorders>
            <w:shd w:val="clear" w:color="auto" w:fill="auto"/>
            <w:noWrap/>
            <w:vAlign w:val="bottom"/>
            <w:hideMark/>
          </w:tcPr>
          <w:p w14:paraId="0504F905"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0.574</w:t>
            </w:r>
          </w:p>
        </w:tc>
      </w:tr>
      <w:tr w:rsidR="00F64D05" w:rsidRPr="0049305B" w14:paraId="4AD6D7F8" w14:textId="77777777" w:rsidTr="00F64D05">
        <w:trPr>
          <w:trHeight w:val="300"/>
        </w:trPr>
        <w:tc>
          <w:tcPr>
            <w:tcW w:w="2880" w:type="dxa"/>
            <w:tcBorders>
              <w:top w:val="nil"/>
              <w:left w:val="nil"/>
              <w:bottom w:val="nil"/>
              <w:right w:val="nil"/>
            </w:tcBorders>
            <w:shd w:val="clear" w:color="auto" w:fill="auto"/>
            <w:noWrap/>
            <w:vAlign w:val="bottom"/>
            <w:hideMark/>
          </w:tcPr>
          <w:p w14:paraId="50A703FB"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Border Conflicts</w:t>
            </w:r>
          </w:p>
        </w:tc>
        <w:tc>
          <w:tcPr>
            <w:tcW w:w="1300" w:type="dxa"/>
            <w:tcBorders>
              <w:top w:val="nil"/>
              <w:left w:val="nil"/>
              <w:bottom w:val="nil"/>
              <w:right w:val="nil"/>
            </w:tcBorders>
            <w:shd w:val="clear" w:color="auto" w:fill="auto"/>
            <w:noWrap/>
            <w:vAlign w:val="bottom"/>
            <w:hideMark/>
          </w:tcPr>
          <w:p w14:paraId="325087CE"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0.541</w:t>
            </w:r>
          </w:p>
        </w:tc>
        <w:tc>
          <w:tcPr>
            <w:tcW w:w="1300" w:type="dxa"/>
            <w:tcBorders>
              <w:top w:val="nil"/>
              <w:left w:val="nil"/>
              <w:bottom w:val="nil"/>
              <w:right w:val="nil"/>
            </w:tcBorders>
            <w:shd w:val="clear" w:color="auto" w:fill="auto"/>
            <w:noWrap/>
            <w:vAlign w:val="bottom"/>
            <w:hideMark/>
          </w:tcPr>
          <w:p w14:paraId="5676B896"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0.221</w:t>
            </w:r>
          </w:p>
        </w:tc>
        <w:tc>
          <w:tcPr>
            <w:tcW w:w="1300" w:type="dxa"/>
            <w:tcBorders>
              <w:top w:val="nil"/>
              <w:left w:val="nil"/>
              <w:bottom w:val="nil"/>
              <w:right w:val="nil"/>
            </w:tcBorders>
            <w:shd w:val="clear" w:color="auto" w:fill="auto"/>
            <w:noWrap/>
            <w:vAlign w:val="bottom"/>
            <w:hideMark/>
          </w:tcPr>
          <w:p w14:paraId="239428A9"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0.214</w:t>
            </w:r>
          </w:p>
        </w:tc>
        <w:tc>
          <w:tcPr>
            <w:tcW w:w="1300" w:type="dxa"/>
            <w:tcBorders>
              <w:top w:val="nil"/>
              <w:left w:val="nil"/>
              <w:bottom w:val="nil"/>
              <w:right w:val="nil"/>
            </w:tcBorders>
            <w:shd w:val="clear" w:color="auto" w:fill="auto"/>
            <w:noWrap/>
            <w:vAlign w:val="bottom"/>
            <w:hideMark/>
          </w:tcPr>
          <w:p w14:paraId="05E8B0E4"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0.612</w:t>
            </w:r>
          </w:p>
        </w:tc>
      </w:tr>
      <w:tr w:rsidR="00F64D05" w:rsidRPr="0049305B" w14:paraId="5E6761C9" w14:textId="77777777" w:rsidTr="00F64D05">
        <w:trPr>
          <w:trHeight w:val="300"/>
        </w:trPr>
        <w:tc>
          <w:tcPr>
            <w:tcW w:w="2880" w:type="dxa"/>
            <w:tcBorders>
              <w:top w:val="nil"/>
              <w:left w:val="nil"/>
              <w:bottom w:val="nil"/>
              <w:right w:val="nil"/>
            </w:tcBorders>
            <w:shd w:val="clear" w:color="auto" w:fill="auto"/>
            <w:noWrap/>
            <w:vAlign w:val="bottom"/>
            <w:hideMark/>
          </w:tcPr>
          <w:p w14:paraId="2F282753"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Guarantee EU Peace</w:t>
            </w:r>
          </w:p>
        </w:tc>
        <w:tc>
          <w:tcPr>
            <w:tcW w:w="1300" w:type="dxa"/>
            <w:tcBorders>
              <w:top w:val="nil"/>
              <w:left w:val="nil"/>
              <w:bottom w:val="nil"/>
              <w:right w:val="nil"/>
            </w:tcBorders>
            <w:shd w:val="clear" w:color="auto" w:fill="auto"/>
            <w:noWrap/>
            <w:vAlign w:val="bottom"/>
            <w:hideMark/>
          </w:tcPr>
          <w:p w14:paraId="32797A03"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0.619</w:t>
            </w:r>
          </w:p>
        </w:tc>
        <w:tc>
          <w:tcPr>
            <w:tcW w:w="1300" w:type="dxa"/>
            <w:tcBorders>
              <w:top w:val="nil"/>
              <w:left w:val="nil"/>
              <w:bottom w:val="nil"/>
              <w:right w:val="nil"/>
            </w:tcBorders>
            <w:shd w:val="clear" w:color="auto" w:fill="auto"/>
            <w:noWrap/>
            <w:vAlign w:val="bottom"/>
            <w:hideMark/>
          </w:tcPr>
          <w:p w14:paraId="794A9D47"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-0.093</w:t>
            </w:r>
          </w:p>
        </w:tc>
        <w:tc>
          <w:tcPr>
            <w:tcW w:w="1300" w:type="dxa"/>
            <w:tcBorders>
              <w:top w:val="nil"/>
              <w:left w:val="nil"/>
              <w:bottom w:val="nil"/>
              <w:right w:val="nil"/>
            </w:tcBorders>
            <w:shd w:val="clear" w:color="auto" w:fill="auto"/>
            <w:noWrap/>
            <w:vAlign w:val="bottom"/>
            <w:hideMark/>
          </w:tcPr>
          <w:p w14:paraId="3E80A4FA"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0.294</w:t>
            </w:r>
          </w:p>
        </w:tc>
        <w:tc>
          <w:tcPr>
            <w:tcW w:w="1300" w:type="dxa"/>
            <w:tcBorders>
              <w:top w:val="nil"/>
              <w:left w:val="nil"/>
              <w:bottom w:val="nil"/>
              <w:right w:val="nil"/>
            </w:tcBorders>
            <w:shd w:val="clear" w:color="auto" w:fill="auto"/>
            <w:noWrap/>
            <w:vAlign w:val="bottom"/>
            <w:hideMark/>
          </w:tcPr>
          <w:p w14:paraId="6845F225"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0.521</w:t>
            </w:r>
          </w:p>
        </w:tc>
      </w:tr>
      <w:tr w:rsidR="00F64D05" w:rsidRPr="0049305B" w14:paraId="25C1AC81" w14:textId="77777777" w:rsidTr="00F64D05">
        <w:trPr>
          <w:trHeight w:val="300"/>
        </w:trPr>
        <w:tc>
          <w:tcPr>
            <w:tcW w:w="2880" w:type="dxa"/>
            <w:tcBorders>
              <w:top w:val="nil"/>
              <w:left w:val="nil"/>
              <w:bottom w:val="nil"/>
              <w:right w:val="nil"/>
            </w:tcBorders>
            <w:shd w:val="clear" w:color="auto" w:fill="auto"/>
            <w:noWrap/>
            <w:vAlign w:val="bottom"/>
            <w:hideMark/>
          </w:tcPr>
          <w:p w14:paraId="3F1F4EE3"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Repatriation</w:t>
            </w:r>
          </w:p>
        </w:tc>
        <w:tc>
          <w:tcPr>
            <w:tcW w:w="1300" w:type="dxa"/>
            <w:tcBorders>
              <w:top w:val="nil"/>
              <w:left w:val="nil"/>
              <w:bottom w:val="nil"/>
              <w:right w:val="nil"/>
            </w:tcBorders>
            <w:shd w:val="clear" w:color="auto" w:fill="auto"/>
            <w:noWrap/>
            <w:vAlign w:val="bottom"/>
            <w:hideMark/>
          </w:tcPr>
          <w:p w14:paraId="2F221F66"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0.538</w:t>
            </w:r>
          </w:p>
        </w:tc>
        <w:tc>
          <w:tcPr>
            <w:tcW w:w="1300" w:type="dxa"/>
            <w:tcBorders>
              <w:top w:val="nil"/>
              <w:left w:val="nil"/>
              <w:bottom w:val="nil"/>
              <w:right w:val="nil"/>
            </w:tcBorders>
            <w:shd w:val="clear" w:color="auto" w:fill="auto"/>
            <w:noWrap/>
            <w:vAlign w:val="bottom"/>
            <w:hideMark/>
          </w:tcPr>
          <w:p w14:paraId="4B1B6A17"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0.269</w:t>
            </w:r>
          </w:p>
        </w:tc>
        <w:tc>
          <w:tcPr>
            <w:tcW w:w="1300" w:type="dxa"/>
            <w:tcBorders>
              <w:top w:val="nil"/>
              <w:left w:val="nil"/>
              <w:bottom w:val="nil"/>
              <w:right w:val="nil"/>
            </w:tcBorders>
            <w:shd w:val="clear" w:color="auto" w:fill="auto"/>
            <w:noWrap/>
            <w:vAlign w:val="bottom"/>
            <w:hideMark/>
          </w:tcPr>
          <w:p w14:paraId="75C1CC9E"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0.259</w:t>
            </w:r>
          </w:p>
        </w:tc>
        <w:tc>
          <w:tcPr>
            <w:tcW w:w="1300" w:type="dxa"/>
            <w:tcBorders>
              <w:top w:val="nil"/>
              <w:left w:val="nil"/>
              <w:bottom w:val="nil"/>
              <w:right w:val="nil"/>
            </w:tcBorders>
            <w:shd w:val="clear" w:color="auto" w:fill="auto"/>
            <w:noWrap/>
            <w:vAlign w:val="bottom"/>
            <w:hideMark/>
          </w:tcPr>
          <w:p w14:paraId="26D3C88E"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0.571</w:t>
            </w:r>
          </w:p>
        </w:tc>
      </w:tr>
      <w:tr w:rsidR="00F64D05" w:rsidRPr="0049305B" w14:paraId="3BBF8845" w14:textId="77777777" w:rsidTr="00F64D05">
        <w:trPr>
          <w:trHeight w:val="300"/>
        </w:trPr>
        <w:tc>
          <w:tcPr>
            <w:tcW w:w="2880" w:type="dxa"/>
            <w:tcBorders>
              <w:top w:val="nil"/>
              <w:left w:val="nil"/>
              <w:bottom w:val="nil"/>
              <w:right w:val="nil"/>
            </w:tcBorders>
            <w:shd w:val="clear" w:color="auto" w:fill="auto"/>
            <w:noWrap/>
            <w:vAlign w:val="bottom"/>
            <w:hideMark/>
          </w:tcPr>
          <w:p w14:paraId="12039E31"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Disasters in Europe</w:t>
            </w:r>
          </w:p>
        </w:tc>
        <w:tc>
          <w:tcPr>
            <w:tcW w:w="1300" w:type="dxa"/>
            <w:tcBorders>
              <w:top w:val="nil"/>
              <w:left w:val="nil"/>
              <w:bottom w:val="nil"/>
              <w:right w:val="nil"/>
            </w:tcBorders>
            <w:shd w:val="clear" w:color="auto" w:fill="auto"/>
            <w:noWrap/>
            <w:vAlign w:val="bottom"/>
            <w:hideMark/>
          </w:tcPr>
          <w:p w14:paraId="2FD882A9"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0.702</w:t>
            </w:r>
          </w:p>
        </w:tc>
        <w:tc>
          <w:tcPr>
            <w:tcW w:w="1300" w:type="dxa"/>
            <w:tcBorders>
              <w:top w:val="nil"/>
              <w:left w:val="nil"/>
              <w:bottom w:val="nil"/>
              <w:right w:val="nil"/>
            </w:tcBorders>
            <w:shd w:val="clear" w:color="auto" w:fill="auto"/>
            <w:noWrap/>
            <w:vAlign w:val="bottom"/>
            <w:hideMark/>
          </w:tcPr>
          <w:p w14:paraId="20196477"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0.228</w:t>
            </w:r>
          </w:p>
        </w:tc>
        <w:tc>
          <w:tcPr>
            <w:tcW w:w="1300" w:type="dxa"/>
            <w:tcBorders>
              <w:top w:val="nil"/>
              <w:left w:val="nil"/>
              <w:bottom w:val="nil"/>
              <w:right w:val="nil"/>
            </w:tcBorders>
            <w:shd w:val="clear" w:color="auto" w:fill="auto"/>
            <w:noWrap/>
            <w:vAlign w:val="bottom"/>
            <w:hideMark/>
          </w:tcPr>
          <w:p w14:paraId="092FDF42"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0.057</w:t>
            </w:r>
          </w:p>
        </w:tc>
        <w:tc>
          <w:tcPr>
            <w:tcW w:w="1300" w:type="dxa"/>
            <w:tcBorders>
              <w:top w:val="nil"/>
              <w:left w:val="nil"/>
              <w:bottom w:val="nil"/>
              <w:right w:val="nil"/>
            </w:tcBorders>
            <w:shd w:val="clear" w:color="auto" w:fill="auto"/>
            <w:noWrap/>
            <w:vAlign w:val="bottom"/>
            <w:hideMark/>
          </w:tcPr>
          <w:p w14:paraId="0C949908"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0.452</w:t>
            </w:r>
          </w:p>
        </w:tc>
      </w:tr>
      <w:tr w:rsidR="00F64D05" w:rsidRPr="0049305B" w14:paraId="79A0CF61" w14:textId="77777777" w:rsidTr="00F64D05">
        <w:trPr>
          <w:trHeight w:val="300"/>
        </w:trPr>
        <w:tc>
          <w:tcPr>
            <w:tcW w:w="2880" w:type="dxa"/>
            <w:tcBorders>
              <w:top w:val="nil"/>
              <w:left w:val="nil"/>
              <w:bottom w:val="nil"/>
              <w:right w:val="nil"/>
            </w:tcBorders>
            <w:shd w:val="clear" w:color="auto" w:fill="auto"/>
            <w:noWrap/>
            <w:vAlign w:val="bottom"/>
            <w:hideMark/>
          </w:tcPr>
          <w:p w14:paraId="3DDB9A08"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Humanitarian</w:t>
            </w:r>
          </w:p>
        </w:tc>
        <w:tc>
          <w:tcPr>
            <w:tcW w:w="1300" w:type="dxa"/>
            <w:tcBorders>
              <w:top w:val="nil"/>
              <w:left w:val="nil"/>
              <w:bottom w:val="nil"/>
              <w:right w:val="nil"/>
            </w:tcBorders>
            <w:shd w:val="clear" w:color="auto" w:fill="auto"/>
            <w:noWrap/>
            <w:vAlign w:val="bottom"/>
            <w:hideMark/>
          </w:tcPr>
          <w:p w14:paraId="2CB0EC04"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0.540</w:t>
            </w:r>
          </w:p>
        </w:tc>
        <w:tc>
          <w:tcPr>
            <w:tcW w:w="1300" w:type="dxa"/>
            <w:tcBorders>
              <w:top w:val="nil"/>
              <w:left w:val="nil"/>
              <w:bottom w:val="nil"/>
              <w:right w:val="nil"/>
            </w:tcBorders>
            <w:shd w:val="clear" w:color="auto" w:fill="auto"/>
            <w:noWrap/>
            <w:vAlign w:val="bottom"/>
            <w:hideMark/>
          </w:tcPr>
          <w:p w14:paraId="1A5B1765"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0.325</w:t>
            </w:r>
          </w:p>
        </w:tc>
        <w:tc>
          <w:tcPr>
            <w:tcW w:w="1300" w:type="dxa"/>
            <w:tcBorders>
              <w:top w:val="nil"/>
              <w:left w:val="nil"/>
              <w:bottom w:val="nil"/>
              <w:right w:val="nil"/>
            </w:tcBorders>
            <w:shd w:val="clear" w:color="auto" w:fill="auto"/>
            <w:noWrap/>
            <w:vAlign w:val="bottom"/>
            <w:hideMark/>
          </w:tcPr>
          <w:p w14:paraId="339D2B2D"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0.179</w:t>
            </w:r>
          </w:p>
        </w:tc>
        <w:tc>
          <w:tcPr>
            <w:tcW w:w="1300" w:type="dxa"/>
            <w:tcBorders>
              <w:top w:val="nil"/>
              <w:left w:val="nil"/>
              <w:bottom w:val="nil"/>
              <w:right w:val="nil"/>
            </w:tcBorders>
            <w:shd w:val="clear" w:color="auto" w:fill="auto"/>
            <w:noWrap/>
            <w:vAlign w:val="bottom"/>
            <w:hideMark/>
          </w:tcPr>
          <w:p w14:paraId="2F8E1AA4"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0.570</w:t>
            </w:r>
          </w:p>
        </w:tc>
      </w:tr>
      <w:tr w:rsidR="00F64D05" w:rsidRPr="0049305B" w14:paraId="354E28A4" w14:textId="77777777" w:rsidTr="00F64D05">
        <w:trPr>
          <w:trHeight w:val="300"/>
        </w:trPr>
        <w:tc>
          <w:tcPr>
            <w:tcW w:w="2880" w:type="dxa"/>
            <w:tcBorders>
              <w:top w:val="nil"/>
              <w:left w:val="nil"/>
              <w:bottom w:val="nil"/>
              <w:right w:val="nil"/>
            </w:tcBorders>
            <w:shd w:val="clear" w:color="auto" w:fill="auto"/>
            <w:noWrap/>
            <w:vAlign w:val="bottom"/>
            <w:hideMark/>
          </w:tcPr>
          <w:p w14:paraId="2940B938"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World Conflicts</w:t>
            </w:r>
          </w:p>
        </w:tc>
        <w:tc>
          <w:tcPr>
            <w:tcW w:w="1300" w:type="dxa"/>
            <w:tcBorders>
              <w:top w:val="nil"/>
              <w:left w:val="nil"/>
              <w:bottom w:val="nil"/>
              <w:right w:val="nil"/>
            </w:tcBorders>
            <w:shd w:val="clear" w:color="auto" w:fill="auto"/>
            <w:noWrap/>
            <w:vAlign w:val="bottom"/>
            <w:hideMark/>
          </w:tcPr>
          <w:p w14:paraId="330E7249"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0.014</w:t>
            </w:r>
          </w:p>
        </w:tc>
        <w:tc>
          <w:tcPr>
            <w:tcW w:w="1300" w:type="dxa"/>
            <w:tcBorders>
              <w:top w:val="nil"/>
              <w:left w:val="nil"/>
              <w:bottom w:val="nil"/>
              <w:right w:val="nil"/>
            </w:tcBorders>
            <w:shd w:val="clear" w:color="auto" w:fill="auto"/>
            <w:noWrap/>
            <w:vAlign w:val="bottom"/>
            <w:hideMark/>
          </w:tcPr>
          <w:p w14:paraId="4C43254C"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0.704</w:t>
            </w:r>
          </w:p>
        </w:tc>
        <w:tc>
          <w:tcPr>
            <w:tcW w:w="1300" w:type="dxa"/>
            <w:tcBorders>
              <w:top w:val="nil"/>
              <w:left w:val="nil"/>
              <w:bottom w:val="nil"/>
              <w:right w:val="nil"/>
            </w:tcBorders>
            <w:shd w:val="clear" w:color="auto" w:fill="auto"/>
            <w:noWrap/>
            <w:vAlign w:val="bottom"/>
            <w:hideMark/>
          </w:tcPr>
          <w:p w14:paraId="46FAB917"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0.170</w:t>
            </w:r>
          </w:p>
        </w:tc>
        <w:tc>
          <w:tcPr>
            <w:tcW w:w="1300" w:type="dxa"/>
            <w:tcBorders>
              <w:top w:val="nil"/>
              <w:left w:val="nil"/>
              <w:bottom w:val="nil"/>
              <w:right w:val="nil"/>
            </w:tcBorders>
            <w:shd w:val="clear" w:color="auto" w:fill="auto"/>
            <w:noWrap/>
            <w:vAlign w:val="bottom"/>
            <w:hideMark/>
          </w:tcPr>
          <w:p w14:paraId="1B9B7116"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0.475</w:t>
            </w:r>
          </w:p>
        </w:tc>
      </w:tr>
      <w:tr w:rsidR="00F64D05" w:rsidRPr="0049305B" w14:paraId="2B65FA0B" w14:textId="77777777" w:rsidTr="00F64D05">
        <w:trPr>
          <w:trHeight w:val="300"/>
        </w:trPr>
        <w:tc>
          <w:tcPr>
            <w:tcW w:w="2880" w:type="dxa"/>
            <w:tcBorders>
              <w:top w:val="nil"/>
              <w:left w:val="nil"/>
              <w:bottom w:val="nil"/>
              <w:right w:val="nil"/>
            </w:tcBorders>
            <w:shd w:val="clear" w:color="auto" w:fill="auto"/>
            <w:noWrap/>
            <w:vAlign w:val="bottom"/>
            <w:hideMark/>
          </w:tcPr>
          <w:p w14:paraId="1279F8A4"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Peace-Keeping - non-UN</w:t>
            </w:r>
          </w:p>
        </w:tc>
        <w:tc>
          <w:tcPr>
            <w:tcW w:w="1300" w:type="dxa"/>
            <w:tcBorders>
              <w:top w:val="nil"/>
              <w:left w:val="nil"/>
              <w:bottom w:val="nil"/>
              <w:right w:val="nil"/>
            </w:tcBorders>
            <w:shd w:val="clear" w:color="auto" w:fill="auto"/>
            <w:noWrap/>
            <w:vAlign w:val="bottom"/>
            <w:hideMark/>
          </w:tcPr>
          <w:p w14:paraId="6C4475FB"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0.009</w:t>
            </w:r>
          </w:p>
        </w:tc>
        <w:tc>
          <w:tcPr>
            <w:tcW w:w="1300" w:type="dxa"/>
            <w:tcBorders>
              <w:top w:val="nil"/>
              <w:left w:val="nil"/>
              <w:bottom w:val="nil"/>
              <w:right w:val="nil"/>
            </w:tcBorders>
            <w:shd w:val="clear" w:color="auto" w:fill="auto"/>
            <w:noWrap/>
            <w:vAlign w:val="bottom"/>
            <w:hideMark/>
          </w:tcPr>
          <w:p w14:paraId="196F0630"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0.668</w:t>
            </w:r>
          </w:p>
        </w:tc>
        <w:tc>
          <w:tcPr>
            <w:tcW w:w="1300" w:type="dxa"/>
            <w:tcBorders>
              <w:top w:val="nil"/>
              <w:left w:val="nil"/>
              <w:bottom w:val="nil"/>
              <w:right w:val="nil"/>
            </w:tcBorders>
            <w:shd w:val="clear" w:color="auto" w:fill="auto"/>
            <w:noWrap/>
            <w:vAlign w:val="bottom"/>
            <w:hideMark/>
          </w:tcPr>
          <w:p w14:paraId="534D1768"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0.283</w:t>
            </w:r>
          </w:p>
        </w:tc>
        <w:tc>
          <w:tcPr>
            <w:tcW w:w="1300" w:type="dxa"/>
            <w:tcBorders>
              <w:top w:val="nil"/>
              <w:left w:val="nil"/>
              <w:bottom w:val="nil"/>
              <w:right w:val="nil"/>
            </w:tcBorders>
            <w:shd w:val="clear" w:color="auto" w:fill="auto"/>
            <w:noWrap/>
            <w:vAlign w:val="bottom"/>
            <w:hideMark/>
          </w:tcPr>
          <w:p w14:paraId="4F87E4EB"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0.474</w:t>
            </w:r>
          </w:p>
        </w:tc>
      </w:tr>
      <w:tr w:rsidR="00F64D05" w:rsidRPr="0049305B" w14:paraId="25505BC9" w14:textId="77777777" w:rsidTr="00F64D05">
        <w:trPr>
          <w:trHeight w:val="300"/>
        </w:trPr>
        <w:tc>
          <w:tcPr>
            <w:tcW w:w="2880" w:type="dxa"/>
            <w:tcBorders>
              <w:top w:val="nil"/>
              <w:left w:val="nil"/>
              <w:bottom w:val="nil"/>
              <w:right w:val="nil"/>
            </w:tcBorders>
            <w:shd w:val="clear" w:color="auto" w:fill="auto"/>
            <w:noWrap/>
            <w:vAlign w:val="bottom"/>
            <w:hideMark/>
          </w:tcPr>
          <w:p w14:paraId="02363657"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Disasters in World</w:t>
            </w:r>
          </w:p>
        </w:tc>
        <w:tc>
          <w:tcPr>
            <w:tcW w:w="1300" w:type="dxa"/>
            <w:tcBorders>
              <w:top w:val="nil"/>
              <w:left w:val="nil"/>
              <w:bottom w:val="nil"/>
              <w:right w:val="nil"/>
            </w:tcBorders>
            <w:shd w:val="clear" w:color="auto" w:fill="auto"/>
            <w:noWrap/>
            <w:vAlign w:val="bottom"/>
            <w:hideMark/>
          </w:tcPr>
          <w:p w14:paraId="74CF5FE0"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0.458</w:t>
            </w:r>
          </w:p>
        </w:tc>
        <w:tc>
          <w:tcPr>
            <w:tcW w:w="1300" w:type="dxa"/>
            <w:tcBorders>
              <w:top w:val="nil"/>
              <w:left w:val="nil"/>
              <w:bottom w:val="nil"/>
              <w:right w:val="nil"/>
            </w:tcBorders>
            <w:shd w:val="clear" w:color="auto" w:fill="auto"/>
            <w:noWrap/>
            <w:vAlign w:val="bottom"/>
            <w:hideMark/>
          </w:tcPr>
          <w:p w14:paraId="529DFE07"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0.589</w:t>
            </w:r>
          </w:p>
        </w:tc>
        <w:tc>
          <w:tcPr>
            <w:tcW w:w="1300" w:type="dxa"/>
            <w:tcBorders>
              <w:top w:val="nil"/>
              <w:left w:val="nil"/>
              <w:bottom w:val="nil"/>
              <w:right w:val="nil"/>
            </w:tcBorders>
            <w:shd w:val="clear" w:color="auto" w:fill="auto"/>
            <w:noWrap/>
            <w:vAlign w:val="bottom"/>
            <w:hideMark/>
          </w:tcPr>
          <w:p w14:paraId="12272172"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0.001</w:t>
            </w:r>
          </w:p>
        </w:tc>
        <w:tc>
          <w:tcPr>
            <w:tcW w:w="1300" w:type="dxa"/>
            <w:tcBorders>
              <w:top w:val="nil"/>
              <w:left w:val="nil"/>
              <w:bottom w:val="nil"/>
              <w:right w:val="nil"/>
            </w:tcBorders>
            <w:shd w:val="clear" w:color="auto" w:fill="auto"/>
            <w:noWrap/>
            <w:vAlign w:val="bottom"/>
            <w:hideMark/>
          </w:tcPr>
          <w:p w14:paraId="023AD029"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0.443</w:t>
            </w:r>
          </w:p>
        </w:tc>
      </w:tr>
      <w:tr w:rsidR="00F64D05" w:rsidRPr="0049305B" w14:paraId="401995EE" w14:textId="77777777" w:rsidTr="00F64D05">
        <w:trPr>
          <w:trHeight w:val="300"/>
        </w:trPr>
        <w:tc>
          <w:tcPr>
            <w:tcW w:w="2880" w:type="dxa"/>
            <w:tcBorders>
              <w:top w:val="nil"/>
              <w:left w:val="nil"/>
              <w:bottom w:val="nil"/>
              <w:right w:val="nil"/>
            </w:tcBorders>
            <w:shd w:val="clear" w:color="auto" w:fill="auto"/>
            <w:noWrap/>
            <w:vAlign w:val="bottom"/>
            <w:hideMark/>
          </w:tcPr>
          <w:p w14:paraId="16DDEBEA"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Peace-Keeping - UN</w:t>
            </w:r>
          </w:p>
        </w:tc>
        <w:tc>
          <w:tcPr>
            <w:tcW w:w="1300" w:type="dxa"/>
            <w:tcBorders>
              <w:top w:val="nil"/>
              <w:left w:val="nil"/>
              <w:bottom w:val="nil"/>
              <w:right w:val="nil"/>
            </w:tcBorders>
            <w:shd w:val="clear" w:color="auto" w:fill="auto"/>
            <w:noWrap/>
            <w:vAlign w:val="bottom"/>
            <w:hideMark/>
          </w:tcPr>
          <w:p w14:paraId="5AB03BD5"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0.468</w:t>
            </w:r>
          </w:p>
        </w:tc>
        <w:tc>
          <w:tcPr>
            <w:tcW w:w="1300" w:type="dxa"/>
            <w:tcBorders>
              <w:top w:val="nil"/>
              <w:left w:val="nil"/>
              <w:bottom w:val="nil"/>
              <w:right w:val="nil"/>
            </w:tcBorders>
            <w:shd w:val="clear" w:color="auto" w:fill="auto"/>
            <w:noWrap/>
            <w:vAlign w:val="bottom"/>
            <w:hideMark/>
          </w:tcPr>
          <w:p w14:paraId="35F453B0"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0.518</w:t>
            </w:r>
          </w:p>
        </w:tc>
        <w:tc>
          <w:tcPr>
            <w:tcW w:w="1300" w:type="dxa"/>
            <w:tcBorders>
              <w:top w:val="nil"/>
              <w:left w:val="nil"/>
              <w:bottom w:val="nil"/>
              <w:right w:val="nil"/>
            </w:tcBorders>
            <w:shd w:val="clear" w:color="auto" w:fill="auto"/>
            <w:noWrap/>
            <w:vAlign w:val="bottom"/>
            <w:hideMark/>
          </w:tcPr>
          <w:p w14:paraId="793B63B2"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0.073</w:t>
            </w:r>
          </w:p>
        </w:tc>
        <w:tc>
          <w:tcPr>
            <w:tcW w:w="1300" w:type="dxa"/>
            <w:tcBorders>
              <w:top w:val="nil"/>
              <w:left w:val="nil"/>
              <w:bottom w:val="nil"/>
              <w:right w:val="nil"/>
            </w:tcBorders>
            <w:shd w:val="clear" w:color="auto" w:fill="auto"/>
            <w:noWrap/>
            <w:vAlign w:val="bottom"/>
            <w:hideMark/>
          </w:tcPr>
          <w:p w14:paraId="766C9EEB"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0.508</w:t>
            </w:r>
          </w:p>
        </w:tc>
      </w:tr>
      <w:tr w:rsidR="00F64D05" w:rsidRPr="0049305B" w14:paraId="7DE14E7E" w14:textId="77777777" w:rsidTr="00F64D05">
        <w:trPr>
          <w:trHeight w:val="300"/>
        </w:trPr>
        <w:tc>
          <w:tcPr>
            <w:tcW w:w="2880" w:type="dxa"/>
            <w:tcBorders>
              <w:top w:val="nil"/>
              <w:left w:val="nil"/>
              <w:bottom w:val="nil"/>
              <w:right w:val="nil"/>
            </w:tcBorders>
            <w:shd w:val="clear" w:color="auto" w:fill="auto"/>
            <w:noWrap/>
            <w:vAlign w:val="bottom"/>
            <w:hideMark/>
          </w:tcPr>
          <w:p w14:paraId="3099AF57"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Human Rights</w:t>
            </w:r>
          </w:p>
        </w:tc>
        <w:tc>
          <w:tcPr>
            <w:tcW w:w="1300" w:type="dxa"/>
            <w:tcBorders>
              <w:top w:val="nil"/>
              <w:left w:val="nil"/>
              <w:bottom w:val="nil"/>
              <w:right w:val="nil"/>
            </w:tcBorders>
            <w:shd w:val="clear" w:color="auto" w:fill="auto"/>
            <w:noWrap/>
            <w:vAlign w:val="bottom"/>
            <w:hideMark/>
          </w:tcPr>
          <w:p w14:paraId="12E87B51"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0.420</w:t>
            </w:r>
          </w:p>
        </w:tc>
        <w:tc>
          <w:tcPr>
            <w:tcW w:w="1300" w:type="dxa"/>
            <w:tcBorders>
              <w:top w:val="nil"/>
              <w:left w:val="nil"/>
              <w:bottom w:val="nil"/>
              <w:right w:val="nil"/>
            </w:tcBorders>
            <w:shd w:val="clear" w:color="auto" w:fill="auto"/>
            <w:noWrap/>
            <w:vAlign w:val="bottom"/>
            <w:hideMark/>
          </w:tcPr>
          <w:p w14:paraId="7BCF9CAD"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0.155</w:t>
            </w:r>
          </w:p>
        </w:tc>
        <w:tc>
          <w:tcPr>
            <w:tcW w:w="1300" w:type="dxa"/>
            <w:tcBorders>
              <w:top w:val="nil"/>
              <w:left w:val="nil"/>
              <w:bottom w:val="nil"/>
              <w:right w:val="nil"/>
            </w:tcBorders>
            <w:shd w:val="clear" w:color="auto" w:fill="auto"/>
            <w:noWrap/>
            <w:vAlign w:val="bottom"/>
            <w:hideMark/>
          </w:tcPr>
          <w:p w14:paraId="66BA9946"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0.378</w:t>
            </w:r>
          </w:p>
        </w:tc>
        <w:tc>
          <w:tcPr>
            <w:tcW w:w="1300" w:type="dxa"/>
            <w:tcBorders>
              <w:top w:val="nil"/>
              <w:left w:val="nil"/>
              <w:bottom w:val="nil"/>
              <w:right w:val="nil"/>
            </w:tcBorders>
            <w:shd w:val="clear" w:color="auto" w:fill="auto"/>
            <w:noWrap/>
            <w:vAlign w:val="bottom"/>
            <w:hideMark/>
          </w:tcPr>
          <w:p w14:paraId="1F96F929"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0.657</w:t>
            </w:r>
          </w:p>
        </w:tc>
      </w:tr>
      <w:tr w:rsidR="00F64D05" w:rsidRPr="0049305B" w14:paraId="28E3E036" w14:textId="77777777" w:rsidTr="00DB06E1">
        <w:trPr>
          <w:trHeight w:val="300"/>
        </w:trPr>
        <w:tc>
          <w:tcPr>
            <w:tcW w:w="2880" w:type="dxa"/>
            <w:tcBorders>
              <w:top w:val="nil"/>
              <w:left w:val="nil"/>
              <w:right w:val="nil"/>
            </w:tcBorders>
            <w:shd w:val="clear" w:color="auto" w:fill="auto"/>
            <w:noWrap/>
            <w:vAlign w:val="bottom"/>
            <w:hideMark/>
          </w:tcPr>
          <w:p w14:paraId="478D253E"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Economic Interests</w:t>
            </w:r>
          </w:p>
        </w:tc>
        <w:tc>
          <w:tcPr>
            <w:tcW w:w="1300" w:type="dxa"/>
            <w:tcBorders>
              <w:top w:val="nil"/>
              <w:left w:val="nil"/>
              <w:right w:val="nil"/>
            </w:tcBorders>
            <w:shd w:val="clear" w:color="auto" w:fill="auto"/>
            <w:noWrap/>
            <w:vAlign w:val="bottom"/>
            <w:hideMark/>
          </w:tcPr>
          <w:p w14:paraId="0CDAA3E7"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0.146</w:t>
            </w:r>
          </w:p>
        </w:tc>
        <w:tc>
          <w:tcPr>
            <w:tcW w:w="1300" w:type="dxa"/>
            <w:tcBorders>
              <w:top w:val="nil"/>
              <w:left w:val="nil"/>
              <w:right w:val="nil"/>
            </w:tcBorders>
            <w:shd w:val="clear" w:color="auto" w:fill="auto"/>
            <w:noWrap/>
            <w:vAlign w:val="bottom"/>
            <w:hideMark/>
          </w:tcPr>
          <w:p w14:paraId="3ACE895E"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0.115</w:t>
            </w:r>
          </w:p>
        </w:tc>
        <w:tc>
          <w:tcPr>
            <w:tcW w:w="1300" w:type="dxa"/>
            <w:tcBorders>
              <w:top w:val="nil"/>
              <w:left w:val="nil"/>
              <w:right w:val="nil"/>
            </w:tcBorders>
            <w:shd w:val="clear" w:color="auto" w:fill="auto"/>
            <w:noWrap/>
            <w:vAlign w:val="bottom"/>
            <w:hideMark/>
          </w:tcPr>
          <w:p w14:paraId="2078BAAF"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0.802</w:t>
            </w:r>
          </w:p>
        </w:tc>
        <w:tc>
          <w:tcPr>
            <w:tcW w:w="1300" w:type="dxa"/>
            <w:tcBorders>
              <w:top w:val="nil"/>
              <w:left w:val="nil"/>
              <w:right w:val="nil"/>
            </w:tcBorders>
            <w:shd w:val="clear" w:color="auto" w:fill="auto"/>
            <w:noWrap/>
            <w:vAlign w:val="bottom"/>
            <w:hideMark/>
          </w:tcPr>
          <w:p w14:paraId="529E95C1"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0.322</w:t>
            </w:r>
          </w:p>
        </w:tc>
      </w:tr>
      <w:tr w:rsidR="00F64D05" w:rsidRPr="0049305B" w14:paraId="7EEB1462" w14:textId="77777777" w:rsidTr="00DB06E1">
        <w:trPr>
          <w:trHeight w:val="300"/>
        </w:trPr>
        <w:tc>
          <w:tcPr>
            <w:tcW w:w="2880" w:type="dxa"/>
            <w:tcBorders>
              <w:top w:val="nil"/>
              <w:left w:val="nil"/>
              <w:bottom w:val="single" w:sz="4" w:space="0" w:color="auto"/>
              <w:right w:val="nil"/>
            </w:tcBorders>
            <w:shd w:val="clear" w:color="auto" w:fill="auto"/>
            <w:noWrap/>
            <w:vAlign w:val="bottom"/>
            <w:hideMark/>
          </w:tcPr>
          <w:p w14:paraId="491D3BF4" w14:textId="77777777" w:rsidR="00F64D05" w:rsidRPr="0049305B" w:rsidRDefault="00F64D05"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Symbolize EU Identity</w:t>
            </w:r>
          </w:p>
        </w:tc>
        <w:tc>
          <w:tcPr>
            <w:tcW w:w="1300" w:type="dxa"/>
            <w:tcBorders>
              <w:top w:val="nil"/>
              <w:left w:val="nil"/>
              <w:bottom w:val="single" w:sz="4" w:space="0" w:color="auto"/>
              <w:right w:val="nil"/>
            </w:tcBorders>
            <w:shd w:val="clear" w:color="auto" w:fill="auto"/>
            <w:noWrap/>
            <w:vAlign w:val="bottom"/>
            <w:hideMark/>
          </w:tcPr>
          <w:p w14:paraId="0191CC4C"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0.113</w:t>
            </w:r>
          </w:p>
        </w:tc>
        <w:tc>
          <w:tcPr>
            <w:tcW w:w="1300" w:type="dxa"/>
            <w:tcBorders>
              <w:top w:val="nil"/>
              <w:left w:val="nil"/>
              <w:bottom w:val="single" w:sz="4" w:space="0" w:color="auto"/>
              <w:right w:val="nil"/>
            </w:tcBorders>
            <w:shd w:val="clear" w:color="auto" w:fill="auto"/>
            <w:noWrap/>
            <w:vAlign w:val="bottom"/>
            <w:hideMark/>
          </w:tcPr>
          <w:p w14:paraId="51572C1E"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0.147</w:t>
            </w:r>
          </w:p>
        </w:tc>
        <w:tc>
          <w:tcPr>
            <w:tcW w:w="1300" w:type="dxa"/>
            <w:tcBorders>
              <w:top w:val="nil"/>
              <w:left w:val="nil"/>
              <w:bottom w:val="single" w:sz="4" w:space="0" w:color="auto"/>
              <w:right w:val="nil"/>
            </w:tcBorders>
            <w:shd w:val="clear" w:color="auto" w:fill="auto"/>
            <w:noWrap/>
            <w:vAlign w:val="bottom"/>
            <w:hideMark/>
          </w:tcPr>
          <w:p w14:paraId="184450B2" w14:textId="77777777" w:rsidR="00F64D05" w:rsidRPr="0049305B" w:rsidRDefault="00F64D05" w:rsidP="00786F90">
            <w:pPr>
              <w:jc w:val="center"/>
              <w:rPr>
                <w:rFonts w:ascii="Garamond" w:eastAsia="Times New Roman" w:hAnsi="Garamond" w:cs="Times New Roman"/>
                <w:b/>
                <w:bCs/>
                <w:color w:val="000000"/>
              </w:rPr>
            </w:pPr>
            <w:r w:rsidRPr="0049305B">
              <w:rPr>
                <w:rFonts w:ascii="Garamond" w:eastAsia="Times New Roman" w:hAnsi="Garamond" w:cs="Times New Roman"/>
                <w:b/>
                <w:bCs/>
                <w:color w:val="000000"/>
              </w:rPr>
              <w:t>0.797</w:t>
            </w:r>
          </w:p>
        </w:tc>
        <w:tc>
          <w:tcPr>
            <w:tcW w:w="1300" w:type="dxa"/>
            <w:tcBorders>
              <w:top w:val="nil"/>
              <w:left w:val="nil"/>
              <w:bottom w:val="single" w:sz="4" w:space="0" w:color="auto"/>
              <w:right w:val="nil"/>
            </w:tcBorders>
            <w:shd w:val="clear" w:color="auto" w:fill="auto"/>
            <w:noWrap/>
            <w:vAlign w:val="bottom"/>
            <w:hideMark/>
          </w:tcPr>
          <w:p w14:paraId="0FD87AC8" w14:textId="77777777" w:rsidR="00F64D05" w:rsidRPr="0049305B" w:rsidRDefault="00F64D05" w:rsidP="00786F90">
            <w:pPr>
              <w:jc w:val="center"/>
              <w:rPr>
                <w:rFonts w:ascii="Garamond" w:eastAsia="Times New Roman" w:hAnsi="Garamond" w:cs="Times New Roman"/>
                <w:color w:val="000000"/>
              </w:rPr>
            </w:pPr>
            <w:r w:rsidRPr="0049305B">
              <w:rPr>
                <w:rFonts w:ascii="Garamond" w:eastAsia="Times New Roman" w:hAnsi="Garamond" w:cs="Times New Roman"/>
                <w:color w:val="000000"/>
              </w:rPr>
              <w:t>0.330</w:t>
            </w:r>
          </w:p>
        </w:tc>
      </w:tr>
    </w:tbl>
    <w:p w14:paraId="72D6A4E7" w14:textId="77777777" w:rsidR="00FA21D2" w:rsidRPr="0049305B" w:rsidRDefault="00FA21D2" w:rsidP="00944873">
      <w:pPr>
        <w:jc w:val="both"/>
        <w:rPr>
          <w:rFonts w:ascii="Garamond" w:hAnsi="Garamond"/>
        </w:rPr>
      </w:pPr>
    </w:p>
    <w:p w14:paraId="0151FAFD" w14:textId="15E40D52" w:rsidR="00F64D05" w:rsidRPr="0049305B" w:rsidRDefault="00F64D05" w:rsidP="00733F64">
      <w:pPr>
        <w:jc w:val="center"/>
        <w:rPr>
          <w:rFonts w:ascii="Garamond" w:hAnsi="Garamond"/>
          <w:b/>
        </w:rPr>
      </w:pPr>
      <w:r w:rsidRPr="0049305B">
        <w:rPr>
          <w:rFonts w:ascii="Garamond" w:hAnsi="Garamond"/>
          <w:b/>
        </w:rPr>
        <w:t>Table 2: Factor analysis of EU army role</w:t>
      </w:r>
    </w:p>
    <w:p w14:paraId="4116771B" w14:textId="77777777" w:rsidR="00F64D05" w:rsidRPr="009C52FB" w:rsidRDefault="00F64D05" w:rsidP="00944873">
      <w:pPr>
        <w:jc w:val="both"/>
        <w:rPr>
          <w:rFonts w:ascii="Garamond" w:hAnsi="Garamond"/>
        </w:rPr>
      </w:pPr>
    </w:p>
    <w:p w14:paraId="2F8118DF" w14:textId="069962FC" w:rsidR="003E0803" w:rsidRDefault="00FA21D2" w:rsidP="00944873">
      <w:pPr>
        <w:jc w:val="both"/>
        <w:rPr>
          <w:rFonts w:ascii="Garamond" w:hAnsi="Garamond"/>
        </w:rPr>
      </w:pPr>
      <w:r w:rsidRPr="009C52FB">
        <w:rPr>
          <w:rFonts w:ascii="Garamond" w:hAnsi="Garamond"/>
        </w:rPr>
        <w:tab/>
      </w:r>
      <w:r w:rsidR="00133D3A" w:rsidRPr="009C52FB">
        <w:rPr>
          <w:rFonts w:ascii="Garamond" w:hAnsi="Garamond"/>
        </w:rPr>
        <w:t xml:space="preserve">Hypothesis three expands upon the findings of the first two hypotheses, where we found informed individual responses towards CSDP, clear understandings that defense implies traditional hard power elements, as well as a degree of </w:t>
      </w:r>
      <w:r w:rsidR="00C43919">
        <w:rPr>
          <w:rFonts w:ascii="Garamond" w:hAnsi="Garamond"/>
        </w:rPr>
        <w:t xml:space="preserve">internal </w:t>
      </w:r>
      <w:r w:rsidR="00133D3A" w:rsidRPr="009C52FB">
        <w:rPr>
          <w:rFonts w:ascii="Garamond" w:hAnsi="Garamond"/>
        </w:rPr>
        <w:t>coherence amongst individual responses over what an EU army would possibly do. Hypothesis three predicts that there could be more support across the European population for hard rather than soft power functions at the EU level.  As table 3 shows, both hard and soft power variables are strongly related to support for CSDP, with “hard power” having a slightly stronger effect than “soft power”.</w:t>
      </w:r>
      <w:r w:rsidR="00133D3A" w:rsidRPr="009C52FB">
        <w:rPr>
          <w:rStyle w:val="FootnoteReference"/>
          <w:rFonts w:ascii="Garamond" w:hAnsi="Garamond"/>
        </w:rPr>
        <w:footnoteReference w:id="36"/>
      </w:r>
      <w:r w:rsidR="00133D3A" w:rsidRPr="009C52FB">
        <w:rPr>
          <w:rFonts w:ascii="Garamond" w:hAnsi="Garamond"/>
        </w:rPr>
        <w:t xml:space="preserve">  The coefficients for both variables are statistically significant at greater than the 0.001 significance level.  Moreover, “hard power” is strongly correlated with “soft power” (r = 0.613), indicating that responses to the two scales are driven by largely the same underlying factors.   </w:t>
      </w:r>
    </w:p>
    <w:p w14:paraId="04A211ED" w14:textId="77777777" w:rsidR="00733F64" w:rsidRDefault="00733F64" w:rsidP="00944873">
      <w:pPr>
        <w:jc w:val="both"/>
        <w:rPr>
          <w:rFonts w:ascii="Garamond" w:hAnsi="Garamond"/>
        </w:rPr>
      </w:pPr>
    </w:p>
    <w:p w14:paraId="009A0BDA" w14:textId="77777777" w:rsidR="00733F64" w:rsidRPr="009C52FB" w:rsidRDefault="00733F64" w:rsidP="00944873">
      <w:pPr>
        <w:jc w:val="both"/>
        <w:rPr>
          <w:rFonts w:ascii="Garamond" w:hAnsi="Garamond"/>
        </w:rPr>
      </w:pPr>
    </w:p>
    <w:p w14:paraId="06A3ECAC" w14:textId="1DE8F1C3" w:rsidR="003E0803" w:rsidRPr="009C52FB" w:rsidRDefault="003E0803" w:rsidP="00944873">
      <w:pPr>
        <w:jc w:val="both"/>
        <w:rPr>
          <w:rFonts w:ascii="Garamond" w:hAnsi="Garamond"/>
        </w:rPr>
      </w:pPr>
    </w:p>
    <w:tbl>
      <w:tblPr>
        <w:tblW w:w="4240" w:type="dxa"/>
        <w:jc w:val="center"/>
        <w:tblInd w:w="93" w:type="dxa"/>
        <w:tblLook w:val="04A0" w:firstRow="1" w:lastRow="0" w:firstColumn="1" w:lastColumn="0" w:noHBand="0" w:noVBand="1"/>
      </w:tblPr>
      <w:tblGrid>
        <w:gridCol w:w="2680"/>
        <w:gridCol w:w="1560"/>
      </w:tblGrid>
      <w:tr w:rsidR="00CB1BEB" w:rsidRPr="0049305B" w14:paraId="03068BAF" w14:textId="77777777" w:rsidTr="0019493A">
        <w:trPr>
          <w:trHeight w:val="300"/>
          <w:jc w:val="center"/>
        </w:trPr>
        <w:tc>
          <w:tcPr>
            <w:tcW w:w="2680" w:type="dxa"/>
            <w:tcBorders>
              <w:top w:val="nil"/>
              <w:left w:val="nil"/>
              <w:bottom w:val="single" w:sz="4" w:space="0" w:color="auto"/>
              <w:right w:val="nil"/>
            </w:tcBorders>
            <w:shd w:val="clear" w:color="auto" w:fill="auto"/>
            <w:noWrap/>
            <w:vAlign w:val="bottom"/>
            <w:hideMark/>
          </w:tcPr>
          <w:p w14:paraId="0190308F" w14:textId="77777777" w:rsidR="00CB1BEB" w:rsidRPr="0049305B" w:rsidRDefault="00CB1BEB" w:rsidP="0019493A">
            <w:pPr>
              <w:rPr>
                <w:rFonts w:ascii="Garamond" w:eastAsia="Times New Roman" w:hAnsi="Garamond" w:cs="Times New Roman"/>
                <w:color w:val="000000"/>
              </w:rPr>
            </w:pPr>
          </w:p>
        </w:tc>
        <w:tc>
          <w:tcPr>
            <w:tcW w:w="1560" w:type="dxa"/>
            <w:tcBorders>
              <w:top w:val="nil"/>
              <w:left w:val="nil"/>
              <w:bottom w:val="single" w:sz="4" w:space="0" w:color="auto"/>
              <w:right w:val="nil"/>
            </w:tcBorders>
            <w:shd w:val="clear" w:color="auto" w:fill="auto"/>
            <w:noWrap/>
            <w:vAlign w:val="bottom"/>
            <w:hideMark/>
          </w:tcPr>
          <w:p w14:paraId="13A383DE"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Support CSDP</w:t>
            </w:r>
          </w:p>
        </w:tc>
      </w:tr>
      <w:tr w:rsidR="00CB1BEB" w:rsidRPr="0049305B" w14:paraId="0401331F" w14:textId="77777777" w:rsidTr="0019493A">
        <w:trPr>
          <w:trHeight w:val="300"/>
          <w:jc w:val="center"/>
        </w:trPr>
        <w:tc>
          <w:tcPr>
            <w:tcW w:w="2680" w:type="dxa"/>
            <w:tcBorders>
              <w:top w:val="single" w:sz="4" w:space="0" w:color="auto"/>
              <w:left w:val="nil"/>
              <w:bottom w:val="nil"/>
              <w:right w:val="nil"/>
            </w:tcBorders>
            <w:shd w:val="clear" w:color="auto" w:fill="auto"/>
            <w:noWrap/>
            <w:vAlign w:val="bottom"/>
            <w:hideMark/>
          </w:tcPr>
          <w:p w14:paraId="2D2961C0"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Hard Power</w:t>
            </w:r>
          </w:p>
        </w:tc>
        <w:tc>
          <w:tcPr>
            <w:tcW w:w="1560" w:type="dxa"/>
            <w:tcBorders>
              <w:top w:val="single" w:sz="4" w:space="0" w:color="auto"/>
              <w:left w:val="nil"/>
              <w:bottom w:val="nil"/>
              <w:right w:val="nil"/>
            </w:tcBorders>
            <w:shd w:val="clear" w:color="auto" w:fill="auto"/>
            <w:noWrap/>
            <w:vAlign w:val="bottom"/>
            <w:hideMark/>
          </w:tcPr>
          <w:p w14:paraId="2797C22E"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1.173***</w:t>
            </w:r>
          </w:p>
        </w:tc>
      </w:tr>
      <w:tr w:rsidR="00CB1BEB" w:rsidRPr="0049305B" w14:paraId="677BC7B0" w14:textId="77777777" w:rsidTr="0019493A">
        <w:trPr>
          <w:trHeight w:val="300"/>
          <w:jc w:val="center"/>
        </w:trPr>
        <w:tc>
          <w:tcPr>
            <w:tcW w:w="2680" w:type="dxa"/>
            <w:tcBorders>
              <w:top w:val="nil"/>
              <w:left w:val="nil"/>
              <w:bottom w:val="nil"/>
              <w:right w:val="nil"/>
            </w:tcBorders>
            <w:shd w:val="clear" w:color="auto" w:fill="auto"/>
            <w:noWrap/>
            <w:vAlign w:val="bottom"/>
            <w:hideMark/>
          </w:tcPr>
          <w:p w14:paraId="3D12E445" w14:textId="76D34731" w:rsidR="00CB1BEB" w:rsidRPr="0049305B" w:rsidRDefault="00CB1BEB" w:rsidP="0019493A">
            <w:pPr>
              <w:rPr>
                <w:rFonts w:ascii="Garamond" w:eastAsia="Times New Roman" w:hAnsi="Garamond" w:cs="Times New Roman"/>
                <w:color w:val="000000"/>
              </w:rPr>
            </w:pPr>
          </w:p>
        </w:tc>
        <w:tc>
          <w:tcPr>
            <w:tcW w:w="1560" w:type="dxa"/>
            <w:tcBorders>
              <w:top w:val="nil"/>
              <w:left w:val="nil"/>
              <w:bottom w:val="nil"/>
              <w:right w:val="nil"/>
            </w:tcBorders>
            <w:shd w:val="clear" w:color="auto" w:fill="auto"/>
            <w:noWrap/>
            <w:vAlign w:val="bottom"/>
            <w:hideMark/>
          </w:tcPr>
          <w:p w14:paraId="18CC0F83" w14:textId="225F137F"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(0.108)</w:t>
            </w:r>
          </w:p>
        </w:tc>
      </w:tr>
      <w:tr w:rsidR="00CB1BEB" w:rsidRPr="0049305B" w14:paraId="316ADAEB" w14:textId="77777777" w:rsidTr="0019493A">
        <w:trPr>
          <w:trHeight w:val="639"/>
          <w:jc w:val="center"/>
        </w:trPr>
        <w:tc>
          <w:tcPr>
            <w:tcW w:w="2680" w:type="dxa"/>
            <w:tcBorders>
              <w:top w:val="nil"/>
              <w:left w:val="nil"/>
              <w:bottom w:val="nil"/>
              <w:right w:val="nil"/>
            </w:tcBorders>
            <w:shd w:val="clear" w:color="auto" w:fill="auto"/>
            <w:noWrap/>
            <w:vAlign w:val="bottom"/>
            <w:hideMark/>
          </w:tcPr>
          <w:p w14:paraId="12A8A67F"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Soft Power</w:t>
            </w:r>
          </w:p>
        </w:tc>
        <w:tc>
          <w:tcPr>
            <w:tcW w:w="1560" w:type="dxa"/>
            <w:tcBorders>
              <w:top w:val="nil"/>
              <w:left w:val="nil"/>
              <w:bottom w:val="nil"/>
              <w:right w:val="nil"/>
            </w:tcBorders>
            <w:shd w:val="clear" w:color="auto" w:fill="auto"/>
            <w:noWrap/>
            <w:vAlign w:val="bottom"/>
            <w:hideMark/>
          </w:tcPr>
          <w:p w14:paraId="6B081DC4"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0.80***</w:t>
            </w:r>
          </w:p>
        </w:tc>
      </w:tr>
      <w:tr w:rsidR="00CB1BEB" w:rsidRPr="0049305B" w14:paraId="5D2B0B2C" w14:textId="77777777" w:rsidTr="0019493A">
        <w:trPr>
          <w:trHeight w:val="300"/>
          <w:jc w:val="center"/>
        </w:trPr>
        <w:tc>
          <w:tcPr>
            <w:tcW w:w="2680" w:type="dxa"/>
            <w:tcBorders>
              <w:top w:val="nil"/>
              <w:left w:val="nil"/>
              <w:bottom w:val="nil"/>
              <w:right w:val="nil"/>
            </w:tcBorders>
            <w:shd w:val="clear" w:color="auto" w:fill="auto"/>
            <w:noWrap/>
            <w:vAlign w:val="bottom"/>
            <w:hideMark/>
          </w:tcPr>
          <w:p w14:paraId="6B5D46CE" w14:textId="77777777" w:rsidR="00CB1BEB" w:rsidRPr="0049305B" w:rsidRDefault="00CB1BEB" w:rsidP="0019493A">
            <w:pPr>
              <w:rPr>
                <w:rFonts w:ascii="Garamond" w:eastAsia="Times New Roman" w:hAnsi="Garamond" w:cs="Times New Roman"/>
                <w:color w:val="000000"/>
              </w:rPr>
            </w:pPr>
          </w:p>
        </w:tc>
        <w:tc>
          <w:tcPr>
            <w:tcW w:w="1560" w:type="dxa"/>
            <w:tcBorders>
              <w:top w:val="nil"/>
              <w:left w:val="nil"/>
              <w:bottom w:val="nil"/>
              <w:right w:val="nil"/>
            </w:tcBorders>
            <w:shd w:val="clear" w:color="auto" w:fill="auto"/>
            <w:noWrap/>
            <w:vAlign w:val="bottom"/>
            <w:hideMark/>
          </w:tcPr>
          <w:p w14:paraId="74723A14"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(0.100)</w:t>
            </w:r>
          </w:p>
        </w:tc>
      </w:tr>
      <w:tr w:rsidR="00CB1BEB" w:rsidRPr="0049305B" w14:paraId="2CCE6BCE" w14:textId="77777777" w:rsidTr="0019493A">
        <w:trPr>
          <w:trHeight w:val="594"/>
          <w:jc w:val="center"/>
        </w:trPr>
        <w:tc>
          <w:tcPr>
            <w:tcW w:w="2680" w:type="dxa"/>
            <w:tcBorders>
              <w:top w:val="nil"/>
              <w:left w:val="nil"/>
              <w:bottom w:val="nil"/>
              <w:right w:val="nil"/>
            </w:tcBorders>
            <w:shd w:val="clear" w:color="auto" w:fill="auto"/>
            <w:noWrap/>
            <w:vAlign w:val="bottom"/>
            <w:hideMark/>
          </w:tcPr>
          <w:p w14:paraId="57588534"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European Pride</w:t>
            </w:r>
          </w:p>
        </w:tc>
        <w:tc>
          <w:tcPr>
            <w:tcW w:w="1560" w:type="dxa"/>
            <w:tcBorders>
              <w:top w:val="nil"/>
              <w:left w:val="nil"/>
              <w:bottom w:val="nil"/>
              <w:right w:val="nil"/>
            </w:tcBorders>
            <w:shd w:val="clear" w:color="auto" w:fill="auto"/>
            <w:noWrap/>
            <w:vAlign w:val="bottom"/>
            <w:hideMark/>
          </w:tcPr>
          <w:p w14:paraId="79FAFD25"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0.515***</w:t>
            </w:r>
          </w:p>
        </w:tc>
      </w:tr>
      <w:tr w:rsidR="00CB1BEB" w:rsidRPr="0049305B" w14:paraId="4A6EDCC9" w14:textId="77777777" w:rsidTr="0019493A">
        <w:trPr>
          <w:trHeight w:val="300"/>
          <w:jc w:val="center"/>
        </w:trPr>
        <w:tc>
          <w:tcPr>
            <w:tcW w:w="2680" w:type="dxa"/>
            <w:tcBorders>
              <w:top w:val="nil"/>
              <w:left w:val="nil"/>
              <w:bottom w:val="nil"/>
              <w:right w:val="nil"/>
            </w:tcBorders>
            <w:shd w:val="clear" w:color="auto" w:fill="auto"/>
            <w:noWrap/>
            <w:vAlign w:val="bottom"/>
            <w:hideMark/>
          </w:tcPr>
          <w:p w14:paraId="060A7EF4" w14:textId="77777777" w:rsidR="00CB1BEB" w:rsidRPr="0049305B" w:rsidRDefault="00CB1BEB" w:rsidP="0019493A">
            <w:pPr>
              <w:rPr>
                <w:rFonts w:ascii="Garamond" w:eastAsia="Times New Roman" w:hAnsi="Garamond" w:cs="Times New Roman"/>
                <w:color w:val="000000"/>
              </w:rPr>
            </w:pPr>
          </w:p>
        </w:tc>
        <w:tc>
          <w:tcPr>
            <w:tcW w:w="1560" w:type="dxa"/>
            <w:tcBorders>
              <w:top w:val="nil"/>
              <w:left w:val="nil"/>
              <w:bottom w:val="nil"/>
              <w:right w:val="nil"/>
            </w:tcBorders>
            <w:shd w:val="clear" w:color="auto" w:fill="auto"/>
            <w:noWrap/>
            <w:vAlign w:val="bottom"/>
            <w:hideMark/>
          </w:tcPr>
          <w:p w14:paraId="5BB50432"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(0.026)</w:t>
            </w:r>
          </w:p>
        </w:tc>
      </w:tr>
      <w:tr w:rsidR="00CB1BEB" w:rsidRPr="0049305B" w14:paraId="6D512D09" w14:textId="77777777" w:rsidTr="0019493A">
        <w:trPr>
          <w:trHeight w:val="585"/>
          <w:jc w:val="center"/>
        </w:trPr>
        <w:tc>
          <w:tcPr>
            <w:tcW w:w="2680" w:type="dxa"/>
            <w:tcBorders>
              <w:top w:val="nil"/>
              <w:left w:val="nil"/>
              <w:bottom w:val="nil"/>
              <w:right w:val="nil"/>
            </w:tcBorders>
            <w:shd w:val="clear" w:color="auto" w:fill="auto"/>
            <w:noWrap/>
            <w:vAlign w:val="bottom"/>
            <w:hideMark/>
          </w:tcPr>
          <w:p w14:paraId="1A18F712"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Constant</w:t>
            </w:r>
          </w:p>
        </w:tc>
        <w:tc>
          <w:tcPr>
            <w:tcW w:w="1560" w:type="dxa"/>
            <w:tcBorders>
              <w:top w:val="nil"/>
              <w:left w:val="nil"/>
              <w:bottom w:val="nil"/>
              <w:right w:val="nil"/>
            </w:tcBorders>
            <w:shd w:val="clear" w:color="auto" w:fill="auto"/>
            <w:noWrap/>
            <w:vAlign w:val="bottom"/>
            <w:hideMark/>
          </w:tcPr>
          <w:p w14:paraId="4ACB1E2B"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-0.281</w:t>
            </w:r>
          </w:p>
        </w:tc>
      </w:tr>
      <w:tr w:rsidR="00CB1BEB" w:rsidRPr="0049305B" w14:paraId="7115C6CF" w14:textId="77777777" w:rsidTr="0019493A">
        <w:trPr>
          <w:trHeight w:val="300"/>
          <w:jc w:val="center"/>
        </w:trPr>
        <w:tc>
          <w:tcPr>
            <w:tcW w:w="2680" w:type="dxa"/>
            <w:tcBorders>
              <w:top w:val="nil"/>
              <w:left w:val="nil"/>
              <w:bottom w:val="nil"/>
              <w:right w:val="nil"/>
            </w:tcBorders>
            <w:shd w:val="clear" w:color="auto" w:fill="auto"/>
            <w:noWrap/>
            <w:vAlign w:val="bottom"/>
            <w:hideMark/>
          </w:tcPr>
          <w:p w14:paraId="5E39B52B" w14:textId="77777777" w:rsidR="00CB1BEB" w:rsidRPr="0049305B" w:rsidRDefault="00CB1BEB" w:rsidP="0019493A">
            <w:pPr>
              <w:rPr>
                <w:rFonts w:ascii="Garamond" w:eastAsia="Times New Roman" w:hAnsi="Garamond" w:cs="Times New Roman"/>
                <w:color w:val="000000"/>
              </w:rPr>
            </w:pPr>
          </w:p>
        </w:tc>
        <w:tc>
          <w:tcPr>
            <w:tcW w:w="1560" w:type="dxa"/>
            <w:tcBorders>
              <w:top w:val="nil"/>
              <w:left w:val="nil"/>
              <w:bottom w:val="nil"/>
              <w:right w:val="nil"/>
            </w:tcBorders>
            <w:shd w:val="clear" w:color="auto" w:fill="auto"/>
            <w:noWrap/>
            <w:vAlign w:val="bottom"/>
            <w:hideMark/>
          </w:tcPr>
          <w:p w14:paraId="66E8190C"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(0.059)</w:t>
            </w:r>
          </w:p>
        </w:tc>
      </w:tr>
      <w:tr w:rsidR="00CB1BEB" w:rsidRPr="0049305B" w14:paraId="341A2AF9" w14:textId="77777777" w:rsidTr="0019493A">
        <w:trPr>
          <w:trHeight w:val="300"/>
          <w:jc w:val="center"/>
        </w:trPr>
        <w:tc>
          <w:tcPr>
            <w:tcW w:w="2680" w:type="dxa"/>
            <w:tcBorders>
              <w:top w:val="nil"/>
              <w:left w:val="nil"/>
              <w:bottom w:val="nil"/>
              <w:right w:val="nil"/>
            </w:tcBorders>
            <w:shd w:val="clear" w:color="auto" w:fill="auto"/>
            <w:noWrap/>
            <w:vAlign w:val="bottom"/>
            <w:hideMark/>
          </w:tcPr>
          <w:p w14:paraId="6B78F127" w14:textId="77777777" w:rsidR="00CB1BEB" w:rsidRPr="0049305B" w:rsidRDefault="00CB1BEB" w:rsidP="0019493A">
            <w:pPr>
              <w:rPr>
                <w:rFonts w:ascii="Garamond" w:eastAsia="Times New Roman" w:hAnsi="Garamond" w:cs="Times New Roman"/>
                <w:color w:val="000000"/>
              </w:rPr>
            </w:pPr>
          </w:p>
        </w:tc>
        <w:tc>
          <w:tcPr>
            <w:tcW w:w="1560" w:type="dxa"/>
            <w:tcBorders>
              <w:top w:val="nil"/>
              <w:left w:val="nil"/>
              <w:bottom w:val="nil"/>
              <w:right w:val="nil"/>
            </w:tcBorders>
            <w:shd w:val="clear" w:color="auto" w:fill="auto"/>
            <w:noWrap/>
            <w:vAlign w:val="bottom"/>
            <w:hideMark/>
          </w:tcPr>
          <w:p w14:paraId="19C84C0C" w14:textId="77777777" w:rsidR="00CB1BEB" w:rsidRPr="0049305B" w:rsidRDefault="00CB1BEB" w:rsidP="0019493A">
            <w:pPr>
              <w:rPr>
                <w:rFonts w:ascii="Garamond" w:eastAsia="Times New Roman" w:hAnsi="Garamond" w:cs="Times New Roman"/>
                <w:color w:val="000000"/>
              </w:rPr>
            </w:pPr>
          </w:p>
        </w:tc>
      </w:tr>
      <w:tr w:rsidR="00CB1BEB" w:rsidRPr="0049305B" w14:paraId="54083FD0" w14:textId="77777777" w:rsidTr="0019493A">
        <w:trPr>
          <w:trHeight w:val="300"/>
          <w:jc w:val="center"/>
        </w:trPr>
        <w:tc>
          <w:tcPr>
            <w:tcW w:w="2680" w:type="dxa"/>
            <w:tcBorders>
              <w:top w:val="nil"/>
              <w:left w:val="nil"/>
              <w:bottom w:val="nil"/>
              <w:right w:val="nil"/>
            </w:tcBorders>
            <w:shd w:val="clear" w:color="auto" w:fill="auto"/>
            <w:noWrap/>
            <w:vAlign w:val="bottom"/>
            <w:hideMark/>
          </w:tcPr>
          <w:p w14:paraId="6AEF584A"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Log-likelihood</w:t>
            </w:r>
          </w:p>
        </w:tc>
        <w:tc>
          <w:tcPr>
            <w:tcW w:w="1560" w:type="dxa"/>
            <w:tcBorders>
              <w:top w:val="nil"/>
              <w:left w:val="nil"/>
              <w:bottom w:val="nil"/>
              <w:right w:val="nil"/>
            </w:tcBorders>
            <w:shd w:val="clear" w:color="auto" w:fill="auto"/>
            <w:noWrap/>
            <w:vAlign w:val="bottom"/>
            <w:hideMark/>
          </w:tcPr>
          <w:p w14:paraId="7B1AF3CF"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-6266.39</w:t>
            </w:r>
          </w:p>
        </w:tc>
      </w:tr>
      <w:tr w:rsidR="00CB1BEB" w:rsidRPr="0049305B" w14:paraId="071DF971" w14:textId="77777777" w:rsidTr="0019493A">
        <w:trPr>
          <w:trHeight w:val="300"/>
          <w:jc w:val="center"/>
        </w:trPr>
        <w:tc>
          <w:tcPr>
            <w:tcW w:w="2680" w:type="dxa"/>
            <w:tcBorders>
              <w:top w:val="nil"/>
              <w:left w:val="nil"/>
              <w:right w:val="nil"/>
            </w:tcBorders>
            <w:shd w:val="clear" w:color="auto" w:fill="auto"/>
            <w:noWrap/>
            <w:vAlign w:val="bottom"/>
            <w:hideMark/>
          </w:tcPr>
          <w:p w14:paraId="5B84F2E4"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Chi-square</w:t>
            </w:r>
          </w:p>
        </w:tc>
        <w:tc>
          <w:tcPr>
            <w:tcW w:w="1560" w:type="dxa"/>
            <w:tcBorders>
              <w:top w:val="nil"/>
              <w:left w:val="nil"/>
              <w:right w:val="nil"/>
            </w:tcBorders>
            <w:shd w:val="clear" w:color="auto" w:fill="auto"/>
            <w:noWrap/>
            <w:vAlign w:val="bottom"/>
            <w:hideMark/>
          </w:tcPr>
          <w:p w14:paraId="1666F6FD"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0.000</w:t>
            </w:r>
          </w:p>
        </w:tc>
      </w:tr>
      <w:tr w:rsidR="00CB1BEB" w:rsidRPr="0049305B" w14:paraId="67015742" w14:textId="77777777" w:rsidTr="0019493A">
        <w:trPr>
          <w:trHeight w:val="300"/>
          <w:jc w:val="center"/>
        </w:trPr>
        <w:tc>
          <w:tcPr>
            <w:tcW w:w="2680" w:type="dxa"/>
            <w:tcBorders>
              <w:top w:val="nil"/>
              <w:left w:val="nil"/>
              <w:bottom w:val="single" w:sz="4" w:space="0" w:color="auto"/>
              <w:right w:val="nil"/>
            </w:tcBorders>
            <w:shd w:val="clear" w:color="auto" w:fill="auto"/>
            <w:noWrap/>
            <w:vAlign w:val="bottom"/>
            <w:hideMark/>
          </w:tcPr>
          <w:p w14:paraId="23F71A00" w14:textId="347BA9CE"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N =</w:t>
            </w:r>
          </w:p>
        </w:tc>
        <w:tc>
          <w:tcPr>
            <w:tcW w:w="1560" w:type="dxa"/>
            <w:tcBorders>
              <w:top w:val="nil"/>
              <w:left w:val="nil"/>
              <w:bottom w:val="single" w:sz="4" w:space="0" w:color="auto"/>
              <w:right w:val="nil"/>
            </w:tcBorders>
            <w:shd w:val="clear" w:color="auto" w:fill="auto"/>
            <w:noWrap/>
            <w:vAlign w:val="bottom"/>
            <w:hideMark/>
          </w:tcPr>
          <w:p w14:paraId="59AD4372" w14:textId="77777777" w:rsidR="00CB1BEB" w:rsidRPr="0049305B" w:rsidRDefault="00CB1BEB" w:rsidP="0019493A">
            <w:pPr>
              <w:rPr>
                <w:rFonts w:ascii="Garamond" w:eastAsia="Times New Roman" w:hAnsi="Garamond" w:cs="Times New Roman"/>
                <w:color w:val="000000"/>
              </w:rPr>
            </w:pPr>
            <w:r w:rsidRPr="0049305B">
              <w:rPr>
                <w:rFonts w:ascii="Garamond" w:eastAsia="Times New Roman" w:hAnsi="Garamond" w:cs="Times New Roman"/>
                <w:color w:val="000000"/>
              </w:rPr>
              <w:t>13179</w:t>
            </w:r>
          </w:p>
        </w:tc>
      </w:tr>
    </w:tbl>
    <w:p w14:paraId="0C8F8F93" w14:textId="77777777" w:rsidR="00CB1BEB" w:rsidRPr="0049305B" w:rsidRDefault="00CB1BEB" w:rsidP="00944873">
      <w:pPr>
        <w:jc w:val="both"/>
        <w:rPr>
          <w:rFonts w:ascii="Garamond" w:hAnsi="Garamond"/>
        </w:rPr>
      </w:pPr>
    </w:p>
    <w:p w14:paraId="59BB24CD" w14:textId="77777777" w:rsidR="00484B7C" w:rsidRPr="0049305B" w:rsidRDefault="00484B7C" w:rsidP="00944873">
      <w:pPr>
        <w:jc w:val="both"/>
        <w:rPr>
          <w:rFonts w:ascii="Garamond" w:hAnsi="Garamond"/>
        </w:rPr>
      </w:pPr>
    </w:p>
    <w:p w14:paraId="5D13CAF4" w14:textId="3857DDE8" w:rsidR="00CB1BEB" w:rsidRPr="0049305B" w:rsidRDefault="00CB1BEB" w:rsidP="00733F64">
      <w:pPr>
        <w:jc w:val="center"/>
        <w:rPr>
          <w:rFonts w:ascii="Garamond" w:hAnsi="Garamond"/>
          <w:b/>
        </w:rPr>
      </w:pPr>
      <w:r w:rsidRPr="0049305B">
        <w:rPr>
          <w:rFonts w:ascii="Garamond" w:hAnsi="Garamond"/>
          <w:b/>
        </w:rPr>
        <w:t>Table 3: Effect of Hard and Soft Power on Support for CSDP</w:t>
      </w:r>
    </w:p>
    <w:p w14:paraId="33C2CC80" w14:textId="77777777" w:rsidR="00CB1BEB" w:rsidRPr="0049305B" w:rsidRDefault="00484B7C" w:rsidP="00944873">
      <w:pPr>
        <w:jc w:val="both"/>
        <w:rPr>
          <w:rFonts w:ascii="Garamond" w:hAnsi="Garamond"/>
          <w:i/>
        </w:rPr>
      </w:pPr>
      <w:r w:rsidRPr="0049305B">
        <w:rPr>
          <w:rFonts w:ascii="Garamond" w:hAnsi="Garamond"/>
          <w:i/>
        </w:rPr>
        <w:tab/>
      </w:r>
    </w:p>
    <w:p w14:paraId="7B7FADA7" w14:textId="532C144E" w:rsidR="007C202B" w:rsidRPr="009C52FB" w:rsidRDefault="00484B7C" w:rsidP="00944873">
      <w:pPr>
        <w:ind w:firstLine="720"/>
        <w:jc w:val="both"/>
        <w:rPr>
          <w:rFonts w:ascii="Garamond" w:hAnsi="Garamond"/>
        </w:rPr>
      </w:pPr>
      <w:r w:rsidRPr="009C52FB">
        <w:rPr>
          <w:rFonts w:ascii="Garamond" w:hAnsi="Garamond"/>
        </w:rPr>
        <w:t xml:space="preserve">The last hypothesis relates to the costs of European defense. Generally, Europeans are characterizes as less supportive than Americans over defense policies at the national level, and this assumption extends to European support over defense policies at the European or collective level.  Hypothesis four expects the opposite. While no public is ever keen on military over domestic spending, interesting comparative data can help clarify the degree to which a given population might be particularly hesitant to spend on defense. </w:t>
      </w:r>
      <w:r w:rsidR="007A15EB" w:rsidRPr="009C52FB">
        <w:rPr>
          <w:rFonts w:ascii="Garamond" w:hAnsi="Garamond"/>
        </w:rPr>
        <w:t xml:space="preserve"> Comparisons to defense spending preferences can be between publics (such as between the US and EU), over time (such as EU public preferences over time) or between issue areas (such as between defense or other fiscal spending). In this draft paper, we have accessed and evaluated top-level data on defense versus other fiscal categories at one point in time. Later versions of this study will evaluate respondent level data and comparisons between the US and EU. </w:t>
      </w:r>
      <w:r w:rsidRPr="009C52FB">
        <w:rPr>
          <w:rFonts w:ascii="Garamond" w:hAnsi="Garamond"/>
        </w:rPr>
        <w:t xml:space="preserve">Table 4 </w:t>
      </w:r>
      <w:r w:rsidR="007A15EB" w:rsidRPr="009C52FB">
        <w:rPr>
          <w:rFonts w:ascii="Garamond" w:hAnsi="Garamond"/>
        </w:rPr>
        <w:t xml:space="preserve">demonstrates European public preferences over fiscal spending overall, and then fiscal spending specifically on defense. </w:t>
      </w:r>
      <w:r w:rsidR="003E0803" w:rsidRPr="009C52FB">
        <w:rPr>
          <w:rFonts w:ascii="Garamond" w:hAnsi="Garamond"/>
        </w:rPr>
        <w:t>Cell entries are the percent of respondents supporting each level of government spending.  The second column shows the percentages for responses to Q35 about overall spending while the last column shows the percentages for responses to Q36A about defense spending.</w:t>
      </w:r>
      <w:r w:rsidR="003E0803" w:rsidRPr="009C52FB">
        <w:rPr>
          <w:rStyle w:val="FootnoteReference"/>
          <w:rFonts w:ascii="Garamond" w:hAnsi="Garamond"/>
        </w:rPr>
        <w:footnoteReference w:id="37"/>
      </w:r>
      <w:r w:rsidR="003E0803" w:rsidRPr="009C52FB">
        <w:rPr>
          <w:rFonts w:ascii="Garamond" w:hAnsi="Garamond"/>
        </w:rPr>
        <w:t xml:space="preserve">  As the table shows, there is greater support for reducing government spending overall for debt-reduction purposes than there is for reducing defense spending.  </w:t>
      </w:r>
      <w:proofErr w:type="gramStart"/>
      <w:r w:rsidR="007A15EB" w:rsidRPr="009C52FB">
        <w:rPr>
          <w:rFonts w:ascii="Garamond" w:hAnsi="Garamond"/>
        </w:rPr>
        <w:t>The European public overall supports increasing or maintaining current defense spending over increasing or maintaining other (domestic economic) spending.</w:t>
      </w:r>
      <w:proofErr w:type="gramEnd"/>
      <w:r w:rsidR="007A15EB" w:rsidRPr="009C52FB">
        <w:rPr>
          <w:rFonts w:ascii="Garamond" w:hAnsi="Garamond"/>
        </w:rPr>
        <w:t xml:space="preserve"> And the European public also prefers to decrease other fiscal spending before decreasing defense expenditures. We hope that further analyses will uncover some additional mechanisms in this relationship, as well as a comparison between publics across the Atlantic.</w:t>
      </w:r>
    </w:p>
    <w:p w14:paraId="6C35D00F" w14:textId="77777777" w:rsidR="003E0803" w:rsidRPr="009C52FB" w:rsidRDefault="003E0803" w:rsidP="00944873">
      <w:pPr>
        <w:jc w:val="both"/>
        <w:rPr>
          <w:rFonts w:ascii="Garamond" w:hAnsi="Garamond"/>
        </w:rPr>
      </w:pPr>
    </w:p>
    <w:p w14:paraId="6FF2FB83" w14:textId="77777777" w:rsidR="00133D3A" w:rsidRPr="0049305B" w:rsidRDefault="00133D3A" w:rsidP="00944873">
      <w:pPr>
        <w:jc w:val="both"/>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771"/>
        <w:gridCol w:w="1771"/>
        <w:gridCol w:w="1771"/>
        <w:gridCol w:w="1772"/>
      </w:tblGrid>
      <w:tr w:rsidR="00133D3A" w:rsidRPr="0049305B" w14:paraId="5C291AEC" w14:textId="77777777" w:rsidTr="00A60E21">
        <w:trPr>
          <w:trHeight w:val="300"/>
        </w:trPr>
        <w:tc>
          <w:tcPr>
            <w:tcW w:w="1771" w:type="dxa"/>
            <w:tcBorders>
              <w:top w:val="single" w:sz="4" w:space="0" w:color="auto"/>
            </w:tcBorders>
            <w:noWrap/>
            <w:hideMark/>
          </w:tcPr>
          <w:p w14:paraId="1EF4325E" w14:textId="671706F2" w:rsidR="00133D3A" w:rsidRPr="0049305B" w:rsidRDefault="00133D3A" w:rsidP="00944873">
            <w:pPr>
              <w:jc w:val="both"/>
              <w:rPr>
                <w:rFonts w:ascii="Garamond" w:eastAsia="Times New Roman" w:hAnsi="Garamond" w:cs="Times New Roman"/>
                <w:color w:val="000000"/>
              </w:rPr>
            </w:pPr>
          </w:p>
        </w:tc>
        <w:tc>
          <w:tcPr>
            <w:tcW w:w="1771" w:type="dxa"/>
            <w:tcBorders>
              <w:top w:val="single" w:sz="4" w:space="0" w:color="auto"/>
            </w:tcBorders>
            <w:noWrap/>
            <w:hideMark/>
          </w:tcPr>
          <w:p w14:paraId="193CFD4B" w14:textId="50B2669A"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EU</w:t>
            </w:r>
          </w:p>
        </w:tc>
        <w:tc>
          <w:tcPr>
            <w:tcW w:w="1771" w:type="dxa"/>
            <w:tcBorders>
              <w:top w:val="single" w:sz="4" w:space="0" w:color="auto"/>
            </w:tcBorders>
            <w:noWrap/>
            <w:hideMark/>
          </w:tcPr>
          <w:p w14:paraId="53CDE21D" w14:textId="77777777" w:rsidR="00133D3A" w:rsidRPr="0049305B" w:rsidRDefault="00133D3A" w:rsidP="00A60E21">
            <w:pPr>
              <w:jc w:val="center"/>
              <w:rPr>
                <w:rFonts w:ascii="Garamond" w:eastAsia="Times New Roman" w:hAnsi="Garamond" w:cs="Times New Roman"/>
                <w:color w:val="000000"/>
              </w:rPr>
            </w:pPr>
          </w:p>
        </w:tc>
        <w:tc>
          <w:tcPr>
            <w:tcW w:w="1771" w:type="dxa"/>
            <w:tcBorders>
              <w:top w:val="single" w:sz="4" w:space="0" w:color="auto"/>
            </w:tcBorders>
            <w:noWrap/>
            <w:hideMark/>
          </w:tcPr>
          <w:p w14:paraId="1C685166"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USA</w:t>
            </w:r>
          </w:p>
        </w:tc>
        <w:tc>
          <w:tcPr>
            <w:tcW w:w="1772" w:type="dxa"/>
            <w:tcBorders>
              <w:top w:val="single" w:sz="4" w:space="0" w:color="auto"/>
            </w:tcBorders>
            <w:noWrap/>
            <w:hideMark/>
          </w:tcPr>
          <w:p w14:paraId="690767E1" w14:textId="77777777" w:rsidR="00133D3A" w:rsidRPr="0049305B" w:rsidRDefault="00133D3A" w:rsidP="00A60E21">
            <w:pPr>
              <w:jc w:val="center"/>
              <w:rPr>
                <w:rFonts w:ascii="Garamond" w:eastAsia="Times New Roman" w:hAnsi="Garamond" w:cs="Times New Roman"/>
                <w:color w:val="000000"/>
              </w:rPr>
            </w:pPr>
          </w:p>
        </w:tc>
      </w:tr>
      <w:tr w:rsidR="00133D3A" w:rsidRPr="0049305B" w14:paraId="59C3F141" w14:textId="77777777" w:rsidTr="00A60E21">
        <w:trPr>
          <w:trHeight w:val="300"/>
        </w:trPr>
        <w:tc>
          <w:tcPr>
            <w:tcW w:w="1771" w:type="dxa"/>
            <w:tcBorders>
              <w:bottom w:val="single" w:sz="4" w:space="0" w:color="auto"/>
            </w:tcBorders>
            <w:noWrap/>
            <w:hideMark/>
          </w:tcPr>
          <w:p w14:paraId="2FFAB710" w14:textId="77777777" w:rsidR="00133D3A" w:rsidRPr="0049305B" w:rsidRDefault="00133D3A" w:rsidP="00944873">
            <w:pPr>
              <w:jc w:val="both"/>
              <w:rPr>
                <w:rFonts w:ascii="Garamond" w:eastAsia="Times New Roman" w:hAnsi="Garamond" w:cs="Times New Roman"/>
                <w:color w:val="000000"/>
              </w:rPr>
            </w:pPr>
          </w:p>
        </w:tc>
        <w:tc>
          <w:tcPr>
            <w:tcW w:w="1771" w:type="dxa"/>
            <w:tcBorders>
              <w:bottom w:val="single" w:sz="4" w:space="0" w:color="auto"/>
            </w:tcBorders>
            <w:noWrap/>
            <w:hideMark/>
          </w:tcPr>
          <w:p w14:paraId="404DA6CC"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Overall</w:t>
            </w:r>
          </w:p>
        </w:tc>
        <w:tc>
          <w:tcPr>
            <w:tcW w:w="1771" w:type="dxa"/>
            <w:tcBorders>
              <w:bottom w:val="single" w:sz="4" w:space="0" w:color="auto"/>
            </w:tcBorders>
            <w:noWrap/>
            <w:hideMark/>
          </w:tcPr>
          <w:p w14:paraId="7E04AC9C"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Defense</w:t>
            </w:r>
          </w:p>
        </w:tc>
        <w:tc>
          <w:tcPr>
            <w:tcW w:w="1771" w:type="dxa"/>
            <w:tcBorders>
              <w:bottom w:val="single" w:sz="4" w:space="0" w:color="auto"/>
            </w:tcBorders>
            <w:noWrap/>
            <w:hideMark/>
          </w:tcPr>
          <w:p w14:paraId="145EC7F9"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Overall</w:t>
            </w:r>
          </w:p>
        </w:tc>
        <w:tc>
          <w:tcPr>
            <w:tcW w:w="1772" w:type="dxa"/>
            <w:tcBorders>
              <w:bottom w:val="single" w:sz="4" w:space="0" w:color="auto"/>
            </w:tcBorders>
            <w:noWrap/>
            <w:hideMark/>
          </w:tcPr>
          <w:p w14:paraId="132A5322"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Defense</w:t>
            </w:r>
          </w:p>
        </w:tc>
      </w:tr>
      <w:tr w:rsidR="00133D3A" w:rsidRPr="0049305B" w14:paraId="24B7FB73" w14:textId="77777777" w:rsidTr="00A60E21">
        <w:trPr>
          <w:trHeight w:val="300"/>
        </w:trPr>
        <w:tc>
          <w:tcPr>
            <w:tcW w:w="1771" w:type="dxa"/>
            <w:tcBorders>
              <w:top w:val="single" w:sz="4" w:space="0" w:color="auto"/>
            </w:tcBorders>
            <w:noWrap/>
            <w:hideMark/>
          </w:tcPr>
          <w:p w14:paraId="4D0B2367" w14:textId="77777777" w:rsidR="00133D3A" w:rsidRPr="0049305B" w:rsidRDefault="00133D3A"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Increase</w:t>
            </w:r>
          </w:p>
        </w:tc>
        <w:tc>
          <w:tcPr>
            <w:tcW w:w="1771" w:type="dxa"/>
            <w:tcBorders>
              <w:top w:val="single" w:sz="4" w:space="0" w:color="auto"/>
            </w:tcBorders>
            <w:noWrap/>
            <w:hideMark/>
          </w:tcPr>
          <w:p w14:paraId="3F5A09A0"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16</w:t>
            </w:r>
          </w:p>
        </w:tc>
        <w:tc>
          <w:tcPr>
            <w:tcW w:w="1771" w:type="dxa"/>
            <w:tcBorders>
              <w:top w:val="single" w:sz="4" w:space="0" w:color="auto"/>
            </w:tcBorders>
            <w:noWrap/>
            <w:hideMark/>
          </w:tcPr>
          <w:p w14:paraId="7C30057B"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17</w:t>
            </w:r>
          </w:p>
        </w:tc>
        <w:tc>
          <w:tcPr>
            <w:tcW w:w="1771" w:type="dxa"/>
            <w:tcBorders>
              <w:top w:val="single" w:sz="4" w:space="0" w:color="auto"/>
            </w:tcBorders>
            <w:noWrap/>
            <w:hideMark/>
          </w:tcPr>
          <w:p w14:paraId="594F2F07"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17</w:t>
            </w:r>
          </w:p>
        </w:tc>
        <w:tc>
          <w:tcPr>
            <w:tcW w:w="1772" w:type="dxa"/>
            <w:tcBorders>
              <w:top w:val="single" w:sz="4" w:space="0" w:color="auto"/>
            </w:tcBorders>
            <w:noWrap/>
            <w:hideMark/>
          </w:tcPr>
          <w:p w14:paraId="4DCBF662"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19</w:t>
            </w:r>
          </w:p>
        </w:tc>
      </w:tr>
      <w:tr w:rsidR="00133D3A" w:rsidRPr="0049305B" w14:paraId="562DDB85" w14:textId="77777777" w:rsidTr="00044F15">
        <w:trPr>
          <w:trHeight w:val="300"/>
        </w:trPr>
        <w:tc>
          <w:tcPr>
            <w:tcW w:w="1771" w:type="dxa"/>
            <w:noWrap/>
            <w:hideMark/>
          </w:tcPr>
          <w:p w14:paraId="41362931" w14:textId="77777777" w:rsidR="00133D3A" w:rsidRPr="0049305B" w:rsidRDefault="00133D3A"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Maintain</w:t>
            </w:r>
          </w:p>
        </w:tc>
        <w:tc>
          <w:tcPr>
            <w:tcW w:w="1771" w:type="dxa"/>
            <w:noWrap/>
            <w:hideMark/>
          </w:tcPr>
          <w:p w14:paraId="55D72267"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29</w:t>
            </w:r>
          </w:p>
        </w:tc>
        <w:tc>
          <w:tcPr>
            <w:tcW w:w="1771" w:type="dxa"/>
            <w:noWrap/>
            <w:hideMark/>
          </w:tcPr>
          <w:p w14:paraId="394FAEF2"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46</w:t>
            </w:r>
          </w:p>
        </w:tc>
        <w:tc>
          <w:tcPr>
            <w:tcW w:w="1771" w:type="dxa"/>
            <w:noWrap/>
            <w:hideMark/>
          </w:tcPr>
          <w:p w14:paraId="40F75879"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19</w:t>
            </w:r>
          </w:p>
        </w:tc>
        <w:tc>
          <w:tcPr>
            <w:tcW w:w="1772" w:type="dxa"/>
            <w:noWrap/>
            <w:hideMark/>
          </w:tcPr>
          <w:p w14:paraId="6C09FCA3"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45</w:t>
            </w:r>
          </w:p>
        </w:tc>
      </w:tr>
      <w:tr w:rsidR="00133D3A" w:rsidRPr="0049305B" w14:paraId="7436D610" w14:textId="77777777" w:rsidTr="00044F15">
        <w:trPr>
          <w:trHeight w:val="300"/>
        </w:trPr>
        <w:tc>
          <w:tcPr>
            <w:tcW w:w="1771" w:type="dxa"/>
            <w:tcBorders>
              <w:bottom w:val="single" w:sz="4" w:space="0" w:color="auto"/>
            </w:tcBorders>
            <w:noWrap/>
            <w:hideMark/>
          </w:tcPr>
          <w:p w14:paraId="384B6325" w14:textId="77777777" w:rsidR="00133D3A" w:rsidRPr="0049305B" w:rsidRDefault="00133D3A" w:rsidP="00944873">
            <w:pPr>
              <w:jc w:val="both"/>
              <w:rPr>
                <w:rFonts w:ascii="Garamond" w:eastAsia="Times New Roman" w:hAnsi="Garamond" w:cs="Times New Roman"/>
                <w:color w:val="000000"/>
              </w:rPr>
            </w:pPr>
            <w:r w:rsidRPr="0049305B">
              <w:rPr>
                <w:rFonts w:ascii="Garamond" w:eastAsia="Times New Roman" w:hAnsi="Garamond" w:cs="Times New Roman"/>
                <w:color w:val="000000"/>
              </w:rPr>
              <w:t>Decrease</w:t>
            </w:r>
          </w:p>
        </w:tc>
        <w:tc>
          <w:tcPr>
            <w:tcW w:w="1771" w:type="dxa"/>
            <w:tcBorders>
              <w:bottom w:val="single" w:sz="4" w:space="0" w:color="auto"/>
            </w:tcBorders>
            <w:noWrap/>
            <w:hideMark/>
          </w:tcPr>
          <w:p w14:paraId="3F275683"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50</w:t>
            </w:r>
          </w:p>
        </w:tc>
        <w:tc>
          <w:tcPr>
            <w:tcW w:w="1771" w:type="dxa"/>
            <w:tcBorders>
              <w:bottom w:val="single" w:sz="4" w:space="0" w:color="auto"/>
            </w:tcBorders>
            <w:noWrap/>
            <w:hideMark/>
          </w:tcPr>
          <w:p w14:paraId="632EB1C9"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34</w:t>
            </w:r>
          </w:p>
        </w:tc>
        <w:tc>
          <w:tcPr>
            <w:tcW w:w="1771" w:type="dxa"/>
            <w:tcBorders>
              <w:bottom w:val="single" w:sz="4" w:space="0" w:color="auto"/>
            </w:tcBorders>
            <w:noWrap/>
            <w:hideMark/>
          </w:tcPr>
          <w:p w14:paraId="11674FD4"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61</w:t>
            </w:r>
          </w:p>
        </w:tc>
        <w:tc>
          <w:tcPr>
            <w:tcW w:w="1772" w:type="dxa"/>
            <w:tcBorders>
              <w:bottom w:val="single" w:sz="4" w:space="0" w:color="auto"/>
            </w:tcBorders>
            <w:noWrap/>
            <w:hideMark/>
          </w:tcPr>
          <w:p w14:paraId="436E2965" w14:textId="77777777" w:rsidR="00133D3A" w:rsidRPr="0049305B" w:rsidRDefault="00133D3A" w:rsidP="00A60E21">
            <w:pPr>
              <w:jc w:val="center"/>
              <w:rPr>
                <w:rFonts w:ascii="Garamond" w:eastAsia="Times New Roman" w:hAnsi="Garamond" w:cs="Times New Roman"/>
                <w:color w:val="000000"/>
              </w:rPr>
            </w:pPr>
            <w:r w:rsidRPr="0049305B">
              <w:rPr>
                <w:rFonts w:ascii="Garamond" w:eastAsia="Times New Roman" w:hAnsi="Garamond" w:cs="Times New Roman"/>
                <w:color w:val="000000"/>
              </w:rPr>
              <w:t>34</w:t>
            </w:r>
          </w:p>
        </w:tc>
      </w:tr>
    </w:tbl>
    <w:p w14:paraId="10C0AF1D" w14:textId="77777777" w:rsidR="003E0803" w:rsidRPr="0049305B" w:rsidRDefault="003E0803" w:rsidP="00944873">
      <w:pPr>
        <w:jc w:val="both"/>
        <w:rPr>
          <w:rFonts w:ascii="Garamond" w:hAnsi="Garamond"/>
        </w:rPr>
      </w:pPr>
    </w:p>
    <w:p w14:paraId="4B0A980B" w14:textId="1AA8D685" w:rsidR="0080269D" w:rsidRPr="0049305B" w:rsidRDefault="00133D3A" w:rsidP="00733F64">
      <w:pPr>
        <w:jc w:val="center"/>
        <w:rPr>
          <w:rFonts w:ascii="Garamond" w:hAnsi="Garamond"/>
          <w:b/>
        </w:rPr>
      </w:pPr>
      <w:r w:rsidRPr="0049305B">
        <w:rPr>
          <w:rFonts w:ascii="Garamond" w:hAnsi="Garamond"/>
          <w:b/>
          <w:noProof/>
        </w:rPr>
        <w:t xml:space="preserve">Table 4:  </w:t>
      </w:r>
      <w:r w:rsidR="00CF45F0" w:rsidRPr="0049305B">
        <w:rPr>
          <w:rFonts w:ascii="Garamond" w:hAnsi="Garamond"/>
          <w:b/>
          <w:noProof/>
        </w:rPr>
        <w:t>2011 EU &amp; US Public Opinion over Overall Fiscal Spending and Defense Spending (Source: German Marshall Fund Transatlantic Trends 2011)</w:t>
      </w:r>
    </w:p>
    <w:p w14:paraId="7077B3C9" w14:textId="77777777" w:rsidR="0080269D" w:rsidRPr="009C52FB" w:rsidRDefault="0080269D" w:rsidP="00944873">
      <w:pPr>
        <w:pStyle w:val="Heading1"/>
        <w:jc w:val="both"/>
        <w:rPr>
          <w:rFonts w:ascii="Garamond" w:hAnsi="Garamond"/>
          <w:sz w:val="24"/>
          <w:szCs w:val="24"/>
        </w:rPr>
      </w:pPr>
      <w:r w:rsidRPr="009C52FB">
        <w:rPr>
          <w:rFonts w:ascii="Garamond" w:hAnsi="Garamond"/>
          <w:sz w:val="24"/>
          <w:szCs w:val="24"/>
        </w:rPr>
        <w:t>Discussion</w:t>
      </w:r>
    </w:p>
    <w:p w14:paraId="3B392566" w14:textId="77777777" w:rsidR="00342996" w:rsidRPr="009C52FB" w:rsidRDefault="00342996" w:rsidP="00944873">
      <w:pPr>
        <w:jc w:val="both"/>
        <w:rPr>
          <w:rFonts w:ascii="Garamond" w:hAnsi="Garamond"/>
        </w:rPr>
      </w:pPr>
    </w:p>
    <w:p w14:paraId="09749E42" w14:textId="4984894B" w:rsidR="00CF45F0" w:rsidRPr="009C52FB" w:rsidRDefault="00CF45F0" w:rsidP="00944873">
      <w:pPr>
        <w:ind w:firstLine="720"/>
        <w:jc w:val="both"/>
        <w:rPr>
          <w:rFonts w:ascii="Garamond" w:hAnsi="Garamond"/>
        </w:rPr>
      </w:pPr>
      <w:r w:rsidRPr="009C52FB">
        <w:rPr>
          <w:rFonts w:ascii="Garamond" w:hAnsi="Garamond"/>
        </w:rPr>
        <w:t xml:space="preserve">Our findings provide empirical support for the first three hypotheses outlined earlier and provide tentative and suggestive evidence in favor of Hypothesis 4.   Individuals who support CSDP are indeed knowledgeable about politics and EU policies (Hypothesis 1).  In fact, it is precisely among the most informed, interested, and engaged citizens that we find the strongest support for CSDP.  We also found that levels of “non-attitudes”, manifested as “Don’t Know” responses, were not higher for CSDP than for most other EU domain areas.  </w:t>
      </w:r>
    </w:p>
    <w:p w14:paraId="338E8157" w14:textId="217452CE" w:rsidR="00CF45F0" w:rsidRPr="009C52FB" w:rsidRDefault="00CF45F0" w:rsidP="00944873">
      <w:pPr>
        <w:ind w:firstLine="720"/>
        <w:jc w:val="both"/>
        <w:rPr>
          <w:rFonts w:ascii="Garamond" w:hAnsi="Garamond"/>
        </w:rPr>
      </w:pPr>
      <w:r w:rsidRPr="009C52FB">
        <w:rPr>
          <w:rFonts w:ascii="Garamond" w:hAnsi="Garamond"/>
        </w:rPr>
        <w:t xml:space="preserve">Our findings also provide empirical evidence that individuals who support CSDP also have a coherent and stable understanding of what CSDP means (Hypothesis 2).  Attitudes about common defense and the role of </w:t>
      </w:r>
      <w:proofErr w:type="gramStart"/>
      <w:r w:rsidRPr="009C52FB">
        <w:rPr>
          <w:rFonts w:ascii="Garamond" w:hAnsi="Garamond"/>
        </w:rPr>
        <w:t>an</w:t>
      </w:r>
      <w:proofErr w:type="gramEnd"/>
      <w:r w:rsidRPr="009C52FB">
        <w:rPr>
          <w:rFonts w:ascii="Garamond" w:hAnsi="Garamond"/>
        </w:rPr>
        <w:t xml:space="preserve"> EU army tend to group together along similar dimensions, indicating that citizens are able to connect their attitudes about these policy areas.  Factor analysis, moreover, demonstrates that attitudes about the role of </w:t>
      </w:r>
      <w:proofErr w:type="gramStart"/>
      <w:r w:rsidRPr="009C52FB">
        <w:rPr>
          <w:rFonts w:ascii="Garamond" w:hAnsi="Garamond"/>
        </w:rPr>
        <w:t>an</w:t>
      </w:r>
      <w:proofErr w:type="gramEnd"/>
      <w:r w:rsidRPr="009C52FB">
        <w:rPr>
          <w:rFonts w:ascii="Garamond" w:hAnsi="Garamond"/>
        </w:rPr>
        <w:t xml:space="preserve"> EU army cluster into three largely </w:t>
      </w:r>
      <w:r w:rsidR="00C43919">
        <w:rPr>
          <w:rFonts w:ascii="Garamond" w:hAnsi="Garamond"/>
        </w:rPr>
        <w:t xml:space="preserve">internally </w:t>
      </w:r>
      <w:r w:rsidRPr="009C52FB">
        <w:rPr>
          <w:rFonts w:ascii="Garamond" w:hAnsi="Garamond"/>
        </w:rPr>
        <w:t>coherent clusters of attitudes (internal, external, and non-defense).</w:t>
      </w:r>
    </w:p>
    <w:p w14:paraId="38E4D7C5" w14:textId="64812FB6" w:rsidR="00CF45F0" w:rsidRPr="009C52FB" w:rsidRDefault="00CF45F0" w:rsidP="00944873">
      <w:pPr>
        <w:ind w:firstLine="720"/>
        <w:jc w:val="both"/>
        <w:rPr>
          <w:rFonts w:ascii="Garamond" w:hAnsi="Garamond"/>
        </w:rPr>
      </w:pPr>
      <w:r w:rsidRPr="009C52FB">
        <w:rPr>
          <w:rFonts w:ascii="Garamond" w:hAnsi="Garamond"/>
        </w:rPr>
        <w:t>When citizens support CSDP, our results indicate that they understand that such support includes both hard and soft power (Hypothesis 3).  In fact, hard power considerations were actually stronger predictors of support for CSDP than were soft power considerations, though the difference is slight.  At the very least, support for CSDP is not dominated by soft power considerations, and citizens base their support on hard power considerations as much as soft power ones.</w:t>
      </w:r>
    </w:p>
    <w:p w14:paraId="291D2D0F" w14:textId="075BD8E2" w:rsidR="00CF45F0" w:rsidRPr="009C52FB" w:rsidRDefault="00CF45F0" w:rsidP="00944873">
      <w:pPr>
        <w:ind w:firstLine="720"/>
        <w:jc w:val="both"/>
        <w:rPr>
          <w:rFonts w:ascii="Garamond" w:hAnsi="Garamond"/>
        </w:rPr>
      </w:pPr>
      <w:r w:rsidRPr="009C52FB">
        <w:rPr>
          <w:rFonts w:ascii="Garamond" w:hAnsi="Garamond"/>
        </w:rPr>
        <w:t>Finally, such support for CSDP, including both hard and soft power considerations, is not contrary to attitudes about spending trade-offs (Hypothesis 4).  Results from the Transatlantic Trends Survey (2012) demonstrates that the European public is actually more supportive of maintaining defense spending than they are of maintaining other types of spending as a way to reduce government debt.  While these results are tentative, they do suggest that European citizens are not intrinsically opposed to funding defense efforts for CSDP efforts.  Earlier (2006) polls documenting a reduction of support for CSDP when framed against cost considerations should be considered normal and consistent with all populations, rather than considered an exceptional feature of European public opinion or evidence of shallow or weak permissive consensus over CSDP. Support for all policies always fall when framed by costs. European individuals are no different.</w:t>
      </w:r>
    </w:p>
    <w:p w14:paraId="2CDB107C" w14:textId="208D36EF" w:rsidR="0080269D" w:rsidRPr="009C52FB" w:rsidRDefault="00CF45F0" w:rsidP="00944873">
      <w:pPr>
        <w:ind w:firstLine="720"/>
        <w:jc w:val="both"/>
        <w:rPr>
          <w:rFonts w:ascii="Garamond" w:hAnsi="Garamond"/>
        </w:rPr>
      </w:pPr>
      <w:r w:rsidRPr="009C52FB">
        <w:rPr>
          <w:rFonts w:ascii="Garamond" w:hAnsi="Garamond"/>
        </w:rPr>
        <w:t xml:space="preserve">In sum, the findings presented above provide empirical support for the notion of a European citizenry whose support for CSDP is based on knowledge about the consequences and costs of such policies, as well as an understanding about the role of hard and soft power in such policy.  </w:t>
      </w:r>
      <w:proofErr w:type="gramStart"/>
      <w:r w:rsidRPr="009C52FB">
        <w:rPr>
          <w:rFonts w:ascii="Garamond" w:hAnsi="Garamond"/>
        </w:rPr>
        <w:t>These results provide less support for the permissive consensus hypothesis and suggests</w:t>
      </w:r>
      <w:proofErr w:type="gramEnd"/>
      <w:r w:rsidRPr="009C52FB">
        <w:rPr>
          <w:rFonts w:ascii="Garamond" w:hAnsi="Garamond"/>
        </w:rPr>
        <w:t xml:space="preserve"> that while CSDP has robust support among the European public, there may be less support among the political leadership to follow through with such policies. </w:t>
      </w:r>
    </w:p>
    <w:p w14:paraId="6B14313F" w14:textId="40AF5D52" w:rsidR="0080269D" w:rsidRPr="009C52FB" w:rsidRDefault="00C834E8" w:rsidP="00944873">
      <w:pPr>
        <w:pStyle w:val="Heading1"/>
        <w:jc w:val="both"/>
        <w:rPr>
          <w:rFonts w:ascii="Garamond" w:hAnsi="Garamond"/>
          <w:sz w:val="24"/>
          <w:szCs w:val="24"/>
        </w:rPr>
      </w:pPr>
      <w:r w:rsidRPr="009C52FB">
        <w:rPr>
          <w:rFonts w:ascii="Garamond" w:hAnsi="Garamond"/>
          <w:sz w:val="24"/>
          <w:szCs w:val="24"/>
        </w:rPr>
        <w:t>Implications</w:t>
      </w:r>
      <w:r w:rsidR="00CF45F0" w:rsidRPr="009C52FB">
        <w:rPr>
          <w:rFonts w:ascii="Garamond" w:hAnsi="Garamond"/>
          <w:sz w:val="24"/>
          <w:szCs w:val="24"/>
        </w:rPr>
        <w:t xml:space="preserve"> and Conclusion</w:t>
      </w:r>
    </w:p>
    <w:p w14:paraId="000C5B90" w14:textId="77777777" w:rsidR="00C834E8" w:rsidRPr="009C52FB" w:rsidRDefault="00C834E8" w:rsidP="00944873">
      <w:pPr>
        <w:jc w:val="both"/>
        <w:rPr>
          <w:rFonts w:ascii="Garamond" w:hAnsi="Garamond"/>
        </w:rPr>
      </w:pPr>
    </w:p>
    <w:p w14:paraId="7E9AEE40" w14:textId="6D425A48" w:rsidR="00350B0B" w:rsidRPr="009C52FB" w:rsidRDefault="00CF45F0" w:rsidP="00944873">
      <w:pPr>
        <w:ind w:firstLine="720"/>
        <w:jc w:val="both"/>
        <w:rPr>
          <w:rFonts w:ascii="Garamond" w:hAnsi="Garamond"/>
        </w:rPr>
      </w:pPr>
      <w:r w:rsidRPr="009C52FB">
        <w:rPr>
          <w:rFonts w:ascii="Garamond" w:hAnsi="Garamond"/>
        </w:rPr>
        <w:t xml:space="preserve">There are a number of implications that emerge from our findings. The first is that the conventional wisdom about European preferences for security and defense, and for European security and defense, are logically conflated and </w:t>
      </w:r>
      <w:r w:rsidR="00015315" w:rsidRPr="009C52FB">
        <w:rPr>
          <w:rFonts w:ascii="Garamond" w:hAnsi="Garamond"/>
        </w:rPr>
        <w:t>possibly even fatally flawed</w:t>
      </w:r>
      <w:r w:rsidRPr="009C52FB">
        <w:rPr>
          <w:rFonts w:ascii="Garamond" w:hAnsi="Garamond"/>
        </w:rPr>
        <w:t>.</w:t>
      </w:r>
      <w:r w:rsidR="00C834E8" w:rsidRPr="009C52FB">
        <w:rPr>
          <w:rFonts w:ascii="Garamond" w:hAnsi="Garamond"/>
        </w:rPr>
        <w:t xml:space="preserve"> </w:t>
      </w:r>
      <w:r w:rsidR="00015315" w:rsidRPr="009C52FB">
        <w:rPr>
          <w:rFonts w:ascii="Garamond" w:hAnsi="Garamond"/>
        </w:rPr>
        <w:t>An individual preference against specific extraterritorial military interventions cannot be generalized as a preference against defense, hard power, or the general use of force. And when Europeans are asked about their preferences for CSDP, they have educated and coherent preferences.  The more a person knows about politics and EU policy, the more likely they are to support CSDP. The more educated a person is, the more likely they are to support CSDP.  There may be a logic to CSDP—particularly about pooling and sharing defense burdens—that resonates amongst the pu</w:t>
      </w:r>
      <w:r w:rsidR="0049305B">
        <w:rPr>
          <w:rFonts w:ascii="Garamond" w:hAnsi="Garamond"/>
        </w:rPr>
        <w:t xml:space="preserve">blic with little persuasion. </w:t>
      </w:r>
      <w:r w:rsidR="00015315" w:rsidRPr="009C52FB">
        <w:rPr>
          <w:rFonts w:ascii="Garamond" w:hAnsi="Garamond"/>
        </w:rPr>
        <w:t xml:space="preserve"> </w:t>
      </w:r>
      <w:r w:rsidR="00350B0B" w:rsidRPr="009C52FB">
        <w:rPr>
          <w:rFonts w:ascii="Garamond" w:hAnsi="Garamond"/>
        </w:rPr>
        <w:t xml:space="preserve">Europe </w:t>
      </w:r>
      <w:r w:rsidR="0049305B">
        <w:rPr>
          <w:rFonts w:ascii="Garamond" w:hAnsi="Garamond"/>
        </w:rPr>
        <w:t>may very well</w:t>
      </w:r>
      <w:r w:rsidRPr="009C52FB">
        <w:rPr>
          <w:rFonts w:ascii="Garamond" w:hAnsi="Garamond"/>
        </w:rPr>
        <w:t xml:space="preserve"> be</w:t>
      </w:r>
      <w:r w:rsidR="00350B0B" w:rsidRPr="009C52FB">
        <w:rPr>
          <w:rFonts w:ascii="Garamond" w:hAnsi="Garamond"/>
        </w:rPr>
        <w:t xml:space="preserve"> turning inward, losing its foreign policy influence, and diminishing its role in security and defense, </w:t>
      </w:r>
      <w:r w:rsidRPr="009C52FB">
        <w:rPr>
          <w:rFonts w:ascii="Garamond" w:hAnsi="Garamond"/>
        </w:rPr>
        <w:t xml:space="preserve">but if this is the case, </w:t>
      </w:r>
      <w:r w:rsidR="00350B0B" w:rsidRPr="009C52FB">
        <w:rPr>
          <w:rFonts w:ascii="Garamond" w:hAnsi="Garamond"/>
        </w:rPr>
        <w:t xml:space="preserve">is not because of the public will, but of elites </w:t>
      </w:r>
      <w:r w:rsidR="00015315" w:rsidRPr="009C52FB">
        <w:rPr>
          <w:rFonts w:ascii="Garamond" w:hAnsi="Garamond"/>
        </w:rPr>
        <w:t xml:space="preserve">benefitting from the defense status quo </w:t>
      </w:r>
      <w:r w:rsidR="00350B0B" w:rsidRPr="009C52FB">
        <w:rPr>
          <w:rFonts w:ascii="Garamond" w:hAnsi="Garamond"/>
        </w:rPr>
        <w:t xml:space="preserve">such as national bureaucrats and interest groups. </w:t>
      </w:r>
      <w:r w:rsidRPr="009C52FB">
        <w:rPr>
          <w:rFonts w:ascii="Garamond" w:hAnsi="Garamond"/>
        </w:rPr>
        <w:t xml:space="preserve">The public does not need to be blamed or educated about European </w:t>
      </w:r>
      <w:proofErr w:type="gramStart"/>
      <w:r w:rsidRPr="009C52FB">
        <w:rPr>
          <w:rFonts w:ascii="Garamond" w:hAnsi="Garamond"/>
        </w:rPr>
        <w:t>defense,</w:t>
      </w:r>
      <w:proofErr w:type="gramEnd"/>
      <w:r w:rsidRPr="009C52FB">
        <w:rPr>
          <w:rFonts w:ascii="Garamond" w:hAnsi="Garamond"/>
        </w:rPr>
        <w:t xml:space="preserve"> it may be elites who need to update their learning curve.</w:t>
      </w:r>
    </w:p>
    <w:p w14:paraId="3370C23B" w14:textId="6B0F380E" w:rsidR="002A2DA2" w:rsidRPr="009C52FB" w:rsidRDefault="00015315" w:rsidP="00944873">
      <w:pPr>
        <w:ind w:firstLine="720"/>
        <w:jc w:val="both"/>
        <w:rPr>
          <w:rFonts w:ascii="Garamond" w:hAnsi="Garamond"/>
        </w:rPr>
      </w:pPr>
      <w:r w:rsidRPr="009C52FB">
        <w:rPr>
          <w:rFonts w:ascii="Garamond" w:hAnsi="Garamond"/>
        </w:rPr>
        <w:t xml:space="preserve">An additional implication emerges: it is possible that Europeans may be more </w:t>
      </w:r>
      <w:r w:rsidR="00C834E8" w:rsidRPr="009C52FB">
        <w:rPr>
          <w:rFonts w:ascii="Garamond" w:hAnsi="Garamond"/>
        </w:rPr>
        <w:t>supportive of the use of force at the Europea</w:t>
      </w:r>
      <w:r w:rsidRPr="009C52FB">
        <w:rPr>
          <w:rFonts w:ascii="Garamond" w:hAnsi="Garamond"/>
        </w:rPr>
        <w:t xml:space="preserve">n level than the national level. More negative responses to the use of force and interventions may be capturing this preference, if they are framed at the national rather than the EU level. Recall that one survey captured a vast majority of the public preferring EU-level defense to national defense. Conventional wisdoms seem to assume national defense preferences and then surmise that any negative polling results mean a loss of support for European defense efforts. </w:t>
      </w:r>
      <w:r w:rsidR="002A2DA2" w:rsidRPr="009C52FB">
        <w:rPr>
          <w:rFonts w:ascii="Garamond" w:hAnsi="Garamond"/>
        </w:rPr>
        <w:t xml:space="preserve">Also, when it comes to spending preferences, the conventional wisdom that Europeans enjoy their butter over guns—allowing the US to subsidize their security with no concerns—appears shaky at best. While they may be spending objectively less on defense than Americans, it appears that most Europeans are not content with the status quo, nor have they become used to spending less on the military as a matter of principle. Europeans are not so different from Americans or others when it comes to defense preferences. And there is no evidence that European norms or preferences have fundamentally changed into primarily soft of civilian power norms. Why the rhetoric is so different from this reality is an open and fascinating question. The idea that Europeans are </w:t>
      </w:r>
      <w:r w:rsidR="001F3B5F" w:rsidRPr="009C52FB">
        <w:rPr>
          <w:rFonts w:ascii="Garamond" w:hAnsi="Garamond"/>
        </w:rPr>
        <w:t>evolving on a soft/civilian power</w:t>
      </w:r>
      <w:r w:rsidR="002A2DA2" w:rsidRPr="009C52FB">
        <w:rPr>
          <w:rFonts w:ascii="Garamond" w:hAnsi="Garamond"/>
        </w:rPr>
        <w:t xml:space="preserve"> </w:t>
      </w:r>
      <w:r w:rsidR="001F3B5F" w:rsidRPr="009C52FB">
        <w:rPr>
          <w:rFonts w:ascii="Garamond" w:hAnsi="Garamond"/>
        </w:rPr>
        <w:t xml:space="preserve">path </w:t>
      </w:r>
      <w:r w:rsidR="002A2DA2" w:rsidRPr="009C52FB">
        <w:rPr>
          <w:rFonts w:ascii="Garamond" w:hAnsi="Garamond"/>
        </w:rPr>
        <w:t xml:space="preserve">may have </w:t>
      </w:r>
      <w:r w:rsidR="001F3B5F" w:rsidRPr="009C52FB">
        <w:rPr>
          <w:rFonts w:ascii="Garamond" w:hAnsi="Garamond"/>
        </w:rPr>
        <w:t xml:space="preserve">normative </w:t>
      </w:r>
      <w:r w:rsidR="002A2DA2" w:rsidRPr="009C52FB">
        <w:rPr>
          <w:rFonts w:ascii="Garamond" w:hAnsi="Garamond"/>
        </w:rPr>
        <w:t xml:space="preserve">value on its own as an </w:t>
      </w:r>
      <w:proofErr w:type="spellStart"/>
      <w:r w:rsidR="002A2DA2" w:rsidRPr="009C52FB">
        <w:rPr>
          <w:rFonts w:ascii="Garamond" w:hAnsi="Garamond"/>
        </w:rPr>
        <w:t>exceptionalist</w:t>
      </w:r>
      <w:proofErr w:type="spellEnd"/>
      <w:r w:rsidR="002A2DA2" w:rsidRPr="009C52FB">
        <w:rPr>
          <w:rFonts w:ascii="Garamond" w:hAnsi="Garamond"/>
        </w:rPr>
        <w:t xml:space="preserve"> narrative, but it</w:t>
      </w:r>
      <w:r w:rsidR="001F3B5F" w:rsidRPr="009C52FB">
        <w:rPr>
          <w:rFonts w:ascii="Garamond" w:hAnsi="Garamond"/>
        </w:rPr>
        <w:t xml:space="preserve"> is one with dubious foundations.</w:t>
      </w:r>
    </w:p>
    <w:p w14:paraId="5F11633E" w14:textId="77777777" w:rsidR="002A2DA2" w:rsidRPr="009C52FB" w:rsidRDefault="002A2DA2" w:rsidP="00944873">
      <w:pPr>
        <w:ind w:firstLine="720"/>
        <w:jc w:val="both"/>
        <w:rPr>
          <w:rFonts w:ascii="Garamond" w:hAnsi="Garamond"/>
        </w:rPr>
      </w:pPr>
      <w:r w:rsidRPr="009C52FB">
        <w:rPr>
          <w:rFonts w:ascii="Garamond" w:hAnsi="Garamond"/>
        </w:rPr>
        <w:t xml:space="preserve">This study has clarified the nature of individual support for CSDP, but it has not yet clarified why and under what conditions individuals support </w:t>
      </w:r>
      <w:r w:rsidR="00C834E8" w:rsidRPr="009C52FB">
        <w:rPr>
          <w:rFonts w:ascii="Garamond" w:hAnsi="Garamond"/>
        </w:rPr>
        <w:t xml:space="preserve">CSDP. We think there are two possible mechanisms at work that are mutually constitutive. </w:t>
      </w:r>
      <w:r w:rsidR="005D2282" w:rsidRPr="009C52FB">
        <w:rPr>
          <w:rFonts w:ascii="Garamond" w:hAnsi="Garamond"/>
        </w:rPr>
        <w:t xml:space="preserve">The first is that there </w:t>
      </w:r>
      <w:r w:rsidRPr="009C52FB">
        <w:rPr>
          <w:rFonts w:ascii="Garamond" w:hAnsi="Garamond"/>
        </w:rPr>
        <w:t>may be</w:t>
      </w:r>
      <w:r w:rsidR="005D2282" w:rsidRPr="009C52FB">
        <w:rPr>
          <w:rFonts w:ascii="Garamond" w:hAnsi="Garamond"/>
        </w:rPr>
        <w:t xml:space="preserve"> a latent European identification amongst the European public supportive of CSDP. It is not </w:t>
      </w:r>
      <w:proofErr w:type="gramStart"/>
      <w:r w:rsidR="005D2282" w:rsidRPr="009C52FB">
        <w:rPr>
          <w:rFonts w:ascii="Garamond" w:hAnsi="Garamond"/>
        </w:rPr>
        <w:t>an identification</w:t>
      </w:r>
      <w:proofErr w:type="gramEnd"/>
      <w:r w:rsidR="005D2282" w:rsidRPr="009C52FB">
        <w:rPr>
          <w:rFonts w:ascii="Garamond" w:hAnsi="Garamond"/>
        </w:rPr>
        <w:t xml:space="preserve"> well-captured by </w:t>
      </w:r>
      <w:r w:rsidRPr="009C52FB">
        <w:rPr>
          <w:rFonts w:ascii="Garamond" w:hAnsi="Garamond"/>
        </w:rPr>
        <w:t xml:space="preserve">extant public opinion polls, because those questions have historically framed European identity as either layered with national identity or contrasted with it (i.e., are you European, national, or both?). </w:t>
      </w:r>
    </w:p>
    <w:p w14:paraId="1B2F9016" w14:textId="597B157D" w:rsidR="0042748B" w:rsidRPr="009C52FB" w:rsidRDefault="005D2282" w:rsidP="00944873">
      <w:pPr>
        <w:ind w:firstLine="720"/>
        <w:jc w:val="both"/>
        <w:rPr>
          <w:rFonts w:ascii="Garamond" w:hAnsi="Garamond"/>
        </w:rPr>
      </w:pPr>
      <w:r w:rsidRPr="009C52FB">
        <w:rPr>
          <w:rFonts w:ascii="Garamond" w:hAnsi="Garamond"/>
        </w:rPr>
        <w:t xml:space="preserve">The second is that this </w:t>
      </w:r>
      <w:r w:rsidR="009C52FB" w:rsidRPr="009C52FB">
        <w:rPr>
          <w:rFonts w:ascii="Garamond" w:hAnsi="Garamond"/>
        </w:rPr>
        <w:t>proto-European identity</w:t>
      </w:r>
      <w:r w:rsidRPr="009C52FB">
        <w:rPr>
          <w:rFonts w:ascii="Garamond" w:hAnsi="Garamond"/>
        </w:rPr>
        <w:t xml:space="preserve"> is activated and driven by threats from outside of Europe. </w:t>
      </w:r>
      <w:r w:rsidR="009C52FB" w:rsidRPr="009C52FB">
        <w:rPr>
          <w:rFonts w:ascii="Garamond" w:hAnsi="Garamond"/>
        </w:rPr>
        <w:t xml:space="preserve"> There are certain kinds of threats—of many origins but from outside of Europe—that provoke a default support for a common European security and defense policy. </w:t>
      </w:r>
      <w:r w:rsidR="002A2DA2" w:rsidRPr="009C52FB">
        <w:rPr>
          <w:rFonts w:ascii="Garamond" w:hAnsi="Garamond"/>
        </w:rPr>
        <w:t xml:space="preserve">These threats </w:t>
      </w:r>
      <w:r w:rsidR="009C52FB" w:rsidRPr="009C52FB">
        <w:rPr>
          <w:rFonts w:ascii="Garamond" w:hAnsi="Garamond"/>
        </w:rPr>
        <w:t xml:space="preserve">may </w:t>
      </w:r>
      <w:r w:rsidR="002A2DA2" w:rsidRPr="009C52FB">
        <w:rPr>
          <w:rFonts w:ascii="Garamond" w:hAnsi="Garamond"/>
        </w:rPr>
        <w:t>take different forms, from reactions to the US (competition) to reactions to immigrants</w:t>
      </w:r>
      <w:r w:rsidR="009C52FB" w:rsidRPr="009C52FB">
        <w:rPr>
          <w:rFonts w:ascii="Garamond" w:hAnsi="Garamond"/>
        </w:rPr>
        <w:t xml:space="preserve"> and instability outside Europe or Russian geopolitical developments. If true, this could help explain why support for CSDP is so consistent and robust: it may be driven by a succession of threats—from different sources at different points in time—that create logical preferences prioritizing European security responses and solutions. We intend to test these additional hypotheses of identity and external threats in our ongoing research project.</w:t>
      </w:r>
    </w:p>
    <w:p w14:paraId="7A08EB63" w14:textId="77777777" w:rsidR="0042748B" w:rsidRPr="009C52FB" w:rsidRDefault="0042748B" w:rsidP="00944873">
      <w:pPr>
        <w:jc w:val="both"/>
        <w:rPr>
          <w:rFonts w:ascii="Garamond" w:hAnsi="Garamond"/>
        </w:rPr>
      </w:pPr>
    </w:p>
    <w:p w14:paraId="5BD85C16" w14:textId="77777777" w:rsidR="0042748B" w:rsidRPr="009C52FB" w:rsidRDefault="0042748B" w:rsidP="00944873">
      <w:pPr>
        <w:jc w:val="both"/>
        <w:rPr>
          <w:rFonts w:ascii="Garamond" w:hAnsi="Garamond"/>
        </w:rPr>
      </w:pPr>
    </w:p>
    <w:p w14:paraId="1651A0E5" w14:textId="3F81ABC5" w:rsidR="0042748B" w:rsidRDefault="0049305B" w:rsidP="00944873">
      <w:pPr>
        <w:jc w:val="both"/>
        <w:rPr>
          <w:rFonts w:ascii="Garamond" w:hAnsi="Garamond"/>
        </w:rPr>
      </w:pPr>
      <w:r>
        <w:rPr>
          <w:rFonts w:ascii="Garamond" w:hAnsi="Garamond"/>
        </w:rPr>
        <w:t>References</w:t>
      </w:r>
    </w:p>
    <w:p w14:paraId="4795238D" w14:textId="77777777" w:rsidR="0049305B" w:rsidRDefault="0049305B" w:rsidP="00944873">
      <w:pPr>
        <w:jc w:val="both"/>
        <w:rPr>
          <w:rFonts w:ascii="Garamond" w:hAnsi="Garamond"/>
        </w:rPr>
      </w:pPr>
    </w:p>
    <w:p w14:paraId="701C53CA" w14:textId="77777777" w:rsidR="0049305B" w:rsidRPr="00796F07" w:rsidRDefault="0049305B" w:rsidP="0049305B">
      <w:pPr>
        <w:rPr>
          <w:rFonts w:ascii="Garamond" w:hAnsi="Garamond"/>
        </w:rPr>
      </w:pPr>
    </w:p>
    <w:p w14:paraId="09C74FF7" w14:textId="77777777" w:rsidR="0049305B" w:rsidRPr="00796F07" w:rsidRDefault="0049305B" w:rsidP="0049305B">
      <w:pPr>
        <w:pStyle w:val="REFReferencetext"/>
        <w:spacing w:after="100" w:afterAutospacing="1" w:line="240" w:lineRule="auto"/>
        <w:ind w:left="720" w:hanging="720"/>
        <w:rPr>
          <w:rFonts w:ascii="Garamond" w:hAnsi="Garamond"/>
        </w:rPr>
      </w:pPr>
      <w:r w:rsidRPr="00796F07">
        <w:rPr>
          <w:rFonts w:ascii="Garamond" w:hAnsi="Garamond"/>
        </w:rPr>
        <w:t>Allen, David and Michael Smith (1998) ‘The European Union’s security presence in the contemporary international arena’, in Carolyn Rhodes</w:t>
      </w:r>
      <w:r w:rsidRPr="00796F07">
        <w:rPr>
          <w:rFonts w:ascii="Garamond" w:hAnsi="Garamond"/>
          <w:i/>
        </w:rPr>
        <w:t xml:space="preserve"> </w:t>
      </w:r>
      <w:r w:rsidRPr="00796F07">
        <w:rPr>
          <w:rFonts w:ascii="Garamond" w:hAnsi="Garamond"/>
        </w:rPr>
        <w:t xml:space="preserve">(ed.), </w:t>
      </w:r>
      <w:r w:rsidRPr="00796F07">
        <w:rPr>
          <w:rFonts w:ascii="Garamond" w:hAnsi="Garamond"/>
          <w:i/>
        </w:rPr>
        <w:t>The European Union in the World Community</w:t>
      </w:r>
      <w:r w:rsidRPr="00796F07">
        <w:rPr>
          <w:rFonts w:ascii="Garamond" w:hAnsi="Garamond"/>
        </w:rPr>
        <w:t xml:space="preserve">. Boulder, CO: Lynne </w:t>
      </w:r>
      <w:proofErr w:type="spellStart"/>
      <w:r w:rsidRPr="00796F07">
        <w:rPr>
          <w:rFonts w:ascii="Garamond" w:hAnsi="Garamond"/>
        </w:rPr>
        <w:t>Rienner</w:t>
      </w:r>
      <w:proofErr w:type="spellEnd"/>
      <w:r w:rsidRPr="00796F07">
        <w:rPr>
          <w:rFonts w:ascii="Garamond" w:hAnsi="Garamond"/>
        </w:rPr>
        <w:t xml:space="preserve">. </w:t>
      </w:r>
      <w:proofErr w:type="gramStart"/>
      <w:r w:rsidRPr="00796F07">
        <w:rPr>
          <w:rFonts w:ascii="Garamond" w:hAnsi="Garamond"/>
        </w:rPr>
        <w:t>pp.45</w:t>
      </w:r>
      <w:proofErr w:type="gramEnd"/>
      <w:r w:rsidRPr="00796F07">
        <w:rPr>
          <w:rFonts w:ascii="Garamond" w:hAnsi="Garamond"/>
        </w:rPr>
        <w:t>-64.</w:t>
      </w:r>
    </w:p>
    <w:p w14:paraId="3E5379A4" w14:textId="77777777" w:rsidR="0049305B" w:rsidRPr="00796F07" w:rsidRDefault="0049305B" w:rsidP="0049305B">
      <w:pPr>
        <w:spacing w:after="100" w:afterAutospacing="1"/>
        <w:ind w:left="720" w:hanging="720"/>
        <w:rPr>
          <w:rFonts w:ascii="Garamond" w:eastAsia="Times New Roman" w:hAnsi="Garamond" w:cs="Times New Roman"/>
        </w:rPr>
      </w:pPr>
      <w:proofErr w:type="gramStart"/>
      <w:r w:rsidRPr="00796F07">
        <w:rPr>
          <w:rFonts w:ascii="Garamond" w:eastAsia="Times New Roman" w:hAnsi="Garamond" w:cs="Times New Roman"/>
        </w:rPr>
        <w:t>Carmines, Edward G., and James A. Stimson.</w:t>
      </w:r>
      <w:proofErr w:type="gramEnd"/>
      <w:r w:rsidRPr="00796F07">
        <w:rPr>
          <w:rFonts w:ascii="Garamond" w:eastAsia="Times New Roman" w:hAnsi="Garamond" w:cs="Times New Roman"/>
        </w:rPr>
        <w:t xml:space="preserve"> "The two faces of issue voting." </w:t>
      </w:r>
      <w:r w:rsidRPr="00796F07">
        <w:rPr>
          <w:rFonts w:ascii="Garamond" w:eastAsia="Times New Roman" w:hAnsi="Garamond" w:cs="Times New Roman"/>
          <w:i/>
          <w:iCs/>
        </w:rPr>
        <w:t>American Political Science Review</w:t>
      </w:r>
      <w:r w:rsidRPr="00796F07">
        <w:rPr>
          <w:rFonts w:ascii="Garamond" w:eastAsia="Times New Roman" w:hAnsi="Garamond" w:cs="Times New Roman"/>
        </w:rPr>
        <w:t xml:space="preserve"> 74, no. 01 (1980): 78-91.</w:t>
      </w:r>
    </w:p>
    <w:p w14:paraId="236E6A49" w14:textId="77777777" w:rsidR="0049305B" w:rsidRPr="00796F07" w:rsidRDefault="0049305B" w:rsidP="0049305B">
      <w:pPr>
        <w:spacing w:after="100" w:afterAutospacing="1"/>
        <w:ind w:left="720" w:hanging="720"/>
        <w:rPr>
          <w:rFonts w:ascii="Garamond" w:eastAsia="Times New Roman" w:hAnsi="Garamond" w:cs="Times New Roman"/>
        </w:rPr>
      </w:pPr>
      <w:proofErr w:type="gramStart"/>
      <w:r w:rsidRPr="00796F07">
        <w:rPr>
          <w:rFonts w:ascii="Garamond" w:eastAsia="Times New Roman" w:hAnsi="Garamond" w:cs="Times New Roman"/>
        </w:rPr>
        <w:t>Converse, P</w:t>
      </w:r>
      <w:r>
        <w:rPr>
          <w:rFonts w:ascii="Garamond" w:eastAsia="Times New Roman" w:hAnsi="Garamond" w:cs="Times New Roman"/>
        </w:rPr>
        <w:t>hilip</w:t>
      </w:r>
      <w:r w:rsidRPr="00796F07">
        <w:rPr>
          <w:rFonts w:ascii="Garamond" w:eastAsia="Times New Roman" w:hAnsi="Garamond" w:cs="Times New Roman"/>
        </w:rPr>
        <w:t>.</w:t>
      </w:r>
      <w:proofErr w:type="gramEnd"/>
      <w:r w:rsidRPr="00796F07">
        <w:rPr>
          <w:rFonts w:ascii="Garamond" w:eastAsia="Times New Roman" w:hAnsi="Garamond" w:cs="Times New Roman"/>
        </w:rPr>
        <w:t xml:space="preserve"> E. (2006). </w:t>
      </w:r>
      <w:proofErr w:type="gramStart"/>
      <w:r w:rsidRPr="00796F07">
        <w:rPr>
          <w:rFonts w:ascii="Garamond" w:eastAsia="Times New Roman" w:hAnsi="Garamond" w:cs="Times New Roman"/>
        </w:rPr>
        <w:t>The nature of belief systems in mass publics (1964).</w:t>
      </w:r>
      <w:proofErr w:type="gramEnd"/>
      <w:r w:rsidRPr="00796F07">
        <w:rPr>
          <w:rFonts w:ascii="Garamond" w:eastAsia="Times New Roman" w:hAnsi="Garamond" w:cs="Times New Roman"/>
        </w:rPr>
        <w:t xml:space="preserve"> </w:t>
      </w:r>
      <w:proofErr w:type="gramStart"/>
      <w:r w:rsidRPr="00796F07">
        <w:rPr>
          <w:rFonts w:ascii="Garamond" w:eastAsia="Times New Roman" w:hAnsi="Garamond" w:cs="Times New Roman"/>
          <w:i/>
          <w:iCs/>
        </w:rPr>
        <w:t>Critical Review</w:t>
      </w:r>
      <w:r w:rsidRPr="00796F07">
        <w:rPr>
          <w:rFonts w:ascii="Garamond" w:eastAsia="Times New Roman" w:hAnsi="Garamond" w:cs="Times New Roman"/>
        </w:rPr>
        <w:t xml:space="preserve">, </w:t>
      </w:r>
      <w:r w:rsidRPr="00796F07">
        <w:rPr>
          <w:rFonts w:ascii="Garamond" w:eastAsia="Times New Roman" w:hAnsi="Garamond" w:cs="Times New Roman"/>
          <w:i/>
          <w:iCs/>
        </w:rPr>
        <w:t>18</w:t>
      </w:r>
      <w:r w:rsidRPr="00796F07">
        <w:rPr>
          <w:rFonts w:ascii="Garamond" w:eastAsia="Times New Roman" w:hAnsi="Garamond" w:cs="Times New Roman"/>
        </w:rPr>
        <w:t>(1-3), 1-74.</w:t>
      </w:r>
      <w:proofErr w:type="gramEnd"/>
      <w:r w:rsidRPr="00796F07">
        <w:rPr>
          <w:rFonts w:ascii="Garamond" w:eastAsia="Times New Roman" w:hAnsi="Garamond" w:cs="Times New Roman"/>
        </w:rPr>
        <w:t xml:space="preserve"> </w:t>
      </w:r>
    </w:p>
    <w:p w14:paraId="5DF046F6" w14:textId="77777777" w:rsidR="0049305B" w:rsidRPr="00796F07" w:rsidRDefault="0049305B" w:rsidP="0049305B">
      <w:pPr>
        <w:spacing w:after="100" w:afterAutospacing="1"/>
        <w:ind w:left="720" w:hanging="720"/>
        <w:rPr>
          <w:rFonts w:ascii="Garamond" w:eastAsia="Times New Roman" w:hAnsi="Garamond" w:cs="Times New Roman"/>
        </w:rPr>
      </w:pPr>
      <w:r w:rsidRPr="00796F07">
        <w:rPr>
          <w:rFonts w:ascii="Garamond" w:eastAsia="Times New Roman" w:hAnsi="Garamond" w:cs="Times New Roman"/>
        </w:rPr>
        <w:t xml:space="preserve">Converse, Philip E. "Attitudes and non-attitudes: Continuation of a dialogue." </w:t>
      </w:r>
      <w:r w:rsidRPr="00796F07">
        <w:rPr>
          <w:rFonts w:ascii="Garamond" w:eastAsia="Times New Roman" w:hAnsi="Garamond" w:cs="Times New Roman"/>
          <w:i/>
          <w:iCs/>
        </w:rPr>
        <w:t>The quantitative analysis of social problems</w:t>
      </w:r>
      <w:r w:rsidRPr="00796F07">
        <w:rPr>
          <w:rFonts w:ascii="Garamond" w:eastAsia="Times New Roman" w:hAnsi="Garamond" w:cs="Times New Roman"/>
        </w:rPr>
        <w:t xml:space="preserve"> (1970): 168-189.</w:t>
      </w:r>
    </w:p>
    <w:p w14:paraId="40B6A4FB" w14:textId="77777777" w:rsidR="0049305B" w:rsidRPr="00796F07" w:rsidRDefault="0049305B" w:rsidP="0049305B">
      <w:pPr>
        <w:tabs>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rFonts w:ascii="Garamond" w:hAnsi="Garamond"/>
        </w:rPr>
      </w:pPr>
      <w:proofErr w:type="spellStart"/>
      <w:r w:rsidRPr="00796F07">
        <w:rPr>
          <w:rFonts w:ascii="Garamond" w:hAnsi="Garamond"/>
        </w:rPr>
        <w:t>Duchêne</w:t>
      </w:r>
      <w:proofErr w:type="spellEnd"/>
      <w:r w:rsidRPr="00796F07">
        <w:rPr>
          <w:rFonts w:ascii="Garamond" w:hAnsi="Garamond"/>
        </w:rPr>
        <w:t xml:space="preserve">, François.  “Europe’s Role in World Peace.” In </w:t>
      </w:r>
      <w:r w:rsidRPr="00796F07">
        <w:rPr>
          <w:rFonts w:ascii="Garamond" w:hAnsi="Garamond"/>
          <w:i/>
        </w:rPr>
        <w:t>Europe Tomorrow</w:t>
      </w:r>
      <w:r w:rsidRPr="00796F07">
        <w:rPr>
          <w:rFonts w:ascii="Garamond" w:hAnsi="Garamond"/>
        </w:rPr>
        <w:t xml:space="preserve">, Richard </w:t>
      </w:r>
      <w:proofErr w:type="spellStart"/>
      <w:r w:rsidRPr="00796F07">
        <w:rPr>
          <w:rFonts w:ascii="Garamond" w:hAnsi="Garamond"/>
        </w:rPr>
        <w:t>Mayne</w:t>
      </w:r>
      <w:proofErr w:type="spellEnd"/>
      <w:r w:rsidRPr="00796F07">
        <w:rPr>
          <w:rFonts w:ascii="Garamond" w:hAnsi="Garamond"/>
        </w:rPr>
        <w:t xml:space="preserve"> </w:t>
      </w:r>
      <w:proofErr w:type="gramStart"/>
      <w:r w:rsidRPr="00796F07">
        <w:rPr>
          <w:rFonts w:ascii="Garamond" w:hAnsi="Garamond"/>
        </w:rPr>
        <w:t>ed</w:t>
      </w:r>
      <w:proofErr w:type="gramEnd"/>
      <w:r w:rsidRPr="00796F07">
        <w:rPr>
          <w:rFonts w:ascii="Garamond" w:hAnsi="Garamond"/>
        </w:rPr>
        <w:t>.  London:  Fontana, 1972:  32-47.</w:t>
      </w:r>
    </w:p>
    <w:p w14:paraId="39E40ACC" w14:textId="77777777" w:rsidR="0049305B" w:rsidRPr="0049305B" w:rsidRDefault="0049305B" w:rsidP="0049305B">
      <w:pPr>
        <w:spacing w:after="100" w:afterAutospacing="1"/>
        <w:ind w:left="720" w:hanging="720"/>
        <w:rPr>
          <w:rFonts w:ascii="Garamond" w:hAnsi="Garamond"/>
        </w:rPr>
      </w:pPr>
      <w:r w:rsidRPr="0049305B">
        <w:rPr>
          <w:rStyle w:val="FootnoteReference"/>
          <w:rFonts w:ascii="Garamond" w:hAnsi="Garamond"/>
          <w:vertAlign w:val="baseline"/>
        </w:rPr>
        <w:t xml:space="preserve">Foucault, M. and </w:t>
      </w:r>
      <w:proofErr w:type="spellStart"/>
      <w:r w:rsidRPr="0049305B">
        <w:rPr>
          <w:rStyle w:val="FootnoteReference"/>
          <w:rFonts w:ascii="Garamond" w:hAnsi="Garamond"/>
          <w:vertAlign w:val="baseline"/>
        </w:rPr>
        <w:t>Irondelle</w:t>
      </w:r>
      <w:proofErr w:type="spellEnd"/>
      <w:r w:rsidRPr="0049305B">
        <w:rPr>
          <w:rStyle w:val="FootnoteReference"/>
          <w:rFonts w:ascii="Garamond" w:hAnsi="Garamond"/>
          <w:vertAlign w:val="baseline"/>
        </w:rPr>
        <w:t xml:space="preserve">, B., 2010. </w:t>
      </w:r>
      <w:proofErr w:type="spellStart"/>
      <w:r w:rsidRPr="0049305B">
        <w:rPr>
          <w:rStyle w:val="FootnoteReference"/>
          <w:rFonts w:ascii="Garamond" w:hAnsi="Garamond"/>
          <w:vertAlign w:val="baseline"/>
        </w:rPr>
        <w:t>L’opinion</w:t>
      </w:r>
      <w:proofErr w:type="spellEnd"/>
      <w:r w:rsidRPr="0049305B">
        <w:rPr>
          <w:rStyle w:val="FootnoteReference"/>
          <w:rFonts w:ascii="Garamond" w:hAnsi="Garamond"/>
          <w:vertAlign w:val="baseline"/>
        </w:rPr>
        <w:t xml:space="preserve"> </w:t>
      </w:r>
      <w:proofErr w:type="spellStart"/>
      <w:r w:rsidRPr="0049305B">
        <w:rPr>
          <w:rStyle w:val="FootnoteReference"/>
          <w:rFonts w:ascii="Garamond" w:hAnsi="Garamond"/>
          <w:vertAlign w:val="baseline"/>
        </w:rPr>
        <w:t>publique</w:t>
      </w:r>
      <w:proofErr w:type="spellEnd"/>
      <w:r w:rsidRPr="0049305B">
        <w:rPr>
          <w:rStyle w:val="FootnoteReference"/>
          <w:rFonts w:ascii="Garamond" w:hAnsi="Garamond"/>
          <w:vertAlign w:val="baseline"/>
        </w:rPr>
        <w:t xml:space="preserve"> </w:t>
      </w:r>
      <w:proofErr w:type="spellStart"/>
      <w:r w:rsidRPr="0049305B">
        <w:rPr>
          <w:rStyle w:val="FootnoteReference"/>
          <w:rFonts w:ascii="Garamond" w:hAnsi="Garamond"/>
          <w:vertAlign w:val="baseline"/>
        </w:rPr>
        <w:t>française</w:t>
      </w:r>
      <w:proofErr w:type="spellEnd"/>
      <w:r w:rsidRPr="0049305B">
        <w:rPr>
          <w:rStyle w:val="FootnoteReference"/>
          <w:rFonts w:ascii="Garamond" w:hAnsi="Garamond"/>
          <w:vertAlign w:val="baseline"/>
        </w:rPr>
        <w:t xml:space="preserve"> et la PESD. In: Opinion </w:t>
      </w:r>
      <w:proofErr w:type="spellStart"/>
      <w:r w:rsidRPr="0049305B">
        <w:rPr>
          <w:rStyle w:val="FootnoteReference"/>
          <w:rFonts w:ascii="Garamond" w:hAnsi="Garamond"/>
          <w:vertAlign w:val="baseline"/>
        </w:rPr>
        <w:t>publique</w:t>
      </w:r>
      <w:proofErr w:type="spellEnd"/>
      <w:r w:rsidRPr="0049305B">
        <w:rPr>
          <w:rStyle w:val="FootnoteReference"/>
          <w:rFonts w:ascii="Garamond" w:hAnsi="Garamond"/>
          <w:vertAlign w:val="baseline"/>
        </w:rPr>
        <w:t xml:space="preserve"> et </w:t>
      </w:r>
      <w:proofErr w:type="spellStart"/>
      <w:r w:rsidRPr="0049305B">
        <w:rPr>
          <w:rStyle w:val="FootnoteReference"/>
          <w:rFonts w:ascii="Garamond" w:hAnsi="Garamond"/>
          <w:vertAlign w:val="baseline"/>
        </w:rPr>
        <w:t>politique</w:t>
      </w:r>
      <w:proofErr w:type="spellEnd"/>
      <w:r w:rsidRPr="0049305B">
        <w:rPr>
          <w:rStyle w:val="FootnoteReference"/>
          <w:rFonts w:ascii="Garamond" w:hAnsi="Garamond"/>
          <w:vertAlign w:val="baseline"/>
        </w:rPr>
        <w:t xml:space="preserve"> </w:t>
      </w:r>
      <w:proofErr w:type="spellStart"/>
      <w:r w:rsidRPr="0049305B">
        <w:rPr>
          <w:rStyle w:val="FootnoteReference"/>
          <w:rFonts w:ascii="Garamond" w:hAnsi="Garamond"/>
          <w:vertAlign w:val="baseline"/>
        </w:rPr>
        <w:t>européenne</w:t>
      </w:r>
      <w:proofErr w:type="spellEnd"/>
      <w:r w:rsidRPr="0049305B">
        <w:rPr>
          <w:rStyle w:val="FootnoteReference"/>
          <w:rFonts w:ascii="Garamond" w:hAnsi="Garamond"/>
          <w:vertAlign w:val="baseline"/>
        </w:rPr>
        <w:t xml:space="preserve"> de </w:t>
      </w:r>
      <w:proofErr w:type="spellStart"/>
      <w:r w:rsidRPr="0049305B">
        <w:rPr>
          <w:rStyle w:val="FootnoteReference"/>
          <w:rFonts w:ascii="Garamond" w:hAnsi="Garamond"/>
          <w:vertAlign w:val="baseline"/>
        </w:rPr>
        <w:t>sécurité</w:t>
      </w:r>
      <w:proofErr w:type="spellEnd"/>
      <w:r w:rsidRPr="0049305B">
        <w:rPr>
          <w:rStyle w:val="FootnoteReference"/>
          <w:rFonts w:ascii="Garamond" w:hAnsi="Garamond"/>
          <w:vertAlign w:val="baseline"/>
        </w:rPr>
        <w:t xml:space="preserve"> et de </w:t>
      </w:r>
      <w:proofErr w:type="spellStart"/>
      <w:r w:rsidRPr="0049305B">
        <w:rPr>
          <w:rStyle w:val="FootnoteReference"/>
          <w:rFonts w:ascii="Garamond" w:hAnsi="Garamond"/>
          <w:vertAlign w:val="baseline"/>
        </w:rPr>
        <w:t>défense</w:t>
      </w:r>
      <w:proofErr w:type="spellEnd"/>
      <w:r w:rsidRPr="0049305B">
        <w:rPr>
          <w:rStyle w:val="FootnoteReference"/>
          <w:rFonts w:ascii="Garamond" w:hAnsi="Garamond"/>
          <w:vertAlign w:val="baseline"/>
        </w:rPr>
        <w:t xml:space="preserve"> commune: </w:t>
      </w:r>
      <w:proofErr w:type="spellStart"/>
      <w:r w:rsidRPr="0049305B">
        <w:rPr>
          <w:rStyle w:val="FootnoteReference"/>
          <w:rFonts w:ascii="Garamond" w:hAnsi="Garamond"/>
          <w:vertAlign w:val="baseline"/>
        </w:rPr>
        <w:t>acteurs</w:t>
      </w:r>
      <w:proofErr w:type="spellEnd"/>
      <w:r w:rsidRPr="0049305B">
        <w:rPr>
          <w:rStyle w:val="FootnoteReference"/>
          <w:rFonts w:ascii="Garamond" w:hAnsi="Garamond"/>
          <w:vertAlign w:val="baseline"/>
        </w:rPr>
        <w:t xml:space="preserve">, positions, </w:t>
      </w:r>
      <w:proofErr w:type="spellStart"/>
      <w:r w:rsidRPr="0049305B">
        <w:rPr>
          <w:rStyle w:val="FootnoteReference"/>
          <w:rFonts w:ascii="Garamond" w:hAnsi="Garamond"/>
          <w:vertAlign w:val="baseline"/>
        </w:rPr>
        <w:t>évolutions</w:t>
      </w:r>
      <w:proofErr w:type="spellEnd"/>
      <w:r w:rsidRPr="0049305B">
        <w:rPr>
          <w:rStyle w:val="FootnoteReference"/>
          <w:rFonts w:ascii="Garamond" w:hAnsi="Garamond"/>
          <w:vertAlign w:val="baseline"/>
        </w:rPr>
        <w:t xml:space="preserve">. Brussels, Belgium: </w:t>
      </w:r>
      <w:proofErr w:type="spellStart"/>
      <w:r w:rsidRPr="0049305B">
        <w:rPr>
          <w:rStyle w:val="FootnoteReference"/>
          <w:rFonts w:ascii="Garamond" w:hAnsi="Garamond"/>
          <w:vertAlign w:val="baseline"/>
        </w:rPr>
        <w:t>Bruylant</w:t>
      </w:r>
      <w:proofErr w:type="spellEnd"/>
      <w:r w:rsidRPr="0049305B">
        <w:rPr>
          <w:rStyle w:val="FootnoteReference"/>
          <w:rFonts w:ascii="Garamond" w:hAnsi="Garamond"/>
          <w:vertAlign w:val="baseline"/>
        </w:rPr>
        <w:t>, 255–276.</w:t>
      </w:r>
    </w:p>
    <w:p w14:paraId="7C7F173C" w14:textId="77777777" w:rsidR="0049305B" w:rsidRDefault="0049305B" w:rsidP="0049305B">
      <w:pPr>
        <w:spacing w:after="100" w:afterAutospacing="1"/>
        <w:ind w:left="720" w:hanging="720"/>
        <w:jc w:val="both"/>
        <w:rPr>
          <w:rFonts w:ascii="Garamond" w:hAnsi="Garamond"/>
        </w:rPr>
      </w:pPr>
      <w:r w:rsidRPr="00796F07">
        <w:rPr>
          <w:rFonts w:ascii="Garamond" w:hAnsi="Garamond"/>
        </w:rPr>
        <w:t xml:space="preserve">Foucault, Martial, </w:t>
      </w:r>
      <w:proofErr w:type="spellStart"/>
      <w:r w:rsidRPr="00796F07">
        <w:rPr>
          <w:rFonts w:ascii="Garamond" w:hAnsi="Garamond"/>
        </w:rPr>
        <w:t>Bastien</w:t>
      </w:r>
      <w:proofErr w:type="spellEnd"/>
      <w:r w:rsidRPr="00796F07">
        <w:rPr>
          <w:rFonts w:ascii="Garamond" w:hAnsi="Garamond"/>
        </w:rPr>
        <w:t xml:space="preserve"> </w:t>
      </w:r>
      <w:proofErr w:type="spellStart"/>
      <w:r w:rsidRPr="00796F07">
        <w:rPr>
          <w:rFonts w:ascii="Garamond" w:hAnsi="Garamond"/>
        </w:rPr>
        <w:t>Irondelle</w:t>
      </w:r>
      <w:proofErr w:type="spellEnd"/>
      <w:r w:rsidRPr="00796F07">
        <w:rPr>
          <w:rFonts w:ascii="Garamond" w:hAnsi="Garamond"/>
        </w:rPr>
        <w:t xml:space="preserve">, and </w:t>
      </w:r>
      <w:proofErr w:type="spellStart"/>
      <w:r w:rsidRPr="00796F07">
        <w:rPr>
          <w:rFonts w:ascii="Garamond" w:hAnsi="Garamond"/>
        </w:rPr>
        <w:t>Frédéric</w:t>
      </w:r>
      <w:proofErr w:type="spellEnd"/>
      <w:r w:rsidRPr="00796F07">
        <w:rPr>
          <w:rFonts w:ascii="Garamond" w:hAnsi="Garamond"/>
        </w:rPr>
        <w:t xml:space="preserve"> </w:t>
      </w:r>
      <w:proofErr w:type="spellStart"/>
      <w:r w:rsidRPr="00796F07">
        <w:rPr>
          <w:rFonts w:ascii="Garamond" w:hAnsi="Garamond"/>
        </w:rPr>
        <w:t>Mérand</w:t>
      </w:r>
      <w:proofErr w:type="spellEnd"/>
      <w:r w:rsidRPr="00796F07">
        <w:rPr>
          <w:rFonts w:ascii="Garamond" w:hAnsi="Garamond"/>
        </w:rPr>
        <w:t>. "Public Opinion and ESDP: Does Strategic Culture Matter</w:t>
      </w:r>
      <w:proofErr w:type="gramStart"/>
      <w:r w:rsidRPr="00796F07">
        <w:rPr>
          <w:rFonts w:ascii="Garamond" w:hAnsi="Garamond"/>
        </w:rPr>
        <w:t>?.</w:t>
      </w:r>
      <w:proofErr w:type="gramEnd"/>
      <w:r w:rsidRPr="00796F07">
        <w:rPr>
          <w:rFonts w:ascii="Garamond" w:hAnsi="Garamond"/>
        </w:rPr>
        <w:t xml:space="preserve">" </w:t>
      </w:r>
      <w:r w:rsidRPr="00796F07">
        <w:rPr>
          <w:rFonts w:ascii="Garamond" w:hAnsi="Garamond"/>
          <w:i/>
          <w:iCs/>
        </w:rPr>
        <w:t>EUSA Conference</w:t>
      </w:r>
      <w:r w:rsidRPr="00796F07">
        <w:rPr>
          <w:rFonts w:ascii="Garamond" w:hAnsi="Garamond"/>
        </w:rPr>
        <w:t>. 2009.</w:t>
      </w:r>
    </w:p>
    <w:p w14:paraId="19374D11" w14:textId="77777777" w:rsidR="0049305B" w:rsidRPr="0049305B" w:rsidRDefault="0049305B" w:rsidP="0049305B">
      <w:pPr>
        <w:spacing w:after="100" w:afterAutospacing="1"/>
        <w:ind w:left="720" w:hanging="720"/>
        <w:rPr>
          <w:rFonts w:ascii="Garamond" w:hAnsi="Garamond"/>
        </w:rPr>
      </w:pPr>
      <w:r w:rsidRPr="0049305B">
        <w:rPr>
          <w:rStyle w:val="FootnoteReference"/>
          <w:rFonts w:ascii="Garamond" w:hAnsi="Garamond"/>
          <w:vertAlign w:val="baseline"/>
        </w:rPr>
        <w:t xml:space="preserve">Johnson II, Douglas V. </w:t>
      </w:r>
      <w:r>
        <w:rPr>
          <w:rFonts w:ascii="Garamond" w:hAnsi="Garamond"/>
        </w:rPr>
        <w:t xml:space="preserve"> (2005) </w:t>
      </w:r>
      <w:r w:rsidRPr="0049305B">
        <w:rPr>
          <w:rStyle w:val="FootnoteReference"/>
          <w:rFonts w:ascii="Garamond" w:hAnsi="Garamond"/>
          <w:vertAlign w:val="baseline"/>
        </w:rPr>
        <w:t>“The Test of Terrain:  The Impact of Stability O</w:t>
      </w:r>
      <w:r>
        <w:rPr>
          <w:rStyle w:val="FootnoteReference"/>
          <w:rFonts w:ascii="Garamond" w:hAnsi="Garamond"/>
          <w:vertAlign w:val="baseline"/>
        </w:rPr>
        <w:t>perations upon the Armed Forces.</w:t>
      </w:r>
      <w:r w:rsidRPr="0049305B">
        <w:rPr>
          <w:rStyle w:val="FootnoteReference"/>
          <w:rFonts w:ascii="Garamond" w:hAnsi="Garamond"/>
          <w:vertAlign w:val="baseline"/>
        </w:rPr>
        <w:t>”  Conference Brief:  Strategic Studies Instit</w:t>
      </w:r>
      <w:r>
        <w:rPr>
          <w:rStyle w:val="FootnoteReference"/>
          <w:rFonts w:ascii="Garamond" w:hAnsi="Garamond"/>
          <w:vertAlign w:val="baseline"/>
        </w:rPr>
        <w:t>ute, 16-18 June.</w:t>
      </w:r>
    </w:p>
    <w:p w14:paraId="6EADB64B" w14:textId="77777777" w:rsidR="0049305B" w:rsidRPr="00796F07" w:rsidRDefault="0049305B" w:rsidP="0049305B">
      <w:pPr>
        <w:spacing w:after="100" w:afterAutospacing="1"/>
        <w:jc w:val="both"/>
        <w:rPr>
          <w:rFonts w:ascii="Garamond" w:hAnsi="Garamond"/>
        </w:rPr>
      </w:pPr>
    </w:p>
    <w:p w14:paraId="32AB64EA" w14:textId="77777777" w:rsidR="0049305B" w:rsidRPr="00796F07" w:rsidRDefault="0049305B" w:rsidP="0049305B">
      <w:pPr>
        <w:tabs>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rFonts w:ascii="Garamond" w:hAnsi="Garamond"/>
        </w:rPr>
      </w:pPr>
      <w:proofErr w:type="spellStart"/>
      <w:r w:rsidRPr="00796F07">
        <w:rPr>
          <w:rFonts w:ascii="Garamond" w:hAnsi="Garamond"/>
        </w:rPr>
        <w:t>Kagan</w:t>
      </w:r>
      <w:proofErr w:type="spellEnd"/>
      <w:r w:rsidRPr="00796F07">
        <w:rPr>
          <w:rFonts w:ascii="Garamond" w:hAnsi="Garamond"/>
        </w:rPr>
        <w:t xml:space="preserve">, Robert. “Power and Weakness” </w:t>
      </w:r>
      <w:r w:rsidRPr="00796F07">
        <w:rPr>
          <w:rFonts w:ascii="Garamond" w:hAnsi="Garamond"/>
          <w:i/>
        </w:rPr>
        <w:t>Policy Review</w:t>
      </w:r>
      <w:r w:rsidRPr="00796F07">
        <w:rPr>
          <w:rFonts w:ascii="Garamond" w:hAnsi="Garamond"/>
        </w:rPr>
        <w:t xml:space="preserve"> 113 (2002): 5-23.</w:t>
      </w:r>
    </w:p>
    <w:p w14:paraId="744B3242" w14:textId="77777777" w:rsidR="0049305B" w:rsidRPr="00796F07" w:rsidRDefault="0049305B" w:rsidP="0049305B">
      <w:pPr>
        <w:spacing w:after="100" w:afterAutospacing="1"/>
        <w:ind w:left="720" w:hanging="720"/>
        <w:rPr>
          <w:rFonts w:ascii="Garamond" w:eastAsia="Times New Roman" w:hAnsi="Garamond" w:cs="Times New Roman"/>
        </w:rPr>
      </w:pPr>
      <w:proofErr w:type="gramStart"/>
      <w:r w:rsidRPr="00796F07">
        <w:rPr>
          <w:rFonts w:ascii="Garamond" w:eastAsia="Times New Roman" w:hAnsi="Garamond" w:cs="Times New Roman"/>
        </w:rPr>
        <w:t xml:space="preserve">Lindberg, Leon N., and Stuart A. </w:t>
      </w:r>
      <w:proofErr w:type="spellStart"/>
      <w:r w:rsidRPr="00796F07">
        <w:rPr>
          <w:rFonts w:ascii="Garamond" w:eastAsia="Times New Roman" w:hAnsi="Garamond" w:cs="Times New Roman"/>
        </w:rPr>
        <w:t>Scheingold</w:t>
      </w:r>
      <w:proofErr w:type="spellEnd"/>
      <w:r w:rsidRPr="00796F07">
        <w:rPr>
          <w:rFonts w:ascii="Garamond" w:eastAsia="Times New Roman" w:hAnsi="Garamond" w:cs="Times New Roman"/>
        </w:rPr>
        <w:t>.</w:t>
      </w:r>
      <w:proofErr w:type="gramEnd"/>
      <w:r w:rsidRPr="00796F07">
        <w:rPr>
          <w:rFonts w:ascii="Garamond" w:eastAsia="Times New Roman" w:hAnsi="Garamond" w:cs="Times New Roman"/>
        </w:rPr>
        <w:t xml:space="preserve"> </w:t>
      </w:r>
      <w:r w:rsidRPr="00796F07">
        <w:rPr>
          <w:rFonts w:ascii="Garamond" w:eastAsia="Times New Roman" w:hAnsi="Garamond" w:cs="Times New Roman"/>
          <w:i/>
          <w:iCs/>
        </w:rPr>
        <w:t>Europe's would-be polity: patterns of change in the European community</w:t>
      </w:r>
      <w:r w:rsidRPr="00796F07">
        <w:rPr>
          <w:rFonts w:ascii="Garamond" w:eastAsia="Times New Roman" w:hAnsi="Garamond" w:cs="Times New Roman"/>
        </w:rPr>
        <w:t>. Prentice Hall, 1970.</w:t>
      </w:r>
    </w:p>
    <w:p w14:paraId="03D3F23C" w14:textId="77777777" w:rsidR="0049305B" w:rsidRPr="00796F07" w:rsidRDefault="0049305B" w:rsidP="0049305B">
      <w:pPr>
        <w:tabs>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rFonts w:ascii="Garamond" w:hAnsi="Garamond"/>
        </w:rPr>
      </w:pPr>
      <w:r w:rsidRPr="00796F07">
        <w:rPr>
          <w:rFonts w:ascii="Garamond" w:hAnsi="Garamond"/>
        </w:rPr>
        <w:t xml:space="preserve">Nye, Joseph S. </w:t>
      </w:r>
      <w:r w:rsidRPr="00796F07">
        <w:rPr>
          <w:rFonts w:ascii="Garamond" w:hAnsi="Garamond"/>
          <w:i/>
        </w:rPr>
        <w:t>Soft Power: the Means to Success in World Politics</w:t>
      </w:r>
      <w:r w:rsidRPr="00796F07">
        <w:rPr>
          <w:rFonts w:ascii="Garamond" w:hAnsi="Garamond"/>
        </w:rPr>
        <w:t>. New York: Public Affairs, 2004.</w:t>
      </w:r>
    </w:p>
    <w:p w14:paraId="75009CC5" w14:textId="77777777" w:rsidR="0049305B" w:rsidRPr="00796F07" w:rsidRDefault="0049305B" w:rsidP="0049305B">
      <w:pPr>
        <w:spacing w:after="100" w:afterAutospacing="1"/>
        <w:ind w:left="720" w:hanging="720"/>
        <w:jc w:val="both"/>
        <w:rPr>
          <w:rFonts w:ascii="Garamond" w:hAnsi="Garamond"/>
        </w:rPr>
      </w:pPr>
      <w:r w:rsidRPr="00796F07">
        <w:rPr>
          <w:rFonts w:ascii="Garamond" w:hAnsi="Garamond"/>
        </w:rPr>
        <w:t xml:space="preserve">Peters, Dirk. "A divided union." </w:t>
      </w:r>
      <w:proofErr w:type="gramStart"/>
      <w:r w:rsidRPr="00796F07">
        <w:rPr>
          <w:rFonts w:ascii="Garamond" w:hAnsi="Garamond"/>
          <w:i/>
          <w:iCs/>
        </w:rPr>
        <w:t>Public opinion and the EU’s common foreign, security and defense policy.</w:t>
      </w:r>
      <w:proofErr w:type="gramEnd"/>
      <w:r w:rsidRPr="00796F07">
        <w:rPr>
          <w:rFonts w:ascii="Garamond" w:hAnsi="Garamond"/>
          <w:i/>
          <w:iCs/>
        </w:rPr>
        <w:t xml:space="preserve"> Norway: RECON Online Working Paper</w:t>
      </w:r>
      <w:r w:rsidRPr="00796F07">
        <w:rPr>
          <w:rFonts w:ascii="Garamond" w:hAnsi="Garamond"/>
        </w:rPr>
        <w:t xml:space="preserve"> 19 (2011).</w:t>
      </w:r>
    </w:p>
    <w:p w14:paraId="338B1B84" w14:textId="77777777" w:rsidR="0049305B" w:rsidRPr="00796F07" w:rsidRDefault="0049305B" w:rsidP="0049305B">
      <w:pPr>
        <w:spacing w:after="100" w:afterAutospacing="1"/>
        <w:ind w:left="720" w:hanging="720"/>
        <w:jc w:val="both"/>
        <w:rPr>
          <w:rFonts w:ascii="Garamond" w:hAnsi="Garamond"/>
        </w:rPr>
      </w:pPr>
      <w:r w:rsidRPr="00796F07">
        <w:rPr>
          <w:rFonts w:ascii="Garamond" w:hAnsi="Garamond"/>
        </w:rPr>
        <w:t xml:space="preserve">Posen, Barry R. "ESDP and the Structure of World Power." </w:t>
      </w:r>
      <w:proofErr w:type="gramStart"/>
      <w:r w:rsidRPr="00796F07">
        <w:rPr>
          <w:rFonts w:ascii="Garamond" w:hAnsi="Garamond"/>
          <w:i/>
          <w:iCs/>
        </w:rPr>
        <w:t>The international spectator</w:t>
      </w:r>
      <w:r w:rsidRPr="00796F07">
        <w:rPr>
          <w:rFonts w:ascii="Garamond" w:hAnsi="Garamond"/>
        </w:rPr>
        <w:t xml:space="preserve"> 39, no. 1 (2004): 5-17.</w:t>
      </w:r>
      <w:proofErr w:type="gramEnd"/>
    </w:p>
    <w:p w14:paraId="7AAB6ACB" w14:textId="77777777" w:rsidR="0049305B" w:rsidRPr="00796F07" w:rsidRDefault="0049305B" w:rsidP="0049305B">
      <w:pPr>
        <w:spacing w:after="100" w:afterAutospacing="1"/>
        <w:ind w:left="720" w:hanging="720"/>
        <w:jc w:val="both"/>
        <w:rPr>
          <w:rFonts w:ascii="Garamond" w:hAnsi="Garamond"/>
        </w:rPr>
      </w:pPr>
      <w:r w:rsidRPr="00796F07">
        <w:rPr>
          <w:rFonts w:ascii="Garamond" w:hAnsi="Garamond"/>
        </w:rPr>
        <w:t xml:space="preserve">Schoen, </w:t>
      </w:r>
      <w:proofErr w:type="spellStart"/>
      <w:r w:rsidRPr="00796F07">
        <w:rPr>
          <w:rFonts w:ascii="Garamond" w:hAnsi="Garamond"/>
        </w:rPr>
        <w:t>Harald</w:t>
      </w:r>
      <w:proofErr w:type="spellEnd"/>
      <w:r w:rsidRPr="00796F07">
        <w:rPr>
          <w:rFonts w:ascii="Garamond" w:hAnsi="Garamond"/>
        </w:rPr>
        <w:t xml:space="preserve">. "Identity, Instrumental Self-Interest and Institutional Evaluations Explaining Public Opinion on Common European Policies in Foreign Affairs and </w:t>
      </w:r>
      <w:proofErr w:type="spellStart"/>
      <w:r w:rsidRPr="00796F07">
        <w:rPr>
          <w:rFonts w:ascii="Garamond" w:hAnsi="Garamond"/>
        </w:rPr>
        <w:t>Defence</w:t>
      </w:r>
      <w:proofErr w:type="spellEnd"/>
      <w:r w:rsidRPr="00796F07">
        <w:rPr>
          <w:rFonts w:ascii="Garamond" w:hAnsi="Garamond"/>
        </w:rPr>
        <w:t xml:space="preserve">." </w:t>
      </w:r>
      <w:r w:rsidRPr="00796F07">
        <w:rPr>
          <w:rFonts w:ascii="Garamond" w:hAnsi="Garamond"/>
          <w:i/>
          <w:iCs/>
        </w:rPr>
        <w:t>European Union Politics</w:t>
      </w:r>
      <w:r w:rsidRPr="00796F07">
        <w:rPr>
          <w:rFonts w:ascii="Garamond" w:hAnsi="Garamond"/>
        </w:rPr>
        <w:t xml:space="preserve"> 9, no. 1 (2008): 5-29.</w:t>
      </w:r>
    </w:p>
    <w:p w14:paraId="1D2CF7C4" w14:textId="77777777" w:rsidR="0049305B" w:rsidRPr="00796F07" w:rsidRDefault="0049305B" w:rsidP="0049305B">
      <w:pPr>
        <w:tabs>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rFonts w:ascii="Garamond" w:hAnsi="Garamond"/>
        </w:rPr>
      </w:pPr>
      <w:proofErr w:type="spellStart"/>
      <w:r w:rsidRPr="00796F07">
        <w:rPr>
          <w:rFonts w:ascii="Garamond" w:hAnsi="Garamond"/>
        </w:rPr>
        <w:t>Senghaas</w:t>
      </w:r>
      <w:proofErr w:type="spellEnd"/>
      <w:r w:rsidRPr="00796F07">
        <w:rPr>
          <w:rFonts w:ascii="Garamond" w:hAnsi="Garamond"/>
        </w:rPr>
        <w:t xml:space="preserve">, Dieter. </w:t>
      </w:r>
      <w:r w:rsidRPr="00796F07">
        <w:rPr>
          <w:rFonts w:ascii="Garamond" w:hAnsi="Garamond"/>
          <w:i/>
        </w:rPr>
        <w:t xml:space="preserve">Europa 2000:  </w:t>
      </w:r>
      <w:proofErr w:type="spellStart"/>
      <w:r w:rsidRPr="00796F07">
        <w:rPr>
          <w:rFonts w:ascii="Garamond" w:hAnsi="Garamond"/>
          <w:i/>
        </w:rPr>
        <w:t>Ein</w:t>
      </w:r>
      <w:proofErr w:type="spellEnd"/>
      <w:r w:rsidRPr="00796F07">
        <w:rPr>
          <w:rFonts w:ascii="Garamond" w:hAnsi="Garamond"/>
          <w:i/>
        </w:rPr>
        <w:t xml:space="preserve"> </w:t>
      </w:r>
      <w:proofErr w:type="spellStart"/>
      <w:r w:rsidRPr="00796F07">
        <w:rPr>
          <w:rFonts w:ascii="Garamond" w:hAnsi="Garamond"/>
          <w:i/>
        </w:rPr>
        <w:t>Friedensplan</w:t>
      </w:r>
      <w:proofErr w:type="spellEnd"/>
      <w:r w:rsidRPr="00796F07">
        <w:rPr>
          <w:rFonts w:ascii="Garamond" w:hAnsi="Garamond"/>
          <w:i/>
        </w:rPr>
        <w:t xml:space="preserve">. </w:t>
      </w:r>
      <w:r w:rsidRPr="00796F07">
        <w:rPr>
          <w:rFonts w:ascii="Garamond" w:hAnsi="Garamond"/>
        </w:rPr>
        <w:t xml:space="preserve"> Frankfurt am Main: </w:t>
      </w:r>
      <w:proofErr w:type="spellStart"/>
      <w:r w:rsidRPr="00796F07">
        <w:rPr>
          <w:rFonts w:ascii="Garamond" w:hAnsi="Garamond"/>
        </w:rPr>
        <w:t>Suhrkamp</w:t>
      </w:r>
      <w:proofErr w:type="spellEnd"/>
      <w:r w:rsidRPr="00796F07">
        <w:rPr>
          <w:rFonts w:ascii="Garamond" w:hAnsi="Garamond"/>
        </w:rPr>
        <w:t>, 1990.</w:t>
      </w:r>
    </w:p>
    <w:p w14:paraId="6129E428" w14:textId="77777777" w:rsidR="0049305B" w:rsidRPr="00796F07" w:rsidRDefault="0049305B" w:rsidP="0049305B">
      <w:pPr>
        <w:tabs>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rFonts w:ascii="Garamond" w:hAnsi="Garamond"/>
        </w:rPr>
      </w:pPr>
      <w:proofErr w:type="spellStart"/>
      <w:r w:rsidRPr="00796F07">
        <w:rPr>
          <w:rFonts w:ascii="Garamond" w:hAnsi="Garamond"/>
        </w:rPr>
        <w:t>Sivonen</w:t>
      </w:r>
      <w:proofErr w:type="spellEnd"/>
      <w:r w:rsidRPr="00796F07">
        <w:rPr>
          <w:rFonts w:ascii="Garamond" w:hAnsi="Garamond"/>
        </w:rPr>
        <w:t xml:space="preserve">, </w:t>
      </w:r>
      <w:proofErr w:type="spellStart"/>
      <w:r w:rsidRPr="00796F07">
        <w:rPr>
          <w:rFonts w:ascii="Garamond" w:hAnsi="Garamond"/>
        </w:rPr>
        <w:t>Pekka</w:t>
      </w:r>
      <w:proofErr w:type="spellEnd"/>
      <w:r w:rsidRPr="00796F07">
        <w:rPr>
          <w:rFonts w:ascii="Garamond" w:hAnsi="Garamond"/>
        </w:rPr>
        <w:t xml:space="preserve">.  “European Security: New, Old and Borrowed.”  </w:t>
      </w:r>
      <w:r w:rsidRPr="00796F07">
        <w:rPr>
          <w:rFonts w:ascii="Garamond" w:hAnsi="Garamond"/>
          <w:i/>
        </w:rPr>
        <w:t>Journal of Peace Research</w:t>
      </w:r>
      <w:r w:rsidRPr="00796F07">
        <w:rPr>
          <w:rFonts w:ascii="Garamond" w:hAnsi="Garamond"/>
        </w:rPr>
        <w:t xml:space="preserve"> 27 (1990):  385-397.</w:t>
      </w:r>
    </w:p>
    <w:p w14:paraId="1F22B716" w14:textId="77777777" w:rsidR="0049305B" w:rsidRPr="0049305B" w:rsidRDefault="0049305B" w:rsidP="0049305B">
      <w:pPr>
        <w:spacing w:after="100" w:afterAutospacing="1"/>
        <w:ind w:left="720" w:hanging="720"/>
        <w:rPr>
          <w:rFonts w:ascii="Garamond" w:hAnsi="Garamond"/>
        </w:rPr>
      </w:pPr>
      <w:proofErr w:type="spellStart"/>
      <w:r w:rsidRPr="0049305B">
        <w:rPr>
          <w:rStyle w:val="FootnoteReference"/>
          <w:rFonts w:ascii="Garamond" w:hAnsi="Garamond"/>
          <w:vertAlign w:val="baseline"/>
        </w:rPr>
        <w:t>Techau</w:t>
      </w:r>
      <w:proofErr w:type="spellEnd"/>
      <w:r w:rsidRPr="0049305B">
        <w:rPr>
          <w:rStyle w:val="FootnoteReference"/>
          <w:rFonts w:ascii="Garamond" w:hAnsi="Garamond"/>
          <w:vertAlign w:val="baseline"/>
        </w:rPr>
        <w:t>, J., 2013. Will Europeans Ever Agree on the Use of Military Force? Carnegie Europe, No. 65.</w:t>
      </w:r>
    </w:p>
    <w:p w14:paraId="11D697B1" w14:textId="77777777" w:rsidR="0049305B" w:rsidRPr="00796F07" w:rsidRDefault="0049305B" w:rsidP="0049305B">
      <w:pPr>
        <w:spacing w:after="100" w:afterAutospacing="1"/>
        <w:ind w:left="720" w:hanging="720"/>
        <w:jc w:val="both"/>
        <w:rPr>
          <w:rFonts w:ascii="Garamond" w:hAnsi="Garamond"/>
        </w:rPr>
      </w:pPr>
      <w:proofErr w:type="spellStart"/>
      <w:r w:rsidRPr="00796F07">
        <w:rPr>
          <w:rFonts w:ascii="Garamond" w:hAnsi="Garamond"/>
        </w:rPr>
        <w:t>Tournier</w:t>
      </w:r>
      <w:proofErr w:type="spellEnd"/>
      <w:r w:rsidRPr="00796F07">
        <w:rPr>
          <w:rFonts w:ascii="Garamond" w:hAnsi="Garamond"/>
        </w:rPr>
        <w:t xml:space="preserve">, Vincent. 2004. « Aux </w:t>
      </w:r>
      <w:proofErr w:type="spellStart"/>
      <w:r w:rsidRPr="00796F07">
        <w:rPr>
          <w:rFonts w:ascii="Garamond" w:hAnsi="Garamond"/>
        </w:rPr>
        <w:t>armes</w:t>
      </w:r>
      <w:proofErr w:type="spellEnd"/>
      <w:r w:rsidRPr="00796F07">
        <w:rPr>
          <w:rFonts w:ascii="Garamond" w:hAnsi="Garamond"/>
        </w:rPr>
        <w:t xml:space="preserve"> </w:t>
      </w:r>
      <w:proofErr w:type="spellStart"/>
      <w:proofErr w:type="gramStart"/>
      <w:r w:rsidRPr="00796F07">
        <w:rPr>
          <w:rFonts w:ascii="Garamond" w:hAnsi="Garamond"/>
        </w:rPr>
        <w:t>Européens</w:t>
      </w:r>
      <w:proofErr w:type="spellEnd"/>
      <w:r w:rsidRPr="00796F07">
        <w:rPr>
          <w:rFonts w:ascii="Garamond" w:hAnsi="Garamond"/>
        </w:rPr>
        <w:t xml:space="preserve"> ?</w:t>
      </w:r>
      <w:proofErr w:type="gramEnd"/>
      <w:r w:rsidRPr="00796F07">
        <w:rPr>
          <w:rFonts w:ascii="Garamond" w:hAnsi="Garamond"/>
        </w:rPr>
        <w:t xml:space="preserve"> Les opinions </w:t>
      </w:r>
      <w:proofErr w:type="spellStart"/>
      <w:r w:rsidRPr="00796F07">
        <w:rPr>
          <w:rFonts w:ascii="Garamond" w:hAnsi="Garamond"/>
        </w:rPr>
        <w:t>publiques</w:t>
      </w:r>
      <w:proofErr w:type="spellEnd"/>
      <w:r w:rsidRPr="00796F07">
        <w:rPr>
          <w:rFonts w:ascii="Garamond" w:hAnsi="Garamond"/>
        </w:rPr>
        <w:t xml:space="preserve"> face à la </w:t>
      </w:r>
      <w:proofErr w:type="gramStart"/>
      <w:r w:rsidRPr="00796F07">
        <w:rPr>
          <w:rFonts w:ascii="Garamond" w:hAnsi="Garamond"/>
        </w:rPr>
        <w:t>PESC :</w:t>
      </w:r>
      <w:proofErr w:type="gramEnd"/>
      <w:r w:rsidRPr="00796F07">
        <w:rPr>
          <w:rFonts w:ascii="Garamond" w:hAnsi="Garamond"/>
        </w:rPr>
        <w:t xml:space="preserve"> les raisons d’un </w:t>
      </w:r>
      <w:proofErr w:type="spellStart"/>
      <w:r w:rsidRPr="00796F07">
        <w:rPr>
          <w:rFonts w:ascii="Garamond" w:hAnsi="Garamond"/>
        </w:rPr>
        <w:t>blocage</w:t>
      </w:r>
      <w:proofErr w:type="spellEnd"/>
      <w:r w:rsidRPr="00796F07">
        <w:rPr>
          <w:rFonts w:ascii="Garamond" w:hAnsi="Garamond"/>
        </w:rPr>
        <w:t xml:space="preserve"> » in Fabien </w:t>
      </w:r>
      <w:proofErr w:type="spellStart"/>
      <w:r w:rsidRPr="00796F07">
        <w:rPr>
          <w:rFonts w:ascii="Garamond" w:hAnsi="Garamond"/>
        </w:rPr>
        <w:t>Terpan</w:t>
      </w:r>
      <w:proofErr w:type="spellEnd"/>
      <w:r w:rsidRPr="00796F07">
        <w:rPr>
          <w:rFonts w:ascii="Garamond" w:hAnsi="Garamond"/>
        </w:rPr>
        <w:t xml:space="preserve"> (ed.), </w:t>
      </w:r>
      <w:r w:rsidRPr="00796F07">
        <w:rPr>
          <w:rFonts w:ascii="Garamond" w:hAnsi="Garamond"/>
          <w:i/>
          <w:iCs/>
        </w:rPr>
        <w:t xml:space="preserve">La PESD. L’UE </w:t>
      </w:r>
      <w:proofErr w:type="spellStart"/>
      <w:r w:rsidRPr="00796F07">
        <w:rPr>
          <w:rFonts w:ascii="Garamond" w:hAnsi="Garamond"/>
          <w:i/>
          <w:iCs/>
        </w:rPr>
        <w:t>peut-elle</w:t>
      </w:r>
      <w:proofErr w:type="spellEnd"/>
      <w:r w:rsidRPr="00796F07">
        <w:rPr>
          <w:rFonts w:ascii="Garamond" w:hAnsi="Garamond"/>
          <w:i/>
          <w:iCs/>
        </w:rPr>
        <w:t xml:space="preserve"> </w:t>
      </w:r>
      <w:proofErr w:type="spellStart"/>
      <w:r w:rsidRPr="00796F07">
        <w:rPr>
          <w:rFonts w:ascii="Garamond" w:hAnsi="Garamond"/>
          <w:i/>
          <w:iCs/>
        </w:rPr>
        <w:t>gérer</w:t>
      </w:r>
      <w:proofErr w:type="spellEnd"/>
      <w:r w:rsidRPr="00796F07">
        <w:rPr>
          <w:rFonts w:ascii="Garamond" w:hAnsi="Garamond"/>
          <w:i/>
          <w:iCs/>
        </w:rPr>
        <w:t xml:space="preserve"> les </w:t>
      </w:r>
      <w:proofErr w:type="gramStart"/>
      <w:r w:rsidRPr="00796F07">
        <w:rPr>
          <w:rFonts w:ascii="Garamond" w:hAnsi="Garamond"/>
          <w:i/>
          <w:iCs/>
        </w:rPr>
        <w:t>crises ?</w:t>
      </w:r>
      <w:proofErr w:type="gramEnd"/>
      <w:r w:rsidRPr="00796F07">
        <w:rPr>
          <w:rFonts w:ascii="Garamond" w:hAnsi="Garamond"/>
          <w:i/>
          <w:iCs/>
        </w:rPr>
        <w:t xml:space="preserve"> </w:t>
      </w:r>
      <w:r w:rsidRPr="00796F07">
        <w:rPr>
          <w:rFonts w:ascii="Garamond" w:hAnsi="Garamond"/>
        </w:rPr>
        <w:t xml:space="preserve">Toulouse: Presses de </w:t>
      </w:r>
      <w:proofErr w:type="spellStart"/>
      <w:r w:rsidRPr="00796F07">
        <w:rPr>
          <w:rFonts w:ascii="Garamond" w:hAnsi="Garamond"/>
        </w:rPr>
        <w:t>l’IEP</w:t>
      </w:r>
      <w:proofErr w:type="spellEnd"/>
      <w:r w:rsidRPr="00796F07">
        <w:rPr>
          <w:rFonts w:ascii="Garamond" w:hAnsi="Garamond"/>
        </w:rPr>
        <w:t xml:space="preserve"> de Toulouse.</w:t>
      </w:r>
    </w:p>
    <w:p w14:paraId="6CA77ABB" w14:textId="70862CD3" w:rsidR="0049305B" w:rsidRPr="009C52FB" w:rsidRDefault="0049305B" w:rsidP="00925A08">
      <w:pPr>
        <w:ind w:left="720" w:hanging="720"/>
        <w:jc w:val="both"/>
        <w:rPr>
          <w:rFonts w:ascii="Garamond" w:hAnsi="Garamond"/>
        </w:rPr>
      </w:pPr>
      <w:r w:rsidRPr="00796F07">
        <w:rPr>
          <w:rFonts w:ascii="Garamond" w:hAnsi="Garamond"/>
        </w:rPr>
        <w:t xml:space="preserve">Wagner, Wolfgang. 2005. “The democratic legitimacy of European Security and Defense Policy”, </w:t>
      </w:r>
      <w:r w:rsidRPr="00796F07">
        <w:rPr>
          <w:rFonts w:ascii="Garamond" w:hAnsi="Garamond"/>
          <w:i/>
          <w:iCs/>
        </w:rPr>
        <w:t xml:space="preserve">Occasional Paper </w:t>
      </w:r>
      <w:r w:rsidRPr="00796F07">
        <w:rPr>
          <w:rFonts w:ascii="Garamond" w:hAnsi="Garamond"/>
        </w:rPr>
        <w:t>57, Institute for Security Studies-European Union.</w:t>
      </w:r>
    </w:p>
    <w:p w14:paraId="4500F979" w14:textId="77777777" w:rsidR="0042748B" w:rsidRPr="009C52FB" w:rsidRDefault="0042748B" w:rsidP="00944873">
      <w:pPr>
        <w:jc w:val="both"/>
        <w:rPr>
          <w:rFonts w:ascii="Garamond" w:hAnsi="Garamond"/>
        </w:rPr>
      </w:pPr>
    </w:p>
    <w:p w14:paraId="773ED938" w14:textId="77777777" w:rsidR="0042748B" w:rsidRPr="009C52FB" w:rsidRDefault="0042748B" w:rsidP="00944873">
      <w:pPr>
        <w:jc w:val="both"/>
        <w:rPr>
          <w:rFonts w:ascii="Garamond" w:hAnsi="Garamond"/>
        </w:rPr>
      </w:pPr>
    </w:p>
    <w:p w14:paraId="2AA8637A" w14:textId="77777777" w:rsidR="0042748B" w:rsidRDefault="0042748B" w:rsidP="00944873">
      <w:pPr>
        <w:jc w:val="both"/>
        <w:rPr>
          <w:rFonts w:ascii="Garamond" w:hAnsi="Garamond"/>
        </w:rPr>
      </w:pPr>
    </w:p>
    <w:p w14:paraId="1526C065" w14:textId="77777777" w:rsidR="00F72344" w:rsidRDefault="00F72344" w:rsidP="00944873">
      <w:pPr>
        <w:jc w:val="both"/>
        <w:rPr>
          <w:rFonts w:ascii="Garamond" w:hAnsi="Garamond"/>
        </w:rPr>
      </w:pPr>
    </w:p>
    <w:p w14:paraId="0AAF9A97" w14:textId="77777777" w:rsidR="00F72344" w:rsidRDefault="00F72344" w:rsidP="00944873">
      <w:pPr>
        <w:jc w:val="both"/>
        <w:rPr>
          <w:rFonts w:ascii="Garamond" w:hAnsi="Garamond"/>
        </w:rPr>
      </w:pPr>
    </w:p>
    <w:p w14:paraId="0DCA59AB" w14:textId="77777777" w:rsidR="00F72344" w:rsidRDefault="00F72344" w:rsidP="00944873">
      <w:pPr>
        <w:jc w:val="both"/>
        <w:rPr>
          <w:rFonts w:ascii="Garamond" w:hAnsi="Garamond"/>
        </w:rPr>
      </w:pPr>
    </w:p>
    <w:p w14:paraId="26DE9B30" w14:textId="77777777" w:rsidR="00F72344" w:rsidRDefault="00F72344" w:rsidP="00944873">
      <w:pPr>
        <w:jc w:val="both"/>
        <w:rPr>
          <w:rFonts w:ascii="Garamond" w:hAnsi="Garamond"/>
        </w:rPr>
      </w:pPr>
      <w:bookmarkStart w:id="0" w:name="_GoBack"/>
      <w:bookmarkEnd w:id="0"/>
    </w:p>
    <w:p w14:paraId="44F43E67" w14:textId="77777777" w:rsidR="00F72344" w:rsidRDefault="00F72344" w:rsidP="00944873">
      <w:pPr>
        <w:jc w:val="both"/>
        <w:rPr>
          <w:rFonts w:ascii="Garamond" w:hAnsi="Garamond"/>
        </w:rPr>
      </w:pPr>
    </w:p>
    <w:p w14:paraId="690AD792" w14:textId="77777777" w:rsidR="00F72344" w:rsidRDefault="00F72344" w:rsidP="00944873">
      <w:pPr>
        <w:jc w:val="both"/>
        <w:rPr>
          <w:rFonts w:ascii="Garamond" w:hAnsi="Garamond"/>
        </w:rPr>
      </w:pPr>
    </w:p>
    <w:p w14:paraId="5FFCFA4B" w14:textId="77777777" w:rsidR="00F72344" w:rsidRDefault="00F72344" w:rsidP="00944873">
      <w:pPr>
        <w:jc w:val="both"/>
        <w:rPr>
          <w:rFonts w:ascii="Garamond" w:hAnsi="Garamond"/>
        </w:rPr>
      </w:pPr>
    </w:p>
    <w:p w14:paraId="071AEB90" w14:textId="77777777" w:rsidR="00F72344" w:rsidRDefault="00F72344" w:rsidP="00944873">
      <w:pPr>
        <w:jc w:val="both"/>
        <w:rPr>
          <w:rFonts w:ascii="Garamond" w:hAnsi="Garamond"/>
        </w:rPr>
      </w:pPr>
    </w:p>
    <w:p w14:paraId="2ECB9E66" w14:textId="77777777" w:rsidR="00F72344" w:rsidRDefault="00F72344" w:rsidP="00944873">
      <w:pPr>
        <w:jc w:val="both"/>
        <w:rPr>
          <w:rFonts w:ascii="Garamond" w:hAnsi="Garamond"/>
        </w:rPr>
      </w:pPr>
    </w:p>
    <w:p w14:paraId="5488738A" w14:textId="77777777" w:rsidR="00F72344" w:rsidRDefault="00F72344" w:rsidP="00944873">
      <w:pPr>
        <w:jc w:val="both"/>
        <w:rPr>
          <w:rFonts w:ascii="Garamond" w:hAnsi="Garamond"/>
        </w:rPr>
      </w:pPr>
    </w:p>
    <w:p w14:paraId="11C54FB9" w14:textId="77777777" w:rsidR="00F72344" w:rsidRDefault="00F72344" w:rsidP="00944873">
      <w:pPr>
        <w:jc w:val="both"/>
        <w:rPr>
          <w:rFonts w:ascii="Garamond" w:hAnsi="Garamond"/>
        </w:rPr>
      </w:pPr>
    </w:p>
    <w:p w14:paraId="599036D6" w14:textId="77777777" w:rsidR="00F72344" w:rsidRDefault="00F72344" w:rsidP="00944873">
      <w:pPr>
        <w:jc w:val="both"/>
        <w:rPr>
          <w:rFonts w:ascii="Garamond" w:hAnsi="Garamond"/>
        </w:rPr>
      </w:pPr>
    </w:p>
    <w:p w14:paraId="0C94864A" w14:textId="77777777" w:rsidR="00F72344" w:rsidRDefault="00F72344" w:rsidP="00944873">
      <w:pPr>
        <w:jc w:val="both"/>
        <w:rPr>
          <w:rFonts w:ascii="Garamond" w:hAnsi="Garamond"/>
        </w:rPr>
      </w:pPr>
    </w:p>
    <w:p w14:paraId="38F0707E" w14:textId="77777777" w:rsidR="00F72344" w:rsidRDefault="00F72344" w:rsidP="00944873">
      <w:pPr>
        <w:jc w:val="both"/>
        <w:rPr>
          <w:rFonts w:ascii="Garamond" w:hAnsi="Garamond"/>
        </w:rPr>
      </w:pPr>
    </w:p>
    <w:p w14:paraId="7B1860AB" w14:textId="77777777" w:rsidR="00F72344" w:rsidRDefault="00F72344" w:rsidP="00944873">
      <w:pPr>
        <w:jc w:val="both"/>
        <w:rPr>
          <w:rFonts w:ascii="Garamond" w:hAnsi="Garamond"/>
        </w:rPr>
      </w:pPr>
    </w:p>
    <w:p w14:paraId="71418A96" w14:textId="77777777" w:rsidR="00F72344" w:rsidRDefault="00F72344" w:rsidP="00944873">
      <w:pPr>
        <w:jc w:val="both"/>
        <w:rPr>
          <w:rFonts w:ascii="Garamond" w:hAnsi="Garamond"/>
        </w:rPr>
      </w:pPr>
    </w:p>
    <w:p w14:paraId="7A6E901A" w14:textId="77777777" w:rsidR="00F72344" w:rsidRDefault="00F72344" w:rsidP="00944873">
      <w:pPr>
        <w:jc w:val="both"/>
        <w:rPr>
          <w:rFonts w:ascii="Garamond" w:hAnsi="Garamond"/>
        </w:rPr>
      </w:pPr>
    </w:p>
    <w:p w14:paraId="7E9B4022" w14:textId="77777777" w:rsidR="00F72344" w:rsidRDefault="00F72344" w:rsidP="00944873">
      <w:pPr>
        <w:jc w:val="both"/>
        <w:rPr>
          <w:rFonts w:ascii="Garamond" w:hAnsi="Garamond"/>
        </w:rPr>
      </w:pPr>
    </w:p>
    <w:p w14:paraId="24F860F3" w14:textId="77777777" w:rsidR="00F72344" w:rsidRDefault="00F72344" w:rsidP="00944873">
      <w:pPr>
        <w:jc w:val="both"/>
        <w:rPr>
          <w:rFonts w:ascii="Garamond" w:hAnsi="Garamond"/>
        </w:rPr>
      </w:pPr>
    </w:p>
    <w:p w14:paraId="5668CBF1" w14:textId="77777777" w:rsidR="00347BFC" w:rsidRDefault="00347BFC" w:rsidP="00944873">
      <w:pPr>
        <w:jc w:val="both"/>
        <w:rPr>
          <w:rFonts w:ascii="Garamond" w:hAnsi="Garamond"/>
        </w:rPr>
      </w:pPr>
    </w:p>
    <w:p w14:paraId="67AC02D9" w14:textId="77777777" w:rsidR="00F72344" w:rsidRDefault="00F72344" w:rsidP="00944873">
      <w:pPr>
        <w:jc w:val="both"/>
        <w:rPr>
          <w:rFonts w:ascii="Garamond" w:hAnsi="Garamond"/>
        </w:rPr>
      </w:pPr>
    </w:p>
    <w:p w14:paraId="4CF61DFE" w14:textId="77777777" w:rsidR="00F72344" w:rsidRDefault="00F72344" w:rsidP="00944873">
      <w:pPr>
        <w:jc w:val="both"/>
        <w:rPr>
          <w:rFonts w:ascii="Garamond" w:hAnsi="Garamond"/>
        </w:rPr>
      </w:pPr>
    </w:p>
    <w:p w14:paraId="30C55E59" w14:textId="77777777" w:rsidR="00733F64" w:rsidRDefault="00733F64" w:rsidP="00944873">
      <w:pPr>
        <w:jc w:val="both"/>
        <w:rPr>
          <w:rFonts w:ascii="Garamond" w:hAnsi="Garamond"/>
        </w:rPr>
      </w:pPr>
    </w:p>
    <w:p w14:paraId="18E966FA" w14:textId="77777777" w:rsidR="00F72344" w:rsidRDefault="00F72344" w:rsidP="00944873">
      <w:pPr>
        <w:jc w:val="both"/>
        <w:rPr>
          <w:rFonts w:ascii="Garamond" w:hAnsi="Garamond"/>
        </w:rPr>
      </w:pPr>
    </w:p>
    <w:p w14:paraId="4D204628" w14:textId="77777777" w:rsidR="00F72344" w:rsidRDefault="00F72344" w:rsidP="00944873">
      <w:pPr>
        <w:jc w:val="both"/>
        <w:rPr>
          <w:rFonts w:ascii="Garamond" w:hAnsi="Garamond"/>
        </w:rPr>
      </w:pPr>
    </w:p>
    <w:p w14:paraId="6A30555B" w14:textId="77777777" w:rsidR="00F72344" w:rsidRPr="009C52FB" w:rsidRDefault="00F72344" w:rsidP="00944873">
      <w:pPr>
        <w:jc w:val="both"/>
        <w:rPr>
          <w:rFonts w:ascii="Garamond" w:hAnsi="Garamond"/>
        </w:rPr>
      </w:pPr>
    </w:p>
    <w:p w14:paraId="4F753C01" w14:textId="77777777" w:rsidR="0080269D" w:rsidRPr="009C52FB" w:rsidRDefault="0080269D" w:rsidP="00944873">
      <w:pPr>
        <w:pStyle w:val="Heading1"/>
        <w:jc w:val="both"/>
        <w:rPr>
          <w:rFonts w:ascii="Garamond" w:hAnsi="Garamond"/>
          <w:sz w:val="24"/>
          <w:szCs w:val="24"/>
        </w:rPr>
      </w:pPr>
      <w:r w:rsidRPr="009C52FB">
        <w:rPr>
          <w:rFonts w:ascii="Garamond" w:hAnsi="Garamond"/>
          <w:sz w:val="24"/>
          <w:szCs w:val="24"/>
        </w:rPr>
        <w:t>References</w:t>
      </w:r>
    </w:p>
    <w:p w14:paraId="5F8BC921" w14:textId="77777777" w:rsidR="0080269D" w:rsidRPr="009C52FB" w:rsidRDefault="0080269D" w:rsidP="00944873">
      <w:pPr>
        <w:jc w:val="both"/>
        <w:rPr>
          <w:rFonts w:ascii="Garamond" w:hAnsi="Garamond"/>
        </w:rPr>
      </w:pPr>
    </w:p>
    <w:p w14:paraId="10AFE955" w14:textId="77777777" w:rsidR="0080269D" w:rsidRPr="009C52FB" w:rsidRDefault="0080269D" w:rsidP="00944873">
      <w:pPr>
        <w:jc w:val="both"/>
        <w:rPr>
          <w:rFonts w:ascii="Garamond" w:hAnsi="Garamond"/>
        </w:rPr>
      </w:pPr>
      <w:r w:rsidRPr="009C52FB">
        <w:rPr>
          <w:rFonts w:ascii="Garamond" w:hAnsi="Garamond"/>
        </w:rPr>
        <w:t xml:space="preserve">Foucault, Martial, </w:t>
      </w:r>
      <w:proofErr w:type="spellStart"/>
      <w:r w:rsidRPr="009C52FB">
        <w:rPr>
          <w:rFonts w:ascii="Garamond" w:hAnsi="Garamond"/>
        </w:rPr>
        <w:t>Bastien</w:t>
      </w:r>
      <w:proofErr w:type="spellEnd"/>
      <w:r w:rsidRPr="009C52FB">
        <w:rPr>
          <w:rFonts w:ascii="Garamond" w:hAnsi="Garamond"/>
        </w:rPr>
        <w:t xml:space="preserve"> </w:t>
      </w:r>
      <w:proofErr w:type="spellStart"/>
      <w:r w:rsidRPr="009C52FB">
        <w:rPr>
          <w:rFonts w:ascii="Garamond" w:hAnsi="Garamond"/>
        </w:rPr>
        <w:t>Irondelle</w:t>
      </w:r>
      <w:proofErr w:type="spellEnd"/>
      <w:r w:rsidRPr="009C52FB">
        <w:rPr>
          <w:rFonts w:ascii="Garamond" w:hAnsi="Garamond"/>
        </w:rPr>
        <w:t xml:space="preserve">, and </w:t>
      </w:r>
      <w:proofErr w:type="spellStart"/>
      <w:r w:rsidRPr="009C52FB">
        <w:rPr>
          <w:rFonts w:ascii="Garamond" w:hAnsi="Garamond"/>
        </w:rPr>
        <w:t>Frédéric</w:t>
      </w:r>
      <w:proofErr w:type="spellEnd"/>
      <w:r w:rsidRPr="009C52FB">
        <w:rPr>
          <w:rFonts w:ascii="Garamond" w:hAnsi="Garamond"/>
        </w:rPr>
        <w:t xml:space="preserve"> </w:t>
      </w:r>
      <w:proofErr w:type="spellStart"/>
      <w:r w:rsidRPr="009C52FB">
        <w:rPr>
          <w:rFonts w:ascii="Garamond" w:hAnsi="Garamond"/>
        </w:rPr>
        <w:t>Mérand</w:t>
      </w:r>
      <w:proofErr w:type="spellEnd"/>
      <w:r w:rsidRPr="009C52FB">
        <w:rPr>
          <w:rFonts w:ascii="Garamond" w:hAnsi="Garamond"/>
        </w:rPr>
        <w:t>. "Public Opinion and ESDP: Does Strategic Culture Matter</w:t>
      </w:r>
      <w:proofErr w:type="gramStart"/>
      <w:r w:rsidRPr="009C52FB">
        <w:rPr>
          <w:rFonts w:ascii="Garamond" w:hAnsi="Garamond"/>
        </w:rPr>
        <w:t>?.</w:t>
      </w:r>
      <w:proofErr w:type="gramEnd"/>
      <w:r w:rsidRPr="009C52FB">
        <w:rPr>
          <w:rFonts w:ascii="Garamond" w:hAnsi="Garamond"/>
        </w:rPr>
        <w:t xml:space="preserve">" </w:t>
      </w:r>
      <w:r w:rsidRPr="009C52FB">
        <w:rPr>
          <w:rFonts w:ascii="Garamond" w:hAnsi="Garamond"/>
          <w:i/>
          <w:iCs/>
        </w:rPr>
        <w:t>EUSA Conference</w:t>
      </w:r>
      <w:r w:rsidRPr="009C52FB">
        <w:rPr>
          <w:rFonts w:ascii="Garamond" w:hAnsi="Garamond"/>
        </w:rPr>
        <w:t>. 2009.</w:t>
      </w:r>
    </w:p>
    <w:p w14:paraId="47971C66" w14:textId="77777777" w:rsidR="0080269D" w:rsidRPr="009C52FB" w:rsidRDefault="0080269D" w:rsidP="00944873">
      <w:pPr>
        <w:jc w:val="both"/>
        <w:rPr>
          <w:rFonts w:ascii="Garamond" w:hAnsi="Garamond"/>
        </w:rPr>
      </w:pPr>
      <w:r w:rsidRPr="009C52FB">
        <w:rPr>
          <w:rFonts w:ascii="Garamond" w:hAnsi="Garamond"/>
        </w:rPr>
        <w:t> </w:t>
      </w:r>
    </w:p>
    <w:p w14:paraId="0B294994" w14:textId="77777777" w:rsidR="0080269D" w:rsidRPr="009C52FB" w:rsidRDefault="0080269D" w:rsidP="00944873">
      <w:pPr>
        <w:jc w:val="both"/>
        <w:rPr>
          <w:rFonts w:ascii="Garamond" w:hAnsi="Garamond"/>
        </w:rPr>
      </w:pPr>
      <w:r w:rsidRPr="009C52FB">
        <w:rPr>
          <w:rFonts w:ascii="Garamond" w:hAnsi="Garamond"/>
        </w:rPr>
        <w:t xml:space="preserve">Peters, Dirk. "A divided union." </w:t>
      </w:r>
      <w:proofErr w:type="gramStart"/>
      <w:r w:rsidRPr="009C52FB">
        <w:rPr>
          <w:rFonts w:ascii="Garamond" w:hAnsi="Garamond"/>
          <w:i/>
          <w:iCs/>
        </w:rPr>
        <w:t>Public opinion and the EU’s common foreign, security and defense policy.</w:t>
      </w:r>
      <w:proofErr w:type="gramEnd"/>
      <w:r w:rsidRPr="009C52FB">
        <w:rPr>
          <w:rFonts w:ascii="Garamond" w:hAnsi="Garamond"/>
          <w:i/>
          <w:iCs/>
        </w:rPr>
        <w:t xml:space="preserve"> Norway: RECON Online Working Paper</w:t>
      </w:r>
      <w:r w:rsidRPr="009C52FB">
        <w:rPr>
          <w:rFonts w:ascii="Garamond" w:hAnsi="Garamond"/>
        </w:rPr>
        <w:t xml:space="preserve"> 19 (2011).</w:t>
      </w:r>
    </w:p>
    <w:p w14:paraId="49F8620C" w14:textId="77777777" w:rsidR="0080269D" w:rsidRPr="009C52FB" w:rsidRDefault="0080269D" w:rsidP="00944873">
      <w:pPr>
        <w:jc w:val="both"/>
        <w:rPr>
          <w:rFonts w:ascii="Garamond" w:hAnsi="Garamond"/>
        </w:rPr>
      </w:pPr>
      <w:r w:rsidRPr="009C52FB">
        <w:rPr>
          <w:rFonts w:ascii="Garamond" w:hAnsi="Garamond"/>
        </w:rPr>
        <w:t> </w:t>
      </w:r>
    </w:p>
    <w:p w14:paraId="58D63170" w14:textId="77777777" w:rsidR="0080269D" w:rsidRPr="009C52FB" w:rsidRDefault="0080269D" w:rsidP="00944873">
      <w:pPr>
        <w:jc w:val="both"/>
        <w:rPr>
          <w:rFonts w:ascii="Garamond" w:hAnsi="Garamond"/>
        </w:rPr>
      </w:pPr>
      <w:r w:rsidRPr="009C52FB">
        <w:rPr>
          <w:rFonts w:ascii="Garamond" w:hAnsi="Garamond"/>
        </w:rPr>
        <w:t xml:space="preserve">Posen, Barry R. "ESDP and the Structure of World Power." </w:t>
      </w:r>
      <w:proofErr w:type="gramStart"/>
      <w:r w:rsidRPr="009C52FB">
        <w:rPr>
          <w:rFonts w:ascii="Garamond" w:hAnsi="Garamond"/>
          <w:i/>
          <w:iCs/>
        </w:rPr>
        <w:t>The international spectator</w:t>
      </w:r>
      <w:r w:rsidRPr="009C52FB">
        <w:rPr>
          <w:rFonts w:ascii="Garamond" w:hAnsi="Garamond"/>
        </w:rPr>
        <w:t xml:space="preserve"> 39, no. 1 (2004): 5-17.</w:t>
      </w:r>
      <w:proofErr w:type="gramEnd"/>
    </w:p>
    <w:p w14:paraId="2C336FAE" w14:textId="77777777" w:rsidR="0080269D" w:rsidRPr="009C52FB" w:rsidRDefault="0080269D" w:rsidP="00944873">
      <w:pPr>
        <w:jc w:val="both"/>
        <w:rPr>
          <w:rFonts w:ascii="Garamond" w:hAnsi="Garamond"/>
        </w:rPr>
      </w:pPr>
      <w:r w:rsidRPr="009C52FB">
        <w:rPr>
          <w:rFonts w:ascii="Garamond" w:hAnsi="Garamond"/>
        </w:rPr>
        <w:t> </w:t>
      </w:r>
    </w:p>
    <w:p w14:paraId="4C501F75" w14:textId="77777777" w:rsidR="0080269D" w:rsidRPr="009C52FB" w:rsidRDefault="0080269D" w:rsidP="00944873">
      <w:pPr>
        <w:jc w:val="both"/>
        <w:rPr>
          <w:rFonts w:ascii="Garamond" w:hAnsi="Garamond"/>
        </w:rPr>
      </w:pPr>
      <w:r w:rsidRPr="009C52FB">
        <w:rPr>
          <w:rFonts w:ascii="Garamond" w:hAnsi="Garamond"/>
        </w:rPr>
        <w:t xml:space="preserve">Schoen, </w:t>
      </w:r>
      <w:proofErr w:type="spellStart"/>
      <w:r w:rsidRPr="009C52FB">
        <w:rPr>
          <w:rFonts w:ascii="Garamond" w:hAnsi="Garamond"/>
        </w:rPr>
        <w:t>Harald</w:t>
      </w:r>
      <w:proofErr w:type="spellEnd"/>
      <w:r w:rsidRPr="009C52FB">
        <w:rPr>
          <w:rFonts w:ascii="Garamond" w:hAnsi="Garamond"/>
        </w:rPr>
        <w:t xml:space="preserve">. "Identity, Instrumental Self-Interest and Institutional Evaluations Explaining Public Opinion on Common European Policies in Foreign Affairs and </w:t>
      </w:r>
      <w:proofErr w:type="spellStart"/>
      <w:r w:rsidRPr="009C52FB">
        <w:rPr>
          <w:rFonts w:ascii="Garamond" w:hAnsi="Garamond"/>
        </w:rPr>
        <w:t>Defence</w:t>
      </w:r>
      <w:proofErr w:type="spellEnd"/>
      <w:r w:rsidRPr="009C52FB">
        <w:rPr>
          <w:rFonts w:ascii="Garamond" w:hAnsi="Garamond"/>
        </w:rPr>
        <w:t xml:space="preserve">." </w:t>
      </w:r>
      <w:r w:rsidRPr="009C52FB">
        <w:rPr>
          <w:rFonts w:ascii="Garamond" w:hAnsi="Garamond"/>
          <w:i/>
          <w:iCs/>
        </w:rPr>
        <w:t>European Union Politics</w:t>
      </w:r>
      <w:r w:rsidRPr="009C52FB">
        <w:rPr>
          <w:rFonts w:ascii="Garamond" w:hAnsi="Garamond"/>
        </w:rPr>
        <w:t xml:space="preserve"> 9, no. 1 (2008): 5-29.</w:t>
      </w:r>
    </w:p>
    <w:p w14:paraId="38D39CA7" w14:textId="77777777" w:rsidR="0080269D" w:rsidRPr="009C52FB" w:rsidRDefault="0080269D" w:rsidP="00944873">
      <w:pPr>
        <w:jc w:val="both"/>
        <w:rPr>
          <w:rFonts w:ascii="Garamond" w:hAnsi="Garamond"/>
        </w:rPr>
      </w:pPr>
      <w:r w:rsidRPr="009C52FB">
        <w:rPr>
          <w:rFonts w:ascii="Garamond" w:hAnsi="Garamond"/>
        </w:rPr>
        <w:t> </w:t>
      </w:r>
    </w:p>
    <w:p w14:paraId="292D81A5" w14:textId="77777777" w:rsidR="0080269D" w:rsidRPr="009C52FB" w:rsidRDefault="0080269D" w:rsidP="00944873">
      <w:pPr>
        <w:jc w:val="both"/>
        <w:rPr>
          <w:rFonts w:ascii="Garamond" w:hAnsi="Garamond"/>
        </w:rPr>
      </w:pPr>
      <w:proofErr w:type="spellStart"/>
      <w:r w:rsidRPr="009C52FB">
        <w:rPr>
          <w:rFonts w:ascii="Garamond" w:hAnsi="Garamond"/>
        </w:rPr>
        <w:t>Tournier</w:t>
      </w:r>
      <w:proofErr w:type="spellEnd"/>
      <w:r w:rsidRPr="009C52FB">
        <w:rPr>
          <w:rFonts w:ascii="Garamond" w:hAnsi="Garamond"/>
        </w:rPr>
        <w:t xml:space="preserve">, Vincent. 2004. « Aux </w:t>
      </w:r>
      <w:proofErr w:type="spellStart"/>
      <w:r w:rsidRPr="009C52FB">
        <w:rPr>
          <w:rFonts w:ascii="Garamond" w:hAnsi="Garamond"/>
        </w:rPr>
        <w:t>armes</w:t>
      </w:r>
      <w:proofErr w:type="spellEnd"/>
      <w:r w:rsidRPr="009C52FB">
        <w:rPr>
          <w:rFonts w:ascii="Garamond" w:hAnsi="Garamond"/>
        </w:rPr>
        <w:t xml:space="preserve"> </w:t>
      </w:r>
      <w:proofErr w:type="spellStart"/>
      <w:proofErr w:type="gramStart"/>
      <w:r w:rsidRPr="009C52FB">
        <w:rPr>
          <w:rFonts w:ascii="Garamond" w:hAnsi="Garamond"/>
        </w:rPr>
        <w:t>Européens</w:t>
      </w:r>
      <w:proofErr w:type="spellEnd"/>
      <w:r w:rsidRPr="009C52FB">
        <w:rPr>
          <w:rFonts w:ascii="Garamond" w:hAnsi="Garamond"/>
        </w:rPr>
        <w:t xml:space="preserve"> ?</w:t>
      </w:r>
      <w:proofErr w:type="gramEnd"/>
      <w:r w:rsidRPr="009C52FB">
        <w:rPr>
          <w:rFonts w:ascii="Garamond" w:hAnsi="Garamond"/>
        </w:rPr>
        <w:t xml:space="preserve"> Les opinions </w:t>
      </w:r>
      <w:proofErr w:type="spellStart"/>
      <w:r w:rsidRPr="009C52FB">
        <w:rPr>
          <w:rFonts w:ascii="Garamond" w:hAnsi="Garamond"/>
        </w:rPr>
        <w:t>publiques</w:t>
      </w:r>
      <w:proofErr w:type="spellEnd"/>
      <w:r w:rsidRPr="009C52FB">
        <w:rPr>
          <w:rFonts w:ascii="Garamond" w:hAnsi="Garamond"/>
        </w:rPr>
        <w:t xml:space="preserve"> face à la </w:t>
      </w:r>
      <w:proofErr w:type="gramStart"/>
      <w:r w:rsidRPr="009C52FB">
        <w:rPr>
          <w:rFonts w:ascii="Garamond" w:hAnsi="Garamond"/>
        </w:rPr>
        <w:t>PESC :</w:t>
      </w:r>
      <w:proofErr w:type="gramEnd"/>
      <w:r w:rsidRPr="009C52FB">
        <w:rPr>
          <w:rFonts w:ascii="Garamond" w:hAnsi="Garamond"/>
        </w:rPr>
        <w:t xml:space="preserve"> les raisons d’un </w:t>
      </w:r>
      <w:proofErr w:type="spellStart"/>
      <w:r w:rsidRPr="009C52FB">
        <w:rPr>
          <w:rFonts w:ascii="Garamond" w:hAnsi="Garamond"/>
        </w:rPr>
        <w:t>blocage</w:t>
      </w:r>
      <w:proofErr w:type="spellEnd"/>
      <w:r w:rsidRPr="009C52FB">
        <w:rPr>
          <w:rFonts w:ascii="Garamond" w:hAnsi="Garamond"/>
        </w:rPr>
        <w:t xml:space="preserve"> » in Fabien </w:t>
      </w:r>
      <w:proofErr w:type="spellStart"/>
      <w:r w:rsidRPr="009C52FB">
        <w:rPr>
          <w:rFonts w:ascii="Garamond" w:hAnsi="Garamond"/>
        </w:rPr>
        <w:t>Terpan</w:t>
      </w:r>
      <w:proofErr w:type="spellEnd"/>
      <w:r w:rsidRPr="009C52FB">
        <w:rPr>
          <w:rFonts w:ascii="Garamond" w:hAnsi="Garamond"/>
        </w:rPr>
        <w:t xml:space="preserve"> (ed.), </w:t>
      </w:r>
      <w:r w:rsidRPr="009C52FB">
        <w:rPr>
          <w:rFonts w:ascii="Garamond" w:hAnsi="Garamond"/>
          <w:i/>
          <w:iCs/>
        </w:rPr>
        <w:t xml:space="preserve">La PESD. L’UE </w:t>
      </w:r>
      <w:proofErr w:type="spellStart"/>
      <w:r w:rsidRPr="009C52FB">
        <w:rPr>
          <w:rFonts w:ascii="Garamond" w:hAnsi="Garamond"/>
          <w:i/>
          <w:iCs/>
        </w:rPr>
        <w:t>peut-elle</w:t>
      </w:r>
      <w:proofErr w:type="spellEnd"/>
      <w:r w:rsidRPr="009C52FB">
        <w:rPr>
          <w:rFonts w:ascii="Garamond" w:hAnsi="Garamond"/>
          <w:i/>
          <w:iCs/>
        </w:rPr>
        <w:t xml:space="preserve"> </w:t>
      </w:r>
      <w:proofErr w:type="spellStart"/>
      <w:r w:rsidRPr="009C52FB">
        <w:rPr>
          <w:rFonts w:ascii="Garamond" w:hAnsi="Garamond"/>
          <w:i/>
          <w:iCs/>
        </w:rPr>
        <w:t>gérer</w:t>
      </w:r>
      <w:proofErr w:type="spellEnd"/>
      <w:r w:rsidRPr="009C52FB">
        <w:rPr>
          <w:rFonts w:ascii="Garamond" w:hAnsi="Garamond"/>
          <w:i/>
          <w:iCs/>
        </w:rPr>
        <w:t xml:space="preserve"> les </w:t>
      </w:r>
      <w:proofErr w:type="gramStart"/>
      <w:r w:rsidRPr="009C52FB">
        <w:rPr>
          <w:rFonts w:ascii="Garamond" w:hAnsi="Garamond"/>
          <w:i/>
          <w:iCs/>
        </w:rPr>
        <w:t>crises ?</w:t>
      </w:r>
      <w:proofErr w:type="gramEnd"/>
      <w:r w:rsidRPr="009C52FB">
        <w:rPr>
          <w:rFonts w:ascii="Garamond" w:hAnsi="Garamond"/>
          <w:i/>
          <w:iCs/>
        </w:rPr>
        <w:t xml:space="preserve"> </w:t>
      </w:r>
      <w:r w:rsidRPr="009C52FB">
        <w:rPr>
          <w:rFonts w:ascii="Garamond" w:hAnsi="Garamond"/>
        </w:rPr>
        <w:t xml:space="preserve">Toulouse: Presses de </w:t>
      </w:r>
      <w:proofErr w:type="spellStart"/>
      <w:r w:rsidRPr="009C52FB">
        <w:rPr>
          <w:rFonts w:ascii="Garamond" w:hAnsi="Garamond"/>
        </w:rPr>
        <w:t>l’IEP</w:t>
      </w:r>
      <w:proofErr w:type="spellEnd"/>
      <w:r w:rsidRPr="009C52FB">
        <w:rPr>
          <w:rFonts w:ascii="Garamond" w:hAnsi="Garamond"/>
        </w:rPr>
        <w:t xml:space="preserve"> de Toulouse.</w:t>
      </w:r>
    </w:p>
    <w:p w14:paraId="51D35BA6" w14:textId="77777777" w:rsidR="0080269D" w:rsidRPr="009C52FB" w:rsidRDefault="0080269D" w:rsidP="00944873">
      <w:pPr>
        <w:jc w:val="both"/>
        <w:rPr>
          <w:rFonts w:ascii="Garamond" w:hAnsi="Garamond"/>
        </w:rPr>
      </w:pPr>
      <w:r w:rsidRPr="009C52FB">
        <w:rPr>
          <w:rFonts w:ascii="Garamond" w:hAnsi="Garamond"/>
        </w:rPr>
        <w:t> </w:t>
      </w:r>
    </w:p>
    <w:p w14:paraId="346FDECD" w14:textId="77777777" w:rsidR="0080269D" w:rsidRPr="00C82725" w:rsidRDefault="0080269D" w:rsidP="00944873">
      <w:pPr>
        <w:jc w:val="both"/>
        <w:rPr>
          <w:rFonts w:ascii="Garamond" w:hAnsi="Garamond"/>
        </w:rPr>
      </w:pPr>
      <w:r w:rsidRPr="009C52FB">
        <w:rPr>
          <w:rFonts w:ascii="Garamond" w:hAnsi="Garamond"/>
        </w:rPr>
        <w:t xml:space="preserve">Wagner, Wolfgang. 2005. “The democratic legitimacy of European Security and Defense Policy”, </w:t>
      </w:r>
      <w:r w:rsidRPr="009C52FB">
        <w:rPr>
          <w:rFonts w:ascii="Garamond" w:hAnsi="Garamond"/>
          <w:i/>
          <w:iCs/>
        </w:rPr>
        <w:t xml:space="preserve">Occasional Paper </w:t>
      </w:r>
      <w:r w:rsidRPr="009C52FB">
        <w:rPr>
          <w:rFonts w:ascii="Garamond" w:hAnsi="Garamond"/>
        </w:rPr>
        <w:t>57, Institute for Security Studies-European Union.</w:t>
      </w:r>
    </w:p>
    <w:p w14:paraId="42C31CBD" w14:textId="77777777" w:rsidR="0080269D" w:rsidRPr="00C82725" w:rsidRDefault="0080269D" w:rsidP="00944873">
      <w:pPr>
        <w:jc w:val="both"/>
        <w:rPr>
          <w:rFonts w:ascii="Garamond" w:hAnsi="Garamond"/>
        </w:rPr>
      </w:pPr>
    </w:p>
    <w:sectPr w:rsidR="0080269D" w:rsidRPr="00C82725" w:rsidSect="008026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AE4C" w14:textId="77777777" w:rsidR="00C37EB7" w:rsidRDefault="00C37EB7">
      <w:r>
        <w:separator/>
      </w:r>
    </w:p>
  </w:endnote>
  <w:endnote w:type="continuationSeparator" w:id="0">
    <w:p w14:paraId="7D0B9D71" w14:textId="77777777" w:rsidR="00C37EB7" w:rsidRDefault="00C3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A7A6" w14:textId="77777777" w:rsidR="00C37EB7" w:rsidRDefault="00C37EB7">
      <w:r>
        <w:separator/>
      </w:r>
    </w:p>
  </w:footnote>
  <w:footnote w:type="continuationSeparator" w:id="0">
    <w:p w14:paraId="7351F55B" w14:textId="77777777" w:rsidR="00C37EB7" w:rsidRDefault="00C37EB7">
      <w:r>
        <w:continuationSeparator/>
      </w:r>
    </w:p>
  </w:footnote>
  <w:footnote w:id="1">
    <w:p w14:paraId="190F7B62"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John Gray, Men are from Mars, Women are from Venus: A Practical Guide for Improving Communication and Getting What You Want in Your Relationships,  (New York:  HarperCollins, 1992).</w:t>
      </w:r>
    </w:p>
  </w:footnote>
  <w:footnote w:id="2">
    <w:p w14:paraId="01FD2E7B"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Robert </w:t>
      </w:r>
      <w:proofErr w:type="spellStart"/>
      <w:r w:rsidRPr="00C37EB7">
        <w:rPr>
          <w:rStyle w:val="FootnoteReference"/>
          <w:rFonts w:ascii="Garamond" w:hAnsi="Garamond"/>
          <w:sz w:val="20"/>
          <w:szCs w:val="20"/>
          <w:vertAlign w:val="baseline"/>
        </w:rPr>
        <w:t>Kagan</w:t>
      </w:r>
      <w:proofErr w:type="spellEnd"/>
      <w:r w:rsidRPr="00C37EB7">
        <w:rPr>
          <w:rStyle w:val="FootnoteReference"/>
          <w:rFonts w:ascii="Garamond" w:hAnsi="Garamond"/>
          <w:sz w:val="20"/>
          <w:szCs w:val="20"/>
          <w:vertAlign w:val="baseline"/>
        </w:rPr>
        <w:t xml:space="preserve">, “Power and Weakness” </w:t>
      </w:r>
      <w:r w:rsidRPr="00C37EB7">
        <w:rPr>
          <w:rStyle w:val="FootnoteReference"/>
          <w:rFonts w:ascii="Garamond" w:hAnsi="Garamond"/>
          <w:i/>
          <w:sz w:val="20"/>
          <w:szCs w:val="20"/>
          <w:vertAlign w:val="baseline"/>
        </w:rPr>
        <w:t>Policy Review</w:t>
      </w:r>
      <w:r w:rsidRPr="00C37EB7">
        <w:rPr>
          <w:rStyle w:val="FootnoteReference"/>
          <w:rFonts w:ascii="Garamond" w:hAnsi="Garamond"/>
          <w:sz w:val="20"/>
          <w:szCs w:val="20"/>
          <w:vertAlign w:val="baseline"/>
        </w:rPr>
        <w:t xml:space="preserve"> 113 (2002): 5-23 (electronic copy).</w:t>
      </w:r>
    </w:p>
  </w:footnote>
  <w:footnote w:id="3">
    <w:p w14:paraId="68ECC9EC"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Dempsey, J., 2013. Survey Hints Europeans Are Turning Inward. The New York Times, 16 Sep.</w:t>
      </w:r>
    </w:p>
  </w:footnote>
  <w:footnote w:id="4">
    <w:p w14:paraId="5C8F2CB6" w14:textId="77777777" w:rsidR="00C37EB7" w:rsidRPr="00C37EB7" w:rsidRDefault="00C37EB7" w:rsidP="007B337F">
      <w:pPr>
        <w:pStyle w:val="FootnoteText"/>
        <w:jc w:val="both"/>
        <w:rPr>
          <w:rFonts w:ascii="Garamond" w:hAnsi="Garamond"/>
          <w:color w:val="000000"/>
          <w:sz w:val="20"/>
          <w:szCs w:val="20"/>
        </w:rPr>
      </w:pPr>
      <w:r w:rsidRPr="00C37EB7">
        <w:rPr>
          <w:rStyle w:val="FootnoteReference"/>
          <w:rFonts w:ascii="Garamond" w:hAnsi="Garamond"/>
          <w:color w:val="000000"/>
          <w:sz w:val="20"/>
          <w:szCs w:val="20"/>
          <w:vertAlign w:val="baseline"/>
        </w:rPr>
        <w:footnoteRef/>
      </w:r>
      <w:r w:rsidRPr="00C37EB7">
        <w:rPr>
          <w:rFonts w:ascii="Garamond" w:hAnsi="Garamond"/>
          <w:color w:val="000000"/>
          <w:sz w:val="20"/>
          <w:szCs w:val="20"/>
        </w:rPr>
        <w:t xml:space="preserve"> WEU assembly seminar on the role of parliaments in shaping public opinion on European security and </w:t>
      </w:r>
      <w:proofErr w:type="spellStart"/>
      <w:r w:rsidRPr="00C37EB7">
        <w:rPr>
          <w:rFonts w:ascii="Garamond" w:hAnsi="Garamond"/>
          <w:color w:val="000000"/>
          <w:sz w:val="20"/>
          <w:szCs w:val="20"/>
        </w:rPr>
        <w:t>defence</w:t>
      </w:r>
      <w:proofErr w:type="spellEnd"/>
      <w:r w:rsidRPr="00C37EB7">
        <w:rPr>
          <w:rFonts w:ascii="Garamond" w:hAnsi="Garamond"/>
          <w:color w:val="000000"/>
          <w:sz w:val="20"/>
          <w:szCs w:val="20"/>
        </w:rPr>
        <w:t>: parliamentarian should lead public opinion, WEU Assembly press release, Paris, 28 April 2006.</w:t>
      </w:r>
    </w:p>
  </w:footnote>
  <w:footnote w:id="5">
    <w:p w14:paraId="7BB33414" w14:textId="77777777" w:rsidR="00C37EB7" w:rsidRPr="00C37EB7" w:rsidRDefault="00C37EB7" w:rsidP="007B337F">
      <w:pPr>
        <w:pStyle w:val="FootnoteText"/>
        <w:jc w:val="both"/>
        <w:rPr>
          <w:rFonts w:ascii="Garamond" w:hAnsi="Garamond"/>
          <w:color w:val="000000"/>
          <w:sz w:val="20"/>
          <w:szCs w:val="20"/>
        </w:rPr>
      </w:pPr>
      <w:r w:rsidRPr="00C37EB7">
        <w:rPr>
          <w:rStyle w:val="FootnoteReference"/>
          <w:rFonts w:ascii="Garamond" w:hAnsi="Garamond"/>
          <w:color w:val="000000"/>
          <w:sz w:val="20"/>
          <w:szCs w:val="20"/>
          <w:vertAlign w:val="baseline"/>
        </w:rPr>
        <w:footnoteRef/>
      </w:r>
      <w:r w:rsidRPr="00C37EB7">
        <w:rPr>
          <w:rFonts w:ascii="Garamond" w:hAnsi="Garamond"/>
          <w:color w:val="000000"/>
          <w:sz w:val="20"/>
          <w:szCs w:val="20"/>
        </w:rPr>
        <w:t xml:space="preserve"> WEU assembly seminar on the role of parliaments in shaping public opinion on European security and </w:t>
      </w:r>
      <w:proofErr w:type="spellStart"/>
      <w:r w:rsidRPr="00C37EB7">
        <w:rPr>
          <w:rFonts w:ascii="Garamond" w:hAnsi="Garamond"/>
          <w:color w:val="000000"/>
          <w:sz w:val="20"/>
          <w:szCs w:val="20"/>
        </w:rPr>
        <w:t>defence</w:t>
      </w:r>
      <w:proofErr w:type="spellEnd"/>
      <w:r w:rsidRPr="00C37EB7">
        <w:rPr>
          <w:rFonts w:ascii="Garamond" w:hAnsi="Garamond"/>
          <w:color w:val="000000"/>
          <w:sz w:val="20"/>
          <w:szCs w:val="20"/>
        </w:rPr>
        <w:t>: parliamentarian should lead public opinion, WEU Assembly press release, Paris, 28 April 2006.</w:t>
      </w:r>
    </w:p>
  </w:footnote>
  <w:footnote w:id="6">
    <w:p w14:paraId="3696C5D8"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Transatlantic Trends [online], 2014. Transatlantic Trends. Available from: http://trends.gmfus.org/transatlantic-trends/ [Accessed 16 Jul 2014].</w:t>
      </w:r>
    </w:p>
  </w:footnote>
  <w:footnote w:id="7">
    <w:p w14:paraId="5130B992"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“An Initial Long-Term Vision for European </w:t>
      </w:r>
      <w:proofErr w:type="spellStart"/>
      <w:r w:rsidRPr="00C37EB7">
        <w:rPr>
          <w:rStyle w:val="FootnoteReference"/>
          <w:rFonts w:ascii="Garamond" w:hAnsi="Garamond"/>
          <w:sz w:val="20"/>
          <w:szCs w:val="20"/>
          <w:vertAlign w:val="baseline"/>
        </w:rPr>
        <w:t>Defence</w:t>
      </w:r>
      <w:proofErr w:type="spellEnd"/>
      <w:r w:rsidRPr="00C37EB7">
        <w:rPr>
          <w:rStyle w:val="FootnoteReference"/>
          <w:rFonts w:ascii="Garamond" w:hAnsi="Garamond"/>
          <w:sz w:val="20"/>
          <w:szCs w:val="20"/>
          <w:vertAlign w:val="baseline"/>
        </w:rPr>
        <w:t xml:space="preserve"> Capability and Capacity Needs,” European </w:t>
      </w:r>
      <w:proofErr w:type="spellStart"/>
      <w:r w:rsidRPr="00C37EB7">
        <w:rPr>
          <w:rStyle w:val="FootnoteReference"/>
          <w:rFonts w:ascii="Garamond" w:hAnsi="Garamond"/>
          <w:sz w:val="20"/>
          <w:szCs w:val="20"/>
          <w:vertAlign w:val="baseline"/>
        </w:rPr>
        <w:t>Defence</w:t>
      </w:r>
      <w:proofErr w:type="spellEnd"/>
      <w:r w:rsidRPr="00C37EB7">
        <w:rPr>
          <w:rStyle w:val="FootnoteReference"/>
          <w:rFonts w:ascii="Garamond" w:hAnsi="Garamond"/>
          <w:sz w:val="20"/>
          <w:szCs w:val="20"/>
          <w:vertAlign w:val="baseline"/>
        </w:rPr>
        <w:t xml:space="preserve"> Agency, 3 October 2006.</w:t>
      </w:r>
    </w:p>
  </w:footnote>
  <w:footnote w:id="8">
    <w:p w14:paraId="554C0887"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DW citation.</w:t>
      </w:r>
    </w:p>
  </w:footnote>
  <w:footnote w:id="9">
    <w:p w14:paraId="283D2DB0" w14:textId="77777777" w:rsidR="00C37EB7" w:rsidRPr="00C37EB7" w:rsidRDefault="00C37EB7" w:rsidP="007B337F">
      <w:pPr>
        <w:pStyle w:val="FootnoteText"/>
        <w:jc w:val="both"/>
        <w:rPr>
          <w:rFonts w:ascii="Garamond" w:hAnsi="Garamond"/>
          <w:color w:val="000000"/>
          <w:sz w:val="20"/>
          <w:szCs w:val="20"/>
        </w:rPr>
      </w:pPr>
      <w:r w:rsidRPr="00C37EB7">
        <w:rPr>
          <w:rStyle w:val="FootnoteReference"/>
          <w:rFonts w:ascii="Garamond" w:hAnsi="Garamond"/>
          <w:color w:val="000000"/>
          <w:sz w:val="20"/>
          <w:szCs w:val="20"/>
          <w:vertAlign w:val="baseline"/>
        </w:rPr>
        <w:footnoteRef/>
      </w:r>
      <w:r w:rsidRPr="00C37EB7">
        <w:rPr>
          <w:rFonts w:ascii="Garamond" w:hAnsi="Garamond"/>
          <w:color w:val="000000"/>
          <w:sz w:val="20"/>
          <w:szCs w:val="20"/>
        </w:rPr>
        <w:t xml:space="preserve"> The German Marshall Fund, “Transatlantic Trends: Topline Report 2006”, 4 and 10.</w:t>
      </w:r>
    </w:p>
  </w:footnote>
  <w:footnote w:id="10">
    <w:p w14:paraId="16C4032F" w14:textId="77777777" w:rsidR="00C37EB7" w:rsidRPr="00C37EB7" w:rsidRDefault="00C37EB7" w:rsidP="007B337F">
      <w:pPr>
        <w:pStyle w:val="FootnoteText"/>
        <w:jc w:val="both"/>
        <w:rPr>
          <w:rFonts w:ascii="Garamond" w:hAnsi="Garamond"/>
          <w:color w:val="000000"/>
          <w:sz w:val="20"/>
          <w:szCs w:val="20"/>
        </w:rPr>
      </w:pPr>
      <w:r w:rsidRPr="00C37EB7">
        <w:rPr>
          <w:rStyle w:val="FootnoteReference"/>
          <w:rFonts w:ascii="Garamond" w:hAnsi="Garamond"/>
          <w:color w:val="000000"/>
          <w:sz w:val="20"/>
          <w:szCs w:val="20"/>
          <w:vertAlign w:val="baseline"/>
        </w:rPr>
        <w:footnoteRef/>
      </w:r>
      <w:r w:rsidRPr="00C37EB7">
        <w:rPr>
          <w:rFonts w:ascii="Garamond" w:hAnsi="Garamond"/>
          <w:color w:val="000000"/>
          <w:sz w:val="20"/>
          <w:szCs w:val="20"/>
        </w:rPr>
        <w:t xml:space="preserve"> The German Marshall Fund, “Transatlantic Trends: Topline Report 2006”, 59.</w:t>
      </w:r>
    </w:p>
    <w:p w14:paraId="20DB5014" w14:textId="77777777" w:rsidR="00C37EB7" w:rsidRPr="00C37EB7" w:rsidRDefault="00C37EB7" w:rsidP="007B337F">
      <w:pPr>
        <w:pStyle w:val="FootnoteText"/>
        <w:rPr>
          <w:rFonts w:ascii="Garamond" w:hAnsi="Garamond"/>
          <w:sz w:val="20"/>
          <w:szCs w:val="20"/>
        </w:rPr>
      </w:pPr>
    </w:p>
    <w:p w14:paraId="421A5721" w14:textId="77777777" w:rsidR="00C37EB7" w:rsidRPr="00C37EB7" w:rsidRDefault="00C37EB7" w:rsidP="007B337F">
      <w:pPr>
        <w:pStyle w:val="FootnoteText"/>
        <w:rPr>
          <w:rFonts w:ascii="Garamond" w:hAnsi="Garamond"/>
          <w:sz w:val="20"/>
          <w:szCs w:val="20"/>
        </w:rPr>
      </w:pPr>
    </w:p>
    <w:p w14:paraId="415B74AF" w14:textId="77777777" w:rsidR="00C37EB7" w:rsidRPr="00C37EB7" w:rsidRDefault="00C37EB7" w:rsidP="007B337F">
      <w:pPr>
        <w:jc w:val="center"/>
        <w:rPr>
          <w:rFonts w:ascii="Garamond" w:hAnsi="Garamond"/>
          <w:b/>
          <w:sz w:val="20"/>
          <w:szCs w:val="20"/>
        </w:rPr>
      </w:pPr>
    </w:p>
    <w:p w14:paraId="56E8221A" w14:textId="77777777" w:rsidR="00C37EB7" w:rsidRPr="00C37EB7" w:rsidRDefault="00C37EB7" w:rsidP="007B337F">
      <w:pPr>
        <w:jc w:val="center"/>
        <w:rPr>
          <w:rFonts w:ascii="Garamond" w:hAnsi="Garamond"/>
          <w:b/>
          <w:sz w:val="20"/>
          <w:szCs w:val="20"/>
        </w:rPr>
      </w:pPr>
      <w:r w:rsidRPr="00C37EB7">
        <w:rPr>
          <w:rFonts w:ascii="Garamond" w:hAnsi="Garamond"/>
          <w:b/>
          <w:sz w:val="20"/>
          <w:szCs w:val="20"/>
        </w:rPr>
        <w:t>Appendix</w:t>
      </w:r>
    </w:p>
    <w:p w14:paraId="22711324" w14:textId="77777777" w:rsidR="00C37EB7" w:rsidRPr="00C37EB7" w:rsidRDefault="00C37EB7" w:rsidP="007B337F">
      <w:pPr>
        <w:jc w:val="center"/>
        <w:rPr>
          <w:rFonts w:ascii="Garamond" w:hAnsi="Garamond"/>
          <w:b/>
          <w:sz w:val="20"/>
          <w:szCs w:val="20"/>
        </w:rPr>
      </w:pPr>
    </w:p>
    <w:p w14:paraId="66F821CB" w14:textId="77777777" w:rsidR="00C37EB7" w:rsidRPr="00C37EB7" w:rsidRDefault="00C37EB7" w:rsidP="007B337F">
      <w:pPr>
        <w:jc w:val="center"/>
        <w:rPr>
          <w:rFonts w:ascii="Garamond" w:hAnsi="Garamond"/>
          <w:b/>
          <w:sz w:val="20"/>
          <w:szCs w:val="20"/>
        </w:rPr>
      </w:pPr>
    </w:p>
    <w:p w14:paraId="58356128" w14:textId="77777777" w:rsidR="00C37EB7" w:rsidRPr="00C37EB7" w:rsidRDefault="00C37EB7" w:rsidP="007B337F">
      <w:pPr>
        <w:jc w:val="center"/>
        <w:rPr>
          <w:rFonts w:ascii="Garamond" w:hAnsi="Garamond"/>
          <w:b/>
          <w:sz w:val="20"/>
          <w:szCs w:val="20"/>
        </w:rPr>
      </w:pPr>
      <w:r w:rsidRPr="00C37EB7">
        <w:rPr>
          <w:rFonts w:ascii="Garamond" w:hAnsi="Garamond"/>
          <w:b/>
          <w:sz w:val="20"/>
          <w:szCs w:val="20"/>
        </w:rPr>
        <w:t>Table A: Logistic Regression Models for European Determined Security Policy</w:t>
      </w:r>
    </w:p>
    <w:p w14:paraId="12DD1167" w14:textId="77777777" w:rsidR="00C37EB7" w:rsidRPr="00C37EB7" w:rsidRDefault="00C37EB7" w:rsidP="007B337F">
      <w:pPr>
        <w:jc w:val="center"/>
        <w:rPr>
          <w:rFonts w:ascii="Garamond" w:hAnsi="Garamond"/>
          <w:b/>
          <w:sz w:val="20"/>
          <w:szCs w:val="20"/>
        </w:rPr>
      </w:pPr>
    </w:p>
    <w:tbl>
      <w:tblPr>
        <w:tblW w:w="9100" w:type="dxa"/>
        <w:tblInd w:w="93" w:type="dxa"/>
        <w:tblLook w:val="04A0" w:firstRow="1" w:lastRow="0" w:firstColumn="1" w:lastColumn="0" w:noHBand="0" w:noVBand="1"/>
      </w:tblPr>
      <w:tblGrid>
        <w:gridCol w:w="1980"/>
        <w:gridCol w:w="1780"/>
        <w:gridCol w:w="1780"/>
        <w:gridCol w:w="1780"/>
        <w:gridCol w:w="1780"/>
      </w:tblGrid>
      <w:tr w:rsidR="00C37EB7" w:rsidRPr="00C37EB7" w14:paraId="77D68655" w14:textId="77777777" w:rsidTr="00CF1162">
        <w:trPr>
          <w:trHeight w:val="300"/>
        </w:trPr>
        <w:tc>
          <w:tcPr>
            <w:tcW w:w="1980" w:type="dxa"/>
            <w:tcBorders>
              <w:top w:val="nil"/>
              <w:left w:val="nil"/>
              <w:bottom w:val="nil"/>
              <w:right w:val="nil"/>
            </w:tcBorders>
            <w:shd w:val="clear" w:color="auto" w:fill="auto"/>
            <w:vAlign w:val="bottom"/>
            <w:hideMark/>
          </w:tcPr>
          <w:p w14:paraId="45F1560A"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567E8B42"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Education</w:t>
            </w:r>
          </w:p>
        </w:tc>
        <w:tc>
          <w:tcPr>
            <w:tcW w:w="1780" w:type="dxa"/>
            <w:tcBorders>
              <w:top w:val="nil"/>
              <w:left w:val="nil"/>
              <w:bottom w:val="nil"/>
              <w:right w:val="nil"/>
            </w:tcBorders>
            <w:shd w:val="clear" w:color="auto" w:fill="auto"/>
            <w:vAlign w:val="bottom"/>
            <w:hideMark/>
          </w:tcPr>
          <w:p w14:paraId="4FB143B5"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Interest</w:t>
            </w:r>
          </w:p>
        </w:tc>
        <w:tc>
          <w:tcPr>
            <w:tcW w:w="1780" w:type="dxa"/>
            <w:tcBorders>
              <w:top w:val="nil"/>
              <w:left w:val="nil"/>
              <w:bottom w:val="nil"/>
              <w:right w:val="nil"/>
            </w:tcBorders>
            <w:shd w:val="clear" w:color="auto" w:fill="auto"/>
            <w:vAlign w:val="bottom"/>
            <w:hideMark/>
          </w:tcPr>
          <w:p w14:paraId="5E7F63B3"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Feel Informed</w:t>
            </w:r>
          </w:p>
        </w:tc>
        <w:tc>
          <w:tcPr>
            <w:tcW w:w="1780" w:type="dxa"/>
            <w:tcBorders>
              <w:top w:val="nil"/>
              <w:left w:val="nil"/>
              <w:bottom w:val="nil"/>
              <w:right w:val="nil"/>
            </w:tcBorders>
            <w:shd w:val="clear" w:color="auto" w:fill="auto"/>
            <w:vAlign w:val="bottom"/>
            <w:hideMark/>
          </w:tcPr>
          <w:p w14:paraId="5820A7E9"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Opinion Leader</w:t>
            </w:r>
          </w:p>
        </w:tc>
      </w:tr>
      <w:tr w:rsidR="00C37EB7" w:rsidRPr="00C37EB7" w14:paraId="036AC20A" w14:textId="77777777" w:rsidTr="00CF1162">
        <w:trPr>
          <w:trHeight w:val="300"/>
        </w:trPr>
        <w:tc>
          <w:tcPr>
            <w:tcW w:w="1980" w:type="dxa"/>
            <w:tcBorders>
              <w:top w:val="nil"/>
              <w:left w:val="nil"/>
              <w:bottom w:val="single" w:sz="4" w:space="0" w:color="auto"/>
              <w:right w:val="nil"/>
            </w:tcBorders>
            <w:shd w:val="clear" w:color="auto" w:fill="auto"/>
            <w:vAlign w:val="bottom"/>
            <w:hideMark/>
          </w:tcPr>
          <w:p w14:paraId="7BEC7245"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14:paraId="38E8C9F6"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14:paraId="5598B6CF"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14:paraId="5EAA183C"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14:paraId="3E70AB5C" w14:textId="77777777" w:rsidR="00C37EB7" w:rsidRPr="00C37EB7" w:rsidRDefault="00C37EB7" w:rsidP="007B337F">
            <w:pPr>
              <w:jc w:val="center"/>
              <w:rPr>
                <w:rFonts w:ascii="Garamond" w:eastAsia="Times New Roman" w:hAnsi="Garamond" w:cs="Times New Roman"/>
                <w:color w:val="000000"/>
                <w:sz w:val="20"/>
                <w:szCs w:val="20"/>
              </w:rPr>
            </w:pPr>
          </w:p>
        </w:tc>
      </w:tr>
      <w:tr w:rsidR="00C37EB7" w:rsidRPr="00C37EB7" w14:paraId="1EA73067" w14:textId="77777777" w:rsidTr="00CF1162">
        <w:trPr>
          <w:trHeight w:val="300"/>
        </w:trPr>
        <w:tc>
          <w:tcPr>
            <w:tcW w:w="1980" w:type="dxa"/>
            <w:tcBorders>
              <w:top w:val="single" w:sz="4" w:space="0" w:color="auto"/>
              <w:left w:val="nil"/>
              <w:bottom w:val="nil"/>
              <w:right w:val="nil"/>
            </w:tcBorders>
            <w:shd w:val="clear" w:color="auto" w:fill="auto"/>
            <w:vAlign w:val="bottom"/>
            <w:hideMark/>
          </w:tcPr>
          <w:p w14:paraId="31A2B667"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Knowledge</w:t>
            </w:r>
          </w:p>
        </w:tc>
        <w:tc>
          <w:tcPr>
            <w:tcW w:w="1780" w:type="dxa"/>
            <w:tcBorders>
              <w:top w:val="single" w:sz="4" w:space="0" w:color="auto"/>
              <w:left w:val="nil"/>
              <w:bottom w:val="nil"/>
              <w:right w:val="nil"/>
            </w:tcBorders>
            <w:shd w:val="clear" w:color="auto" w:fill="auto"/>
            <w:hideMark/>
          </w:tcPr>
          <w:p w14:paraId="4A3C4CCF"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0.054***</w:t>
            </w:r>
          </w:p>
        </w:tc>
        <w:tc>
          <w:tcPr>
            <w:tcW w:w="1780" w:type="dxa"/>
            <w:tcBorders>
              <w:top w:val="single" w:sz="4" w:space="0" w:color="auto"/>
              <w:left w:val="nil"/>
              <w:bottom w:val="nil"/>
              <w:right w:val="nil"/>
            </w:tcBorders>
            <w:shd w:val="clear" w:color="auto" w:fill="auto"/>
            <w:hideMark/>
          </w:tcPr>
          <w:p w14:paraId="065B6E4E"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0.183***</w:t>
            </w:r>
          </w:p>
        </w:tc>
        <w:tc>
          <w:tcPr>
            <w:tcW w:w="1780" w:type="dxa"/>
            <w:tcBorders>
              <w:top w:val="single" w:sz="4" w:space="0" w:color="auto"/>
              <w:left w:val="nil"/>
              <w:bottom w:val="nil"/>
              <w:right w:val="nil"/>
            </w:tcBorders>
            <w:shd w:val="clear" w:color="auto" w:fill="auto"/>
            <w:hideMark/>
          </w:tcPr>
          <w:p w14:paraId="7CA35649"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0.233***</w:t>
            </w:r>
          </w:p>
        </w:tc>
        <w:tc>
          <w:tcPr>
            <w:tcW w:w="1780" w:type="dxa"/>
            <w:tcBorders>
              <w:top w:val="single" w:sz="4" w:space="0" w:color="auto"/>
              <w:left w:val="nil"/>
              <w:bottom w:val="nil"/>
              <w:right w:val="nil"/>
            </w:tcBorders>
            <w:shd w:val="clear" w:color="auto" w:fill="auto"/>
            <w:hideMark/>
          </w:tcPr>
          <w:p w14:paraId="21323851"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0.178***</w:t>
            </w:r>
          </w:p>
        </w:tc>
      </w:tr>
      <w:tr w:rsidR="00C37EB7" w:rsidRPr="00C37EB7" w14:paraId="0FE44FE6" w14:textId="77777777" w:rsidTr="00CF1162">
        <w:trPr>
          <w:trHeight w:val="300"/>
        </w:trPr>
        <w:tc>
          <w:tcPr>
            <w:tcW w:w="1980" w:type="dxa"/>
            <w:tcBorders>
              <w:top w:val="nil"/>
              <w:left w:val="nil"/>
              <w:bottom w:val="nil"/>
              <w:right w:val="nil"/>
            </w:tcBorders>
            <w:shd w:val="clear" w:color="auto" w:fill="auto"/>
            <w:vAlign w:val="bottom"/>
            <w:hideMark/>
          </w:tcPr>
          <w:p w14:paraId="0EF8A302"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7392310E"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(0.006)</w:t>
            </w:r>
          </w:p>
        </w:tc>
        <w:tc>
          <w:tcPr>
            <w:tcW w:w="1780" w:type="dxa"/>
            <w:tcBorders>
              <w:top w:val="nil"/>
              <w:left w:val="nil"/>
              <w:bottom w:val="nil"/>
              <w:right w:val="nil"/>
            </w:tcBorders>
            <w:shd w:val="clear" w:color="auto" w:fill="auto"/>
            <w:vAlign w:val="bottom"/>
            <w:hideMark/>
          </w:tcPr>
          <w:p w14:paraId="4A70E22B"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(0.038)</w:t>
            </w:r>
          </w:p>
        </w:tc>
        <w:tc>
          <w:tcPr>
            <w:tcW w:w="1780" w:type="dxa"/>
            <w:tcBorders>
              <w:top w:val="nil"/>
              <w:left w:val="nil"/>
              <w:bottom w:val="nil"/>
              <w:right w:val="nil"/>
            </w:tcBorders>
            <w:shd w:val="clear" w:color="auto" w:fill="auto"/>
            <w:vAlign w:val="bottom"/>
            <w:hideMark/>
          </w:tcPr>
          <w:p w14:paraId="67A15DAA"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(0.025)</w:t>
            </w:r>
          </w:p>
        </w:tc>
        <w:tc>
          <w:tcPr>
            <w:tcW w:w="1780" w:type="dxa"/>
            <w:tcBorders>
              <w:top w:val="nil"/>
              <w:left w:val="nil"/>
              <w:bottom w:val="nil"/>
              <w:right w:val="nil"/>
            </w:tcBorders>
            <w:shd w:val="clear" w:color="auto" w:fill="auto"/>
            <w:vAlign w:val="bottom"/>
            <w:hideMark/>
          </w:tcPr>
          <w:p w14:paraId="34933EFD"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(0.023)</w:t>
            </w:r>
          </w:p>
        </w:tc>
      </w:tr>
      <w:tr w:rsidR="00C37EB7" w:rsidRPr="00C37EB7" w14:paraId="4EFC9C71" w14:textId="77777777" w:rsidTr="00CF1162">
        <w:trPr>
          <w:trHeight w:val="300"/>
        </w:trPr>
        <w:tc>
          <w:tcPr>
            <w:tcW w:w="1980" w:type="dxa"/>
            <w:tcBorders>
              <w:top w:val="nil"/>
              <w:left w:val="nil"/>
              <w:bottom w:val="nil"/>
              <w:right w:val="nil"/>
            </w:tcBorders>
            <w:shd w:val="clear" w:color="auto" w:fill="auto"/>
            <w:vAlign w:val="bottom"/>
            <w:hideMark/>
          </w:tcPr>
          <w:p w14:paraId="44D9D1D1"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73531FA8"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56F25CFA"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2AE5C0DB"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4B2469D3" w14:textId="77777777" w:rsidR="00C37EB7" w:rsidRPr="00C37EB7" w:rsidRDefault="00C37EB7" w:rsidP="007B337F">
            <w:pPr>
              <w:jc w:val="center"/>
              <w:rPr>
                <w:rFonts w:ascii="Garamond" w:eastAsia="Times New Roman" w:hAnsi="Garamond" w:cs="Times New Roman"/>
                <w:color w:val="000000"/>
                <w:sz w:val="20"/>
                <w:szCs w:val="20"/>
              </w:rPr>
            </w:pPr>
          </w:p>
        </w:tc>
      </w:tr>
      <w:tr w:rsidR="00C37EB7" w:rsidRPr="00C37EB7" w14:paraId="21C84764" w14:textId="77777777" w:rsidTr="00CF1162">
        <w:trPr>
          <w:trHeight w:val="300"/>
        </w:trPr>
        <w:tc>
          <w:tcPr>
            <w:tcW w:w="1980" w:type="dxa"/>
            <w:tcBorders>
              <w:top w:val="nil"/>
              <w:left w:val="nil"/>
              <w:bottom w:val="nil"/>
              <w:right w:val="nil"/>
            </w:tcBorders>
            <w:shd w:val="clear" w:color="auto" w:fill="auto"/>
            <w:vAlign w:val="bottom"/>
            <w:hideMark/>
          </w:tcPr>
          <w:p w14:paraId="4C0A7E41"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Closeness to Party</w:t>
            </w:r>
          </w:p>
        </w:tc>
        <w:tc>
          <w:tcPr>
            <w:tcW w:w="1780" w:type="dxa"/>
            <w:tcBorders>
              <w:top w:val="nil"/>
              <w:left w:val="nil"/>
              <w:bottom w:val="nil"/>
              <w:right w:val="nil"/>
            </w:tcBorders>
            <w:shd w:val="clear" w:color="auto" w:fill="auto"/>
            <w:vAlign w:val="bottom"/>
            <w:hideMark/>
          </w:tcPr>
          <w:p w14:paraId="499A7055"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-0.040***</w:t>
            </w:r>
          </w:p>
        </w:tc>
        <w:tc>
          <w:tcPr>
            <w:tcW w:w="1780" w:type="dxa"/>
            <w:tcBorders>
              <w:top w:val="nil"/>
              <w:left w:val="nil"/>
              <w:bottom w:val="nil"/>
              <w:right w:val="nil"/>
            </w:tcBorders>
            <w:shd w:val="clear" w:color="auto" w:fill="auto"/>
            <w:vAlign w:val="bottom"/>
            <w:hideMark/>
          </w:tcPr>
          <w:p w14:paraId="44D45C39"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-0.004</w:t>
            </w:r>
          </w:p>
        </w:tc>
        <w:tc>
          <w:tcPr>
            <w:tcW w:w="1780" w:type="dxa"/>
            <w:tcBorders>
              <w:top w:val="nil"/>
              <w:left w:val="nil"/>
              <w:bottom w:val="nil"/>
              <w:right w:val="nil"/>
            </w:tcBorders>
            <w:shd w:val="clear" w:color="auto" w:fill="auto"/>
            <w:vAlign w:val="bottom"/>
            <w:hideMark/>
          </w:tcPr>
          <w:p w14:paraId="21E2CD67"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-0.134***</w:t>
            </w:r>
          </w:p>
        </w:tc>
        <w:tc>
          <w:tcPr>
            <w:tcW w:w="1780" w:type="dxa"/>
            <w:tcBorders>
              <w:top w:val="nil"/>
              <w:left w:val="nil"/>
              <w:bottom w:val="nil"/>
              <w:right w:val="nil"/>
            </w:tcBorders>
            <w:shd w:val="clear" w:color="auto" w:fill="auto"/>
            <w:vAlign w:val="bottom"/>
            <w:hideMark/>
          </w:tcPr>
          <w:p w14:paraId="14EEA1F7"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-0.017**</w:t>
            </w:r>
          </w:p>
        </w:tc>
      </w:tr>
      <w:tr w:rsidR="00C37EB7" w:rsidRPr="00C37EB7" w14:paraId="1314591E" w14:textId="77777777" w:rsidTr="00CF1162">
        <w:trPr>
          <w:trHeight w:val="300"/>
        </w:trPr>
        <w:tc>
          <w:tcPr>
            <w:tcW w:w="1980" w:type="dxa"/>
            <w:tcBorders>
              <w:top w:val="nil"/>
              <w:left w:val="nil"/>
              <w:bottom w:val="nil"/>
              <w:right w:val="nil"/>
            </w:tcBorders>
            <w:shd w:val="clear" w:color="auto" w:fill="auto"/>
            <w:vAlign w:val="bottom"/>
            <w:hideMark/>
          </w:tcPr>
          <w:p w14:paraId="1B6785D2"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6D858F7F"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(0.009)</w:t>
            </w:r>
          </w:p>
        </w:tc>
        <w:tc>
          <w:tcPr>
            <w:tcW w:w="1780" w:type="dxa"/>
            <w:tcBorders>
              <w:top w:val="nil"/>
              <w:left w:val="nil"/>
              <w:bottom w:val="nil"/>
              <w:right w:val="nil"/>
            </w:tcBorders>
            <w:shd w:val="clear" w:color="auto" w:fill="auto"/>
            <w:vAlign w:val="bottom"/>
            <w:hideMark/>
          </w:tcPr>
          <w:p w14:paraId="37DEDC8B"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(0.017)</w:t>
            </w:r>
          </w:p>
        </w:tc>
        <w:tc>
          <w:tcPr>
            <w:tcW w:w="1780" w:type="dxa"/>
            <w:tcBorders>
              <w:top w:val="nil"/>
              <w:left w:val="nil"/>
              <w:bottom w:val="nil"/>
              <w:right w:val="nil"/>
            </w:tcBorders>
            <w:shd w:val="clear" w:color="auto" w:fill="auto"/>
            <w:vAlign w:val="bottom"/>
            <w:hideMark/>
          </w:tcPr>
          <w:p w14:paraId="7BBF9F6D"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(0.052)</w:t>
            </w:r>
          </w:p>
        </w:tc>
        <w:tc>
          <w:tcPr>
            <w:tcW w:w="1780" w:type="dxa"/>
            <w:tcBorders>
              <w:top w:val="nil"/>
              <w:left w:val="nil"/>
              <w:bottom w:val="nil"/>
              <w:right w:val="nil"/>
            </w:tcBorders>
            <w:shd w:val="clear" w:color="auto" w:fill="auto"/>
            <w:vAlign w:val="bottom"/>
            <w:hideMark/>
          </w:tcPr>
          <w:p w14:paraId="01541E20"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(0.009)</w:t>
            </w:r>
          </w:p>
        </w:tc>
      </w:tr>
      <w:tr w:rsidR="00C37EB7" w:rsidRPr="00C37EB7" w14:paraId="2ECDDD45" w14:textId="77777777" w:rsidTr="00CF1162">
        <w:trPr>
          <w:trHeight w:val="300"/>
        </w:trPr>
        <w:tc>
          <w:tcPr>
            <w:tcW w:w="1980" w:type="dxa"/>
            <w:tcBorders>
              <w:top w:val="nil"/>
              <w:left w:val="nil"/>
              <w:bottom w:val="nil"/>
              <w:right w:val="nil"/>
            </w:tcBorders>
            <w:shd w:val="clear" w:color="auto" w:fill="auto"/>
            <w:vAlign w:val="bottom"/>
            <w:hideMark/>
          </w:tcPr>
          <w:p w14:paraId="0EAB7CD0"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63DFFD48"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2304A0D1"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039A3212"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4D7F7C3C" w14:textId="77777777" w:rsidR="00C37EB7" w:rsidRPr="00C37EB7" w:rsidRDefault="00C37EB7" w:rsidP="007B337F">
            <w:pPr>
              <w:jc w:val="center"/>
              <w:rPr>
                <w:rFonts w:ascii="Garamond" w:eastAsia="Times New Roman" w:hAnsi="Garamond" w:cs="Times New Roman"/>
                <w:color w:val="000000"/>
                <w:sz w:val="20"/>
                <w:szCs w:val="20"/>
              </w:rPr>
            </w:pPr>
          </w:p>
        </w:tc>
      </w:tr>
      <w:tr w:rsidR="00C37EB7" w:rsidRPr="00C37EB7" w14:paraId="3EF44FED" w14:textId="77777777" w:rsidTr="00CF1162">
        <w:trPr>
          <w:trHeight w:val="300"/>
        </w:trPr>
        <w:tc>
          <w:tcPr>
            <w:tcW w:w="1980" w:type="dxa"/>
            <w:tcBorders>
              <w:top w:val="nil"/>
              <w:left w:val="nil"/>
              <w:bottom w:val="nil"/>
              <w:right w:val="nil"/>
            </w:tcBorders>
            <w:shd w:val="clear" w:color="auto" w:fill="auto"/>
            <w:vAlign w:val="bottom"/>
            <w:hideMark/>
          </w:tcPr>
          <w:p w14:paraId="2AAE60E2"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Constant</w:t>
            </w:r>
          </w:p>
        </w:tc>
        <w:tc>
          <w:tcPr>
            <w:tcW w:w="1780" w:type="dxa"/>
            <w:tcBorders>
              <w:top w:val="nil"/>
              <w:left w:val="nil"/>
              <w:bottom w:val="nil"/>
              <w:right w:val="nil"/>
            </w:tcBorders>
            <w:shd w:val="clear" w:color="auto" w:fill="auto"/>
            <w:vAlign w:val="bottom"/>
            <w:hideMark/>
          </w:tcPr>
          <w:p w14:paraId="7EC77625"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-0.047</w:t>
            </w:r>
          </w:p>
        </w:tc>
        <w:tc>
          <w:tcPr>
            <w:tcW w:w="1780" w:type="dxa"/>
            <w:tcBorders>
              <w:top w:val="nil"/>
              <w:left w:val="nil"/>
              <w:bottom w:val="nil"/>
              <w:right w:val="nil"/>
            </w:tcBorders>
            <w:shd w:val="clear" w:color="auto" w:fill="auto"/>
            <w:vAlign w:val="bottom"/>
            <w:hideMark/>
          </w:tcPr>
          <w:p w14:paraId="450C648C"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-0.261**</w:t>
            </w:r>
          </w:p>
        </w:tc>
        <w:tc>
          <w:tcPr>
            <w:tcW w:w="1780" w:type="dxa"/>
            <w:tcBorders>
              <w:top w:val="nil"/>
              <w:left w:val="nil"/>
              <w:bottom w:val="nil"/>
              <w:right w:val="nil"/>
            </w:tcBorders>
            <w:shd w:val="clear" w:color="auto" w:fill="auto"/>
            <w:vAlign w:val="bottom"/>
            <w:hideMark/>
          </w:tcPr>
          <w:p w14:paraId="077A397C"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0.176</w:t>
            </w:r>
          </w:p>
        </w:tc>
        <w:tc>
          <w:tcPr>
            <w:tcW w:w="1780" w:type="dxa"/>
            <w:tcBorders>
              <w:top w:val="nil"/>
              <w:left w:val="nil"/>
              <w:bottom w:val="nil"/>
              <w:right w:val="nil"/>
            </w:tcBorders>
            <w:shd w:val="clear" w:color="auto" w:fill="auto"/>
            <w:vAlign w:val="bottom"/>
            <w:hideMark/>
          </w:tcPr>
          <w:p w14:paraId="76FC0FBA"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-0.191***</w:t>
            </w:r>
          </w:p>
        </w:tc>
      </w:tr>
      <w:tr w:rsidR="00C37EB7" w:rsidRPr="00C37EB7" w14:paraId="211FBA9F" w14:textId="77777777" w:rsidTr="00CF1162">
        <w:trPr>
          <w:trHeight w:val="300"/>
        </w:trPr>
        <w:tc>
          <w:tcPr>
            <w:tcW w:w="1980" w:type="dxa"/>
            <w:tcBorders>
              <w:top w:val="nil"/>
              <w:left w:val="nil"/>
              <w:bottom w:val="nil"/>
              <w:right w:val="nil"/>
            </w:tcBorders>
            <w:shd w:val="clear" w:color="auto" w:fill="auto"/>
            <w:vAlign w:val="bottom"/>
            <w:hideMark/>
          </w:tcPr>
          <w:p w14:paraId="3DAB0C97"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660EE05C"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(0.081)</w:t>
            </w:r>
          </w:p>
        </w:tc>
        <w:tc>
          <w:tcPr>
            <w:tcW w:w="1780" w:type="dxa"/>
            <w:tcBorders>
              <w:top w:val="nil"/>
              <w:left w:val="nil"/>
              <w:bottom w:val="nil"/>
              <w:right w:val="nil"/>
            </w:tcBorders>
            <w:shd w:val="clear" w:color="auto" w:fill="auto"/>
            <w:vAlign w:val="bottom"/>
            <w:hideMark/>
          </w:tcPr>
          <w:p w14:paraId="63C20BA7"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(0.125)</w:t>
            </w:r>
          </w:p>
        </w:tc>
        <w:tc>
          <w:tcPr>
            <w:tcW w:w="1780" w:type="dxa"/>
            <w:tcBorders>
              <w:top w:val="nil"/>
              <w:left w:val="nil"/>
              <w:bottom w:val="nil"/>
              <w:right w:val="nil"/>
            </w:tcBorders>
            <w:shd w:val="clear" w:color="auto" w:fill="auto"/>
            <w:vAlign w:val="bottom"/>
            <w:hideMark/>
          </w:tcPr>
          <w:p w14:paraId="2645E487"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(0.207)</w:t>
            </w:r>
          </w:p>
        </w:tc>
        <w:tc>
          <w:tcPr>
            <w:tcW w:w="1780" w:type="dxa"/>
            <w:tcBorders>
              <w:top w:val="nil"/>
              <w:left w:val="nil"/>
              <w:bottom w:val="nil"/>
              <w:right w:val="nil"/>
            </w:tcBorders>
            <w:shd w:val="clear" w:color="auto" w:fill="auto"/>
            <w:vAlign w:val="bottom"/>
            <w:hideMark/>
          </w:tcPr>
          <w:p w14:paraId="625CE73B"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(0.070)</w:t>
            </w:r>
          </w:p>
        </w:tc>
      </w:tr>
      <w:tr w:rsidR="00C37EB7" w:rsidRPr="00C37EB7" w14:paraId="471429A3" w14:textId="77777777" w:rsidTr="00CF1162">
        <w:trPr>
          <w:trHeight w:val="300"/>
        </w:trPr>
        <w:tc>
          <w:tcPr>
            <w:tcW w:w="1980" w:type="dxa"/>
            <w:tcBorders>
              <w:top w:val="nil"/>
              <w:left w:val="nil"/>
              <w:bottom w:val="nil"/>
              <w:right w:val="nil"/>
            </w:tcBorders>
            <w:shd w:val="clear" w:color="auto" w:fill="auto"/>
            <w:vAlign w:val="bottom"/>
            <w:hideMark/>
          </w:tcPr>
          <w:p w14:paraId="594726B9" w14:textId="77777777" w:rsidR="00C37EB7" w:rsidRPr="00C37EB7" w:rsidRDefault="00C37EB7" w:rsidP="007B337F">
            <w:pP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19A5738E"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7B4EDB16"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1B37C64B"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nil"/>
              <w:right w:val="nil"/>
            </w:tcBorders>
            <w:shd w:val="clear" w:color="auto" w:fill="auto"/>
            <w:vAlign w:val="bottom"/>
            <w:hideMark/>
          </w:tcPr>
          <w:p w14:paraId="45BEE2EB" w14:textId="77777777" w:rsidR="00C37EB7" w:rsidRPr="00C37EB7" w:rsidRDefault="00C37EB7" w:rsidP="007B337F">
            <w:pPr>
              <w:jc w:val="center"/>
              <w:rPr>
                <w:rFonts w:ascii="Garamond" w:eastAsia="Times New Roman" w:hAnsi="Garamond" w:cs="Times New Roman"/>
                <w:color w:val="000000"/>
                <w:sz w:val="20"/>
                <w:szCs w:val="20"/>
              </w:rPr>
            </w:pPr>
          </w:p>
        </w:tc>
      </w:tr>
      <w:tr w:rsidR="00C37EB7" w:rsidRPr="00C37EB7" w14:paraId="62415D46" w14:textId="77777777" w:rsidTr="00CF1162">
        <w:trPr>
          <w:trHeight w:val="300"/>
        </w:trPr>
        <w:tc>
          <w:tcPr>
            <w:tcW w:w="1980" w:type="dxa"/>
            <w:tcBorders>
              <w:top w:val="nil"/>
              <w:left w:val="nil"/>
              <w:bottom w:val="nil"/>
              <w:right w:val="nil"/>
            </w:tcBorders>
            <w:shd w:val="clear" w:color="auto" w:fill="auto"/>
            <w:vAlign w:val="bottom"/>
            <w:hideMark/>
          </w:tcPr>
          <w:p w14:paraId="6B8E2B01"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 xml:space="preserve">N = </w:t>
            </w:r>
          </w:p>
        </w:tc>
        <w:tc>
          <w:tcPr>
            <w:tcW w:w="1780" w:type="dxa"/>
            <w:tcBorders>
              <w:top w:val="nil"/>
              <w:left w:val="nil"/>
              <w:bottom w:val="nil"/>
              <w:right w:val="nil"/>
            </w:tcBorders>
            <w:shd w:val="clear" w:color="auto" w:fill="auto"/>
            <w:vAlign w:val="bottom"/>
            <w:hideMark/>
          </w:tcPr>
          <w:p w14:paraId="4814A891"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139,357</w:t>
            </w:r>
          </w:p>
        </w:tc>
        <w:tc>
          <w:tcPr>
            <w:tcW w:w="1780" w:type="dxa"/>
            <w:tcBorders>
              <w:top w:val="nil"/>
              <w:left w:val="nil"/>
              <w:bottom w:val="nil"/>
              <w:right w:val="nil"/>
            </w:tcBorders>
            <w:shd w:val="clear" w:color="auto" w:fill="auto"/>
            <w:vAlign w:val="bottom"/>
            <w:hideMark/>
          </w:tcPr>
          <w:p w14:paraId="5B93AF65"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48,124</w:t>
            </w:r>
          </w:p>
        </w:tc>
        <w:tc>
          <w:tcPr>
            <w:tcW w:w="1780" w:type="dxa"/>
            <w:tcBorders>
              <w:top w:val="nil"/>
              <w:left w:val="nil"/>
              <w:bottom w:val="nil"/>
              <w:right w:val="nil"/>
            </w:tcBorders>
            <w:shd w:val="clear" w:color="auto" w:fill="auto"/>
            <w:vAlign w:val="bottom"/>
            <w:hideMark/>
          </w:tcPr>
          <w:p w14:paraId="4BBCA509"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68,492</w:t>
            </w:r>
          </w:p>
        </w:tc>
        <w:tc>
          <w:tcPr>
            <w:tcW w:w="1780" w:type="dxa"/>
            <w:tcBorders>
              <w:top w:val="nil"/>
              <w:left w:val="nil"/>
              <w:bottom w:val="nil"/>
              <w:right w:val="nil"/>
            </w:tcBorders>
            <w:shd w:val="clear" w:color="auto" w:fill="auto"/>
            <w:vAlign w:val="bottom"/>
            <w:hideMark/>
          </w:tcPr>
          <w:p w14:paraId="1F1420F7"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127,727</w:t>
            </w:r>
          </w:p>
        </w:tc>
      </w:tr>
      <w:tr w:rsidR="00C37EB7" w:rsidRPr="00C37EB7" w14:paraId="3F3EB234" w14:textId="77777777" w:rsidTr="00CF1162">
        <w:trPr>
          <w:trHeight w:val="300"/>
        </w:trPr>
        <w:tc>
          <w:tcPr>
            <w:tcW w:w="1980" w:type="dxa"/>
            <w:tcBorders>
              <w:top w:val="nil"/>
              <w:left w:val="nil"/>
              <w:right w:val="nil"/>
            </w:tcBorders>
            <w:shd w:val="clear" w:color="auto" w:fill="auto"/>
            <w:vAlign w:val="bottom"/>
            <w:hideMark/>
          </w:tcPr>
          <w:p w14:paraId="00A43374"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Log-likelihood</w:t>
            </w:r>
          </w:p>
        </w:tc>
        <w:tc>
          <w:tcPr>
            <w:tcW w:w="1780" w:type="dxa"/>
            <w:tcBorders>
              <w:top w:val="nil"/>
              <w:left w:val="nil"/>
              <w:right w:val="nil"/>
            </w:tcBorders>
            <w:shd w:val="clear" w:color="auto" w:fill="auto"/>
            <w:vAlign w:val="bottom"/>
            <w:hideMark/>
          </w:tcPr>
          <w:p w14:paraId="3656A7A2"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-96017.47</w:t>
            </w:r>
          </w:p>
        </w:tc>
        <w:tc>
          <w:tcPr>
            <w:tcW w:w="1780" w:type="dxa"/>
            <w:tcBorders>
              <w:top w:val="nil"/>
              <w:left w:val="nil"/>
              <w:right w:val="nil"/>
            </w:tcBorders>
            <w:shd w:val="clear" w:color="auto" w:fill="auto"/>
            <w:vAlign w:val="bottom"/>
            <w:hideMark/>
          </w:tcPr>
          <w:p w14:paraId="3569B810"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-33179,14</w:t>
            </w:r>
          </w:p>
        </w:tc>
        <w:tc>
          <w:tcPr>
            <w:tcW w:w="1780" w:type="dxa"/>
            <w:tcBorders>
              <w:top w:val="nil"/>
              <w:left w:val="nil"/>
              <w:right w:val="nil"/>
            </w:tcBorders>
            <w:shd w:val="clear" w:color="auto" w:fill="auto"/>
            <w:vAlign w:val="bottom"/>
            <w:hideMark/>
          </w:tcPr>
          <w:p w14:paraId="33C70452"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-46712.47</w:t>
            </w:r>
          </w:p>
        </w:tc>
        <w:tc>
          <w:tcPr>
            <w:tcW w:w="1780" w:type="dxa"/>
            <w:tcBorders>
              <w:top w:val="nil"/>
              <w:left w:val="nil"/>
              <w:right w:val="nil"/>
            </w:tcBorders>
            <w:shd w:val="clear" w:color="auto" w:fill="auto"/>
            <w:vAlign w:val="bottom"/>
            <w:hideMark/>
          </w:tcPr>
          <w:p w14:paraId="74FD94B4"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-88055.4</w:t>
            </w:r>
          </w:p>
        </w:tc>
      </w:tr>
      <w:tr w:rsidR="00C37EB7" w:rsidRPr="00C37EB7" w14:paraId="270B3785" w14:textId="77777777" w:rsidTr="000B307B">
        <w:trPr>
          <w:trHeight w:val="1170"/>
        </w:trPr>
        <w:tc>
          <w:tcPr>
            <w:tcW w:w="1980" w:type="dxa"/>
            <w:tcBorders>
              <w:top w:val="nil"/>
              <w:left w:val="nil"/>
              <w:bottom w:val="single" w:sz="4" w:space="0" w:color="auto"/>
              <w:right w:val="nil"/>
            </w:tcBorders>
            <w:shd w:val="clear" w:color="auto" w:fill="auto"/>
            <w:vAlign w:val="bottom"/>
            <w:hideMark/>
          </w:tcPr>
          <w:p w14:paraId="6347559F"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Proportional Reduction of Error</w:t>
            </w:r>
          </w:p>
        </w:tc>
        <w:tc>
          <w:tcPr>
            <w:tcW w:w="1780" w:type="dxa"/>
            <w:tcBorders>
              <w:top w:val="nil"/>
              <w:left w:val="nil"/>
              <w:bottom w:val="single" w:sz="4" w:space="0" w:color="auto"/>
              <w:right w:val="nil"/>
            </w:tcBorders>
            <w:shd w:val="clear" w:color="auto" w:fill="auto"/>
            <w:vAlign w:val="bottom"/>
            <w:hideMark/>
          </w:tcPr>
          <w:p w14:paraId="2EEC54A3"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6.80%</w:t>
            </w:r>
          </w:p>
          <w:p w14:paraId="3B77AB82" w14:textId="77777777" w:rsidR="00C37EB7" w:rsidRPr="00C37EB7" w:rsidRDefault="00C37EB7" w:rsidP="007B337F">
            <w:pPr>
              <w:jc w:val="center"/>
              <w:rPr>
                <w:rFonts w:ascii="Garamond" w:eastAsia="Times New Roman" w:hAnsi="Garamond" w:cs="Times New Roman"/>
                <w:color w:val="000000"/>
                <w:sz w:val="20"/>
                <w:szCs w:val="20"/>
              </w:rPr>
            </w:pPr>
          </w:p>
          <w:p w14:paraId="42ACA1B5"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14:paraId="78FB8033"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5.93%</w:t>
            </w:r>
          </w:p>
          <w:p w14:paraId="63722CE5" w14:textId="77777777" w:rsidR="00C37EB7" w:rsidRPr="00C37EB7" w:rsidRDefault="00C37EB7" w:rsidP="007B337F">
            <w:pPr>
              <w:jc w:val="center"/>
              <w:rPr>
                <w:rFonts w:ascii="Garamond" w:eastAsia="Times New Roman" w:hAnsi="Garamond" w:cs="Times New Roman"/>
                <w:color w:val="000000"/>
                <w:sz w:val="20"/>
                <w:szCs w:val="20"/>
              </w:rPr>
            </w:pPr>
          </w:p>
          <w:p w14:paraId="73C47AA3"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14:paraId="2E313D83"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10.37%</w:t>
            </w:r>
          </w:p>
          <w:p w14:paraId="321188C8" w14:textId="77777777" w:rsidR="00C37EB7" w:rsidRPr="00C37EB7" w:rsidRDefault="00C37EB7" w:rsidP="007B337F">
            <w:pPr>
              <w:jc w:val="center"/>
              <w:rPr>
                <w:rFonts w:ascii="Garamond" w:eastAsia="Times New Roman" w:hAnsi="Garamond" w:cs="Times New Roman"/>
                <w:color w:val="000000"/>
                <w:sz w:val="20"/>
                <w:szCs w:val="20"/>
              </w:rPr>
            </w:pPr>
          </w:p>
          <w:p w14:paraId="53A1AFE8" w14:textId="77777777" w:rsidR="00C37EB7" w:rsidRPr="00C37EB7" w:rsidRDefault="00C37EB7" w:rsidP="007B337F">
            <w:pPr>
              <w:jc w:val="center"/>
              <w:rPr>
                <w:rFonts w:ascii="Garamond" w:eastAsia="Times New Roman" w:hAnsi="Garamond" w:cs="Times New Roman"/>
                <w:color w:val="000000"/>
                <w:sz w:val="20"/>
                <w:szCs w:val="20"/>
              </w:rPr>
            </w:pPr>
          </w:p>
        </w:tc>
        <w:tc>
          <w:tcPr>
            <w:tcW w:w="1780" w:type="dxa"/>
            <w:tcBorders>
              <w:top w:val="nil"/>
              <w:left w:val="nil"/>
              <w:bottom w:val="single" w:sz="4" w:space="0" w:color="auto"/>
              <w:right w:val="nil"/>
            </w:tcBorders>
            <w:shd w:val="clear" w:color="auto" w:fill="auto"/>
            <w:vAlign w:val="bottom"/>
            <w:hideMark/>
          </w:tcPr>
          <w:p w14:paraId="65B9315A"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6.56%</w:t>
            </w:r>
          </w:p>
          <w:p w14:paraId="0CA73B97" w14:textId="77777777" w:rsidR="00C37EB7" w:rsidRPr="00C37EB7" w:rsidRDefault="00C37EB7" w:rsidP="007B337F">
            <w:pPr>
              <w:jc w:val="center"/>
              <w:rPr>
                <w:rFonts w:ascii="Garamond" w:eastAsia="Times New Roman" w:hAnsi="Garamond" w:cs="Times New Roman"/>
                <w:color w:val="000000"/>
                <w:sz w:val="20"/>
                <w:szCs w:val="20"/>
              </w:rPr>
            </w:pPr>
          </w:p>
          <w:p w14:paraId="7CE6384F" w14:textId="2810FDFB" w:rsidR="00C37EB7" w:rsidRPr="00C37EB7" w:rsidRDefault="00C37EB7" w:rsidP="007B337F">
            <w:pPr>
              <w:jc w:val="center"/>
              <w:rPr>
                <w:rFonts w:ascii="Garamond" w:eastAsia="Times New Roman" w:hAnsi="Garamond" w:cs="Times New Roman"/>
                <w:color w:val="000000"/>
                <w:sz w:val="20"/>
                <w:szCs w:val="20"/>
              </w:rPr>
            </w:pPr>
          </w:p>
        </w:tc>
      </w:tr>
    </w:tbl>
    <w:p w14:paraId="745DB6DD" w14:textId="77777777" w:rsidR="00C37EB7" w:rsidRPr="00C37EB7" w:rsidRDefault="00C37EB7" w:rsidP="007B337F">
      <w:pPr>
        <w:rPr>
          <w:rFonts w:ascii="Garamond" w:hAnsi="Garamond"/>
          <w:sz w:val="20"/>
          <w:szCs w:val="20"/>
        </w:rPr>
      </w:pPr>
    </w:p>
    <w:p w14:paraId="4A3D3C6A" w14:textId="77777777" w:rsidR="00C37EB7" w:rsidRPr="00C37EB7" w:rsidRDefault="00C37EB7" w:rsidP="007B337F">
      <w:pPr>
        <w:rPr>
          <w:rFonts w:ascii="Garamond" w:hAnsi="Garamond"/>
          <w:sz w:val="20"/>
          <w:szCs w:val="20"/>
        </w:rPr>
      </w:pPr>
    </w:p>
    <w:p w14:paraId="2A43795D" w14:textId="77777777" w:rsidR="00C37EB7" w:rsidRPr="00C37EB7" w:rsidRDefault="00C37EB7" w:rsidP="007B337F">
      <w:pPr>
        <w:rPr>
          <w:rFonts w:ascii="Garamond" w:hAnsi="Garamond"/>
          <w:sz w:val="20"/>
          <w:szCs w:val="20"/>
        </w:rPr>
      </w:pPr>
    </w:p>
    <w:p w14:paraId="7993A9DE" w14:textId="77777777" w:rsidR="00C37EB7" w:rsidRPr="00C37EB7" w:rsidRDefault="00C37EB7" w:rsidP="007B337F">
      <w:pPr>
        <w:rPr>
          <w:rFonts w:ascii="Garamond" w:hAnsi="Garamond"/>
          <w:sz w:val="20"/>
          <w:szCs w:val="20"/>
        </w:rPr>
      </w:pPr>
    </w:p>
    <w:p w14:paraId="30E8959F" w14:textId="77777777" w:rsidR="00C37EB7" w:rsidRPr="00C37EB7" w:rsidRDefault="00C37EB7" w:rsidP="007B337F">
      <w:pPr>
        <w:rPr>
          <w:rFonts w:ascii="Garamond" w:hAnsi="Garamond"/>
          <w:sz w:val="20"/>
          <w:szCs w:val="20"/>
        </w:rPr>
      </w:pPr>
    </w:p>
    <w:p w14:paraId="65C0C4DC" w14:textId="77777777" w:rsidR="00C37EB7" w:rsidRPr="00C37EB7" w:rsidRDefault="00C37EB7" w:rsidP="007B337F">
      <w:pPr>
        <w:rPr>
          <w:rFonts w:ascii="Garamond" w:hAnsi="Garamond"/>
          <w:sz w:val="20"/>
          <w:szCs w:val="20"/>
        </w:rPr>
      </w:pPr>
    </w:p>
    <w:p w14:paraId="2F4D0C6E" w14:textId="77777777" w:rsidR="00C37EB7" w:rsidRPr="00C37EB7" w:rsidRDefault="00C37EB7" w:rsidP="007B337F">
      <w:pPr>
        <w:rPr>
          <w:rFonts w:ascii="Garamond" w:hAnsi="Garamond"/>
          <w:sz w:val="20"/>
          <w:szCs w:val="20"/>
        </w:rPr>
      </w:pPr>
    </w:p>
    <w:p w14:paraId="39E2B001" w14:textId="77777777" w:rsidR="00C37EB7" w:rsidRPr="00C37EB7" w:rsidRDefault="00C37EB7" w:rsidP="007B337F">
      <w:pPr>
        <w:rPr>
          <w:rFonts w:ascii="Garamond" w:hAnsi="Garamond"/>
          <w:sz w:val="20"/>
          <w:szCs w:val="20"/>
        </w:rPr>
      </w:pPr>
    </w:p>
    <w:p w14:paraId="4886DA40" w14:textId="77777777" w:rsidR="00C37EB7" w:rsidRPr="00C37EB7" w:rsidRDefault="00C37EB7" w:rsidP="007B337F">
      <w:pPr>
        <w:rPr>
          <w:rFonts w:ascii="Garamond" w:hAnsi="Garamond"/>
          <w:sz w:val="20"/>
          <w:szCs w:val="20"/>
        </w:rPr>
      </w:pPr>
    </w:p>
    <w:p w14:paraId="786F9274" w14:textId="77777777" w:rsidR="00C37EB7" w:rsidRPr="00C37EB7" w:rsidRDefault="00C37EB7" w:rsidP="007B337F">
      <w:pPr>
        <w:rPr>
          <w:rFonts w:ascii="Garamond" w:hAnsi="Garamond"/>
          <w:sz w:val="20"/>
          <w:szCs w:val="20"/>
        </w:rPr>
      </w:pPr>
    </w:p>
    <w:p w14:paraId="6B5257BC" w14:textId="77777777" w:rsidR="00C37EB7" w:rsidRPr="00C37EB7" w:rsidRDefault="00C37EB7" w:rsidP="007B337F">
      <w:pPr>
        <w:rPr>
          <w:rFonts w:ascii="Garamond" w:hAnsi="Garamond"/>
          <w:sz w:val="20"/>
          <w:szCs w:val="20"/>
        </w:rPr>
      </w:pPr>
    </w:p>
    <w:p w14:paraId="50FCC134" w14:textId="77777777" w:rsidR="00C37EB7" w:rsidRPr="00C37EB7" w:rsidRDefault="00C37EB7" w:rsidP="007B337F">
      <w:pPr>
        <w:rPr>
          <w:rFonts w:ascii="Garamond" w:hAnsi="Garamond"/>
          <w:sz w:val="20"/>
          <w:szCs w:val="20"/>
        </w:rPr>
      </w:pPr>
    </w:p>
    <w:p w14:paraId="0B8CD61D" w14:textId="77777777" w:rsidR="00C37EB7" w:rsidRPr="00C37EB7" w:rsidRDefault="00C37EB7" w:rsidP="007B337F">
      <w:pPr>
        <w:rPr>
          <w:rFonts w:ascii="Garamond" w:hAnsi="Garamond"/>
          <w:sz w:val="20"/>
          <w:szCs w:val="20"/>
        </w:rPr>
      </w:pPr>
    </w:p>
    <w:p w14:paraId="34FED16E" w14:textId="77777777" w:rsidR="00C37EB7" w:rsidRPr="00C37EB7" w:rsidRDefault="00C37EB7" w:rsidP="007B337F">
      <w:pPr>
        <w:rPr>
          <w:rFonts w:ascii="Garamond" w:hAnsi="Garamond"/>
          <w:sz w:val="20"/>
          <w:szCs w:val="20"/>
        </w:rPr>
      </w:pPr>
    </w:p>
    <w:p w14:paraId="2EB539F6" w14:textId="77777777" w:rsidR="00C37EB7" w:rsidRPr="00C37EB7" w:rsidRDefault="00C37EB7" w:rsidP="007B337F">
      <w:pPr>
        <w:rPr>
          <w:rFonts w:ascii="Garamond" w:hAnsi="Garamond"/>
          <w:sz w:val="20"/>
          <w:szCs w:val="20"/>
        </w:rPr>
      </w:pPr>
    </w:p>
    <w:p w14:paraId="797D5367" w14:textId="77777777" w:rsidR="00C37EB7" w:rsidRPr="00C37EB7" w:rsidRDefault="00C37EB7" w:rsidP="007B337F">
      <w:pPr>
        <w:rPr>
          <w:rFonts w:ascii="Garamond" w:hAnsi="Garamond"/>
          <w:sz w:val="20"/>
          <w:szCs w:val="20"/>
        </w:rPr>
      </w:pPr>
    </w:p>
    <w:p w14:paraId="57F589BB" w14:textId="77777777" w:rsidR="00C37EB7" w:rsidRPr="00C37EB7" w:rsidRDefault="00C37EB7" w:rsidP="007B337F">
      <w:pPr>
        <w:rPr>
          <w:rFonts w:ascii="Garamond" w:hAnsi="Garamond"/>
          <w:sz w:val="20"/>
          <w:szCs w:val="20"/>
        </w:rPr>
      </w:pPr>
    </w:p>
    <w:p w14:paraId="01B1B9C2" w14:textId="77777777" w:rsidR="00C37EB7" w:rsidRPr="00C37EB7" w:rsidRDefault="00C37EB7" w:rsidP="007B337F">
      <w:pPr>
        <w:rPr>
          <w:rFonts w:ascii="Garamond" w:hAnsi="Garamond"/>
          <w:sz w:val="20"/>
          <w:szCs w:val="20"/>
        </w:rPr>
      </w:pPr>
    </w:p>
    <w:p w14:paraId="1A2FED65" w14:textId="77777777" w:rsidR="00C37EB7" w:rsidRPr="00C37EB7" w:rsidRDefault="00C37EB7" w:rsidP="007B337F">
      <w:pPr>
        <w:rPr>
          <w:rFonts w:ascii="Garamond" w:hAnsi="Garamond"/>
          <w:sz w:val="20"/>
          <w:szCs w:val="20"/>
        </w:rPr>
      </w:pPr>
    </w:p>
    <w:p w14:paraId="3BB2EBB9" w14:textId="77777777" w:rsidR="00C37EB7" w:rsidRPr="00C37EB7" w:rsidRDefault="00C37EB7" w:rsidP="007B337F">
      <w:pPr>
        <w:rPr>
          <w:rFonts w:ascii="Garamond" w:hAnsi="Garamond"/>
          <w:sz w:val="20"/>
          <w:szCs w:val="20"/>
        </w:rPr>
      </w:pPr>
    </w:p>
    <w:p w14:paraId="5A09F33E" w14:textId="7CC4E581" w:rsidR="00C37EB7" w:rsidRPr="00C37EB7" w:rsidRDefault="00C37EB7" w:rsidP="007B337F">
      <w:pPr>
        <w:jc w:val="center"/>
        <w:rPr>
          <w:rFonts w:ascii="Garamond" w:hAnsi="Garamond"/>
          <w:b/>
          <w:sz w:val="20"/>
          <w:szCs w:val="20"/>
        </w:rPr>
      </w:pPr>
      <w:r w:rsidRPr="00C37EB7">
        <w:rPr>
          <w:rFonts w:ascii="Garamond" w:hAnsi="Garamond"/>
          <w:b/>
          <w:sz w:val="20"/>
          <w:szCs w:val="20"/>
        </w:rPr>
        <w:t>Table B: Comparison of “Don’t Know” Responses across 19 EU Domains</w:t>
      </w:r>
    </w:p>
    <w:p w14:paraId="4AC585F6" w14:textId="77777777" w:rsidR="00C37EB7" w:rsidRPr="00C37EB7" w:rsidRDefault="00C37EB7" w:rsidP="007B337F">
      <w:pPr>
        <w:rPr>
          <w:rFonts w:ascii="Garamond" w:hAnsi="Garamond"/>
          <w:sz w:val="20"/>
          <w:szCs w:val="20"/>
        </w:rPr>
      </w:pPr>
    </w:p>
    <w:tbl>
      <w:tblPr>
        <w:tblW w:w="3760" w:type="dxa"/>
        <w:jc w:val="center"/>
        <w:tblInd w:w="93" w:type="dxa"/>
        <w:tblLook w:val="04A0" w:firstRow="1" w:lastRow="0" w:firstColumn="1" w:lastColumn="0" w:noHBand="0" w:noVBand="1"/>
      </w:tblPr>
      <w:tblGrid>
        <w:gridCol w:w="1980"/>
        <w:gridCol w:w="1780"/>
      </w:tblGrid>
      <w:tr w:rsidR="00C37EB7" w:rsidRPr="00C37EB7" w14:paraId="74633465" w14:textId="77777777" w:rsidTr="00CF1162">
        <w:trPr>
          <w:trHeight w:val="600"/>
          <w:jc w:val="center"/>
        </w:trPr>
        <w:tc>
          <w:tcPr>
            <w:tcW w:w="1980" w:type="dxa"/>
            <w:tcBorders>
              <w:top w:val="nil"/>
              <w:left w:val="nil"/>
              <w:bottom w:val="single" w:sz="4" w:space="0" w:color="auto"/>
              <w:right w:val="nil"/>
            </w:tcBorders>
            <w:shd w:val="clear" w:color="auto" w:fill="auto"/>
            <w:vAlign w:val="bottom"/>
            <w:hideMark/>
          </w:tcPr>
          <w:p w14:paraId="16B1128D" w14:textId="77777777" w:rsidR="00C37EB7" w:rsidRPr="00C37EB7" w:rsidRDefault="00C37EB7" w:rsidP="007B337F">
            <w:pPr>
              <w:rPr>
                <w:rFonts w:ascii="Garamond" w:eastAsia="Times New Roman" w:hAnsi="Garamond" w:cs="Times New Roman"/>
                <w:i/>
                <w:color w:val="000000"/>
                <w:sz w:val="20"/>
                <w:szCs w:val="20"/>
              </w:rPr>
            </w:pPr>
            <w:r w:rsidRPr="00C37EB7">
              <w:rPr>
                <w:rFonts w:ascii="Garamond" w:eastAsia="Times New Roman" w:hAnsi="Garamond" w:cs="Times New Roman"/>
                <w:i/>
                <w:color w:val="000000"/>
                <w:sz w:val="20"/>
                <w:szCs w:val="20"/>
              </w:rPr>
              <w:t>Policy</w:t>
            </w:r>
          </w:p>
        </w:tc>
        <w:tc>
          <w:tcPr>
            <w:tcW w:w="1780" w:type="dxa"/>
            <w:tcBorders>
              <w:top w:val="nil"/>
              <w:left w:val="nil"/>
              <w:bottom w:val="single" w:sz="4" w:space="0" w:color="auto"/>
              <w:right w:val="nil"/>
            </w:tcBorders>
            <w:shd w:val="clear" w:color="auto" w:fill="auto"/>
            <w:vAlign w:val="bottom"/>
            <w:hideMark/>
          </w:tcPr>
          <w:p w14:paraId="22215915" w14:textId="77777777" w:rsidR="00C37EB7" w:rsidRPr="00C37EB7" w:rsidRDefault="00C37EB7" w:rsidP="007B337F">
            <w:pPr>
              <w:jc w:val="center"/>
              <w:rPr>
                <w:rFonts w:ascii="Garamond" w:eastAsia="Times New Roman" w:hAnsi="Garamond" w:cs="Times New Roman"/>
                <w:i/>
                <w:color w:val="000000"/>
                <w:sz w:val="20"/>
                <w:szCs w:val="20"/>
              </w:rPr>
            </w:pPr>
            <w:r w:rsidRPr="00C37EB7">
              <w:rPr>
                <w:rFonts w:ascii="Garamond" w:eastAsia="Times New Roman" w:hAnsi="Garamond" w:cs="Times New Roman"/>
                <w:i/>
                <w:color w:val="000000"/>
                <w:sz w:val="20"/>
                <w:szCs w:val="20"/>
              </w:rPr>
              <w:t>Don't Know</w:t>
            </w:r>
          </w:p>
        </w:tc>
      </w:tr>
      <w:tr w:rsidR="00C37EB7" w:rsidRPr="00C37EB7" w14:paraId="71734AE6" w14:textId="77777777" w:rsidTr="00CF1162">
        <w:trPr>
          <w:trHeight w:val="300"/>
          <w:jc w:val="center"/>
        </w:trPr>
        <w:tc>
          <w:tcPr>
            <w:tcW w:w="1980" w:type="dxa"/>
            <w:tcBorders>
              <w:top w:val="single" w:sz="4" w:space="0" w:color="auto"/>
              <w:left w:val="nil"/>
              <w:bottom w:val="nil"/>
              <w:right w:val="nil"/>
            </w:tcBorders>
            <w:shd w:val="clear" w:color="auto" w:fill="auto"/>
            <w:vAlign w:val="bottom"/>
            <w:hideMark/>
          </w:tcPr>
          <w:p w14:paraId="1CDE089F"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Drugs</w:t>
            </w:r>
          </w:p>
        </w:tc>
        <w:tc>
          <w:tcPr>
            <w:tcW w:w="1780" w:type="dxa"/>
            <w:tcBorders>
              <w:top w:val="single" w:sz="4" w:space="0" w:color="auto"/>
              <w:left w:val="nil"/>
              <w:bottom w:val="nil"/>
              <w:right w:val="nil"/>
            </w:tcBorders>
            <w:shd w:val="clear" w:color="auto" w:fill="auto"/>
            <w:vAlign w:val="bottom"/>
            <w:hideMark/>
          </w:tcPr>
          <w:p w14:paraId="0CFD6E0B"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3.81%</w:t>
            </w:r>
          </w:p>
        </w:tc>
      </w:tr>
      <w:tr w:rsidR="00C37EB7" w:rsidRPr="00C37EB7" w14:paraId="0713148B" w14:textId="77777777" w:rsidTr="00CF1162">
        <w:trPr>
          <w:trHeight w:val="300"/>
          <w:jc w:val="center"/>
        </w:trPr>
        <w:tc>
          <w:tcPr>
            <w:tcW w:w="1980" w:type="dxa"/>
            <w:tcBorders>
              <w:top w:val="nil"/>
              <w:left w:val="nil"/>
              <w:bottom w:val="nil"/>
              <w:right w:val="nil"/>
            </w:tcBorders>
            <w:shd w:val="clear" w:color="auto" w:fill="auto"/>
            <w:vAlign w:val="bottom"/>
            <w:hideMark/>
          </w:tcPr>
          <w:p w14:paraId="6F0D4E84"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Unemployment</w:t>
            </w:r>
          </w:p>
        </w:tc>
        <w:tc>
          <w:tcPr>
            <w:tcW w:w="1780" w:type="dxa"/>
            <w:tcBorders>
              <w:top w:val="nil"/>
              <w:left w:val="nil"/>
              <w:bottom w:val="nil"/>
              <w:right w:val="nil"/>
            </w:tcBorders>
            <w:shd w:val="clear" w:color="auto" w:fill="auto"/>
            <w:vAlign w:val="bottom"/>
            <w:hideMark/>
          </w:tcPr>
          <w:p w14:paraId="6C8A0C9F"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4.02%</w:t>
            </w:r>
          </w:p>
        </w:tc>
      </w:tr>
      <w:tr w:rsidR="00C37EB7" w:rsidRPr="00C37EB7" w14:paraId="4AC6E31B" w14:textId="77777777" w:rsidTr="00CF1162">
        <w:trPr>
          <w:trHeight w:val="300"/>
          <w:jc w:val="center"/>
        </w:trPr>
        <w:tc>
          <w:tcPr>
            <w:tcW w:w="1980" w:type="dxa"/>
            <w:tcBorders>
              <w:top w:val="nil"/>
              <w:left w:val="nil"/>
              <w:bottom w:val="nil"/>
              <w:right w:val="nil"/>
            </w:tcBorders>
            <w:shd w:val="clear" w:color="auto" w:fill="auto"/>
            <w:vAlign w:val="bottom"/>
            <w:hideMark/>
          </w:tcPr>
          <w:p w14:paraId="0207D7D1"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Environment</w:t>
            </w:r>
          </w:p>
        </w:tc>
        <w:tc>
          <w:tcPr>
            <w:tcW w:w="1780" w:type="dxa"/>
            <w:tcBorders>
              <w:top w:val="nil"/>
              <w:left w:val="nil"/>
              <w:bottom w:val="nil"/>
              <w:right w:val="nil"/>
            </w:tcBorders>
            <w:shd w:val="clear" w:color="auto" w:fill="auto"/>
            <w:vAlign w:val="bottom"/>
            <w:hideMark/>
          </w:tcPr>
          <w:p w14:paraId="01EF0CB3"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4.05%</w:t>
            </w:r>
          </w:p>
        </w:tc>
      </w:tr>
      <w:tr w:rsidR="00C37EB7" w:rsidRPr="00C37EB7" w14:paraId="3B45FD95" w14:textId="77777777" w:rsidTr="00CF1162">
        <w:trPr>
          <w:trHeight w:val="300"/>
          <w:jc w:val="center"/>
        </w:trPr>
        <w:tc>
          <w:tcPr>
            <w:tcW w:w="1980" w:type="dxa"/>
            <w:tcBorders>
              <w:top w:val="nil"/>
              <w:left w:val="nil"/>
              <w:bottom w:val="nil"/>
              <w:right w:val="nil"/>
            </w:tcBorders>
            <w:shd w:val="clear" w:color="auto" w:fill="auto"/>
            <w:vAlign w:val="bottom"/>
            <w:hideMark/>
          </w:tcPr>
          <w:p w14:paraId="4B035680"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Welfare</w:t>
            </w:r>
          </w:p>
        </w:tc>
        <w:tc>
          <w:tcPr>
            <w:tcW w:w="1780" w:type="dxa"/>
            <w:tcBorders>
              <w:top w:val="nil"/>
              <w:left w:val="nil"/>
              <w:bottom w:val="nil"/>
              <w:right w:val="nil"/>
            </w:tcBorders>
            <w:shd w:val="clear" w:color="auto" w:fill="auto"/>
            <w:vAlign w:val="bottom"/>
            <w:hideMark/>
          </w:tcPr>
          <w:p w14:paraId="5A1A3A93"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4.23%</w:t>
            </w:r>
          </w:p>
        </w:tc>
      </w:tr>
      <w:tr w:rsidR="00C37EB7" w:rsidRPr="00C37EB7" w14:paraId="4FD0A7CB" w14:textId="77777777" w:rsidTr="00CF1162">
        <w:trPr>
          <w:trHeight w:val="300"/>
          <w:jc w:val="center"/>
        </w:trPr>
        <w:tc>
          <w:tcPr>
            <w:tcW w:w="1980" w:type="dxa"/>
            <w:tcBorders>
              <w:top w:val="nil"/>
              <w:left w:val="nil"/>
              <w:bottom w:val="nil"/>
              <w:right w:val="nil"/>
            </w:tcBorders>
            <w:shd w:val="clear" w:color="auto" w:fill="auto"/>
            <w:vAlign w:val="bottom"/>
            <w:hideMark/>
          </w:tcPr>
          <w:p w14:paraId="071E115A"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Education</w:t>
            </w:r>
          </w:p>
        </w:tc>
        <w:tc>
          <w:tcPr>
            <w:tcW w:w="1780" w:type="dxa"/>
            <w:tcBorders>
              <w:top w:val="nil"/>
              <w:left w:val="nil"/>
              <w:bottom w:val="nil"/>
              <w:right w:val="nil"/>
            </w:tcBorders>
            <w:shd w:val="clear" w:color="auto" w:fill="auto"/>
            <w:vAlign w:val="bottom"/>
            <w:hideMark/>
          </w:tcPr>
          <w:p w14:paraId="278C6378"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4.45%</w:t>
            </w:r>
          </w:p>
        </w:tc>
      </w:tr>
      <w:tr w:rsidR="00C37EB7" w:rsidRPr="00C37EB7" w14:paraId="6BAFBE9D" w14:textId="77777777" w:rsidTr="00CF1162">
        <w:trPr>
          <w:trHeight w:val="300"/>
          <w:jc w:val="center"/>
        </w:trPr>
        <w:tc>
          <w:tcPr>
            <w:tcW w:w="1980" w:type="dxa"/>
            <w:tcBorders>
              <w:top w:val="nil"/>
              <w:left w:val="nil"/>
              <w:bottom w:val="nil"/>
              <w:right w:val="nil"/>
            </w:tcBorders>
            <w:shd w:val="clear" w:color="auto" w:fill="auto"/>
            <w:vAlign w:val="bottom"/>
            <w:hideMark/>
          </w:tcPr>
          <w:p w14:paraId="12C1EF3D" w14:textId="77777777" w:rsidR="00C37EB7" w:rsidRPr="00C37EB7" w:rsidRDefault="00C37EB7" w:rsidP="007B337F">
            <w:pPr>
              <w:rPr>
                <w:rFonts w:ascii="Garamond" w:eastAsia="Times New Roman" w:hAnsi="Garamond" w:cs="Times New Roman"/>
                <w:color w:val="000000"/>
                <w:sz w:val="20"/>
                <w:szCs w:val="20"/>
              </w:rPr>
            </w:pPr>
            <w:proofErr w:type="spellStart"/>
            <w:r w:rsidRPr="00C37EB7">
              <w:rPr>
                <w:rFonts w:ascii="Garamond" w:eastAsia="Times New Roman" w:hAnsi="Garamond" w:cs="Times New Roman"/>
                <w:color w:val="000000"/>
                <w:sz w:val="20"/>
                <w:szCs w:val="20"/>
              </w:rPr>
              <w:t>WorSec</w:t>
            </w:r>
            <w:proofErr w:type="spellEnd"/>
          </w:p>
        </w:tc>
        <w:tc>
          <w:tcPr>
            <w:tcW w:w="1780" w:type="dxa"/>
            <w:tcBorders>
              <w:top w:val="nil"/>
              <w:left w:val="nil"/>
              <w:bottom w:val="nil"/>
              <w:right w:val="nil"/>
            </w:tcBorders>
            <w:shd w:val="clear" w:color="auto" w:fill="auto"/>
            <w:vAlign w:val="bottom"/>
            <w:hideMark/>
          </w:tcPr>
          <w:p w14:paraId="3503BE7E"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4.53%</w:t>
            </w:r>
          </w:p>
        </w:tc>
      </w:tr>
      <w:tr w:rsidR="00C37EB7" w:rsidRPr="00C37EB7" w14:paraId="2C5EE34C" w14:textId="77777777" w:rsidTr="00CF1162">
        <w:trPr>
          <w:trHeight w:val="300"/>
          <w:jc w:val="center"/>
        </w:trPr>
        <w:tc>
          <w:tcPr>
            <w:tcW w:w="1980" w:type="dxa"/>
            <w:tcBorders>
              <w:top w:val="nil"/>
              <w:left w:val="nil"/>
              <w:bottom w:val="nil"/>
              <w:right w:val="nil"/>
            </w:tcBorders>
            <w:shd w:val="clear" w:color="auto" w:fill="auto"/>
            <w:vAlign w:val="bottom"/>
            <w:hideMark/>
          </w:tcPr>
          <w:p w14:paraId="50307AE1" w14:textId="77777777" w:rsidR="00C37EB7" w:rsidRPr="00C37EB7" w:rsidRDefault="00C37EB7" w:rsidP="007B337F">
            <w:pPr>
              <w:rPr>
                <w:rFonts w:ascii="Garamond" w:eastAsia="Times New Roman" w:hAnsi="Garamond" w:cs="Times New Roman"/>
                <w:b/>
                <w:bCs/>
                <w:color w:val="FF0000"/>
                <w:sz w:val="20"/>
                <w:szCs w:val="20"/>
              </w:rPr>
            </w:pPr>
            <w:r w:rsidRPr="00C37EB7">
              <w:rPr>
                <w:rFonts w:ascii="Garamond" w:eastAsia="Times New Roman" w:hAnsi="Garamond" w:cs="Times New Roman"/>
                <w:b/>
                <w:bCs/>
                <w:color w:val="FF0000"/>
                <w:sz w:val="20"/>
                <w:szCs w:val="20"/>
              </w:rPr>
              <w:t>Security</w:t>
            </w:r>
          </w:p>
        </w:tc>
        <w:tc>
          <w:tcPr>
            <w:tcW w:w="1780" w:type="dxa"/>
            <w:tcBorders>
              <w:top w:val="nil"/>
              <w:left w:val="nil"/>
              <w:bottom w:val="nil"/>
              <w:right w:val="nil"/>
            </w:tcBorders>
            <w:shd w:val="clear" w:color="auto" w:fill="auto"/>
            <w:vAlign w:val="bottom"/>
            <w:hideMark/>
          </w:tcPr>
          <w:p w14:paraId="6EE6EEAA" w14:textId="77777777" w:rsidR="00C37EB7" w:rsidRPr="00C37EB7" w:rsidRDefault="00C37EB7" w:rsidP="007B337F">
            <w:pPr>
              <w:jc w:val="center"/>
              <w:rPr>
                <w:rFonts w:ascii="Garamond" w:eastAsia="Times New Roman" w:hAnsi="Garamond" w:cs="Times New Roman"/>
                <w:b/>
                <w:bCs/>
                <w:color w:val="FF0000"/>
                <w:sz w:val="20"/>
                <w:szCs w:val="20"/>
              </w:rPr>
            </w:pPr>
            <w:r w:rsidRPr="00C37EB7">
              <w:rPr>
                <w:rFonts w:ascii="Garamond" w:eastAsia="Times New Roman" w:hAnsi="Garamond" w:cs="Times New Roman"/>
                <w:b/>
                <w:bCs/>
                <w:color w:val="FF0000"/>
                <w:sz w:val="20"/>
                <w:szCs w:val="20"/>
              </w:rPr>
              <w:t>5.34%</w:t>
            </w:r>
          </w:p>
        </w:tc>
      </w:tr>
      <w:tr w:rsidR="00C37EB7" w:rsidRPr="00C37EB7" w14:paraId="5E6DFCEB" w14:textId="77777777" w:rsidTr="00CF1162">
        <w:trPr>
          <w:trHeight w:val="300"/>
          <w:jc w:val="center"/>
        </w:trPr>
        <w:tc>
          <w:tcPr>
            <w:tcW w:w="1980" w:type="dxa"/>
            <w:tcBorders>
              <w:top w:val="nil"/>
              <w:left w:val="nil"/>
              <w:bottom w:val="nil"/>
              <w:right w:val="nil"/>
            </w:tcBorders>
            <w:shd w:val="clear" w:color="auto" w:fill="auto"/>
            <w:vAlign w:val="bottom"/>
            <w:hideMark/>
          </w:tcPr>
          <w:p w14:paraId="4F42B80B"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Immigration</w:t>
            </w:r>
          </w:p>
        </w:tc>
        <w:tc>
          <w:tcPr>
            <w:tcW w:w="1780" w:type="dxa"/>
            <w:tcBorders>
              <w:top w:val="nil"/>
              <w:left w:val="nil"/>
              <w:bottom w:val="nil"/>
              <w:right w:val="nil"/>
            </w:tcBorders>
            <w:shd w:val="clear" w:color="auto" w:fill="auto"/>
            <w:vAlign w:val="bottom"/>
            <w:hideMark/>
          </w:tcPr>
          <w:p w14:paraId="4D9B6B3E"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5.62%</w:t>
            </w:r>
          </w:p>
        </w:tc>
      </w:tr>
      <w:tr w:rsidR="00C37EB7" w:rsidRPr="00C37EB7" w14:paraId="26F802FB" w14:textId="77777777" w:rsidTr="00CF1162">
        <w:trPr>
          <w:trHeight w:val="300"/>
          <w:jc w:val="center"/>
        </w:trPr>
        <w:tc>
          <w:tcPr>
            <w:tcW w:w="1980" w:type="dxa"/>
            <w:tcBorders>
              <w:top w:val="nil"/>
              <w:left w:val="nil"/>
              <w:bottom w:val="nil"/>
              <w:right w:val="nil"/>
            </w:tcBorders>
            <w:shd w:val="clear" w:color="auto" w:fill="auto"/>
            <w:vAlign w:val="bottom"/>
            <w:hideMark/>
          </w:tcPr>
          <w:p w14:paraId="3C8CA394"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Science</w:t>
            </w:r>
          </w:p>
        </w:tc>
        <w:tc>
          <w:tcPr>
            <w:tcW w:w="1780" w:type="dxa"/>
            <w:tcBorders>
              <w:top w:val="nil"/>
              <w:left w:val="nil"/>
              <w:bottom w:val="nil"/>
              <w:right w:val="nil"/>
            </w:tcBorders>
            <w:shd w:val="clear" w:color="auto" w:fill="auto"/>
            <w:vAlign w:val="bottom"/>
            <w:hideMark/>
          </w:tcPr>
          <w:p w14:paraId="7A6C474B"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6.57%</w:t>
            </w:r>
          </w:p>
        </w:tc>
      </w:tr>
      <w:tr w:rsidR="00C37EB7" w:rsidRPr="00C37EB7" w14:paraId="263232D4" w14:textId="77777777" w:rsidTr="00CF1162">
        <w:trPr>
          <w:trHeight w:val="300"/>
          <w:jc w:val="center"/>
        </w:trPr>
        <w:tc>
          <w:tcPr>
            <w:tcW w:w="1980" w:type="dxa"/>
            <w:tcBorders>
              <w:top w:val="nil"/>
              <w:left w:val="nil"/>
              <w:bottom w:val="nil"/>
              <w:right w:val="nil"/>
            </w:tcBorders>
            <w:shd w:val="clear" w:color="auto" w:fill="auto"/>
            <w:vAlign w:val="bottom"/>
            <w:hideMark/>
          </w:tcPr>
          <w:p w14:paraId="13971F0B" w14:textId="77777777" w:rsidR="00C37EB7" w:rsidRPr="00C37EB7" w:rsidRDefault="00C37EB7" w:rsidP="007B337F">
            <w:pPr>
              <w:rPr>
                <w:rFonts w:ascii="Garamond" w:eastAsia="Times New Roman" w:hAnsi="Garamond" w:cs="Times New Roman"/>
                <w:color w:val="000000"/>
                <w:sz w:val="20"/>
                <w:szCs w:val="20"/>
              </w:rPr>
            </w:pPr>
            <w:proofErr w:type="spellStart"/>
            <w:r w:rsidRPr="00C37EB7">
              <w:rPr>
                <w:rFonts w:ascii="Garamond" w:eastAsia="Times New Roman" w:hAnsi="Garamond" w:cs="Times New Roman"/>
                <w:color w:val="000000"/>
                <w:sz w:val="20"/>
                <w:szCs w:val="20"/>
              </w:rPr>
              <w:t>Curr</w:t>
            </w:r>
            <w:proofErr w:type="spellEnd"/>
          </w:p>
        </w:tc>
        <w:tc>
          <w:tcPr>
            <w:tcW w:w="1780" w:type="dxa"/>
            <w:tcBorders>
              <w:top w:val="nil"/>
              <w:left w:val="nil"/>
              <w:bottom w:val="nil"/>
              <w:right w:val="nil"/>
            </w:tcBorders>
            <w:shd w:val="clear" w:color="auto" w:fill="auto"/>
            <w:vAlign w:val="bottom"/>
            <w:hideMark/>
          </w:tcPr>
          <w:p w14:paraId="278EA3E4"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6.68%</w:t>
            </w:r>
          </w:p>
        </w:tc>
      </w:tr>
      <w:tr w:rsidR="00C37EB7" w:rsidRPr="00C37EB7" w14:paraId="008A0618" w14:textId="77777777" w:rsidTr="00CF1162">
        <w:trPr>
          <w:trHeight w:val="300"/>
          <w:jc w:val="center"/>
        </w:trPr>
        <w:tc>
          <w:tcPr>
            <w:tcW w:w="1980" w:type="dxa"/>
            <w:tcBorders>
              <w:top w:val="nil"/>
              <w:left w:val="nil"/>
              <w:bottom w:val="nil"/>
              <w:right w:val="nil"/>
            </w:tcBorders>
            <w:shd w:val="clear" w:color="auto" w:fill="auto"/>
            <w:vAlign w:val="bottom"/>
            <w:hideMark/>
          </w:tcPr>
          <w:p w14:paraId="6ED4B00D" w14:textId="77777777" w:rsidR="00C37EB7" w:rsidRPr="00C37EB7" w:rsidRDefault="00C37EB7" w:rsidP="007B337F">
            <w:pPr>
              <w:rPr>
                <w:rFonts w:ascii="Garamond" w:eastAsia="Times New Roman" w:hAnsi="Garamond" w:cs="Times New Roman"/>
                <w:color w:val="000000"/>
                <w:sz w:val="20"/>
                <w:szCs w:val="20"/>
              </w:rPr>
            </w:pPr>
            <w:proofErr w:type="spellStart"/>
            <w:r w:rsidRPr="00C37EB7">
              <w:rPr>
                <w:rFonts w:ascii="Garamond" w:eastAsia="Times New Roman" w:hAnsi="Garamond" w:cs="Times New Roman"/>
                <w:color w:val="000000"/>
                <w:sz w:val="20"/>
                <w:szCs w:val="20"/>
              </w:rPr>
              <w:t>Pasyl</w:t>
            </w:r>
            <w:proofErr w:type="spellEnd"/>
          </w:p>
        </w:tc>
        <w:tc>
          <w:tcPr>
            <w:tcW w:w="1780" w:type="dxa"/>
            <w:tcBorders>
              <w:top w:val="nil"/>
              <w:left w:val="nil"/>
              <w:bottom w:val="nil"/>
              <w:right w:val="nil"/>
            </w:tcBorders>
            <w:shd w:val="clear" w:color="auto" w:fill="auto"/>
            <w:vAlign w:val="bottom"/>
            <w:hideMark/>
          </w:tcPr>
          <w:p w14:paraId="7072D609"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6.82%</w:t>
            </w:r>
          </w:p>
        </w:tc>
      </w:tr>
      <w:tr w:rsidR="00C37EB7" w:rsidRPr="00C37EB7" w14:paraId="310EFF47" w14:textId="77777777" w:rsidTr="00CF1162">
        <w:trPr>
          <w:trHeight w:val="300"/>
          <w:jc w:val="center"/>
        </w:trPr>
        <w:tc>
          <w:tcPr>
            <w:tcW w:w="1980" w:type="dxa"/>
            <w:tcBorders>
              <w:top w:val="nil"/>
              <w:left w:val="nil"/>
              <w:bottom w:val="nil"/>
              <w:right w:val="nil"/>
            </w:tcBorders>
            <w:shd w:val="clear" w:color="auto" w:fill="auto"/>
            <w:vAlign w:val="bottom"/>
            <w:hideMark/>
          </w:tcPr>
          <w:p w14:paraId="4A186CB5"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Culture</w:t>
            </w:r>
          </w:p>
        </w:tc>
        <w:tc>
          <w:tcPr>
            <w:tcW w:w="1780" w:type="dxa"/>
            <w:tcBorders>
              <w:top w:val="nil"/>
              <w:left w:val="nil"/>
              <w:bottom w:val="nil"/>
              <w:right w:val="nil"/>
            </w:tcBorders>
            <w:shd w:val="clear" w:color="auto" w:fill="auto"/>
            <w:vAlign w:val="bottom"/>
            <w:hideMark/>
          </w:tcPr>
          <w:p w14:paraId="260F391E"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6.91%</w:t>
            </w:r>
          </w:p>
        </w:tc>
      </w:tr>
      <w:tr w:rsidR="00C37EB7" w:rsidRPr="00C37EB7" w14:paraId="4072B128" w14:textId="77777777" w:rsidTr="00CF1162">
        <w:trPr>
          <w:trHeight w:val="300"/>
          <w:jc w:val="center"/>
        </w:trPr>
        <w:tc>
          <w:tcPr>
            <w:tcW w:w="1980" w:type="dxa"/>
            <w:tcBorders>
              <w:top w:val="nil"/>
              <w:left w:val="nil"/>
              <w:bottom w:val="nil"/>
              <w:right w:val="nil"/>
            </w:tcBorders>
            <w:shd w:val="clear" w:color="auto" w:fill="auto"/>
            <w:vAlign w:val="bottom"/>
            <w:hideMark/>
          </w:tcPr>
          <w:p w14:paraId="2764164B"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Third</w:t>
            </w:r>
          </w:p>
        </w:tc>
        <w:tc>
          <w:tcPr>
            <w:tcW w:w="1780" w:type="dxa"/>
            <w:tcBorders>
              <w:top w:val="nil"/>
              <w:left w:val="nil"/>
              <w:bottom w:val="nil"/>
              <w:right w:val="nil"/>
            </w:tcBorders>
            <w:shd w:val="clear" w:color="auto" w:fill="auto"/>
            <w:vAlign w:val="bottom"/>
            <w:hideMark/>
          </w:tcPr>
          <w:p w14:paraId="45B80A5F"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7.25%</w:t>
            </w:r>
          </w:p>
        </w:tc>
      </w:tr>
      <w:tr w:rsidR="00C37EB7" w:rsidRPr="00C37EB7" w14:paraId="260111E5" w14:textId="77777777" w:rsidTr="00CF1162">
        <w:trPr>
          <w:trHeight w:val="300"/>
          <w:jc w:val="center"/>
        </w:trPr>
        <w:tc>
          <w:tcPr>
            <w:tcW w:w="1980" w:type="dxa"/>
            <w:tcBorders>
              <w:top w:val="nil"/>
              <w:left w:val="nil"/>
              <w:bottom w:val="nil"/>
              <w:right w:val="nil"/>
            </w:tcBorders>
            <w:shd w:val="clear" w:color="auto" w:fill="auto"/>
            <w:vAlign w:val="bottom"/>
            <w:hideMark/>
          </w:tcPr>
          <w:p w14:paraId="0B0332C9"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Press</w:t>
            </w:r>
          </w:p>
        </w:tc>
        <w:tc>
          <w:tcPr>
            <w:tcW w:w="1780" w:type="dxa"/>
            <w:tcBorders>
              <w:top w:val="nil"/>
              <w:left w:val="nil"/>
              <w:bottom w:val="nil"/>
              <w:right w:val="nil"/>
            </w:tcBorders>
            <w:shd w:val="clear" w:color="auto" w:fill="auto"/>
            <w:vAlign w:val="bottom"/>
            <w:hideMark/>
          </w:tcPr>
          <w:p w14:paraId="14C0080A"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7.64%</w:t>
            </w:r>
          </w:p>
        </w:tc>
      </w:tr>
      <w:tr w:rsidR="00C37EB7" w:rsidRPr="00C37EB7" w14:paraId="03CA1A36" w14:textId="77777777" w:rsidTr="00CF1162">
        <w:trPr>
          <w:trHeight w:val="300"/>
          <w:jc w:val="center"/>
        </w:trPr>
        <w:tc>
          <w:tcPr>
            <w:tcW w:w="1980" w:type="dxa"/>
            <w:tcBorders>
              <w:top w:val="nil"/>
              <w:left w:val="nil"/>
              <w:bottom w:val="nil"/>
              <w:right w:val="nil"/>
            </w:tcBorders>
            <w:shd w:val="clear" w:color="auto" w:fill="auto"/>
            <w:vAlign w:val="bottom"/>
            <w:hideMark/>
          </w:tcPr>
          <w:p w14:paraId="121842C1" w14:textId="77777777" w:rsidR="00C37EB7" w:rsidRPr="00C37EB7" w:rsidRDefault="00C37EB7" w:rsidP="007B337F">
            <w:pPr>
              <w:rPr>
                <w:rFonts w:ascii="Garamond" w:eastAsia="Times New Roman" w:hAnsi="Garamond" w:cs="Times New Roman"/>
                <w:color w:val="000000"/>
                <w:sz w:val="20"/>
                <w:szCs w:val="20"/>
              </w:rPr>
            </w:pPr>
            <w:proofErr w:type="spellStart"/>
            <w:r w:rsidRPr="00C37EB7">
              <w:rPr>
                <w:rFonts w:ascii="Garamond" w:eastAsia="Times New Roman" w:hAnsi="Garamond" w:cs="Times New Roman"/>
                <w:color w:val="000000"/>
                <w:sz w:val="20"/>
                <w:szCs w:val="20"/>
              </w:rPr>
              <w:t>Industr</w:t>
            </w:r>
            <w:proofErr w:type="spellEnd"/>
          </w:p>
        </w:tc>
        <w:tc>
          <w:tcPr>
            <w:tcW w:w="1780" w:type="dxa"/>
            <w:tcBorders>
              <w:top w:val="nil"/>
              <w:left w:val="nil"/>
              <w:bottom w:val="nil"/>
              <w:right w:val="nil"/>
            </w:tcBorders>
            <w:shd w:val="clear" w:color="auto" w:fill="auto"/>
            <w:vAlign w:val="bottom"/>
            <w:hideMark/>
          </w:tcPr>
          <w:p w14:paraId="47C5A14E"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8.52%</w:t>
            </w:r>
          </w:p>
        </w:tc>
      </w:tr>
      <w:tr w:rsidR="00C37EB7" w:rsidRPr="00C37EB7" w14:paraId="0A891B0F" w14:textId="77777777" w:rsidTr="00CF1162">
        <w:trPr>
          <w:trHeight w:val="300"/>
          <w:jc w:val="center"/>
        </w:trPr>
        <w:tc>
          <w:tcPr>
            <w:tcW w:w="1980" w:type="dxa"/>
            <w:tcBorders>
              <w:top w:val="nil"/>
              <w:left w:val="nil"/>
              <w:bottom w:val="nil"/>
              <w:right w:val="nil"/>
            </w:tcBorders>
            <w:shd w:val="clear" w:color="auto" w:fill="auto"/>
            <w:vAlign w:val="bottom"/>
            <w:hideMark/>
          </w:tcPr>
          <w:p w14:paraId="7B5C3A2B" w14:textId="77777777" w:rsidR="00C37EB7" w:rsidRPr="00C37EB7" w:rsidRDefault="00C37EB7" w:rsidP="007B337F">
            <w:pPr>
              <w:rPr>
                <w:rFonts w:ascii="Garamond" w:eastAsia="Times New Roman" w:hAnsi="Garamond" w:cs="Times New Roman"/>
                <w:color w:val="000000"/>
                <w:sz w:val="20"/>
                <w:szCs w:val="20"/>
              </w:rPr>
            </w:pPr>
            <w:proofErr w:type="spellStart"/>
            <w:r w:rsidRPr="00C37EB7">
              <w:rPr>
                <w:rFonts w:ascii="Garamond" w:eastAsia="Times New Roman" w:hAnsi="Garamond" w:cs="Times New Roman"/>
                <w:color w:val="000000"/>
                <w:sz w:val="20"/>
                <w:szCs w:val="20"/>
              </w:rPr>
              <w:t>ForPol</w:t>
            </w:r>
            <w:proofErr w:type="spellEnd"/>
          </w:p>
        </w:tc>
        <w:tc>
          <w:tcPr>
            <w:tcW w:w="1780" w:type="dxa"/>
            <w:tcBorders>
              <w:top w:val="nil"/>
              <w:left w:val="nil"/>
              <w:bottom w:val="nil"/>
              <w:right w:val="nil"/>
            </w:tcBorders>
            <w:shd w:val="clear" w:color="auto" w:fill="auto"/>
            <w:vAlign w:val="bottom"/>
            <w:hideMark/>
          </w:tcPr>
          <w:p w14:paraId="1C307870"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8.62%</w:t>
            </w:r>
          </w:p>
        </w:tc>
      </w:tr>
      <w:tr w:rsidR="00C37EB7" w:rsidRPr="00C37EB7" w14:paraId="68A64313" w14:textId="77777777" w:rsidTr="00CF1162">
        <w:trPr>
          <w:trHeight w:val="300"/>
          <w:jc w:val="center"/>
        </w:trPr>
        <w:tc>
          <w:tcPr>
            <w:tcW w:w="1980" w:type="dxa"/>
            <w:tcBorders>
              <w:top w:val="nil"/>
              <w:left w:val="nil"/>
              <w:bottom w:val="nil"/>
              <w:right w:val="nil"/>
            </w:tcBorders>
            <w:shd w:val="clear" w:color="auto" w:fill="auto"/>
            <w:vAlign w:val="bottom"/>
            <w:hideMark/>
          </w:tcPr>
          <w:p w14:paraId="48DFD508"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VA Tax</w:t>
            </w:r>
          </w:p>
        </w:tc>
        <w:tc>
          <w:tcPr>
            <w:tcW w:w="1780" w:type="dxa"/>
            <w:tcBorders>
              <w:top w:val="nil"/>
              <w:left w:val="nil"/>
              <w:bottom w:val="nil"/>
              <w:right w:val="nil"/>
            </w:tcBorders>
            <w:shd w:val="clear" w:color="auto" w:fill="auto"/>
            <w:vAlign w:val="bottom"/>
            <w:hideMark/>
          </w:tcPr>
          <w:p w14:paraId="4DFC71CA"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10.04%</w:t>
            </w:r>
          </w:p>
        </w:tc>
      </w:tr>
      <w:tr w:rsidR="00C37EB7" w:rsidRPr="00C37EB7" w14:paraId="40DF2E8F" w14:textId="77777777" w:rsidTr="00CF1162">
        <w:trPr>
          <w:trHeight w:val="300"/>
          <w:jc w:val="center"/>
        </w:trPr>
        <w:tc>
          <w:tcPr>
            <w:tcW w:w="1980" w:type="dxa"/>
            <w:tcBorders>
              <w:top w:val="nil"/>
              <w:left w:val="nil"/>
              <w:right w:val="nil"/>
            </w:tcBorders>
            <w:shd w:val="clear" w:color="auto" w:fill="auto"/>
            <w:vAlign w:val="bottom"/>
            <w:hideMark/>
          </w:tcPr>
          <w:p w14:paraId="4D6810EF" w14:textId="77777777" w:rsidR="00C37EB7" w:rsidRPr="00C37EB7" w:rsidRDefault="00C37EB7" w:rsidP="007B337F">
            <w:pPr>
              <w:rPr>
                <w:rFonts w:ascii="Garamond" w:eastAsia="Times New Roman" w:hAnsi="Garamond" w:cs="Times New Roman"/>
                <w:color w:val="000000"/>
                <w:sz w:val="20"/>
                <w:szCs w:val="20"/>
              </w:rPr>
            </w:pPr>
            <w:proofErr w:type="spellStart"/>
            <w:r w:rsidRPr="00C37EB7">
              <w:rPr>
                <w:rFonts w:ascii="Garamond" w:eastAsia="Times New Roman" w:hAnsi="Garamond" w:cs="Times New Roman"/>
                <w:color w:val="000000"/>
                <w:sz w:val="20"/>
                <w:szCs w:val="20"/>
              </w:rPr>
              <w:t>DataP</w:t>
            </w:r>
            <w:proofErr w:type="spellEnd"/>
          </w:p>
        </w:tc>
        <w:tc>
          <w:tcPr>
            <w:tcW w:w="1780" w:type="dxa"/>
            <w:tcBorders>
              <w:top w:val="nil"/>
              <w:left w:val="nil"/>
              <w:right w:val="nil"/>
            </w:tcBorders>
            <w:shd w:val="clear" w:color="auto" w:fill="auto"/>
            <w:vAlign w:val="bottom"/>
            <w:hideMark/>
          </w:tcPr>
          <w:p w14:paraId="2C5E8348"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12.77%</w:t>
            </w:r>
          </w:p>
        </w:tc>
      </w:tr>
      <w:tr w:rsidR="00C37EB7" w:rsidRPr="00C37EB7" w14:paraId="715198EB" w14:textId="77777777" w:rsidTr="00CF1162">
        <w:trPr>
          <w:trHeight w:val="300"/>
          <w:jc w:val="center"/>
        </w:trPr>
        <w:tc>
          <w:tcPr>
            <w:tcW w:w="1980" w:type="dxa"/>
            <w:tcBorders>
              <w:top w:val="nil"/>
              <w:left w:val="nil"/>
              <w:bottom w:val="single" w:sz="4" w:space="0" w:color="auto"/>
              <w:right w:val="nil"/>
            </w:tcBorders>
            <w:shd w:val="clear" w:color="auto" w:fill="auto"/>
            <w:vAlign w:val="bottom"/>
            <w:hideMark/>
          </w:tcPr>
          <w:p w14:paraId="4D09EFC7" w14:textId="77777777" w:rsidR="00C37EB7" w:rsidRPr="00C37EB7" w:rsidRDefault="00C37EB7" w:rsidP="007B337F">
            <w:pP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Worker</w:t>
            </w:r>
          </w:p>
        </w:tc>
        <w:tc>
          <w:tcPr>
            <w:tcW w:w="1780" w:type="dxa"/>
            <w:tcBorders>
              <w:top w:val="nil"/>
              <w:left w:val="nil"/>
              <w:bottom w:val="single" w:sz="4" w:space="0" w:color="auto"/>
              <w:right w:val="nil"/>
            </w:tcBorders>
            <w:shd w:val="clear" w:color="auto" w:fill="auto"/>
            <w:vAlign w:val="bottom"/>
            <w:hideMark/>
          </w:tcPr>
          <w:p w14:paraId="1140783E" w14:textId="77777777" w:rsidR="00C37EB7" w:rsidRPr="00C37EB7" w:rsidRDefault="00C37EB7" w:rsidP="007B337F">
            <w:pPr>
              <w:jc w:val="center"/>
              <w:rPr>
                <w:rFonts w:ascii="Garamond" w:eastAsia="Times New Roman" w:hAnsi="Garamond" w:cs="Times New Roman"/>
                <w:color w:val="000000"/>
                <w:sz w:val="20"/>
                <w:szCs w:val="20"/>
              </w:rPr>
            </w:pPr>
            <w:r w:rsidRPr="00C37EB7">
              <w:rPr>
                <w:rFonts w:ascii="Garamond" w:eastAsia="Times New Roman" w:hAnsi="Garamond" w:cs="Times New Roman"/>
                <w:color w:val="000000"/>
                <w:sz w:val="20"/>
                <w:szCs w:val="20"/>
              </w:rPr>
              <w:t>13.32%</w:t>
            </w:r>
          </w:p>
        </w:tc>
      </w:tr>
    </w:tbl>
    <w:p w14:paraId="62646AA0" w14:textId="77777777" w:rsidR="00C37EB7" w:rsidRPr="00C37EB7" w:rsidRDefault="00C37EB7" w:rsidP="007B337F">
      <w:pPr>
        <w:rPr>
          <w:rFonts w:ascii="Garamond" w:hAnsi="Garamond"/>
          <w:sz w:val="20"/>
          <w:szCs w:val="20"/>
        </w:rPr>
      </w:pPr>
    </w:p>
    <w:p w14:paraId="078D6854" w14:textId="77777777" w:rsidR="00C37EB7" w:rsidRPr="00C37EB7" w:rsidRDefault="00C37EB7" w:rsidP="007B337F">
      <w:pPr>
        <w:pStyle w:val="FootnoteText"/>
        <w:rPr>
          <w:rFonts w:ascii="Garamond" w:hAnsi="Garamond"/>
          <w:sz w:val="20"/>
          <w:szCs w:val="20"/>
        </w:rPr>
      </w:pPr>
    </w:p>
  </w:footnote>
  <w:footnote w:id="11">
    <w:p w14:paraId="1E132381"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Katrin</w:t>
      </w:r>
      <w:proofErr w:type="spellEnd"/>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Bennhold</w:t>
      </w:r>
      <w:proofErr w:type="spellEnd"/>
      <w:r w:rsidRPr="00C37EB7">
        <w:rPr>
          <w:rStyle w:val="FootnoteReference"/>
          <w:rFonts w:ascii="Garamond" w:hAnsi="Garamond"/>
          <w:sz w:val="20"/>
          <w:szCs w:val="20"/>
          <w:vertAlign w:val="baseline"/>
        </w:rPr>
        <w:t xml:space="preserve">, “EU urged to revise terror responses” </w:t>
      </w:r>
      <w:r w:rsidRPr="00C37EB7">
        <w:rPr>
          <w:rStyle w:val="FootnoteReference"/>
          <w:rFonts w:ascii="Garamond" w:hAnsi="Garamond"/>
          <w:i/>
          <w:sz w:val="20"/>
          <w:szCs w:val="20"/>
          <w:vertAlign w:val="baseline"/>
        </w:rPr>
        <w:t>International Herald Tribune</w:t>
      </w:r>
      <w:r w:rsidRPr="00C37EB7">
        <w:rPr>
          <w:rStyle w:val="FootnoteReference"/>
          <w:rFonts w:ascii="Garamond" w:hAnsi="Garamond"/>
          <w:sz w:val="20"/>
          <w:szCs w:val="20"/>
          <w:vertAlign w:val="baseline"/>
        </w:rPr>
        <w:t xml:space="preserve"> 16 September 2004, 1 and 8.  </w:t>
      </w:r>
    </w:p>
  </w:footnote>
  <w:footnote w:id="12">
    <w:p w14:paraId="5F45BF56"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Judy Dempsey, “Words of War” </w:t>
      </w:r>
      <w:r w:rsidRPr="00C37EB7">
        <w:rPr>
          <w:rStyle w:val="FootnoteReference"/>
          <w:rFonts w:ascii="Garamond" w:hAnsi="Garamond"/>
          <w:i/>
          <w:sz w:val="20"/>
          <w:szCs w:val="20"/>
          <w:vertAlign w:val="baseline"/>
        </w:rPr>
        <w:t>Financial  Times</w:t>
      </w:r>
      <w:r w:rsidRPr="00C37EB7">
        <w:rPr>
          <w:rStyle w:val="FootnoteReference"/>
          <w:rFonts w:ascii="Garamond" w:hAnsi="Garamond"/>
          <w:sz w:val="20"/>
          <w:szCs w:val="20"/>
          <w:vertAlign w:val="baseline"/>
        </w:rPr>
        <w:t xml:space="preserve"> 5 December 2003, 17.  </w:t>
      </w:r>
    </w:p>
  </w:footnote>
  <w:footnote w:id="13">
    <w:p w14:paraId="1FF86017"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t>
      </w:r>
      <w:hyperlink r:id="rId1" w:history="1">
        <w:r w:rsidRPr="00C37EB7">
          <w:rPr>
            <w:rStyle w:val="FootnoteReference"/>
            <w:rFonts w:ascii="Garamond" w:hAnsi="Garamond"/>
            <w:sz w:val="20"/>
            <w:szCs w:val="20"/>
            <w:vertAlign w:val="baseline"/>
          </w:rPr>
          <w:t>https://euobserver.com/defence/22266</w:t>
        </w:r>
      </w:hyperlink>
      <w:r w:rsidRPr="00C37EB7">
        <w:rPr>
          <w:rStyle w:val="FootnoteReference"/>
          <w:rFonts w:ascii="Garamond" w:hAnsi="Garamond"/>
          <w:sz w:val="20"/>
          <w:szCs w:val="20"/>
          <w:vertAlign w:val="baseline"/>
        </w:rPr>
        <w:t xml:space="preserve"> </w:t>
      </w:r>
    </w:p>
  </w:footnote>
  <w:footnote w:id="14">
    <w:p w14:paraId="168B1ABD"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Richard </w:t>
      </w:r>
      <w:proofErr w:type="spellStart"/>
      <w:r w:rsidRPr="00C37EB7">
        <w:rPr>
          <w:rStyle w:val="FootnoteReference"/>
          <w:rFonts w:ascii="Garamond" w:hAnsi="Garamond"/>
          <w:sz w:val="20"/>
          <w:szCs w:val="20"/>
          <w:vertAlign w:val="baseline"/>
        </w:rPr>
        <w:t>Berstein</w:t>
      </w:r>
      <w:proofErr w:type="spellEnd"/>
      <w:r w:rsidRPr="00C37EB7">
        <w:rPr>
          <w:rStyle w:val="FootnoteReference"/>
          <w:rFonts w:ascii="Garamond" w:hAnsi="Garamond"/>
          <w:sz w:val="20"/>
          <w:szCs w:val="20"/>
          <w:vertAlign w:val="baseline"/>
        </w:rPr>
        <w:t xml:space="preserve">, “Europe Is Still Europe” </w:t>
      </w:r>
      <w:r w:rsidRPr="00C37EB7">
        <w:rPr>
          <w:rStyle w:val="FootnoteReference"/>
          <w:rFonts w:ascii="Garamond" w:hAnsi="Garamond"/>
          <w:i/>
          <w:sz w:val="20"/>
          <w:szCs w:val="20"/>
          <w:vertAlign w:val="baseline"/>
        </w:rPr>
        <w:t>New York Times</w:t>
      </w:r>
      <w:r w:rsidRPr="00C37EB7">
        <w:rPr>
          <w:rStyle w:val="FootnoteReference"/>
          <w:rFonts w:ascii="Garamond" w:hAnsi="Garamond"/>
          <w:sz w:val="20"/>
          <w:szCs w:val="20"/>
          <w:vertAlign w:val="baseline"/>
        </w:rPr>
        <w:t>, June 7, 2005.</w:t>
      </w:r>
    </w:p>
  </w:footnote>
  <w:footnote w:id="15">
    <w:p w14:paraId="718D89F7"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Douglas V. Johnson II, “The Test of Terrain:  The Impact of Stability Operations upon the Armed Forces,”  Conference Brief:  Strategic Studies Institute, 16-18 June 2005, 1.  </w:t>
      </w:r>
    </w:p>
  </w:footnote>
  <w:footnote w:id="16">
    <w:p w14:paraId="763E23C2"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Techau</w:t>
      </w:r>
      <w:proofErr w:type="spellEnd"/>
      <w:r w:rsidRPr="00C37EB7">
        <w:rPr>
          <w:rStyle w:val="FootnoteReference"/>
          <w:rFonts w:ascii="Garamond" w:hAnsi="Garamond"/>
          <w:sz w:val="20"/>
          <w:szCs w:val="20"/>
          <w:vertAlign w:val="baseline"/>
        </w:rPr>
        <w:t>, J., 2013. Will Europeans Ever Agree on the Use of Military Force? Carnegie Europe, No. 65.</w:t>
      </w:r>
    </w:p>
  </w:footnote>
  <w:footnote w:id="17">
    <w:p w14:paraId="48EEAF61"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Eurobarometer</w:t>
      </w:r>
      <w:proofErr w:type="spellEnd"/>
      <w:r w:rsidRPr="00C37EB7">
        <w:rPr>
          <w:rStyle w:val="FootnoteReference"/>
          <w:rFonts w:ascii="Garamond" w:hAnsi="Garamond"/>
          <w:sz w:val="20"/>
          <w:szCs w:val="20"/>
          <w:vertAlign w:val="baseline"/>
        </w:rPr>
        <w:t xml:space="preserve"> 76, 2011.</w:t>
      </w:r>
    </w:p>
  </w:footnote>
  <w:footnote w:id="18">
    <w:p w14:paraId="70CF7B51"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NATO-Russia compendium of Financial and Economic Data relating to </w:t>
      </w:r>
      <w:proofErr w:type="spellStart"/>
      <w:r w:rsidRPr="00C37EB7">
        <w:rPr>
          <w:rStyle w:val="FootnoteReference"/>
          <w:rFonts w:ascii="Garamond" w:hAnsi="Garamond"/>
          <w:sz w:val="20"/>
          <w:szCs w:val="20"/>
          <w:vertAlign w:val="baseline"/>
        </w:rPr>
        <w:t>Defence</w:t>
      </w:r>
      <w:proofErr w:type="spellEnd"/>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Defence</w:t>
      </w:r>
      <w:proofErr w:type="spellEnd"/>
      <w:r w:rsidRPr="00C37EB7">
        <w:rPr>
          <w:rStyle w:val="FootnoteReference"/>
          <w:rFonts w:ascii="Garamond" w:hAnsi="Garamond"/>
          <w:sz w:val="20"/>
          <w:szCs w:val="20"/>
          <w:vertAlign w:val="baseline"/>
        </w:rPr>
        <w:t xml:space="preserve"> Expenditures of NRC Countries (1980-2004), 9-10 June 2005, </w:t>
      </w:r>
      <w:hyperlink r:id="rId2" w:history="1">
        <w:r w:rsidRPr="00C37EB7">
          <w:rPr>
            <w:rStyle w:val="FootnoteReference"/>
            <w:rFonts w:ascii="Garamond" w:hAnsi="Garamond"/>
            <w:sz w:val="20"/>
            <w:szCs w:val="20"/>
            <w:vertAlign w:val="baseline"/>
          </w:rPr>
          <w:t>http://www.nato.int/docu/pr/2005/p050609e.htm</w:t>
        </w:r>
      </w:hyperlink>
      <w:r w:rsidRPr="00C37EB7">
        <w:rPr>
          <w:rStyle w:val="FootnoteReference"/>
          <w:rFonts w:ascii="Garamond" w:hAnsi="Garamond"/>
          <w:sz w:val="20"/>
          <w:szCs w:val="20"/>
          <w:vertAlign w:val="baseline"/>
        </w:rPr>
        <w:t>.  Only eleven countries have been members of both organizations since 1986:  France, Germany, Italy, Belgium, Luxembourg, the Netherlands, the United Kingdom, Greece, Spain, Portugal and Denmark.  Although many other countries joined NATO during the 1990s, the same countries did not join the EU until 2004.</w:t>
      </w:r>
    </w:p>
  </w:footnote>
  <w:footnote w:id="19">
    <w:p w14:paraId="62BAC8D0"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Daniel </w:t>
      </w:r>
      <w:proofErr w:type="spellStart"/>
      <w:r w:rsidRPr="00C37EB7">
        <w:rPr>
          <w:rStyle w:val="FootnoteReference"/>
          <w:rFonts w:ascii="Garamond" w:hAnsi="Garamond"/>
          <w:sz w:val="20"/>
          <w:szCs w:val="20"/>
          <w:vertAlign w:val="baseline"/>
        </w:rPr>
        <w:t>Dombey</w:t>
      </w:r>
      <w:proofErr w:type="spellEnd"/>
      <w:r w:rsidRPr="00C37EB7">
        <w:rPr>
          <w:rStyle w:val="FootnoteReference"/>
          <w:rFonts w:ascii="Garamond" w:hAnsi="Garamond"/>
          <w:sz w:val="20"/>
          <w:szCs w:val="20"/>
          <w:vertAlign w:val="baseline"/>
        </w:rPr>
        <w:t xml:space="preserve">, “US </w:t>
      </w:r>
      <w:proofErr w:type="spellStart"/>
      <w:r w:rsidRPr="00C37EB7">
        <w:rPr>
          <w:rStyle w:val="FootnoteReference"/>
          <w:rFonts w:ascii="Garamond" w:hAnsi="Garamond"/>
          <w:sz w:val="20"/>
          <w:szCs w:val="20"/>
          <w:vertAlign w:val="baseline"/>
        </w:rPr>
        <w:t>Nato</w:t>
      </w:r>
      <w:proofErr w:type="spellEnd"/>
      <w:r w:rsidRPr="00C37EB7">
        <w:rPr>
          <w:rStyle w:val="FootnoteReference"/>
          <w:rFonts w:ascii="Garamond" w:hAnsi="Garamond"/>
          <w:sz w:val="20"/>
          <w:szCs w:val="20"/>
          <w:vertAlign w:val="baseline"/>
        </w:rPr>
        <w:t xml:space="preserve"> chief chides Europeans over budgets” </w:t>
      </w:r>
      <w:r w:rsidRPr="0049305B">
        <w:rPr>
          <w:rStyle w:val="FootnoteReference"/>
          <w:rFonts w:ascii="Garamond" w:hAnsi="Garamond"/>
          <w:i/>
          <w:sz w:val="20"/>
          <w:szCs w:val="20"/>
          <w:vertAlign w:val="baseline"/>
        </w:rPr>
        <w:t>Financial Times</w:t>
      </w:r>
      <w:r w:rsidRPr="00C37EB7">
        <w:rPr>
          <w:rStyle w:val="FootnoteReference"/>
          <w:rFonts w:ascii="Garamond" w:hAnsi="Garamond"/>
          <w:sz w:val="20"/>
          <w:szCs w:val="20"/>
          <w:vertAlign w:val="baseline"/>
        </w:rPr>
        <w:t>, 9 June 2005, 8.</w:t>
      </w:r>
    </w:p>
  </w:footnote>
  <w:footnote w:id="20">
    <w:p w14:paraId="32B6AD1A"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German Marshall Fund of the United States, “Transatlantic Survey Shows Continued, Significant Split in U.S. -- Europe Relations” 9 September 2004, </w:t>
      </w:r>
      <w:hyperlink r:id="rId3" w:history="1">
        <w:r w:rsidRPr="00C37EB7">
          <w:rPr>
            <w:rStyle w:val="FootnoteReference"/>
            <w:rFonts w:ascii="Garamond" w:hAnsi="Garamond"/>
            <w:sz w:val="20"/>
            <w:szCs w:val="20"/>
            <w:vertAlign w:val="baseline"/>
          </w:rPr>
          <w:t>http://www.gmfus.org/press/article.cfm?id=12&amp;parent_type=R</w:t>
        </w:r>
      </w:hyperlink>
      <w:r w:rsidRPr="00C37EB7">
        <w:rPr>
          <w:rStyle w:val="FootnoteReference"/>
          <w:rFonts w:ascii="Garamond" w:hAnsi="Garamond"/>
          <w:sz w:val="20"/>
          <w:szCs w:val="20"/>
          <w:vertAlign w:val="baseline"/>
        </w:rPr>
        <w:t xml:space="preserve">.  </w:t>
      </w:r>
    </w:p>
  </w:footnote>
  <w:footnote w:id="21">
    <w:p w14:paraId="251B9A9C"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WEU assembly seminar on the role of parliaments in shaping public opinion on European security and </w:t>
      </w:r>
      <w:proofErr w:type="spellStart"/>
      <w:r w:rsidRPr="00C37EB7">
        <w:rPr>
          <w:rStyle w:val="FootnoteReference"/>
          <w:rFonts w:ascii="Garamond" w:hAnsi="Garamond"/>
          <w:sz w:val="20"/>
          <w:szCs w:val="20"/>
          <w:vertAlign w:val="baseline"/>
        </w:rPr>
        <w:t>defence</w:t>
      </w:r>
      <w:proofErr w:type="spellEnd"/>
      <w:r w:rsidRPr="00C37EB7">
        <w:rPr>
          <w:rStyle w:val="FootnoteReference"/>
          <w:rFonts w:ascii="Garamond" w:hAnsi="Garamond"/>
          <w:sz w:val="20"/>
          <w:szCs w:val="20"/>
          <w:vertAlign w:val="baseline"/>
        </w:rPr>
        <w:t>: parliamentarian should lead public opinion, WEU Assembly press release, Paris, 28 April 2006.</w:t>
      </w:r>
    </w:p>
  </w:footnote>
  <w:footnote w:id="22">
    <w:p w14:paraId="2F07162F"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WEU assembly seminar on the role of parliaments in shaping public opinion on European security and </w:t>
      </w:r>
      <w:proofErr w:type="spellStart"/>
      <w:r w:rsidRPr="00C37EB7">
        <w:rPr>
          <w:rStyle w:val="FootnoteReference"/>
          <w:rFonts w:ascii="Garamond" w:hAnsi="Garamond"/>
          <w:sz w:val="20"/>
          <w:szCs w:val="20"/>
          <w:vertAlign w:val="baseline"/>
        </w:rPr>
        <w:t>defence</w:t>
      </w:r>
      <w:proofErr w:type="spellEnd"/>
      <w:r w:rsidRPr="00C37EB7">
        <w:rPr>
          <w:rStyle w:val="FootnoteReference"/>
          <w:rFonts w:ascii="Garamond" w:hAnsi="Garamond"/>
          <w:sz w:val="20"/>
          <w:szCs w:val="20"/>
          <w:vertAlign w:val="baseline"/>
        </w:rPr>
        <w:t>: parliamentarian should lead public opinion, WEU Assembly press release, Paris, 28 April 2006.</w:t>
      </w:r>
    </w:p>
  </w:footnote>
  <w:footnote w:id="23">
    <w:p w14:paraId="20D61E1A"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Kernic</w:t>
      </w:r>
      <w:proofErr w:type="spellEnd"/>
      <w:r w:rsidRPr="00C37EB7">
        <w:rPr>
          <w:rStyle w:val="FootnoteReference"/>
          <w:rFonts w:ascii="Garamond" w:hAnsi="Garamond"/>
          <w:sz w:val="20"/>
          <w:szCs w:val="20"/>
          <w:vertAlign w:val="baseline"/>
        </w:rPr>
        <w:t xml:space="preserve">, F., Callaghan, J., and </w:t>
      </w:r>
      <w:proofErr w:type="spellStart"/>
      <w:r w:rsidRPr="00C37EB7">
        <w:rPr>
          <w:rStyle w:val="FootnoteReference"/>
          <w:rFonts w:ascii="Garamond" w:hAnsi="Garamond"/>
          <w:sz w:val="20"/>
          <w:szCs w:val="20"/>
          <w:vertAlign w:val="baseline"/>
        </w:rPr>
        <w:t>Manigart</w:t>
      </w:r>
      <w:proofErr w:type="spellEnd"/>
      <w:r w:rsidRPr="00C37EB7">
        <w:rPr>
          <w:rStyle w:val="FootnoteReference"/>
          <w:rFonts w:ascii="Garamond" w:hAnsi="Garamond"/>
          <w:sz w:val="20"/>
          <w:szCs w:val="20"/>
          <w:vertAlign w:val="baseline"/>
        </w:rPr>
        <w:t xml:space="preserve">, P., 2002. </w:t>
      </w:r>
      <w:r w:rsidRPr="0049305B">
        <w:rPr>
          <w:rStyle w:val="FootnoteReference"/>
          <w:rFonts w:ascii="Garamond" w:hAnsi="Garamond"/>
          <w:i/>
          <w:sz w:val="20"/>
          <w:szCs w:val="20"/>
          <w:vertAlign w:val="baseline"/>
        </w:rPr>
        <w:t>Public Opinion on European Security and Defense</w:t>
      </w:r>
      <w:r w:rsidRPr="00C37EB7">
        <w:rPr>
          <w:rStyle w:val="FootnoteReference"/>
          <w:rFonts w:ascii="Garamond" w:hAnsi="Garamond"/>
          <w:sz w:val="20"/>
          <w:szCs w:val="20"/>
          <w:vertAlign w:val="baseline"/>
        </w:rPr>
        <w:t>. Frankfurt: Peter Lang.</w:t>
      </w:r>
    </w:p>
  </w:footnote>
  <w:footnote w:id="24">
    <w:p w14:paraId="514D87E9"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Ibid.</w:t>
      </w:r>
    </w:p>
  </w:footnote>
  <w:footnote w:id="25">
    <w:p w14:paraId="2663E5E4"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Ibid, p. 49.</w:t>
      </w:r>
    </w:p>
  </w:footnote>
  <w:footnote w:id="26">
    <w:p w14:paraId="6177130C"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Foucault, Martial., </w:t>
      </w:r>
      <w:proofErr w:type="spellStart"/>
      <w:r w:rsidRPr="00C37EB7">
        <w:rPr>
          <w:rStyle w:val="FootnoteReference"/>
          <w:rFonts w:ascii="Garamond" w:hAnsi="Garamond"/>
          <w:sz w:val="20"/>
          <w:szCs w:val="20"/>
          <w:vertAlign w:val="baseline"/>
        </w:rPr>
        <w:t>Bastien</w:t>
      </w:r>
      <w:proofErr w:type="spellEnd"/>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Irondelle</w:t>
      </w:r>
      <w:proofErr w:type="spellEnd"/>
      <w:r w:rsidRPr="00C37EB7">
        <w:rPr>
          <w:rStyle w:val="FootnoteReference"/>
          <w:rFonts w:ascii="Garamond" w:hAnsi="Garamond"/>
          <w:sz w:val="20"/>
          <w:szCs w:val="20"/>
          <w:vertAlign w:val="baseline"/>
        </w:rPr>
        <w:t xml:space="preserve">. and </w:t>
      </w:r>
      <w:proofErr w:type="spellStart"/>
      <w:r w:rsidRPr="00C37EB7">
        <w:rPr>
          <w:rStyle w:val="FootnoteReference"/>
          <w:rFonts w:ascii="Garamond" w:hAnsi="Garamond"/>
          <w:sz w:val="20"/>
          <w:szCs w:val="20"/>
          <w:vertAlign w:val="baseline"/>
        </w:rPr>
        <w:t>Mérand</w:t>
      </w:r>
      <w:proofErr w:type="spellEnd"/>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Frédéric</w:t>
      </w:r>
      <w:proofErr w:type="spellEnd"/>
      <w:r w:rsidRPr="00C37EB7">
        <w:rPr>
          <w:rStyle w:val="FootnoteReference"/>
          <w:rFonts w:ascii="Garamond" w:hAnsi="Garamond"/>
          <w:sz w:val="20"/>
          <w:szCs w:val="20"/>
          <w:vertAlign w:val="baseline"/>
        </w:rPr>
        <w:t>. "Public Opinion Support for ESDP: Lessons from a Longitudinal Approach" Paper presented at the annual meeting of the Seventeenth International Conference of the Council for European Studies, Grand Plaza, Montreal, Canada, &lt;Not Available&gt;. 2014-05-13 &lt;http://citation.allacademic.com/meta/p400365_index.html&gt;</w:t>
      </w:r>
    </w:p>
  </w:footnote>
  <w:footnote w:id="27">
    <w:p w14:paraId="1F4604E7"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Foucault, M. and </w:t>
      </w:r>
      <w:proofErr w:type="spellStart"/>
      <w:r w:rsidRPr="00C37EB7">
        <w:rPr>
          <w:rStyle w:val="FootnoteReference"/>
          <w:rFonts w:ascii="Garamond" w:hAnsi="Garamond"/>
          <w:sz w:val="20"/>
          <w:szCs w:val="20"/>
          <w:vertAlign w:val="baseline"/>
        </w:rPr>
        <w:t>Irondelle</w:t>
      </w:r>
      <w:proofErr w:type="spellEnd"/>
      <w:r w:rsidRPr="00C37EB7">
        <w:rPr>
          <w:rStyle w:val="FootnoteReference"/>
          <w:rFonts w:ascii="Garamond" w:hAnsi="Garamond"/>
          <w:sz w:val="20"/>
          <w:szCs w:val="20"/>
          <w:vertAlign w:val="baseline"/>
        </w:rPr>
        <w:t xml:space="preserve">, B., 2010. </w:t>
      </w:r>
      <w:proofErr w:type="spellStart"/>
      <w:r w:rsidRPr="0049305B">
        <w:rPr>
          <w:rStyle w:val="FootnoteReference"/>
          <w:rFonts w:ascii="Garamond" w:hAnsi="Garamond"/>
          <w:i/>
          <w:sz w:val="20"/>
          <w:szCs w:val="20"/>
          <w:vertAlign w:val="baseline"/>
        </w:rPr>
        <w:t>L’opinion</w:t>
      </w:r>
      <w:proofErr w:type="spellEnd"/>
      <w:r w:rsidRPr="0049305B">
        <w:rPr>
          <w:rStyle w:val="FootnoteReference"/>
          <w:rFonts w:ascii="Garamond" w:hAnsi="Garamond"/>
          <w:i/>
          <w:sz w:val="20"/>
          <w:szCs w:val="20"/>
          <w:vertAlign w:val="baseline"/>
        </w:rPr>
        <w:t xml:space="preserve"> </w:t>
      </w:r>
      <w:proofErr w:type="spellStart"/>
      <w:r w:rsidRPr="0049305B">
        <w:rPr>
          <w:rStyle w:val="FootnoteReference"/>
          <w:rFonts w:ascii="Garamond" w:hAnsi="Garamond"/>
          <w:i/>
          <w:sz w:val="20"/>
          <w:szCs w:val="20"/>
          <w:vertAlign w:val="baseline"/>
        </w:rPr>
        <w:t>publique</w:t>
      </w:r>
      <w:proofErr w:type="spellEnd"/>
      <w:r w:rsidRPr="0049305B">
        <w:rPr>
          <w:rStyle w:val="FootnoteReference"/>
          <w:rFonts w:ascii="Garamond" w:hAnsi="Garamond"/>
          <w:i/>
          <w:sz w:val="20"/>
          <w:szCs w:val="20"/>
          <w:vertAlign w:val="baseline"/>
        </w:rPr>
        <w:t xml:space="preserve"> </w:t>
      </w:r>
      <w:proofErr w:type="spellStart"/>
      <w:r w:rsidRPr="0049305B">
        <w:rPr>
          <w:rStyle w:val="FootnoteReference"/>
          <w:rFonts w:ascii="Garamond" w:hAnsi="Garamond"/>
          <w:i/>
          <w:sz w:val="20"/>
          <w:szCs w:val="20"/>
          <w:vertAlign w:val="baseline"/>
        </w:rPr>
        <w:t>française</w:t>
      </w:r>
      <w:proofErr w:type="spellEnd"/>
      <w:r w:rsidRPr="0049305B">
        <w:rPr>
          <w:rStyle w:val="FootnoteReference"/>
          <w:rFonts w:ascii="Garamond" w:hAnsi="Garamond"/>
          <w:i/>
          <w:sz w:val="20"/>
          <w:szCs w:val="20"/>
          <w:vertAlign w:val="baseline"/>
        </w:rPr>
        <w:t xml:space="preserve"> et la PESD. In: Opinion </w:t>
      </w:r>
      <w:proofErr w:type="spellStart"/>
      <w:r w:rsidRPr="0049305B">
        <w:rPr>
          <w:rStyle w:val="FootnoteReference"/>
          <w:rFonts w:ascii="Garamond" w:hAnsi="Garamond"/>
          <w:i/>
          <w:sz w:val="20"/>
          <w:szCs w:val="20"/>
          <w:vertAlign w:val="baseline"/>
        </w:rPr>
        <w:t>publique</w:t>
      </w:r>
      <w:proofErr w:type="spellEnd"/>
      <w:r w:rsidRPr="0049305B">
        <w:rPr>
          <w:rStyle w:val="FootnoteReference"/>
          <w:rFonts w:ascii="Garamond" w:hAnsi="Garamond"/>
          <w:i/>
          <w:sz w:val="20"/>
          <w:szCs w:val="20"/>
          <w:vertAlign w:val="baseline"/>
        </w:rPr>
        <w:t xml:space="preserve"> et </w:t>
      </w:r>
      <w:proofErr w:type="spellStart"/>
      <w:r w:rsidRPr="0049305B">
        <w:rPr>
          <w:rStyle w:val="FootnoteReference"/>
          <w:rFonts w:ascii="Garamond" w:hAnsi="Garamond"/>
          <w:i/>
          <w:sz w:val="20"/>
          <w:szCs w:val="20"/>
          <w:vertAlign w:val="baseline"/>
        </w:rPr>
        <w:t>politique</w:t>
      </w:r>
      <w:proofErr w:type="spellEnd"/>
      <w:r w:rsidRPr="0049305B">
        <w:rPr>
          <w:rStyle w:val="FootnoteReference"/>
          <w:rFonts w:ascii="Garamond" w:hAnsi="Garamond"/>
          <w:i/>
          <w:sz w:val="20"/>
          <w:szCs w:val="20"/>
          <w:vertAlign w:val="baseline"/>
        </w:rPr>
        <w:t xml:space="preserve"> </w:t>
      </w:r>
      <w:proofErr w:type="spellStart"/>
      <w:r w:rsidRPr="0049305B">
        <w:rPr>
          <w:rStyle w:val="FootnoteReference"/>
          <w:rFonts w:ascii="Garamond" w:hAnsi="Garamond"/>
          <w:i/>
          <w:sz w:val="20"/>
          <w:szCs w:val="20"/>
          <w:vertAlign w:val="baseline"/>
        </w:rPr>
        <w:t>européenne</w:t>
      </w:r>
      <w:proofErr w:type="spellEnd"/>
      <w:r w:rsidRPr="0049305B">
        <w:rPr>
          <w:rStyle w:val="FootnoteReference"/>
          <w:rFonts w:ascii="Garamond" w:hAnsi="Garamond"/>
          <w:i/>
          <w:sz w:val="20"/>
          <w:szCs w:val="20"/>
          <w:vertAlign w:val="baseline"/>
        </w:rPr>
        <w:t xml:space="preserve"> de </w:t>
      </w:r>
      <w:proofErr w:type="spellStart"/>
      <w:r w:rsidRPr="0049305B">
        <w:rPr>
          <w:rStyle w:val="FootnoteReference"/>
          <w:rFonts w:ascii="Garamond" w:hAnsi="Garamond"/>
          <w:i/>
          <w:sz w:val="20"/>
          <w:szCs w:val="20"/>
          <w:vertAlign w:val="baseline"/>
        </w:rPr>
        <w:t>sécurité</w:t>
      </w:r>
      <w:proofErr w:type="spellEnd"/>
      <w:r w:rsidRPr="0049305B">
        <w:rPr>
          <w:rStyle w:val="FootnoteReference"/>
          <w:rFonts w:ascii="Garamond" w:hAnsi="Garamond"/>
          <w:i/>
          <w:sz w:val="20"/>
          <w:szCs w:val="20"/>
          <w:vertAlign w:val="baseline"/>
        </w:rPr>
        <w:t xml:space="preserve"> et de </w:t>
      </w:r>
      <w:proofErr w:type="spellStart"/>
      <w:r w:rsidRPr="0049305B">
        <w:rPr>
          <w:rStyle w:val="FootnoteReference"/>
          <w:rFonts w:ascii="Garamond" w:hAnsi="Garamond"/>
          <w:i/>
          <w:sz w:val="20"/>
          <w:szCs w:val="20"/>
          <w:vertAlign w:val="baseline"/>
        </w:rPr>
        <w:t>défense</w:t>
      </w:r>
      <w:proofErr w:type="spellEnd"/>
      <w:r w:rsidRPr="0049305B">
        <w:rPr>
          <w:rStyle w:val="FootnoteReference"/>
          <w:rFonts w:ascii="Garamond" w:hAnsi="Garamond"/>
          <w:i/>
          <w:sz w:val="20"/>
          <w:szCs w:val="20"/>
          <w:vertAlign w:val="baseline"/>
        </w:rPr>
        <w:t xml:space="preserve"> commune: </w:t>
      </w:r>
      <w:proofErr w:type="spellStart"/>
      <w:r w:rsidRPr="0049305B">
        <w:rPr>
          <w:rStyle w:val="FootnoteReference"/>
          <w:rFonts w:ascii="Garamond" w:hAnsi="Garamond"/>
          <w:i/>
          <w:sz w:val="20"/>
          <w:szCs w:val="20"/>
          <w:vertAlign w:val="baseline"/>
        </w:rPr>
        <w:t>acteurs</w:t>
      </w:r>
      <w:proofErr w:type="spellEnd"/>
      <w:r w:rsidRPr="0049305B">
        <w:rPr>
          <w:rStyle w:val="FootnoteReference"/>
          <w:rFonts w:ascii="Garamond" w:hAnsi="Garamond"/>
          <w:i/>
          <w:sz w:val="20"/>
          <w:szCs w:val="20"/>
          <w:vertAlign w:val="baseline"/>
        </w:rPr>
        <w:t xml:space="preserve">, positions, </w:t>
      </w:r>
      <w:proofErr w:type="spellStart"/>
      <w:r w:rsidRPr="0049305B">
        <w:rPr>
          <w:rStyle w:val="FootnoteReference"/>
          <w:rFonts w:ascii="Garamond" w:hAnsi="Garamond"/>
          <w:i/>
          <w:sz w:val="20"/>
          <w:szCs w:val="20"/>
          <w:vertAlign w:val="baseline"/>
        </w:rPr>
        <w:t>évolutions</w:t>
      </w:r>
      <w:proofErr w:type="spellEnd"/>
      <w:r w:rsidRPr="0049305B">
        <w:rPr>
          <w:rStyle w:val="FootnoteReference"/>
          <w:rFonts w:ascii="Garamond" w:hAnsi="Garamond"/>
          <w:i/>
          <w:sz w:val="20"/>
          <w:szCs w:val="20"/>
          <w:vertAlign w:val="baseline"/>
        </w:rPr>
        <w:t>.</w:t>
      </w:r>
      <w:r w:rsidRPr="00C37EB7">
        <w:rPr>
          <w:rStyle w:val="FootnoteReference"/>
          <w:rFonts w:ascii="Garamond" w:hAnsi="Garamond"/>
          <w:sz w:val="20"/>
          <w:szCs w:val="20"/>
          <w:vertAlign w:val="baseline"/>
        </w:rPr>
        <w:t xml:space="preserve"> Brussels, Belgium: </w:t>
      </w:r>
      <w:proofErr w:type="spellStart"/>
      <w:r w:rsidRPr="00C37EB7">
        <w:rPr>
          <w:rStyle w:val="FootnoteReference"/>
          <w:rFonts w:ascii="Garamond" w:hAnsi="Garamond"/>
          <w:sz w:val="20"/>
          <w:szCs w:val="20"/>
          <w:vertAlign w:val="baseline"/>
        </w:rPr>
        <w:t>Bruylant</w:t>
      </w:r>
      <w:proofErr w:type="spellEnd"/>
      <w:r w:rsidRPr="00C37EB7">
        <w:rPr>
          <w:rStyle w:val="FootnoteReference"/>
          <w:rFonts w:ascii="Garamond" w:hAnsi="Garamond"/>
          <w:sz w:val="20"/>
          <w:szCs w:val="20"/>
          <w:vertAlign w:val="baseline"/>
        </w:rPr>
        <w:t>, 255–276.</w:t>
      </w:r>
    </w:p>
    <w:p w14:paraId="5C36D055" w14:textId="77777777" w:rsidR="00C37EB7" w:rsidRPr="00C37EB7" w:rsidRDefault="00C37EB7" w:rsidP="007B337F">
      <w:pPr>
        <w:pStyle w:val="FootnoteText"/>
        <w:rPr>
          <w:rStyle w:val="FootnoteReference"/>
          <w:rFonts w:ascii="Garamond" w:hAnsi="Garamond"/>
          <w:sz w:val="20"/>
          <w:szCs w:val="20"/>
          <w:vertAlign w:val="baseline"/>
        </w:rPr>
      </w:pPr>
    </w:p>
  </w:footnote>
  <w:footnote w:id="28">
    <w:p w14:paraId="441FD2B5"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Mannheim </w:t>
      </w:r>
      <w:proofErr w:type="spellStart"/>
      <w:r w:rsidRPr="00C37EB7">
        <w:rPr>
          <w:rStyle w:val="FootnoteReference"/>
          <w:rFonts w:ascii="Garamond" w:hAnsi="Garamond"/>
          <w:sz w:val="20"/>
          <w:szCs w:val="20"/>
          <w:vertAlign w:val="baseline"/>
        </w:rPr>
        <w:t>Eurobarometer</w:t>
      </w:r>
      <w:proofErr w:type="spellEnd"/>
      <w:r w:rsidRPr="00C37EB7">
        <w:rPr>
          <w:rStyle w:val="FootnoteReference"/>
          <w:rFonts w:ascii="Garamond" w:hAnsi="Garamond"/>
          <w:sz w:val="20"/>
          <w:szCs w:val="20"/>
          <w:vertAlign w:val="baseline"/>
        </w:rPr>
        <w:t xml:space="preserve"> Trend File, </w:t>
      </w:r>
      <w:hyperlink r:id="rId4" w:history="1">
        <w:r w:rsidRPr="00C37EB7">
          <w:rPr>
            <w:rStyle w:val="FootnoteReference"/>
            <w:rFonts w:ascii="Garamond" w:hAnsi="Garamond"/>
            <w:sz w:val="20"/>
            <w:szCs w:val="20"/>
            <w:vertAlign w:val="baseline"/>
          </w:rPr>
          <w:t>http://www.icpsr.umich.edu/icpsrweb/ICPSR/ssvd/studies/03384/datasets/0001/variables/CPSECUR?q=&amp;paging.rows=100&amp;paging.startRow=1</w:t>
        </w:r>
      </w:hyperlink>
      <w:r w:rsidRPr="00C37EB7">
        <w:rPr>
          <w:rStyle w:val="FootnoteReference"/>
          <w:rFonts w:ascii="Garamond" w:hAnsi="Garamond"/>
          <w:sz w:val="20"/>
          <w:szCs w:val="20"/>
          <w:vertAlign w:val="baseline"/>
        </w:rPr>
        <w:t xml:space="preserve"> Q 339 (A-L): SOME PEOPLE BELIEVE THAT CERTAIN AREAS OF POLICY SHOULD BE DETERMINED BY THE &lt;NATIONAL&gt; GOVERNMENT, WHILE OTHER AREAS OF POLICY SHOULD BE DETERMINED IN COMMON WITH THE EUROPEAN COMMUNITY. WHICH OF THE FOLLOWING AREAS OF POLICY DO YOU THINK SHOULD BE DETERMINED BY THE &lt;NATIONAL&gt; GOVERNMENT, AND WHICH SHOULD BE DECIDED IN COMMON WITHIN THE EUROPEAN COMMUNITY AS A WHOLE?</w:t>
      </w:r>
    </w:p>
  </w:footnote>
  <w:footnote w:id="29">
    <w:p w14:paraId="13E34D90"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Mannheim </w:t>
      </w:r>
      <w:proofErr w:type="spellStart"/>
      <w:r w:rsidRPr="00C37EB7">
        <w:rPr>
          <w:rStyle w:val="FootnoteReference"/>
          <w:rFonts w:ascii="Garamond" w:hAnsi="Garamond"/>
          <w:sz w:val="20"/>
          <w:szCs w:val="20"/>
          <w:vertAlign w:val="baseline"/>
        </w:rPr>
        <w:t>Eurobarometer</w:t>
      </w:r>
      <w:proofErr w:type="spellEnd"/>
      <w:r w:rsidRPr="00C37EB7">
        <w:rPr>
          <w:rStyle w:val="FootnoteReference"/>
          <w:rFonts w:ascii="Garamond" w:hAnsi="Garamond"/>
          <w:sz w:val="20"/>
          <w:szCs w:val="20"/>
          <w:vertAlign w:val="baseline"/>
        </w:rPr>
        <w:t xml:space="preserve"> Trend File. Independent variables:  EDUC, POLINT, ECFINFO, OLI. </w:t>
      </w:r>
    </w:p>
  </w:footnote>
  <w:footnote w:id="30">
    <w:p w14:paraId="7BE5CD96"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Eurobarometer</w:t>
      </w:r>
      <w:proofErr w:type="spellEnd"/>
      <w:r w:rsidRPr="00C37EB7">
        <w:rPr>
          <w:rStyle w:val="FootnoteReference"/>
          <w:rFonts w:ascii="Garamond" w:hAnsi="Garamond"/>
          <w:sz w:val="20"/>
          <w:szCs w:val="20"/>
          <w:vertAlign w:val="baseline"/>
        </w:rPr>
        <w:t xml:space="preserve"> 54.1: Building Europe and the European Union, The European Parliament, Public Safety, and Defense Policy, November- December 2000 (ICPSR 3209)</w:t>
      </w:r>
    </w:p>
  </w:footnote>
  <w:footnote w:id="31">
    <w:p w14:paraId="3A0CE216"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Specifically: “What is your opinion on each of the following statements? Please tell me for each proposal, whether you are for it or against it. (ROTATE)-The European Union member states should have a common </w:t>
      </w:r>
      <w:proofErr w:type="spellStart"/>
      <w:r w:rsidRPr="00C37EB7">
        <w:rPr>
          <w:rStyle w:val="FootnoteReference"/>
          <w:rFonts w:ascii="Garamond" w:hAnsi="Garamond"/>
          <w:sz w:val="20"/>
          <w:szCs w:val="20"/>
          <w:vertAlign w:val="baseline"/>
        </w:rPr>
        <w:t>defence</w:t>
      </w:r>
      <w:proofErr w:type="spellEnd"/>
      <w:r w:rsidRPr="00C37EB7">
        <w:rPr>
          <w:rStyle w:val="FootnoteReference"/>
          <w:rFonts w:ascii="Garamond" w:hAnsi="Garamond"/>
          <w:sz w:val="20"/>
          <w:szCs w:val="20"/>
          <w:vertAlign w:val="baseline"/>
        </w:rPr>
        <w:t xml:space="preserve"> and security policy”</w:t>
      </w:r>
    </w:p>
  </w:footnote>
  <w:footnote w:id="32">
    <w:p w14:paraId="1B4A43BB"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1. Defending the territory of the European Union; 2. Intervening in conflicts at the borders of the European Union; 3. Intervening in conflicts in other parts of the world; 4. Repatriating Europeans who are in areas where there is a conflict; 5. Intervening in case of natural, ecological or nuclear disaster in Europe; 6. </w:t>
      </w:r>
      <w:proofErr w:type="spellStart"/>
      <w:r w:rsidRPr="00C37EB7">
        <w:rPr>
          <w:rStyle w:val="FootnoteReference"/>
          <w:rFonts w:ascii="Garamond" w:hAnsi="Garamond"/>
          <w:sz w:val="20"/>
          <w:szCs w:val="20"/>
          <w:vertAlign w:val="baseline"/>
        </w:rPr>
        <w:t>Interv</w:t>
      </w:r>
      <w:proofErr w:type="spellEnd"/>
      <w:r w:rsidRPr="00C37EB7">
        <w:rPr>
          <w:rStyle w:val="FootnoteReference"/>
          <w:rFonts w:ascii="Garamond" w:hAnsi="Garamond"/>
          <w:sz w:val="20"/>
          <w:szCs w:val="20"/>
          <w:vertAlign w:val="baseline"/>
        </w:rPr>
        <w:t xml:space="preserve">. in </w:t>
      </w:r>
      <w:proofErr w:type="spellStart"/>
      <w:r w:rsidRPr="00C37EB7">
        <w:rPr>
          <w:rStyle w:val="FootnoteReference"/>
          <w:rFonts w:ascii="Garamond" w:hAnsi="Garamond"/>
          <w:sz w:val="20"/>
          <w:szCs w:val="20"/>
          <w:vertAlign w:val="baseline"/>
        </w:rPr>
        <w:t>oth</w:t>
      </w:r>
      <w:proofErr w:type="spellEnd"/>
      <w:r w:rsidRPr="00C37EB7">
        <w:rPr>
          <w:rStyle w:val="FootnoteReference"/>
          <w:rFonts w:ascii="Garamond" w:hAnsi="Garamond"/>
          <w:sz w:val="20"/>
          <w:szCs w:val="20"/>
          <w:vertAlign w:val="baseline"/>
        </w:rPr>
        <w:t xml:space="preserve">. parts of the world (nat., ecol. or </w:t>
      </w:r>
      <w:proofErr w:type="spellStart"/>
      <w:r w:rsidRPr="00C37EB7">
        <w:rPr>
          <w:rStyle w:val="FootnoteReference"/>
          <w:rFonts w:ascii="Garamond" w:hAnsi="Garamond"/>
          <w:sz w:val="20"/>
          <w:szCs w:val="20"/>
          <w:vertAlign w:val="baseline"/>
        </w:rPr>
        <w:t>nucl</w:t>
      </w:r>
      <w:proofErr w:type="spellEnd"/>
      <w:r w:rsidRPr="00C37EB7">
        <w:rPr>
          <w:rStyle w:val="FootnoteReference"/>
          <w:rFonts w:ascii="Garamond" w:hAnsi="Garamond"/>
          <w:sz w:val="20"/>
          <w:szCs w:val="20"/>
          <w:vertAlign w:val="baseline"/>
        </w:rPr>
        <w:t xml:space="preserve">. </w:t>
      </w:r>
      <w:proofErr w:type="spellStart"/>
      <w:r w:rsidRPr="00C37EB7">
        <w:rPr>
          <w:rStyle w:val="FootnoteReference"/>
          <w:rFonts w:ascii="Garamond" w:hAnsi="Garamond"/>
          <w:sz w:val="20"/>
          <w:szCs w:val="20"/>
          <w:vertAlign w:val="baseline"/>
        </w:rPr>
        <w:t>disast</w:t>
      </w:r>
      <w:proofErr w:type="spellEnd"/>
      <w:r w:rsidRPr="00C37EB7">
        <w:rPr>
          <w:rStyle w:val="FootnoteReference"/>
          <w:rFonts w:ascii="Garamond" w:hAnsi="Garamond"/>
          <w:sz w:val="20"/>
          <w:szCs w:val="20"/>
          <w:vertAlign w:val="baseline"/>
        </w:rPr>
        <w:t xml:space="preserve">., or combat. famine, or cleaning minefields); 7. Guaranteeing peace in the European Union; 8. Taking part in peace-keeping missions outside the E.U., decided by the U.N. (UN troops); 9. Taking part in peace-keeping missions outside the E.U., without the U.N.'s agreement; 10. Defending Human Rights; 11. Carrying out humanitarian missions; 12. Defending the economic interests of the European Union; 13. </w:t>
      </w:r>
      <w:proofErr w:type="spellStart"/>
      <w:r w:rsidRPr="00C37EB7">
        <w:rPr>
          <w:rStyle w:val="FootnoteReference"/>
          <w:rFonts w:ascii="Garamond" w:hAnsi="Garamond"/>
          <w:sz w:val="20"/>
          <w:szCs w:val="20"/>
          <w:vertAlign w:val="baseline"/>
        </w:rPr>
        <w:t>Symbolising</w:t>
      </w:r>
      <w:proofErr w:type="spellEnd"/>
      <w:r w:rsidRPr="00C37EB7">
        <w:rPr>
          <w:rStyle w:val="FootnoteReference"/>
          <w:rFonts w:ascii="Garamond" w:hAnsi="Garamond"/>
          <w:sz w:val="20"/>
          <w:szCs w:val="20"/>
          <w:vertAlign w:val="baseline"/>
        </w:rPr>
        <w:t xml:space="preserve"> a European identity; 14. There shouldn't be a European army (SPONTANEOUS).  </w:t>
      </w:r>
    </w:p>
    <w:p w14:paraId="0B151954" w14:textId="77777777" w:rsidR="00C37EB7" w:rsidRPr="00C37EB7" w:rsidRDefault="00C37EB7" w:rsidP="007B337F">
      <w:pPr>
        <w:pStyle w:val="FootnoteText"/>
        <w:rPr>
          <w:rStyle w:val="FootnoteReference"/>
          <w:rFonts w:ascii="Garamond" w:hAnsi="Garamond"/>
          <w:sz w:val="20"/>
          <w:szCs w:val="20"/>
          <w:vertAlign w:val="baseline"/>
        </w:rPr>
      </w:pPr>
    </w:p>
  </w:footnote>
  <w:footnote w:id="33">
    <w:p w14:paraId="2E42FC13"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Mannheim </w:t>
      </w:r>
      <w:proofErr w:type="spellStart"/>
      <w:r w:rsidRPr="00C37EB7">
        <w:rPr>
          <w:rStyle w:val="FootnoteReference"/>
          <w:rFonts w:ascii="Garamond" w:hAnsi="Garamond"/>
          <w:sz w:val="20"/>
          <w:szCs w:val="20"/>
          <w:vertAlign w:val="baseline"/>
        </w:rPr>
        <w:t>Eurobarometer</w:t>
      </w:r>
      <w:proofErr w:type="spellEnd"/>
      <w:r w:rsidRPr="00C37EB7">
        <w:rPr>
          <w:rStyle w:val="FootnoteReference"/>
          <w:rFonts w:ascii="Garamond" w:hAnsi="Garamond"/>
          <w:sz w:val="20"/>
          <w:szCs w:val="20"/>
          <w:vertAlign w:val="baseline"/>
        </w:rPr>
        <w:t xml:space="preserve"> Trend File.  Dependent Variable – CPSECUR.  Independent Variables – POLINT, OLI, ECFINFO, and EDUC (not shown).  Coefficients were statistically significant at greater than the .05 significance level, even after controls for party affiliation (CLOSEPTY) and feelings of identification with Europe versus nation (FEEL) were added to the model.   Because the responses in the Mannheim survey are clustered by nation and year, the models used clustered standard errors for country-year to avoid inflating the statistical significance of the coefficients.   The sample sizes for these models ranged from N=48,124 to N=127,727, depending on the number of years each question was asked across the dataset.  Table A in the appendix provides the logistic regression results for each of these four models. </w:t>
      </w:r>
    </w:p>
    <w:p w14:paraId="5ACD3EBD" w14:textId="77777777" w:rsidR="00C37EB7" w:rsidRPr="00C37EB7" w:rsidRDefault="00C37EB7" w:rsidP="007B337F">
      <w:pPr>
        <w:pStyle w:val="FootnoteText"/>
        <w:rPr>
          <w:rStyle w:val="FootnoteReference"/>
          <w:rFonts w:ascii="Garamond" w:hAnsi="Garamond"/>
          <w:sz w:val="20"/>
          <w:szCs w:val="20"/>
          <w:vertAlign w:val="baseline"/>
        </w:rPr>
      </w:pPr>
    </w:p>
  </w:footnote>
  <w:footnote w:id="34">
    <w:p w14:paraId="028BCFC3"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The percent for CPSECUR was 5.34 percent, compared to CPWORKER which had the highest rate of non-response (13.3 percent) and CPDRUGS which had the lowest rate ((3.81 percent).  See Table B in the appendix for a full comparison of non-response rates across all 19 EU domain variables. </w:t>
      </w:r>
    </w:p>
  </w:footnote>
  <w:footnote w:id="35">
    <w:p w14:paraId="7D6CDDC7"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Measured by </w:t>
      </w:r>
      <w:proofErr w:type="spellStart"/>
      <w:r w:rsidRPr="00C37EB7">
        <w:rPr>
          <w:rStyle w:val="FootnoteReference"/>
          <w:rFonts w:ascii="Garamond" w:hAnsi="Garamond"/>
          <w:sz w:val="20"/>
          <w:szCs w:val="20"/>
          <w:vertAlign w:val="baseline"/>
        </w:rPr>
        <w:t>Eurobarometer</w:t>
      </w:r>
      <w:proofErr w:type="spellEnd"/>
      <w:r w:rsidRPr="00C37EB7">
        <w:rPr>
          <w:rStyle w:val="FootnoteReference"/>
          <w:rFonts w:ascii="Garamond" w:hAnsi="Garamond"/>
          <w:sz w:val="20"/>
          <w:szCs w:val="20"/>
          <w:vertAlign w:val="baseline"/>
        </w:rPr>
        <w:t xml:space="preserve"> 54.1, Question 29.</w:t>
      </w:r>
    </w:p>
  </w:footnote>
  <w:footnote w:id="36">
    <w:p w14:paraId="495143E6"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“Hard power” is an index created from V294, V295, V296, and V302.  “Soft power” is an index created from V300, V297, V298, V299, V301, V303, V304, V305, and V306.  Each variable was then scaled to range from 0-1, allowing more direct comparison of the coefficients in the model.  </w:t>
      </w:r>
    </w:p>
  </w:footnote>
  <w:footnote w:id="37">
    <w:p w14:paraId="54851054" w14:textId="77777777" w:rsidR="00C37EB7" w:rsidRPr="00C37EB7" w:rsidRDefault="00C37EB7" w:rsidP="007B337F">
      <w:pPr>
        <w:pStyle w:val="FootnoteText"/>
        <w:rPr>
          <w:rStyle w:val="FootnoteReference"/>
          <w:rFonts w:ascii="Garamond" w:hAnsi="Garamond"/>
          <w:sz w:val="20"/>
          <w:szCs w:val="20"/>
          <w:vertAlign w:val="baseline"/>
        </w:rPr>
      </w:pPr>
      <w:r w:rsidRPr="00C37EB7">
        <w:rPr>
          <w:rStyle w:val="FootnoteReference"/>
          <w:rFonts w:ascii="Garamond" w:hAnsi="Garamond"/>
          <w:sz w:val="20"/>
          <w:szCs w:val="20"/>
          <w:vertAlign w:val="baseline"/>
        </w:rPr>
        <w:footnoteRef/>
      </w:r>
      <w:r w:rsidRPr="00C37EB7">
        <w:rPr>
          <w:rStyle w:val="FootnoteReference"/>
          <w:rFonts w:ascii="Garamond" w:hAnsi="Garamond"/>
          <w:sz w:val="20"/>
          <w:szCs w:val="20"/>
          <w:vertAlign w:val="baseline"/>
        </w:rPr>
        <w:t xml:space="preserve"> Question wording: Q35: “These days, some governments are cutting spending to reduce their debt.  Other governments are maintain or increasing their spending to stimulate economic growth.  What is your view?”;  Q36A: “And how about defense spending?  Do you think the [COUNTRY] government should increase defense spending, keep defense spending at the current level, or decrease defense spending?”</w:t>
      </w:r>
    </w:p>
    <w:p w14:paraId="0FD05C3B" w14:textId="77777777" w:rsidR="00C37EB7" w:rsidRPr="00C37EB7" w:rsidRDefault="00C37EB7" w:rsidP="007B337F">
      <w:pPr>
        <w:pStyle w:val="FootnoteText"/>
        <w:rPr>
          <w:rStyle w:val="FootnoteReference"/>
          <w:rFonts w:ascii="Garamond" w:hAnsi="Garamond"/>
          <w:sz w:val="20"/>
          <w:szCs w:val="20"/>
          <w:vertAlign w:val="baselin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7E2"/>
    <w:multiLevelType w:val="hybridMultilevel"/>
    <w:tmpl w:val="33CEB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E7C29"/>
    <w:multiLevelType w:val="hybridMultilevel"/>
    <w:tmpl w:val="221282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82F6A"/>
    <w:multiLevelType w:val="hybridMultilevel"/>
    <w:tmpl w:val="49A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C60E5"/>
    <w:multiLevelType w:val="hybridMultilevel"/>
    <w:tmpl w:val="E99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9D"/>
    <w:rsid w:val="00015315"/>
    <w:rsid w:val="00044F15"/>
    <w:rsid w:val="000866C1"/>
    <w:rsid w:val="000B307B"/>
    <w:rsid w:val="00106AC9"/>
    <w:rsid w:val="0012038B"/>
    <w:rsid w:val="00127D66"/>
    <w:rsid w:val="00133D3A"/>
    <w:rsid w:val="0019493A"/>
    <w:rsid w:val="001E2705"/>
    <w:rsid w:val="001F2B05"/>
    <w:rsid w:val="001F3B5F"/>
    <w:rsid w:val="002A2DA2"/>
    <w:rsid w:val="002A502E"/>
    <w:rsid w:val="00342996"/>
    <w:rsid w:val="00347BFC"/>
    <w:rsid w:val="00350B0B"/>
    <w:rsid w:val="003656DE"/>
    <w:rsid w:val="003A0CA4"/>
    <w:rsid w:val="003E0803"/>
    <w:rsid w:val="0042748B"/>
    <w:rsid w:val="00484B7C"/>
    <w:rsid w:val="0049305B"/>
    <w:rsid w:val="004A5B76"/>
    <w:rsid w:val="004E3110"/>
    <w:rsid w:val="00565766"/>
    <w:rsid w:val="005C7260"/>
    <w:rsid w:val="005D2282"/>
    <w:rsid w:val="005D4E91"/>
    <w:rsid w:val="00694805"/>
    <w:rsid w:val="006F0FCD"/>
    <w:rsid w:val="00733F64"/>
    <w:rsid w:val="00786F90"/>
    <w:rsid w:val="007A15EB"/>
    <w:rsid w:val="007B337F"/>
    <w:rsid w:val="007C202B"/>
    <w:rsid w:val="0080269D"/>
    <w:rsid w:val="00836F4D"/>
    <w:rsid w:val="008467B8"/>
    <w:rsid w:val="00925A08"/>
    <w:rsid w:val="00944873"/>
    <w:rsid w:val="009710B0"/>
    <w:rsid w:val="0097530D"/>
    <w:rsid w:val="009C52FB"/>
    <w:rsid w:val="009D077D"/>
    <w:rsid w:val="00A60E21"/>
    <w:rsid w:val="00A676F8"/>
    <w:rsid w:val="00B25F84"/>
    <w:rsid w:val="00BD1E2B"/>
    <w:rsid w:val="00C37EB7"/>
    <w:rsid w:val="00C43919"/>
    <w:rsid w:val="00C82725"/>
    <w:rsid w:val="00C834E8"/>
    <w:rsid w:val="00CB1BEB"/>
    <w:rsid w:val="00CF1162"/>
    <w:rsid w:val="00CF45F0"/>
    <w:rsid w:val="00D140B7"/>
    <w:rsid w:val="00DA5969"/>
    <w:rsid w:val="00DB06E1"/>
    <w:rsid w:val="00DC0458"/>
    <w:rsid w:val="00DE06A6"/>
    <w:rsid w:val="00F64D05"/>
    <w:rsid w:val="00F72344"/>
    <w:rsid w:val="00FA21D2"/>
    <w:rsid w:val="00FE4E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F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uiPriority="9" w:qFormat="1"/>
    <w:lsdException w:name="Hyperlink" w:uiPriority="99"/>
    <w:lsdException w:name="List Paragraph" w:uiPriority="34" w:qFormat="1"/>
  </w:latentStyles>
  <w:style w:type="paragraph" w:default="1" w:styleId="Normal">
    <w:name w:val="Normal"/>
    <w:qFormat/>
    <w:rsid w:val="000B307B"/>
    <w:rPr>
      <w:lang w:eastAsia="en-US"/>
    </w:rPr>
  </w:style>
  <w:style w:type="paragraph" w:styleId="Heading1">
    <w:name w:val="heading 1"/>
    <w:basedOn w:val="Normal"/>
    <w:next w:val="Normal"/>
    <w:link w:val="Heading1Char"/>
    <w:uiPriority w:val="9"/>
    <w:qFormat/>
    <w:rsid w:val="0080269D"/>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9D"/>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rsid w:val="00694805"/>
    <w:rPr>
      <w:lang w:eastAsia="ja-JP"/>
    </w:rPr>
  </w:style>
  <w:style w:type="character" w:customStyle="1" w:styleId="FootnoteTextChar">
    <w:name w:val="Footnote Text Char"/>
    <w:basedOn w:val="DefaultParagraphFont"/>
    <w:link w:val="FootnoteText"/>
    <w:rsid w:val="00694805"/>
  </w:style>
  <w:style w:type="character" w:styleId="FootnoteReference">
    <w:name w:val="footnote reference"/>
    <w:basedOn w:val="DefaultParagraphFont"/>
    <w:rsid w:val="00694805"/>
    <w:rPr>
      <w:vertAlign w:val="superscript"/>
    </w:rPr>
  </w:style>
  <w:style w:type="character" w:styleId="CommentReference">
    <w:name w:val="annotation reference"/>
    <w:basedOn w:val="DefaultParagraphFont"/>
    <w:rsid w:val="00694805"/>
    <w:rPr>
      <w:sz w:val="18"/>
      <w:szCs w:val="18"/>
    </w:rPr>
  </w:style>
  <w:style w:type="paragraph" w:styleId="CommentText">
    <w:name w:val="annotation text"/>
    <w:basedOn w:val="Normal"/>
    <w:link w:val="CommentTextChar"/>
    <w:rsid w:val="00694805"/>
    <w:rPr>
      <w:lang w:eastAsia="ja-JP"/>
    </w:rPr>
  </w:style>
  <w:style w:type="character" w:customStyle="1" w:styleId="CommentTextChar">
    <w:name w:val="Comment Text Char"/>
    <w:basedOn w:val="DefaultParagraphFont"/>
    <w:link w:val="CommentText"/>
    <w:rsid w:val="00694805"/>
  </w:style>
  <w:style w:type="paragraph" w:styleId="CommentSubject">
    <w:name w:val="annotation subject"/>
    <w:basedOn w:val="CommentText"/>
    <w:next w:val="CommentText"/>
    <w:link w:val="CommentSubjectChar"/>
    <w:rsid w:val="00694805"/>
    <w:rPr>
      <w:b/>
      <w:bCs/>
      <w:sz w:val="20"/>
      <w:szCs w:val="20"/>
    </w:rPr>
  </w:style>
  <w:style w:type="character" w:customStyle="1" w:styleId="CommentSubjectChar">
    <w:name w:val="Comment Subject Char"/>
    <w:basedOn w:val="CommentTextChar"/>
    <w:link w:val="CommentSubject"/>
    <w:rsid w:val="00694805"/>
    <w:rPr>
      <w:b/>
      <w:bCs/>
      <w:sz w:val="20"/>
      <w:szCs w:val="20"/>
    </w:rPr>
  </w:style>
  <w:style w:type="paragraph" w:styleId="BalloonText">
    <w:name w:val="Balloon Text"/>
    <w:basedOn w:val="Normal"/>
    <w:link w:val="BalloonTextChar"/>
    <w:rsid w:val="00694805"/>
    <w:rPr>
      <w:rFonts w:ascii="Lucida Grande" w:hAnsi="Lucida Grande" w:cs="Lucida Grande"/>
      <w:sz w:val="18"/>
      <w:szCs w:val="18"/>
      <w:lang w:eastAsia="ja-JP"/>
    </w:rPr>
  </w:style>
  <w:style w:type="character" w:customStyle="1" w:styleId="BalloonTextChar">
    <w:name w:val="Balloon Text Char"/>
    <w:basedOn w:val="DefaultParagraphFont"/>
    <w:link w:val="BalloonText"/>
    <w:rsid w:val="00694805"/>
    <w:rPr>
      <w:rFonts w:ascii="Lucida Grande" w:hAnsi="Lucida Grande" w:cs="Lucida Grande"/>
      <w:sz w:val="18"/>
      <w:szCs w:val="18"/>
    </w:rPr>
  </w:style>
  <w:style w:type="paragraph" w:styleId="NormalWeb">
    <w:name w:val="Normal (Web)"/>
    <w:basedOn w:val="Normal"/>
    <w:uiPriority w:val="99"/>
    <w:rsid w:val="00836F4D"/>
    <w:pPr>
      <w:spacing w:beforeLines="1" w:afterLines="1"/>
    </w:pPr>
    <w:rPr>
      <w:rFonts w:ascii="Times" w:hAnsi="Times" w:cs="Times New Roman"/>
      <w:sz w:val="20"/>
      <w:szCs w:val="20"/>
      <w:lang w:eastAsia="ja-JP"/>
    </w:rPr>
  </w:style>
  <w:style w:type="paragraph" w:styleId="ListParagraph">
    <w:name w:val="List Paragraph"/>
    <w:basedOn w:val="Normal"/>
    <w:uiPriority w:val="34"/>
    <w:qFormat/>
    <w:rsid w:val="007C202B"/>
    <w:pPr>
      <w:ind w:left="720"/>
      <w:contextualSpacing/>
    </w:pPr>
    <w:rPr>
      <w:lang w:eastAsia="ja-JP"/>
    </w:rPr>
  </w:style>
  <w:style w:type="character" w:styleId="Hyperlink">
    <w:name w:val="Hyperlink"/>
    <w:basedOn w:val="DefaultParagraphFont"/>
    <w:uiPriority w:val="99"/>
    <w:unhideWhenUsed/>
    <w:rsid w:val="007C202B"/>
    <w:rPr>
      <w:color w:val="0000FF" w:themeColor="hyperlink"/>
      <w:u w:val="single"/>
    </w:rPr>
  </w:style>
  <w:style w:type="paragraph" w:styleId="EndnoteText">
    <w:name w:val="endnote text"/>
    <w:basedOn w:val="FootnoteText"/>
    <w:next w:val="FootnoteText"/>
    <w:link w:val="EndnoteTextChar"/>
    <w:rsid w:val="001F2B0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A5969"/>
    <w:rPr>
      <w:rFonts w:ascii="Times New Roman" w:eastAsia="Times New Roman" w:hAnsi="Times New Roman" w:cs="Times New Roman"/>
      <w:sz w:val="20"/>
      <w:szCs w:val="20"/>
    </w:rPr>
  </w:style>
  <w:style w:type="character" w:styleId="EndnoteReference">
    <w:name w:val="endnote reference"/>
    <w:basedOn w:val="DefaultParagraphFont"/>
    <w:rsid w:val="001F2B05"/>
    <w:rPr>
      <w:vertAlign w:val="superscript"/>
    </w:rPr>
  </w:style>
  <w:style w:type="character" w:customStyle="1" w:styleId="foreground">
    <w:name w:val="foreground"/>
    <w:basedOn w:val="DefaultParagraphFont"/>
    <w:rsid w:val="0042748B"/>
  </w:style>
  <w:style w:type="paragraph" w:customStyle="1" w:styleId="Style1">
    <w:name w:val="Style1"/>
    <w:basedOn w:val="FootnoteText"/>
    <w:qFormat/>
    <w:rsid w:val="00DA5969"/>
  </w:style>
  <w:style w:type="table" w:styleId="TableGrid">
    <w:name w:val="Table Grid"/>
    <w:basedOn w:val="TableNormal"/>
    <w:rsid w:val="00F64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
    <w:rsid w:val="008467B8"/>
    <w:pPr>
      <w:widowControl w:val="0"/>
      <w:overflowPunct w:val="0"/>
      <w:autoSpaceDE w:val="0"/>
      <w:autoSpaceDN w:val="0"/>
      <w:adjustRightInd w:val="0"/>
      <w:spacing w:before="240" w:line="480" w:lineRule="auto"/>
      <w:jc w:val="both"/>
      <w:textAlignment w:val="baseline"/>
    </w:pPr>
    <w:rPr>
      <w:rFonts w:ascii="Times New Roman" w:eastAsia="Times New Roman" w:hAnsi="Times New Roman" w:cs="Times New Roman"/>
      <w:color w:val="000000"/>
      <w:szCs w:val="20"/>
      <w:lang w:eastAsia="ko-KR"/>
    </w:rPr>
  </w:style>
  <w:style w:type="character" w:customStyle="1" w:styleId="subpagetitle">
    <w:name w:val="subpagetitle"/>
    <w:basedOn w:val="DefaultParagraphFont"/>
    <w:rsid w:val="002A502E"/>
  </w:style>
  <w:style w:type="paragraph" w:customStyle="1" w:styleId="story-body-text">
    <w:name w:val="story-body-text"/>
    <w:basedOn w:val="Normal"/>
    <w:rsid w:val="002A502E"/>
    <w:pPr>
      <w:spacing w:before="100" w:beforeAutospacing="1" w:after="100" w:afterAutospacing="1"/>
    </w:pPr>
    <w:rPr>
      <w:rFonts w:ascii="Times" w:hAnsi="Times"/>
      <w:sz w:val="20"/>
      <w:szCs w:val="20"/>
      <w:lang w:eastAsia="ja-JP"/>
    </w:rPr>
  </w:style>
  <w:style w:type="paragraph" w:customStyle="1" w:styleId="REFReferencetext">
    <w:name w:val="REF Reference text"/>
    <w:basedOn w:val="Normal"/>
    <w:rsid w:val="0049305B"/>
    <w:pPr>
      <w:overflowPunct w:val="0"/>
      <w:autoSpaceDE w:val="0"/>
      <w:autoSpaceDN w:val="0"/>
      <w:adjustRightInd w:val="0"/>
      <w:spacing w:after="240" w:line="480" w:lineRule="auto"/>
    </w:pPr>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eading 1" w:uiPriority="9" w:qFormat="1"/>
    <w:lsdException w:name="Hyperlink" w:uiPriority="99"/>
    <w:lsdException w:name="List Paragraph" w:uiPriority="34" w:qFormat="1"/>
  </w:latentStyles>
  <w:style w:type="paragraph" w:default="1" w:styleId="Normal">
    <w:name w:val="Normal"/>
    <w:qFormat/>
    <w:rsid w:val="000B307B"/>
    <w:rPr>
      <w:lang w:eastAsia="en-US"/>
    </w:rPr>
  </w:style>
  <w:style w:type="paragraph" w:styleId="Heading1">
    <w:name w:val="heading 1"/>
    <w:basedOn w:val="Normal"/>
    <w:next w:val="Normal"/>
    <w:link w:val="Heading1Char"/>
    <w:uiPriority w:val="9"/>
    <w:qFormat/>
    <w:rsid w:val="0080269D"/>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9D"/>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rsid w:val="00694805"/>
    <w:rPr>
      <w:lang w:eastAsia="ja-JP"/>
    </w:rPr>
  </w:style>
  <w:style w:type="character" w:customStyle="1" w:styleId="FootnoteTextChar">
    <w:name w:val="Footnote Text Char"/>
    <w:basedOn w:val="DefaultParagraphFont"/>
    <w:link w:val="FootnoteText"/>
    <w:rsid w:val="00694805"/>
  </w:style>
  <w:style w:type="character" w:styleId="FootnoteReference">
    <w:name w:val="footnote reference"/>
    <w:basedOn w:val="DefaultParagraphFont"/>
    <w:rsid w:val="00694805"/>
    <w:rPr>
      <w:vertAlign w:val="superscript"/>
    </w:rPr>
  </w:style>
  <w:style w:type="character" w:styleId="CommentReference">
    <w:name w:val="annotation reference"/>
    <w:basedOn w:val="DefaultParagraphFont"/>
    <w:rsid w:val="00694805"/>
    <w:rPr>
      <w:sz w:val="18"/>
      <w:szCs w:val="18"/>
    </w:rPr>
  </w:style>
  <w:style w:type="paragraph" w:styleId="CommentText">
    <w:name w:val="annotation text"/>
    <w:basedOn w:val="Normal"/>
    <w:link w:val="CommentTextChar"/>
    <w:rsid w:val="00694805"/>
    <w:rPr>
      <w:lang w:eastAsia="ja-JP"/>
    </w:rPr>
  </w:style>
  <w:style w:type="character" w:customStyle="1" w:styleId="CommentTextChar">
    <w:name w:val="Comment Text Char"/>
    <w:basedOn w:val="DefaultParagraphFont"/>
    <w:link w:val="CommentText"/>
    <w:rsid w:val="00694805"/>
  </w:style>
  <w:style w:type="paragraph" w:styleId="CommentSubject">
    <w:name w:val="annotation subject"/>
    <w:basedOn w:val="CommentText"/>
    <w:next w:val="CommentText"/>
    <w:link w:val="CommentSubjectChar"/>
    <w:rsid w:val="00694805"/>
    <w:rPr>
      <w:b/>
      <w:bCs/>
      <w:sz w:val="20"/>
      <w:szCs w:val="20"/>
    </w:rPr>
  </w:style>
  <w:style w:type="character" w:customStyle="1" w:styleId="CommentSubjectChar">
    <w:name w:val="Comment Subject Char"/>
    <w:basedOn w:val="CommentTextChar"/>
    <w:link w:val="CommentSubject"/>
    <w:rsid w:val="00694805"/>
    <w:rPr>
      <w:b/>
      <w:bCs/>
      <w:sz w:val="20"/>
      <w:szCs w:val="20"/>
    </w:rPr>
  </w:style>
  <w:style w:type="paragraph" w:styleId="BalloonText">
    <w:name w:val="Balloon Text"/>
    <w:basedOn w:val="Normal"/>
    <w:link w:val="BalloonTextChar"/>
    <w:rsid w:val="00694805"/>
    <w:rPr>
      <w:rFonts w:ascii="Lucida Grande" w:hAnsi="Lucida Grande" w:cs="Lucida Grande"/>
      <w:sz w:val="18"/>
      <w:szCs w:val="18"/>
      <w:lang w:eastAsia="ja-JP"/>
    </w:rPr>
  </w:style>
  <w:style w:type="character" w:customStyle="1" w:styleId="BalloonTextChar">
    <w:name w:val="Balloon Text Char"/>
    <w:basedOn w:val="DefaultParagraphFont"/>
    <w:link w:val="BalloonText"/>
    <w:rsid w:val="00694805"/>
    <w:rPr>
      <w:rFonts w:ascii="Lucida Grande" w:hAnsi="Lucida Grande" w:cs="Lucida Grande"/>
      <w:sz w:val="18"/>
      <w:szCs w:val="18"/>
    </w:rPr>
  </w:style>
  <w:style w:type="paragraph" w:styleId="NormalWeb">
    <w:name w:val="Normal (Web)"/>
    <w:basedOn w:val="Normal"/>
    <w:uiPriority w:val="99"/>
    <w:rsid w:val="00836F4D"/>
    <w:pPr>
      <w:spacing w:beforeLines="1" w:afterLines="1"/>
    </w:pPr>
    <w:rPr>
      <w:rFonts w:ascii="Times" w:hAnsi="Times" w:cs="Times New Roman"/>
      <w:sz w:val="20"/>
      <w:szCs w:val="20"/>
      <w:lang w:eastAsia="ja-JP"/>
    </w:rPr>
  </w:style>
  <w:style w:type="paragraph" w:styleId="ListParagraph">
    <w:name w:val="List Paragraph"/>
    <w:basedOn w:val="Normal"/>
    <w:uiPriority w:val="34"/>
    <w:qFormat/>
    <w:rsid w:val="007C202B"/>
    <w:pPr>
      <w:ind w:left="720"/>
      <w:contextualSpacing/>
    </w:pPr>
    <w:rPr>
      <w:lang w:eastAsia="ja-JP"/>
    </w:rPr>
  </w:style>
  <w:style w:type="character" w:styleId="Hyperlink">
    <w:name w:val="Hyperlink"/>
    <w:basedOn w:val="DefaultParagraphFont"/>
    <w:uiPriority w:val="99"/>
    <w:unhideWhenUsed/>
    <w:rsid w:val="007C202B"/>
    <w:rPr>
      <w:color w:val="0000FF" w:themeColor="hyperlink"/>
      <w:u w:val="single"/>
    </w:rPr>
  </w:style>
  <w:style w:type="paragraph" w:styleId="EndnoteText">
    <w:name w:val="endnote text"/>
    <w:basedOn w:val="FootnoteText"/>
    <w:next w:val="FootnoteText"/>
    <w:link w:val="EndnoteTextChar"/>
    <w:rsid w:val="001F2B0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A5969"/>
    <w:rPr>
      <w:rFonts w:ascii="Times New Roman" w:eastAsia="Times New Roman" w:hAnsi="Times New Roman" w:cs="Times New Roman"/>
      <w:sz w:val="20"/>
      <w:szCs w:val="20"/>
    </w:rPr>
  </w:style>
  <w:style w:type="character" w:styleId="EndnoteReference">
    <w:name w:val="endnote reference"/>
    <w:basedOn w:val="DefaultParagraphFont"/>
    <w:rsid w:val="001F2B05"/>
    <w:rPr>
      <w:vertAlign w:val="superscript"/>
    </w:rPr>
  </w:style>
  <w:style w:type="character" w:customStyle="1" w:styleId="foreground">
    <w:name w:val="foreground"/>
    <w:basedOn w:val="DefaultParagraphFont"/>
    <w:rsid w:val="0042748B"/>
  </w:style>
  <w:style w:type="paragraph" w:customStyle="1" w:styleId="Style1">
    <w:name w:val="Style1"/>
    <w:basedOn w:val="FootnoteText"/>
    <w:qFormat/>
    <w:rsid w:val="00DA5969"/>
  </w:style>
  <w:style w:type="table" w:styleId="TableGrid">
    <w:name w:val="Table Grid"/>
    <w:basedOn w:val="TableNormal"/>
    <w:rsid w:val="00F64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
    <w:rsid w:val="008467B8"/>
    <w:pPr>
      <w:widowControl w:val="0"/>
      <w:overflowPunct w:val="0"/>
      <w:autoSpaceDE w:val="0"/>
      <w:autoSpaceDN w:val="0"/>
      <w:adjustRightInd w:val="0"/>
      <w:spacing w:before="240" w:line="480" w:lineRule="auto"/>
      <w:jc w:val="both"/>
      <w:textAlignment w:val="baseline"/>
    </w:pPr>
    <w:rPr>
      <w:rFonts w:ascii="Times New Roman" w:eastAsia="Times New Roman" w:hAnsi="Times New Roman" w:cs="Times New Roman"/>
      <w:color w:val="000000"/>
      <w:szCs w:val="20"/>
      <w:lang w:eastAsia="ko-KR"/>
    </w:rPr>
  </w:style>
  <w:style w:type="character" w:customStyle="1" w:styleId="subpagetitle">
    <w:name w:val="subpagetitle"/>
    <w:basedOn w:val="DefaultParagraphFont"/>
    <w:rsid w:val="002A502E"/>
  </w:style>
  <w:style w:type="paragraph" w:customStyle="1" w:styleId="story-body-text">
    <w:name w:val="story-body-text"/>
    <w:basedOn w:val="Normal"/>
    <w:rsid w:val="002A502E"/>
    <w:pPr>
      <w:spacing w:before="100" w:beforeAutospacing="1" w:after="100" w:afterAutospacing="1"/>
    </w:pPr>
    <w:rPr>
      <w:rFonts w:ascii="Times" w:hAnsi="Times"/>
      <w:sz w:val="20"/>
      <w:szCs w:val="20"/>
      <w:lang w:eastAsia="ja-JP"/>
    </w:rPr>
  </w:style>
  <w:style w:type="paragraph" w:customStyle="1" w:styleId="REFReferencetext">
    <w:name w:val="REF Reference text"/>
    <w:basedOn w:val="Normal"/>
    <w:rsid w:val="0049305B"/>
    <w:pPr>
      <w:overflowPunct w:val="0"/>
      <w:autoSpaceDE w:val="0"/>
      <w:autoSpaceDN w:val="0"/>
      <w:adjustRightInd w:val="0"/>
      <w:spacing w:after="240" w:line="480" w:lineRule="auto"/>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322">
      <w:bodyDiv w:val="1"/>
      <w:marLeft w:val="0"/>
      <w:marRight w:val="0"/>
      <w:marTop w:val="0"/>
      <w:marBottom w:val="0"/>
      <w:divBdr>
        <w:top w:val="none" w:sz="0" w:space="0" w:color="auto"/>
        <w:left w:val="none" w:sz="0" w:space="0" w:color="auto"/>
        <w:bottom w:val="none" w:sz="0" w:space="0" w:color="auto"/>
        <w:right w:val="none" w:sz="0" w:space="0" w:color="auto"/>
      </w:divBdr>
    </w:div>
    <w:div w:id="163205559">
      <w:bodyDiv w:val="1"/>
      <w:marLeft w:val="0"/>
      <w:marRight w:val="0"/>
      <w:marTop w:val="0"/>
      <w:marBottom w:val="0"/>
      <w:divBdr>
        <w:top w:val="none" w:sz="0" w:space="0" w:color="auto"/>
        <w:left w:val="none" w:sz="0" w:space="0" w:color="auto"/>
        <w:bottom w:val="none" w:sz="0" w:space="0" w:color="auto"/>
        <w:right w:val="none" w:sz="0" w:space="0" w:color="auto"/>
      </w:divBdr>
    </w:div>
    <w:div w:id="347100314">
      <w:bodyDiv w:val="1"/>
      <w:marLeft w:val="0"/>
      <w:marRight w:val="0"/>
      <w:marTop w:val="0"/>
      <w:marBottom w:val="0"/>
      <w:divBdr>
        <w:top w:val="none" w:sz="0" w:space="0" w:color="auto"/>
        <w:left w:val="none" w:sz="0" w:space="0" w:color="auto"/>
        <w:bottom w:val="none" w:sz="0" w:space="0" w:color="auto"/>
        <w:right w:val="none" w:sz="0" w:space="0" w:color="auto"/>
      </w:divBdr>
    </w:div>
    <w:div w:id="415250743">
      <w:bodyDiv w:val="1"/>
      <w:marLeft w:val="0"/>
      <w:marRight w:val="0"/>
      <w:marTop w:val="0"/>
      <w:marBottom w:val="0"/>
      <w:divBdr>
        <w:top w:val="none" w:sz="0" w:space="0" w:color="auto"/>
        <w:left w:val="none" w:sz="0" w:space="0" w:color="auto"/>
        <w:bottom w:val="none" w:sz="0" w:space="0" w:color="auto"/>
        <w:right w:val="none" w:sz="0" w:space="0" w:color="auto"/>
      </w:divBdr>
    </w:div>
    <w:div w:id="523713561">
      <w:bodyDiv w:val="1"/>
      <w:marLeft w:val="0"/>
      <w:marRight w:val="0"/>
      <w:marTop w:val="0"/>
      <w:marBottom w:val="0"/>
      <w:divBdr>
        <w:top w:val="none" w:sz="0" w:space="0" w:color="auto"/>
        <w:left w:val="none" w:sz="0" w:space="0" w:color="auto"/>
        <w:bottom w:val="none" w:sz="0" w:space="0" w:color="auto"/>
        <w:right w:val="none" w:sz="0" w:space="0" w:color="auto"/>
      </w:divBdr>
    </w:div>
    <w:div w:id="755133980">
      <w:bodyDiv w:val="1"/>
      <w:marLeft w:val="0"/>
      <w:marRight w:val="0"/>
      <w:marTop w:val="0"/>
      <w:marBottom w:val="0"/>
      <w:divBdr>
        <w:top w:val="none" w:sz="0" w:space="0" w:color="auto"/>
        <w:left w:val="none" w:sz="0" w:space="0" w:color="auto"/>
        <w:bottom w:val="none" w:sz="0" w:space="0" w:color="auto"/>
        <w:right w:val="none" w:sz="0" w:space="0" w:color="auto"/>
      </w:divBdr>
    </w:div>
    <w:div w:id="1086922461">
      <w:bodyDiv w:val="1"/>
      <w:marLeft w:val="0"/>
      <w:marRight w:val="0"/>
      <w:marTop w:val="0"/>
      <w:marBottom w:val="0"/>
      <w:divBdr>
        <w:top w:val="none" w:sz="0" w:space="0" w:color="auto"/>
        <w:left w:val="none" w:sz="0" w:space="0" w:color="auto"/>
        <w:bottom w:val="none" w:sz="0" w:space="0" w:color="auto"/>
        <w:right w:val="none" w:sz="0" w:space="0" w:color="auto"/>
      </w:divBdr>
      <w:divsChild>
        <w:div w:id="1616666996">
          <w:marLeft w:val="806"/>
          <w:marRight w:val="0"/>
          <w:marTop w:val="0"/>
          <w:marBottom w:val="0"/>
          <w:divBdr>
            <w:top w:val="none" w:sz="0" w:space="0" w:color="auto"/>
            <w:left w:val="none" w:sz="0" w:space="0" w:color="auto"/>
            <w:bottom w:val="none" w:sz="0" w:space="0" w:color="auto"/>
            <w:right w:val="none" w:sz="0" w:space="0" w:color="auto"/>
          </w:divBdr>
        </w:div>
        <w:div w:id="1390612129">
          <w:marLeft w:val="806"/>
          <w:marRight w:val="0"/>
          <w:marTop w:val="0"/>
          <w:marBottom w:val="0"/>
          <w:divBdr>
            <w:top w:val="none" w:sz="0" w:space="0" w:color="auto"/>
            <w:left w:val="none" w:sz="0" w:space="0" w:color="auto"/>
            <w:bottom w:val="none" w:sz="0" w:space="0" w:color="auto"/>
            <w:right w:val="none" w:sz="0" w:space="0" w:color="auto"/>
          </w:divBdr>
        </w:div>
        <w:div w:id="1336229215">
          <w:marLeft w:val="806"/>
          <w:marRight w:val="0"/>
          <w:marTop w:val="0"/>
          <w:marBottom w:val="0"/>
          <w:divBdr>
            <w:top w:val="none" w:sz="0" w:space="0" w:color="auto"/>
            <w:left w:val="none" w:sz="0" w:space="0" w:color="auto"/>
            <w:bottom w:val="none" w:sz="0" w:space="0" w:color="auto"/>
            <w:right w:val="none" w:sz="0" w:space="0" w:color="auto"/>
          </w:divBdr>
        </w:div>
        <w:div w:id="2040426559">
          <w:marLeft w:val="806"/>
          <w:marRight w:val="0"/>
          <w:marTop w:val="0"/>
          <w:marBottom w:val="0"/>
          <w:divBdr>
            <w:top w:val="none" w:sz="0" w:space="0" w:color="auto"/>
            <w:left w:val="none" w:sz="0" w:space="0" w:color="auto"/>
            <w:bottom w:val="none" w:sz="0" w:space="0" w:color="auto"/>
            <w:right w:val="none" w:sz="0" w:space="0" w:color="auto"/>
          </w:divBdr>
        </w:div>
        <w:div w:id="1261138042">
          <w:marLeft w:val="806"/>
          <w:marRight w:val="0"/>
          <w:marTop w:val="0"/>
          <w:marBottom w:val="0"/>
          <w:divBdr>
            <w:top w:val="none" w:sz="0" w:space="0" w:color="auto"/>
            <w:left w:val="none" w:sz="0" w:space="0" w:color="auto"/>
            <w:bottom w:val="none" w:sz="0" w:space="0" w:color="auto"/>
            <w:right w:val="none" w:sz="0" w:space="0" w:color="auto"/>
          </w:divBdr>
        </w:div>
        <w:div w:id="519045732">
          <w:marLeft w:val="806"/>
          <w:marRight w:val="0"/>
          <w:marTop w:val="0"/>
          <w:marBottom w:val="0"/>
          <w:divBdr>
            <w:top w:val="none" w:sz="0" w:space="0" w:color="auto"/>
            <w:left w:val="none" w:sz="0" w:space="0" w:color="auto"/>
            <w:bottom w:val="none" w:sz="0" w:space="0" w:color="auto"/>
            <w:right w:val="none" w:sz="0" w:space="0" w:color="auto"/>
          </w:divBdr>
        </w:div>
        <w:div w:id="1113986244">
          <w:marLeft w:val="806"/>
          <w:marRight w:val="0"/>
          <w:marTop w:val="0"/>
          <w:marBottom w:val="0"/>
          <w:divBdr>
            <w:top w:val="none" w:sz="0" w:space="0" w:color="auto"/>
            <w:left w:val="none" w:sz="0" w:space="0" w:color="auto"/>
            <w:bottom w:val="none" w:sz="0" w:space="0" w:color="auto"/>
            <w:right w:val="none" w:sz="0" w:space="0" w:color="auto"/>
          </w:divBdr>
        </w:div>
        <w:div w:id="1025593089">
          <w:marLeft w:val="806"/>
          <w:marRight w:val="0"/>
          <w:marTop w:val="0"/>
          <w:marBottom w:val="0"/>
          <w:divBdr>
            <w:top w:val="none" w:sz="0" w:space="0" w:color="auto"/>
            <w:left w:val="none" w:sz="0" w:space="0" w:color="auto"/>
            <w:bottom w:val="none" w:sz="0" w:space="0" w:color="auto"/>
            <w:right w:val="none" w:sz="0" w:space="0" w:color="auto"/>
          </w:divBdr>
        </w:div>
        <w:div w:id="176503549">
          <w:marLeft w:val="806"/>
          <w:marRight w:val="0"/>
          <w:marTop w:val="0"/>
          <w:marBottom w:val="0"/>
          <w:divBdr>
            <w:top w:val="none" w:sz="0" w:space="0" w:color="auto"/>
            <w:left w:val="none" w:sz="0" w:space="0" w:color="auto"/>
            <w:bottom w:val="none" w:sz="0" w:space="0" w:color="auto"/>
            <w:right w:val="none" w:sz="0" w:space="0" w:color="auto"/>
          </w:divBdr>
        </w:div>
        <w:div w:id="547759805">
          <w:marLeft w:val="806"/>
          <w:marRight w:val="0"/>
          <w:marTop w:val="0"/>
          <w:marBottom w:val="0"/>
          <w:divBdr>
            <w:top w:val="none" w:sz="0" w:space="0" w:color="auto"/>
            <w:left w:val="none" w:sz="0" w:space="0" w:color="auto"/>
            <w:bottom w:val="none" w:sz="0" w:space="0" w:color="auto"/>
            <w:right w:val="none" w:sz="0" w:space="0" w:color="auto"/>
          </w:divBdr>
        </w:div>
      </w:divsChild>
    </w:div>
    <w:div w:id="1159884426">
      <w:bodyDiv w:val="1"/>
      <w:marLeft w:val="0"/>
      <w:marRight w:val="0"/>
      <w:marTop w:val="0"/>
      <w:marBottom w:val="0"/>
      <w:divBdr>
        <w:top w:val="none" w:sz="0" w:space="0" w:color="auto"/>
        <w:left w:val="none" w:sz="0" w:space="0" w:color="auto"/>
        <w:bottom w:val="none" w:sz="0" w:space="0" w:color="auto"/>
        <w:right w:val="none" w:sz="0" w:space="0" w:color="auto"/>
      </w:divBdr>
    </w:div>
    <w:div w:id="1209223114">
      <w:bodyDiv w:val="1"/>
      <w:marLeft w:val="0"/>
      <w:marRight w:val="0"/>
      <w:marTop w:val="0"/>
      <w:marBottom w:val="0"/>
      <w:divBdr>
        <w:top w:val="none" w:sz="0" w:space="0" w:color="auto"/>
        <w:left w:val="none" w:sz="0" w:space="0" w:color="auto"/>
        <w:bottom w:val="none" w:sz="0" w:space="0" w:color="auto"/>
        <w:right w:val="none" w:sz="0" w:space="0" w:color="auto"/>
      </w:divBdr>
    </w:div>
    <w:div w:id="1310162336">
      <w:bodyDiv w:val="1"/>
      <w:marLeft w:val="0"/>
      <w:marRight w:val="0"/>
      <w:marTop w:val="0"/>
      <w:marBottom w:val="0"/>
      <w:divBdr>
        <w:top w:val="none" w:sz="0" w:space="0" w:color="auto"/>
        <w:left w:val="none" w:sz="0" w:space="0" w:color="auto"/>
        <w:bottom w:val="none" w:sz="0" w:space="0" w:color="auto"/>
        <w:right w:val="none" w:sz="0" w:space="0" w:color="auto"/>
      </w:divBdr>
    </w:div>
    <w:div w:id="1484615178">
      <w:bodyDiv w:val="1"/>
      <w:marLeft w:val="0"/>
      <w:marRight w:val="0"/>
      <w:marTop w:val="0"/>
      <w:marBottom w:val="0"/>
      <w:divBdr>
        <w:top w:val="none" w:sz="0" w:space="0" w:color="auto"/>
        <w:left w:val="none" w:sz="0" w:space="0" w:color="auto"/>
        <w:bottom w:val="none" w:sz="0" w:space="0" w:color="auto"/>
        <w:right w:val="none" w:sz="0" w:space="0" w:color="auto"/>
      </w:divBdr>
    </w:div>
    <w:div w:id="1501626880">
      <w:bodyDiv w:val="1"/>
      <w:marLeft w:val="0"/>
      <w:marRight w:val="0"/>
      <w:marTop w:val="0"/>
      <w:marBottom w:val="0"/>
      <w:divBdr>
        <w:top w:val="none" w:sz="0" w:space="0" w:color="auto"/>
        <w:left w:val="none" w:sz="0" w:space="0" w:color="auto"/>
        <w:bottom w:val="none" w:sz="0" w:space="0" w:color="auto"/>
        <w:right w:val="none" w:sz="0" w:space="0" w:color="auto"/>
      </w:divBdr>
    </w:div>
    <w:div w:id="1677030183">
      <w:bodyDiv w:val="1"/>
      <w:marLeft w:val="0"/>
      <w:marRight w:val="0"/>
      <w:marTop w:val="0"/>
      <w:marBottom w:val="0"/>
      <w:divBdr>
        <w:top w:val="none" w:sz="0" w:space="0" w:color="auto"/>
        <w:left w:val="none" w:sz="0" w:space="0" w:color="auto"/>
        <w:bottom w:val="none" w:sz="0" w:space="0" w:color="auto"/>
        <w:right w:val="none" w:sz="0" w:space="0" w:color="auto"/>
      </w:divBdr>
    </w:div>
    <w:div w:id="1701315601">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830553523">
      <w:bodyDiv w:val="1"/>
      <w:marLeft w:val="0"/>
      <w:marRight w:val="0"/>
      <w:marTop w:val="0"/>
      <w:marBottom w:val="0"/>
      <w:divBdr>
        <w:top w:val="none" w:sz="0" w:space="0" w:color="auto"/>
        <w:left w:val="none" w:sz="0" w:space="0" w:color="auto"/>
        <w:bottom w:val="none" w:sz="0" w:space="0" w:color="auto"/>
        <w:right w:val="none" w:sz="0" w:space="0" w:color="auto"/>
      </w:divBdr>
    </w:div>
    <w:div w:id="1882084392">
      <w:bodyDiv w:val="1"/>
      <w:marLeft w:val="0"/>
      <w:marRight w:val="0"/>
      <w:marTop w:val="0"/>
      <w:marBottom w:val="0"/>
      <w:divBdr>
        <w:top w:val="none" w:sz="0" w:space="0" w:color="auto"/>
        <w:left w:val="none" w:sz="0" w:space="0" w:color="auto"/>
        <w:bottom w:val="none" w:sz="0" w:space="0" w:color="auto"/>
        <w:right w:val="none" w:sz="0" w:space="0" w:color="auto"/>
      </w:divBdr>
    </w:div>
    <w:div w:id="2003585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www.gmfus.org/press/article.cfm?id=12&amp;parent_type=R" TargetMode="External"/><Relationship Id="rId4" Type="http://schemas.openxmlformats.org/officeDocument/2006/relationships/hyperlink" Target="http://www.icpsr.umich.edu/icpsrweb/ICPSR/ssvd/studies/03384/datasets/0001/variables/CPSECUR?q=&amp;paging.rows=100&amp;paging.startRow=1" TargetMode="External"/><Relationship Id="rId1" Type="http://schemas.openxmlformats.org/officeDocument/2006/relationships/hyperlink" Target="https://euobserver.com/defence/22266" TargetMode="External"/><Relationship Id="rId2" Type="http://schemas.openxmlformats.org/officeDocument/2006/relationships/hyperlink" Target="http://www.nato.int/docu/pr/2005/p050609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oleObject" Target="Workbook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European public opinion on which level of governance best addresses defense threats</a:t>
            </a:r>
          </a:p>
        </c:rich>
      </c:tx>
      <c:layout/>
      <c:overlay val="0"/>
    </c:title>
    <c:autoTitleDeleted val="0"/>
    <c:plotArea>
      <c:layout/>
      <c:pieChart>
        <c:varyColors val="1"/>
        <c:ser>
          <c:idx val="0"/>
          <c:order val="0"/>
          <c:tx>
            <c:strRef>
              <c:f>Sheet1!$B$1</c:f>
              <c:strCache>
                <c:ptCount val="1"/>
                <c:pt idx="0">
                  <c:v>European public opinion on which level of governance best addresses defense threats</c:v>
                </c:pt>
              </c:strCache>
            </c:strRef>
          </c:tx>
          <c:cat>
            <c:strRef>
              <c:f>Sheet1!$A$2:$A$6</c:f>
              <c:strCache>
                <c:ptCount val="5"/>
                <c:pt idx="0">
                  <c:v>EU</c:v>
                </c:pt>
                <c:pt idx="1">
                  <c:v>National Gov't</c:v>
                </c:pt>
                <c:pt idx="2">
                  <c:v>NATO</c:v>
                </c:pt>
                <c:pt idx="3">
                  <c:v>Don't Know</c:v>
                </c:pt>
                <c:pt idx="4">
                  <c:v>Other (UN)</c:v>
                </c:pt>
              </c:strCache>
            </c:strRef>
          </c:cat>
          <c:val>
            <c:numRef>
              <c:f>Sheet1!$B$2:$B$6</c:f>
              <c:numCache>
                <c:formatCode>General</c:formatCode>
                <c:ptCount val="5"/>
                <c:pt idx="0">
                  <c:v>43.0</c:v>
                </c:pt>
                <c:pt idx="1">
                  <c:v>24.0</c:v>
                </c:pt>
                <c:pt idx="2">
                  <c:v>17.0</c:v>
                </c:pt>
                <c:pt idx="3">
                  <c:v>15.0</c:v>
                </c:pt>
                <c:pt idx="4">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manualLayout>
          <c:layoutTarget val="inner"/>
          <c:xMode val="edge"/>
          <c:yMode val="edge"/>
          <c:x val="0.121742537996704"/>
          <c:y val="0.0654397822386205"/>
          <c:w val="0.602051633789679"/>
          <c:h val="0.778931120096474"/>
        </c:manualLayout>
      </c:layout>
      <c:lineChart>
        <c:grouping val="standard"/>
        <c:varyColors val="0"/>
        <c:ser>
          <c:idx val="0"/>
          <c:order val="0"/>
          <c:tx>
            <c:strRef>
              <c:f>[1]Sheet1!$B$1</c:f>
              <c:strCache>
                <c:ptCount val="1"/>
                <c:pt idx="0">
                  <c:v>Interest</c:v>
                </c:pt>
              </c:strCache>
            </c:strRef>
          </c:tx>
          <c:cat>
            <c:numRef>
              <c:f>[1]Sheet1!$A$2:$A$5</c:f>
              <c:numCache>
                <c:formatCode>General</c:formatCode>
                <c:ptCount val="4"/>
                <c:pt idx="0">
                  <c:v>0.0</c:v>
                </c:pt>
                <c:pt idx="1">
                  <c:v>1.0</c:v>
                </c:pt>
                <c:pt idx="2">
                  <c:v>2.0</c:v>
                </c:pt>
                <c:pt idx="3">
                  <c:v>3.0</c:v>
                </c:pt>
              </c:numCache>
            </c:numRef>
          </c:cat>
          <c:val>
            <c:numRef>
              <c:f>[1]Sheet1!$B$2:$B$5</c:f>
              <c:numCache>
                <c:formatCode>General</c:formatCode>
                <c:ptCount val="4"/>
                <c:pt idx="0">
                  <c:v>43.2</c:v>
                </c:pt>
                <c:pt idx="1">
                  <c:v>47.7</c:v>
                </c:pt>
                <c:pt idx="2">
                  <c:v>52.3</c:v>
                </c:pt>
                <c:pt idx="3">
                  <c:v>56.8</c:v>
                </c:pt>
              </c:numCache>
            </c:numRef>
          </c:val>
          <c:smooth val="0"/>
        </c:ser>
        <c:ser>
          <c:idx val="1"/>
          <c:order val="1"/>
          <c:tx>
            <c:strRef>
              <c:f>[1]Sheet1!$C$1</c:f>
              <c:strCache>
                <c:ptCount val="1"/>
                <c:pt idx="0">
                  <c:v>Feel Informed</c:v>
                </c:pt>
              </c:strCache>
            </c:strRef>
          </c:tx>
          <c:cat>
            <c:numRef>
              <c:f>[1]Sheet1!$A$2:$A$5</c:f>
              <c:numCache>
                <c:formatCode>General</c:formatCode>
                <c:ptCount val="4"/>
                <c:pt idx="0">
                  <c:v>0.0</c:v>
                </c:pt>
                <c:pt idx="1">
                  <c:v>1.0</c:v>
                </c:pt>
                <c:pt idx="2">
                  <c:v>2.0</c:v>
                </c:pt>
                <c:pt idx="3">
                  <c:v>3.0</c:v>
                </c:pt>
              </c:numCache>
            </c:numRef>
          </c:cat>
          <c:val>
            <c:numRef>
              <c:f>[1]Sheet1!$C$2:$C$5</c:f>
              <c:numCache>
                <c:formatCode>General</c:formatCode>
                <c:ptCount val="4"/>
                <c:pt idx="0">
                  <c:v>42.6</c:v>
                </c:pt>
                <c:pt idx="1">
                  <c:v>48.4</c:v>
                </c:pt>
                <c:pt idx="2">
                  <c:v>54.2</c:v>
                </c:pt>
                <c:pt idx="3">
                  <c:v>59.9</c:v>
                </c:pt>
              </c:numCache>
            </c:numRef>
          </c:val>
          <c:smooth val="0"/>
        </c:ser>
        <c:ser>
          <c:idx val="2"/>
          <c:order val="2"/>
          <c:tx>
            <c:strRef>
              <c:f>[1]Sheet1!$D$1</c:f>
              <c:strCache>
                <c:ptCount val="1"/>
                <c:pt idx="0">
                  <c:v>Leadership</c:v>
                </c:pt>
              </c:strCache>
            </c:strRef>
          </c:tx>
          <c:cat>
            <c:numRef>
              <c:f>[1]Sheet1!$A$2:$A$5</c:f>
              <c:numCache>
                <c:formatCode>General</c:formatCode>
                <c:ptCount val="4"/>
                <c:pt idx="0">
                  <c:v>0.0</c:v>
                </c:pt>
                <c:pt idx="1">
                  <c:v>1.0</c:v>
                </c:pt>
                <c:pt idx="2">
                  <c:v>2.0</c:v>
                </c:pt>
                <c:pt idx="3">
                  <c:v>3.0</c:v>
                </c:pt>
              </c:numCache>
            </c:numRef>
          </c:cat>
          <c:val>
            <c:numRef>
              <c:f>[1]Sheet1!$D$2:$D$5</c:f>
              <c:numCache>
                <c:formatCode>General</c:formatCode>
                <c:ptCount val="4"/>
                <c:pt idx="0">
                  <c:v>43.8</c:v>
                </c:pt>
                <c:pt idx="1">
                  <c:v>48.3</c:v>
                </c:pt>
                <c:pt idx="2">
                  <c:v>52.7</c:v>
                </c:pt>
                <c:pt idx="3">
                  <c:v>57.1</c:v>
                </c:pt>
              </c:numCache>
            </c:numRef>
          </c:val>
          <c:smooth val="0"/>
        </c:ser>
        <c:dLbls>
          <c:showLegendKey val="0"/>
          <c:showVal val="0"/>
          <c:showCatName val="0"/>
          <c:showSerName val="0"/>
          <c:showPercent val="0"/>
          <c:showBubbleSize val="0"/>
        </c:dLbls>
        <c:marker val="1"/>
        <c:smooth val="0"/>
        <c:axId val="-2064740632"/>
        <c:axId val="-2064974264"/>
      </c:lineChart>
      <c:catAx>
        <c:axId val="-2064740632"/>
        <c:scaling>
          <c:orientation val="minMax"/>
        </c:scaling>
        <c:delete val="0"/>
        <c:axPos val="b"/>
        <c:title>
          <c:tx>
            <c:rich>
              <a:bodyPr/>
              <a:lstStyle/>
              <a:p>
                <a:pPr>
                  <a:defRPr/>
                </a:pPr>
                <a:r>
                  <a:rPr lang="en-US"/>
                  <a:t>Knowledge/Engagement</a:t>
                </a:r>
              </a:p>
            </c:rich>
          </c:tx>
          <c:layout/>
          <c:overlay val="0"/>
        </c:title>
        <c:numFmt formatCode="General" sourceLinked="1"/>
        <c:majorTickMark val="out"/>
        <c:minorTickMark val="none"/>
        <c:tickLblPos val="nextTo"/>
        <c:crossAx val="-2064974264"/>
        <c:crosses val="autoZero"/>
        <c:auto val="1"/>
        <c:lblAlgn val="ctr"/>
        <c:lblOffset val="100"/>
        <c:noMultiLvlLbl val="0"/>
      </c:catAx>
      <c:valAx>
        <c:axId val="-2064974264"/>
        <c:scaling>
          <c:orientation val="minMax"/>
          <c:min val="40.0"/>
        </c:scaling>
        <c:delete val="0"/>
        <c:axPos val="l"/>
        <c:majorGridlines/>
        <c:title>
          <c:tx>
            <c:rich>
              <a:bodyPr rot="-5400000" vert="horz"/>
              <a:lstStyle/>
              <a:p>
                <a:pPr>
                  <a:defRPr/>
                </a:pPr>
                <a:r>
                  <a:rPr lang="en-US"/>
                  <a:t>Percent Support European Determined Security Policy</a:t>
                </a:r>
              </a:p>
            </c:rich>
          </c:tx>
          <c:layout/>
          <c:overlay val="0"/>
        </c:title>
        <c:numFmt formatCode="General" sourceLinked="1"/>
        <c:majorTickMark val="out"/>
        <c:minorTickMark val="none"/>
        <c:tickLblPos val="nextTo"/>
        <c:crossAx val="-20647406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23A4-D0B7-8849-9DD3-2A9B6833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7204</Words>
  <Characters>41064</Characters>
  <Application>Microsoft Macintosh Word</Application>
  <DocSecurity>0</DocSecurity>
  <Lines>342</Lines>
  <Paragraphs>96</Paragraphs>
  <ScaleCrop>false</ScaleCrop>
  <Company>Boston University</Company>
  <LinksUpToDate>false</LinksUpToDate>
  <CharactersWithSpaces>48172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Schilde</dc:creator>
  <cp:keywords/>
  <cp:lastModifiedBy>Stephanie Anderson</cp:lastModifiedBy>
  <cp:revision>2</cp:revision>
  <cp:lastPrinted>2015-02-24T22:18:00Z</cp:lastPrinted>
  <dcterms:created xsi:type="dcterms:W3CDTF">2015-03-02T02:56:00Z</dcterms:created>
  <dcterms:modified xsi:type="dcterms:W3CDTF">2015-03-02T02:56:00Z</dcterms:modified>
</cp:coreProperties>
</file>