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0A" w:rsidRDefault="00893BB6" w:rsidP="00A6679D">
      <w:pPr>
        <w:bidi w:val="0"/>
        <w:spacing w:line="360" w:lineRule="auto"/>
        <w:jc w:val="center"/>
        <w:rPr>
          <w:b/>
          <w:bCs/>
          <w:u w:val="single"/>
        </w:rPr>
      </w:pPr>
      <w:proofErr w:type="gramStart"/>
      <w:r>
        <w:rPr>
          <w:b/>
          <w:bCs/>
          <w:u w:val="single"/>
        </w:rPr>
        <w:t xml:space="preserve">The </w:t>
      </w:r>
      <w:r w:rsidR="00A6679D">
        <w:rPr>
          <w:b/>
          <w:bCs/>
          <w:u w:val="single"/>
        </w:rPr>
        <w:t>Bologna Process and the EHEA</w:t>
      </w:r>
      <w:r>
        <w:rPr>
          <w:b/>
          <w:bCs/>
          <w:u w:val="single"/>
        </w:rPr>
        <w:t xml:space="preserve"> – </w:t>
      </w:r>
      <w:r w:rsidR="00A639D1">
        <w:rPr>
          <w:b/>
          <w:bCs/>
          <w:u w:val="single"/>
        </w:rPr>
        <w:t>A New European Normative Regime</w:t>
      </w:r>
      <w:r>
        <w:rPr>
          <w:b/>
          <w:bCs/>
          <w:u w:val="single"/>
        </w:rPr>
        <w:t>?</w:t>
      </w:r>
      <w:proofErr w:type="gramEnd"/>
    </w:p>
    <w:p w:rsidR="00F83C7A" w:rsidRPr="00F83C7A" w:rsidRDefault="00F83C7A" w:rsidP="00F83C7A">
      <w:pPr>
        <w:bidi w:val="0"/>
        <w:spacing w:line="360" w:lineRule="auto"/>
        <w:jc w:val="center"/>
        <w:rPr>
          <w:b/>
          <w:bCs/>
        </w:rPr>
      </w:pPr>
      <w:r w:rsidRPr="00F83C7A">
        <w:rPr>
          <w:b/>
          <w:bCs/>
        </w:rPr>
        <w:t>DRAFT</w:t>
      </w:r>
    </w:p>
    <w:p w:rsidR="003D240A" w:rsidRPr="0071204A" w:rsidRDefault="00A639D1" w:rsidP="0071204A">
      <w:pPr>
        <w:bidi w:val="0"/>
        <w:spacing w:line="360" w:lineRule="auto"/>
        <w:jc w:val="center"/>
      </w:pPr>
      <w:proofErr w:type="spellStart"/>
      <w:r>
        <w:t>Yoav</w:t>
      </w:r>
      <w:proofErr w:type="spellEnd"/>
      <w:r>
        <w:t xml:space="preserve"> Fr</w:t>
      </w:r>
      <w:bookmarkStart w:id="0" w:name="_GoBack"/>
      <w:bookmarkEnd w:id="0"/>
      <w:r>
        <w:t>iedman, Ben-</w:t>
      </w:r>
      <w:r w:rsidR="003D240A" w:rsidRPr="0071204A">
        <w:t>Gurion University of the Negev</w:t>
      </w:r>
    </w:p>
    <w:p w:rsidR="008B5AD1" w:rsidRPr="0071204A" w:rsidRDefault="008B7BD6" w:rsidP="006E6A31">
      <w:pPr>
        <w:bidi w:val="0"/>
        <w:spacing w:line="360" w:lineRule="auto"/>
        <w:jc w:val="both"/>
      </w:pPr>
      <w:r w:rsidRPr="0071204A">
        <w:t xml:space="preserve">In the last 50 years the academic community </w:t>
      </w:r>
      <w:r>
        <w:t xml:space="preserve">has </w:t>
      </w:r>
      <w:r w:rsidRPr="0071204A">
        <w:t>trie</w:t>
      </w:r>
      <w:r>
        <w:t>d</w:t>
      </w:r>
      <w:r w:rsidRPr="0071204A">
        <w:t xml:space="preserve"> to conceptualize Europe's "Power" in order to understand its </w:t>
      </w:r>
      <w:r>
        <w:t xml:space="preserve">political </w:t>
      </w:r>
      <w:r w:rsidRPr="0071204A">
        <w:t xml:space="preserve">nature. </w:t>
      </w:r>
      <w:r>
        <w:t>On the one hand, t</w:t>
      </w:r>
      <w:r w:rsidR="008B5AD1" w:rsidRPr="0071204A">
        <w:t xml:space="preserve">he </w:t>
      </w:r>
      <w:r w:rsidR="003E436D" w:rsidRPr="0071204A">
        <w:t>EU</w:t>
      </w:r>
      <w:r w:rsidR="008B5AD1" w:rsidRPr="0071204A">
        <w:t xml:space="preserve"> has been perceived as an economic giant, and</w:t>
      </w:r>
      <w:r>
        <w:t xml:space="preserve"> on the other hand </w:t>
      </w:r>
      <w:r w:rsidR="008B5AD1" w:rsidRPr="0071204A">
        <w:t>as a political dwarf whose political power does not fit its economic abilities</w:t>
      </w:r>
      <w:r w:rsidR="008B5AD1" w:rsidRPr="0071204A">
        <w:rPr>
          <w:rtl/>
        </w:rPr>
        <w:t xml:space="preserve"> </w:t>
      </w:r>
      <w:r w:rsidR="008B5AD1" w:rsidRPr="0071204A">
        <w:t>(Medrano, 1999:</w:t>
      </w:r>
      <w:r w:rsidR="006E6A31">
        <w:t xml:space="preserve"> </w:t>
      </w:r>
      <w:r w:rsidR="008B5AD1" w:rsidRPr="0071204A">
        <w:t>155</w:t>
      </w:r>
      <w:r w:rsidR="008B5AD1" w:rsidRPr="0071204A">
        <w:rPr>
          <w:rtl/>
        </w:rPr>
        <w:t>(</w:t>
      </w:r>
      <w:r w:rsidR="008B5AD1" w:rsidRPr="0071204A">
        <w:t>.This paper</w:t>
      </w:r>
      <w:r>
        <w:t xml:space="preserve"> uses Regime Theory</w:t>
      </w:r>
      <w:r w:rsidR="001779FB" w:rsidRPr="001779FB">
        <w:t xml:space="preserve"> </w:t>
      </w:r>
      <w:r w:rsidR="001779FB">
        <w:t>as a heuristic base</w:t>
      </w:r>
      <w:r w:rsidR="001779FB" w:rsidRPr="0071204A">
        <w:t xml:space="preserve"> </w:t>
      </w:r>
      <w:r w:rsidR="001779FB">
        <w:t>which enable</w:t>
      </w:r>
      <w:r w:rsidR="001779FB" w:rsidRPr="0071204A">
        <w:t xml:space="preserve"> a very </w:t>
      </w:r>
      <w:r w:rsidR="001779FB">
        <w:t>comprehensive</w:t>
      </w:r>
      <w:r w:rsidR="001779FB" w:rsidRPr="0071204A">
        <w:t xml:space="preserve"> </w:t>
      </w:r>
      <w:r w:rsidR="001779FB">
        <w:t>explanation for</w:t>
      </w:r>
      <w:r w:rsidR="001779FB" w:rsidRPr="0071204A">
        <w:t xml:space="preserve"> the creation, institutionalization, function and </w:t>
      </w:r>
      <w:r w:rsidR="001779FB">
        <w:t>growth</w:t>
      </w:r>
      <w:r w:rsidR="001779FB" w:rsidRPr="0071204A">
        <w:t xml:space="preserve"> of international cooperation</w:t>
      </w:r>
      <w:r w:rsidR="006E6A31">
        <w:t>, through which the EU convey its global political and normative influence</w:t>
      </w:r>
      <w:r w:rsidR="001779FB" w:rsidRPr="0071204A">
        <w:t>.</w:t>
      </w:r>
      <w:r w:rsidR="001779FB">
        <w:t xml:space="preserve"> The international regime functions in this matter as a </w:t>
      </w:r>
      <w:r w:rsidR="008B5AD1" w:rsidRPr="0071204A">
        <w:t xml:space="preserve">mechanism which ties up the European regionalism process and the European Normative Power theory </w:t>
      </w:r>
      <w:r w:rsidR="00EC5295">
        <w:t>(NPE)</w:t>
      </w:r>
      <w:r w:rsidR="008B5AD1" w:rsidRPr="0071204A">
        <w:t>(Manners, 2002)</w:t>
      </w:r>
      <w:r w:rsidR="004919DE">
        <w:t>.</w:t>
      </w:r>
      <w:r w:rsidR="008B5AD1" w:rsidRPr="0071204A">
        <w:t>By pinpointing this mechanism the paper wishes to shed a light on the spot where regional becomes global, and Europe turns from a dwarf to a giant.</w:t>
      </w:r>
    </w:p>
    <w:p w:rsidR="008B5AD1" w:rsidRPr="0071204A" w:rsidRDefault="008B5AD1" w:rsidP="006E6A31">
      <w:pPr>
        <w:bidi w:val="0"/>
        <w:spacing w:line="360" w:lineRule="auto"/>
        <w:jc w:val="both"/>
      </w:pPr>
      <w:r w:rsidRPr="0071204A">
        <w:t>The main thesis of this paper suggests that the EU uses its known practices of regionalism process as a tool which will enable it to influence global trends and non</w:t>
      </w:r>
      <w:r w:rsidR="003E436D" w:rsidRPr="0071204A">
        <w:t>-EU member states' policies in the field of higher education</w:t>
      </w:r>
      <w:r w:rsidR="001A55F6">
        <w:t>. The case study chosen to demonstrate how the EU</w:t>
      </w:r>
      <w:r w:rsidRPr="0071204A">
        <w:t xml:space="preserve"> </w:t>
      </w:r>
      <w:r w:rsidR="001779FB">
        <w:t>nurtured</w:t>
      </w:r>
      <w:r w:rsidR="00F00747">
        <w:t xml:space="preserve"> the</w:t>
      </w:r>
      <w:r w:rsidR="001779FB">
        <w:t xml:space="preserve"> Bologna Process in order to </w:t>
      </w:r>
      <w:r w:rsidRPr="0071204A">
        <w:t>exert its normative power</w:t>
      </w:r>
      <w:r w:rsidR="006E6A31">
        <w:t>,</w:t>
      </w:r>
      <w:r w:rsidR="001779FB">
        <w:t xml:space="preserve"> in</w:t>
      </w:r>
      <w:r w:rsidR="006E6A31">
        <w:t xml:space="preserve">side and outside, </w:t>
      </w:r>
      <w:r w:rsidRPr="0071204A">
        <w:t>the E</w:t>
      </w:r>
      <w:r w:rsidR="003E436D" w:rsidRPr="0071204A">
        <w:t>uropean Higher Education Area (EHEA)</w:t>
      </w:r>
      <w:r w:rsidRPr="0071204A">
        <w:t>.</w:t>
      </w:r>
    </w:p>
    <w:p w:rsidR="00B405D7" w:rsidRDefault="008B5AD1" w:rsidP="006E6A31">
      <w:pPr>
        <w:bidi w:val="0"/>
        <w:spacing w:line="360" w:lineRule="auto"/>
        <w:jc w:val="both"/>
      </w:pPr>
      <w:r w:rsidRPr="0071204A">
        <w:t xml:space="preserve">This short paper is built out of 4 parts: First – </w:t>
      </w:r>
      <w:r w:rsidR="003E436D" w:rsidRPr="0071204A">
        <w:t>a short introduction to the</w:t>
      </w:r>
      <w:r w:rsidR="001A55F6">
        <w:t xml:space="preserve"> Normative P</w:t>
      </w:r>
      <w:r w:rsidR="00F00747">
        <w:t>ower Europe t</w:t>
      </w:r>
      <w:r w:rsidR="001A55F6">
        <w:t>heory. The second part focuses on the</w:t>
      </w:r>
      <w:r w:rsidR="001A55F6" w:rsidRPr="0071204A">
        <w:t xml:space="preserve"> </w:t>
      </w:r>
      <w:r w:rsidR="003E436D" w:rsidRPr="0071204A">
        <w:t>Bologna Process, an international reform</w:t>
      </w:r>
      <w:r w:rsidR="00EC5295">
        <w:t xml:space="preserve"> </w:t>
      </w:r>
      <w:r w:rsidR="00EC5295" w:rsidRPr="0071204A">
        <w:t>in the field of higher education</w:t>
      </w:r>
      <w:r w:rsidR="006E6A31">
        <w:t>,</w:t>
      </w:r>
      <w:r w:rsidR="003E436D" w:rsidRPr="0071204A">
        <w:t xml:space="preserve"> generated in Europe</w:t>
      </w:r>
      <w:r w:rsidRPr="0071204A">
        <w:t xml:space="preserve">. </w:t>
      </w:r>
      <w:r w:rsidR="003E436D" w:rsidRPr="0071204A">
        <w:t>T</w:t>
      </w:r>
      <w:r w:rsidRPr="0071204A">
        <w:t>hird</w:t>
      </w:r>
      <w:r w:rsidR="003E436D" w:rsidRPr="0071204A">
        <w:t>ly</w:t>
      </w:r>
      <w:r w:rsidRPr="0071204A">
        <w:t>, the paper will present the External Dimension of the Bologna Process in light of the regime theory</w:t>
      </w:r>
      <w:r w:rsidR="006E6A31">
        <w:t>;</w:t>
      </w:r>
      <w:r w:rsidRPr="0071204A">
        <w:t xml:space="preserve"> </w:t>
      </w:r>
      <w:r w:rsidR="006E6A31">
        <w:t>t</w:t>
      </w:r>
      <w:r w:rsidRPr="0071204A">
        <w:t>h</w:t>
      </w:r>
      <w:r w:rsidR="00B405D7">
        <w:t>is part</w:t>
      </w:r>
      <w:r w:rsidRPr="0071204A">
        <w:t xml:space="preserve"> will</w:t>
      </w:r>
      <w:r w:rsidR="003E436D" w:rsidRPr="0071204A">
        <w:t xml:space="preserve"> </w:t>
      </w:r>
      <w:r w:rsidRPr="0071204A">
        <w:t>provide a model which conceptualizes B</w:t>
      </w:r>
      <w:r w:rsidR="003E436D" w:rsidRPr="0071204A">
        <w:t>ologna Process' External Dimension</w:t>
      </w:r>
      <w:r w:rsidRPr="0071204A">
        <w:t xml:space="preserve"> as a Regional-International Regime</w:t>
      </w:r>
      <w:r w:rsidR="003E436D" w:rsidRPr="0071204A">
        <w:t>.</w:t>
      </w:r>
      <w:r w:rsidRPr="0071204A">
        <w:t xml:space="preserve"> </w:t>
      </w:r>
      <w:r w:rsidR="003E436D" w:rsidRPr="0071204A">
        <w:t>The fo</w:t>
      </w:r>
      <w:r w:rsidR="00EC5295">
        <w:t>u</w:t>
      </w:r>
      <w:r w:rsidR="003E436D" w:rsidRPr="0071204A">
        <w:t xml:space="preserve">rth part will look at the Israeli case which demonstrates the </w:t>
      </w:r>
      <w:proofErr w:type="gramStart"/>
      <w:r w:rsidR="003E436D" w:rsidRPr="0071204A">
        <w:t>effectiveness</w:t>
      </w:r>
      <w:proofErr w:type="gramEnd"/>
      <w:r w:rsidR="003E436D" w:rsidRPr="0071204A">
        <w:t xml:space="preserve"> of Bologna Process</w:t>
      </w:r>
      <w:r w:rsidR="00F74C23" w:rsidRPr="0071204A">
        <w:t>' External Dimension</w:t>
      </w:r>
      <w:r w:rsidR="00B405D7">
        <w:t xml:space="preserve"> as an international regime by applying the Normative Power theory. </w:t>
      </w:r>
    </w:p>
    <w:p w:rsidR="006E6A31" w:rsidRPr="006E6A31" w:rsidRDefault="006E6A31" w:rsidP="003C35AB">
      <w:pPr>
        <w:bidi w:val="0"/>
        <w:spacing w:line="360" w:lineRule="auto"/>
        <w:jc w:val="both"/>
        <w:rPr>
          <w:b/>
          <w:bCs/>
        </w:rPr>
      </w:pPr>
      <w:r w:rsidRPr="006E6A31">
        <w:rPr>
          <w:b/>
          <w:bCs/>
        </w:rPr>
        <w:t>Normative Power Europe</w:t>
      </w:r>
    </w:p>
    <w:p w:rsidR="00AE6BF0" w:rsidRPr="0071204A" w:rsidRDefault="00F74C23" w:rsidP="008A36D0">
      <w:pPr>
        <w:bidi w:val="0"/>
        <w:spacing w:line="360" w:lineRule="auto"/>
        <w:jc w:val="both"/>
      </w:pPr>
      <w:r w:rsidRPr="0071204A">
        <w:t>T</w:t>
      </w:r>
      <w:r w:rsidR="00AE6BF0" w:rsidRPr="0071204A">
        <w:t xml:space="preserve">he </w:t>
      </w:r>
      <w:r w:rsidR="00B405D7">
        <w:t xml:space="preserve">idea of European </w:t>
      </w:r>
      <w:r w:rsidR="00AE6BF0" w:rsidRPr="0071204A">
        <w:t>normative power is an overarching narrative which asks to define EU's way of behavior in the international arena (</w:t>
      </w:r>
      <w:proofErr w:type="spellStart"/>
      <w:r w:rsidR="00AE6BF0" w:rsidRPr="0071204A">
        <w:t>Gerrits</w:t>
      </w:r>
      <w:proofErr w:type="spellEnd"/>
      <w:r w:rsidR="00AE6BF0" w:rsidRPr="0071204A">
        <w:t xml:space="preserve">, 2009:4). The first to coin the term was Ian Manners, who defined the EU as entity which is "able to shape conceptions of 'normal' in </w:t>
      </w:r>
      <w:r w:rsidR="00AE6BF0" w:rsidRPr="0071204A">
        <w:lastRenderedPageBreak/>
        <w:t>international relations" (Manners, 2002:239). The idea of normative influence as an EU practice in international relation was a paradigmatic</w:t>
      </w:r>
      <w:r w:rsidR="00C848AE" w:rsidRPr="0071204A">
        <w:t xml:space="preserve"> shift</w:t>
      </w:r>
      <w:r w:rsidR="00AE6BF0" w:rsidRPr="0071204A">
        <w:t xml:space="preserve"> in the discussion over the political nature of the EU which traditionally turns around the tension between 'hard power' and 'soft power' (Nye, 1990:153</w:t>
      </w:r>
      <w:r w:rsidR="00AE6BF0" w:rsidRPr="0071204A">
        <w:rPr>
          <w:rtl/>
        </w:rPr>
        <w:t>;</w:t>
      </w:r>
      <w:r w:rsidR="00AE6BF0" w:rsidRPr="0071204A">
        <w:t xml:space="preserve"> </w:t>
      </w:r>
      <w:proofErr w:type="spellStart"/>
      <w:r w:rsidR="00AE6BF0" w:rsidRPr="0071204A">
        <w:t>Carr</w:t>
      </w:r>
      <w:proofErr w:type="spellEnd"/>
      <w:r w:rsidR="00AE6BF0" w:rsidRPr="0071204A">
        <w:t>, 1962:108</w:t>
      </w:r>
      <w:r w:rsidR="00AE6BF0" w:rsidRPr="0071204A">
        <w:rPr>
          <w:rtl/>
        </w:rPr>
        <w:t>;</w:t>
      </w:r>
      <w:r w:rsidR="001419EC" w:rsidRPr="0071204A">
        <w:t xml:space="preserve"> </w:t>
      </w:r>
      <w:proofErr w:type="spellStart"/>
      <w:r w:rsidR="00AE6BF0" w:rsidRPr="0071204A">
        <w:t>Duchêne</w:t>
      </w:r>
      <w:proofErr w:type="spellEnd"/>
      <w:r w:rsidR="00AE6BF0" w:rsidRPr="0071204A">
        <w:t>, 1972; Bull, 1982). The innovation of manners idea lies in the understanding that the EU should be examined not by its actions (what it does), but by its nature (what it is) (Manners</w:t>
      </w:r>
      <w:proofErr w:type="gramStart"/>
      <w:r w:rsidR="00AE6BF0" w:rsidRPr="0071204A">
        <w:t>,</w:t>
      </w:r>
      <w:r w:rsidR="00A7012C">
        <w:t>2002</w:t>
      </w:r>
      <w:proofErr w:type="gramEnd"/>
      <w:r w:rsidR="00A7012C">
        <w:t>:</w:t>
      </w:r>
      <w:r w:rsidR="00AE6BF0" w:rsidRPr="0071204A">
        <w:t xml:space="preserve"> 252), meaning to define its '</w:t>
      </w:r>
      <w:proofErr w:type="spellStart"/>
      <w:r w:rsidR="00AE6BF0" w:rsidRPr="0071204A">
        <w:t>actorness</w:t>
      </w:r>
      <w:proofErr w:type="spellEnd"/>
      <w:r w:rsidR="00AE6BF0" w:rsidRPr="0071204A">
        <w:t>' by its character</w:t>
      </w:r>
      <w:r w:rsidR="00AE6BF0" w:rsidRPr="0071204A">
        <w:rPr>
          <w:rtl/>
        </w:rPr>
        <w:t xml:space="preserve"> </w:t>
      </w:r>
      <w:r w:rsidR="00AE6BF0" w:rsidRPr="0071204A">
        <w:t>(Whitman, 2011: 2). The theory argues that the EU is able to determine one's standards and preferences by the proliferation of norms without the use coercion means, even though overlapping is possible (</w:t>
      </w:r>
      <w:proofErr w:type="spellStart"/>
      <w:r w:rsidR="008A36D0">
        <w:t>Diez</w:t>
      </w:r>
      <w:proofErr w:type="spellEnd"/>
      <w:r w:rsidR="008A36D0">
        <w:t xml:space="preserve"> and </w:t>
      </w:r>
      <w:r w:rsidR="00AE6BF0" w:rsidRPr="0071204A">
        <w:t>Manners</w:t>
      </w:r>
      <w:r w:rsidR="00582CB1">
        <w:t>,</w:t>
      </w:r>
      <w:r w:rsidR="00AE6BF0" w:rsidRPr="0071204A">
        <w:t xml:space="preserve"> 2007: 175-6). While claiming for normative action, the NPE</w:t>
      </w:r>
      <w:r w:rsidR="00B405D7">
        <w:t xml:space="preserve"> theory</w:t>
      </w:r>
      <w:r w:rsidR="00AE6BF0" w:rsidRPr="0071204A">
        <w:t xml:space="preserve"> suggests diffusion of </w:t>
      </w:r>
      <w:r w:rsidR="00B405D7">
        <w:t>globally</w:t>
      </w:r>
      <w:r w:rsidR="00AE6BF0" w:rsidRPr="0071204A">
        <w:t xml:space="preserve"> applicable principles, which perceived as legit</w:t>
      </w:r>
      <w:r w:rsidR="00B405D7">
        <w:t xml:space="preserve"> thanks to their universality</w:t>
      </w:r>
      <w:r w:rsidR="00AE6BF0" w:rsidRPr="0071204A">
        <w:t xml:space="preserve"> (Manners, 2008:65-7</w:t>
      </w:r>
      <w:r w:rsidR="00AE6BF0" w:rsidRPr="0071204A">
        <w:rPr>
          <w:rtl/>
        </w:rPr>
        <w:t>(</w:t>
      </w:r>
      <w:r w:rsidR="00B405D7">
        <w:t xml:space="preserve">. </w:t>
      </w:r>
      <w:r w:rsidR="000B4B66">
        <w:t>Being European driven, t</w:t>
      </w:r>
      <w:r w:rsidR="00AE6BF0" w:rsidRPr="0071204A">
        <w:t>hese principles are first</w:t>
      </w:r>
      <w:r w:rsidR="000B4B66">
        <w:t>ly</w:t>
      </w:r>
      <w:r w:rsidR="00AE6BF0" w:rsidRPr="0071204A">
        <w:t xml:space="preserve"> applied in the EU itself in </w:t>
      </w:r>
      <w:r w:rsidR="000B4B66">
        <w:t>so called</w:t>
      </w:r>
      <w:r w:rsidR="00AE6BF0" w:rsidRPr="0071204A">
        <w:t xml:space="preserve"> "procedural ethics"</w:t>
      </w:r>
      <w:r w:rsidR="000B4B66">
        <w:t xml:space="preserve"> e.g. that the </w:t>
      </w:r>
      <w:r w:rsidR="006E6A31">
        <w:t>EU</w:t>
      </w:r>
      <w:r w:rsidR="000B4B66">
        <w:t xml:space="preserve"> is applying what it is preaching. Meaningful implementation of these norms in Europe</w:t>
      </w:r>
      <w:r w:rsidR="00AE6BF0" w:rsidRPr="0071204A">
        <w:t xml:space="preserve"> makes the EU a global role model</w:t>
      </w:r>
      <w:r w:rsidR="000B4B66">
        <w:t xml:space="preserve"> which hold</w:t>
      </w:r>
      <w:r w:rsidR="006E6A31">
        <w:t>s</w:t>
      </w:r>
      <w:r w:rsidR="000B4B66">
        <w:t xml:space="preserve"> normative influence.</w:t>
      </w:r>
    </w:p>
    <w:p w:rsidR="00C848AE" w:rsidRPr="0071204A" w:rsidRDefault="00A7012C" w:rsidP="006E6A31">
      <w:pPr>
        <w:bidi w:val="0"/>
        <w:spacing w:line="360" w:lineRule="auto"/>
        <w:jc w:val="both"/>
      </w:pPr>
      <w:r>
        <w:t xml:space="preserve">Accepting the concept of NPE brings </w:t>
      </w:r>
      <w:r w:rsidR="003528C8">
        <w:t>two</w:t>
      </w:r>
      <w:r>
        <w:t xml:space="preserve"> pivotal </w:t>
      </w:r>
      <w:r w:rsidR="00AE6BF0" w:rsidRPr="0071204A">
        <w:t>question</w:t>
      </w:r>
      <w:r w:rsidR="003528C8">
        <w:t>s</w:t>
      </w:r>
      <w:r w:rsidR="00AE6BF0" w:rsidRPr="0071204A">
        <w:t xml:space="preserve"> to</w:t>
      </w:r>
      <w:r>
        <w:t xml:space="preserve"> the floor </w:t>
      </w:r>
      <w:r w:rsidR="003528C8">
        <w:t xml:space="preserve">– </w:t>
      </w:r>
      <w:r w:rsidR="006E6A31">
        <w:t xml:space="preserve">First, the question of success; </w:t>
      </w:r>
      <w:r w:rsidR="003528C8">
        <w:t>does the EU indeed achieve its normative aims and manage to act as a normative leader? And second</w:t>
      </w:r>
      <w:r w:rsidR="006E6A31">
        <w:t xml:space="preserve">, </w:t>
      </w:r>
      <w:r w:rsidR="00AE6BF0" w:rsidRPr="0071204A">
        <w:t xml:space="preserve">what makes actors in the global arena to be subjected to European normative power, while the compliance or non-compliance </w:t>
      </w:r>
      <w:r w:rsidR="000B4B66">
        <w:t xml:space="preserve">to these norms </w:t>
      </w:r>
      <w:r w:rsidR="00AE6BF0" w:rsidRPr="0071204A">
        <w:t>will not carry any sanctions or direct benefits</w:t>
      </w:r>
      <w:r>
        <w:t>?</w:t>
      </w:r>
      <w:r w:rsidR="00AE6BF0" w:rsidRPr="0071204A">
        <w:t xml:space="preserve"> (Hurd, 2007:30). </w:t>
      </w:r>
    </w:p>
    <w:p w:rsidR="00CE76B2" w:rsidRDefault="00C848AE" w:rsidP="0031624D">
      <w:pPr>
        <w:bidi w:val="0"/>
        <w:spacing w:line="360" w:lineRule="auto"/>
        <w:jc w:val="both"/>
      </w:pPr>
      <w:r w:rsidRPr="0071204A">
        <w:t xml:space="preserve">Scholars have tried to provide answers </w:t>
      </w:r>
      <w:r w:rsidR="00A7012C">
        <w:t>to</w:t>
      </w:r>
      <w:r w:rsidRPr="0071204A">
        <w:t xml:space="preserve"> th</w:t>
      </w:r>
      <w:r w:rsidR="0031624D">
        <w:t>ese</w:t>
      </w:r>
      <w:r w:rsidRPr="0071204A">
        <w:t xml:space="preserve"> riddle</w:t>
      </w:r>
      <w:r w:rsidR="0031624D">
        <w:t>s</w:t>
      </w:r>
      <w:r w:rsidRPr="0071204A">
        <w:t xml:space="preserve"> by </w:t>
      </w:r>
      <w:r w:rsidR="00860335" w:rsidRPr="0071204A">
        <w:t>analyzing</w:t>
      </w:r>
      <w:r w:rsidRPr="0071204A">
        <w:t xml:space="preserve"> different case studies, mostly taken from the security and defe</w:t>
      </w:r>
      <w:r w:rsidR="00A7012C">
        <w:t xml:space="preserve">nse areas.  Nearly all case studies </w:t>
      </w:r>
      <w:r w:rsidR="004441D4" w:rsidRPr="0071204A">
        <w:t>could not</w:t>
      </w:r>
      <w:r w:rsidR="00A7012C">
        <w:t xml:space="preserve"> provide strong</w:t>
      </w:r>
      <w:r w:rsidR="004441D4" w:rsidRPr="0071204A">
        <w:t xml:space="preserve"> evidences to </w:t>
      </w:r>
      <w:r w:rsidR="006E6A31">
        <w:t>affirm</w:t>
      </w:r>
      <w:r w:rsidR="00A7012C">
        <w:t xml:space="preserve"> the theory</w:t>
      </w:r>
      <w:r w:rsidR="004441D4" w:rsidRPr="0071204A">
        <w:t xml:space="preserve"> – on the contrary</w:t>
      </w:r>
      <w:r w:rsidR="00CE76B2" w:rsidRPr="0071204A">
        <w:t xml:space="preserve">: many realistic thinkers has criticized the theory claiming that Europe has no ability to  bring non-European countries to </w:t>
      </w:r>
      <w:r w:rsidR="000B4B66">
        <w:t>apply</w:t>
      </w:r>
      <w:r w:rsidR="00B8492F">
        <w:t xml:space="preserve"> European norms </w:t>
      </w:r>
      <w:r w:rsidR="00CE76B2" w:rsidRPr="0071204A">
        <w:t xml:space="preserve"> without any use of military or economic </w:t>
      </w:r>
      <w:r w:rsidR="000B4B66">
        <w:t>means</w:t>
      </w:r>
      <w:r w:rsidR="00CE76B2" w:rsidRPr="0071204A">
        <w:t xml:space="preserve"> (</w:t>
      </w:r>
      <w:proofErr w:type="spellStart"/>
      <w:r w:rsidR="00CE76B2" w:rsidRPr="0071204A">
        <w:t>Merlingen</w:t>
      </w:r>
      <w:proofErr w:type="spellEnd"/>
      <w:r w:rsidR="00CE76B2" w:rsidRPr="0071204A">
        <w:t>, 2007; Hyde-Price, 2006:218</w:t>
      </w:r>
      <w:r w:rsidR="00B65603">
        <w:t xml:space="preserve">; </w:t>
      </w:r>
      <w:proofErr w:type="spellStart"/>
      <w:r w:rsidR="00B65603" w:rsidRPr="00B65603">
        <w:t>Sjursen</w:t>
      </w:r>
      <w:proofErr w:type="spellEnd"/>
      <w:r w:rsidR="00B65603" w:rsidRPr="00B65603">
        <w:t>, 2005</w:t>
      </w:r>
      <w:r w:rsidR="00CE76B2" w:rsidRPr="0071204A">
        <w:t xml:space="preserve">).   </w:t>
      </w:r>
    </w:p>
    <w:p w:rsidR="007C581A" w:rsidRPr="0071204A" w:rsidRDefault="007C581A" w:rsidP="002F062A">
      <w:pPr>
        <w:bidi w:val="0"/>
        <w:spacing w:line="360" w:lineRule="auto"/>
        <w:jc w:val="both"/>
      </w:pPr>
      <w:r>
        <w:t>Although still debated, the validity of normative influence is difficult to be spotted in "hard" policy areas, a fact that puts the whole theory under a question mark. Yet,</w:t>
      </w:r>
      <w:r w:rsidRPr="0071204A">
        <w:t xml:space="preserve"> </w:t>
      </w:r>
      <w:r>
        <w:t xml:space="preserve">this paper </w:t>
      </w:r>
      <w:r w:rsidRPr="0071204A">
        <w:t>claim</w:t>
      </w:r>
      <w:r>
        <w:t>s</w:t>
      </w:r>
      <w:r w:rsidRPr="0071204A">
        <w:t xml:space="preserve"> that the NPE theory can be identified and demonstrated by </w:t>
      </w:r>
      <w:r>
        <w:t>examining</w:t>
      </w:r>
      <w:r w:rsidRPr="0071204A">
        <w:t xml:space="preserve"> case studies</w:t>
      </w:r>
      <w:r>
        <w:t xml:space="preserve"> taken</w:t>
      </w:r>
      <w:r w:rsidRPr="0071204A">
        <w:t xml:space="preserve"> from "softer"</w:t>
      </w:r>
      <w:r>
        <w:t xml:space="preserve"> policy</w:t>
      </w:r>
      <w:r w:rsidRPr="0071204A">
        <w:t xml:space="preserve"> areas</w:t>
      </w:r>
      <w:r>
        <w:t>. In these areas</w:t>
      </w:r>
      <w:r w:rsidRPr="0071204A">
        <w:t xml:space="preserve"> the importance of </w:t>
      </w:r>
      <w:r>
        <w:t>being part</w:t>
      </w:r>
      <w:r w:rsidRPr="0071204A">
        <w:t xml:space="preserve"> </w:t>
      </w:r>
      <w:r>
        <w:t xml:space="preserve">of </w:t>
      </w:r>
      <w:r w:rsidRPr="0071204A">
        <w:t xml:space="preserve">an "International Community" </w:t>
      </w:r>
      <w:r>
        <w:t xml:space="preserve">led by the EU – </w:t>
      </w:r>
      <w:r w:rsidRPr="0071204A">
        <w:t>is</w:t>
      </w:r>
      <w:r>
        <w:t xml:space="preserve"> perceived </w:t>
      </w:r>
      <w:r w:rsidRPr="0071204A">
        <w:t>greater</w:t>
      </w:r>
      <w:r>
        <w:t xml:space="preserve"> by actors</w:t>
      </w:r>
      <w:r w:rsidRPr="0071204A">
        <w:t xml:space="preserve">.  In these areas, </w:t>
      </w:r>
      <w:r>
        <w:t>the will to be part of an international club</w:t>
      </w:r>
      <w:r w:rsidRPr="0071204A">
        <w:t xml:space="preserve"> brings actors to internalize external values and norms because they are perceived as universally legitimate (</w:t>
      </w:r>
      <w:proofErr w:type="spellStart"/>
      <w:r w:rsidRPr="0071204A">
        <w:t>Karns</w:t>
      </w:r>
      <w:proofErr w:type="spellEnd"/>
      <w:r w:rsidRPr="0071204A">
        <w:t xml:space="preserve"> and </w:t>
      </w:r>
      <w:proofErr w:type="spellStart"/>
      <w:r w:rsidRPr="0071204A">
        <w:t>Mingst</w:t>
      </w:r>
      <w:proofErr w:type="spellEnd"/>
      <w:r w:rsidRPr="0071204A">
        <w:t>, 2010:31</w:t>
      </w:r>
      <w:r w:rsidRPr="0071204A">
        <w:rPr>
          <w:rtl/>
        </w:rPr>
        <w:t>(</w:t>
      </w:r>
      <w:r w:rsidRPr="0071204A">
        <w:t xml:space="preserve">. </w:t>
      </w:r>
      <w:r w:rsidR="002F062A">
        <w:t xml:space="preserve">This understanding </w:t>
      </w:r>
      <w:r w:rsidR="002F062A">
        <w:lastRenderedPageBreak/>
        <w:t>narrows the distance between the concept of Europe as a normative power, to Europe as a hegemon.</w:t>
      </w:r>
    </w:p>
    <w:p w:rsidR="002F062A" w:rsidRDefault="005A75A3" w:rsidP="005A75A3">
      <w:pPr>
        <w:bidi w:val="0"/>
        <w:spacing w:line="360" w:lineRule="auto"/>
        <w:jc w:val="both"/>
      </w:pPr>
      <w:r>
        <w:t xml:space="preserve">A breakthrough in the way European normative influence can be seen with the linking   </w:t>
      </w:r>
      <w:r w:rsidR="003528C8">
        <w:t xml:space="preserve"> normative elements in the EU international behavior to the </w:t>
      </w:r>
      <w:proofErr w:type="spellStart"/>
      <w:r w:rsidR="003528C8">
        <w:t>Gramcian</w:t>
      </w:r>
      <w:proofErr w:type="spellEnd"/>
      <w:r w:rsidR="003528C8">
        <w:t xml:space="preserve"> idea of "Hegemony"</w:t>
      </w:r>
      <w:r>
        <w:t xml:space="preserve"> </w:t>
      </w:r>
      <w:r>
        <w:rPr>
          <w:lang w:eastAsia="he-IL"/>
        </w:rPr>
        <w:t>(</w:t>
      </w:r>
      <w:proofErr w:type="spellStart"/>
      <w:r>
        <w:rPr>
          <w:lang w:eastAsia="he-IL"/>
        </w:rPr>
        <w:t>Diez</w:t>
      </w:r>
      <w:proofErr w:type="spellEnd"/>
      <w:r>
        <w:rPr>
          <w:lang w:eastAsia="he-IL"/>
        </w:rPr>
        <w:t>, 2013:198</w:t>
      </w:r>
      <w:r>
        <w:rPr>
          <w:lang w:eastAsia="he-IL"/>
        </w:rPr>
        <w:t>)</w:t>
      </w:r>
      <w:r w:rsidR="003528C8">
        <w:t>. This link enables to grasp "normative power" as a complement component of the concept of hegemony, and to conceptualize the EU's normative behavior in the international arena</w:t>
      </w:r>
      <w:r w:rsidR="009B299E">
        <w:t xml:space="preserve"> in a more robust manner</w:t>
      </w:r>
      <w:r w:rsidR="003528C8">
        <w:t xml:space="preserve">. </w:t>
      </w:r>
      <w:r w:rsidR="009B299E">
        <w:t>Higher education policy</w:t>
      </w:r>
      <w:r w:rsidR="007C581A">
        <w:t xml:space="preserve"> as a</w:t>
      </w:r>
      <w:r w:rsidR="002F062A">
        <w:t xml:space="preserve"> "soft" policy area</w:t>
      </w:r>
      <w:r w:rsidR="007C581A">
        <w:t xml:space="preserve"> was chosen </w:t>
      </w:r>
      <w:r w:rsidR="009B299E">
        <w:t>to prove this point</w:t>
      </w:r>
      <w:r w:rsidR="002F062A">
        <w:t xml:space="preserve"> as </w:t>
      </w:r>
      <w:r w:rsidR="009B299E">
        <w:t xml:space="preserve">the Bologna Process </w:t>
      </w:r>
      <w:r w:rsidR="002F062A">
        <w:t xml:space="preserve">was proven to </w:t>
      </w:r>
      <w:r w:rsidR="009B299E">
        <w:t>gain</w:t>
      </w:r>
      <w:r w:rsidR="002F062A">
        <w:t xml:space="preserve"> international hold outside of the EHEA</w:t>
      </w:r>
      <w:r w:rsidR="0031624D">
        <w:t>. In this regard, the Bologna Process</w:t>
      </w:r>
      <w:r w:rsidR="002F062A">
        <w:t xml:space="preserve"> </w:t>
      </w:r>
      <w:r w:rsidR="009B299E">
        <w:t>demonstrate</w:t>
      </w:r>
      <w:r w:rsidR="0031624D">
        <w:t>s</w:t>
      </w:r>
      <w:r w:rsidR="002F062A">
        <w:t xml:space="preserve"> how</w:t>
      </w:r>
      <w:r w:rsidR="009B299E">
        <w:t xml:space="preserve"> </w:t>
      </w:r>
      <w:r w:rsidR="007C581A">
        <w:t xml:space="preserve">European normative leadership can be </w:t>
      </w:r>
      <w:proofErr w:type="gramStart"/>
      <w:r w:rsidR="002F062A">
        <w:t>identified,</w:t>
      </w:r>
      <w:proofErr w:type="gramEnd"/>
      <w:r w:rsidR="007C581A">
        <w:t xml:space="preserve"> conceptualized and be explained</w:t>
      </w:r>
      <w:r w:rsidR="002F062A">
        <w:t>.</w:t>
      </w:r>
      <w:r w:rsidR="009B299E">
        <w:t xml:space="preserve"> </w:t>
      </w:r>
    </w:p>
    <w:p w:rsidR="00247847" w:rsidRPr="00247847" w:rsidRDefault="00247847" w:rsidP="0031624D">
      <w:pPr>
        <w:bidi w:val="0"/>
        <w:spacing w:line="360" w:lineRule="auto"/>
        <w:jc w:val="both"/>
        <w:rPr>
          <w:b/>
          <w:bCs/>
        </w:rPr>
      </w:pPr>
      <w:r w:rsidRPr="00247847">
        <w:rPr>
          <w:b/>
          <w:bCs/>
        </w:rPr>
        <w:t xml:space="preserve">The Bologna Process – Regional </w:t>
      </w:r>
      <w:r w:rsidR="0031624D">
        <w:rPr>
          <w:b/>
          <w:bCs/>
        </w:rPr>
        <w:t>A</w:t>
      </w:r>
      <w:r w:rsidRPr="00247847">
        <w:rPr>
          <w:b/>
          <w:bCs/>
        </w:rPr>
        <w:t xml:space="preserve">spects and </w:t>
      </w:r>
      <w:r w:rsidR="0031624D">
        <w:rPr>
          <w:b/>
          <w:bCs/>
        </w:rPr>
        <w:t>I</w:t>
      </w:r>
      <w:r w:rsidRPr="00247847">
        <w:rPr>
          <w:b/>
          <w:bCs/>
        </w:rPr>
        <w:t xml:space="preserve">nternational </w:t>
      </w:r>
      <w:r w:rsidR="0031624D">
        <w:rPr>
          <w:b/>
          <w:bCs/>
        </w:rPr>
        <w:t>A</w:t>
      </w:r>
      <w:r w:rsidRPr="00247847">
        <w:rPr>
          <w:b/>
          <w:bCs/>
        </w:rPr>
        <w:t>spirations</w:t>
      </w:r>
    </w:p>
    <w:p w:rsidR="001264C4" w:rsidRPr="0071204A" w:rsidRDefault="001264C4" w:rsidP="0031624D">
      <w:pPr>
        <w:autoSpaceDE w:val="0"/>
        <w:autoSpaceDN w:val="0"/>
        <w:bidi w:val="0"/>
        <w:adjustRightInd w:val="0"/>
        <w:spacing w:after="0" w:line="360" w:lineRule="auto"/>
        <w:jc w:val="both"/>
      </w:pPr>
      <w:r w:rsidRPr="0071204A">
        <w:t>The Bologna process</w:t>
      </w:r>
      <w:r w:rsidR="00247847">
        <w:t>,</w:t>
      </w:r>
      <w:r w:rsidRPr="0071204A">
        <w:t xml:space="preserve"> launched in 1999</w:t>
      </w:r>
      <w:r w:rsidR="00247847">
        <w:t>,</w:t>
      </w:r>
      <w:r w:rsidRPr="0071204A">
        <w:t xml:space="preserve"> is a</w:t>
      </w:r>
      <w:r w:rsidR="005A3ED3" w:rsidRPr="0071204A">
        <w:t xml:space="preserve"> voluntary</w:t>
      </w:r>
      <w:r w:rsidRPr="0071204A">
        <w:t xml:space="preserve"> commitment </w:t>
      </w:r>
      <w:r w:rsidR="00904948" w:rsidRPr="0071204A">
        <w:t xml:space="preserve">originally </w:t>
      </w:r>
      <w:r w:rsidR="005A3ED3" w:rsidRPr="0071204A">
        <w:t>tak</w:t>
      </w:r>
      <w:r w:rsidRPr="0071204A">
        <w:t xml:space="preserve">en by </w:t>
      </w:r>
      <w:r w:rsidR="00904948" w:rsidRPr="0071204A">
        <w:t>29</w:t>
      </w:r>
      <w:r w:rsidRPr="0071204A">
        <w:t xml:space="preserve"> European countries, members and not members in the EU</w:t>
      </w:r>
      <w:r w:rsidR="005A3ED3" w:rsidRPr="0071204A">
        <w:t xml:space="preserve">. The </w:t>
      </w:r>
      <w:r w:rsidR="003302B9" w:rsidRPr="0071204A">
        <w:t>B</w:t>
      </w:r>
      <w:r w:rsidR="005A3ED3" w:rsidRPr="0071204A">
        <w:t xml:space="preserve">ologna </w:t>
      </w:r>
      <w:r w:rsidR="003302B9" w:rsidRPr="0071204A">
        <w:t>D</w:t>
      </w:r>
      <w:r w:rsidR="005A3ED3" w:rsidRPr="0071204A">
        <w:t>eclarati</w:t>
      </w:r>
      <w:r w:rsidR="00A855A3">
        <w:t>on and the process following it</w:t>
      </w:r>
      <w:r w:rsidR="002F5B7C" w:rsidRPr="0071204A">
        <w:t xml:space="preserve"> </w:t>
      </w:r>
      <w:r w:rsidR="000B4B66">
        <w:t xml:space="preserve">are all part of </w:t>
      </w:r>
      <w:r w:rsidR="003302B9" w:rsidRPr="0071204A">
        <w:t>a non-binding reform in higher education systems, aiming at strengthening the cooperation and coordination</w:t>
      </w:r>
      <w:r w:rsidR="0057079C">
        <w:t xml:space="preserve"> between different European higher education systems</w:t>
      </w:r>
      <w:r w:rsidR="003302B9" w:rsidRPr="0071204A">
        <w:t xml:space="preserve">. The process </w:t>
      </w:r>
      <w:r w:rsidR="002F5B7C" w:rsidRPr="0071204A">
        <w:t>reflect</w:t>
      </w:r>
      <w:r w:rsidR="003302B9" w:rsidRPr="0071204A">
        <w:t>s</w:t>
      </w:r>
      <w:r w:rsidR="002F5B7C" w:rsidRPr="0071204A">
        <w:t xml:space="preserve"> the </w:t>
      </w:r>
      <w:r w:rsidR="003302B9" w:rsidRPr="0071204A">
        <w:t>pan-E</w:t>
      </w:r>
      <w:r w:rsidR="002F5B7C" w:rsidRPr="0071204A">
        <w:t>uropean need to find answers for common problems in the field of higher education</w:t>
      </w:r>
      <w:r w:rsidR="00A855A3">
        <w:t xml:space="preserve">, </w:t>
      </w:r>
      <w:r w:rsidR="0031624D">
        <w:t>like</w:t>
      </w:r>
      <w:r w:rsidR="00A855A3">
        <w:t>:</w:t>
      </w:r>
      <w:r w:rsidR="00B8492F">
        <w:t xml:space="preserve"> mutual recognition of degrees and qualifications,</w:t>
      </w:r>
      <w:r w:rsidR="002F5B7C" w:rsidRPr="0071204A">
        <w:t xml:space="preserve"> </w:t>
      </w:r>
      <w:r w:rsidR="00A855A3">
        <w:t xml:space="preserve">low </w:t>
      </w:r>
      <w:r w:rsidR="002F5B7C" w:rsidRPr="0071204A">
        <w:t>employability</w:t>
      </w:r>
      <w:r w:rsidR="00A855A3">
        <w:t xml:space="preserve"> rate of graduates</w:t>
      </w:r>
      <w:r w:rsidR="00B8492F">
        <w:t xml:space="preserve"> and mobility</w:t>
      </w:r>
      <w:r w:rsidR="00A855A3">
        <w:t xml:space="preserve"> barriers caused by incompatibility </w:t>
      </w:r>
      <w:proofErr w:type="gramStart"/>
      <w:r w:rsidR="00A855A3">
        <w:t>between</w:t>
      </w:r>
      <w:r w:rsidR="0031624D">
        <w:t xml:space="preserve"> national</w:t>
      </w:r>
      <w:r w:rsidR="00A855A3">
        <w:t xml:space="preserve"> higher education</w:t>
      </w:r>
      <w:proofErr w:type="gramEnd"/>
      <w:r w:rsidR="00A855A3">
        <w:t xml:space="preserve"> systems</w:t>
      </w:r>
      <w:r w:rsidR="005A3ED3" w:rsidRPr="0071204A">
        <w:t>.</w:t>
      </w:r>
      <w:r w:rsidR="002F5B7C" w:rsidRPr="0071204A">
        <w:t xml:space="preserve"> </w:t>
      </w:r>
    </w:p>
    <w:p w:rsidR="001264C4" w:rsidRPr="0071204A" w:rsidRDefault="001264C4" w:rsidP="0071204A">
      <w:pPr>
        <w:autoSpaceDE w:val="0"/>
        <w:autoSpaceDN w:val="0"/>
        <w:bidi w:val="0"/>
        <w:adjustRightInd w:val="0"/>
        <w:spacing w:after="0" w:line="360" w:lineRule="auto"/>
      </w:pPr>
    </w:p>
    <w:p w:rsidR="00247847" w:rsidRDefault="007D29D6" w:rsidP="00247847">
      <w:pPr>
        <w:bidi w:val="0"/>
        <w:spacing w:line="360" w:lineRule="auto"/>
        <w:jc w:val="both"/>
      </w:pPr>
      <w:r w:rsidRPr="0071204A">
        <w:t xml:space="preserve">The Bologna Process aims </w:t>
      </w:r>
      <w:r w:rsidR="002F5B7C" w:rsidRPr="0071204A">
        <w:t>at</w:t>
      </w:r>
      <w:r w:rsidRPr="0071204A">
        <w:t xml:space="preserve"> creat</w:t>
      </w:r>
      <w:r w:rsidR="002F5B7C" w:rsidRPr="0071204A">
        <w:t>ing</w:t>
      </w:r>
      <w:r w:rsidRPr="0071204A">
        <w:t xml:space="preserve"> the European Higher Education Area</w:t>
      </w:r>
      <w:r w:rsidR="00B8492F">
        <w:t>:</w:t>
      </w:r>
      <w:r w:rsidRPr="0071204A">
        <w:t xml:space="preserve">  a region in which all national higher educ</w:t>
      </w:r>
      <w:r w:rsidR="00247847">
        <w:t xml:space="preserve">ation systems built on mutual </w:t>
      </w:r>
      <w:r w:rsidR="006F42B4" w:rsidRPr="0071204A">
        <w:t>architecture</w:t>
      </w:r>
      <w:r w:rsidR="00247847">
        <w:t>, enabling s</w:t>
      </w:r>
      <w:r w:rsidR="00A855A3">
        <w:t xml:space="preserve">tudents and staff </w:t>
      </w:r>
      <w:r w:rsidR="00247847">
        <w:t>to</w:t>
      </w:r>
      <w:r w:rsidR="00A855A3">
        <w:t xml:space="preserve"> be easily mobile and</w:t>
      </w:r>
      <w:r w:rsidR="00247847">
        <w:t xml:space="preserve"> therefore to</w:t>
      </w:r>
      <w:r w:rsidR="00A855A3">
        <w:t xml:space="preserve"> contribute to the European economy more efficiently</w:t>
      </w:r>
      <w:r w:rsidR="001264C4" w:rsidRPr="0071204A">
        <w:t xml:space="preserve">. </w:t>
      </w:r>
      <w:r w:rsidR="00C24B23" w:rsidRPr="0071204A">
        <w:t xml:space="preserve">The success of the Bologna Process is phenomenal – </w:t>
      </w:r>
      <w:r w:rsidR="00A855A3">
        <w:t xml:space="preserve">since </w:t>
      </w:r>
      <w:r w:rsidR="00B8492F">
        <w:t>its establishment,</w:t>
      </w:r>
      <w:r w:rsidR="00C24B23" w:rsidRPr="0071204A">
        <w:t xml:space="preserve"> all 47 countries which are signatories to the</w:t>
      </w:r>
      <w:r w:rsidR="00A855A3">
        <w:t xml:space="preserve"> Cultural Convention of the</w:t>
      </w:r>
      <w:r w:rsidR="00C24B23" w:rsidRPr="0071204A">
        <w:t xml:space="preserve"> Council of Europe</w:t>
      </w:r>
      <w:r w:rsidR="00A855A3">
        <w:t xml:space="preserve"> (1954)</w:t>
      </w:r>
      <w:r w:rsidR="00B8492F">
        <w:rPr>
          <w:rStyle w:val="FootnoteReference"/>
        </w:rPr>
        <w:footnoteReference w:id="1"/>
      </w:r>
      <w:r w:rsidR="00A855A3">
        <w:t xml:space="preserve"> have</w:t>
      </w:r>
      <w:r w:rsidR="00C24B23" w:rsidRPr="0071204A">
        <w:t xml:space="preserve"> </w:t>
      </w:r>
      <w:r w:rsidR="00A855A3">
        <w:t xml:space="preserve">also </w:t>
      </w:r>
      <w:r w:rsidR="00C24B23" w:rsidRPr="0071204A">
        <w:t xml:space="preserve">joined the </w:t>
      </w:r>
      <w:r w:rsidR="003302B9" w:rsidRPr="0071204A">
        <w:t>B</w:t>
      </w:r>
      <w:r w:rsidR="00C24B23" w:rsidRPr="0071204A">
        <w:t xml:space="preserve">ologna </w:t>
      </w:r>
      <w:r w:rsidR="003302B9" w:rsidRPr="0071204A">
        <w:t>P</w:t>
      </w:r>
      <w:r w:rsidR="00C24B23" w:rsidRPr="0071204A">
        <w:t>rocess, and many other countries which cannot formally join</w:t>
      </w:r>
      <w:r w:rsidR="002F062A">
        <w:t>,</w:t>
      </w:r>
      <w:r w:rsidR="00C24B23" w:rsidRPr="0071204A">
        <w:t xml:space="preserve"> </w:t>
      </w:r>
      <w:r w:rsidR="00B8492F">
        <w:t xml:space="preserve">demonstrate their </w:t>
      </w:r>
      <w:r w:rsidR="00A855A3">
        <w:t>motivation</w:t>
      </w:r>
      <w:r w:rsidR="00C24B23" w:rsidRPr="0071204A">
        <w:t xml:space="preserve"> to </w:t>
      </w:r>
      <w:r w:rsidR="00A855A3">
        <w:t>bring</w:t>
      </w:r>
      <w:r w:rsidR="00C24B23" w:rsidRPr="0071204A">
        <w:t xml:space="preserve"> their </w:t>
      </w:r>
      <w:r w:rsidR="00A855A3">
        <w:t>h</w:t>
      </w:r>
      <w:r w:rsidR="00C24B23" w:rsidRPr="0071204A">
        <w:t xml:space="preserve">igher </w:t>
      </w:r>
      <w:r w:rsidR="00A855A3">
        <w:t>e</w:t>
      </w:r>
      <w:r w:rsidR="00C24B23" w:rsidRPr="0071204A">
        <w:t xml:space="preserve">ducation </w:t>
      </w:r>
      <w:r w:rsidR="00A855A3">
        <w:t>s</w:t>
      </w:r>
      <w:r w:rsidR="00C24B23" w:rsidRPr="0071204A">
        <w:t xml:space="preserve">ystems </w:t>
      </w:r>
      <w:r w:rsidR="00A855A3">
        <w:t xml:space="preserve">to be </w:t>
      </w:r>
      <w:r w:rsidR="00C24B23" w:rsidRPr="0071204A">
        <w:t>compatible with it</w:t>
      </w:r>
      <w:r w:rsidR="00C80D85" w:rsidRPr="0071204A">
        <w:t>.</w:t>
      </w:r>
    </w:p>
    <w:p w:rsidR="006F42B4" w:rsidRDefault="00247847" w:rsidP="00673385">
      <w:pPr>
        <w:bidi w:val="0"/>
        <w:spacing w:line="360" w:lineRule="auto"/>
        <w:jc w:val="both"/>
      </w:pPr>
      <w:r>
        <w:t>It is important to stress</w:t>
      </w:r>
      <w:r w:rsidR="00C80D85" w:rsidRPr="0071204A">
        <w:t xml:space="preserve"> </w:t>
      </w:r>
      <w:r>
        <w:t>that the Bologna Process is not an EU initiative, rather a process developed under the auspices of the Council of Europe. Yet,</w:t>
      </w:r>
      <w:r w:rsidR="002F062A">
        <w:t xml:space="preserve"> as the EU plays a pivotal role in the promotion and financing the process,</w:t>
      </w:r>
      <w:r>
        <w:t xml:space="preserve"> </w:t>
      </w:r>
      <w:r w:rsidR="002F062A">
        <w:t>one can say that the BP is</w:t>
      </w:r>
      <w:r>
        <w:t xml:space="preserve"> as another step in the </w:t>
      </w:r>
      <w:r>
        <w:lastRenderedPageBreak/>
        <w:t>long path of European integration</w:t>
      </w:r>
      <w:r w:rsidR="009A084A">
        <w:t>,</w:t>
      </w:r>
      <w:r w:rsidR="002F062A">
        <w:t xml:space="preserve"> for</w:t>
      </w:r>
      <w:r>
        <w:t xml:space="preserve"> a</w:t>
      </w:r>
      <w:r w:rsidR="002F062A">
        <w:t xml:space="preserve"> new</w:t>
      </w:r>
      <w:r>
        <w:t xml:space="preserve"> policy area </w:t>
      </w:r>
      <w:r w:rsidR="002F062A">
        <w:t>is being</w:t>
      </w:r>
      <w:r>
        <w:t xml:space="preserve"> regulated super-nationally</w:t>
      </w:r>
      <w:r w:rsidR="002F062A">
        <w:t xml:space="preserve"> by the EU</w:t>
      </w:r>
      <w:r>
        <w:t xml:space="preserve">. </w:t>
      </w:r>
      <w:r w:rsidR="0030331F" w:rsidRPr="0071204A">
        <w:t>Although the Bologna Process is not a</w:t>
      </w:r>
      <w:r>
        <w:t>n EU</w:t>
      </w:r>
      <w:r w:rsidR="0030331F" w:rsidRPr="0071204A">
        <w:t xml:space="preserve"> project </w:t>
      </w:r>
      <w:r w:rsidRPr="00390FB9">
        <w:rPr>
          <w:i/>
          <w:iCs/>
        </w:rPr>
        <w:t>per se</w:t>
      </w:r>
      <w:r w:rsidR="00390FB9" w:rsidRPr="00390FB9">
        <w:t>, since its acceptance as a full member to the Bologna Process in 2001, the EU became the most dominant voice in the Bologna Process. It was claimed that the EU exploit the process because the potential it bears to assist it to empower EU's economy and to support Lisbon Strategy's</w:t>
      </w:r>
      <w:r w:rsidR="00390FB9" w:rsidRPr="00390FB9">
        <w:rPr>
          <w:rStyle w:val="FootnoteReference"/>
        </w:rPr>
        <w:footnoteReference w:id="2"/>
      </w:r>
      <w:r w:rsidR="00390FB9" w:rsidRPr="00390FB9">
        <w:t xml:space="preserve"> goals</w:t>
      </w:r>
      <w:r w:rsidR="00CB6C3E" w:rsidRPr="00390FB9">
        <w:t xml:space="preserve"> </w:t>
      </w:r>
      <w:r w:rsidR="00CB6C3E" w:rsidRPr="00390FB9">
        <w:rPr>
          <w:shd w:val="clear" w:color="auto" w:fill="FFFFFF"/>
        </w:rPr>
        <w:t>to become</w:t>
      </w:r>
      <w:r w:rsidR="00390FB9" w:rsidRPr="00390FB9">
        <w:rPr>
          <w:i/>
          <w:iCs/>
          <w:shd w:val="clear" w:color="auto" w:fill="FFFFFF"/>
        </w:rPr>
        <w:t xml:space="preserve"> "</w:t>
      </w:r>
      <w:r w:rsidR="00CB6C3E" w:rsidRPr="00390FB9">
        <w:rPr>
          <w:i/>
          <w:iCs/>
          <w:shd w:val="clear" w:color="auto" w:fill="FFFFFF"/>
        </w:rPr>
        <w:t xml:space="preserve">the most competitive and dynamic knowledge-based economy </w:t>
      </w:r>
      <w:r w:rsidR="00CB6C3E" w:rsidRPr="0071204A">
        <w:rPr>
          <w:i/>
          <w:iCs/>
          <w:shd w:val="clear" w:color="auto" w:fill="FFFFFF"/>
        </w:rPr>
        <w:t>in the world capable of sustainable economic growth with more and better jobs and greater social cohesion</w:t>
      </w:r>
      <w:r w:rsidR="00CB6C3E" w:rsidRPr="0071204A">
        <w:t>"</w:t>
      </w:r>
      <w:r w:rsidR="00673385">
        <w:t>.</w:t>
      </w:r>
      <w:r w:rsidR="00A855A3">
        <w:t xml:space="preserve"> </w:t>
      </w:r>
    </w:p>
    <w:p w:rsidR="00247847" w:rsidRDefault="00390FB9" w:rsidP="00390FB9">
      <w:pPr>
        <w:bidi w:val="0"/>
        <w:spacing w:line="360" w:lineRule="auto"/>
        <w:jc w:val="both"/>
      </w:pPr>
      <w:r>
        <w:t>Indeed, o</w:t>
      </w:r>
      <w:r w:rsidR="00247847">
        <w:t xml:space="preserve">n its first years the Bologna Process was developed to provide policy solutions for regional problems mutual to the </w:t>
      </w:r>
      <w:r w:rsidR="00247847" w:rsidRPr="002F062A">
        <w:rPr>
          <w:i/>
          <w:iCs/>
        </w:rPr>
        <w:t>European</w:t>
      </w:r>
      <w:r w:rsidR="002F062A">
        <w:t xml:space="preserve"> countries</w:t>
      </w:r>
      <w:r>
        <w:t xml:space="preserve">. Making the European systems more efficient by removing bureaucratic (national) barriers to mobility and easing the academic recognition, </w:t>
      </w:r>
      <w:r w:rsidR="00247847">
        <w:t xml:space="preserve">the </w:t>
      </w:r>
      <w:r w:rsidR="002F062A">
        <w:t xml:space="preserve">process' </w:t>
      </w:r>
      <w:r w:rsidR="00247847">
        <w:t xml:space="preserve">aim was to make sure that </w:t>
      </w:r>
      <w:r w:rsidR="004E1B7E">
        <w:t>Europe will keep its attractiveness</w:t>
      </w:r>
      <w:r>
        <w:t xml:space="preserve"> and enhance mobility to fulfil i</w:t>
      </w:r>
      <w:r w:rsidR="009A084A">
        <w:t>t</w:t>
      </w:r>
      <w:r>
        <w:t>s economic potential.</w:t>
      </w:r>
      <w:r w:rsidR="004E1B7E">
        <w:t xml:space="preserve"> </w:t>
      </w:r>
    </w:p>
    <w:p w:rsidR="00390FB9" w:rsidRDefault="007C00BA" w:rsidP="009A084A">
      <w:pPr>
        <w:bidi w:val="0"/>
        <w:spacing w:line="360" w:lineRule="auto"/>
        <w:jc w:val="both"/>
      </w:pPr>
      <w:r>
        <w:t>Even though not fully implemented within the European countries themselves, i</w:t>
      </w:r>
      <w:r w:rsidR="004E1B7E">
        <w:t xml:space="preserve">t was relatively </w:t>
      </w:r>
      <w:r w:rsidR="00390FB9">
        <w:t>fast</w:t>
      </w:r>
      <w:r w:rsidR="004E1B7E">
        <w:t xml:space="preserve"> when countries outside of Europe started to show interest in the </w:t>
      </w:r>
      <w:r>
        <w:t>Process:</w:t>
      </w:r>
      <w:r w:rsidR="004E1B7E">
        <w:t xml:space="preserve"> </w:t>
      </w:r>
      <w:r>
        <w:t>t</w:t>
      </w:r>
      <w:r w:rsidR="004E1B7E">
        <w:t>he policy tools</w:t>
      </w:r>
      <w:r>
        <w:t xml:space="preserve"> that</w:t>
      </w:r>
      <w:r w:rsidR="004E1B7E">
        <w:t xml:space="preserve"> were developed </w:t>
      </w:r>
      <w:r>
        <w:t>and i</w:t>
      </w:r>
      <w:r w:rsidR="004E1B7E">
        <w:t>mplemented in an ever increasing number of European countries (as ECTS, DS and EQF as well as the establishment of the ENQA) seemed to provide a solution for problems that even non-European countries cop</w:t>
      </w:r>
      <w:r w:rsidR="009A084A">
        <w:t>e</w:t>
      </w:r>
      <w:r w:rsidR="004E1B7E">
        <w:t xml:space="preserve"> with. </w:t>
      </w:r>
    </w:p>
    <w:p w:rsidR="00390FB9" w:rsidRDefault="00390FB9" w:rsidP="00992028">
      <w:pPr>
        <w:autoSpaceDE w:val="0"/>
        <w:autoSpaceDN w:val="0"/>
        <w:bidi w:val="0"/>
        <w:adjustRightInd w:val="0"/>
        <w:spacing w:after="0" w:line="360" w:lineRule="auto"/>
        <w:jc w:val="both"/>
      </w:pPr>
      <w:r w:rsidRPr="0071204A">
        <w:t>Even though the Bologna Process was originally established to solve</w:t>
      </w:r>
      <w:r>
        <w:t xml:space="preserve"> regional</w:t>
      </w:r>
      <w:r w:rsidRPr="0071204A">
        <w:t xml:space="preserve"> inner-European problems in the areas of economic competition, </w:t>
      </w:r>
      <w:r w:rsidR="00992028">
        <w:t>academic</w:t>
      </w:r>
      <w:r w:rsidRPr="0071204A">
        <w:t xml:space="preserve"> recognition and employability, it </w:t>
      </w:r>
      <w:r w:rsidR="00992028">
        <w:t>was</w:t>
      </w:r>
      <w:r w:rsidRPr="0071204A">
        <w:t xml:space="preserve"> soon </w:t>
      </w:r>
      <w:r w:rsidR="00992028">
        <w:t>evident that the process</w:t>
      </w:r>
      <w:r w:rsidRPr="0071204A">
        <w:t xml:space="preserve"> </w:t>
      </w:r>
      <w:r w:rsidR="00992028">
        <w:t>has</w:t>
      </w:r>
      <w:r w:rsidRPr="0071204A">
        <w:t xml:space="preserve"> </w:t>
      </w:r>
      <w:r>
        <w:t xml:space="preserve">much larger </w:t>
      </w:r>
      <w:r w:rsidRPr="0071204A">
        <w:t>global affect. It was in 2003 when Bologna Process' Berlin Communique' presented for the first time the concepts of "</w:t>
      </w:r>
      <w:proofErr w:type="spellStart"/>
      <w:r w:rsidRPr="0071204A">
        <w:t>Openess</w:t>
      </w:r>
      <w:proofErr w:type="spellEnd"/>
      <w:r w:rsidRPr="0071204A">
        <w:t xml:space="preserve">" and "cooperation" alongside with the concept of "global competition", while referring to the missions of the process. Adding </w:t>
      </w:r>
      <w:r>
        <w:t>the "external"</w:t>
      </w:r>
      <w:r w:rsidRPr="0071204A">
        <w:t xml:space="preserve"> </w:t>
      </w:r>
      <w:r>
        <w:t>elements</w:t>
      </w:r>
      <w:r w:rsidRPr="0071204A">
        <w:t xml:space="preserve"> to the Bologna Process</w:t>
      </w:r>
      <w:r>
        <w:t>' list of mission's,</w:t>
      </w:r>
      <w:r w:rsidRPr="0071204A">
        <w:t xml:space="preserve"> hints </w:t>
      </w:r>
      <w:r>
        <w:t>about</w:t>
      </w:r>
      <w:r w:rsidRPr="0071204A">
        <w:t xml:space="preserve"> the global normative </w:t>
      </w:r>
      <w:r>
        <w:t>nature of the process</w:t>
      </w:r>
      <w:r w:rsidRPr="0071204A">
        <w:t xml:space="preserve"> </w:t>
      </w:r>
      <w:r>
        <w:t xml:space="preserve">as well as on its </w:t>
      </w:r>
      <w:r w:rsidRPr="0071204A">
        <w:t xml:space="preserve">future </w:t>
      </w:r>
      <w:r>
        <w:t>mission</w:t>
      </w:r>
      <w:r w:rsidRPr="0071204A">
        <w:t xml:space="preserve">. The global turn of the process was institutionalize with the establishment of the "External Dimension Work Group" aiming to create a method through which the Bologna Process </w:t>
      </w:r>
      <w:r>
        <w:t>should</w:t>
      </w:r>
      <w:r w:rsidRPr="0071204A">
        <w:t xml:space="preserve"> be implemented outside of the EHEA.  Two years after the concepts were introduced they were embedded in the Process' action-lines, when Bologna's "External </w:t>
      </w:r>
      <w:r w:rsidRPr="0071204A">
        <w:lastRenderedPageBreak/>
        <w:t xml:space="preserve">Dimension" was brought to vote on the ministerial meeting in Bergen </w:t>
      </w:r>
      <w:r>
        <w:t>2005 (Bergen Communique, 2005:4):</w:t>
      </w:r>
      <w:r w:rsidRPr="0071204A">
        <w:rPr>
          <w:rtl/>
        </w:rPr>
        <w:t xml:space="preserve"> </w:t>
      </w:r>
    </w:p>
    <w:p w:rsidR="00390FB9" w:rsidRPr="0071204A" w:rsidRDefault="00390FB9" w:rsidP="00390FB9">
      <w:pPr>
        <w:autoSpaceDE w:val="0"/>
        <w:autoSpaceDN w:val="0"/>
        <w:bidi w:val="0"/>
        <w:adjustRightInd w:val="0"/>
        <w:spacing w:after="0" w:line="360" w:lineRule="auto"/>
        <w:jc w:val="both"/>
        <w:rPr>
          <w:rtl/>
        </w:rPr>
      </w:pPr>
    </w:p>
    <w:p w:rsidR="00390FB9" w:rsidRPr="0071204A" w:rsidRDefault="00390FB9" w:rsidP="00755B67">
      <w:pPr>
        <w:bidi w:val="0"/>
        <w:spacing w:line="360" w:lineRule="auto"/>
        <w:ind w:firstLine="720"/>
        <w:jc w:val="both"/>
      </w:pPr>
      <w:r w:rsidRPr="0071204A">
        <w:rPr>
          <w:rtl/>
        </w:rPr>
        <w:t>“</w:t>
      </w:r>
      <w:r w:rsidRPr="004C6B61">
        <w:rPr>
          <w:i/>
          <w:iCs/>
        </w:rPr>
        <w:t>The EHEA must be open and should be attractive to other parts of the world. Our contribution to achieving education for all should be based on the principle of</w:t>
      </w:r>
      <w:r w:rsidRPr="004C6B61">
        <w:rPr>
          <w:i/>
          <w:iCs/>
          <w:rtl/>
        </w:rPr>
        <w:t xml:space="preserve"> </w:t>
      </w:r>
      <w:r w:rsidRPr="004C6B61">
        <w:rPr>
          <w:i/>
          <w:iCs/>
        </w:rPr>
        <w:t>sustainable development and be in accordance with the ongoing international work on</w:t>
      </w:r>
      <w:r w:rsidRPr="004C6B61">
        <w:rPr>
          <w:i/>
          <w:iCs/>
          <w:rtl/>
        </w:rPr>
        <w:t xml:space="preserve"> </w:t>
      </w:r>
      <w:r w:rsidRPr="004C6B61">
        <w:rPr>
          <w:i/>
          <w:iCs/>
        </w:rPr>
        <w:t xml:space="preserve">developing guidelines for quality provision of cross-border higher education. </w:t>
      </w:r>
      <w:r w:rsidR="009A084A">
        <w:rPr>
          <w:i/>
          <w:iCs/>
        </w:rPr>
        <w:t xml:space="preserve">[…] </w:t>
      </w:r>
      <w:r w:rsidRPr="004C6B61">
        <w:rPr>
          <w:i/>
          <w:iCs/>
        </w:rPr>
        <w:t>We see the EHEA as</w:t>
      </w:r>
      <w:r w:rsidRPr="004C6B61">
        <w:rPr>
          <w:i/>
          <w:iCs/>
          <w:rtl/>
        </w:rPr>
        <w:t xml:space="preserve"> </w:t>
      </w:r>
      <w:r w:rsidRPr="004C6B61">
        <w:rPr>
          <w:i/>
          <w:iCs/>
        </w:rPr>
        <w:t>a partner of higher education systems in other regions of the world</w:t>
      </w:r>
      <w:r w:rsidR="009A084A">
        <w:rPr>
          <w:i/>
          <w:iCs/>
        </w:rPr>
        <w:t xml:space="preserve"> […]</w:t>
      </w:r>
      <w:r w:rsidRPr="004C6B61">
        <w:rPr>
          <w:i/>
          <w:iCs/>
        </w:rPr>
        <w:t>We look forward to</w:t>
      </w:r>
      <w:r w:rsidRPr="004C6B61">
        <w:rPr>
          <w:i/>
          <w:iCs/>
          <w:rtl/>
        </w:rPr>
        <w:t xml:space="preserve"> </w:t>
      </w:r>
      <w:r w:rsidRPr="004C6B61">
        <w:rPr>
          <w:i/>
          <w:iCs/>
        </w:rPr>
        <w:t>enhancing the understanding of the Bologna Process in other continents by sharing our</w:t>
      </w:r>
      <w:r w:rsidRPr="004C6B61">
        <w:rPr>
          <w:i/>
          <w:iCs/>
          <w:rtl/>
        </w:rPr>
        <w:t xml:space="preserve"> </w:t>
      </w:r>
      <w:r w:rsidRPr="004C6B61">
        <w:rPr>
          <w:i/>
          <w:iCs/>
        </w:rPr>
        <w:t>experiences of reform processes with neighboring regions.</w:t>
      </w:r>
      <w:r w:rsidR="009A084A">
        <w:rPr>
          <w:i/>
          <w:iCs/>
        </w:rPr>
        <w:t xml:space="preserve"> […] </w:t>
      </w:r>
      <w:r w:rsidRPr="004C6B61">
        <w:rPr>
          <w:i/>
          <w:iCs/>
        </w:rPr>
        <w:t xml:space="preserve"> We see the need to identify partner regions and intensify the</w:t>
      </w:r>
      <w:r w:rsidRPr="004C6B61">
        <w:rPr>
          <w:i/>
          <w:iCs/>
          <w:rtl/>
        </w:rPr>
        <w:t xml:space="preserve"> </w:t>
      </w:r>
      <w:r w:rsidRPr="004C6B61">
        <w:rPr>
          <w:i/>
          <w:iCs/>
        </w:rPr>
        <w:t xml:space="preserve">exchange of ideas and experiences with those regions </w:t>
      </w:r>
      <w:r w:rsidR="009A084A">
        <w:rPr>
          <w:i/>
          <w:iCs/>
        </w:rPr>
        <w:t>[…]</w:t>
      </w:r>
    </w:p>
    <w:p w:rsidR="00390FB9" w:rsidRPr="0071204A" w:rsidRDefault="00390FB9" w:rsidP="00992028">
      <w:pPr>
        <w:bidi w:val="0"/>
        <w:spacing w:line="360" w:lineRule="auto"/>
        <w:jc w:val="both"/>
      </w:pPr>
      <w:r w:rsidRPr="0071204A">
        <w:t>The follow-up group that was establish</w:t>
      </w:r>
      <w:r>
        <w:t>ed</w:t>
      </w:r>
      <w:r w:rsidRPr="0071204A">
        <w:t xml:space="preserve"> to monitor the external influence of the process found that indeed countries and regions outside of Europe are deeply influenced by the process, and that in some places reforms in light of Bologna process were taken (EUA, 2007:64).  The ministries, who understood the potential the external influence has to create a world-wide "European" reform saw how Europe can gain importance and influence on top of its global competitors in the field – mainly the US and Australia. Therefore, in order to maintain the momentum, the external dimension was further developed and deepened</w:t>
      </w:r>
      <w:r w:rsidR="00992028">
        <w:t>;</w:t>
      </w:r>
      <w:r w:rsidRPr="0071204A">
        <w:t xml:space="preserve"> </w:t>
      </w:r>
      <w:proofErr w:type="gramStart"/>
      <w:r w:rsidRPr="0071204A">
        <w:t>In</w:t>
      </w:r>
      <w:proofErr w:type="gramEnd"/>
      <w:r w:rsidRPr="0071204A">
        <w:t xml:space="preserve"> the following ministerial meeting, in Leuven 2009, the "external Dimension" and the "international </w:t>
      </w:r>
      <w:proofErr w:type="spellStart"/>
      <w:r w:rsidRPr="0071204A">
        <w:t>Openess</w:t>
      </w:r>
      <w:proofErr w:type="spellEnd"/>
      <w:r w:rsidRPr="0071204A">
        <w:t xml:space="preserve">" were the main issues on the agenda. In the Leuven communique published that year, the call was clearly out: </w:t>
      </w:r>
    </w:p>
    <w:p w:rsidR="00390FB9" w:rsidRPr="0071204A" w:rsidRDefault="00755B67" w:rsidP="00755B67">
      <w:pPr>
        <w:bidi w:val="0"/>
        <w:spacing w:line="360" w:lineRule="auto"/>
        <w:ind w:firstLine="720"/>
        <w:jc w:val="both"/>
        <w:rPr>
          <w:rFonts w:eastAsia="Calibri"/>
          <w:rtl/>
        </w:rPr>
      </w:pPr>
      <w:r>
        <w:rPr>
          <w:rFonts w:eastAsia="Calibri"/>
          <w:lang w:val="en-GB"/>
        </w:rPr>
        <w:t>"[…]</w:t>
      </w:r>
      <w:r w:rsidR="00390FB9" w:rsidRPr="008B7BD6">
        <w:rPr>
          <w:rFonts w:eastAsia="Calibri"/>
          <w:i/>
          <w:iCs/>
          <w:lang w:val="en-GB"/>
        </w:rPr>
        <w:t xml:space="preserve"> </w:t>
      </w:r>
      <w:proofErr w:type="gramStart"/>
      <w:r w:rsidR="00390FB9" w:rsidRPr="008B7BD6">
        <w:rPr>
          <w:rFonts w:eastAsia="Calibri"/>
          <w:i/>
          <w:iCs/>
          <w:lang w:val="en-GB"/>
        </w:rPr>
        <w:t>The</w:t>
      </w:r>
      <w:proofErr w:type="gramEnd"/>
      <w:r w:rsidR="00390FB9" w:rsidRPr="008B7BD6">
        <w:rPr>
          <w:rFonts w:eastAsia="Calibri"/>
          <w:i/>
          <w:iCs/>
          <w:lang w:val="en-GB"/>
        </w:rPr>
        <w:t xml:space="preserve"> attractiveness and openness of European higher education will be highlighted by joint European actions. Competition on a global scale will be complemented by enhanced policy dialogue and cooperation based on partnership with other regions of the </w:t>
      </w:r>
      <w:proofErr w:type="gramStart"/>
      <w:r w:rsidR="00390FB9" w:rsidRPr="008B7BD6">
        <w:rPr>
          <w:rFonts w:eastAsia="Calibri"/>
          <w:i/>
          <w:iCs/>
          <w:lang w:val="en-GB"/>
        </w:rPr>
        <w:t>world</w:t>
      </w:r>
      <w:r>
        <w:rPr>
          <w:rFonts w:eastAsia="Calibri"/>
          <w:i/>
          <w:iCs/>
          <w:lang w:val="en-GB"/>
        </w:rPr>
        <w:t>[</w:t>
      </w:r>
      <w:proofErr w:type="gramEnd"/>
      <w:r>
        <w:rPr>
          <w:rFonts w:eastAsia="Calibri"/>
          <w:i/>
          <w:iCs/>
          <w:lang w:val="en-GB"/>
        </w:rPr>
        <w:t>…]"</w:t>
      </w:r>
    </w:p>
    <w:p w:rsidR="00390FB9" w:rsidRPr="0071204A" w:rsidRDefault="00390FB9" w:rsidP="00390FB9">
      <w:pPr>
        <w:bidi w:val="0"/>
        <w:spacing w:line="360" w:lineRule="auto"/>
        <w:jc w:val="both"/>
        <w:rPr>
          <w:rFonts w:eastAsia="Calibri"/>
          <w:rtl/>
        </w:rPr>
      </w:pPr>
      <w:r>
        <w:rPr>
          <w:rFonts w:eastAsia="Calibri"/>
        </w:rPr>
        <w:t>And also:</w:t>
      </w:r>
    </w:p>
    <w:p w:rsidR="00390FB9" w:rsidRPr="00E27539" w:rsidRDefault="00390FB9" w:rsidP="00390FB9">
      <w:pPr>
        <w:bidi w:val="0"/>
        <w:spacing w:line="360" w:lineRule="auto"/>
        <w:jc w:val="both"/>
        <w:rPr>
          <w:rFonts w:eastAsia="Calibri"/>
        </w:rPr>
      </w:pPr>
      <w:r w:rsidRPr="008B7BD6">
        <w:rPr>
          <w:rFonts w:cs="Arial"/>
        </w:rPr>
        <w:t>To provide</w:t>
      </w:r>
      <w:r w:rsidRPr="008B7BD6">
        <w:rPr>
          <w:rFonts w:cs="Arial"/>
          <w:i/>
          <w:iCs/>
        </w:rPr>
        <w:t xml:space="preserve"> "information on the EHEA specifically targeted at non-EHEA countries, which should include […] facilitating coordinated information visits to and from non-EHEA countries”</w:t>
      </w:r>
      <w:r w:rsidRPr="0071204A">
        <w:rPr>
          <w:vertAlign w:val="superscript"/>
          <w:rtl/>
        </w:rPr>
        <w:t xml:space="preserve"> </w:t>
      </w:r>
      <w:r>
        <w:t>(Bologna Process, 2009:4[16</w:t>
      </w:r>
      <w:proofErr w:type="gramStart"/>
      <w:r>
        <w:t>] ;</w:t>
      </w:r>
      <w:proofErr w:type="gramEnd"/>
      <w:r>
        <w:t xml:space="preserve"> 5 [26])</w:t>
      </w:r>
    </w:p>
    <w:p w:rsidR="00390FB9" w:rsidRPr="0071204A" w:rsidRDefault="00390FB9" w:rsidP="004F7DA2">
      <w:pPr>
        <w:bidi w:val="0"/>
        <w:spacing w:line="360" w:lineRule="auto"/>
        <w:jc w:val="both"/>
        <w:rPr>
          <w:rFonts w:eastAsia="Calibri"/>
          <w:lang w:val="en-GB"/>
        </w:rPr>
      </w:pPr>
      <w:r w:rsidRPr="0071204A">
        <w:rPr>
          <w:rFonts w:eastAsia="Calibri"/>
        </w:rPr>
        <w:t xml:space="preserve">Following </w:t>
      </w:r>
      <w:r>
        <w:rPr>
          <w:rFonts w:eastAsia="Calibri"/>
        </w:rPr>
        <w:t>Leuven</w:t>
      </w:r>
      <w:r w:rsidRPr="0071204A">
        <w:rPr>
          <w:rFonts w:eastAsia="Calibri"/>
        </w:rPr>
        <w:t xml:space="preserve"> communique, another working group was established title</w:t>
      </w:r>
      <w:r w:rsidR="000017BE">
        <w:rPr>
          <w:rFonts w:eastAsia="Calibri"/>
        </w:rPr>
        <w:t>d</w:t>
      </w:r>
      <w:r w:rsidRPr="0071204A">
        <w:rPr>
          <w:rFonts w:eastAsia="Calibri"/>
        </w:rPr>
        <w:t xml:space="preserve">: </w:t>
      </w:r>
      <w:r>
        <w:rPr>
          <w:rFonts w:eastAsia="Calibri"/>
          <w:lang w:val="en-GB"/>
        </w:rPr>
        <w:t>"</w:t>
      </w:r>
      <w:r w:rsidRPr="0071204A">
        <w:rPr>
          <w:rFonts w:eastAsia="Calibri"/>
          <w:lang w:val="en-GB"/>
        </w:rPr>
        <w:t xml:space="preserve">International </w:t>
      </w:r>
      <w:proofErr w:type="spellStart"/>
      <w:r w:rsidRPr="0071204A">
        <w:rPr>
          <w:rFonts w:eastAsia="Calibri"/>
          <w:lang w:val="en-GB"/>
        </w:rPr>
        <w:t>Openess</w:t>
      </w:r>
      <w:proofErr w:type="spellEnd"/>
      <w:r w:rsidRPr="0071204A">
        <w:rPr>
          <w:rFonts w:eastAsia="Calibri"/>
          <w:lang w:val="en-GB"/>
        </w:rPr>
        <w:t xml:space="preserve"> – the European Higher Education Area in Global Context</w:t>
      </w:r>
      <w:r>
        <w:rPr>
          <w:rFonts w:eastAsia="Calibri"/>
          <w:lang w:val="en-GB"/>
        </w:rPr>
        <w:t>"</w:t>
      </w:r>
      <w:r w:rsidRPr="0071204A">
        <w:rPr>
          <w:rFonts w:eastAsia="Calibri"/>
          <w:lang w:val="en-GB"/>
        </w:rPr>
        <w:t xml:space="preserve"> (BFUG, 2012:20-1)</w:t>
      </w:r>
      <w:r>
        <w:rPr>
          <w:rFonts w:eastAsia="Calibri"/>
          <w:lang w:val="en-GB"/>
        </w:rPr>
        <w:t>.</w:t>
      </w:r>
      <w:r w:rsidRPr="0071204A">
        <w:rPr>
          <w:rFonts w:eastAsia="Calibri"/>
          <w:lang w:val="en-GB"/>
        </w:rPr>
        <w:t xml:space="preserve"> </w:t>
      </w:r>
      <w:r>
        <w:rPr>
          <w:rFonts w:eastAsia="Calibri"/>
          <w:lang w:val="en-GB"/>
        </w:rPr>
        <w:t>T</w:t>
      </w:r>
      <w:r w:rsidRPr="0071204A">
        <w:rPr>
          <w:rFonts w:eastAsia="Calibri"/>
          <w:lang w:val="en-GB"/>
        </w:rPr>
        <w:t>h</w:t>
      </w:r>
      <w:r>
        <w:rPr>
          <w:rFonts w:eastAsia="Calibri"/>
          <w:lang w:val="en-GB"/>
        </w:rPr>
        <w:t>e</w:t>
      </w:r>
      <w:r w:rsidRPr="0071204A">
        <w:rPr>
          <w:rFonts w:eastAsia="Calibri"/>
          <w:lang w:val="en-GB"/>
        </w:rPr>
        <w:t xml:space="preserve"> working</w:t>
      </w:r>
      <w:r>
        <w:rPr>
          <w:rFonts w:eastAsia="Calibri"/>
          <w:lang w:val="en-GB"/>
        </w:rPr>
        <w:t xml:space="preserve"> group,</w:t>
      </w:r>
      <w:r w:rsidRPr="0071204A">
        <w:rPr>
          <w:rFonts w:eastAsia="Calibri"/>
          <w:lang w:val="en-GB"/>
        </w:rPr>
        <w:t xml:space="preserve"> operated between</w:t>
      </w:r>
      <w:r>
        <w:rPr>
          <w:rFonts w:eastAsia="Calibri"/>
          <w:lang w:val="en-GB"/>
        </w:rPr>
        <w:t xml:space="preserve"> the </w:t>
      </w:r>
      <w:r w:rsidR="000017BE">
        <w:rPr>
          <w:rFonts w:eastAsia="Calibri"/>
          <w:lang w:val="en-GB"/>
        </w:rPr>
        <w:t>y</w:t>
      </w:r>
      <w:r>
        <w:rPr>
          <w:rFonts w:eastAsia="Calibri"/>
          <w:lang w:val="en-GB"/>
        </w:rPr>
        <w:t>ears</w:t>
      </w:r>
      <w:r w:rsidRPr="0071204A">
        <w:rPr>
          <w:rFonts w:eastAsia="Calibri"/>
          <w:lang w:val="en-GB"/>
        </w:rPr>
        <w:t xml:space="preserve"> 2009-2012</w:t>
      </w:r>
      <w:r>
        <w:rPr>
          <w:rFonts w:eastAsia="Calibri"/>
          <w:lang w:val="en-GB"/>
        </w:rPr>
        <w:t>,</w:t>
      </w:r>
      <w:r w:rsidRPr="0071204A">
        <w:rPr>
          <w:rFonts w:eastAsia="Calibri"/>
          <w:lang w:val="en-GB"/>
        </w:rPr>
        <w:t xml:space="preserve"> was asked to develop the </w:t>
      </w:r>
      <w:r w:rsidRPr="0071204A">
        <w:rPr>
          <w:rFonts w:eastAsia="Calibri"/>
          <w:lang w:val="en-GB"/>
        </w:rPr>
        <w:lastRenderedPageBreak/>
        <w:t xml:space="preserve">international strategy </w:t>
      </w:r>
      <w:r>
        <w:rPr>
          <w:rFonts w:eastAsia="Calibri"/>
          <w:lang w:val="en-GB"/>
        </w:rPr>
        <w:t>for</w:t>
      </w:r>
      <w:r w:rsidRPr="0071204A">
        <w:rPr>
          <w:rFonts w:eastAsia="Calibri"/>
          <w:lang w:val="en-GB"/>
        </w:rPr>
        <w:t xml:space="preserve"> the process, to create the "Bologna Policy Forum" (BPF) as an arena </w:t>
      </w:r>
      <w:r>
        <w:rPr>
          <w:rFonts w:eastAsia="Calibri"/>
          <w:lang w:val="en-GB"/>
        </w:rPr>
        <w:t xml:space="preserve">where "outsider" interested countries could participate in the discussion over the process' policy shaping as well as to </w:t>
      </w:r>
      <w:r w:rsidRPr="0071204A">
        <w:rPr>
          <w:rFonts w:eastAsia="Calibri"/>
          <w:lang w:val="en-GB"/>
        </w:rPr>
        <w:t>enhance the dissemination of the process outside of the EHEA</w:t>
      </w:r>
      <w:r w:rsidRPr="0071204A">
        <w:rPr>
          <w:rFonts w:eastAsia="Calibri"/>
        </w:rPr>
        <w:t>. The concluding report of the working group submitted in 201</w:t>
      </w:r>
      <w:r>
        <w:rPr>
          <w:rFonts w:eastAsia="Calibri"/>
        </w:rPr>
        <w:t>2</w:t>
      </w:r>
      <w:r w:rsidRPr="0071204A">
        <w:rPr>
          <w:rFonts w:eastAsia="Calibri"/>
        </w:rPr>
        <w:t xml:space="preserve"> underlined the transformation that the Bologna Process</w:t>
      </w:r>
      <w:r>
        <w:rPr>
          <w:rFonts w:eastAsia="Calibri"/>
        </w:rPr>
        <w:t xml:space="preserve"> has</w:t>
      </w:r>
      <w:r w:rsidRPr="0071204A">
        <w:rPr>
          <w:rFonts w:eastAsia="Calibri"/>
        </w:rPr>
        <w:t xml:space="preserve"> gone through, while from aiming to increase the competitiveness of the European HE system, it is now a "partner" to other regional HE systems</w:t>
      </w:r>
      <w:r w:rsidRPr="0071204A">
        <w:rPr>
          <w:rFonts w:eastAsia="Calibri"/>
          <w:lang w:val="en-GB"/>
        </w:rPr>
        <w:t xml:space="preserve"> (BFUG, 2012:4). The meaning is that countries outside the EHEA have started to cooperate with the BP as regions, demonstrating how a process that was first</w:t>
      </w:r>
      <w:r w:rsidR="000017BE">
        <w:rPr>
          <w:rFonts w:eastAsia="Calibri"/>
          <w:lang w:val="en-GB"/>
        </w:rPr>
        <w:t>ly</w:t>
      </w:r>
      <w:r w:rsidRPr="0071204A">
        <w:rPr>
          <w:rFonts w:eastAsia="Calibri"/>
          <w:lang w:val="en-GB"/>
        </w:rPr>
        <w:t xml:space="preserve"> implemented in Europe was adopted as a policy in other places in the world. Evidence</w:t>
      </w:r>
      <w:r w:rsidR="000017BE">
        <w:rPr>
          <w:rFonts w:eastAsia="Calibri"/>
          <w:lang w:val="en-GB"/>
        </w:rPr>
        <w:t>s</w:t>
      </w:r>
      <w:r w:rsidRPr="0071204A">
        <w:rPr>
          <w:rFonts w:eastAsia="Calibri"/>
          <w:lang w:val="en-GB"/>
        </w:rPr>
        <w:t xml:space="preserve"> to the</w:t>
      </w:r>
      <w:r w:rsidR="000017BE">
        <w:rPr>
          <w:rFonts w:eastAsia="Calibri"/>
          <w:lang w:val="en-GB"/>
        </w:rPr>
        <w:t xml:space="preserve"> European influence on non-EU national higher education systems </w:t>
      </w:r>
      <w:r w:rsidRPr="0071204A">
        <w:rPr>
          <w:rFonts w:eastAsia="Calibri"/>
          <w:lang w:val="en-GB"/>
        </w:rPr>
        <w:t>c</w:t>
      </w:r>
      <w:r w:rsidR="000017BE">
        <w:rPr>
          <w:rFonts w:eastAsia="Calibri"/>
          <w:lang w:val="en-GB"/>
        </w:rPr>
        <w:t>an</w:t>
      </w:r>
      <w:r w:rsidRPr="0071204A">
        <w:rPr>
          <w:rFonts w:eastAsia="Calibri"/>
          <w:lang w:val="en-GB"/>
        </w:rPr>
        <w:t xml:space="preserve"> be found in process like "the Brisbane declaration" in Australia in 2006</w:t>
      </w:r>
      <w:r>
        <w:rPr>
          <w:rFonts w:eastAsia="Calibri"/>
          <w:lang w:val="en-GB"/>
        </w:rPr>
        <w:t xml:space="preserve"> (DEST</w:t>
      </w:r>
      <w:r>
        <w:rPr>
          <w:rFonts w:eastAsia="Calibri"/>
        </w:rPr>
        <w:t>, 2006</w:t>
      </w:r>
      <w:r>
        <w:rPr>
          <w:rFonts w:eastAsia="Calibri"/>
          <w:lang w:val="en-GB"/>
        </w:rPr>
        <w:t>)</w:t>
      </w:r>
      <w:r w:rsidRPr="0071204A">
        <w:rPr>
          <w:rFonts w:eastAsia="Calibri"/>
          <w:lang w:val="en-GB"/>
        </w:rPr>
        <w:t>, the debate over the national response to the Bologna Process in Canada</w:t>
      </w:r>
      <w:r>
        <w:rPr>
          <w:rFonts w:eastAsia="Calibri"/>
          <w:lang w:val="en-GB"/>
        </w:rPr>
        <w:t xml:space="preserve"> (Brink, 2006; </w:t>
      </w:r>
      <w:proofErr w:type="spellStart"/>
      <w:r>
        <w:t>Vassiliou</w:t>
      </w:r>
      <w:proofErr w:type="spellEnd"/>
      <w:r>
        <w:t>, 2012</w:t>
      </w:r>
      <w:r>
        <w:rPr>
          <w:rFonts w:eastAsia="Calibri"/>
          <w:lang w:val="en-GB"/>
        </w:rPr>
        <w:t>)</w:t>
      </w:r>
      <w:r w:rsidRPr="0071204A">
        <w:rPr>
          <w:rFonts w:eastAsia="Calibri"/>
          <w:lang w:val="en-GB"/>
        </w:rPr>
        <w:t xml:space="preserve"> and even the establishment of the Bologna Training Centre in Israel.</w:t>
      </w:r>
      <w:r w:rsidR="004F7DA2">
        <w:rPr>
          <w:rFonts w:eastAsia="Calibri"/>
          <w:lang w:val="en-GB"/>
        </w:rPr>
        <w:t xml:space="preserve"> This trend of turning non-European HESs to be compatible with the EHEA can be explained as policy convergence.  </w:t>
      </w:r>
    </w:p>
    <w:p w:rsidR="007C00BA" w:rsidRPr="007C00BA" w:rsidRDefault="007C00BA" w:rsidP="007C00BA">
      <w:pPr>
        <w:bidi w:val="0"/>
        <w:spacing w:line="360" w:lineRule="auto"/>
        <w:jc w:val="both"/>
        <w:rPr>
          <w:b/>
          <w:bCs/>
        </w:rPr>
      </w:pPr>
      <w:r w:rsidRPr="007C00BA">
        <w:rPr>
          <w:b/>
          <w:bCs/>
        </w:rPr>
        <w:t>International cooperation</w:t>
      </w:r>
      <w:r w:rsidR="004F7DA2">
        <w:rPr>
          <w:b/>
          <w:bCs/>
        </w:rPr>
        <w:t>, policy convergence</w:t>
      </w:r>
      <w:r w:rsidRPr="007C00BA">
        <w:rPr>
          <w:b/>
          <w:bCs/>
        </w:rPr>
        <w:t xml:space="preserve"> and regime formation</w:t>
      </w:r>
    </w:p>
    <w:p w:rsidR="00B677B6" w:rsidRPr="0071204A" w:rsidRDefault="00C24B23" w:rsidP="007C00BA">
      <w:pPr>
        <w:bidi w:val="0"/>
        <w:spacing w:line="360" w:lineRule="auto"/>
        <w:jc w:val="both"/>
        <w:rPr>
          <w:b/>
          <w:bCs/>
          <w:u w:val="single"/>
        </w:rPr>
      </w:pPr>
      <w:r w:rsidRPr="0071204A">
        <w:t xml:space="preserve">The process of international policy convergence which </w:t>
      </w:r>
      <w:r w:rsidR="00E13184" w:rsidRPr="0071204A">
        <w:t>conforms</w:t>
      </w:r>
      <w:r w:rsidRPr="0071204A">
        <w:t xml:space="preserve"> to European policy-led </w:t>
      </w:r>
      <w:r w:rsidR="00E13184" w:rsidRPr="0071204A">
        <w:t>process</w:t>
      </w:r>
      <w:r w:rsidRPr="0071204A">
        <w:t xml:space="preserve"> conveys a strong influence of European </w:t>
      </w:r>
      <w:r w:rsidR="007C00BA" w:rsidRPr="0071204A">
        <w:t>practices</w:t>
      </w:r>
      <w:r w:rsidR="007C00BA">
        <w:t>,</w:t>
      </w:r>
      <w:r w:rsidR="007C00BA" w:rsidRPr="0071204A">
        <w:t xml:space="preserve"> norms</w:t>
      </w:r>
      <w:r w:rsidR="007C00BA">
        <w:t xml:space="preserve"> and</w:t>
      </w:r>
      <w:r w:rsidR="007C00BA" w:rsidRPr="0071204A">
        <w:t xml:space="preserve"> </w:t>
      </w:r>
      <w:r w:rsidRPr="0071204A">
        <w:t>values</w:t>
      </w:r>
      <w:r w:rsidR="006F42B4" w:rsidRPr="0071204A">
        <w:t>. The "European presence" in non-</w:t>
      </w:r>
      <w:r w:rsidR="003302B9" w:rsidRPr="0071204A">
        <w:t>EU</w:t>
      </w:r>
      <w:r w:rsidR="006F42B4" w:rsidRPr="0071204A">
        <w:t xml:space="preserve"> higher education systems makes the </w:t>
      </w:r>
      <w:r w:rsidR="00904948" w:rsidRPr="0071204A">
        <w:t>B</w:t>
      </w:r>
      <w:r w:rsidR="006F42B4" w:rsidRPr="0071204A">
        <w:t xml:space="preserve">ologna </w:t>
      </w:r>
      <w:r w:rsidR="00904948" w:rsidRPr="0071204A">
        <w:t>P</w:t>
      </w:r>
      <w:r w:rsidR="006F42B4" w:rsidRPr="0071204A">
        <w:t>rocess to be more than a "process"</w:t>
      </w:r>
      <w:r w:rsidR="00A855A3">
        <w:t>,</w:t>
      </w:r>
      <w:r w:rsidR="006F42B4" w:rsidRPr="0071204A">
        <w:t xml:space="preserve"> rather a unique form of European political tool, which </w:t>
      </w:r>
      <w:r w:rsidR="00904948" w:rsidRPr="0071204A">
        <w:t>can be seen as an</w:t>
      </w:r>
      <w:r w:rsidR="006F42B4" w:rsidRPr="0071204A">
        <w:t xml:space="preserve"> International Higher Education Regime</w:t>
      </w:r>
      <w:r w:rsidR="00256B66" w:rsidRPr="0071204A">
        <w:t xml:space="preserve"> (</w:t>
      </w:r>
      <w:proofErr w:type="spellStart"/>
      <w:r w:rsidR="00256B66" w:rsidRPr="0071204A">
        <w:t>Amaral</w:t>
      </w:r>
      <w:proofErr w:type="spellEnd"/>
      <w:r w:rsidR="00256B66" w:rsidRPr="0071204A">
        <w:t>, 2010:57)</w:t>
      </w:r>
      <w:r w:rsidR="006F42B4" w:rsidRPr="0071204A">
        <w:t>.</w:t>
      </w:r>
    </w:p>
    <w:p w:rsidR="00C90264" w:rsidRPr="0071204A" w:rsidRDefault="00C90264" w:rsidP="007C00BA">
      <w:pPr>
        <w:bidi w:val="0"/>
        <w:spacing w:line="360" w:lineRule="auto"/>
        <w:jc w:val="both"/>
      </w:pPr>
      <w:r w:rsidRPr="0071204A">
        <w:t>While normative compliance and international cooperation between actors contrast</w:t>
      </w:r>
      <w:r w:rsidR="007C00BA">
        <w:t>s</w:t>
      </w:r>
      <w:r w:rsidRPr="0071204A">
        <w:t xml:space="preserve"> the realistic Hobbesian view on the international system, where all actors compete in a zero</w:t>
      </w:r>
      <w:r w:rsidR="00B8492F">
        <w:t>-</w:t>
      </w:r>
      <w:r w:rsidRPr="0071204A">
        <w:t>sum game over abilities and power  (Bull, 1977: 3</w:t>
      </w:r>
      <w:r w:rsidRPr="0071204A">
        <w:rPr>
          <w:rtl/>
        </w:rPr>
        <w:t>(</w:t>
      </w:r>
      <w:r w:rsidRPr="0071204A">
        <w:t xml:space="preserve">, a need for an explanation of the mechanisms that enable them to act in reciprocity without losing their sovereignty </w:t>
      </w:r>
      <w:r w:rsidR="00B8492F">
        <w:t>-</w:t>
      </w:r>
      <w:r w:rsidRPr="0071204A">
        <w:t xml:space="preserve"> is rising</w:t>
      </w:r>
      <w:r w:rsidR="007C00BA">
        <w:t xml:space="preserve"> </w:t>
      </w:r>
      <w:r w:rsidR="007C00BA" w:rsidRPr="0071204A">
        <w:t>(Keoheane,1986:8)</w:t>
      </w:r>
      <w:r w:rsidRPr="0071204A">
        <w:t>.</w:t>
      </w:r>
    </w:p>
    <w:p w:rsidR="00C90264" w:rsidRPr="0071204A" w:rsidRDefault="00C90264" w:rsidP="003B4AE5">
      <w:pPr>
        <w:bidi w:val="0"/>
        <w:spacing w:line="360" w:lineRule="auto"/>
        <w:jc w:val="both"/>
      </w:pPr>
      <w:r w:rsidRPr="0071204A">
        <w:t>While academic literature is saturated with definitions for international cooperation (</w:t>
      </w:r>
      <w:proofErr w:type="spellStart"/>
      <w:r w:rsidRPr="0071204A">
        <w:t>Ruggie</w:t>
      </w:r>
      <w:proofErr w:type="spellEnd"/>
      <w:r w:rsidRPr="0071204A">
        <w:t>, 1975:570-1; Young, 1980: 331, 1982: 278, 1992: 44</w:t>
      </w:r>
      <w:r w:rsidRPr="0071204A">
        <w:rPr>
          <w:rtl/>
        </w:rPr>
        <w:t>;</w:t>
      </w:r>
      <w:r w:rsidRPr="0071204A">
        <w:t xml:space="preserve"> </w:t>
      </w:r>
      <w:proofErr w:type="spellStart"/>
      <w:r w:rsidRPr="0071204A">
        <w:t>Puchala</w:t>
      </w:r>
      <w:proofErr w:type="spellEnd"/>
      <w:r w:rsidRPr="0071204A">
        <w:t xml:space="preserve"> and Hopkins, 1982:247; Haggard and Simmons, 1987:</w:t>
      </w:r>
      <w:r w:rsidR="0005347A">
        <w:t>493-4</w:t>
      </w:r>
      <w:r w:rsidRPr="0071204A">
        <w:t xml:space="preserve">), there is one </w:t>
      </w:r>
      <w:r w:rsidR="003B4AE5">
        <w:t xml:space="preserve">vastly acknowledged </w:t>
      </w:r>
      <w:r w:rsidRPr="0071204A">
        <w:t xml:space="preserve">definition </w:t>
      </w:r>
      <w:r w:rsidR="003B4AE5">
        <w:t>of</w:t>
      </w:r>
      <w:r w:rsidRPr="0071204A">
        <w:t xml:space="preserve"> international regime </w:t>
      </w:r>
      <w:r w:rsidR="003B4AE5">
        <w:t xml:space="preserve">defining it as </w:t>
      </w:r>
      <w:r w:rsidRPr="0071204A">
        <w:t>an “Implicit or explicit principles, norms, rules and decision-making procedures around which actors’ expectations converge in a given area of international relations” (Krasner, 1982: 186</w:t>
      </w:r>
      <w:r w:rsidRPr="0071204A">
        <w:rPr>
          <w:rtl/>
        </w:rPr>
        <w:t>(</w:t>
      </w:r>
      <w:r w:rsidRPr="0071204A">
        <w:t xml:space="preserve">. </w:t>
      </w:r>
    </w:p>
    <w:p w:rsidR="00C90264" w:rsidRPr="0071204A" w:rsidRDefault="004F7DA2" w:rsidP="004F7DA2">
      <w:pPr>
        <w:bidi w:val="0"/>
        <w:spacing w:line="360" w:lineRule="auto"/>
        <w:jc w:val="both"/>
      </w:pPr>
      <w:r>
        <w:lastRenderedPageBreak/>
        <w:t>A</w:t>
      </w:r>
      <w:r w:rsidR="00105ADA">
        <w:t>ccept</w:t>
      </w:r>
      <w:r>
        <w:t>ing</w:t>
      </w:r>
      <w:r w:rsidR="00105ADA">
        <w:t xml:space="preserve"> </w:t>
      </w:r>
      <w:r w:rsidR="00C90264" w:rsidRPr="0071204A">
        <w:t>Krasner's definition</w:t>
      </w:r>
      <w:r>
        <w:t xml:space="preserve"> for regime</w:t>
      </w:r>
      <w:r w:rsidR="00105ADA">
        <w:t xml:space="preserve"> enables a</w:t>
      </w:r>
      <w:r w:rsidR="003B4AE5">
        <w:t xml:space="preserve"> clear</w:t>
      </w:r>
      <w:r w:rsidR="00C90264" w:rsidRPr="0071204A">
        <w:t xml:space="preserve"> discussion </w:t>
      </w:r>
      <w:r w:rsidR="003B4AE5">
        <w:t>over elements</w:t>
      </w:r>
      <w:r w:rsidR="00C90264" w:rsidRPr="0071204A">
        <w:t xml:space="preserve"> </w:t>
      </w:r>
      <w:r w:rsidR="003B4AE5">
        <w:t>of international n</w:t>
      </w:r>
      <w:r w:rsidR="00C90264" w:rsidRPr="0071204A">
        <w:t>ormative</w:t>
      </w:r>
      <w:r w:rsidR="003B4AE5">
        <w:t xml:space="preserve"> influence</w:t>
      </w:r>
      <w:r w:rsidR="001D0ECC" w:rsidRPr="0071204A">
        <w:t>. It is claimed that</w:t>
      </w:r>
      <w:r w:rsidR="00C90264" w:rsidRPr="0071204A">
        <w:t xml:space="preserve"> regimes</w:t>
      </w:r>
      <w:r w:rsidR="001D0ECC" w:rsidRPr="0071204A">
        <w:t>'</w:t>
      </w:r>
      <w:r w:rsidR="00C90264" w:rsidRPr="0071204A">
        <w:t xml:space="preserve"> </w:t>
      </w:r>
      <w:r w:rsidR="001D0ECC" w:rsidRPr="0071204A">
        <w:t>power</w:t>
      </w:r>
      <w:r w:rsidR="00C90264" w:rsidRPr="0071204A">
        <w:t xml:space="preserve"> stems from two main sources: one is the profound legitimacy which </w:t>
      </w:r>
      <w:r w:rsidR="00390A33">
        <w:t>lies in the basis of the regime</w:t>
      </w:r>
      <w:r w:rsidR="00C90264" w:rsidRPr="0071204A">
        <w:t xml:space="preserve"> </w:t>
      </w:r>
      <w:r w:rsidR="001D0ECC" w:rsidRPr="0071204A">
        <w:t>(</w:t>
      </w:r>
      <w:r w:rsidR="00C90264" w:rsidRPr="0071204A">
        <w:t xml:space="preserve">the belief in the need for the regime which brought to its establishment </w:t>
      </w:r>
      <w:r>
        <w:t>i</w:t>
      </w:r>
      <w:r w:rsidR="00C90264" w:rsidRPr="0071204A">
        <w:t>n the first place</w:t>
      </w:r>
      <w:r w:rsidR="001D0ECC" w:rsidRPr="0071204A">
        <w:t>)</w:t>
      </w:r>
      <w:r w:rsidR="00C90264" w:rsidRPr="0071204A">
        <w:t xml:space="preserve">, while the second is the unique abilities and competences that only the regime as a framework holds (knowledge and technical abilities). After mutual agreement over norms of action and practices by all members of the regime, </w:t>
      </w:r>
      <w:r w:rsidR="003B4AE5">
        <w:t>t</w:t>
      </w:r>
      <w:r w:rsidR="00C90264" w:rsidRPr="0071204A">
        <w:t xml:space="preserve">he two above mentioned characteristics allow the regime to act autonomously and to hold influence over the actors (Barnett and </w:t>
      </w:r>
      <w:proofErr w:type="spellStart"/>
      <w:r w:rsidR="00C90264" w:rsidRPr="0071204A">
        <w:t>Finnemore</w:t>
      </w:r>
      <w:proofErr w:type="spellEnd"/>
      <w:r w:rsidR="00C90264" w:rsidRPr="0071204A">
        <w:t>, 1999:707</w:t>
      </w:r>
      <w:r w:rsidR="00C90264" w:rsidRPr="0071204A">
        <w:rPr>
          <w:rtl/>
        </w:rPr>
        <w:t>(</w:t>
      </w:r>
      <w:r w:rsidR="00C90264" w:rsidRPr="0071204A">
        <w:t xml:space="preserve">. </w:t>
      </w:r>
    </w:p>
    <w:p w:rsidR="00C90264" w:rsidRPr="0071204A" w:rsidRDefault="004F7DA2" w:rsidP="00BA031B">
      <w:pPr>
        <w:bidi w:val="0"/>
        <w:spacing w:line="360" w:lineRule="auto"/>
        <w:jc w:val="both"/>
      </w:pPr>
      <w:r>
        <w:t xml:space="preserve">In this regard, </w:t>
      </w:r>
      <w:r w:rsidRPr="0071204A">
        <w:t xml:space="preserve">the Bologna </w:t>
      </w:r>
      <w:r>
        <w:t>P</w:t>
      </w:r>
      <w:r w:rsidRPr="0071204A">
        <w:t xml:space="preserve">rocess </w:t>
      </w:r>
      <w:r w:rsidR="002218DD">
        <w:t xml:space="preserve">provides </w:t>
      </w:r>
      <w:r w:rsidRPr="0071204A">
        <w:t>a good exa</w:t>
      </w:r>
      <w:r>
        <w:t xml:space="preserve">mple </w:t>
      </w:r>
      <w:r w:rsidR="002218DD">
        <w:t>for</w:t>
      </w:r>
      <w:r>
        <w:t xml:space="preserve"> an international regime. First and foremost, </w:t>
      </w:r>
      <w:r w:rsidR="002218DD">
        <w:t>the Process</w:t>
      </w:r>
      <w:r>
        <w:t xml:space="preserve"> creates an international public good in the shape of a framework for cooperation and internationalization of higher education. Secondly, the institutional structure of the process, even </w:t>
      </w:r>
      <w:r w:rsidR="001E2AEC">
        <w:t>u</w:t>
      </w:r>
      <w:r w:rsidR="001E2AEC" w:rsidRPr="001E2AEC">
        <w:t>nintentional</w:t>
      </w:r>
      <w:r w:rsidR="001E2AEC">
        <w:t>ly</w:t>
      </w:r>
      <w:r>
        <w:t xml:space="preserve">, projects </w:t>
      </w:r>
      <w:r w:rsidR="002218DD">
        <w:t>the Process'</w:t>
      </w:r>
      <w:r>
        <w:t xml:space="preserve"> political nature: T</w:t>
      </w:r>
      <w:r w:rsidR="00C90264" w:rsidRPr="0071204A">
        <w:t xml:space="preserve">he incremental institutionalization of the </w:t>
      </w:r>
      <w:r w:rsidR="00B74E26" w:rsidRPr="0071204A">
        <w:t>B</w:t>
      </w:r>
      <w:r w:rsidR="00C90264" w:rsidRPr="0071204A">
        <w:t xml:space="preserve">ologna </w:t>
      </w:r>
      <w:r w:rsidR="00B74E26" w:rsidRPr="0071204A">
        <w:t>P</w:t>
      </w:r>
      <w:r w:rsidR="00C90264" w:rsidRPr="0071204A">
        <w:t>rocess as a declaration-based policy backed by a</w:t>
      </w:r>
      <w:r>
        <w:t xml:space="preserve"> European-led</w:t>
      </w:r>
      <w:r w:rsidR="00C90264" w:rsidRPr="0071204A">
        <w:t xml:space="preserve"> secretariat, periodically meetings of all stakeholders, </w:t>
      </w:r>
      <w:r>
        <w:t>as well as setting up a</w:t>
      </w:r>
      <w:r w:rsidR="00C90264" w:rsidRPr="0071204A">
        <w:t xml:space="preserve"> monitoring benchmarking mechanism</w:t>
      </w:r>
      <w:r>
        <w:t xml:space="preserve"> demons</w:t>
      </w:r>
      <w:r w:rsidR="00B61A45">
        <w:t>trates its regime-like behavior. But most importantly, the process signals that there is a global order in higher education policy, which is dictated by a global leader. As being the entity that funds and steer the BP, one can say that the EU functions as a</w:t>
      </w:r>
      <w:r w:rsidR="001C4ED3">
        <w:t xml:space="preserve"> hegemon in the field of higher education in a global sense. Even if not manifesting itself an explicit pressure, the EU, via the </w:t>
      </w:r>
      <w:proofErr w:type="spellStart"/>
      <w:r w:rsidR="001C4ED3">
        <w:t>Bolognian</w:t>
      </w:r>
      <w:proofErr w:type="spellEnd"/>
      <w:r w:rsidR="001C4ED3">
        <w:t xml:space="preserve"> regime, brings countries outside of the EHEA to </w:t>
      </w:r>
      <w:r w:rsidR="009A1D61">
        <w:t xml:space="preserve">apply </w:t>
      </w:r>
      <w:r w:rsidR="001C4ED3">
        <w:t>its</w:t>
      </w:r>
      <w:r w:rsidR="002218DD">
        <w:t xml:space="preserve"> </w:t>
      </w:r>
      <w:r w:rsidR="009A1D61">
        <w:t xml:space="preserve">norms, principles and </w:t>
      </w:r>
      <w:r w:rsidR="001C4ED3">
        <w:t xml:space="preserve">values on their HESs.in this regard one can say that by elevating the regional Bologna Process to an international regime, the EU enhances the process of </w:t>
      </w:r>
      <w:r w:rsidR="00004D68" w:rsidRPr="0071204A">
        <w:t>the Europeanization</w:t>
      </w:r>
      <w:r w:rsidR="00004D68">
        <w:rPr>
          <w:rStyle w:val="FootnoteReference"/>
        </w:rPr>
        <w:footnoteReference w:id="3"/>
      </w:r>
      <w:r w:rsidR="00004D68" w:rsidRPr="0071204A">
        <w:t xml:space="preserve"> of global higher education</w:t>
      </w:r>
      <w:r w:rsidR="00004D68">
        <w:t xml:space="preserve">, </w:t>
      </w:r>
      <w:r w:rsidR="001C4ED3">
        <w:t xml:space="preserve">by that strengthening its own status </w:t>
      </w:r>
      <w:r w:rsidR="00004D68">
        <w:t>as a global hegemon</w:t>
      </w:r>
      <w:r w:rsidR="001C4ED3">
        <w:t xml:space="preserve">, </w:t>
      </w:r>
      <w:r w:rsidR="00BA031B">
        <w:t xml:space="preserve">and </w:t>
      </w:r>
      <w:r w:rsidR="001C4ED3">
        <w:t>thus – a global normative power</w:t>
      </w:r>
      <w:r w:rsidR="00004D68">
        <w:t xml:space="preserve">. </w:t>
      </w:r>
      <w:r w:rsidR="00C90264" w:rsidRPr="0071204A">
        <w:t xml:space="preserve"> </w:t>
      </w:r>
    </w:p>
    <w:p w:rsidR="00862843" w:rsidRPr="00862843" w:rsidRDefault="00862843" w:rsidP="00004D68">
      <w:pPr>
        <w:bidi w:val="0"/>
        <w:spacing w:line="360" w:lineRule="auto"/>
        <w:jc w:val="both"/>
        <w:rPr>
          <w:rFonts w:eastAsia="Calibri"/>
          <w:b/>
          <w:bCs/>
        </w:rPr>
      </w:pPr>
      <w:r w:rsidRPr="00862843">
        <w:rPr>
          <w:rFonts w:eastAsia="Calibri"/>
          <w:b/>
          <w:bCs/>
          <w:lang w:val="en-GB"/>
        </w:rPr>
        <w:t>The Israeli case</w:t>
      </w:r>
    </w:p>
    <w:p w:rsidR="00862843" w:rsidRDefault="00FD60B9" w:rsidP="00BA031B">
      <w:pPr>
        <w:bidi w:val="0"/>
        <w:spacing w:line="360" w:lineRule="auto"/>
        <w:jc w:val="both"/>
        <w:rPr>
          <w:rFonts w:eastAsia="Calibri"/>
          <w:lang w:val="en-GB"/>
        </w:rPr>
      </w:pPr>
      <w:r>
        <w:rPr>
          <w:rFonts w:eastAsia="Calibri"/>
          <w:lang w:val="en-GB"/>
        </w:rPr>
        <w:lastRenderedPageBreak/>
        <w:t>In this regard</w:t>
      </w:r>
      <w:r w:rsidR="00BA031B">
        <w:rPr>
          <w:rFonts w:eastAsia="Calibri"/>
          <w:lang w:val="en-GB"/>
        </w:rPr>
        <w:t>,</w:t>
      </w:r>
      <w:r>
        <w:rPr>
          <w:rFonts w:eastAsia="Calibri"/>
          <w:lang w:val="en-GB"/>
        </w:rPr>
        <w:t xml:space="preserve"> the Israeli response to the Bologna Process case study provides </w:t>
      </w:r>
      <w:r w:rsidR="00BA031B">
        <w:rPr>
          <w:rFonts w:eastAsia="Calibri"/>
          <w:lang w:val="en-GB"/>
        </w:rPr>
        <w:t>striking</w:t>
      </w:r>
      <w:r>
        <w:rPr>
          <w:rFonts w:eastAsia="Calibri"/>
          <w:lang w:val="en-GB"/>
        </w:rPr>
        <w:t xml:space="preserve"> example for European normative influence.</w:t>
      </w:r>
      <w:r w:rsidR="00035676">
        <w:rPr>
          <w:rFonts w:eastAsia="Calibri"/>
          <w:lang w:val="en-GB"/>
        </w:rPr>
        <w:t xml:space="preserve"> </w:t>
      </w:r>
    </w:p>
    <w:p w:rsidR="00EF1AE8" w:rsidRDefault="00862843" w:rsidP="000D0547">
      <w:pPr>
        <w:bidi w:val="0"/>
        <w:spacing w:line="360" w:lineRule="auto"/>
        <w:jc w:val="both"/>
        <w:rPr>
          <w:rFonts w:eastAsia="Calibri"/>
          <w:lang w:val="en-GB"/>
        </w:rPr>
      </w:pPr>
      <w:r>
        <w:rPr>
          <w:rFonts w:eastAsia="Calibri"/>
          <w:lang w:val="en-GB"/>
        </w:rPr>
        <w:t>The Israeli HES is rather a young one</w:t>
      </w:r>
      <w:r w:rsidR="004F7DA2">
        <w:rPr>
          <w:rFonts w:eastAsia="Calibri"/>
          <w:lang w:val="en-GB"/>
        </w:rPr>
        <w:t>, for</w:t>
      </w:r>
      <w:r>
        <w:rPr>
          <w:rFonts w:eastAsia="Calibri"/>
          <w:lang w:val="en-GB"/>
        </w:rPr>
        <w:t xml:space="preserve"> </w:t>
      </w:r>
      <w:r w:rsidR="004F7DA2">
        <w:rPr>
          <w:rFonts w:eastAsia="Calibri"/>
          <w:lang w:val="en-GB"/>
        </w:rPr>
        <w:t>i</w:t>
      </w:r>
      <w:r>
        <w:rPr>
          <w:rFonts w:eastAsia="Calibri"/>
          <w:lang w:val="en-GB"/>
        </w:rPr>
        <w:t xml:space="preserve">t was </w:t>
      </w:r>
      <w:r w:rsidR="003D57E8">
        <w:rPr>
          <w:rFonts w:eastAsia="Calibri"/>
          <w:lang w:val="en-GB"/>
        </w:rPr>
        <w:t>founded less than 100 years ago</w:t>
      </w:r>
      <w:r>
        <w:rPr>
          <w:rFonts w:eastAsia="Calibri"/>
          <w:lang w:val="en-GB"/>
        </w:rPr>
        <w:t xml:space="preserve">. </w:t>
      </w:r>
      <w:r w:rsidR="00035676">
        <w:rPr>
          <w:rFonts w:eastAsia="Calibri"/>
          <w:lang w:val="en-GB"/>
        </w:rPr>
        <w:t>W</w:t>
      </w:r>
      <w:r w:rsidR="00EF1AE8">
        <w:rPr>
          <w:rFonts w:eastAsia="Calibri"/>
          <w:lang w:val="en-GB"/>
        </w:rPr>
        <w:t>hile</w:t>
      </w:r>
      <w:r>
        <w:rPr>
          <w:rFonts w:eastAsia="Calibri"/>
          <w:lang w:val="en-GB"/>
        </w:rPr>
        <w:t xml:space="preserve"> </w:t>
      </w:r>
      <w:r w:rsidR="00EF1AE8">
        <w:rPr>
          <w:rFonts w:eastAsia="Calibri"/>
          <w:lang w:val="en-GB"/>
        </w:rPr>
        <w:t>Israeli research is</w:t>
      </w:r>
      <w:r w:rsidR="00035676">
        <w:rPr>
          <w:rFonts w:eastAsia="Calibri"/>
          <w:lang w:val="en-GB"/>
        </w:rPr>
        <w:t xml:space="preserve"> vastly</w:t>
      </w:r>
      <w:r w:rsidR="00EF1AE8">
        <w:rPr>
          <w:rFonts w:eastAsia="Calibri"/>
          <w:lang w:val="en-GB"/>
        </w:rPr>
        <w:t xml:space="preserve"> internationalize</w:t>
      </w:r>
      <w:r w:rsidR="00295D08">
        <w:rPr>
          <w:rFonts w:eastAsia="Calibri"/>
          <w:lang w:val="en-GB"/>
        </w:rPr>
        <w:t>d</w:t>
      </w:r>
      <w:r w:rsidR="00EF1AE8">
        <w:rPr>
          <w:rFonts w:eastAsia="Calibri"/>
          <w:lang w:val="en-GB"/>
        </w:rPr>
        <w:t>, the system itself, in sense of teaching and lear</w:t>
      </w:r>
      <w:r w:rsidR="00035676">
        <w:rPr>
          <w:rFonts w:eastAsia="Calibri"/>
          <w:lang w:val="en-GB"/>
        </w:rPr>
        <w:t>ning is rather local and closed</w:t>
      </w:r>
      <w:r w:rsidR="00EF1AE8">
        <w:rPr>
          <w:rFonts w:eastAsia="Calibri"/>
          <w:lang w:val="en-GB"/>
        </w:rPr>
        <w:t xml:space="preserve"> comparing to the American or the European ones. This can be said due to the relativ</w:t>
      </w:r>
      <w:r w:rsidR="00035676">
        <w:rPr>
          <w:rFonts w:eastAsia="Calibri"/>
          <w:lang w:val="en-GB"/>
        </w:rPr>
        <w:t xml:space="preserve">ely low rate of foreign student and faculty come to study and teach </w:t>
      </w:r>
      <w:r w:rsidR="00EF1AE8">
        <w:rPr>
          <w:rFonts w:eastAsia="Calibri"/>
          <w:lang w:val="en-GB"/>
        </w:rPr>
        <w:t xml:space="preserve">in Israel, and low rate of Israeli students </w:t>
      </w:r>
      <w:r w:rsidR="00035676">
        <w:rPr>
          <w:rFonts w:eastAsia="Calibri"/>
          <w:lang w:val="en-GB"/>
        </w:rPr>
        <w:t xml:space="preserve">who combine international character </w:t>
      </w:r>
      <w:r w:rsidR="003D57E8">
        <w:rPr>
          <w:rFonts w:eastAsia="Calibri"/>
          <w:lang w:val="en-GB"/>
        </w:rPr>
        <w:t>in</w:t>
      </w:r>
      <w:r w:rsidR="00035676">
        <w:rPr>
          <w:rFonts w:eastAsia="Calibri"/>
          <w:lang w:val="en-GB"/>
        </w:rPr>
        <w:t xml:space="preserve"> their studies</w:t>
      </w:r>
      <w:r w:rsidR="00EF1AE8">
        <w:rPr>
          <w:rFonts w:eastAsia="Calibri"/>
          <w:lang w:val="en-GB"/>
        </w:rPr>
        <w:t xml:space="preserve">. In recent years, it is evident that Israeli academia make efforts to bridge this gap in order to promote its international profile </w:t>
      </w:r>
      <w:r w:rsidR="000D0547">
        <w:rPr>
          <w:rFonts w:eastAsia="Calibri"/>
          <w:lang w:val="en-GB"/>
        </w:rPr>
        <w:t>of</w:t>
      </w:r>
      <w:r w:rsidR="00EF1AE8">
        <w:rPr>
          <w:rFonts w:eastAsia="Calibri"/>
          <w:lang w:val="en-GB"/>
        </w:rPr>
        <w:t xml:space="preserve"> teaching and learning</w:t>
      </w:r>
      <w:r w:rsidR="000D0547">
        <w:rPr>
          <w:rFonts w:eastAsia="Calibri"/>
          <w:lang w:val="en-GB"/>
        </w:rPr>
        <w:t xml:space="preserve"> in order to maintain its international prestige and quality</w:t>
      </w:r>
      <w:r w:rsidR="00EF1AE8">
        <w:rPr>
          <w:rFonts w:eastAsia="Calibri"/>
          <w:lang w:val="en-GB"/>
        </w:rPr>
        <w:t xml:space="preserve">. One of the prominent engines for this process was the </w:t>
      </w:r>
      <w:r w:rsidR="00035676">
        <w:rPr>
          <w:rFonts w:eastAsia="Calibri"/>
          <w:lang w:val="en-GB"/>
        </w:rPr>
        <w:t>introduction of the Bologna Process to</w:t>
      </w:r>
      <w:r w:rsidR="00EF1AE8">
        <w:rPr>
          <w:rFonts w:eastAsia="Calibri"/>
          <w:lang w:val="en-GB"/>
        </w:rPr>
        <w:t xml:space="preserve"> Israeli academia. </w:t>
      </w:r>
    </w:p>
    <w:p w:rsidR="00F800CA" w:rsidRDefault="00EF1AE8" w:rsidP="00F64FEA">
      <w:pPr>
        <w:bidi w:val="0"/>
        <w:spacing w:line="360" w:lineRule="auto"/>
        <w:jc w:val="both"/>
        <w:rPr>
          <w:rFonts w:eastAsia="Calibri"/>
          <w:lang w:val="en-GB"/>
        </w:rPr>
      </w:pPr>
      <w:r>
        <w:rPr>
          <w:rFonts w:eastAsia="Calibri"/>
          <w:lang w:val="en-GB"/>
        </w:rPr>
        <w:t>Historically, t</w:t>
      </w:r>
      <w:r w:rsidR="00FD60B9">
        <w:rPr>
          <w:rFonts w:eastAsia="Calibri"/>
          <w:lang w:val="en-GB"/>
        </w:rPr>
        <w:t xml:space="preserve">he </w:t>
      </w:r>
      <w:r>
        <w:rPr>
          <w:rFonts w:eastAsia="Calibri"/>
          <w:lang w:val="en-GB"/>
        </w:rPr>
        <w:t xml:space="preserve">Israeli </w:t>
      </w:r>
      <w:r w:rsidR="00FD60B9">
        <w:rPr>
          <w:rFonts w:eastAsia="Calibri"/>
          <w:lang w:val="en-GB"/>
        </w:rPr>
        <w:t>response to the Bologna Process was dual:</w:t>
      </w:r>
      <w:r w:rsidR="00481873">
        <w:rPr>
          <w:rFonts w:eastAsia="Calibri"/>
          <w:lang w:val="en-GB"/>
        </w:rPr>
        <w:t xml:space="preserve"> on the one hand,</w:t>
      </w:r>
      <w:r w:rsidR="00B23348">
        <w:rPr>
          <w:rFonts w:eastAsia="Calibri"/>
          <w:lang w:val="en-GB"/>
        </w:rPr>
        <w:t xml:space="preserve"> from a political-economic </w:t>
      </w:r>
      <w:r w:rsidR="000D0547">
        <w:rPr>
          <w:rFonts w:eastAsia="Calibri"/>
          <w:lang w:val="en-GB"/>
        </w:rPr>
        <w:t>perspective</w:t>
      </w:r>
      <w:r w:rsidR="00B23348">
        <w:rPr>
          <w:rFonts w:eastAsia="Calibri"/>
          <w:lang w:val="en-GB"/>
        </w:rPr>
        <w:t>,</w:t>
      </w:r>
      <w:r w:rsidR="00481873">
        <w:rPr>
          <w:rFonts w:eastAsia="Calibri"/>
          <w:lang w:val="en-GB"/>
        </w:rPr>
        <w:t xml:space="preserve"> </w:t>
      </w:r>
      <w:r w:rsidR="00B23348">
        <w:rPr>
          <w:rFonts w:eastAsia="Calibri"/>
          <w:lang w:val="en-GB"/>
        </w:rPr>
        <w:t xml:space="preserve">the Israeli council for </w:t>
      </w:r>
      <w:r w:rsidR="00035676">
        <w:rPr>
          <w:rFonts w:eastAsia="Calibri"/>
          <w:lang w:val="en-GB"/>
        </w:rPr>
        <w:t xml:space="preserve">higher education </w:t>
      </w:r>
      <w:r w:rsidR="00B23348">
        <w:rPr>
          <w:rFonts w:eastAsia="Calibri"/>
          <w:lang w:val="en-GB"/>
        </w:rPr>
        <w:t xml:space="preserve">stated to show interest in the BP on 2006, when it witnessed the effect BP has on European countries and their ability to gain revenues from harmonising their HESs. On </w:t>
      </w:r>
      <w:r w:rsidR="00FD60B9">
        <w:rPr>
          <w:rFonts w:eastAsia="Calibri"/>
          <w:lang w:val="en-GB"/>
        </w:rPr>
        <w:t>2007 Israel</w:t>
      </w:r>
      <w:r w:rsidR="00223A27">
        <w:rPr>
          <w:rFonts w:eastAsia="Calibri"/>
          <w:lang w:val="en-GB"/>
        </w:rPr>
        <w:t xml:space="preserve"> voluntarily </w:t>
      </w:r>
      <w:r w:rsidR="00FD60B9">
        <w:rPr>
          <w:rFonts w:eastAsia="Calibri"/>
          <w:lang w:val="en-GB"/>
        </w:rPr>
        <w:t>asked to join the declaration</w:t>
      </w:r>
      <w:r w:rsidR="00271811">
        <w:rPr>
          <w:rFonts w:eastAsia="Calibri"/>
          <w:lang w:val="en-GB"/>
        </w:rPr>
        <w:t xml:space="preserve"> and applied to</w:t>
      </w:r>
      <w:r w:rsidR="00F800CA">
        <w:rPr>
          <w:rFonts w:eastAsia="Calibri"/>
          <w:lang w:val="en-GB"/>
        </w:rPr>
        <w:t xml:space="preserve"> the Bologna secretariat. T</w:t>
      </w:r>
      <w:r w:rsidR="00FD60B9">
        <w:rPr>
          <w:rFonts w:eastAsia="Calibri"/>
          <w:lang w:val="en-GB"/>
        </w:rPr>
        <w:t xml:space="preserve">he </w:t>
      </w:r>
      <w:r w:rsidR="00F800CA">
        <w:rPr>
          <w:rFonts w:eastAsia="Calibri"/>
          <w:lang w:val="en-GB"/>
        </w:rPr>
        <w:t xml:space="preserve">Israeli </w:t>
      </w:r>
      <w:r w:rsidR="00FD60B9">
        <w:rPr>
          <w:rFonts w:eastAsia="Calibri"/>
          <w:lang w:val="en-GB"/>
        </w:rPr>
        <w:t>appeal was decline</w:t>
      </w:r>
      <w:r w:rsidR="00481873">
        <w:rPr>
          <w:rFonts w:eastAsia="Calibri"/>
          <w:lang w:val="en-GB"/>
        </w:rPr>
        <w:t>d</w:t>
      </w:r>
      <w:r w:rsidR="00FD60B9">
        <w:rPr>
          <w:rFonts w:eastAsia="Calibri"/>
          <w:lang w:val="en-GB"/>
        </w:rPr>
        <w:t xml:space="preserve"> for Israel was </w:t>
      </w:r>
      <w:r>
        <w:rPr>
          <w:rFonts w:eastAsia="Calibri"/>
          <w:lang w:val="en-GB"/>
        </w:rPr>
        <w:t>neither</w:t>
      </w:r>
      <w:r w:rsidR="00B23348">
        <w:rPr>
          <w:rFonts w:eastAsia="Calibri"/>
          <w:lang w:val="en-GB"/>
        </w:rPr>
        <w:t xml:space="preserve"> a member</w:t>
      </w:r>
      <w:r>
        <w:rPr>
          <w:rFonts w:eastAsia="Calibri"/>
          <w:lang w:val="en-GB"/>
        </w:rPr>
        <w:t xml:space="preserve"> to the Council of Europe nor </w:t>
      </w:r>
      <w:r w:rsidR="00B23348">
        <w:rPr>
          <w:rFonts w:eastAsia="Calibri"/>
          <w:lang w:val="en-GB"/>
        </w:rPr>
        <w:t>a party to</w:t>
      </w:r>
      <w:r>
        <w:rPr>
          <w:rFonts w:eastAsia="Calibri"/>
          <w:lang w:val="en-GB"/>
        </w:rPr>
        <w:t xml:space="preserve"> </w:t>
      </w:r>
      <w:r w:rsidR="00FD60B9">
        <w:rPr>
          <w:rFonts w:eastAsia="Calibri"/>
          <w:lang w:val="en-GB"/>
        </w:rPr>
        <w:t xml:space="preserve">the European </w:t>
      </w:r>
      <w:r w:rsidR="00481873">
        <w:rPr>
          <w:rFonts w:eastAsia="Calibri"/>
          <w:lang w:val="en-GB"/>
        </w:rPr>
        <w:t>Cultural</w:t>
      </w:r>
      <w:r w:rsidR="00FD60B9">
        <w:rPr>
          <w:rFonts w:eastAsia="Calibri"/>
          <w:lang w:val="en-GB"/>
        </w:rPr>
        <w:t xml:space="preserve"> Convention</w:t>
      </w:r>
      <w:r w:rsidR="00B23348">
        <w:rPr>
          <w:rFonts w:eastAsia="Calibri"/>
          <w:lang w:val="en-GB"/>
        </w:rPr>
        <w:t xml:space="preserve"> – two basic perquisites </w:t>
      </w:r>
      <w:r w:rsidR="00223A27">
        <w:rPr>
          <w:rFonts w:eastAsia="Calibri"/>
          <w:lang w:val="en-GB"/>
        </w:rPr>
        <w:t>for</w:t>
      </w:r>
      <w:r w:rsidR="00B23348">
        <w:rPr>
          <w:rFonts w:eastAsia="Calibri"/>
          <w:lang w:val="en-GB"/>
        </w:rPr>
        <w:t xml:space="preserve"> becom</w:t>
      </w:r>
      <w:r w:rsidR="00223A27">
        <w:rPr>
          <w:rFonts w:eastAsia="Calibri"/>
          <w:lang w:val="en-GB"/>
        </w:rPr>
        <w:t>ing</w:t>
      </w:r>
      <w:r w:rsidR="00B23348">
        <w:rPr>
          <w:rFonts w:eastAsia="Calibri"/>
          <w:lang w:val="en-GB"/>
        </w:rPr>
        <w:t xml:space="preserve"> a member</w:t>
      </w:r>
      <w:r w:rsidR="00223A27">
        <w:rPr>
          <w:rFonts w:eastAsia="Calibri"/>
          <w:lang w:val="en-GB"/>
        </w:rPr>
        <w:t xml:space="preserve"> at</w:t>
      </w:r>
      <w:r w:rsidR="00B23348">
        <w:rPr>
          <w:rFonts w:eastAsia="Calibri"/>
          <w:lang w:val="en-GB"/>
        </w:rPr>
        <w:t xml:space="preserve"> the bologna declaration.</w:t>
      </w:r>
      <w:r w:rsidR="00223A27">
        <w:rPr>
          <w:rFonts w:eastAsia="Calibri"/>
          <w:lang w:val="en-GB"/>
        </w:rPr>
        <w:t xml:space="preserve"> The following year Israel re-applied, and was declined again for the same reasons</w:t>
      </w:r>
      <w:r w:rsidR="00052018">
        <w:rPr>
          <w:rFonts w:eastAsia="Calibri"/>
          <w:lang w:val="en-GB"/>
        </w:rPr>
        <w:t>,</w:t>
      </w:r>
      <w:r w:rsidR="00223A27">
        <w:rPr>
          <w:rFonts w:eastAsia="Calibri"/>
          <w:lang w:val="en-GB"/>
        </w:rPr>
        <w:t xml:space="preserve"> </w:t>
      </w:r>
      <w:r w:rsidR="00052018">
        <w:rPr>
          <w:rFonts w:eastAsia="Calibri"/>
          <w:lang w:val="en-GB"/>
        </w:rPr>
        <w:t>y</w:t>
      </w:r>
      <w:r w:rsidR="00223A27">
        <w:rPr>
          <w:rFonts w:eastAsia="Calibri"/>
          <w:lang w:val="en-GB"/>
        </w:rPr>
        <w:t>et</w:t>
      </w:r>
      <w:r w:rsidR="00052018">
        <w:rPr>
          <w:rFonts w:eastAsia="Calibri"/>
          <w:lang w:val="en-GB"/>
        </w:rPr>
        <w:t xml:space="preserve"> received</w:t>
      </w:r>
      <w:r w:rsidR="00016563">
        <w:rPr>
          <w:rFonts w:eastAsia="Calibri"/>
          <w:lang w:val="en-GB"/>
        </w:rPr>
        <w:t xml:space="preserve"> an</w:t>
      </w:r>
      <w:r w:rsidR="00D326C2">
        <w:rPr>
          <w:rFonts w:eastAsia="Calibri"/>
          <w:lang w:val="en-GB"/>
        </w:rPr>
        <w:t xml:space="preserve"> observ</w:t>
      </w:r>
      <w:r w:rsidR="00016563">
        <w:rPr>
          <w:rFonts w:eastAsia="Calibri"/>
          <w:lang w:val="en-GB"/>
        </w:rPr>
        <w:t>atory status</w:t>
      </w:r>
      <w:r w:rsidR="00FD60B9">
        <w:rPr>
          <w:rFonts w:eastAsia="Calibri"/>
          <w:lang w:val="en-GB"/>
        </w:rPr>
        <w:t xml:space="preserve">. It is to be said that the </w:t>
      </w:r>
      <w:r>
        <w:rPr>
          <w:rFonts w:eastAsia="Calibri"/>
          <w:lang w:val="en-GB"/>
        </w:rPr>
        <w:t xml:space="preserve">formal </w:t>
      </w:r>
      <w:r w:rsidR="00FD60B9">
        <w:rPr>
          <w:rFonts w:eastAsia="Calibri"/>
          <w:lang w:val="en-GB"/>
        </w:rPr>
        <w:t>Israeli appeal</w:t>
      </w:r>
      <w:r>
        <w:rPr>
          <w:rFonts w:eastAsia="Calibri"/>
          <w:lang w:val="en-GB"/>
        </w:rPr>
        <w:t>s</w:t>
      </w:r>
      <w:r w:rsidR="00FD60B9">
        <w:rPr>
          <w:rFonts w:eastAsia="Calibri"/>
          <w:lang w:val="en-GB"/>
        </w:rPr>
        <w:t xml:space="preserve"> to the Bologna </w:t>
      </w:r>
      <w:r w:rsidR="00F800CA">
        <w:rPr>
          <w:rFonts w:eastAsia="Calibri"/>
          <w:lang w:val="en-GB"/>
        </w:rPr>
        <w:t>Process</w:t>
      </w:r>
      <w:r>
        <w:rPr>
          <w:rFonts w:eastAsia="Calibri"/>
          <w:lang w:val="en-GB"/>
        </w:rPr>
        <w:t xml:space="preserve"> in 2007-8</w:t>
      </w:r>
      <w:r w:rsidR="00FD60B9">
        <w:rPr>
          <w:rFonts w:eastAsia="Calibri"/>
          <w:lang w:val="en-GB"/>
        </w:rPr>
        <w:t xml:space="preserve"> </w:t>
      </w:r>
      <w:r w:rsidR="00D326C2">
        <w:rPr>
          <w:rFonts w:eastAsia="Calibri"/>
          <w:lang w:val="en-GB"/>
        </w:rPr>
        <w:t>w</w:t>
      </w:r>
      <w:r>
        <w:rPr>
          <w:rFonts w:eastAsia="Calibri"/>
          <w:lang w:val="en-GB"/>
        </w:rPr>
        <w:t>ere</w:t>
      </w:r>
      <w:r w:rsidR="00D326C2">
        <w:rPr>
          <w:rFonts w:eastAsia="Calibri"/>
          <w:lang w:val="en-GB"/>
        </w:rPr>
        <w:t xml:space="preserve"> mainly a political decision which </w:t>
      </w:r>
      <w:r w:rsidR="00F800CA">
        <w:rPr>
          <w:rFonts w:eastAsia="Calibri"/>
          <w:lang w:val="en-GB"/>
        </w:rPr>
        <w:t>w</w:t>
      </w:r>
      <w:r>
        <w:rPr>
          <w:rFonts w:eastAsia="Calibri"/>
          <w:lang w:val="en-GB"/>
        </w:rPr>
        <w:t>ere</w:t>
      </w:r>
      <w:r w:rsidR="00D326C2">
        <w:rPr>
          <w:rFonts w:eastAsia="Calibri"/>
          <w:lang w:val="en-GB"/>
        </w:rPr>
        <w:t xml:space="preserve"> </w:t>
      </w:r>
      <w:r w:rsidR="00F800CA">
        <w:rPr>
          <w:rFonts w:eastAsia="Calibri"/>
          <w:lang w:val="en-GB"/>
        </w:rPr>
        <w:t>n</w:t>
      </w:r>
      <w:r w:rsidR="00D326C2">
        <w:rPr>
          <w:rFonts w:eastAsia="Calibri"/>
          <w:lang w:val="en-GB"/>
        </w:rPr>
        <w:t>o</w:t>
      </w:r>
      <w:r w:rsidR="00F800CA">
        <w:rPr>
          <w:rFonts w:eastAsia="Calibri"/>
          <w:lang w:val="en-GB"/>
        </w:rPr>
        <w:t>t backed with</w:t>
      </w:r>
      <w:r w:rsidR="00FD60B9">
        <w:rPr>
          <w:rFonts w:eastAsia="Calibri"/>
          <w:lang w:val="en-GB"/>
        </w:rPr>
        <w:t xml:space="preserve"> </w:t>
      </w:r>
      <w:r w:rsidR="00481873">
        <w:rPr>
          <w:rFonts w:eastAsia="Calibri"/>
          <w:lang w:val="en-GB"/>
        </w:rPr>
        <w:t xml:space="preserve">a </w:t>
      </w:r>
      <w:r w:rsidR="00F800CA">
        <w:rPr>
          <w:rFonts w:eastAsia="Calibri"/>
          <w:lang w:val="en-GB"/>
        </w:rPr>
        <w:t>long</w:t>
      </w:r>
      <w:r w:rsidR="00481873">
        <w:rPr>
          <w:rFonts w:eastAsia="Calibri"/>
          <w:lang w:val="en-GB"/>
        </w:rPr>
        <w:t xml:space="preserve"> discussion on the</w:t>
      </w:r>
      <w:r w:rsidR="00223A27">
        <w:rPr>
          <w:rFonts w:eastAsia="Calibri"/>
          <w:lang w:val="en-GB"/>
        </w:rPr>
        <w:t xml:space="preserve"> academic</w:t>
      </w:r>
      <w:r w:rsidR="00481873">
        <w:rPr>
          <w:rFonts w:eastAsia="Calibri"/>
          <w:lang w:val="en-GB"/>
        </w:rPr>
        <w:t xml:space="preserve"> implication of the process</w:t>
      </w:r>
      <w:r>
        <w:rPr>
          <w:rFonts w:eastAsia="Calibri"/>
          <w:lang w:val="en-GB"/>
        </w:rPr>
        <w:t>.</w:t>
      </w:r>
      <w:r w:rsidR="00481873">
        <w:rPr>
          <w:rFonts w:eastAsia="Calibri"/>
          <w:lang w:val="en-GB"/>
        </w:rPr>
        <w:t xml:space="preserve"> After</w:t>
      </w:r>
      <w:r>
        <w:rPr>
          <w:rFonts w:eastAsia="Calibri"/>
          <w:lang w:val="en-GB"/>
        </w:rPr>
        <w:t xml:space="preserve"> it was decline for the second time, </w:t>
      </w:r>
      <w:r w:rsidR="00481873">
        <w:rPr>
          <w:rFonts w:eastAsia="Calibri"/>
          <w:lang w:val="en-GB"/>
        </w:rPr>
        <w:t xml:space="preserve"> Israel didn't </w:t>
      </w:r>
      <w:r w:rsidR="00F800CA">
        <w:rPr>
          <w:rFonts w:eastAsia="Calibri"/>
          <w:lang w:val="en-GB"/>
        </w:rPr>
        <w:t>took</w:t>
      </w:r>
      <w:r w:rsidR="00481873">
        <w:rPr>
          <w:rFonts w:eastAsia="Calibri"/>
          <w:lang w:val="en-GB"/>
        </w:rPr>
        <w:t xml:space="preserve"> any formal </w:t>
      </w:r>
      <w:r w:rsidR="00F800CA">
        <w:rPr>
          <w:rFonts w:eastAsia="Calibri"/>
          <w:lang w:val="en-GB"/>
        </w:rPr>
        <w:t>measure</w:t>
      </w:r>
      <w:r w:rsidR="00481873">
        <w:rPr>
          <w:rFonts w:eastAsia="Calibri"/>
          <w:lang w:val="en-GB"/>
        </w:rPr>
        <w:t xml:space="preserve"> to follow the process' evolution</w:t>
      </w:r>
      <w:r w:rsidR="00F800CA">
        <w:rPr>
          <w:rFonts w:eastAsia="Calibri"/>
          <w:lang w:val="en-GB"/>
        </w:rPr>
        <w:t xml:space="preserve"> and development</w:t>
      </w:r>
      <w:r w:rsidR="00481873">
        <w:rPr>
          <w:rFonts w:eastAsia="Calibri"/>
          <w:lang w:val="en-GB"/>
        </w:rPr>
        <w:t xml:space="preserve">, except of </w:t>
      </w:r>
      <w:r w:rsidR="00016563">
        <w:rPr>
          <w:rFonts w:eastAsia="Calibri"/>
          <w:lang w:val="en-GB"/>
        </w:rPr>
        <w:t xml:space="preserve">sending representation to the </w:t>
      </w:r>
      <w:r w:rsidR="00481873">
        <w:rPr>
          <w:rFonts w:eastAsia="Calibri"/>
          <w:lang w:val="en-GB"/>
        </w:rPr>
        <w:t xml:space="preserve">biannual Bologna Policy Forums, and keeping the </w:t>
      </w:r>
      <w:r w:rsidR="00F800CA">
        <w:rPr>
          <w:rFonts w:eastAsia="Calibri"/>
          <w:lang w:val="en-GB"/>
        </w:rPr>
        <w:t>E</w:t>
      </w:r>
      <w:r w:rsidR="00481873">
        <w:rPr>
          <w:rFonts w:eastAsia="Calibri"/>
          <w:lang w:val="en-GB"/>
        </w:rPr>
        <w:t>uropean funded "Higher Education Reform Experts" group who participated in different activities organized by the Bologna Process</w:t>
      </w:r>
      <w:r w:rsidR="00223A27">
        <w:rPr>
          <w:rFonts w:eastAsia="Calibri"/>
          <w:lang w:val="en-GB"/>
        </w:rPr>
        <w:t xml:space="preserve"> on the behalf of the state of Israel</w:t>
      </w:r>
      <w:r w:rsidR="00481873">
        <w:rPr>
          <w:rFonts w:eastAsia="Calibri"/>
          <w:lang w:val="en-GB"/>
        </w:rPr>
        <w:t>.</w:t>
      </w:r>
    </w:p>
    <w:p w:rsidR="00B71340" w:rsidRDefault="00922283" w:rsidP="000D0547">
      <w:pPr>
        <w:bidi w:val="0"/>
        <w:spacing w:line="360" w:lineRule="auto"/>
        <w:jc w:val="both"/>
        <w:rPr>
          <w:rFonts w:eastAsia="Calibri"/>
          <w:lang w:val="en-GB"/>
        </w:rPr>
      </w:pPr>
      <w:r>
        <w:rPr>
          <w:rFonts w:eastAsia="Calibri"/>
          <w:lang w:val="en-GB"/>
        </w:rPr>
        <w:t xml:space="preserve">On the other hand, an interesting bottom-up process of </w:t>
      </w:r>
      <w:r w:rsidR="00052018">
        <w:rPr>
          <w:rFonts w:eastAsia="Calibri"/>
          <w:lang w:val="en-GB"/>
        </w:rPr>
        <w:t>"</w:t>
      </w:r>
      <w:r>
        <w:rPr>
          <w:rFonts w:eastAsia="Calibri"/>
          <w:lang w:val="en-GB"/>
        </w:rPr>
        <w:t>getting closer to Europe"</w:t>
      </w:r>
      <w:r w:rsidR="00B71340">
        <w:rPr>
          <w:rFonts w:eastAsia="Calibri"/>
          <w:lang w:val="en-GB"/>
        </w:rPr>
        <w:t xml:space="preserve"> </w:t>
      </w:r>
      <w:r>
        <w:rPr>
          <w:rFonts w:eastAsia="Calibri"/>
          <w:lang w:val="en-GB"/>
        </w:rPr>
        <w:t xml:space="preserve">started </w:t>
      </w:r>
      <w:r w:rsidR="00052018">
        <w:rPr>
          <w:rFonts w:eastAsia="Calibri"/>
          <w:lang w:val="en-GB"/>
        </w:rPr>
        <w:t xml:space="preserve">to arose </w:t>
      </w:r>
      <w:r>
        <w:rPr>
          <w:rFonts w:eastAsia="Calibri"/>
          <w:lang w:val="en-GB"/>
        </w:rPr>
        <w:t>by the side of Israeli HEIs</w:t>
      </w:r>
      <w:r w:rsidR="00223A27">
        <w:rPr>
          <w:rFonts w:eastAsia="Calibri"/>
          <w:lang w:val="en-GB"/>
        </w:rPr>
        <w:t xml:space="preserve"> after the</w:t>
      </w:r>
      <w:r w:rsidR="00052018">
        <w:rPr>
          <w:rFonts w:eastAsia="Calibri"/>
          <w:lang w:val="en-GB"/>
        </w:rPr>
        <w:t xml:space="preserve"> second</w:t>
      </w:r>
      <w:r w:rsidR="00223A27">
        <w:rPr>
          <w:rFonts w:eastAsia="Calibri"/>
          <w:lang w:val="en-GB"/>
        </w:rPr>
        <w:t xml:space="preserve"> fail</w:t>
      </w:r>
      <w:r w:rsidR="000D0547">
        <w:rPr>
          <w:rFonts w:eastAsia="Calibri"/>
          <w:lang w:val="en-GB"/>
        </w:rPr>
        <w:t>-</w:t>
      </w:r>
      <w:r w:rsidR="00223A27">
        <w:rPr>
          <w:rFonts w:eastAsia="Calibri"/>
          <w:lang w:val="en-GB"/>
        </w:rPr>
        <w:t>trail to formally join the process</w:t>
      </w:r>
      <w:r>
        <w:rPr>
          <w:rFonts w:eastAsia="Calibri"/>
          <w:lang w:val="en-GB"/>
        </w:rPr>
        <w:t xml:space="preserve">. </w:t>
      </w:r>
      <w:r w:rsidR="00B71340">
        <w:rPr>
          <w:rFonts w:eastAsia="Calibri"/>
          <w:lang w:val="en-GB"/>
        </w:rPr>
        <w:t>Starting from 200</w:t>
      </w:r>
      <w:r>
        <w:rPr>
          <w:rFonts w:eastAsia="Calibri"/>
          <w:lang w:val="en-GB"/>
        </w:rPr>
        <w:t>8</w:t>
      </w:r>
      <w:r w:rsidR="00B71340">
        <w:rPr>
          <w:rFonts w:eastAsia="Calibri"/>
          <w:lang w:val="en-GB"/>
        </w:rPr>
        <w:t xml:space="preserve">, Israel </w:t>
      </w:r>
      <w:r w:rsidR="000D0547">
        <w:rPr>
          <w:rFonts w:eastAsia="Calibri"/>
          <w:lang w:val="en-GB"/>
        </w:rPr>
        <w:t xml:space="preserve">was recognized by the EU commission as </w:t>
      </w:r>
      <w:r w:rsidR="00B71340">
        <w:rPr>
          <w:rFonts w:eastAsia="Calibri"/>
          <w:lang w:val="en-GB"/>
        </w:rPr>
        <w:t>eligible</w:t>
      </w:r>
      <w:r w:rsidR="000D0547">
        <w:rPr>
          <w:rFonts w:eastAsia="Calibri"/>
          <w:lang w:val="en-GB"/>
        </w:rPr>
        <w:t xml:space="preserve"> </w:t>
      </w:r>
      <w:r w:rsidR="00B71340">
        <w:rPr>
          <w:rFonts w:eastAsia="Calibri"/>
          <w:lang w:val="en-GB"/>
        </w:rPr>
        <w:t xml:space="preserve">to participate in European funded </w:t>
      </w:r>
      <w:r w:rsidR="00223A27">
        <w:rPr>
          <w:rFonts w:eastAsia="Calibri"/>
          <w:lang w:val="en-GB"/>
        </w:rPr>
        <w:t>frameworks for</w:t>
      </w:r>
      <w:r w:rsidR="00052018">
        <w:rPr>
          <w:rFonts w:eastAsia="Calibri"/>
          <w:lang w:val="en-GB"/>
        </w:rPr>
        <w:t xml:space="preserve"> mobility and </w:t>
      </w:r>
      <w:r w:rsidR="00223A27">
        <w:rPr>
          <w:rFonts w:eastAsia="Calibri"/>
          <w:lang w:val="en-GB"/>
        </w:rPr>
        <w:t>modernization of higher education</w:t>
      </w:r>
      <w:r w:rsidR="000D0547">
        <w:rPr>
          <w:rFonts w:eastAsia="Calibri"/>
          <w:lang w:val="en-GB"/>
        </w:rPr>
        <w:t xml:space="preserve"> -the</w:t>
      </w:r>
      <w:r w:rsidR="00D43FED">
        <w:rPr>
          <w:rFonts w:eastAsia="Calibri"/>
          <w:lang w:val="en-GB"/>
        </w:rPr>
        <w:t xml:space="preserve"> Erasmus Mundus and Tempus</w:t>
      </w:r>
      <w:r>
        <w:rPr>
          <w:rFonts w:eastAsia="Calibri"/>
          <w:lang w:val="en-GB"/>
        </w:rPr>
        <w:t xml:space="preserve"> </w:t>
      </w:r>
      <w:r w:rsidR="000D0547">
        <w:rPr>
          <w:rFonts w:eastAsia="Calibri"/>
          <w:lang w:val="en-GB"/>
        </w:rPr>
        <w:t>frameworks. T</w:t>
      </w:r>
      <w:r>
        <w:rPr>
          <w:rFonts w:eastAsia="Calibri"/>
          <w:lang w:val="en-GB"/>
        </w:rPr>
        <w:t xml:space="preserve">hese projects are grasped by the </w:t>
      </w:r>
      <w:r w:rsidR="00223A27">
        <w:rPr>
          <w:rFonts w:eastAsia="Calibri"/>
          <w:lang w:val="en-GB"/>
        </w:rPr>
        <w:t xml:space="preserve">Israeli </w:t>
      </w:r>
      <w:r>
        <w:rPr>
          <w:rFonts w:eastAsia="Calibri"/>
          <w:lang w:val="en-GB"/>
        </w:rPr>
        <w:t>HEIs as mechanisms which assist to</w:t>
      </w:r>
      <w:r w:rsidR="00B71340">
        <w:rPr>
          <w:rFonts w:eastAsia="Calibri"/>
          <w:lang w:val="en-GB"/>
        </w:rPr>
        <w:t xml:space="preserve"> bridge the gap between the high level of internationalization in </w:t>
      </w:r>
      <w:r w:rsidR="00B71340">
        <w:rPr>
          <w:rFonts w:eastAsia="Calibri"/>
          <w:lang w:val="en-GB"/>
        </w:rPr>
        <w:lastRenderedPageBreak/>
        <w:t xml:space="preserve">research and the low level of internationalization in teaching and learning. </w:t>
      </w:r>
      <w:r>
        <w:rPr>
          <w:rFonts w:eastAsia="Calibri"/>
          <w:lang w:val="en-GB"/>
        </w:rPr>
        <w:t xml:space="preserve">Due to the fact that participation in these kinds of projects demands a relatively high compatibility with the EHEA, Israeli HEIs reached the </w:t>
      </w:r>
      <w:r w:rsidR="00D43FED">
        <w:rPr>
          <w:rFonts w:eastAsia="Calibri"/>
          <w:lang w:val="en-GB"/>
        </w:rPr>
        <w:t>understanding that deeper familiarity with the BP is crucial.</w:t>
      </w:r>
      <w:r w:rsidR="00713F38">
        <w:rPr>
          <w:rFonts w:eastAsia="Calibri"/>
          <w:lang w:val="en-GB"/>
        </w:rPr>
        <w:t xml:space="preserve"> </w:t>
      </w:r>
    </w:p>
    <w:p w:rsidR="00754976" w:rsidRDefault="00713F38" w:rsidP="000D0547">
      <w:pPr>
        <w:bidi w:val="0"/>
        <w:spacing w:line="360" w:lineRule="auto"/>
        <w:jc w:val="both"/>
        <w:rPr>
          <w:rFonts w:eastAsia="Calibri"/>
          <w:lang w:val="en-GB"/>
        </w:rPr>
      </w:pPr>
      <w:r>
        <w:rPr>
          <w:rFonts w:eastAsia="Calibri"/>
          <w:lang w:val="en-GB"/>
        </w:rPr>
        <w:t xml:space="preserve">To date, Israeli HES is getting closer to Europe, while promoting the adoption/compatibility with several </w:t>
      </w:r>
      <w:proofErr w:type="spellStart"/>
      <w:r>
        <w:rPr>
          <w:rFonts w:eastAsia="Calibri"/>
          <w:lang w:val="en-GB"/>
        </w:rPr>
        <w:t>Bolognian</w:t>
      </w:r>
      <w:proofErr w:type="spellEnd"/>
      <w:r>
        <w:rPr>
          <w:rFonts w:eastAsia="Calibri"/>
          <w:lang w:val="en-GB"/>
        </w:rPr>
        <w:t xml:space="preserve"> elements as</w:t>
      </w:r>
      <w:r w:rsidR="00754976">
        <w:rPr>
          <w:rFonts w:eastAsia="Calibri"/>
          <w:lang w:val="en-GB"/>
        </w:rPr>
        <w:t xml:space="preserve"> complying </w:t>
      </w:r>
      <w:r w:rsidR="00052018">
        <w:rPr>
          <w:rFonts w:eastAsia="Calibri"/>
          <w:lang w:val="en-GB"/>
        </w:rPr>
        <w:t>with</w:t>
      </w:r>
      <w:r w:rsidR="00754976">
        <w:rPr>
          <w:rFonts w:eastAsia="Calibri"/>
          <w:lang w:val="en-GB"/>
        </w:rPr>
        <w:t xml:space="preserve"> the European Network for Quality Assurance in HE guidelines, developing an Israeli</w:t>
      </w:r>
      <w:r>
        <w:rPr>
          <w:rFonts w:eastAsia="Calibri"/>
          <w:lang w:val="en-GB"/>
        </w:rPr>
        <w:t xml:space="preserve"> Diploma supplement, </w:t>
      </w:r>
      <w:r w:rsidR="00754976">
        <w:rPr>
          <w:rFonts w:eastAsia="Calibri"/>
          <w:lang w:val="en-GB"/>
        </w:rPr>
        <w:t>developing policy towards of compatibility between</w:t>
      </w:r>
      <w:r w:rsidR="000D0547">
        <w:rPr>
          <w:rFonts w:eastAsia="Calibri"/>
          <w:lang w:val="en-GB"/>
        </w:rPr>
        <w:t xml:space="preserve"> the</w:t>
      </w:r>
      <w:r w:rsidR="00754976">
        <w:rPr>
          <w:rFonts w:eastAsia="Calibri"/>
          <w:lang w:val="en-GB"/>
        </w:rPr>
        <w:t xml:space="preserve"> Israeli credit </w:t>
      </w:r>
      <w:proofErr w:type="gramStart"/>
      <w:r w:rsidR="00754976">
        <w:rPr>
          <w:rFonts w:eastAsia="Calibri"/>
          <w:lang w:val="en-GB"/>
        </w:rPr>
        <w:t>system</w:t>
      </w:r>
      <w:proofErr w:type="gramEnd"/>
      <w:r w:rsidR="00754976">
        <w:rPr>
          <w:rFonts w:eastAsia="Calibri"/>
          <w:lang w:val="en-GB"/>
        </w:rPr>
        <w:t xml:space="preserve"> </w:t>
      </w:r>
      <w:r w:rsidR="000D0547">
        <w:rPr>
          <w:rFonts w:eastAsia="Calibri"/>
          <w:lang w:val="en-GB"/>
        </w:rPr>
        <w:t>with</w:t>
      </w:r>
      <w:r w:rsidR="00754976">
        <w:rPr>
          <w:rFonts w:eastAsia="Calibri"/>
          <w:lang w:val="en-GB"/>
        </w:rPr>
        <w:t xml:space="preserve"> the</w:t>
      </w:r>
      <w:r>
        <w:rPr>
          <w:rFonts w:eastAsia="Calibri"/>
          <w:lang w:val="en-GB"/>
        </w:rPr>
        <w:t xml:space="preserve"> ECTS,</w:t>
      </w:r>
      <w:r w:rsidR="00754976">
        <w:rPr>
          <w:rFonts w:eastAsia="Calibri"/>
          <w:lang w:val="en-GB"/>
        </w:rPr>
        <w:t xml:space="preserve"> using</w:t>
      </w:r>
      <w:r>
        <w:rPr>
          <w:rFonts w:eastAsia="Calibri"/>
          <w:lang w:val="en-GB"/>
        </w:rPr>
        <w:t xml:space="preserve"> Learning </w:t>
      </w:r>
      <w:r w:rsidR="00754976">
        <w:rPr>
          <w:rFonts w:eastAsia="Calibri"/>
          <w:lang w:val="en-GB"/>
        </w:rPr>
        <w:t>O</w:t>
      </w:r>
      <w:r>
        <w:rPr>
          <w:rFonts w:eastAsia="Calibri"/>
          <w:lang w:val="en-GB"/>
        </w:rPr>
        <w:t xml:space="preserve">utcomes methodology </w:t>
      </w:r>
      <w:r w:rsidR="000D0547">
        <w:rPr>
          <w:rFonts w:eastAsia="Calibri"/>
          <w:lang w:val="en-GB"/>
        </w:rPr>
        <w:t>E</w:t>
      </w:r>
      <w:r>
        <w:rPr>
          <w:rFonts w:eastAsia="Calibri"/>
          <w:lang w:val="en-GB"/>
        </w:rPr>
        <w:t>tc.</w:t>
      </w:r>
    </w:p>
    <w:p w:rsidR="00713F38" w:rsidRDefault="00754976" w:rsidP="00754976">
      <w:pPr>
        <w:bidi w:val="0"/>
        <w:spacing w:line="360" w:lineRule="auto"/>
        <w:jc w:val="both"/>
        <w:rPr>
          <w:rFonts w:eastAsia="Calibri"/>
          <w:lang w:val="en-GB"/>
        </w:rPr>
      </w:pPr>
      <w:r>
        <w:rPr>
          <w:rFonts w:eastAsia="Calibri"/>
          <w:lang w:val="en-GB"/>
        </w:rPr>
        <w:t>M</w:t>
      </w:r>
      <w:r w:rsidR="00713F38">
        <w:rPr>
          <w:rFonts w:eastAsia="Calibri"/>
          <w:lang w:val="en-GB"/>
        </w:rPr>
        <w:t xml:space="preserve">oreover, it was in 2012 when a "Bologna Training </w:t>
      </w:r>
      <w:proofErr w:type="spellStart"/>
      <w:r w:rsidR="00713F38">
        <w:rPr>
          <w:rFonts w:eastAsia="Calibri"/>
          <w:lang w:val="en-GB"/>
        </w:rPr>
        <w:t>Center</w:t>
      </w:r>
      <w:proofErr w:type="spellEnd"/>
      <w:proofErr w:type="gramStart"/>
      <w:r w:rsidR="00713F38">
        <w:rPr>
          <w:rFonts w:eastAsia="Calibri"/>
          <w:lang w:val="en-GB"/>
        </w:rPr>
        <w:t xml:space="preserve">" </w:t>
      </w:r>
      <w:r w:rsidR="00052018">
        <w:rPr>
          <w:rFonts w:eastAsia="Calibri"/>
          <w:lang w:val="en-GB"/>
        </w:rPr>
        <w:t xml:space="preserve"> as</w:t>
      </w:r>
      <w:proofErr w:type="gramEnd"/>
      <w:r w:rsidR="00052018">
        <w:rPr>
          <w:rFonts w:eastAsia="Calibri"/>
          <w:lang w:val="en-GB"/>
        </w:rPr>
        <w:t xml:space="preserve"> a national information and training </w:t>
      </w:r>
      <w:proofErr w:type="spellStart"/>
      <w:r w:rsidR="00052018">
        <w:rPr>
          <w:rFonts w:eastAsia="Calibri"/>
          <w:lang w:val="en-GB"/>
        </w:rPr>
        <w:t>center</w:t>
      </w:r>
      <w:proofErr w:type="spellEnd"/>
      <w:r w:rsidR="00052018">
        <w:rPr>
          <w:rFonts w:eastAsia="Calibri"/>
          <w:lang w:val="en-GB"/>
        </w:rPr>
        <w:t xml:space="preserve"> </w:t>
      </w:r>
      <w:r w:rsidR="00713F38">
        <w:rPr>
          <w:rFonts w:eastAsia="Calibri"/>
          <w:lang w:val="en-GB"/>
        </w:rPr>
        <w:t>was launched in Ben</w:t>
      </w:r>
      <w:r w:rsidR="00052018">
        <w:rPr>
          <w:rFonts w:eastAsia="Calibri"/>
          <w:lang w:val="en-GB"/>
        </w:rPr>
        <w:t>-Gurion University of the Negev.</w:t>
      </w:r>
      <w:r w:rsidR="00713F38">
        <w:rPr>
          <w:rFonts w:eastAsia="Calibri"/>
          <w:lang w:val="en-GB"/>
        </w:rPr>
        <w:t xml:space="preserve"> </w:t>
      </w:r>
      <w:r w:rsidR="00052018">
        <w:rPr>
          <w:rFonts w:eastAsia="Calibri"/>
          <w:lang w:val="en-GB"/>
        </w:rPr>
        <w:t xml:space="preserve">The </w:t>
      </w:r>
      <w:proofErr w:type="spellStart"/>
      <w:r w:rsidR="00052018">
        <w:rPr>
          <w:rFonts w:eastAsia="Calibri"/>
          <w:lang w:val="en-GB"/>
        </w:rPr>
        <w:t>Center</w:t>
      </w:r>
      <w:proofErr w:type="spellEnd"/>
      <w:r w:rsidR="00052018">
        <w:rPr>
          <w:rFonts w:eastAsia="Calibri"/>
          <w:lang w:val="en-GB"/>
        </w:rPr>
        <w:t xml:space="preserve"> was established </w:t>
      </w:r>
      <w:r w:rsidR="00713F38">
        <w:rPr>
          <w:rFonts w:eastAsia="Calibri"/>
          <w:lang w:val="en-GB"/>
        </w:rPr>
        <w:t>in order to promote an informed discussion over the Bologna Process and its implication on the Israeli HES</w:t>
      </w:r>
      <w:r>
        <w:rPr>
          <w:rFonts w:eastAsia="Calibri"/>
          <w:lang w:val="en-GB"/>
        </w:rPr>
        <w:t xml:space="preserve"> as well as to assist HEIs to deepen their familiarity and compatibility with the BP</w:t>
      </w:r>
      <w:r w:rsidR="00713F38">
        <w:rPr>
          <w:rFonts w:eastAsia="Calibri"/>
          <w:lang w:val="en-GB"/>
        </w:rPr>
        <w:t>.</w:t>
      </w:r>
      <w:r>
        <w:rPr>
          <w:rFonts w:eastAsia="Calibri"/>
          <w:lang w:val="en-GB"/>
        </w:rPr>
        <w:t xml:space="preserve"> Hence, a</w:t>
      </w:r>
      <w:r w:rsidR="00713F38">
        <w:rPr>
          <w:rFonts w:eastAsia="Calibri"/>
          <w:lang w:val="en-GB"/>
        </w:rPr>
        <w:t>lthough Israel is not a party to the Bologna Process</w:t>
      </w:r>
      <w:r w:rsidR="002976F0">
        <w:rPr>
          <w:rFonts w:eastAsia="Calibri"/>
          <w:lang w:val="en-GB"/>
        </w:rPr>
        <w:t>, it still has an important influence on the Israeli</w:t>
      </w:r>
      <w:r w:rsidR="00295D08">
        <w:rPr>
          <w:rFonts w:eastAsia="Calibri"/>
          <w:lang w:val="en-GB"/>
        </w:rPr>
        <w:t xml:space="preserve"> HES, as it is a</w:t>
      </w:r>
      <w:r w:rsidR="002976F0">
        <w:rPr>
          <w:rFonts w:eastAsia="Calibri"/>
          <w:lang w:val="en-GB"/>
        </w:rPr>
        <w:t xml:space="preserve"> model for</w:t>
      </w:r>
      <w:r w:rsidR="00295D08">
        <w:rPr>
          <w:rFonts w:eastAsia="Calibri"/>
          <w:lang w:val="en-GB"/>
        </w:rPr>
        <w:t xml:space="preserve"> </w:t>
      </w:r>
      <w:r w:rsidR="002976F0">
        <w:rPr>
          <w:rFonts w:eastAsia="Calibri"/>
          <w:lang w:val="en-GB"/>
        </w:rPr>
        <w:t>internationalization of the system</w:t>
      </w:r>
      <w:r w:rsidR="00295D08">
        <w:rPr>
          <w:rFonts w:eastAsia="Calibri"/>
          <w:lang w:val="en-GB"/>
        </w:rPr>
        <w:t xml:space="preserve"> as a whole</w:t>
      </w:r>
      <w:r w:rsidR="002976F0">
        <w:rPr>
          <w:rFonts w:eastAsia="Calibri"/>
          <w:lang w:val="en-GB"/>
        </w:rPr>
        <w:t xml:space="preserve">. </w:t>
      </w:r>
    </w:p>
    <w:p w:rsidR="00481873" w:rsidRDefault="00481873" w:rsidP="00713F38">
      <w:pPr>
        <w:bidi w:val="0"/>
        <w:spacing w:line="360" w:lineRule="auto"/>
        <w:jc w:val="both"/>
        <w:rPr>
          <w:rFonts w:eastAsia="Calibri"/>
          <w:lang w:val="en-GB"/>
        </w:rPr>
      </w:pPr>
      <w:r>
        <w:rPr>
          <w:rFonts w:eastAsia="Calibri"/>
          <w:lang w:val="en-GB"/>
        </w:rPr>
        <w:t>This demonstrate that the Bologna Process evoked a twofold response in Israel – one is a formal Top-down response which had a rather weak influence</w:t>
      </w:r>
      <w:r w:rsidR="00286DB7">
        <w:rPr>
          <w:rFonts w:eastAsia="Calibri"/>
          <w:lang w:val="en-GB"/>
        </w:rPr>
        <w:t>,</w:t>
      </w:r>
      <w:r>
        <w:rPr>
          <w:rFonts w:eastAsia="Calibri"/>
          <w:lang w:val="en-GB"/>
        </w:rPr>
        <w:t xml:space="preserve"> and a second</w:t>
      </w:r>
      <w:r w:rsidR="000D0547">
        <w:rPr>
          <w:rFonts w:eastAsia="Calibri"/>
          <w:lang w:val="en-GB"/>
        </w:rPr>
        <w:t>,</w:t>
      </w:r>
      <w:r>
        <w:rPr>
          <w:rFonts w:eastAsia="Calibri"/>
          <w:lang w:val="en-GB"/>
        </w:rPr>
        <w:t xml:space="preserve"> informal</w:t>
      </w:r>
      <w:r w:rsidR="000D0547">
        <w:rPr>
          <w:rFonts w:eastAsia="Calibri"/>
          <w:lang w:val="en-GB"/>
        </w:rPr>
        <w:t>,</w:t>
      </w:r>
      <w:r>
        <w:rPr>
          <w:rFonts w:eastAsia="Calibri"/>
          <w:lang w:val="en-GB"/>
        </w:rPr>
        <w:t xml:space="preserve"> Bottom-up response, generated in rather spontaneous manner without the involvement of any official European </w:t>
      </w:r>
      <w:r w:rsidR="00F800CA">
        <w:rPr>
          <w:rFonts w:eastAsia="Calibri"/>
          <w:lang w:val="en-GB"/>
        </w:rPr>
        <w:t xml:space="preserve">body. </w:t>
      </w:r>
      <w:r w:rsidR="00286DB7">
        <w:rPr>
          <w:rFonts w:eastAsia="Calibri"/>
          <w:lang w:val="en-GB"/>
        </w:rPr>
        <w:t>To date</w:t>
      </w:r>
      <w:r w:rsidR="00F800CA">
        <w:rPr>
          <w:rFonts w:eastAsia="Calibri"/>
          <w:lang w:val="en-GB"/>
        </w:rPr>
        <w:t>, the Bologna Process is a term known</w:t>
      </w:r>
      <w:r w:rsidR="00016563">
        <w:rPr>
          <w:rFonts w:eastAsia="Calibri"/>
          <w:lang w:val="en-GB"/>
        </w:rPr>
        <w:t xml:space="preserve"> almost</w:t>
      </w:r>
      <w:r w:rsidR="00F800CA">
        <w:rPr>
          <w:rFonts w:eastAsia="Calibri"/>
          <w:lang w:val="en-GB"/>
        </w:rPr>
        <w:t xml:space="preserve"> to all in the Israeli HES, and</w:t>
      </w:r>
      <w:r w:rsidR="00286DB7">
        <w:rPr>
          <w:rFonts w:eastAsia="Calibri"/>
          <w:lang w:val="en-GB"/>
        </w:rPr>
        <w:t xml:space="preserve"> it is used as a platform for internationalization strategies for various </w:t>
      </w:r>
      <w:r w:rsidR="00016563">
        <w:rPr>
          <w:rFonts w:eastAsia="Calibri"/>
          <w:lang w:val="en-GB"/>
        </w:rPr>
        <w:t xml:space="preserve">higher education </w:t>
      </w:r>
      <w:r w:rsidR="00286DB7">
        <w:rPr>
          <w:rFonts w:eastAsia="Calibri"/>
          <w:lang w:val="en-GB"/>
        </w:rPr>
        <w:t>institutions in Israel.</w:t>
      </w:r>
      <w:r w:rsidR="00F800CA">
        <w:rPr>
          <w:rFonts w:eastAsia="Calibri"/>
          <w:lang w:val="en-GB"/>
        </w:rPr>
        <w:t xml:space="preserve">  This is to show</w:t>
      </w:r>
      <w:r w:rsidR="00286DB7">
        <w:rPr>
          <w:rFonts w:eastAsia="Calibri"/>
          <w:lang w:val="en-GB"/>
        </w:rPr>
        <w:t xml:space="preserve"> how a</w:t>
      </w:r>
      <w:r w:rsidR="00F800CA">
        <w:rPr>
          <w:rFonts w:eastAsia="Calibri"/>
          <w:lang w:val="en-GB"/>
        </w:rPr>
        <w:t xml:space="preserve"> European policy managed to diffuse to a non-European country wi</w:t>
      </w:r>
      <w:r w:rsidR="00286DB7">
        <w:rPr>
          <w:rFonts w:eastAsia="Calibri"/>
          <w:lang w:val="en-GB"/>
        </w:rPr>
        <w:t>thout any use of coercive means</w:t>
      </w:r>
      <w:r w:rsidR="00713F38">
        <w:rPr>
          <w:rFonts w:eastAsia="Calibri"/>
          <w:lang w:val="en-GB"/>
        </w:rPr>
        <w:t xml:space="preserve">. The Israeli case can be seen as a local exploitation of a European policy – as was specified in the NPE literature, European policies go through a local cultural membrane and brings to European influence at third countries: </w:t>
      </w:r>
      <w:r w:rsidR="00052018">
        <w:rPr>
          <w:rFonts w:eastAsia="Calibri"/>
          <w:lang w:val="en-GB"/>
        </w:rPr>
        <w:t xml:space="preserve">as in fact, </w:t>
      </w:r>
      <w:r w:rsidR="003A2DDC">
        <w:rPr>
          <w:rFonts w:eastAsia="Calibri"/>
          <w:lang w:val="en-GB"/>
        </w:rPr>
        <w:t xml:space="preserve">a reform is undertaken in Israel following exposure to </w:t>
      </w:r>
      <w:r w:rsidR="00DA146E">
        <w:rPr>
          <w:rFonts w:eastAsia="Calibri"/>
          <w:lang w:val="en-GB"/>
        </w:rPr>
        <w:t xml:space="preserve">European </w:t>
      </w:r>
      <w:r w:rsidR="00F800CA">
        <w:rPr>
          <w:rFonts w:eastAsia="Calibri"/>
          <w:lang w:val="en-GB"/>
        </w:rPr>
        <w:t>influence</w:t>
      </w:r>
      <w:r w:rsidR="003A2DDC">
        <w:rPr>
          <w:rFonts w:eastAsia="Calibri"/>
          <w:lang w:val="en-GB"/>
        </w:rPr>
        <w:t>.</w:t>
      </w:r>
    </w:p>
    <w:p w:rsidR="00295D08" w:rsidRDefault="00754976" w:rsidP="00052018">
      <w:pPr>
        <w:bidi w:val="0"/>
        <w:spacing w:line="360" w:lineRule="auto"/>
        <w:jc w:val="both"/>
        <w:rPr>
          <w:rFonts w:eastAsia="Calibri"/>
          <w:lang w:val="en-GB"/>
        </w:rPr>
      </w:pPr>
      <w:r>
        <w:rPr>
          <w:rFonts w:eastAsia="Calibri"/>
          <w:lang w:val="en-GB"/>
        </w:rPr>
        <w:t>The Israeli case demonstrates the success of the External Dimension of the Bologna Process, and strengthens the claim for European hegemony in the field of global higher education. The fact that a policy, shaped by Europe in order to promote its own interests exerted the European borders and became an acceptable and even wanted policy world-</w:t>
      </w:r>
      <w:proofErr w:type="gramStart"/>
      <w:r>
        <w:rPr>
          <w:rFonts w:eastAsia="Calibri"/>
          <w:lang w:val="en-GB"/>
        </w:rPr>
        <w:t>wide,</w:t>
      </w:r>
      <w:proofErr w:type="gramEnd"/>
      <w:r>
        <w:rPr>
          <w:rFonts w:eastAsia="Calibri"/>
          <w:lang w:val="en-GB"/>
        </w:rPr>
        <w:t xml:space="preserve"> proves the claim for a globally diffused European norm</w:t>
      </w:r>
      <w:r w:rsidR="00052018">
        <w:rPr>
          <w:rFonts w:eastAsia="Calibri"/>
          <w:lang w:val="en-GB"/>
        </w:rPr>
        <w:t>s</w:t>
      </w:r>
      <w:r>
        <w:rPr>
          <w:rFonts w:eastAsia="Calibri"/>
          <w:lang w:val="en-GB"/>
        </w:rPr>
        <w:t>.</w:t>
      </w:r>
    </w:p>
    <w:p w:rsidR="00052018" w:rsidRPr="00052018" w:rsidRDefault="00052018" w:rsidP="00862843">
      <w:pPr>
        <w:bidi w:val="0"/>
        <w:spacing w:line="360" w:lineRule="auto"/>
        <w:jc w:val="both"/>
        <w:rPr>
          <w:b/>
          <w:bCs/>
        </w:rPr>
      </w:pPr>
      <w:r w:rsidRPr="00052018">
        <w:rPr>
          <w:b/>
          <w:bCs/>
        </w:rPr>
        <w:t>Conclusion</w:t>
      </w:r>
    </w:p>
    <w:p w:rsidR="00DA146E" w:rsidRDefault="00DA146E" w:rsidP="00996CDC">
      <w:pPr>
        <w:bidi w:val="0"/>
        <w:spacing w:line="360" w:lineRule="auto"/>
        <w:jc w:val="both"/>
      </w:pPr>
      <w:r>
        <w:lastRenderedPageBreak/>
        <w:t xml:space="preserve">For conclusion, although suffers </w:t>
      </w:r>
      <w:r w:rsidR="00CB7E22">
        <w:t>of</w:t>
      </w:r>
      <w:r>
        <w:t xml:space="preserve"> misbelief</w:t>
      </w:r>
      <w:r w:rsidR="00CB7E22">
        <w:t xml:space="preserve"> by the academic community</w:t>
      </w:r>
      <w:r>
        <w:t xml:space="preserve">, it is to see that </w:t>
      </w:r>
      <w:r w:rsidR="00CB7E22">
        <w:t xml:space="preserve">the EU holds, alongside with its </w:t>
      </w:r>
      <w:r w:rsidR="00713F38">
        <w:t>"</w:t>
      </w:r>
      <w:r w:rsidR="00CB7E22">
        <w:t>economic</w:t>
      </w:r>
      <w:r w:rsidR="00713F38">
        <w:t xml:space="preserve"> power"</w:t>
      </w:r>
      <w:r w:rsidR="00CB7E22">
        <w:t xml:space="preserve"> also a valid "normative power" in its foreign relations arsenal. The Bologna Process which resembles an original European policy has spread around the world </w:t>
      </w:r>
      <w:r w:rsidR="00CB7E22" w:rsidRPr="00CC5B77">
        <w:t xml:space="preserve">effecting non-EU member states which chose to internalize and imitate the European "way of doing things". </w:t>
      </w:r>
      <w:r w:rsidR="00996CDC" w:rsidRPr="00CC5B77">
        <w:rPr>
          <w:rFonts w:eastAsia="Calibri"/>
          <w:lang w:val="en-GB"/>
        </w:rPr>
        <w:t xml:space="preserve">This case study aligns with Manners' theory on European "Procedural Ethics", claiming that the power of the EU on non-EU member states countries is demonstrated by the diffusion of norms and values not because of what the EU </w:t>
      </w:r>
      <w:r w:rsidR="00996CDC" w:rsidRPr="00CC5B77">
        <w:rPr>
          <w:rFonts w:eastAsia="Calibri"/>
          <w:i/>
          <w:iCs/>
          <w:lang w:val="en-GB"/>
        </w:rPr>
        <w:t>do</w:t>
      </w:r>
      <w:r w:rsidR="00996CDC" w:rsidRPr="00CC5B77">
        <w:rPr>
          <w:rFonts w:eastAsia="Calibri"/>
          <w:lang w:val="en-GB"/>
        </w:rPr>
        <w:t xml:space="preserve">, rather because of what the EU </w:t>
      </w:r>
      <w:r w:rsidR="00996CDC" w:rsidRPr="00CC5B77">
        <w:rPr>
          <w:rFonts w:eastAsia="Calibri"/>
          <w:i/>
          <w:iCs/>
          <w:lang w:val="en-GB"/>
        </w:rPr>
        <w:t>is</w:t>
      </w:r>
      <w:r w:rsidR="00996CDC" w:rsidRPr="00CC5B77">
        <w:rPr>
          <w:rFonts w:eastAsia="Calibri"/>
          <w:lang w:val="en-GB"/>
        </w:rPr>
        <w:t>.</w:t>
      </w:r>
      <w:r w:rsidR="00996CDC" w:rsidRPr="00CC5B77">
        <w:rPr>
          <w:rFonts w:eastAsia="Calibri"/>
        </w:rPr>
        <w:t xml:space="preserve"> </w:t>
      </w:r>
      <w:r w:rsidR="00996CDC" w:rsidRPr="00CC5B77">
        <w:rPr>
          <w:rFonts w:eastAsia="Calibri"/>
          <w:lang w:val="en-GB"/>
        </w:rPr>
        <w:t xml:space="preserve">  </w:t>
      </w:r>
      <w:r w:rsidR="00CB7E22" w:rsidRPr="00CC5B77">
        <w:t>Bearing in mind that the Bologna Process was not originally designed to be a world</w:t>
      </w:r>
      <w:r w:rsidR="00CB7E22">
        <w:t>-wide reform, it is astonishing to see how in the realist international relations</w:t>
      </w:r>
      <w:r w:rsidR="00996CDC">
        <w:t>,</w:t>
      </w:r>
      <w:r w:rsidR="00CB7E22">
        <w:t xml:space="preserve"> </w:t>
      </w:r>
      <w:r w:rsidR="00996CDC">
        <w:t>norms and values can by</w:t>
      </w:r>
      <w:r w:rsidR="00CB7E22">
        <w:t xml:space="preserve"> diffuse</w:t>
      </w:r>
      <w:r w:rsidR="00996CDC">
        <w:t>d</w:t>
      </w:r>
      <w:r w:rsidR="00096F43">
        <w:t xml:space="preserve"> </w:t>
      </w:r>
      <w:r w:rsidR="00271811">
        <w:t>globally</w:t>
      </w:r>
      <w:r w:rsidR="00CB7E22">
        <w:t xml:space="preserve"> by normative means</w:t>
      </w:r>
      <w:r w:rsidR="00CB7E22" w:rsidRPr="00CB7E22">
        <w:t xml:space="preserve"> </w:t>
      </w:r>
      <w:r w:rsidR="00CB7E22">
        <w:t xml:space="preserve">only.  </w:t>
      </w:r>
    </w:p>
    <w:p w:rsidR="00996CDC" w:rsidRDefault="00996CDC" w:rsidP="000D0547">
      <w:pPr>
        <w:bidi w:val="0"/>
        <w:spacing w:line="360" w:lineRule="auto"/>
        <w:jc w:val="both"/>
      </w:pPr>
      <w:r>
        <w:t xml:space="preserve">As an answer to the two main questions raised in the beginning of the paper, it can be said, firstly, that the EU act as a normative power in the international arena once it is managed to transfer its local-regional influence to the global sphere by forming a regime. </w:t>
      </w:r>
      <w:r w:rsidR="00862843">
        <w:t>By defining the Bologna Process</w:t>
      </w:r>
      <w:r>
        <w:t xml:space="preserve"> which was launched as a regional "in-house" reform, as </w:t>
      </w:r>
      <w:r w:rsidR="00862843">
        <w:t>a</w:t>
      </w:r>
      <w:r>
        <w:t>n</w:t>
      </w:r>
      <w:r w:rsidR="00862843">
        <w:t xml:space="preserve"> international regime, one can draw the line between European </w:t>
      </w:r>
      <w:r>
        <w:t xml:space="preserve">norms and </w:t>
      </w:r>
      <w:r w:rsidR="00862843">
        <w:t>values to third countries</w:t>
      </w:r>
      <w:r>
        <w:t>' policies and preferences.</w:t>
      </w:r>
      <w:r>
        <w:rPr>
          <w:rFonts w:eastAsia="Calibri"/>
          <w:lang w:val="en-GB"/>
        </w:rPr>
        <w:t xml:space="preserve"> Secondly, </w:t>
      </w:r>
      <w:r>
        <w:t>either thanks to its ideational leadership or to its financial support</w:t>
      </w:r>
      <w:r w:rsidR="00CC5B77">
        <w:t xml:space="preserve"> t</w:t>
      </w:r>
      <w:r>
        <w:t>he Bologna Process</w:t>
      </w:r>
      <w:r w:rsidR="00C51D02">
        <w:t xml:space="preserve"> shows that the EU </w:t>
      </w:r>
      <w:r>
        <w:t>does</w:t>
      </w:r>
      <w:r w:rsidR="00C51D02">
        <w:t xml:space="preserve"> have the ability to influence third </w:t>
      </w:r>
      <w:r w:rsidR="00CC5B77">
        <w:t>countries who voluntarily ask to bring their HESs to be compatible with the EHEA</w:t>
      </w:r>
      <w:r w:rsidR="00C51D02">
        <w:t xml:space="preserve">. The empirical difficulty scholars faced while trying to prove </w:t>
      </w:r>
      <w:r w:rsidR="00CC5B77">
        <w:t>normative influence</w:t>
      </w:r>
      <w:r w:rsidR="00C51D02">
        <w:t xml:space="preserve"> was solved with the definition of the EU as a global hegemon who controls the regional-international higher education regime. </w:t>
      </w:r>
    </w:p>
    <w:p w:rsidR="00DE5D74" w:rsidRDefault="00DE5D74" w:rsidP="00F800CA">
      <w:pPr>
        <w:bidi w:val="0"/>
        <w:spacing w:line="360" w:lineRule="auto"/>
        <w:jc w:val="both"/>
        <w:rPr>
          <w:b/>
          <w:bCs/>
          <w:u w:val="single"/>
        </w:rPr>
      </w:pPr>
    </w:p>
    <w:p w:rsidR="00FF7F2C" w:rsidRPr="0071204A" w:rsidRDefault="00060F83" w:rsidP="00DE5D74">
      <w:pPr>
        <w:bidi w:val="0"/>
        <w:spacing w:line="360" w:lineRule="auto"/>
        <w:jc w:val="both"/>
        <w:rPr>
          <w:b/>
          <w:bCs/>
          <w:u w:val="single"/>
        </w:rPr>
      </w:pPr>
      <w:r w:rsidRPr="0071204A">
        <w:rPr>
          <w:b/>
          <w:bCs/>
          <w:u w:val="single"/>
        </w:rPr>
        <w:t>References:</w:t>
      </w:r>
    </w:p>
    <w:p w:rsidR="004924C6" w:rsidRPr="0000645D" w:rsidRDefault="004924C6" w:rsidP="00270884">
      <w:pPr>
        <w:autoSpaceDE w:val="0"/>
        <w:autoSpaceDN w:val="0"/>
        <w:bidi w:val="0"/>
        <w:adjustRightInd w:val="0"/>
        <w:spacing w:after="0" w:line="240" w:lineRule="auto"/>
        <w:jc w:val="both"/>
        <w:rPr>
          <w:rFonts w:cs="David"/>
        </w:rPr>
      </w:pPr>
      <w:proofErr w:type="spellStart"/>
      <w:r w:rsidRPr="0000645D">
        <w:rPr>
          <w:rFonts w:cs="David"/>
        </w:rPr>
        <w:t>Amaral</w:t>
      </w:r>
      <w:proofErr w:type="spellEnd"/>
      <w:r w:rsidRPr="0000645D">
        <w:rPr>
          <w:rFonts w:cs="David"/>
        </w:rPr>
        <w:t xml:space="preserve">, M. P. (2010). </w:t>
      </w:r>
      <w:r w:rsidRPr="0000645D">
        <w:rPr>
          <w:rFonts w:cs="David"/>
          <w:u w:val="single"/>
        </w:rPr>
        <w:t>Regime Theory and Educational Governance: The Emergence of an International Education Regime</w:t>
      </w:r>
      <w:r w:rsidRPr="0000645D">
        <w:rPr>
          <w:rFonts w:cs="David"/>
        </w:rPr>
        <w:t xml:space="preserve">. In: Amos S. K. (ed.) </w:t>
      </w:r>
      <w:r w:rsidRPr="0000645D">
        <w:rPr>
          <w:rFonts w:cs="David"/>
          <w:i/>
          <w:iCs/>
        </w:rPr>
        <w:t>International Educational Governance (International Perspectives on Education and Society</w:t>
      </w:r>
      <w:r w:rsidRPr="0000645D">
        <w:rPr>
          <w:rFonts w:cs="David"/>
        </w:rPr>
        <w:t>), Volume 12. Emerald Group Publishing Limited, pp. 57 – 78.</w:t>
      </w:r>
    </w:p>
    <w:p w:rsidR="009D026B" w:rsidRPr="0000645D" w:rsidRDefault="009D026B" w:rsidP="00270884">
      <w:pPr>
        <w:autoSpaceDE w:val="0"/>
        <w:autoSpaceDN w:val="0"/>
        <w:bidi w:val="0"/>
        <w:adjustRightInd w:val="0"/>
        <w:spacing w:after="0" w:line="240" w:lineRule="auto"/>
        <w:jc w:val="both"/>
        <w:rPr>
          <w:rFonts w:cs="David"/>
        </w:rPr>
      </w:pPr>
    </w:p>
    <w:p w:rsidR="009D026B" w:rsidRPr="000E3288" w:rsidRDefault="009D026B" w:rsidP="00270884">
      <w:pPr>
        <w:bidi w:val="0"/>
        <w:spacing w:line="240" w:lineRule="auto"/>
        <w:jc w:val="both"/>
      </w:pPr>
      <w:r w:rsidRPr="0000645D">
        <w:rPr>
          <w:rFonts w:cs="RealpageTIM11"/>
        </w:rPr>
        <w:t xml:space="preserve">Barnett, M. N. and </w:t>
      </w:r>
      <w:proofErr w:type="spellStart"/>
      <w:r w:rsidRPr="0000645D">
        <w:rPr>
          <w:rFonts w:cs="RealpageTIM11"/>
        </w:rPr>
        <w:t>Finnemore</w:t>
      </w:r>
      <w:proofErr w:type="spellEnd"/>
      <w:r w:rsidRPr="0000645D">
        <w:rPr>
          <w:rFonts w:cs="RealpageTIM11"/>
        </w:rPr>
        <w:t xml:space="preserve">, M. (1999) </w:t>
      </w:r>
      <w:proofErr w:type="gramStart"/>
      <w:r w:rsidRPr="0000645D">
        <w:rPr>
          <w:rFonts w:cs="RealpageTIM11"/>
        </w:rPr>
        <w:t>T</w:t>
      </w:r>
      <w:r w:rsidRPr="0000645D">
        <w:rPr>
          <w:rFonts w:cs="RealpageTIM11"/>
          <w:u w:val="single"/>
        </w:rPr>
        <w:t>he</w:t>
      </w:r>
      <w:proofErr w:type="gramEnd"/>
      <w:r w:rsidRPr="0000645D">
        <w:rPr>
          <w:rFonts w:cs="RealpageTIM11"/>
          <w:u w:val="single"/>
        </w:rPr>
        <w:t xml:space="preserve"> Politics, Power, and Pathologies of International Organizations</w:t>
      </w:r>
      <w:r w:rsidRPr="0000645D">
        <w:rPr>
          <w:rFonts w:cs="RealpageTIM11"/>
        </w:rPr>
        <w:t xml:space="preserve">. </w:t>
      </w:r>
      <w:r w:rsidRPr="0000645D">
        <w:rPr>
          <w:rFonts w:cs="RealpageTIM11"/>
          <w:i/>
          <w:iCs/>
        </w:rPr>
        <w:t>International Organization</w:t>
      </w:r>
      <w:r w:rsidRPr="0000645D">
        <w:rPr>
          <w:rFonts w:cs="RealpageTIM11"/>
        </w:rPr>
        <w:t>, Vol. (53), No. 4 (</w:t>
      </w:r>
      <w:proofErr w:type="gramStart"/>
      <w:r w:rsidRPr="0000645D">
        <w:rPr>
          <w:rFonts w:cs="RealpageTIM11"/>
        </w:rPr>
        <w:t>Autumn</w:t>
      </w:r>
      <w:proofErr w:type="gramEnd"/>
      <w:r w:rsidRPr="0000645D">
        <w:rPr>
          <w:rFonts w:cs="RealpageTIM11"/>
        </w:rPr>
        <w:t xml:space="preserve">, 1999), pp. </w:t>
      </w:r>
      <w:r w:rsidRPr="000E3288">
        <w:rPr>
          <w:rFonts w:cs="RealpageTIM11"/>
        </w:rPr>
        <w:t>699-732.</w:t>
      </w:r>
    </w:p>
    <w:p w:rsidR="004924C6" w:rsidRPr="000E3288" w:rsidRDefault="004924C6" w:rsidP="00270884">
      <w:pPr>
        <w:pStyle w:val="FootnoteText"/>
        <w:bidi w:val="0"/>
        <w:jc w:val="both"/>
        <w:rPr>
          <w:rFonts w:cs="Arial"/>
          <w:sz w:val="22"/>
          <w:szCs w:val="22"/>
        </w:rPr>
      </w:pPr>
      <w:proofErr w:type="spellStart"/>
      <w:r w:rsidRPr="000E3288">
        <w:rPr>
          <w:sz w:val="22"/>
          <w:szCs w:val="22"/>
        </w:rPr>
        <w:t>Börzel</w:t>
      </w:r>
      <w:proofErr w:type="spellEnd"/>
      <w:r w:rsidRPr="000E3288">
        <w:rPr>
          <w:sz w:val="22"/>
          <w:szCs w:val="22"/>
        </w:rPr>
        <w:t xml:space="preserve">, T. (1999) </w:t>
      </w:r>
      <w:proofErr w:type="gramStart"/>
      <w:r w:rsidRPr="000E3288">
        <w:rPr>
          <w:sz w:val="22"/>
          <w:szCs w:val="22"/>
          <w:u w:val="single"/>
        </w:rPr>
        <w:t>Towards</w:t>
      </w:r>
      <w:proofErr w:type="gramEnd"/>
      <w:r w:rsidRPr="000E3288">
        <w:rPr>
          <w:sz w:val="22"/>
          <w:szCs w:val="22"/>
          <w:u w:val="single"/>
        </w:rPr>
        <w:t xml:space="preserve"> convergence in Europe? </w:t>
      </w:r>
      <w:proofErr w:type="gramStart"/>
      <w:r w:rsidRPr="000E3288">
        <w:rPr>
          <w:sz w:val="22"/>
          <w:szCs w:val="22"/>
          <w:u w:val="single"/>
        </w:rPr>
        <w:t>Institutional adaptation to Europeanization in</w:t>
      </w:r>
      <w:r w:rsidR="00E93926" w:rsidRPr="000E3288">
        <w:rPr>
          <w:sz w:val="22"/>
          <w:szCs w:val="22"/>
          <w:u w:val="single"/>
        </w:rPr>
        <w:t xml:space="preserve"> </w:t>
      </w:r>
      <w:r w:rsidRPr="000E3288">
        <w:rPr>
          <w:sz w:val="22"/>
          <w:szCs w:val="22"/>
          <w:u w:val="single"/>
        </w:rPr>
        <w:t>Germany and Spain</w:t>
      </w:r>
      <w:r w:rsidR="006D514B" w:rsidRPr="000E3288">
        <w:rPr>
          <w:sz w:val="22"/>
          <w:szCs w:val="22"/>
        </w:rPr>
        <w:t>.</w:t>
      </w:r>
      <w:proofErr w:type="gramEnd"/>
      <w:r w:rsidRPr="000E3288">
        <w:rPr>
          <w:sz w:val="22"/>
          <w:szCs w:val="22"/>
        </w:rPr>
        <w:t xml:space="preserve"> </w:t>
      </w:r>
      <w:r w:rsidRPr="000E3288">
        <w:rPr>
          <w:i/>
          <w:iCs/>
          <w:sz w:val="22"/>
          <w:szCs w:val="22"/>
        </w:rPr>
        <w:t>Journal of Common Market Studies</w:t>
      </w:r>
      <w:r w:rsidRPr="000E3288">
        <w:rPr>
          <w:sz w:val="22"/>
          <w:szCs w:val="22"/>
        </w:rPr>
        <w:t>, 39(4), December: 573-96</w:t>
      </w:r>
      <w:r w:rsidRPr="000E3288">
        <w:rPr>
          <w:rFonts w:cs="Arial"/>
          <w:sz w:val="22"/>
          <w:szCs w:val="22"/>
          <w:rtl/>
        </w:rPr>
        <w:t>.</w:t>
      </w:r>
    </w:p>
    <w:p w:rsidR="0000645D" w:rsidRPr="000E3288" w:rsidRDefault="0000645D" w:rsidP="00270884">
      <w:pPr>
        <w:bidi w:val="0"/>
        <w:spacing w:line="240" w:lineRule="auto"/>
        <w:jc w:val="both"/>
      </w:pPr>
    </w:p>
    <w:p w:rsidR="0000645D" w:rsidRPr="0000645D" w:rsidRDefault="0000645D" w:rsidP="00270884">
      <w:pPr>
        <w:autoSpaceDE w:val="0"/>
        <w:autoSpaceDN w:val="0"/>
        <w:bidi w:val="0"/>
        <w:adjustRightInd w:val="0"/>
        <w:spacing w:after="0" w:line="240" w:lineRule="auto"/>
        <w:jc w:val="both"/>
        <w:rPr>
          <w:rFonts w:cs="David"/>
        </w:rPr>
      </w:pPr>
      <w:proofErr w:type="gramStart"/>
      <w:r w:rsidRPr="0000645D">
        <w:lastRenderedPageBreak/>
        <w:t>Bologna Process (2005)</w:t>
      </w:r>
      <w:r w:rsidR="00797C9E">
        <w:t>.</w:t>
      </w:r>
      <w:proofErr w:type="gramEnd"/>
      <w:r w:rsidRPr="0000645D">
        <w:t xml:space="preserve"> </w:t>
      </w:r>
      <w:r w:rsidRPr="0000645D">
        <w:rPr>
          <w:i/>
          <w:iCs/>
        </w:rPr>
        <w:t>Communiqué of the Conference of</w:t>
      </w:r>
      <w:r w:rsidRPr="0000645D">
        <w:rPr>
          <w:i/>
          <w:iCs/>
          <w:rtl/>
        </w:rPr>
        <w:t xml:space="preserve"> </w:t>
      </w:r>
      <w:r w:rsidRPr="0000645D">
        <w:rPr>
          <w:i/>
          <w:iCs/>
        </w:rPr>
        <w:t>European Ministers Responsible for Higher Education</w:t>
      </w:r>
      <w:r w:rsidRPr="0000645D">
        <w:t xml:space="preserve">, Bergen, 19-20 May 2005. </w:t>
      </w:r>
    </w:p>
    <w:p w:rsidR="0000645D" w:rsidRPr="0000645D" w:rsidRDefault="0000645D" w:rsidP="00270884">
      <w:pPr>
        <w:bidi w:val="0"/>
        <w:spacing w:line="240" w:lineRule="auto"/>
        <w:jc w:val="both"/>
      </w:pPr>
      <w:proofErr w:type="gramStart"/>
      <w:r>
        <w:t>----------</w:t>
      </w:r>
      <w:r w:rsidRPr="0000645D">
        <w:t xml:space="preserve"> </w:t>
      </w:r>
      <w:r w:rsidR="00797C9E">
        <w:t>.</w:t>
      </w:r>
      <w:r w:rsidRPr="0000645D">
        <w:t>(</w:t>
      </w:r>
      <w:proofErr w:type="gramEnd"/>
      <w:r w:rsidRPr="0000645D">
        <w:t xml:space="preserve">2009) </w:t>
      </w:r>
      <w:r w:rsidRPr="0000645D">
        <w:rPr>
          <w:i/>
          <w:iCs/>
        </w:rPr>
        <w:t>Communiqué of the Conference of European Ministers Responsible for Higher Education</w:t>
      </w:r>
      <w:r w:rsidRPr="0000645D">
        <w:t>. Leuven and Louvain-la-</w:t>
      </w:r>
      <w:proofErr w:type="spellStart"/>
      <w:r w:rsidRPr="0000645D">
        <w:t>Neuve</w:t>
      </w:r>
      <w:proofErr w:type="spellEnd"/>
      <w:r w:rsidRPr="0000645D">
        <w:t>, 28-29 April 2009</w:t>
      </w:r>
    </w:p>
    <w:p w:rsidR="0000645D" w:rsidRPr="0000645D" w:rsidRDefault="0000645D" w:rsidP="00270884">
      <w:pPr>
        <w:bidi w:val="0"/>
        <w:spacing w:line="240" w:lineRule="auto"/>
      </w:pPr>
      <w:proofErr w:type="gramStart"/>
      <w:r>
        <w:t>----------</w:t>
      </w:r>
      <w:r w:rsidRPr="0000645D">
        <w:t xml:space="preserve"> </w:t>
      </w:r>
      <w:r w:rsidR="00797C9E">
        <w:t>.</w:t>
      </w:r>
      <w:r w:rsidRPr="0000645D">
        <w:t>(</w:t>
      </w:r>
      <w:proofErr w:type="gramEnd"/>
      <w:r w:rsidRPr="0000645D">
        <w:t xml:space="preserve">2012) </w:t>
      </w:r>
      <w:r w:rsidRPr="0000645D">
        <w:rPr>
          <w:i/>
          <w:iCs/>
        </w:rPr>
        <w:t>BFUG Working Group “International Openness - The European Higher Education Area in a Global Context”</w:t>
      </w:r>
      <w:r w:rsidRPr="0000645D">
        <w:t>.  Draft Final Report 2009-2012</w:t>
      </w:r>
    </w:p>
    <w:p w:rsidR="0000645D" w:rsidRPr="0000645D" w:rsidRDefault="0000645D" w:rsidP="00270884">
      <w:pPr>
        <w:pStyle w:val="FootnoteText"/>
        <w:bidi w:val="0"/>
        <w:jc w:val="both"/>
        <w:rPr>
          <w:sz w:val="22"/>
          <w:szCs w:val="22"/>
          <w:rtl/>
        </w:rPr>
      </w:pPr>
    </w:p>
    <w:p w:rsidR="009D026B" w:rsidRPr="0000645D" w:rsidRDefault="009D026B" w:rsidP="00270884">
      <w:pPr>
        <w:autoSpaceDE w:val="0"/>
        <w:autoSpaceDN w:val="0"/>
        <w:bidi w:val="0"/>
        <w:adjustRightInd w:val="0"/>
        <w:spacing w:line="240" w:lineRule="auto"/>
        <w:jc w:val="both"/>
      </w:pPr>
      <w:r w:rsidRPr="0000645D">
        <w:t xml:space="preserve">Bull, H. </w:t>
      </w:r>
      <w:r w:rsidRPr="0000645D">
        <w:rPr>
          <w:rFonts w:cs="StoneSerif"/>
        </w:rPr>
        <w:t xml:space="preserve">(1982) </w:t>
      </w:r>
      <w:r w:rsidRPr="0000645D">
        <w:rPr>
          <w:rFonts w:cs="StoneSerif"/>
          <w:u w:val="single"/>
        </w:rPr>
        <w:t>Civilian Power Europe: A Contradiction in Terms</w:t>
      </w:r>
      <w:proofErr w:type="gramStart"/>
      <w:r w:rsidRPr="0000645D">
        <w:rPr>
          <w:rFonts w:cs="StoneSerif"/>
          <w:u w:val="single"/>
        </w:rPr>
        <w:t>?</w:t>
      </w:r>
      <w:r w:rsidRPr="0000645D">
        <w:rPr>
          <w:rFonts w:cs="StoneSerif"/>
        </w:rPr>
        <w:t>,</w:t>
      </w:r>
      <w:proofErr w:type="gramEnd"/>
      <w:r w:rsidRPr="0000645D">
        <w:rPr>
          <w:rFonts w:cs="StoneSerif"/>
        </w:rPr>
        <w:t xml:space="preserve"> </w:t>
      </w:r>
      <w:r w:rsidRPr="0000645D">
        <w:rPr>
          <w:rFonts w:cs="StoneSerif-Italic"/>
          <w:i/>
          <w:iCs/>
        </w:rPr>
        <w:t>Journal of Common Market Studies</w:t>
      </w:r>
      <w:r w:rsidRPr="0000645D">
        <w:rPr>
          <w:rFonts w:cs="StoneSerif"/>
        </w:rPr>
        <w:t>, 21 (2), 149–64.</w:t>
      </w:r>
    </w:p>
    <w:p w:rsidR="009D026B" w:rsidRPr="000E3288" w:rsidRDefault="009D026B" w:rsidP="00270884">
      <w:pPr>
        <w:pStyle w:val="FootnoteText"/>
        <w:bidi w:val="0"/>
        <w:jc w:val="both"/>
        <w:rPr>
          <w:rFonts w:asciiTheme="minorBidi" w:hAnsiTheme="minorBidi"/>
          <w:sz w:val="22"/>
          <w:szCs w:val="22"/>
          <w:rtl/>
        </w:rPr>
      </w:pPr>
      <w:r w:rsidRPr="000E3288">
        <w:rPr>
          <w:sz w:val="22"/>
          <w:szCs w:val="22"/>
        </w:rPr>
        <w:t>Brink, S. (2006</w:t>
      </w:r>
      <w:r w:rsidRPr="000E3288">
        <w:rPr>
          <w:sz w:val="22"/>
          <w:szCs w:val="22"/>
          <w:u w:val="single"/>
        </w:rPr>
        <w:t>) Comments Following the Policy MEMO – The Bologna Process for European Higher Education Area: Implications for Canada</w:t>
      </w:r>
      <w:r w:rsidRPr="000E3288">
        <w:rPr>
          <w:sz w:val="22"/>
          <w:szCs w:val="22"/>
        </w:rPr>
        <w:t xml:space="preserve">. </w:t>
      </w:r>
      <w:r w:rsidRPr="000E3288">
        <w:rPr>
          <w:i/>
          <w:iCs/>
          <w:sz w:val="22"/>
          <w:szCs w:val="22"/>
        </w:rPr>
        <w:t xml:space="preserve">Policy Workshop: Social Policy and the </w:t>
      </w:r>
      <w:proofErr w:type="spellStart"/>
      <w:r w:rsidRPr="000E3288">
        <w:rPr>
          <w:i/>
          <w:iCs/>
          <w:sz w:val="22"/>
          <w:szCs w:val="22"/>
        </w:rPr>
        <w:t>Labour</w:t>
      </w:r>
      <w:proofErr w:type="spellEnd"/>
      <w:r w:rsidRPr="000E3288">
        <w:rPr>
          <w:i/>
          <w:iCs/>
          <w:sz w:val="22"/>
          <w:szCs w:val="22"/>
        </w:rPr>
        <w:t xml:space="preserve"> Market Integration in the EU and Canada</w:t>
      </w:r>
      <w:r w:rsidRPr="000E3288">
        <w:rPr>
          <w:sz w:val="22"/>
          <w:szCs w:val="22"/>
        </w:rPr>
        <w:t>. Gatineau, QC. September 8, 2006</w:t>
      </w:r>
    </w:p>
    <w:p w:rsidR="009D026B" w:rsidRPr="000E3288" w:rsidRDefault="009D026B" w:rsidP="00270884">
      <w:pPr>
        <w:pStyle w:val="FootnoteText"/>
        <w:bidi w:val="0"/>
        <w:jc w:val="both"/>
        <w:rPr>
          <w:sz w:val="22"/>
          <w:szCs w:val="22"/>
        </w:rPr>
      </w:pPr>
    </w:p>
    <w:p w:rsidR="009D026B" w:rsidRPr="0000645D" w:rsidRDefault="009D026B" w:rsidP="00270884">
      <w:pPr>
        <w:pStyle w:val="FootnoteText"/>
        <w:bidi w:val="0"/>
        <w:jc w:val="both"/>
        <w:rPr>
          <w:sz w:val="22"/>
          <w:szCs w:val="22"/>
        </w:rPr>
      </w:pPr>
      <w:proofErr w:type="spellStart"/>
      <w:r w:rsidRPr="0000645D">
        <w:rPr>
          <w:sz w:val="22"/>
          <w:szCs w:val="22"/>
        </w:rPr>
        <w:t>Carr</w:t>
      </w:r>
      <w:proofErr w:type="spellEnd"/>
      <w:r w:rsidRPr="0000645D">
        <w:rPr>
          <w:sz w:val="22"/>
          <w:szCs w:val="22"/>
        </w:rPr>
        <w:t xml:space="preserve">, H. E. (1962) </w:t>
      </w:r>
      <w:proofErr w:type="gramStart"/>
      <w:r w:rsidRPr="0000645D">
        <w:rPr>
          <w:i/>
          <w:iCs/>
          <w:sz w:val="22"/>
          <w:szCs w:val="22"/>
        </w:rPr>
        <w:t>The</w:t>
      </w:r>
      <w:proofErr w:type="gramEnd"/>
      <w:r w:rsidRPr="0000645D">
        <w:rPr>
          <w:i/>
          <w:iCs/>
          <w:sz w:val="22"/>
          <w:szCs w:val="22"/>
        </w:rPr>
        <w:t xml:space="preserve"> Twenty Years' Crisis 1919-1939: An Introduction to the Study of International Relations</w:t>
      </w:r>
      <w:r w:rsidRPr="0000645D">
        <w:rPr>
          <w:sz w:val="22"/>
          <w:szCs w:val="22"/>
        </w:rPr>
        <w:t xml:space="preserve">. </w:t>
      </w:r>
      <w:proofErr w:type="gramStart"/>
      <w:r w:rsidRPr="0000645D">
        <w:rPr>
          <w:sz w:val="22"/>
          <w:szCs w:val="22"/>
        </w:rPr>
        <w:t>2</w:t>
      </w:r>
      <w:r w:rsidR="000E3288" w:rsidRPr="000E3288">
        <w:rPr>
          <w:sz w:val="22"/>
          <w:szCs w:val="22"/>
          <w:vertAlign w:val="superscript"/>
        </w:rPr>
        <w:t>nd</w:t>
      </w:r>
      <w:r w:rsidR="000E3288">
        <w:rPr>
          <w:sz w:val="22"/>
          <w:szCs w:val="22"/>
        </w:rPr>
        <w:t xml:space="preserve"> </w:t>
      </w:r>
      <w:r w:rsidRPr="0000645D">
        <w:rPr>
          <w:sz w:val="22"/>
          <w:szCs w:val="22"/>
        </w:rPr>
        <w:t xml:space="preserve"> ed</w:t>
      </w:r>
      <w:proofErr w:type="gramEnd"/>
      <w:r w:rsidRPr="0000645D">
        <w:rPr>
          <w:sz w:val="22"/>
          <w:szCs w:val="22"/>
        </w:rPr>
        <w:t>. (London: Macmillan).</w:t>
      </w:r>
    </w:p>
    <w:p w:rsidR="000C23EC" w:rsidRPr="0000645D" w:rsidRDefault="000C23EC" w:rsidP="00270884">
      <w:pPr>
        <w:pStyle w:val="FootnoteText"/>
        <w:bidi w:val="0"/>
        <w:jc w:val="both"/>
        <w:rPr>
          <w:rFonts w:cs="Arial"/>
          <w:sz w:val="22"/>
          <w:szCs w:val="22"/>
        </w:rPr>
      </w:pPr>
    </w:p>
    <w:p w:rsidR="0000645D" w:rsidRPr="0000645D" w:rsidRDefault="0000645D" w:rsidP="00270884">
      <w:pPr>
        <w:pStyle w:val="FootnoteText"/>
        <w:bidi w:val="0"/>
        <w:jc w:val="both"/>
        <w:rPr>
          <w:sz w:val="22"/>
          <w:szCs w:val="22"/>
        </w:rPr>
      </w:pPr>
      <w:r w:rsidRPr="0000645D">
        <w:rPr>
          <w:sz w:val="22"/>
          <w:szCs w:val="22"/>
        </w:rPr>
        <w:t xml:space="preserve">DEST (2006) </w:t>
      </w:r>
      <w:proofErr w:type="gramStart"/>
      <w:r w:rsidRPr="0000645D">
        <w:rPr>
          <w:i/>
          <w:iCs/>
          <w:sz w:val="22"/>
          <w:szCs w:val="22"/>
        </w:rPr>
        <w:t>The</w:t>
      </w:r>
      <w:proofErr w:type="gramEnd"/>
      <w:r w:rsidRPr="0000645D">
        <w:rPr>
          <w:i/>
          <w:iCs/>
          <w:sz w:val="22"/>
          <w:szCs w:val="22"/>
        </w:rPr>
        <w:t xml:space="preserve"> Bologna Process and Australia: Next Steps</w:t>
      </w:r>
      <w:r w:rsidRPr="0000645D">
        <w:rPr>
          <w:sz w:val="22"/>
          <w:szCs w:val="22"/>
        </w:rPr>
        <w:t>. April 2006</w:t>
      </w:r>
    </w:p>
    <w:p w:rsidR="00797C9E" w:rsidRDefault="00797C9E" w:rsidP="00270884">
      <w:pPr>
        <w:autoSpaceDE w:val="0"/>
        <w:autoSpaceDN w:val="0"/>
        <w:bidi w:val="0"/>
        <w:adjustRightInd w:val="0"/>
        <w:spacing w:line="240" w:lineRule="auto"/>
        <w:jc w:val="both"/>
        <w:rPr>
          <w:rFonts w:cs="StoneSerif"/>
        </w:rPr>
      </w:pPr>
    </w:p>
    <w:p w:rsidR="005A75A3" w:rsidRDefault="005A75A3" w:rsidP="005A75A3">
      <w:pPr>
        <w:pStyle w:val="FootnoteText"/>
        <w:bidi w:val="0"/>
        <w:spacing w:line="276" w:lineRule="auto"/>
        <w:jc w:val="both"/>
        <w:rPr>
          <w:rFonts w:asciiTheme="minorBidi" w:hAnsiTheme="minorBidi"/>
        </w:rPr>
      </w:pPr>
      <w:proofErr w:type="spellStart"/>
      <w:r w:rsidRPr="001E6200">
        <w:rPr>
          <w:rFonts w:asciiTheme="minorBidi" w:hAnsiTheme="minorBidi"/>
        </w:rPr>
        <w:t>Diez</w:t>
      </w:r>
      <w:proofErr w:type="spellEnd"/>
      <w:r w:rsidRPr="001E6200">
        <w:rPr>
          <w:rFonts w:asciiTheme="minorBidi" w:hAnsiTheme="minorBidi"/>
        </w:rPr>
        <w:t xml:space="preserve">, T. (2013) </w:t>
      </w:r>
      <w:r w:rsidRPr="001E6200">
        <w:rPr>
          <w:rFonts w:asciiTheme="minorBidi" w:hAnsiTheme="minorBidi"/>
          <w:u w:val="single"/>
        </w:rPr>
        <w:t>Normative Power as Hegemony</w:t>
      </w:r>
      <w:r w:rsidRPr="001E6200">
        <w:rPr>
          <w:rFonts w:asciiTheme="minorBidi" w:hAnsiTheme="minorBidi"/>
        </w:rPr>
        <w:t xml:space="preserve">. </w:t>
      </w:r>
      <w:proofErr w:type="gramStart"/>
      <w:r w:rsidRPr="001E6200">
        <w:rPr>
          <w:rFonts w:asciiTheme="minorBidi" w:hAnsiTheme="minorBidi"/>
          <w:i/>
          <w:iCs/>
        </w:rPr>
        <w:t>Cooperation and Conflict</w:t>
      </w:r>
      <w:r w:rsidRPr="001E6200">
        <w:rPr>
          <w:rFonts w:asciiTheme="minorBidi" w:hAnsiTheme="minorBidi"/>
        </w:rPr>
        <w:t>, Vol</w:t>
      </w:r>
      <w:r>
        <w:rPr>
          <w:rFonts w:asciiTheme="minorBidi" w:hAnsiTheme="minorBidi"/>
        </w:rPr>
        <w:t>.</w:t>
      </w:r>
      <w:proofErr w:type="gramEnd"/>
      <w:r w:rsidRPr="001E6200">
        <w:rPr>
          <w:rFonts w:asciiTheme="minorBidi" w:hAnsiTheme="minorBidi"/>
        </w:rPr>
        <w:t xml:space="preserve">  </w:t>
      </w:r>
      <w:proofErr w:type="gramStart"/>
      <w:r w:rsidRPr="001E6200">
        <w:rPr>
          <w:rFonts w:asciiTheme="minorBidi" w:hAnsiTheme="minorBidi"/>
        </w:rPr>
        <w:t>48</w:t>
      </w:r>
      <w:proofErr w:type="gramEnd"/>
      <w:r w:rsidRPr="001E6200">
        <w:rPr>
          <w:rFonts w:asciiTheme="minorBidi" w:hAnsiTheme="minorBidi"/>
        </w:rPr>
        <w:t xml:space="preserve"> (2) Pp. 194-210</w:t>
      </w:r>
    </w:p>
    <w:p w:rsidR="005A75A3" w:rsidRDefault="005A75A3" w:rsidP="00797C9E">
      <w:pPr>
        <w:autoSpaceDE w:val="0"/>
        <w:autoSpaceDN w:val="0"/>
        <w:bidi w:val="0"/>
        <w:adjustRightInd w:val="0"/>
        <w:spacing w:line="240" w:lineRule="auto"/>
        <w:jc w:val="both"/>
        <w:rPr>
          <w:rFonts w:cs="StoneSerif"/>
        </w:rPr>
      </w:pPr>
    </w:p>
    <w:p w:rsidR="009D026B" w:rsidRDefault="009D026B" w:rsidP="005A75A3">
      <w:pPr>
        <w:autoSpaceDE w:val="0"/>
        <w:autoSpaceDN w:val="0"/>
        <w:bidi w:val="0"/>
        <w:adjustRightInd w:val="0"/>
        <w:spacing w:line="240" w:lineRule="auto"/>
        <w:jc w:val="both"/>
        <w:rPr>
          <w:rFonts w:cs="StoneSerif"/>
        </w:rPr>
      </w:pPr>
      <w:proofErr w:type="spellStart"/>
      <w:r w:rsidRPr="0000645D">
        <w:rPr>
          <w:rFonts w:cs="StoneSerif"/>
        </w:rPr>
        <w:t>Diez</w:t>
      </w:r>
      <w:proofErr w:type="spellEnd"/>
      <w:r w:rsidRPr="0000645D">
        <w:rPr>
          <w:rFonts w:cs="StoneSerif"/>
        </w:rPr>
        <w:t xml:space="preserve">, T. and Manners, I. (2007) ‘Reflecting on Normative Power Europe’, in F. </w:t>
      </w:r>
      <w:proofErr w:type="spellStart"/>
      <w:r w:rsidRPr="0000645D">
        <w:rPr>
          <w:rFonts w:cs="StoneSerif"/>
        </w:rPr>
        <w:t>Berenskoetter</w:t>
      </w:r>
      <w:proofErr w:type="spellEnd"/>
      <w:r w:rsidRPr="0000645D">
        <w:rPr>
          <w:rFonts w:cs="StoneSerif"/>
        </w:rPr>
        <w:t xml:space="preserve"> and M. J. Williams (</w:t>
      </w:r>
      <w:proofErr w:type="spellStart"/>
      <w:proofErr w:type="gramStart"/>
      <w:r w:rsidRPr="0000645D">
        <w:rPr>
          <w:rFonts w:cs="StoneSerif"/>
        </w:rPr>
        <w:t>eds</w:t>
      </w:r>
      <w:proofErr w:type="spellEnd"/>
      <w:proofErr w:type="gramEnd"/>
      <w:r w:rsidRPr="0000645D">
        <w:rPr>
          <w:rFonts w:cs="StoneSerif"/>
        </w:rPr>
        <w:t xml:space="preserve">) </w:t>
      </w:r>
      <w:r w:rsidRPr="0000645D">
        <w:rPr>
          <w:rFonts w:cs="StoneSerif-Italic"/>
          <w:i/>
          <w:iCs/>
        </w:rPr>
        <w:t xml:space="preserve">Power in World Politics </w:t>
      </w:r>
      <w:r w:rsidRPr="0000645D">
        <w:rPr>
          <w:rFonts w:cs="StoneSerif"/>
        </w:rPr>
        <w:t>(London: Routledge), pp. 173–88.</w:t>
      </w:r>
    </w:p>
    <w:p w:rsidR="002B1C70" w:rsidRPr="0000645D" w:rsidRDefault="002B1C70" w:rsidP="00270884">
      <w:pPr>
        <w:autoSpaceDE w:val="0"/>
        <w:autoSpaceDN w:val="0"/>
        <w:bidi w:val="0"/>
        <w:adjustRightInd w:val="0"/>
        <w:spacing w:line="240" w:lineRule="auto"/>
        <w:jc w:val="both"/>
      </w:pPr>
      <w:proofErr w:type="spellStart"/>
      <w:r>
        <w:rPr>
          <w:rFonts w:cs="StoneSerif"/>
        </w:rPr>
        <w:t>Duchêne</w:t>
      </w:r>
      <w:proofErr w:type="spellEnd"/>
      <w:r>
        <w:rPr>
          <w:rFonts w:cs="StoneSerif"/>
        </w:rPr>
        <w:t xml:space="preserve">, F. (1972) </w:t>
      </w:r>
      <w:r w:rsidRPr="0000645D">
        <w:rPr>
          <w:rFonts w:cs="StoneSerif"/>
          <w:u w:val="single"/>
        </w:rPr>
        <w:t>Europe’s Role in World Peace</w:t>
      </w:r>
      <w:r w:rsidRPr="0000645D">
        <w:rPr>
          <w:rFonts w:cs="StoneSerif"/>
        </w:rPr>
        <w:t xml:space="preserve">, in R. </w:t>
      </w:r>
      <w:proofErr w:type="spellStart"/>
      <w:r w:rsidRPr="0000645D">
        <w:rPr>
          <w:rFonts w:cs="StoneSerif"/>
        </w:rPr>
        <w:t>Mayne</w:t>
      </w:r>
      <w:proofErr w:type="spellEnd"/>
      <w:r w:rsidRPr="0000645D">
        <w:rPr>
          <w:rFonts w:cs="StoneSerif"/>
        </w:rPr>
        <w:t xml:space="preserve"> (ed.) </w:t>
      </w:r>
      <w:r w:rsidRPr="0000645D">
        <w:rPr>
          <w:rFonts w:cs="StoneSerif-Italic"/>
          <w:i/>
          <w:iCs/>
        </w:rPr>
        <w:t xml:space="preserve">Europe Tomorrow: 16 Europeans Look Ahead </w:t>
      </w:r>
      <w:r w:rsidRPr="0000645D">
        <w:rPr>
          <w:rFonts w:cs="StoneSerif"/>
        </w:rPr>
        <w:t>(London: Fontana), pp. 32–47</w:t>
      </w:r>
    </w:p>
    <w:p w:rsidR="002B1C70" w:rsidRPr="0000645D" w:rsidRDefault="002B1C70" w:rsidP="00270884">
      <w:pPr>
        <w:pStyle w:val="FootnoteText"/>
        <w:bidi w:val="0"/>
        <w:jc w:val="both"/>
        <w:rPr>
          <w:sz w:val="22"/>
          <w:szCs w:val="22"/>
        </w:rPr>
      </w:pPr>
      <w:proofErr w:type="gramStart"/>
      <w:r>
        <w:t>----------</w:t>
      </w:r>
      <w:r w:rsidRPr="0000645D">
        <w:rPr>
          <w:sz w:val="22"/>
          <w:szCs w:val="22"/>
        </w:rPr>
        <w:t xml:space="preserve"> (1973) </w:t>
      </w:r>
      <w:r w:rsidRPr="0000645D">
        <w:rPr>
          <w:sz w:val="22"/>
          <w:szCs w:val="22"/>
          <w:u w:val="single"/>
        </w:rPr>
        <w:t>European Community and the Uncertainties of Interdependence</w:t>
      </w:r>
      <w:r w:rsidRPr="0000645D">
        <w:rPr>
          <w:sz w:val="22"/>
          <w:szCs w:val="22"/>
        </w:rPr>
        <w:t>.</w:t>
      </w:r>
      <w:proofErr w:type="gramEnd"/>
      <w:r w:rsidRPr="0000645D">
        <w:rPr>
          <w:sz w:val="22"/>
          <w:szCs w:val="22"/>
        </w:rPr>
        <w:t xml:space="preserve"> In: </w:t>
      </w:r>
      <w:proofErr w:type="spellStart"/>
      <w:r w:rsidRPr="0000645D">
        <w:rPr>
          <w:sz w:val="22"/>
          <w:szCs w:val="22"/>
        </w:rPr>
        <w:t>Kohnstamm</w:t>
      </w:r>
      <w:proofErr w:type="spellEnd"/>
      <w:r w:rsidRPr="0000645D">
        <w:rPr>
          <w:sz w:val="22"/>
          <w:szCs w:val="22"/>
        </w:rPr>
        <w:t xml:space="preserve">, M and Hagar, W. (eds.) </w:t>
      </w:r>
      <w:r w:rsidRPr="0000645D">
        <w:rPr>
          <w:i/>
          <w:iCs/>
          <w:sz w:val="22"/>
          <w:szCs w:val="22"/>
        </w:rPr>
        <w:t>A Nation Writ Large? Foreign Policy Problems before the European Community</w:t>
      </w:r>
      <w:r w:rsidRPr="0000645D">
        <w:rPr>
          <w:sz w:val="22"/>
          <w:szCs w:val="22"/>
        </w:rPr>
        <w:t xml:space="preserve"> (Basingstoke: Macmillan).</w:t>
      </w:r>
    </w:p>
    <w:p w:rsidR="002B1C70" w:rsidRPr="0000645D" w:rsidRDefault="002B1C70" w:rsidP="00270884">
      <w:pPr>
        <w:pStyle w:val="FootnoteText"/>
        <w:bidi w:val="0"/>
        <w:jc w:val="both"/>
        <w:rPr>
          <w:sz w:val="22"/>
          <w:szCs w:val="22"/>
        </w:rPr>
      </w:pPr>
    </w:p>
    <w:p w:rsidR="007567B5" w:rsidRPr="0000645D" w:rsidRDefault="007567B5" w:rsidP="00270884">
      <w:pPr>
        <w:autoSpaceDE w:val="0"/>
        <w:autoSpaceDN w:val="0"/>
        <w:bidi w:val="0"/>
        <w:adjustRightInd w:val="0"/>
        <w:spacing w:line="240" w:lineRule="auto"/>
        <w:jc w:val="both"/>
      </w:pPr>
      <w:proofErr w:type="gramStart"/>
      <w:r w:rsidRPr="00582CB1">
        <w:rPr>
          <w:rFonts w:cs="StoneSerif"/>
        </w:rPr>
        <w:t>EUA (2007) EUA Convention Reader.</w:t>
      </w:r>
      <w:proofErr w:type="gramEnd"/>
      <w:r w:rsidRPr="00582CB1">
        <w:rPr>
          <w:rFonts w:cs="StoneSerif"/>
        </w:rPr>
        <w:t xml:space="preserve"> 4th Convention of European Higher Education Institutions</w:t>
      </w:r>
      <w:r w:rsidRPr="001E6200">
        <w:rPr>
          <w:rFonts w:asciiTheme="minorBidi" w:hAnsiTheme="minorBidi"/>
          <w:sz w:val="20"/>
          <w:szCs w:val="20"/>
        </w:rPr>
        <w:t xml:space="preserve"> </w:t>
      </w:r>
      <w:hyperlink r:id="rId9" w:anchor="page=65" w:history="1">
        <w:r w:rsidRPr="001E6200">
          <w:rPr>
            <w:rStyle w:val="Hyperlink"/>
            <w:rFonts w:asciiTheme="minorBidi" w:hAnsiTheme="minorBidi"/>
            <w:sz w:val="20"/>
            <w:szCs w:val="20"/>
          </w:rPr>
          <w:t>http://www.eua.be/fileadmin/user_upload/files/Lisbon_Convention/Convention_Reader.pdf#page=65</w:t>
        </w:r>
      </w:hyperlink>
    </w:p>
    <w:p w:rsidR="002B1C70" w:rsidRDefault="002B1C70" w:rsidP="00270884">
      <w:pPr>
        <w:pStyle w:val="FootnoteText"/>
        <w:bidi w:val="0"/>
        <w:rPr>
          <w:sz w:val="22"/>
          <w:szCs w:val="22"/>
        </w:rPr>
      </w:pPr>
      <w:proofErr w:type="gramStart"/>
      <w:r w:rsidRPr="0000645D">
        <w:rPr>
          <w:rStyle w:val="apple-converted-space"/>
          <w:rFonts w:cs="Arial"/>
          <w:sz w:val="22"/>
          <w:szCs w:val="22"/>
          <w:shd w:val="clear" w:color="auto" w:fill="FFFFFF"/>
        </w:rPr>
        <w:t>European Council (2000).</w:t>
      </w:r>
      <w:proofErr w:type="gramEnd"/>
      <w:r w:rsidRPr="0000645D">
        <w:rPr>
          <w:rStyle w:val="apple-converted-space"/>
          <w:rFonts w:cs="Arial"/>
          <w:sz w:val="22"/>
          <w:szCs w:val="22"/>
          <w:shd w:val="clear" w:color="auto" w:fill="FFFFFF"/>
        </w:rPr>
        <w:t xml:space="preserve"> </w:t>
      </w:r>
      <w:proofErr w:type="gramStart"/>
      <w:r w:rsidRPr="0000645D">
        <w:rPr>
          <w:rStyle w:val="apple-converted-space"/>
          <w:rFonts w:cs="Arial"/>
          <w:i/>
          <w:iCs/>
          <w:sz w:val="22"/>
          <w:szCs w:val="22"/>
          <w:shd w:val="clear" w:color="auto" w:fill="FFFFFF"/>
        </w:rPr>
        <w:t>Lisbon European Council 23 and 24 March 2000, Presidency Conclusions</w:t>
      </w:r>
      <w:r w:rsidRPr="0000645D">
        <w:rPr>
          <w:rStyle w:val="apple-converted-space"/>
          <w:rFonts w:cs="Arial"/>
          <w:sz w:val="22"/>
          <w:szCs w:val="22"/>
          <w:shd w:val="clear" w:color="auto" w:fill="FFFFFF"/>
        </w:rPr>
        <w:t>.</w:t>
      </w:r>
      <w:proofErr w:type="gramEnd"/>
      <w:r w:rsidRPr="0000645D">
        <w:rPr>
          <w:rStyle w:val="apple-converted-space"/>
          <w:rFonts w:cs="Arial"/>
          <w:sz w:val="22"/>
          <w:szCs w:val="22"/>
          <w:shd w:val="clear" w:color="auto" w:fill="FFFFFF"/>
        </w:rPr>
        <w:t xml:space="preserve"> Brussels: EU </w:t>
      </w:r>
    </w:p>
    <w:p w:rsidR="002B1C70" w:rsidRPr="0000645D" w:rsidRDefault="002B1C70" w:rsidP="00270884">
      <w:pPr>
        <w:pStyle w:val="FootnoteText"/>
        <w:bidi w:val="0"/>
        <w:rPr>
          <w:sz w:val="22"/>
          <w:szCs w:val="22"/>
        </w:rPr>
      </w:pPr>
    </w:p>
    <w:p w:rsidR="004924C6" w:rsidRPr="0000645D" w:rsidRDefault="004924C6" w:rsidP="00270884">
      <w:pPr>
        <w:pStyle w:val="FootnoteText"/>
        <w:bidi w:val="0"/>
        <w:rPr>
          <w:sz w:val="22"/>
          <w:szCs w:val="22"/>
        </w:rPr>
      </w:pPr>
    </w:p>
    <w:p w:rsidR="009D026B" w:rsidRPr="0000645D" w:rsidRDefault="009D026B" w:rsidP="00270884">
      <w:pPr>
        <w:pStyle w:val="FootnoteText"/>
        <w:bidi w:val="0"/>
        <w:jc w:val="both"/>
        <w:rPr>
          <w:sz w:val="22"/>
          <w:szCs w:val="22"/>
        </w:rPr>
      </w:pPr>
      <w:proofErr w:type="spellStart"/>
      <w:r w:rsidRPr="0000645D">
        <w:rPr>
          <w:sz w:val="22"/>
          <w:szCs w:val="22"/>
        </w:rPr>
        <w:t>Gerrits</w:t>
      </w:r>
      <w:proofErr w:type="spellEnd"/>
      <w:r w:rsidRPr="0000645D">
        <w:rPr>
          <w:sz w:val="22"/>
          <w:szCs w:val="22"/>
        </w:rPr>
        <w:t xml:space="preserve">, A. (2009). </w:t>
      </w:r>
      <w:r w:rsidRPr="0000645D">
        <w:rPr>
          <w:sz w:val="22"/>
          <w:szCs w:val="22"/>
          <w:u w:val="single"/>
        </w:rPr>
        <w:t>Normative Power Europe: Introductory Observations on a Controversial Notion</w:t>
      </w:r>
      <w:r w:rsidRPr="0000645D">
        <w:rPr>
          <w:sz w:val="22"/>
          <w:szCs w:val="22"/>
        </w:rPr>
        <w:t xml:space="preserve">. In: </w:t>
      </w:r>
      <w:proofErr w:type="spellStart"/>
      <w:r w:rsidRPr="0000645D">
        <w:rPr>
          <w:sz w:val="22"/>
          <w:szCs w:val="22"/>
        </w:rPr>
        <w:t>Gerrits</w:t>
      </w:r>
      <w:proofErr w:type="spellEnd"/>
      <w:r w:rsidRPr="0000645D">
        <w:rPr>
          <w:sz w:val="22"/>
          <w:szCs w:val="22"/>
        </w:rPr>
        <w:t>, A</w:t>
      </w:r>
      <w:proofErr w:type="gramStart"/>
      <w:r w:rsidRPr="0000645D">
        <w:rPr>
          <w:sz w:val="22"/>
          <w:szCs w:val="22"/>
        </w:rPr>
        <w:t>.(</w:t>
      </w:r>
      <w:proofErr w:type="spellStart"/>
      <w:proofErr w:type="gramEnd"/>
      <w:r w:rsidRPr="0000645D">
        <w:rPr>
          <w:sz w:val="22"/>
          <w:szCs w:val="22"/>
        </w:rPr>
        <w:t>ed</w:t>
      </w:r>
      <w:proofErr w:type="spellEnd"/>
      <w:r w:rsidRPr="0000645D">
        <w:rPr>
          <w:sz w:val="22"/>
          <w:szCs w:val="22"/>
        </w:rPr>
        <w:t xml:space="preserve">) </w:t>
      </w:r>
      <w:r w:rsidRPr="0000645D">
        <w:rPr>
          <w:i/>
          <w:iCs/>
          <w:sz w:val="22"/>
          <w:szCs w:val="22"/>
        </w:rPr>
        <w:t>Normative Power Europe in a Changing World: A Discussion</w:t>
      </w:r>
      <w:r w:rsidRPr="0000645D">
        <w:rPr>
          <w:sz w:val="22"/>
          <w:szCs w:val="22"/>
        </w:rPr>
        <w:t xml:space="preserve">. </w:t>
      </w:r>
      <w:proofErr w:type="spellStart"/>
      <w:r w:rsidRPr="0000645D">
        <w:rPr>
          <w:sz w:val="22"/>
          <w:szCs w:val="22"/>
        </w:rPr>
        <w:t>Clingendael</w:t>
      </w:r>
      <w:proofErr w:type="spellEnd"/>
      <w:r w:rsidRPr="0000645D">
        <w:rPr>
          <w:sz w:val="22"/>
          <w:szCs w:val="22"/>
        </w:rPr>
        <w:t xml:space="preserve"> European Papers No. 5. The Netherlands: The </w:t>
      </w:r>
      <w:proofErr w:type="spellStart"/>
      <w:r w:rsidRPr="0000645D">
        <w:rPr>
          <w:sz w:val="22"/>
          <w:szCs w:val="22"/>
        </w:rPr>
        <w:t>Hauge</w:t>
      </w:r>
      <w:proofErr w:type="spellEnd"/>
      <w:r w:rsidRPr="0000645D">
        <w:rPr>
          <w:sz w:val="22"/>
          <w:szCs w:val="22"/>
        </w:rPr>
        <w:t>.</w:t>
      </w:r>
    </w:p>
    <w:p w:rsidR="002B1C70" w:rsidRDefault="002B1C70" w:rsidP="00270884">
      <w:pPr>
        <w:bidi w:val="0"/>
        <w:spacing w:line="240" w:lineRule="auto"/>
        <w:jc w:val="both"/>
        <w:rPr>
          <w:rFonts w:cs="David"/>
        </w:rPr>
      </w:pPr>
    </w:p>
    <w:p w:rsidR="009D026B" w:rsidRPr="0000645D" w:rsidRDefault="009D026B" w:rsidP="00270884">
      <w:pPr>
        <w:bidi w:val="0"/>
        <w:spacing w:line="240" w:lineRule="auto"/>
        <w:jc w:val="both"/>
      </w:pPr>
      <w:proofErr w:type="gramStart"/>
      <w:r w:rsidRPr="0000645D">
        <w:rPr>
          <w:rFonts w:cs="David"/>
        </w:rPr>
        <w:t xml:space="preserve">Haggard, S. and Simmons, B. A. (1987), </w:t>
      </w:r>
      <w:r w:rsidRPr="0000645D">
        <w:rPr>
          <w:rFonts w:cs="David"/>
          <w:u w:val="single"/>
        </w:rPr>
        <w:t>Theories of International Regimes</w:t>
      </w:r>
      <w:r w:rsidRPr="0000645D">
        <w:rPr>
          <w:rFonts w:cs="David"/>
        </w:rPr>
        <w:t>.</w:t>
      </w:r>
      <w:proofErr w:type="gramEnd"/>
      <w:r w:rsidRPr="0000645D">
        <w:rPr>
          <w:rFonts w:cs="David"/>
        </w:rPr>
        <w:t xml:space="preserve"> </w:t>
      </w:r>
      <w:r w:rsidRPr="0000645D">
        <w:rPr>
          <w:rFonts w:cs="David"/>
          <w:i/>
          <w:iCs/>
        </w:rPr>
        <w:t xml:space="preserve">International Organization </w:t>
      </w:r>
      <w:r w:rsidRPr="0000645D">
        <w:rPr>
          <w:rFonts w:cs="David"/>
        </w:rPr>
        <w:t>41, (3): 491-517.</w:t>
      </w:r>
    </w:p>
    <w:p w:rsidR="009D026B" w:rsidRDefault="009D026B" w:rsidP="00270884">
      <w:pPr>
        <w:bidi w:val="0"/>
        <w:spacing w:line="240" w:lineRule="auto"/>
        <w:jc w:val="both"/>
      </w:pPr>
      <w:r w:rsidRPr="0000645D">
        <w:lastRenderedPageBreak/>
        <w:t>Hurd, I. (2007)</w:t>
      </w:r>
      <w:r w:rsidR="00582CB1">
        <w:t xml:space="preserve"> </w:t>
      </w:r>
      <w:r w:rsidRPr="0000645D">
        <w:rPr>
          <w:i/>
          <w:iCs/>
        </w:rPr>
        <w:t>After Anarchy:</w:t>
      </w:r>
      <w:r w:rsidRPr="0000645D">
        <w:t xml:space="preserve"> </w:t>
      </w:r>
      <w:r w:rsidRPr="0000645D">
        <w:rPr>
          <w:i/>
          <w:iCs/>
        </w:rPr>
        <w:t>Legitimacy and Power in the United Nations Security Council</w:t>
      </w:r>
      <w:r w:rsidRPr="0000645D">
        <w:t>. Princeton: Princeton University Press</w:t>
      </w:r>
    </w:p>
    <w:p w:rsidR="008A36D0" w:rsidRPr="001E6200" w:rsidRDefault="008A36D0" w:rsidP="008A36D0">
      <w:pPr>
        <w:autoSpaceDE w:val="0"/>
        <w:autoSpaceDN w:val="0"/>
        <w:bidi w:val="0"/>
        <w:adjustRightInd w:val="0"/>
        <w:jc w:val="both"/>
        <w:rPr>
          <w:rFonts w:asciiTheme="minorBidi" w:hAnsiTheme="minorBidi"/>
          <w:sz w:val="20"/>
          <w:szCs w:val="20"/>
          <w:rtl/>
        </w:rPr>
      </w:pPr>
      <w:r w:rsidRPr="001E6200">
        <w:rPr>
          <w:rFonts w:asciiTheme="minorBidi" w:hAnsiTheme="minorBidi"/>
          <w:sz w:val="20"/>
          <w:szCs w:val="20"/>
        </w:rPr>
        <w:t>Hyde-Price</w:t>
      </w:r>
      <w:r>
        <w:rPr>
          <w:rFonts w:asciiTheme="minorBidi" w:hAnsiTheme="minorBidi"/>
          <w:sz w:val="20"/>
          <w:szCs w:val="20"/>
        </w:rPr>
        <w:t>, A.</w:t>
      </w:r>
      <w:r w:rsidRPr="001E6200">
        <w:rPr>
          <w:rFonts w:asciiTheme="minorBidi" w:hAnsiTheme="minorBidi"/>
          <w:sz w:val="20"/>
          <w:szCs w:val="20"/>
        </w:rPr>
        <w:t xml:space="preserve"> (2006) ‘</w:t>
      </w:r>
      <w:r w:rsidRPr="00391A81">
        <w:rPr>
          <w:rFonts w:asciiTheme="minorBidi" w:hAnsiTheme="minorBidi"/>
          <w:sz w:val="20"/>
          <w:szCs w:val="20"/>
          <w:u w:val="single"/>
        </w:rPr>
        <w:t xml:space="preserve">Normative’ </w:t>
      </w:r>
      <w:r>
        <w:rPr>
          <w:rFonts w:asciiTheme="minorBidi" w:hAnsiTheme="minorBidi"/>
          <w:sz w:val="20"/>
          <w:szCs w:val="20"/>
          <w:u w:val="single"/>
        </w:rPr>
        <w:t>P</w:t>
      </w:r>
      <w:r w:rsidRPr="00391A81">
        <w:rPr>
          <w:rFonts w:asciiTheme="minorBidi" w:hAnsiTheme="minorBidi"/>
          <w:sz w:val="20"/>
          <w:szCs w:val="20"/>
          <w:u w:val="single"/>
        </w:rPr>
        <w:t xml:space="preserve">ower Europe: a </w:t>
      </w:r>
      <w:r>
        <w:rPr>
          <w:rFonts w:asciiTheme="minorBidi" w:hAnsiTheme="minorBidi"/>
          <w:sz w:val="20"/>
          <w:szCs w:val="20"/>
          <w:u w:val="single"/>
        </w:rPr>
        <w:t>R</w:t>
      </w:r>
      <w:r w:rsidRPr="00391A81">
        <w:rPr>
          <w:rFonts w:asciiTheme="minorBidi" w:hAnsiTheme="minorBidi"/>
          <w:sz w:val="20"/>
          <w:szCs w:val="20"/>
          <w:u w:val="single"/>
        </w:rPr>
        <w:t xml:space="preserve">ealist </w:t>
      </w:r>
      <w:r>
        <w:rPr>
          <w:rFonts w:asciiTheme="minorBidi" w:hAnsiTheme="minorBidi"/>
          <w:sz w:val="20"/>
          <w:szCs w:val="20"/>
          <w:u w:val="single"/>
        </w:rPr>
        <w:t>C</w:t>
      </w:r>
      <w:r w:rsidRPr="00391A81">
        <w:rPr>
          <w:rFonts w:asciiTheme="minorBidi" w:hAnsiTheme="minorBidi"/>
          <w:sz w:val="20"/>
          <w:szCs w:val="20"/>
          <w:u w:val="single"/>
        </w:rPr>
        <w:t>ritique</w:t>
      </w:r>
      <w:r w:rsidRPr="001E6200">
        <w:rPr>
          <w:rFonts w:asciiTheme="minorBidi" w:hAnsiTheme="minorBidi"/>
          <w:sz w:val="20"/>
          <w:szCs w:val="20"/>
        </w:rPr>
        <w:t xml:space="preserve">, </w:t>
      </w:r>
      <w:r w:rsidRPr="00391A81">
        <w:rPr>
          <w:rFonts w:asciiTheme="minorBidi" w:hAnsiTheme="minorBidi"/>
          <w:i/>
          <w:iCs/>
          <w:sz w:val="20"/>
          <w:szCs w:val="20"/>
        </w:rPr>
        <w:t>Journal of European Public Policy</w:t>
      </w:r>
      <w:r w:rsidRPr="001E6200">
        <w:rPr>
          <w:rFonts w:asciiTheme="minorBidi" w:hAnsiTheme="minorBidi"/>
          <w:sz w:val="20"/>
          <w:szCs w:val="20"/>
        </w:rPr>
        <w:t>,</w:t>
      </w:r>
      <w:r>
        <w:rPr>
          <w:rFonts w:asciiTheme="minorBidi" w:hAnsiTheme="minorBidi"/>
          <w:sz w:val="20"/>
          <w:szCs w:val="20"/>
        </w:rPr>
        <w:t xml:space="preserve"> Vol.</w:t>
      </w:r>
      <w:r w:rsidRPr="001E6200">
        <w:rPr>
          <w:rFonts w:asciiTheme="minorBidi" w:hAnsiTheme="minorBidi"/>
          <w:sz w:val="20"/>
          <w:szCs w:val="20"/>
        </w:rPr>
        <w:t xml:space="preserve"> 13</w:t>
      </w:r>
      <w:r>
        <w:rPr>
          <w:rFonts w:asciiTheme="minorBidi" w:hAnsiTheme="minorBidi"/>
          <w:sz w:val="20"/>
          <w:szCs w:val="20"/>
        </w:rPr>
        <w:t>(</w:t>
      </w:r>
      <w:r w:rsidRPr="001E6200">
        <w:rPr>
          <w:rFonts w:asciiTheme="minorBidi" w:hAnsiTheme="minorBidi"/>
          <w:sz w:val="20"/>
          <w:szCs w:val="20"/>
        </w:rPr>
        <w:t>2</w:t>
      </w:r>
      <w:r>
        <w:rPr>
          <w:rFonts w:asciiTheme="minorBidi" w:hAnsiTheme="minorBidi"/>
          <w:sz w:val="20"/>
          <w:szCs w:val="20"/>
        </w:rPr>
        <w:t>):</w:t>
      </w:r>
      <w:r w:rsidRPr="001E6200">
        <w:rPr>
          <w:rFonts w:asciiTheme="minorBidi" w:hAnsiTheme="minorBidi"/>
          <w:sz w:val="20"/>
          <w:szCs w:val="20"/>
        </w:rPr>
        <w:t xml:space="preserve"> 217-234</w:t>
      </w:r>
    </w:p>
    <w:p w:rsidR="007567B5" w:rsidRPr="000E3288" w:rsidRDefault="007567B5" w:rsidP="00270884">
      <w:pPr>
        <w:bidi w:val="0"/>
        <w:spacing w:line="240" w:lineRule="auto"/>
        <w:jc w:val="both"/>
      </w:pPr>
      <w:proofErr w:type="spellStart"/>
      <w:proofErr w:type="gramStart"/>
      <w:r w:rsidRPr="000E3288">
        <w:t>Karns</w:t>
      </w:r>
      <w:proofErr w:type="spellEnd"/>
      <w:r w:rsidRPr="000E3288">
        <w:t xml:space="preserve">, M. P. and </w:t>
      </w:r>
      <w:proofErr w:type="spellStart"/>
      <w:r w:rsidRPr="000E3288">
        <w:t>Mingst</w:t>
      </w:r>
      <w:proofErr w:type="spellEnd"/>
      <w:r w:rsidRPr="000E3288">
        <w:t xml:space="preserve">, K. A. (2010) </w:t>
      </w:r>
      <w:r w:rsidRPr="000E3288">
        <w:rPr>
          <w:i/>
          <w:iCs/>
        </w:rPr>
        <w:t>International Organizations: The Politics and Processes of Global Governance – 2nd ed.</w:t>
      </w:r>
      <w:r w:rsidRPr="000E3288">
        <w:t xml:space="preserve"> London: Lynne </w:t>
      </w:r>
      <w:proofErr w:type="spellStart"/>
      <w:r w:rsidRPr="000E3288">
        <w:t>Rienner</w:t>
      </w:r>
      <w:proofErr w:type="spellEnd"/>
      <w:r w:rsidRPr="000E3288">
        <w:t xml:space="preserve"> Publishers.</w:t>
      </w:r>
      <w:proofErr w:type="gramEnd"/>
    </w:p>
    <w:p w:rsidR="0000645D" w:rsidRPr="0000645D" w:rsidRDefault="0000645D" w:rsidP="00270884">
      <w:pPr>
        <w:autoSpaceDE w:val="0"/>
        <w:autoSpaceDN w:val="0"/>
        <w:bidi w:val="0"/>
        <w:adjustRightInd w:val="0"/>
        <w:spacing w:after="0" w:line="240" w:lineRule="auto"/>
        <w:jc w:val="both"/>
        <w:rPr>
          <w:rFonts w:cs="David"/>
        </w:rPr>
      </w:pPr>
      <w:r w:rsidRPr="0000645D">
        <w:rPr>
          <w:rFonts w:cs="David"/>
        </w:rPr>
        <w:t xml:space="preserve">Krasner. D. S. (1982) </w:t>
      </w:r>
      <w:r w:rsidRPr="0000645D">
        <w:rPr>
          <w:rFonts w:cs="David"/>
          <w:u w:val="single"/>
        </w:rPr>
        <w:t>Structural Causes and Regime Consequences</w:t>
      </w:r>
      <w:r w:rsidRPr="0000645D">
        <w:rPr>
          <w:rFonts w:cs="David"/>
        </w:rPr>
        <w:t xml:space="preserve">. </w:t>
      </w:r>
      <w:proofErr w:type="gramStart"/>
      <w:r w:rsidRPr="0000645D">
        <w:rPr>
          <w:rFonts w:cs="David"/>
          <w:i/>
          <w:iCs/>
        </w:rPr>
        <w:t>International Organization</w:t>
      </w:r>
      <w:r w:rsidRPr="0000645D">
        <w:rPr>
          <w:rFonts w:cs="David"/>
        </w:rPr>
        <w:t>, Vol. 36(2), pp.185-205.</w:t>
      </w:r>
      <w:proofErr w:type="gramEnd"/>
    </w:p>
    <w:p w:rsidR="004924C6" w:rsidRPr="0000645D" w:rsidRDefault="004924C6" w:rsidP="00270884">
      <w:pPr>
        <w:pStyle w:val="FootnoteText"/>
        <w:bidi w:val="0"/>
        <w:jc w:val="both"/>
        <w:rPr>
          <w:sz w:val="22"/>
          <w:szCs w:val="22"/>
          <w:rtl/>
        </w:rPr>
      </w:pPr>
    </w:p>
    <w:p w:rsidR="004924C6" w:rsidRPr="000E3288" w:rsidRDefault="004924C6" w:rsidP="00270884">
      <w:pPr>
        <w:pStyle w:val="FootnoteText"/>
        <w:bidi w:val="0"/>
        <w:jc w:val="both"/>
        <w:rPr>
          <w:sz w:val="22"/>
          <w:szCs w:val="22"/>
          <w:rtl/>
        </w:rPr>
      </w:pPr>
      <w:proofErr w:type="spellStart"/>
      <w:r w:rsidRPr="000E3288">
        <w:rPr>
          <w:sz w:val="22"/>
          <w:szCs w:val="22"/>
        </w:rPr>
        <w:t>Ladrech</w:t>
      </w:r>
      <w:proofErr w:type="spellEnd"/>
      <w:r w:rsidRPr="000E3288">
        <w:rPr>
          <w:sz w:val="22"/>
          <w:szCs w:val="22"/>
        </w:rPr>
        <w:t>, R</w:t>
      </w:r>
      <w:proofErr w:type="gramStart"/>
      <w:r w:rsidRPr="000E3288">
        <w:rPr>
          <w:sz w:val="22"/>
          <w:szCs w:val="22"/>
        </w:rPr>
        <w:t>.</w:t>
      </w:r>
      <w:r w:rsidR="006D514B" w:rsidRPr="000E3288">
        <w:rPr>
          <w:sz w:val="22"/>
          <w:szCs w:val="22"/>
        </w:rPr>
        <w:t>(</w:t>
      </w:r>
      <w:proofErr w:type="gramEnd"/>
      <w:r w:rsidRPr="000E3288">
        <w:rPr>
          <w:sz w:val="22"/>
          <w:szCs w:val="22"/>
        </w:rPr>
        <w:t>1994</w:t>
      </w:r>
      <w:r w:rsidR="006D514B" w:rsidRPr="000E3288">
        <w:rPr>
          <w:sz w:val="22"/>
          <w:szCs w:val="22"/>
        </w:rPr>
        <w:t>)</w:t>
      </w:r>
      <w:r w:rsidRPr="000E3288">
        <w:rPr>
          <w:sz w:val="22"/>
          <w:szCs w:val="22"/>
        </w:rPr>
        <w:t xml:space="preserve"> </w:t>
      </w:r>
      <w:r w:rsidRPr="000E3288">
        <w:rPr>
          <w:sz w:val="22"/>
          <w:szCs w:val="22"/>
          <w:u w:val="single"/>
        </w:rPr>
        <w:t>Europeanization of Domestic Politics and Institutions: The Case of France</w:t>
      </w:r>
      <w:r w:rsidR="009103CE" w:rsidRPr="000E3288">
        <w:rPr>
          <w:sz w:val="22"/>
          <w:szCs w:val="22"/>
        </w:rPr>
        <w:t xml:space="preserve">. </w:t>
      </w:r>
      <w:r w:rsidRPr="000E3288">
        <w:rPr>
          <w:i/>
          <w:iCs/>
          <w:sz w:val="22"/>
          <w:szCs w:val="22"/>
        </w:rPr>
        <w:t>Journal of Common Market Studies</w:t>
      </w:r>
      <w:r w:rsidRPr="000E3288">
        <w:rPr>
          <w:sz w:val="22"/>
          <w:szCs w:val="22"/>
        </w:rPr>
        <w:t xml:space="preserve"> 32 (1): 69-88</w:t>
      </w:r>
      <w:r w:rsidRPr="000E3288">
        <w:rPr>
          <w:rFonts w:cs="Arial"/>
          <w:sz w:val="22"/>
          <w:szCs w:val="22"/>
          <w:rtl/>
        </w:rPr>
        <w:t>.</w:t>
      </w:r>
    </w:p>
    <w:p w:rsidR="0000645D" w:rsidRDefault="0000645D" w:rsidP="00270884">
      <w:pPr>
        <w:bidi w:val="0"/>
        <w:spacing w:line="240" w:lineRule="auto"/>
        <w:jc w:val="both"/>
      </w:pPr>
    </w:p>
    <w:p w:rsidR="009D026B" w:rsidRPr="0000645D" w:rsidRDefault="009D026B" w:rsidP="00270884">
      <w:pPr>
        <w:autoSpaceDE w:val="0"/>
        <w:autoSpaceDN w:val="0"/>
        <w:bidi w:val="0"/>
        <w:adjustRightInd w:val="0"/>
        <w:spacing w:line="240" w:lineRule="auto"/>
        <w:jc w:val="both"/>
      </w:pPr>
      <w:r w:rsidRPr="0000645D">
        <w:t xml:space="preserve">Manners, I. </w:t>
      </w:r>
      <w:r w:rsidRPr="0000645D">
        <w:rPr>
          <w:rFonts w:cs="StoneSerif"/>
        </w:rPr>
        <w:t xml:space="preserve">(2002) </w:t>
      </w:r>
      <w:r w:rsidRPr="007F469A">
        <w:rPr>
          <w:rFonts w:cs="StoneSerif"/>
          <w:u w:val="single"/>
        </w:rPr>
        <w:t>Normative Power Europe: A Contradiction in Terms?</w:t>
      </w:r>
      <w:r w:rsidRPr="0000645D">
        <w:rPr>
          <w:rFonts w:cs="StoneSerif"/>
        </w:rPr>
        <w:t xml:space="preserve"> </w:t>
      </w:r>
      <w:proofErr w:type="gramStart"/>
      <w:r w:rsidRPr="0000645D">
        <w:rPr>
          <w:rFonts w:cs="StoneSerif-Italic"/>
          <w:i/>
          <w:iCs/>
        </w:rPr>
        <w:t>Journal of Common Market Studies</w:t>
      </w:r>
      <w:r w:rsidRPr="0000645D">
        <w:rPr>
          <w:rFonts w:cs="StoneSerif"/>
        </w:rPr>
        <w:t>, 40 (2), 235–58.</w:t>
      </w:r>
      <w:proofErr w:type="gramEnd"/>
    </w:p>
    <w:p w:rsidR="002B1C70" w:rsidRPr="0000645D" w:rsidRDefault="002B1C70" w:rsidP="00270884">
      <w:pPr>
        <w:bidi w:val="0"/>
        <w:spacing w:line="240" w:lineRule="auto"/>
        <w:jc w:val="both"/>
      </w:pPr>
      <w:r>
        <w:t>-------------.</w:t>
      </w:r>
      <w:r w:rsidRPr="0000645D">
        <w:t xml:space="preserve"> </w:t>
      </w:r>
      <w:r w:rsidRPr="0000645D">
        <w:rPr>
          <w:rStyle w:val="Emphasis"/>
        </w:rPr>
        <w:t>(2008)</w:t>
      </w:r>
      <w:r>
        <w:rPr>
          <w:rStyle w:val="Emphasis"/>
        </w:rPr>
        <w:t xml:space="preserve"> </w:t>
      </w:r>
      <w:proofErr w:type="gramStart"/>
      <w:r w:rsidRPr="0000645D">
        <w:rPr>
          <w:rStyle w:val="Emphasis"/>
          <w:i w:val="0"/>
          <w:iCs w:val="0"/>
          <w:u w:val="single"/>
        </w:rPr>
        <w:t>Th</w:t>
      </w:r>
      <w:r>
        <w:rPr>
          <w:rStyle w:val="Emphasis"/>
          <w:i w:val="0"/>
          <w:iCs w:val="0"/>
          <w:u w:val="single"/>
        </w:rPr>
        <w:t>e</w:t>
      </w:r>
      <w:proofErr w:type="gramEnd"/>
      <w:r>
        <w:rPr>
          <w:rStyle w:val="Emphasis"/>
          <w:i w:val="0"/>
          <w:iCs w:val="0"/>
          <w:u w:val="single"/>
        </w:rPr>
        <w:t xml:space="preserve"> N</w:t>
      </w:r>
      <w:r w:rsidRPr="0000645D">
        <w:rPr>
          <w:rStyle w:val="Emphasis"/>
          <w:i w:val="0"/>
          <w:iCs w:val="0"/>
          <w:u w:val="single"/>
        </w:rPr>
        <w:t xml:space="preserve">ormative </w:t>
      </w:r>
      <w:r>
        <w:rPr>
          <w:rStyle w:val="Emphasis"/>
          <w:i w:val="0"/>
          <w:iCs w:val="0"/>
          <w:u w:val="single"/>
        </w:rPr>
        <w:t>E</w:t>
      </w:r>
      <w:r w:rsidRPr="0000645D">
        <w:rPr>
          <w:rStyle w:val="Emphasis"/>
          <w:i w:val="0"/>
          <w:iCs w:val="0"/>
          <w:u w:val="single"/>
        </w:rPr>
        <w:t>thics of the European Union</w:t>
      </w:r>
      <w:r w:rsidRPr="0000645D">
        <w:rPr>
          <w:rStyle w:val="Emphasis"/>
        </w:rPr>
        <w:t xml:space="preserve">, </w:t>
      </w:r>
      <w:r w:rsidRPr="0000645D">
        <w:rPr>
          <w:i/>
          <w:iCs/>
        </w:rPr>
        <w:t>International Affairs</w:t>
      </w:r>
      <w:r w:rsidRPr="0000645D">
        <w:t>, 84:1. Pp. 65-80</w:t>
      </w:r>
    </w:p>
    <w:p w:rsidR="004924C6" w:rsidRPr="0000645D" w:rsidRDefault="004924C6" w:rsidP="00270884">
      <w:pPr>
        <w:pStyle w:val="FootnoteText"/>
        <w:bidi w:val="0"/>
        <w:jc w:val="both"/>
        <w:rPr>
          <w:sz w:val="22"/>
          <w:szCs w:val="22"/>
        </w:rPr>
      </w:pPr>
    </w:p>
    <w:p w:rsidR="009D026B" w:rsidRDefault="009D026B" w:rsidP="00270884">
      <w:pPr>
        <w:autoSpaceDE w:val="0"/>
        <w:autoSpaceDN w:val="0"/>
        <w:bidi w:val="0"/>
        <w:adjustRightInd w:val="0"/>
        <w:spacing w:after="0" w:line="240" w:lineRule="auto"/>
        <w:jc w:val="both"/>
      </w:pPr>
      <w:r w:rsidRPr="0000645D">
        <w:t xml:space="preserve">Medrano, J. D. (1999) </w:t>
      </w:r>
      <w:proofErr w:type="gramStart"/>
      <w:r w:rsidRPr="008D76D6">
        <w:rPr>
          <w:u w:val="single"/>
        </w:rPr>
        <w:t>The</w:t>
      </w:r>
      <w:proofErr w:type="gramEnd"/>
      <w:r w:rsidRPr="008D76D6">
        <w:rPr>
          <w:u w:val="single"/>
        </w:rPr>
        <w:t xml:space="preserve"> European Union: Economic Giant' Political Dwarf</w:t>
      </w:r>
      <w:r w:rsidRPr="0000645D">
        <w:t>. In: Paul, T. V. and Hall, J. A. (</w:t>
      </w:r>
      <w:proofErr w:type="spellStart"/>
      <w:proofErr w:type="gramStart"/>
      <w:r w:rsidRPr="0000645D">
        <w:t>eds</w:t>
      </w:r>
      <w:proofErr w:type="spellEnd"/>
      <w:proofErr w:type="gramEnd"/>
      <w:r w:rsidRPr="0000645D">
        <w:t xml:space="preserve">). </w:t>
      </w:r>
      <w:proofErr w:type="gramStart"/>
      <w:r w:rsidRPr="008D76D6">
        <w:rPr>
          <w:i/>
          <w:iCs/>
        </w:rPr>
        <w:t>International Order and the Future of World Politics</w:t>
      </w:r>
      <w:r w:rsidRPr="0000645D">
        <w:t>.</w:t>
      </w:r>
      <w:proofErr w:type="gramEnd"/>
      <w:r w:rsidRPr="0000645D">
        <w:t xml:space="preserve"> </w:t>
      </w:r>
      <w:proofErr w:type="gramStart"/>
      <w:r w:rsidRPr="0000645D">
        <w:t>Cambridge University Press.</w:t>
      </w:r>
      <w:proofErr w:type="gramEnd"/>
      <w:r w:rsidRPr="0000645D">
        <w:t xml:space="preserve"> Pp. 155-177.</w:t>
      </w:r>
    </w:p>
    <w:p w:rsidR="008A36D0" w:rsidRDefault="008A36D0" w:rsidP="008A36D0">
      <w:pPr>
        <w:autoSpaceDE w:val="0"/>
        <w:autoSpaceDN w:val="0"/>
        <w:bidi w:val="0"/>
        <w:adjustRightInd w:val="0"/>
        <w:spacing w:after="0" w:line="240" w:lineRule="auto"/>
        <w:jc w:val="both"/>
      </w:pPr>
    </w:p>
    <w:p w:rsidR="008A36D0" w:rsidRPr="008A36D0" w:rsidRDefault="008A36D0" w:rsidP="008A36D0">
      <w:pPr>
        <w:autoSpaceDE w:val="0"/>
        <w:autoSpaceDN w:val="0"/>
        <w:bidi w:val="0"/>
        <w:adjustRightInd w:val="0"/>
        <w:spacing w:after="0" w:line="240" w:lineRule="auto"/>
        <w:jc w:val="both"/>
        <w:rPr>
          <w:rtl/>
        </w:rPr>
      </w:pPr>
      <w:proofErr w:type="spellStart"/>
      <w:r w:rsidRPr="00920700">
        <w:t>Merlingen</w:t>
      </w:r>
      <w:proofErr w:type="spellEnd"/>
      <w:r w:rsidRPr="00920700">
        <w:t xml:space="preserve">, M. (2007) </w:t>
      </w:r>
      <w:r w:rsidRPr="008A36D0">
        <w:rPr>
          <w:u w:val="single"/>
        </w:rPr>
        <w:t>Everything Is Dangerous: A Critique of `Normative Power Europe</w:t>
      </w:r>
      <w:r>
        <w:t xml:space="preserve">'. </w:t>
      </w:r>
      <w:r w:rsidRPr="008A36D0">
        <w:rPr>
          <w:i/>
          <w:iCs/>
        </w:rPr>
        <w:t>Security Dialogue</w:t>
      </w:r>
      <w:r w:rsidRPr="00920700">
        <w:t xml:space="preserve"> </w:t>
      </w:r>
      <w:r>
        <w:t>(</w:t>
      </w:r>
      <w:r w:rsidRPr="00920700">
        <w:t>38</w:t>
      </w:r>
      <w:r>
        <w:t>):</w:t>
      </w:r>
      <w:r w:rsidRPr="00920700">
        <w:t xml:space="preserve"> 435.</w:t>
      </w:r>
    </w:p>
    <w:p w:rsidR="009D026B" w:rsidRPr="0000645D" w:rsidRDefault="009D026B" w:rsidP="00270884">
      <w:pPr>
        <w:autoSpaceDE w:val="0"/>
        <w:autoSpaceDN w:val="0"/>
        <w:bidi w:val="0"/>
        <w:adjustRightInd w:val="0"/>
        <w:spacing w:after="0" w:line="240" w:lineRule="auto"/>
        <w:jc w:val="both"/>
      </w:pPr>
    </w:p>
    <w:p w:rsidR="009D026B" w:rsidRPr="0000645D" w:rsidRDefault="009D026B" w:rsidP="00270884">
      <w:pPr>
        <w:pStyle w:val="FootnoteText"/>
        <w:bidi w:val="0"/>
        <w:jc w:val="both"/>
        <w:rPr>
          <w:sz w:val="22"/>
          <w:szCs w:val="22"/>
        </w:rPr>
      </w:pPr>
      <w:r w:rsidRPr="0000645D">
        <w:rPr>
          <w:rFonts w:cs="Arial"/>
          <w:sz w:val="22"/>
          <w:szCs w:val="22"/>
        </w:rPr>
        <w:t xml:space="preserve">Nye, J. S (1990) </w:t>
      </w:r>
      <w:r w:rsidRPr="0000645D">
        <w:rPr>
          <w:rFonts w:cs="Arial"/>
          <w:sz w:val="22"/>
          <w:szCs w:val="22"/>
          <w:u w:val="single"/>
        </w:rPr>
        <w:t>Soft Power</w:t>
      </w:r>
      <w:r w:rsidRPr="0000645D">
        <w:rPr>
          <w:rFonts w:cs="Arial"/>
          <w:sz w:val="22"/>
          <w:szCs w:val="22"/>
        </w:rPr>
        <w:t xml:space="preserve">, </w:t>
      </w:r>
      <w:r w:rsidRPr="0000645D">
        <w:rPr>
          <w:rFonts w:cs="Helvetica-NormalItalic"/>
          <w:i/>
          <w:iCs/>
          <w:sz w:val="22"/>
          <w:szCs w:val="22"/>
        </w:rPr>
        <w:t>Foreign Policy</w:t>
      </w:r>
      <w:r w:rsidRPr="0000645D">
        <w:rPr>
          <w:rFonts w:cs="Arial"/>
          <w:sz w:val="22"/>
          <w:szCs w:val="22"/>
        </w:rPr>
        <w:t>, no. 80, Fall 1990.</w:t>
      </w:r>
    </w:p>
    <w:p w:rsidR="009D026B" w:rsidRPr="0000645D" w:rsidRDefault="009D026B" w:rsidP="00270884">
      <w:pPr>
        <w:autoSpaceDE w:val="0"/>
        <w:autoSpaceDN w:val="0"/>
        <w:bidi w:val="0"/>
        <w:adjustRightInd w:val="0"/>
        <w:spacing w:after="0" w:line="240" w:lineRule="auto"/>
        <w:jc w:val="both"/>
      </w:pPr>
    </w:p>
    <w:p w:rsidR="0000645D" w:rsidRPr="0000645D" w:rsidRDefault="0000645D" w:rsidP="00270884">
      <w:pPr>
        <w:bidi w:val="0"/>
        <w:spacing w:line="240" w:lineRule="auto"/>
        <w:jc w:val="both"/>
        <w:rPr>
          <w:rFonts w:cs="David"/>
        </w:rPr>
      </w:pPr>
      <w:proofErr w:type="spellStart"/>
      <w:proofErr w:type="gramStart"/>
      <w:r w:rsidRPr="0000645D">
        <w:rPr>
          <w:rFonts w:cs="David"/>
        </w:rPr>
        <w:t>Puchala</w:t>
      </w:r>
      <w:proofErr w:type="spellEnd"/>
      <w:r w:rsidRPr="0000645D">
        <w:rPr>
          <w:rFonts w:cs="David"/>
        </w:rPr>
        <w:t>, D. J. and Hopkins, R. F (1982).</w:t>
      </w:r>
      <w:proofErr w:type="gramEnd"/>
      <w:r w:rsidRPr="0000645D">
        <w:rPr>
          <w:rFonts w:cs="David"/>
        </w:rPr>
        <w:t xml:space="preserve"> </w:t>
      </w:r>
      <w:r w:rsidRPr="0000645D">
        <w:rPr>
          <w:rFonts w:cs="David"/>
          <w:u w:val="single"/>
        </w:rPr>
        <w:t>International regimes: lessons from inductive analysis</w:t>
      </w:r>
      <w:r w:rsidRPr="0000645D">
        <w:rPr>
          <w:rFonts w:cs="David"/>
        </w:rPr>
        <w:t xml:space="preserve">. </w:t>
      </w:r>
      <w:hyperlink r:id="rId10" w:tooltip="International Organization" w:history="1">
        <w:r w:rsidRPr="008D76D6">
          <w:rPr>
            <w:rFonts w:cs="David"/>
            <w:i/>
            <w:iCs/>
          </w:rPr>
          <w:t>International Organization</w:t>
        </w:r>
      </w:hyperlink>
      <w:r w:rsidRPr="0000645D">
        <w:rPr>
          <w:rFonts w:cs="David"/>
        </w:rPr>
        <w:t>, Vol. 36 (2), pp 245-275.</w:t>
      </w:r>
    </w:p>
    <w:p w:rsidR="004924C6" w:rsidRPr="0000645D" w:rsidRDefault="004924C6" w:rsidP="00270884">
      <w:pPr>
        <w:autoSpaceDE w:val="0"/>
        <w:autoSpaceDN w:val="0"/>
        <w:bidi w:val="0"/>
        <w:adjustRightInd w:val="0"/>
        <w:spacing w:after="0" w:line="240" w:lineRule="auto"/>
        <w:jc w:val="both"/>
        <w:rPr>
          <w:rStyle w:val="Hyperlink"/>
          <w:color w:val="auto"/>
        </w:rPr>
      </w:pPr>
      <w:proofErr w:type="spellStart"/>
      <w:proofErr w:type="gramStart"/>
      <w:r w:rsidRPr="0000645D">
        <w:t>Radaelli</w:t>
      </w:r>
      <w:proofErr w:type="spellEnd"/>
      <w:r w:rsidRPr="0000645D">
        <w:t xml:space="preserve">, C. M. </w:t>
      </w:r>
      <w:r w:rsidRPr="0000645D">
        <w:rPr>
          <w:u w:val="single"/>
        </w:rPr>
        <w:t>Whither Europeanization?</w:t>
      </w:r>
      <w:proofErr w:type="gramEnd"/>
      <w:r w:rsidRPr="0000645D">
        <w:rPr>
          <w:u w:val="single"/>
        </w:rPr>
        <w:t xml:space="preserve"> </w:t>
      </w:r>
      <w:proofErr w:type="gramStart"/>
      <w:r w:rsidRPr="0000645D">
        <w:rPr>
          <w:u w:val="single"/>
        </w:rPr>
        <w:t xml:space="preserve">Concept </w:t>
      </w:r>
      <w:r w:rsidR="00060F83" w:rsidRPr="0000645D">
        <w:rPr>
          <w:u w:val="single"/>
        </w:rPr>
        <w:t>S</w:t>
      </w:r>
      <w:r w:rsidRPr="0000645D">
        <w:rPr>
          <w:u w:val="single"/>
        </w:rPr>
        <w:t xml:space="preserve">tretching and </w:t>
      </w:r>
      <w:r w:rsidR="00060F83" w:rsidRPr="0000645D">
        <w:rPr>
          <w:u w:val="single"/>
        </w:rPr>
        <w:t>S</w:t>
      </w:r>
      <w:r w:rsidRPr="0000645D">
        <w:rPr>
          <w:u w:val="single"/>
        </w:rPr>
        <w:t xml:space="preserve">ubstantive </w:t>
      </w:r>
      <w:r w:rsidR="00060F83" w:rsidRPr="0000645D">
        <w:rPr>
          <w:u w:val="single"/>
        </w:rPr>
        <w:t>C</w:t>
      </w:r>
      <w:r w:rsidRPr="0000645D">
        <w:rPr>
          <w:u w:val="single"/>
        </w:rPr>
        <w:t>hange</w:t>
      </w:r>
      <w:r w:rsidRPr="0000645D">
        <w:t>.</w:t>
      </w:r>
      <w:proofErr w:type="gramEnd"/>
      <w:r w:rsidRPr="0000645D">
        <w:t xml:space="preserve"> </w:t>
      </w:r>
      <w:proofErr w:type="gramStart"/>
      <w:r w:rsidRPr="0000645D">
        <w:rPr>
          <w:i/>
          <w:iCs/>
        </w:rPr>
        <w:t>European Integration online Papers</w:t>
      </w:r>
      <w:r w:rsidRPr="0000645D">
        <w:t xml:space="preserve"> (</w:t>
      </w:r>
      <w:proofErr w:type="spellStart"/>
      <w:r w:rsidRPr="0000645D">
        <w:t>EIoP</w:t>
      </w:r>
      <w:proofErr w:type="spellEnd"/>
      <w:r w:rsidRPr="0000645D">
        <w:t xml:space="preserve">) Vol. 4 (2000) N° </w:t>
      </w:r>
      <w:r w:rsidRPr="0000645D">
        <w:rPr>
          <w:rFonts w:cs="Arial"/>
        </w:rPr>
        <w:t>8.</w:t>
      </w:r>
      <w:proofErr w:type="gramEnd"/>
      <w:r w:rsidRPr="0000645D">
        <w:rPr>
          <w:rFonts w:cs="Arial"/>
          <w:rtl/>
        </w:rPr>
        <w:t xml:space="preserve"> </w:t>
      </w:r>
      <w:hyperlink r:id="rId11" w:history="1">
        <w:r w:rsidRPr="0000645D">
          <w:rPr>
            <w:rStyle w:val="Hyperlink"/>
            <w:color w:val="auto"/>
          </w:rPr>
          <w:t>http://eiop.or.at/eiop/texte/2000-008a.htm</w:t>
        </w:r>
      </w:hyperlink>
    </w:p>
    <w:p w:rsidR="001419EC" w:rsidRPr="0000645D" w:rsidRDefault="001419EC" w:rsidP="00270884">
      <w:pPr>
        <w:autoSpaceDE w:val="0"/>
        <w:autoSpaceDN w:val="0"/>
        <w:bidi w:val="0"/>
        <w:adjustRightInd w:val="0"/>
        <w:spacing w:after="0" w:line="240" w:lineRule="auto"/>
        <w:jc w:val="both"/>
      </w:pPr>
    </w:p>
    <w:p w:rsidR="009D026B" w:rsidRPr="0000645D" w:rsidRDefault="009D026B" w:rsidP="00270884">
      <w:pPr>
        <w:pStyle w:val="FootnoteText"/>
        <w:bidi w:val="0"/>
        <w:jc w:val="both"/>
        <w:rPr>
          <w:rFonts w:cs="David"/>
          <w:sz w:val="22"/>
          <w:szCs w:val="22"/>
        </w:rPr>
      </w:pPr>
      <w:proofErr w:type="spellStart"/>
      <w:r w:rsidRPr="0000645D">
        <w:rPr>
          <w:rFonts w:cs="David"/>
          <w:sz w:val="22"/>
          <w:szCs w:val="22"/>
        </w:rPr>
        <w:t>Ruggie</w:t>
      </w:r>
      <w:proofErr w:type="spellEnd"/>
      <w:r w:rsidRPr="0000645D">
        <w:rPr>
          <w:rFonts w:cs="David"/>
          <w:sz w:val="22"/>
          <w:szCs w:val="22"/>
        </w:rPr>
        <w:t xml:space="preserve"> J. </w:t>
      </w:r>
      <w:r w:rsidRPr="0000645D">
        <w:rPr>
          <w:rFonts w:cs="David"/>
          <w:sz w:val="22"/>
          <w:szCs w:val="22"/>
          <w:u w:val="single"/>
        </w:rPr>
        <w:t xml:space="preserve">International Responses to Technology: Concepts </w:t>
      </w:r>
      <w:r w:rsidRPr="0000645D">
        <w:rPr>
          <w:rFonts w:cs="David"/>
          <w:sz w:val="22"/>
          <w:szCs w:val="22"/>
        </w:rPr>
        <w:t>and Trends</w:t>
      </w:r>
      <w:r w:rsidRPr="0000645D">
        <w:rPr>
          <w:rFonts w:cs="David"/>
          <w:i/>
          <w:iCs/>
          <w:sz w:val="22"/>
          <w:szCs w:val="22"/>
        </w:rPr>
        <w:t xml:space="preserve"> International </w:t>
      </w:r>
      <w:proofErr w:type="gramStart"/>
      <w:r w:rsidRPr="0000645D">
        <w:rPr>
          <w:rFonts w:cs="David"/>
          <w:i/>
          <w:iCs/>
          <w:sz w:val="22"/>
          <w:szCs w:val="22"/>
        </w:rPr>
        <w:t>Organization</w:t>
      </w:r>
      <w:r w:rsidRPr="0000645D">
        <w:rPr>
          <w:rFonts w:cs="David"/>
          <w:sz w:val="22"/>
          <w:szCs w:val="22"/>
        </w:rPr>
        <w:t> ,</w:t>
      </w:r>
      <w:proofErr w:type="gramEnd"/>
      <w:r w:rsidRPr="0000645D">
        <w:rPr>
          <w:rFonts w:cs="David"/>
          <w:sz w:val="22"/>
          <w:szCs w:val="22"/>
        </w:rPr>
        <w:t xml:space="preserve"> Vol. 29, No. 3, (Summer, 1975), pp. 557-583</w:t>
      </w:r>
    </w:p>
    <w:p w:rsidR="009D026B" w:rsidRPr="0000645D" w:rsidRDefault="009D026B" w:rsidP="00270884">
      <w:pPr>
        <w:autoSpaceDE w:val="0"/>
        <w:autoSpaceDN w:val="0"/>
        <w:bidi w:val="0"/>
        <w:adjustRightInd w:val="0"/>
        <w:spacing w:after="0" w:line="240" w:lineRule="auto"/>
        <w:jc w:val="both"/>
      </w:pPr>
    </w:p>
    <w:p w:rsidR="00B65603" w:rsidRDefault="00B65603" w:rsidP="00B65603">
      <w:pPr>
        <w:pStyle w:val="FootnoteText"/>
        <w:bidi w:val="0"/>
        <w:spacing w:line="276" w:lineRule="auto"/>
        <w:jc w:val="both"/>
        <w:rPr>
          <w:rFonts w:asciiTheme="minorBidi" w:hAnsiTheme="minorBidi"/>
        </w:rPr>
      </w:pPr>
      <w:proofErr w:type="spellStart"/>
      <w:r w:rsidRPr="001E6200">
        <w:rPr>
          <w:rFonts w:asciiTheme="minorBidi" w:hAnsiTheme="minorBidi"/>
        </w:rPr>
        <w:t>Sjursen</w:t>
      </w:r>
      <w:proofErr w:type="spellEnd"/>
      <w:r w:rsidRPr="001E6200">
        <w:rPr>
          <w:rFonts w:asciiTheme="minorBidi" w:hAnsiTheme="minorBidi"/>
        </w:rPr>
        <w:t xml:space="preserve">, H. (2005). </w:t>
      </w:r>
      <w:r w:rsidRPr="00302CD9">
        <w:rPr>
          <w:rFonts w:asciiTheme="minorBidi" w:hAnsiTheme="minorBidi"/>
          <w:u w:val="single"/>
        </w:rPr>
        <w:t>The EU as a ‘normative power’: how can this be?</w:t>
      </w:r>
      <w:r w:rsidRPr="001E6200">
        <w:rPr>
          <w:rFonts w:asciiTheme="minorBidi" w:hAnsiTheme="minorBidi"/>
        </w:rPr>
        <w:t xml:space="preserve"> Paper prepared for </w:t>
      </w:r>
      <w:r w:rsidRPr="00302CD9">
        <w:rPr>
          <w:rFonts w:asciiTheme="minorBidi" w:hAnsiTheme="minorBidi"/>
          <w:i/>
          <w:iCs/>
        </w:rPr>
        <w:t xml:space="preserve">EUSA Ninth Biennial International </w:t>
      </w:r>
      <w:proofErr w:type="gramStart"/>
      <w:r w:rsidRPr="00302CD9">
        <w:rPr>
          <w:rFonts w:asciiTheme="minorBidi" w:hAnsiTheme="minorBidi"/>
          <w:i/>
          <w:iCs/>
        </w:rPr>
        <w:t>Conference</w:t>
      </w:r>
      <w:r w:rsidRPr="001E6200">
        <w:rPr>
          <w:rFonts w:asciiTheme="minorBidi" w:hAnsiTheme="minorBidi"/>
        </w:rPr>
        <w:t xml:space="preserve">  March</w:t>
      </w:r>
      <w:proofErr w:type="gramEnd"/>
      <w:r w:rsidRPr="001E6200">
        <w:rPr>
          <w:rFonts w:asciiTheme="minorBidi" w:hAnsiTheme="minorBidi"/>
        </w:rPr>
        <w:t xml:space="preserve"> 31-April 2, 2005, Austin, Texas.</w:t>
      </w:r>
    </w:p>
    <w:p w:rsidR="00B65603" w:rsidRDefault="00B65603" w:rsidP="00270884">
      <w:pPr>
        <w:pStyle w:val="FootnoteText"/>
        <w:bidi w:val="0"/>
        <w:rPr>
          <w:sz w:val="22"/>
          <w:szCs w:val="22"/>
        </w:rPr>
      </w:pPr>
    </w:p>
    <w:p w:rsidR="0000645D" w:rsidRPr="0000645D" w:rsidRDefault="0000645D" w:rsidP="00B65603">
      <w:pPr>
        <w:pStyle w:val="FootnoteText"/>
        <w:bidi w:val="0"/>
        <w:rPr>
          <w:sz w:val="22"/>
          <w:szCs w:val="22"/>
        </w:rPr>
      </w:pPr>
      <w:proofErr w:type="spellStart"/>
      <w:r w:rsidRPr="0000645D">
        <w:rPr>
          <w:sz w:val="22"/>
          <w:szCs w:val="22"/>
        </w:rPr>
        <w:t>Vassiliou</w:t>
      </w:r>
      <w:proofErr w:type="spellEnd"/>
      <w:r w:rsidRPr="0000645D">
        <w:rPr>
          <w:sz w:val="22"/>
          <w:szCs w:val="22"/>
        </w:rPr>
        <w:t xml:space="preserve">, A. (2012) </w:t>
      </w:r>
      <w:r w:rsidRPr="008D76D6">
        <w:rPr>
          <w:i/>
          <w:iCs/>
          <w:sz w:val="22"/>
          <w:szCs w:val="22"/>
        </w:rPr>
        <w:t>EU Canada: The Future of Academic Cooperation</w:t>
      </w:r>
      <w:r w:rsidRPr="0000645D">
        <w:rPr>
          <w:sz w:val="22"/>
          <w:szCs w:val="22"/>
        </w:rPr>
        <w:t xml:space="preserve">. </w:t>
      </w:r>
      <w:proofErr w:type="gramStart"/>
      <w:r w:rsidRPr="0000645D">
        <w:rPr>
          <w:sz w:val="22"/>
          <w:szCs w:val="22"/>
        </w:rPr>
        <w:t>EU-Canada Rector Conference.</w:t>
      </w:r>
      <w:proofErr w:type="gramEnd"/>
      <w:r w:rsidRPr="0000645D">
        <w:rPr>
          <w:sz w:val="22"/>
          <w:szCs w:val="22"/>
        </w:rPr>
        <w:t xml:space="preserve"> Brussels, 24 September, 2012. Speech/12/ </w:t>
      </w:r>
      <w:hyperlink r:id="rId12" w:history="1">
        <w:r w:rsidRPr="0000645D">
          <w:rPr>
            <w:rStyle w:val="Hyperlink"/>
            <w:sz w:val="22"/>
            <w:szCs w:val="22"/>
          </w:rPr>
          <w:t>http://ec.europa.eu/commission_2010-2014/vassiliou/headlines/speeches/2012/09/docs/20120924-eu-canada-future-of-academic-cooperation.pdf</w:t>
        </w:r>
      </w:hyperlink>
    </w:p>
    <w:p w:rsidR="001419EC" w:rsidRPr="0000645D" w:rsidRDefault="001419EC" w:rsidP="00270884">
      <w:pPr>
        <w:pStyle w:val="FootnoteText"/>
        <w:bidi w:val="0"/>
        <w:jc w:val="both"/>
        <w:rPr>
          <w:sz w:val="22"/>
          <w:szCs w:val="22"/>
        </w:rPr>
      </w:pPr>
    </w:p>
    <w:p w:rsidR="001419EC" w:rsidRPr="0000645D" w:rsidRDefault="001419EC" w:rsidP="00270884">
      <w:pPr>
        <w:autoSpaceDE w:val="0"/>
        <w:autoSpaceDN w:val="0"/>
        <w:bidi w:val="0"/>
        <w:adjustRightInd w:val="0"/>
        <w:spacing w:line="240" w:lineRule="auto"/>
        <w:jc w:val="both"/>
      </w:pPr>
      <w:r w:rsidRPr="0000645D">
        <w:lastRenderedPageBreak/>
        <w:t xml:space="preserve">Whitman, R. G. </w:t>
      </w:r>
      <w:r w:rsidR="008D76D6">
        <w:t xml:space="preserve">(2011) </w:t>
      </w:r>
      <w:r w:rsidRPr="008D76D6">
        <w:rPr>
          <w:u w:val="single"/>
        </w:rPr>
        <w:t>Norms, Power and Europe: A New Agenda for Study of the EU and International Relations</w:t>
      </w:r>
      <w:r w:rsidRPr="0000645D">
        <w:t>. In:  Whitman, R. G (</w:t>
      </w:r>
      <w:proofErr w:type="spellStart"/>
      <w:proofErr w:type="gramStart"/>
      <w:r w:rsidRPr="0000645D">
        <w:t>ed</w:t>
      </w:r>
      <w:proofErr w:type="spellEnd"/>
      <w:proofErr w:type="gramEnd"/>
      <w:r w:rsidRPr="0000645D">
        <w:t>)</w:t>
      </w:r>
      <w:r w:rsidR="008D76D6">
        <w:t>.</w:t>
      </w:r>
      <w:r w:rsidRPr="0000645D">
        <w:t xml:space="preserve"> </w:t>
      </w:r>
      <w:r w:rsidRPr="008D76D6">
        <w:rPr>
          <w:i/>
          <w:iCs/>
        </w:rPr>
        <w:t>Normative Power Europe: Empirical and Theoretical Perspectives</w:t>
      </w:r>
      <w:r w:rsidRPr="0000645D">
        <w:t>. Palgrave Macmillan. Pp. 1-24</w:t>
      </w:r>
    </w:p>
    <w:p w:rsidR="001419EC" w:rsidRPr="0000645D" w:rsidRDefault="001419EC" w:rsidP="00270884">
      <w:pPr>
        <w:pStyle w:val="FootnoteText"/>
        <w:bidi w:val="0"/>
        <w:jc w:val="both"/>
        <w:rPr>
          <w:sz w:val="22"/>
          <w:szCs w:val="22"/>
        </w:rPr>
      </w:pPr>
    </w:p>
    <w:p w:rsidR="001419EC" w:rsidRPr="0000645D" w:rsidRDefault="001419EC" w:rsidP="00270884">
      <w:pPr>
        <w:autoSpaceDE w:val="0"/>
        <w:autoSpaceDN w:val="0"/>
        <w:bidi w:val="0"/>
        <w:adjustRightInd w:val="0"/>
        <w:spacing w:after="0" w:line="240" w:lineRule="auto"/>
        <w:jc w:val="both"/>
        <w:rPr>
          <w:rFonts w:cs="David"/>
        </w:rPr>
      </w:pPr>
      <w:r w:rsidRPr="0000645D">
        <w:rPr>
          <w:rFonts w:cs="David"/>
        </w:rPr>
        <w:t xml:space="preserve">Young O. (1980) </w:t>
      </w:r>
      <w:r w:rsidRPr="0000645D">
        <w:rPr>
          <w:rFonts w:cs="David"/>
          <w:u w:val="single"/>
        </w:rPr>
        <w:t>International Regimes: Problems of Concept Formation</w:t>
      </w:r>
      <w:r w:rsidRPr="0000645D">
        <w:rPr>
          <w:rFonts w:cs="David"/>
        </w:rPr>
        <w:t xml:space="preserve">, </w:t>
      </w:r>
      <w:r w:rsidR="008D76D6">
        <w:rPr>
          <w:rFonts w:cs="David"/>
          <w:i/>
          <w:iCs/>
        </w:rPr>
        <w:t xml:space="preserve">World Politics </w:t>
      </w:r>
      <w:r w:rsidR="008D76D6" w:rsidRPr="008D76D6">
        <w:rPr>
          <w:rFonts w:cs="David"/>
        </w:rPr>
        <w:t>32</w:t>
      </w:r>
      <w:r w:rsidR="008D76D6">
        <w:rPr>
          <w:rFonts w:cs="David"/>
          <w:i/>
          <w:iCs/>
        </w:rPr>
        <w:t>, Pp 331-</w:t>
      </w:r>
      <w:proofErr w:type="gramStart"/>
      <w:r w:rsidR="008D76D6">
        <w:rPr>
          <w:rFonts w:cs="David"/>
          <w:i/>
          <w:iCs/>
        </w:rPr>
        <w:t xml:space="preserve">56 </w:t>
      </w:r>
      <w:r w:rsidRPr="0000645D">
        <w:rPr>
          <w:rFonts w:cs="David"/>
          <w:i/>
          <w:iCs/>
        </w:rPr>
        <w:t>.</w:t>
      </w:r>
      <w:proofErr w:type="gramEnd"/>
    </w:p>
    <w:p w:rsidR="001419EC" w:rsidRPr="0000645D" w:rsidRDefault="00732DEF" w:rsidP="00270884">
      <w:pPr>
        <w:bidi w:val="0"/>
        <w:spacing w:line="240" w:lineRule="auto"/>
        <w:jc w:val="both"/>
        <w:rPr>
          <w:rFonts w:cs="David"/>
        </w:rPr>
      </w:pPr>
      <w:r>
        <w:t>----------</w:t>
      </w:r>
      <w:r w:rsidR="00270884">
        <w:rPr>
          <w:rFonts w:cs="David"/>
        </w:rPr>
        <w:t>.</w:t>
      </w:r>
      <w:r w:rsidRPr="0000645D">
        <w:rPr>
          <w:rFonts w:cs="David"/>
        </w:rPr>
        <w:t xml:space="preserve"> </w:t>
      </w:r>
      <w:r w:rsidR="001419EC" w:rsidRPr="0000645D">
        <w:rPr>
          <w:rFonts w:cs="David"/>
        </w:rPr>
        <w:t xml:space="preserve">(1982) </w:t>
      </w:r>
      <w:r w:rsidR="001419EC" w:rsidRPr="0000645D">
        <w:rPr>
          <w:rFonts w:cs="David"/>
          <w:i/>
          <w:iCs/>
        </w:rPr>
        <w:t xml:space="preserve">Resource Regimes: Natural Resources and Social Institutions. </w:t>
      </w:r>
      <w:proofErr w:type="gramStart"/>
      <w:r w:rsidR="001419EC" w:rsidRPr="0000645D">
        <w:rPr>
          <w:rFonts w:cs="David"/>
        </w:rPr>
        <w:t xml:space="preserve">(Berkeley: University of </w:t>
      </w:r>
      <w:proofErr w:type="spellStart"/>
      <w:r w:rsidR="001419EC" w:rsidRPr="0000645D">
        <w:rPr>
          <w:rFonts w:cs="David"/>
        </w:rPr>
        <w:t>Califomia</w:t>
      </w:r>
      <w:proofErr w:type="spellEnd"/>
      <w:r w:rsidR="001419EC" w:rsidRPr="0000645D">
        <w:rPr>
          <w:rFonts w:cs="David"/>
        </w:rPr>
        <w:t xml:space="preserve"> Press, 1982).</w:t>
      </w:r>
      <w:proofErr w:type="gramEnd"/>
    </w:p>
    <w:p w:rsidR="001419EC" w:rsidRPr="0000645D" w:rsidRDefault="00732DEF" w:rsidP="00270884">
      <w:pPr>
        <w:bidi w:val="0"/>
        <w:spacing w:line="240" w:lineRule="auto"/>
        <w:jc w:val="both"/>
        <w:rPr>
          <w:rFonts w:cs="David"/>
          <w:i/>
          <w:iCs/>
        </w:rPr>
      </w:pPr>
      <w:r>
        <w:t>----------</w:t>
      </w:r>
      <w:r w:rsidR="00270884">
        <w:rPr>
          <w:rFonts w:cs="David"/>
        </w:rPr>
        <w:t xml:space="preserve">. </w:t>
      </w:r>
      <w:proofErr w:type="gramStart"/>
      <w:r w:rsidR="001419EC" w:rsidRPr="0000645D">
        <w:rPr>
          <w:rFonts w:cs="David"/>
        </w:rPr>
        <w:t xml:space="preserve">(1982) </w:t>
      </w:r>
      <w:r w:rsidR="001419EC" w:rsidRPr="0000645D">
        <w:rPr>
          <w:rFonts w:cs="David"/>
          <w:u w:val="single"/>
        </w:rPr>
        <w:t>International Organization</w:t>
      </w:r>
      <w:r w:rsidR="001419EC" w:rsidRPr="0000645D">
        <w:rPr>
          <w:rFonts w:cs="David"/>
        </w:rPr>
        <w:t>.</w:t>
      </w:r>
      <w:proofErr w:type="gramEnd"/>
      <w:r w:rsidR="001419EC" w:rsidRPr="0000645D">
        <w:rPr>
          <w:rFonts w:cs="David"/>
        </w:rPr>
        <w:t xml:space="preserve"> </w:t>
      </w:r>
      <w:r w:rsidR="001419EC" w:rsidRPr="0000645D">
        <w:rPr>
          <w:rFonts w:cs="David"/>
          <w:i/>
          <w:iCs/>
        </w:rPr>
        <w:t>International Organization</w:t>
      </w:r>
      <w:r w:rsidR="001419EC" w:rsidRPr="0000645D">
        <w:rPr>
          <w:rFonts w:cs="David"/>
        </w:rPr>
        <w:t xml:space="preserve"> Vol. 36 (2) pp 277-297.</w:t>
      </w:r>
    </w:p>
    <w:p w:rsidR="001419EC" w:rsidRDefault="00732DEF" w:rsidP="00F64FEA">
      <w:pPr>
        <w:bidi w:val="0"/>
        <w:spacing w:line="240" w:lineRule="auto"/>
        <w:jc w:val="both"/>
      </w:pPr>
      <w:r>
        <w:t>----------</w:t>
      </w:r>
      <w:r w:rsidRPr="0000645D">
        <w:rPr>
          <w:rFonts w:cs="David"/>
        </w:rPr>
        <w:t xml:space="preserve"> </w:t>
      </w:r>
      <w:r w:rsidR="00270884">
        <w:rPr>
          <w:rFonts w:cs="David"/>
        </w:rPr>
        <w:t xml:space="preserve">. </w:t>
      </w:r>
      <w:proofErr w:type="gramStart"/>
      <w:r w:rsidR="001419EC" w:rsidRPr="0000645D">
        <w:rPr>
          <w:rFonts w:cs="David"/>
        </w:rPr>
        <w:t>(1992)</w:t>
      </w:r>
      <w:r w:rsidR="001419EC" w:rsidRPr="0000645D">
        <w:rPr>
          <w:rFonts w:cs="David"/>
          <w:u w:val="single"/>
        </w:rPr>
        <w:t xml:space="preserve"> International Regime Initiation</w:t>
      </w:r>
      <w:r w:rsidR="001419EC" w:rsidRPr="0000645D">
        <w:rPr>
          <w:rFonts w:cs="David"/>
          <w:i/>
          <w:iCs/>
        </w:rPr>
        <w:t>.</w:t>
      </w:r>
      <w:proofErr w:type="gramEnd"/>
      <w:r w:rsidR="001419EC" w:rsidRPr="0000645D">
        <w:rPr>
          <w:rFonts w:cs="David"/>
          <w:i/>
          <w:iCs/>
        </w:rPr>
        <w:t xml:space="preserve"> International Studies Notes, 19(3), pp. 44-49</w:t>
      </w:r>
    </w:p>
    <w:sectPr w:rsidR="001419EC" w:rsidSect="002E6FD5">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F8" w:rsidRDefault="004E50F8" w:rsidP="001C0D1B">
      <w:pPr>
        <w:spacing w:after="0" w:line="240" w:lineRule="auto"/>
      </w:pPr>
      <w:r>
        <w:separator/>
      </w:r>
    </w:p>
  </w:endnote>
  <w:endnote w:type="continuationSeparator" w:id="0">
    <w:p w:rsidR="004E50F8" w:rsidRDefault="004E50F8" w:rsidP="001C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ealpageTIM11">
    <w:altName w:val="Arial"/>
    <w:panose1 w:val="00000000000000000000"/>
    <w:charset w:val="00"/>
    <w:family w:val="swiss"/>
    <w:notTrueType/>
    <w:pitch w:val="default"/>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StoneSerif-Italic">
    <w:altName w:val="Times New Roman"/>
    <w:panose1 w:val="00000000000000000000"/>
    <w:charset w:val="00"/>
    <w:family w:val="roman"/>
    <w:notTrueType/>
    <w:pitch w:val="default"/>
    <w:sig w:usb0="00000003" w:usb1="00000000" w:usb2="00000000" w:usb3="00000000" w:csb0="00000001" w:csb1="00000000"/>
  </w:font>
  <w:font w:name="Helvetica-Norm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9742845"/>
      <w:docPartObj>
        <w:docPartGallery w:val="Page Numbers (Bottom of Page)"/>
        <w:docPartUnique/>
      </w:docPartObj>
    </w:sdtPr>
    <w:sdtEndPr/>
    <w:sdtContent>
      <w:p w:rsidR="00EC4614" w:rsidRDefault="00EC4614">
        <w:pPr>
          <w:pStyle w:val="Footer"/>
          <w:jc w:val="center"/>
        </w:pPr>
        <w:r>
          <w:fldChar w:fldCharType="begin"/>
        </w:r>
        <w:r>
          <w:instrText xml:space="preserve"> PAGE   \* MERGEFORMAT </w:instrText>
        </w:r>
        <w:r>
          <w:fldChar w:fldCharType="separate"/>
        </w:r>
        <w:r w:rsidR="00F83C7A">
          <w:rPr>
            <w:noProof/>
            <w:rtl/>
          </w:rPr>
          <w:t>1</w:t>
        </w:r>
        <w:r>
          <w:rPr>
            <w:noProof/>
          </w:rPr>
          <w:fldChar w:fldCharType="end"/>
        </w:r>
      </w:p>
    </w:sdtContent>
  </w:sdt>
  <w:p w:rsidR="00EC4614" w:rsidRDefault="00EC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F8" w:rsidRDefault="004E50F8" w:rsidP="001C0D1B">
      <w:pPr>
        <w:spacing w:after="0" w:line="240" w:lineRule="auto"/>
      </w:pPr>
      <w:r>
        <w:separator/>
      </w:r>
    </w:p>
  </w:footnote>
  <w:footnote w:type="continuationSeparator" w:id="0">
    <w:p w:rsidR="004E50F8" w:rsidRDefault="004E50F8" w:rsidP="001C0D1B">
      <w:pPr>
        <w:spacing w:after="0" w:line="240" w:lineRule="auto"/>
      </w:pPr>
      <w:r>
        <w:continuationSeparator/>
      </w:r>
    </w:p>
  </w:footnote>
  <w:footnote w:id="1">
    <w:p w:rsidR="00B8492F" w:rsidRPr="00390A33" w:rsidRDefault="00B8492F" w:rsidP="00A855A3">
      <w:pPr>
        <w:pStyle w:val="FootnoteText"/>
        <w:bidi w:val="0"/>
        <w:jc w:val="both"/>
        <w:rPr>
          <w:sz w:val="18"/>
          <w:szCs w:val="18"/>
        </w:rPr>
      </w:pPr>
      <w:r w:rsidRPr="00390A33">
        <w:rPr>
          <w:rStyle w:val="FootnoteReference"/>
          <w:sz w:val="18"/>
          <w:szCs w:val="18"/>
        </w:rPr>
        <w:footnoteRef/>
      </w:r>
      <w:r w:rsidRPr="00390A33">
        <w:rPr>
          <w:sz w:val="18"/>
          <w:szCs w:val="18"/>
          <w:rtl/>
        </w:rPr>
        <w:t xml:space="preserve"> </w:t>
      </w:r>
      <w:r w:rsidRPr="00390A33">
        <w:rPr>
          <w:sz w:val="18"/>
          <w:szCs w:val="18"/>
        </w:rPr>
        <w:t xml:space="preserve">A perquisite to become a part to the Bologna declaration is </w:t>
      </w:r>
      <w:r w:rsidR="00995C43">
        <w:rPr>
          <w:sz w:val="18"/>
          <w:szCs w:val="18"/>
        </w:rPr>
        <w:t xml:space="preserve">a </w:t>
      </w:r>
      <w:r w:rsidRPr="00390A33">
        <w:rPr>
          <w:sz w:val="18"/>
          <w:szCs w:val="18"/>
        </w:rPr>
        <w:t xml:space="preserve">membership at the Council of Europe and reaffirming </w:t>
      </w:r>
      <w:r w:rsidR="00995C43">
        <w:rPr>
          <w:sz w:val="18"/>
          <w:szCs w:val="18"/>
        </w:rPr>
        <w:t>the "European Cultural Convention".</w:t>
      </w:r>
      <w:r w:rsidRPr="00390A33">
        <w:rPr>
          <w:color w:val="FF0000"/>
          <w:sz w:val="18"/>
          <w:szCs w:val="18"/>
        </w:rPr>
        <w:t xml:space="preserve"> </w:t>
      </w:r>
    </w:p>
  </w:footnote>
  <w:footnote w:id="2">
    <w:p w:rsidR="00390FB9" w:rsidRPr="00E27539" w:rsidRDefault="00390FB9" w:rsidP="00390FB9">
      <w:pPr>
        <w:pStyle w:val="FootnoteText"/>
        <w:bidi w:val="0"/>
        <w:jc w:val="both"/>
        <w:rPr>
          <w:sz w:val="18"/>
          <w:szCs w:val="18"/>
          <w:rtl/>
        </w:rPr>
      </w:pPr>
      <w:r w:rsidRPr="00390A33">
        <w:rPr>
          <w:rStyle w:val="FootnoteReference"/>
          <w:sz w:val="18"/>
          <w:szCs w:val="18"/>
        </w:rPr>
        <w:footnoteRef/>
      </w:r>
      <w:r>
        <w:rPr>
          <w:sz w:val="18"/>
          <w:szCs w:val="18"/>
        </w:rPr>
        <w:t xml:space="preserve"> </w:t>
      </w:r>
      <w:r w:rsidRPr="004C6B61">
        <w:rPr>
          <w:sz w:val="18"/>
          <w:szCs w:val="18"/>
        </w:rPr>
        <w:t>The European Council held a special meeting on 23-24 March 2000 in Lisbon to agree a new strategic goal for the Union in order to strengthen employment, economic reform and social cohesion as part of a knowledge-based economy. The aim of the Lisbon Strategy, launched in March 2000 by the EU heads of state and government, was to make Europe "the most competitive and dynamic knowledge-based economy in the world, capable of sustainable economic growth with more and better jobs and greater social cohesion</w:t>
      </w:r>
      <w:r>
        <w:rPr>
          <w:sz w:val="18"/>
          <w:szCs w:val="18"/>
        </w:rPr>
        <w:t xml:space="preserve">. </w:t>
      </w:r>
      <w:proofErr w:type="gramStart"/>
      <w:r>
        <w:rPr>
          <w:sz w:val="18"/>
          <w:szCs w:val="18"/>
        </w:rPr>
        <w:t>(European Council, 2000).</w:t>
      </w:r>
      <w:proofErr w:type="gramEnd"/>
    </w:p>
  </w:footnote>
  <w:footnote w:id="3">
    <w:p w:rsidR="00004D68" w:rsidRPr="00390A33" w:rsidRDefault="00004D68" w:rsidP="00004D68">
      <w:pPr>
        <w:pStyle w:val="FootnoteText"/>
        <w:bidi w:val="0"/>
        <w:jc w:val="both"/>
        <w:rPr>
          <w:sz w:val="18"/>
          <w:szCs w:val="18"/>
        </w:rPr>
      </w:pPr>
      <w:r w:rsidRPr="00390A33">
        <w:rPr>
          <w:rStyle w:val="FootnoteReference"/>
          <w:sz w:val="18"/>
          <w:szCs w:val="18"/>
        </w:rPr>
        <w:footnoteRef/>
      </w:r>
      <w:r w:rsidRPr="00390A33">
        <w:rPr>
          <w:sz w:val="18"/>
          <w:szCs w:val="18"/>
          <w:rtl/>
        </w:rPr>
        <w:t xml:space="preserve"> </w:t>
      </w:r>
      <w:r w:rsidRPr="00390A33">
        <w:rPr>
          <w:sz w:val="18"/>
          <w:szCs w:val="18"/>
        </w:rPr>
        <w:t>Europeanization is a process in which "domestic policy areas become subjected to a policy of the European Union" (</w:t>
      </w:r>
      <w:proofErr w:type="spellStart"/>
      <w:r w:rsidRPr="00390A33">
        <w:rPr>
          <w:sz w:val="18"/>
          <w:szCs w:val="18"/>
        </w:rPr>
        <w:t>Börzel</w:t>
      </w:r>
      <w:proofErr w:type="spellEnd"/>
      <w:r w:rsidRPr="00390A33">
        <w:rPr>
          <w:sz w:val="18"/>
          <w:szCs w:val="18"/>
        </w:rPr>
        <w:t>, 1999). From a different angle, Europeanization can be seen as "an incremental process which affects the direction of policy in a way which converge the organizational logic of national policy-making process with an "European thinking" by adopting and accepting the European ideas and moral in a process of learning and education"</w:t>
      </w:r>
      <w:proofErr w:type="gramStart"/>
      <w:r w:rsidRPr="00390A33">
        <w:rPr>
          <w:sz w:val="18"/>
          <w:szCs w:val="18"/>
          <w:rtl/>
        </w:rPr>
        <w:t>)</w:t>
      </w:r>
      <w:proofErr w:type="spellStart"/>
      <w:r w:rsidRPr="00390A33">
        <w:rPr>
          <w:sz w:val="18"/>
          <w:szCs w:val="18"/>
        </w:rPr>
        <w:t>Ladrech</w:t>
      </w:r>
      <w:proofErr w:type="spellEnd"/>
      <w:proofErr w:type="gramEnd"/>
      <w:r w:rsidRPr="00390A33">
        <w:rPr>
          <w:sz w:val="18"/>
          <w:szCs w:val="18"/>
        </w:rPr>
        <w:t xml:space="preserve"> 1994: 69). Claudio </w:t>
      </w:r>
      <w:proofErr w:type="spellStart"/>
      <w:r w:rsidRPr="00390A33">
        <w:rPr>
          <w:sz w:val="18"/>
          <w:szCs w:val="18"/>
        </w:rPr>
        <w:t>Radaelli</w:t>
      </w:r>
      <w:proofErr w:type="spellEnd"/>
      <w:r w:rsidRPr="00390A33">
        <w:rPr>
          <w:sz w:val="18"/>
          <w:szCs w:val="18"/>
        </w:rPr>
        <w:t xml:space="preserve"> (</w:t>
      </w:r>
      <w:proofErr w:type="spellStart"/>
      <w:r w:rsidRPr="00390A33">
        <w:rPr>
          <w:sz w:val="18"/>
          <w:szCs w:val="18"/>
        </w:rPr>
        <w:t>Radaelli</w:t>
      </w:r>
      <w:proofErr w:type="spellEnd"/>
      <w:r w:rsidRPr="00390A33">
        <w:rPr>
          <w:sz w:val="18"/>
          <w:szCs w:val="18"/>
        </w:rPr>
        <w:t>, 2000:4) defines Europeanization in a definition which relates well to regime theory,  stating that "Europeanization is a Processes of (a) construction (b) diffusion and (c) institutionalization of formal and informal rules, procedures, policy paradigms, styles, ‘ways of doing things’ and shared beliefs and norms which are first defined and consolidated in the making of EU decisions and then incorporated in the  logic of domestic discourse, identities, political structures and public policies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C01"/>
    <w:multiLevelType w:val="hybridMultilevel"/>
    <w:tmpl w:val="F178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74B5C"/>
    <w:multiLevelType w:val="hybridMultilevel"/>
    <w:tmpl w:val="83DE53A4"/>
    <w:lvl w:ilvl="0" w:tplc="833C209C">
      <w:start w:val="1"/>
      <w:numFmt w:val="decimal"/>
      <w:lvlText w:val="%1."/>
      <w:lvlJc w:val="left"/>
      <w:pPr>
        <w:ind w:left="720" w:hanging="360"/>
      </w:pPr>
      <w:rPr>
        <w:rFonts w:ascii="TimesNewRoman" w:hAnsi="TimesNewRoman" w:cs="TimesNew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123C6"/>
    <w:multiLevelType w:val="hybridMultilevel"/>
    <w:tmpl w:val="7BC0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E"/>
    <w:rsid w:val="000017BE"/>
    <w:rsid w:val="00004313"/>
    <w:rsid w:val="00004D68"/>
    <w:rsid w:val="0000645D"/>
    <w:rsid w:val="00013CBF"/>
    <w:rsid w:val="00016563"/>
    <w:rsid w:val="00024C15"/>
    <w:rsid w:val="00035676"/>
    <w:rsid w:val="00040C9F"/>
    <w:rsid w:val="00052018"/>
    <w:rsid w:val="0005347A"/>
    <w:rsid w:val="00060F83"/>
    <w:rsid w:val="00073EFA"/>
    <w:rsid w:val="00083B2D"/>
    <w:rsid w:val="00090C91"/>
    <w:rsid w:val="000955E2"/>
    <w:rsid w:val="00096F43"/>
    <w:rsid w:val="000B4B66"/>
    <w:rsid w:val="000C23EC"/>
    <w:rsid w:val="000D0547"/>
    <w:rsid w:val="000D5684"/>
    <w:rsid w:val="000D6F23"/>
    <w:rsid w:val="000E3288"/>
    <w:rsid w:val="000F2546"/>
    <w:rsid w:val="00102A1C"/>
    <w:rsid w:val="00105ADA"/>
    <w:rsid w:val="00110735"/>
    <w:rsid w:val="00125C6B"/>
    <w:rsid w:val="001264C4"/>
    <w:rsid w:val="00127DDD"/>
    <w:rsid w:val="001419EC"/>
    <w:rsid w:val="00161FD3"/>
    <w:rsid w:val="001779FB"/>
    <w:rsid w:val="00184DF2"/>
    <w:rsid w:val="001A55F6"/>
    <w:rsid w:val="001C0D1B"/>
    <w:rsid w:val="001C3891"/>
    <w:rsid w:val="001C4ED3"/>
    <w:rsid w:val="001D0ECC"/>
    <w:rsid w:val="001E2AEC"/>
    <w:rsid w:val="001F0F12"/>
    <w:rsid w:val="001F2250"/>
    <w:rsid w:val="002014D4"/>
    <w:rsid w:val="002218DD"/>
    <w:rsid w:val="00223A27"/>
    <w:rsid w:val="0024312F"/>
    <w:rsid w:val="00247847"/>
    <w:rsid w:val="00250A8C"/>
    <w:rsid w:val="00252E66"/>
    <w:rsid w:val="00256B66"/>
    <w:rsid w:val="00261B97"/>
    <w:rsid w:val="00270884"/>
    <w:rsid w:val="00271811"/>
    <w:rsid w:val="00286DB7"/>
    <w:rsid w:val="002921C9"/>
    <w:rsid w:val="00295D08"/>
    <w:rsid w:val="002976F0"/>
    <w:rsid w:val="002B1C70"/>
    <w:rsid w:val="002B33D6"/>
    <w:rsid w:val="002B6335"/>
    <w:rsid w:val="002E03B5"/>
    <w:rsid w:val="002E2B93"/>
    <w:rsid w:val="002E6FD5"/>
    <w:rsid w:val="002F062A"/>
    <w:rsid w:val="002F11CC"/>
    <w:rsid w:val="002F5B7C"/>
    <w:rsid w:val="0030331F"/>
    <w:rsid w:val="0031624D"/>
    <w:rsid w:val="003302B9"/>
    <w:rsid w:val="003528C8"/>
    <w:rsid w:val="00352CCA"/>
    <w:rsid w:val="00354A43"/>
    <w:rsid w:val="00355AC6"/>
    <w:rsid w:val="003637F1"/>
    <w:rsid w:val="00390A33"/>
    <w:rsid w:val="00390FB9"/>
    <w:rsid w:val="003A2DDC"/>
    <w:rsid w:val="003B4AE5"/>
    <w:rsid w:val="003C35AB"/>
    <w:rsid w:val="003C3FED"/>
    <w:rsid w:val="003C6E45"/>
    <w:rsid w:val="003D240A"/>
    <w:rsid w:val="003D57E8"/>
    <w:rsid w:val="003E436D"/>
    <w:rsid w:val="003E5E06"/>
    <w:rsid w:val="00432901"/>
    <w:rsid w:val="004441D4"/>
    <w:rsid w:val="00451BA8"/>
    <w:rsid w:val="004533FD"/>
    <w:rsid w:val="00460089"/>
    <w:rsid w:val="0047429B"/>
    <w:rsid w:val="00475C0D"/>
    <w:rsid w:val="00481873"/>
    <w:rsid w:val="004919DE"/>
    <w:rsid w:val="004924C6"/>
    <w:rsid w:val="004B1536"/>
    <w:rsid w:val="004B198F"/>
    <w:rsid w:val="004C6B61"/>
    <w:rsid w:val="004E1B7E"/>
    <w:rsid w:val="004E50F8"/>
    <w:rsid w:val="004F5B81"/>
    <w:rsid w:val="004F7DA2"/>
    <w:rsid w:val="00512A20"/>
    <w:rsid w:val="00517149"/>
    <w:rsid w:val="0053068D"/>
    <w:rsid w:val="0054364C"/>
    <w:rsid w:val="00547C8E"/>
    <w:rsid w:val="00550635"/>
    <w:rsid w:val="0057079C"/>
    <w:rsid w:val="00582CB1"/>
    <w:rsid w:val="005A3ED3"/>
    <w:rsid w:val="005A75A3"/>
    <w:rsid w:val="005B3C8D"/>
    <w:rsid w:val="005B3FAF"/>
    <w:rsid w:val="005C20E3"/>
    <w:rsid w:val="005D3D14"/>
    <w:rsid w:val="005D3F4B"/>
    <w:rsid w:val="005D675F"/>
    <w:rsid w:val="005E146A"/>
    <w:rsid w:val="00603097"/>
    <w:rsid w:val="00617089"/>
    <w:rsid w:val="006363D6"/>
    <w:rsid w:val="00673385"/>
    <w:rsid w:val="00684461"/>
    <w:rsid w:val="0069344B"/>
    <w:rsid w:val="006C613A"/>
    <w:rsid w:val="006D514B"/>
    <w:rsid w:val="006D5DA2"/>
    <w:rsid w:val="006D69B5"/>
    <w:rsid w:val="006E6A31"/>
    <w:rsid w:val="006F42B4"/>
    <w:rsid w:val="006F5156"/>
    <w:rsid w:val="0071204A"/>
    <w:rsid w:val="00713F38"/>
    <w:rsid w:val="00721BC6"/>
    <w:rsid w:val="00732AB3"/>
    <w:rsid w:val="00732DEF"/>
    <w:rsid w:val="0073559B"/>
    <w:rsid w:val="007469B6"/>
    <w:rsid w:val="00754976"/>
    <w:rsid w:val="00754ABA"/>
    <w:rsid w:val="00755B67"/>
    <w:rsid w:val="007567B5"/>
    <w:rsid w:val="0076387F"/>
    <w:rsid w:val="007643B3"/>
    <w:rsid w:val="0078132A"/>
    <w:rsid w:val="00797C9E"/>
    <w:rsid w:val="007B428A"/>
    <w:rsid w:val="007C00BA"/>
    <w:rsid w:val="007C581A"/>
    <w:rsid w:val="007D29D6"/>
    <w:rsid w:val="007F194B"/>
    <w:rsid w:val="007F3385"/>
    <w:rsid w:val="007F469A"/>
    <w:rsid w:val="007F52D2"/>
    <w:rsid w:val="00802BDA"/>
    <w:rsid w:val="00820390"/>
    <w:rsid w:val="00850BC9"/>
    <w:rsid w:val="00853653"/>
    <w:rsid w:val="0085495D"/>
    <w:rsid w:val="00860335"/>
    <w:rsid w:val="00862843"/>
    <w:rsid w:val="00893BB6"/>
    <w:rsid w:val="008A36D0"/>
    <w:rsid w:val="008B10E0"/>
    <w:rsid w:val="008B5AD1"/>
    <w:rsid w:val="008B7BD6"/>
    <w:rsid w:val="008C0C60"/>
    <w:rsid w:val="008D76D6"/>
    <w:rsid w:val="008E71FC"/>
    <w:rsid w:val="008F1158"/>
    <w:rsid w:val="00904948"/>
    <w:rsid w:val="009103CE"/>
    <w:rsid w:val="00922283"/>
    <w:rsid w:val="0092281B"/>
    <w:rsid w:val="00925DD6"/>
    <w:rsid w:val="009355C1"/>
    <w:rsid w:val="00946DB1"/>
    <w:rsid w:val="00974B96"/>
    <w:rsid w:val="00977301"/>
    <w:rsid w:val="00992028"/>
    <w:rsid w:val="00995C43"/>
    <w:rsid w:val="00996CDC"/>
    <w:rsid w:val="009A084A"/>
    <w:rsid w:val="009A1D61"/>
    <w:rsid w:val="009A46A8"/>
    <w:rsid w:val="009B2416"/>
    <w:rsid w:val="009B299E"/>
    <w:rsid w:val="009B4631"/>
    <w:rsid w:val="009B5685"/>
    <w:rsid w:val="009D026B"/>
    <w:rsid w:val="00A12BEF"/>
    <w:rsid w:val="00A20593"/>
    <w:rsid w:val="00A243F7"/>
    <w:rsid w:val="00A45328"/>
    <w:rsid w:val="00A639D1"/>
    <w:rsid w:val="00A6679D"/>
    <w:rsid w:val="00A7012C"/>
    <w:rsid w:val="00A855A3"/>
    <w:rsid w:val="00A87DC9"/>
    <w:rsid w:val="00A9421E"/>
    <w:rsid w:val="00AA7CEE"/>
    <w:rsid w:val="00AB6A8E"/>
    <w:rsid w:val="00AD3C8E"/>
    <w:rsid w:val="00AE6BF0"/>
    <w:rsid w:val="00B022F8"/>
    <w:rsid w:val="00B23348"/>
    <w:rsid w:val="00B3467D"/>
    <w:rsid w:val="00B405D7"/>
    <w:rsid w:val="00B521E6"/>
    <w:rsid w:val="00B55183"/>
    <w:rsid w:val="00B61A45"/>
    <w:rsid w:val="00B63666"/>
    <w:rsid w:val="00B639AB"/>
    <w:rsid w:val="00B65603"/>
    <w:rsid w:val="00B677B6"/>
    <w:rsid w:val="00B71340"/>
    <w:rsid w:val="00B73D97"/>
    <w:rsid w:val="00B74E26"/>
    <w:rsid w:val="00B77519"/>
    <w:rsid w:val="00B8492F"/>
    <w:rsid w:val="00B91EAC"/>
    <w:rsid w:val="00BA031B"/>
    <w:rsid w:val="00BA1161"/>
    <w:rsid w:val="00BB12E5"/>
    <w:rsid w:val="00BC1B7B"/>
    <w:rsid w:val="00BD3416"/>
    <w:rsid w:val="00C04445"/>
    <w:rsid w:val="00C07278"/>
    <w:rsid w:val="00C14D20"/>
    <w:rsid w:val="00C24B23"/>
    <w:rsid w:val="00C24D79"/>
    <w:rsid w:val="00C360FF"/>
    <w:rsid w:val="00C411D3"/>
    <w:rsid w:val="00C51D02"/>
    <w:rsid w:val="00C62855"/>
    <w:rsid w:val="00C80D85"/>
    <w:rsid w:val="00C848AE"/>
    <w:rsid w:val="00C90264"/>
    <w:rsid w:val="00CA49EC"/>
    <w:rsid w:val="00CB6C3E"/>
    <w:rsid w:val="00CB7E22"/>
    <w:rsid w:val="00CC5B77"/>
    <w:rsid w:val="00CD0F01"/>
    <w:rsid w:val="00CD3416"/>
    <w:rsid w:val="00CE4D84"/>
    <w:rsid w:val="00CE5098"/>
    <w:rsid w:val="00CE596E"/>
    <w:rsid w:val="00CE76B2"/>
    <w:rsid w:val="00D04AFE"/>
    <w:rsid w:val="00D060A7"/>
    <w:rsid w:val="00D14CBB"/>
    <w:rsid w:val="00D23FF9"/>
    <w:rsid w:val="00D326C2"/>
    <w:rsid w:val="00D33AF5"/>
    <w:rsid w:val="00D43FED"/>
    <w:rsid w:val="00D44BB6"/>
    <w:rsid w:val="00D52285"/>
    <w:rsid w:val="00DA0020"/>
    <w:rsid w:val="00DA146E"/>
    <w:rsid w:val="00DE5D74"/>
    <w:rsid w:val="00DF4D9F"/>
    <w:rsid w:val="00E13184"/>
    <w:rsid w:val="00E24F68"/>
    <w:rsid w:val="00E27539"/>
    <w:rsid w:val="00E3297A"/>
    <w:rsid w:val="00E53422"/>
    <w:rsid w:val="00E85304"/>
    <w:rsid w:val="00E93926"/>
    <w:rsid w:val="00EA2258"/>
    <w:rsid w:val="00EB4ECE"/>
    <w:rsid w:val="00EC3251"/>
    <w:rsid w:val="00EC4614"/>
    <w:rsid w:val="00EC5295"/>
    <w:rsid w:val="00ED01D1"/>
    <w:rsid w:val="00ED7003"/>
    <w:rsid w:val="00EF1AE8"/>
    <w:rsid w:val="00EF319D"/>
    <w:rsid w:val="00F00747"/>
    <w:rsid w:val="00F138E8"/>
    <w:rsid w:val="00F36C69"/>
    <w:rsid w:val="00F50C68"/>
    <w:rsid w:val="00F52597"/>
    <w:rsid w:val="00F5615C"/>
    <w:rsid w:val="00F64FEA"/>
    <w:rsid w:val="00F74C23"/>
    <w:rsid w:val="00F74E86"/>
    <w:rsid w:val="00F800CA"/>
    <w:rsid w:val="00F83C7A"/>
    <w:rsid w:val="00FA3FA3"/>
    <w:rsid w:val="00FB2BA5"/>
    <w:rsid w:val="00FC5C12"/>
    <w:rsid w:val="00FC7FAD"/>
    <w:rsid w:val="00FD222A"/>
    <w:rsid w:val="00FD60B9"/>
    <w:rsid w:val="00FF1B0C"/>
    <w:rsid w:val="00FF7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EE"/>
    <w:pPr>
      <w:bidi/>
    </w:pPr>
  </w:style>
  <w:style w:type="paragraph" w:styleId="Heading2">
    <w:name w:val="heading 2"/>
    <w:basedOn w:val="Normal"/>
    <w:next w:val="Normal"/>
    <w:link w:val="Heading2Char"/>
    <w:uiPriority w:val="9"/>
    <w:semiHidden/>
    <w:unhideWhenUsed/>
    <w:qFormat/>
    <w:rsid w:val="00CB6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0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EE"/>
    <w:pPr>
      <w:ind w:left="720"/>
      <w:contextualSpacing/>
    </w:pPr>
  </w:style>
  <w:style w:type="paragraph" w:styleId="BalloonText">
    <w:name w:val="Balloon Text"/>
    <w:basedOn w:val="Normal"/>
    <w:link w:val="BalloonTextChar"/>
    <w:uiPriority w:val="99"/>
    <w:semiHidden/>
    <w:unhideWhenUsed/>
    <w:rsid w:val="005D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5F"/>
    <w:rPr>
      <w:rFonts w:ascii="Tahoma" w:hAnsi="Tahoma" w:cs="Tahoma"/>
      <w:sz w:val="16"/>
      <w:szCs w:val="16"/>
    </w:rPr>
  </w:style>
  <w:style w:type="character" w:styleId="CommentReference">
    <w:name w:val="annotation reference"/>
    <w:basedOn w:val="DefaultParagraphFont"/>
    <w:uiPriority w:val="99"/>
    <w:semiHidden/>
    <w:unhideWhenUsed/>
    <w:rsid w:val="005D675F"/>
    <w:rPr>
      <w:sz w:val="16"/>
      <w:szCs w:val="16"/>
    </w:rPr>
  </w:style>
  <w:style w:type="paragraph" w:styleId="CommentText">
    <w:name w:val="annotation text"/>
    <w:basedOn w:val="Normal"/>
    <w:link w:val="CommentTextChar"/>
    <w:uiPriority w:val="99"/>
    <w:unhideWhenUsed/>
    <w:rsid w:val="005D675F"/>
    <w:pPr>
      <w:spacing w:line="240" w:lineRule="auto"/>
    </w:pPr>
    <w:rPr>
      <w:sz w:val="20"/>
      <w:szCs w:val="20"/>
    </w:rPr>
  </w:style>
  <w:style w:type="character" w:customStyle="1" w:styleId="CommentTextChar">
    <w:name w:val="Comment Text Char"/>
    <w:basedOn w:val="DefaultParagraphFont"/>
    <w:link w:val="CommentText"/>
    <w:uiPriority w:val="99"/>
    <w:rsid w:val="005D675F"/>
    <w:rPr>
      <w:sz w:val="20"/>
      <w:szCs w:val="20"/>
    </w:rPr>
  </w:style>
  <w:style w:type="paragraph" w:styleId="CommentSubject">
    <w:name w:val="annotation subject"/>
    <w:basedOn w:val="CommentText"/>
    <w:next w:val="CommentText"/>
    <w:link w:val="CommentSubjectChar"/>
    <w:uiPriority w:val="99"/>
    <w:semiHidden/>
    <w:unhideWhenUsed/>
    <w:rsid w:val="005D675F"/>
    <w:rPr>
      <w:b/>
      <w:bCs/>
    </w:rPr>
  </w:style>
  <w:style w:type="character" w:customStyle="1" w:styleId="CommentSubjectChar">
    <w:name w:val="Comment Subject Char"/>
    <w:basedOn w:val="CommentTextChar"/>
    <w:link w:val="CommentSubject"/>
    <w:uiPriority w:val="99"/>
    <w:semiHidden/>
    <w:rsid w:val="005D675F"/>
    <w:rPr>
      <w:b/>
      <w:bCs/>
      <w:sz w:val="20"/>
      <w:szCs w:val="20"/>
    </w:rPr>
  </w:style>
  <w:style w:type="paragraph" w:styleId="FootnoteText">
    <w:name w:val="footnote text"/>
    <w:basedOn w:val="Normal"/>
    <w:link w:val="FootnoteTextChar"/>
    <w:uiPriority w:val="99"/>
    <w:unhideWhenUsed/>
    <w:rsid w:val="001C0D1B"/>
    <w:pPr>
      <w:spacing w:after="0" w:line="240" w:lineRule="auto"/>
    </w:pPr>
    <w:rPr>
      <w:sz w:val="20"/>
      <w:szCs w:val="20"/>
    </w:rPr>
  </w:style>
  <w:style w:type="character" w:customStyle="1" w:styleId="FootnoteTextChar">
    <w:name w:val="Footnote Text Char"/>
    <w:basedOn w:val="DefaultParagraphFont"/>
    <w:link w:val="FootnoteText"/>
    <w:uiPriority w:val="99"/>
    <w:rsid w:val="001C0D1B"/>
    <w:rPr>
      <w:sz w:val="20"/>
      <w:szCs w:val="20"/>
    </w:rPr>
  </w:style>
  <w:style w:type="character" w:styleId="FootnoteReference">
    <w:name w:val="footnote reference"/>
    <w:basedOn w:val="DefaultParagraphFont"/>
    <w:uiPriority w:val="99"/>
    <w:semiHidden/>
    <w:unhideWhenUsed/>
    <w:rsid w:val="001C0D1B"/>
    <w:rPr>
      <w:vertAlign w:val="superscript"/>
    </w:rPr>
  </w:style>
  <w:style w:type="character" w:styleId="Hyperlink">
    <w:name w:val="Hyperlink"/>
    <w:basedOn w:val="DefaultParagraphFont"/>
    <w:uiPriority w:val="99"/>
    <w:unhideWhenUsed/>
    <w:rsid w:val="001C0D1B"/>
    <w:rPr>
      <w:color w:val="0000FF"/>
      <w:u w:val="single"/>
    </w:rPr>
  </w:style>
  <w:style w:type="character" w:styleId="FollowedHyperlink">
    <w:name w:val="FollowedHyperlink"/>
    <w:basedOn w:val="DefaultParagraphFont"/>
    <w:uiPriority w:val="99"/>
    <w:semiHidden/>
    <w:unhideWhenUsed/>
    <w:rsid w:val="00E13184"/>
    <w:rPr>
      <w:color w:val="800080" w:themeColor="followedHyperlink"/>
      <w:u w:val="single"/>
    </w:rPr>
  </w:style>
  <w:style w:type="character" w:customStyle="1" w:styleId="apple-converted-space">
    <w:name w:val="apple-converted-space"/>
    <w:basedOn w:val="DefaultParagraphFont"/>
    <w:rsid w:val="008F1158"/>
  </w:style>
  <w:style w:type="paragraph" w:styleId="Header">
    <w:name w:val="header"/>
    <w:basedOn w:val="Normal"/>
    <w:link w:val="HeaderChar"/>
    <w:uiPriority w:val="99"/>
    <w:unhideWhenUsed/>
    <w:rsid w:val="00EC4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614"/>
  </w:style>
  <w:style w:type="paragraph" w:styleId="Footer">
    <w:name w:val="footer"/>
    <w:basedOn w:val="Normal"/>
    <w:link w:val="FooterChar"/>
    <w:uiPriority w:val="99"/>
    <w:unhideWhenUsed/>
    <w:rsid w:val="00EC4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614"/>
  </w:style>
  <w:style w:type="character" w:customStyle="1" w:styleId="Heading3Char">
    <w:name w:val="Heading 3 Char"/>
    <w:basedOn w:val="DefaultParagraphFont"/>
    <w:link w:val="Heading3"/>
    <w:uiPriority w:val="9"/>
    <w:semiHidden/>
    <w:rsid w:val="00C9026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90264"/>
    <w:rPr>
      <w:i/>
      <w:iCs/>
    </w:rPr>
  </w:style>
  <w:style w:type="character" w:customStyle="1" w:styleId="Heading2Char">
    <w:name w:val="Heading 2 Char"/>
    <w:basedOn w:val="DefaultParagraphFont"/>
    <w:link w:val="Heading2"/>
    <w:uiPriority w:val="9"/>
    <w:semiHidden/>
    <w:rsid w:val="00CB6C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EE"/>
    <w:pPr>
      <w:bidi/>
    </w:pPr>
  </w:style>
  <w:style w:type="paragraph" w:styleId="Heading2">
    <w:name w:val="heading 2"/>
    <w:basedOn w:val="Normal"/>
    <w:next w:val="Normal"/>
    <w:link w:val="Heading2Char"/>
    <w:uiPriority w:val="9"/>
    <w:semiHidden/>
    <w:unhideWhenUsed/>
    <w:qFormat/>
    <w:rsid w:val="00CB6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0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EE"/>
    <w:pPr>
      <w:ind w:left="720"/>
      <w:contextualSpacing/>
    </w:pPr>
  </w:style>
  <w:style w:type="paragraph" w:styleId="BalloonText">
    <w:name w:val="Balloon Text"/>
    <w:basedOn w:val="Normal"/>
    <w:link w:val="BalloonTextChar"/>
    <w:uiPriority w:val="99"/>
    <w:semiHidden/>
    <w:unhideWhenUsed/>
    <w:rsid w:val="005D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5F"/>
    <w:rPr>
      <w:rFonts w:ascii="Tahoma" w:hAnsi="Tahoma" w:cs="Tahoma"/>
      <w:sz w:val="16"/>
      <w:szCs w:val="16"/>
    </w:rPr>
  </w:style>
  <w:style w:type="character" w:styleId="CommentReference">
    <w:name w:val="annotation reference"/>
    <w:basedOn w:val="DefaultParagraphFont"/>
    <w:uiPriority w:val="99"/>
    <w:semiHidden/>
    <w:unhideWhenUsed/>
    <w:rsid w:val="005D675F"/>
    <w:rPr>
      <w:sz w:val="16"/>
      <w:szCs w:val="16"/>
    </w:rPr>
  </w:style>
  <w:style w:type="paragraph" w:styleId="CommentText">
    <w:name w:val="annotation text"/>
    <w:basedOn w:val="Normal"/>
    <w:link w:val="CommentTextChar"/>
    <w:uiPriority w:val="99"/>
    <w:unhideWhenUsed/>
    <w:rsid w:val="005D675F"/>
    <w:pPr>
      <w:spacing w:line="240" w:lineRule="auto"/>
    </w:pPr>
    <w:rPr>
      <w:sz w:val="20"/>
      <w:szCs w:val="20"/>
    </w:rPr>
  </w:style>
  <w:style w:type="character" w:customStyle="1" w:styleId="CommentTextChar">
    <w:name w:val="Comment Text Char"/>
    <w:basedOn w:val="DefaultParagraphFont"/>
    <w:link w:val="CommentText"/>
    <w:uiPriority w:val="99"/>
    <w:rsid w:val="005D675F"/>
    <w:rPr>
      <w:sz w:val="20"/>
      <w:szCs w:val="20"/>
    </w:rPr>
  </w:style>
  <w:style w:type="paragraph" w:styleId="CommentSubject">
    <w:name w:val="annotation subject"/>
    <w:basedOn w:val="CommentText"/>
    <w:next w:val="CommentText"/>
    <w:link w:val="CommentSubjectChar"/>
    <w:uiPriority w:val="99"/>
    <w:semiHidden/>
    <w:unhideWhenUsed/>
    <w:rsid w:val="005D675F"/>
    <w:rPr>
      <w:b/>
      <w:bCs/>
    </w:rPr>
  </w:style>
  <w:style w:type="character" w:customStyle="1" w:styleId="CommentSubjectChar">
    <w:name w:val="Comment Subject Char"/>
    <w:basedOn w:val="CommentTextChar"/>
    <w:link w:val="CommentSubject"/>
    <w:uiPriority w:val="99"/>
    <w:semiHidden/>
    <w:rsid w:val="005D675F"/>
    <w:rPr>
      <w:b/>
      <w:bCs/>
      <w:sz w:val="20"/>
      <w:szCs w:val="20"/>
    </w:rPr>
  </w:style>
  <w:style w:type="paragraph" w:styleId="FootnoteText">
    <w:name w:val="footnote text"/>
    <w:basedOn w:val="Normal"/>
    <w:link w:val="FootnoteTextChar"/>
    <w:uiPriority w:val="99"/>
    <w:unhideWhenUsed/>
    <w:rsid w:val="001C0D1B"/>
    <w:pPr>
      <w:spacing w:after="0" w:line="240" w:lineRule="auto"/>
    </w:pPr>
    <w:rPr>
      <w:sz w:val="20"/>
      <w:szCs w:val="20"/>
    </w:rPr>
  </w:style>
  <w:style w:type="character" w:customStyle="1" w:styleId="FootnoteTextChar">
    <w:name w:val="Footnote Text Char"/>
    <w:basedOn w:val="DefaultParagraphFont"/>
    <w:link w:val="FootnoteText"/>
    <w:uiPriority w:val="99"/>
    <w:rsid w:val="001C0D1B"/>
    <w:rPr>
      <w:sz w:val="20"/>
      <w:szCs w:val="20"/>
    </w:rPr>
  </w:style>
  <w:style w:type="character" w:styleId="FootnoteReference">
    <w:name w:val="footnote reference"/>
    <w:basedOn w:val="DefaultParagraphFont"/>
    <w:uiPriority w:val="99"/>
    <w:semiHidden/>
    <w:unhideWhenUsed/>
    <w:rsid w:val="001C0D1B"/>
    <w:rPr>
      <w:vertAlign w:val="superscript"/>
    </w:rPr>
  </w:style>
  <w:style w:type="character" w:styleId="Hyperlink">
    <w:name w:val="Hyperlink"/>
    <w:basedOn w:val="DefaultParagraphFont"/>
    <w:uiPriority w:val="99"/>
    <w:unhideWhenUsed/>
    <w:rsid w:val="001C0D1B"/>
    <w:rPr>
      <w:color w:val="0000FF"/>
      <w:u w:val="single"/>
    </w:rPr>
  </w:style>
  <w:style w:type="character" w:styleId="FollowedHyperlink">
    <w:name w:val="FollowedHyperlink"/>
    <w:basedOn w:val="DefaultParagraphFont"/>
    <w:uiPriority w:val="99"/>
    <w:semiHidden/>
    <w:unhideWhenUsed/>
    <w:rsid w:val="00E13184"/>
    <w:rPr>
      <w:color w:val="800080" w:themeColor="followedHyperlink"/>
      <w:u w:val="single"/>
    </w:rPr>
  </w:style>
  <w:style w:type="character" w:customStyle="1" w:styleId="apple-converted-space">
    <w:name w:val="apple-converted-space"/>
    <w:basedOn w:val="DefaultParagraphFont"/>
    <w:rsid w:val="008F1158"/>
  </w:style>
  <w:style w:type="paragraph" w:styleId="Header">
    <w:name w:val="header"/>
    <w:basedOn w:val="Normal"/>
    <w:link w:val="HeaderChar"/>
    <w:uiPriority w:val="99"/>
    <w:unhideWhenUsed/>
    <w:rsid w:val="00EC4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614"/>
  </w:style>
  <w:style w:type="paragraph" w:styleId="Footer">
    <w:name w:val="footer"/>
    <w:basedOn w:val="Normal"/>
    <w:link w:val="FooterChar"/>
    <w:uiPriority w:val="99"/>
    <w:unhideWhenUsed/>
    <w:rsid w:val="00EC4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614"/>
  </w:style>
  <w:style w:type="character" w:customStyle="1" w:styleId="Heading3Char">
    <w:name w:val="Heading 3 Char"/>
    <w:basedOn w:val="DefaultParagraphFont"/>
    <w:link w:val="Heading3"/>
    <w:uiPriority w:val="9"/>
    <w:semiHidden/>
    <w:rsid w:val="00C9026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90264"/>
    <w:rPr>
      <w:i/>
      <w:iCs/>
    </w:rPr>
  </w:style>
  <w:style w:type="character" w:customStyle="1" w:styleId="Heading2Char">
    <w:name w:val="Heading 2 Char"/>
    <w:basedOn w:val="DefaultParagraphFont"/>
    <w:link w:val="Heading2"/>
    <w:uiPriority w:val="9"/>
    <w:semiHidden/>
    <w:rsid w:val="00CB6C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ommission_2010-2014/vassiliou/headlines/speeches/2012/09/docs/20120924-eu-canada-future-of-academic-cooper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op.or.at/eiop/texte/2000-008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ournals.cambridge.org/action/displayJournal?jid=INO" TargetMode="External"/><Relationship Id="rId4" Type="http://schemas.microsoft.com/office/2007/relationships/stylesWithEffects" Target="stylesWithEffects.xml"/><Relationship Id="rId9" Type="http://schemas.openxmlformats.org/officeDocument/2006/relationships/hyperlink" Target="http://www.eua.be/fileadmin/user_upload/files/Lisbon_Convention/Convention_Read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AFEB7F-5400-4DAA-A823-78C93E98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5105</Words>
  <Characters>25530</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Oiaa</cp:lastModifiedBy>
  <cp:revision>34</cp:revision>
  <dcterms:created xsi:type="dcterms:W3CDTF">2015-01-24T10:06:00Z</dcterms:created>
  <dcterms:modified xsi:type="dcterms:W3CDTF">2015-03-02T13:59:00Z</dcterms:modified>
</cp:coreProperties>
</file>