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4A1113" w14:textId="77777777" w:rsidR="00D01DEB" w:rsidRPr="00FE18D0" w:rsidRDefault="00D01DEB" w:rsidP="000C5150">
      <w:pPr>
        <w:widowControl w:val="0"/>
        <w:autoSpaceDE w:val="0"/>
        <w:autoSpaceDN w:val="0"/>
        <w:adjustRightInd w:val="0"/>
        <w:spacing w:line="276" w:lineRule="auto"/>
        <w:jc w:val="both"/>
        <w:rPr>
          <w:rFonts w:asciiTheme="majorHAnsi" w:hAnsiTheme="majorHAnsi" w:cs="Calibri"/>
          <w:color w:val="365F91" w:themeColor="accent1" w:themeShade="BF"/>
          <w:lang w:val="en-US" w:eastAsia="ja-JP"/>
        </w:rPr>
      </w:pPr>
      <w:r w:rsidRPr="00FE18D0">
        <w:rPr>
          <w:rFonts w:asciiTheme="majorHAnsi" w:hAnsiTheme="majorHAnsi" w:cs="Calibri"/>
          <w:color w:val="365F91" w:themeColor="accent1" w:themeShade="BF"/>
          <w:lang w:val="en-US" w:eastAsia="ja-JP"/>
        </w:rPr>
        <w:t> </w:t>
      </w:r>
    </w:p>
    <w:p w14:paraId="587DFCE3" w14:textId="77777777" w:rsidR="00D01DEB" w:rsidRPr="00FE18D0" w:rsidRDefault="00D01DEB" w:rsidP="000C5150">
      <w:pPr>
        <w:widowControl w:val="0"/>
        <w:autoSpaceDE w:val="0"/>
        <w:autoSpaceDN w:val="0"/>
        <w:adjustRightInd w:val="0"/>
        <w:spacing w:line="276" w:lineRule="auto"/>
        <w:jc w:val="both"/>
        <w:rPr>
          <w:rFonts w:asciiTheme="majorHAnsi" w:hAnsiTheme="majorHAnsi" w:cs="Helvetica"/>
          <w:color w:val="365F91" w:themeColor="accent1" w:themeShade="BF"/>
          <w:lang w:val="en-US" w:eastAsia="ja-JP"/>
        </w:rPr>
      </w:pPr>
      <w:r w:rsidRPr="00FE18D0">
        <w:rPr>
          <w:rFonts w:asciiTheme="majorHAnsi" w:hAnsiTheme="majorHAnsi" w:cs="Calibri"/>
          <w:color w:val="365F91" w:themeColor="accent1" w:themeShade="BF"/>
          <w:lang w:val="en-US" w:eastAsia="ja-JP"/>
        </w:rPr>
        <w:t xml:space="preserve">Panel abstract </w:t>
      </w:r>
      <w:r w:rsidRPr="00FE18D0">
        <w:rPr>
          <w:rFonts w:asciiTheme="majorHAnsi" w:hAnsiTheme="majorHAnsi" w:cs="Helvetica"/>
          <w:b/>
          <w:bCs/>
          <w:color w:val="365F91" w:themeColor="accent1" w:themeShade="BF"/>
          <w:lang w:val="en-US" w:eastAsia="ja-JP"/>
        </w:rPr>
        <w:t xml:space="preserve">"New Perspectives on the Interplay between Hard Law and Soft Law in Europe and </w:t>
      </w:r>
      <w:proofErr w:type="gramStart"/>
      <w:r w:rsidRPr="00FE18D0">
        <w:rPr>
          <w:rFonts w:asciiTheme="majorHAnsi" w:hAnsiTheme="majorHAnsi" w:cs="Helvetica"/>
          <w:b/>
          <w:bCs/>
          <w:color w:val="365F91" w:themeColor="accent1" w:themeShade="BF"/>
          <w:lang w:val="en-US" w:eastAsia="ja-JP"/>
        </w:rPr>
        <w:t>Beyond</w:t>
      </w:r>
      <w:proofErr w:type="gramEnd"/>
      <w:r w:rsidRPr="00FE18D0">
        <w:rPr>
          <w:rFonts w:asciiTheme="majorHAnsi" w:hAnsiTheme="majorHAnsi" w:cs="Helvetica"/>
          <w:b/>
          <w:bCs/>
          <w:color w:val="365F91" w:themeColor="accent1" w:themeShade="BF"/>
          <w:lang w:val="en-US" w:eastAsia="ja-JP"/>
        </w:rPr>
        <w:t>"</w:t>
      </w:r>
      <w:r w:rsidRPr="00FE18D0">
        <w:rPr>
          <w:rFonts w:asciiTheme="majorHAnsi" w:hAnsiTheme="majorHAnsi" w:cs="Helvetica"/>
          <w:color w:val="365F91" w:themeColor="accent1" w:themeShade="BF"/>
          <w:lang w:val="en-US" w:eastAsia="ja-JP"/>
        </w:rPr>
        <w:t> </w:t>
      </w:r>
    </w:p>
    <w:p w14:paraId="745B7B62" w14:textId="77777777" w:rsidR="00D01DEB" w:rsidRPr="00FE18D0" w:rsidRDefault="00D01DEB" w:rsidP="000C5150">
      <w:pPr>
        <w:widowControl w:val="0"/>
        <w:autoSpaceDE w:val="0"/>
        <w:autoSpaceDN w:val="0"/>
        <w:adjustRightInd w:val="0"/>
        <w:spacing w:line="276" w:lineRule="auto"/>
        <w:jc w:val="both"/>
        <w:rPr>
          <w:rFonts w:asciiTheme="majorHAnsi" w:hAnsiTheme="majorHAnsi" w:cs="Calibri"/>
          <w:color w:val="365F91" w:themeColor="accent1" w:themeShade="BF"/>
          <w:lang w:val="en-US" w:eastAsia="ja-JP"/>
        </w:rPr>
      </w:pPr>
    </w:p>
    <w:p w14:paraId="74996685" w14:textId="77777777" w:rsidR="00D01DEB" w:rsidRPr="00FE18D0" w:rsidRDefault="00D01DEB" w:rsidP="000C5150">
      <w:pPr>
        <w:widowControl w:val="0"/>
        <w:autoSpaceDE w:val="0"/>
        <w:autoSpaceDN w:val="0"/>
        <w:adjustRightInd w:val="0"/>
        <w:jc w:val="both"/>
        <w:rPr>
          <w:rFonts w:asciiTheme="majorHAnsi" w:hAnsiTheme="majorHAnsi"/>
          <w:color w:val="365F91" w:themeColor="accent1" w:themeShade="BF"/>
          <w:lang w:val="en-US" w:eastAsia="ja-JP"/>
        </w:rPr>
      </w:pPr>
      <w:r w:rsidRPr="00FE18D0">
        <w:rPr>
          <w:rFonts w:asciiTheme="majorHAnsi" w:hAnsiTheme="majorHAnsi"/>
          <w:color w:val="365F91" w:themeColor="accent1" w:themeShade="BF"/>
          <w:lang w:val="en-US" w:eastAsia="ja-JP"/>
        </w:rPr>
        <w:t>Regional and global networks increasingly develop, promulgate and diffuse soft law in the form of non-binding rules, standards and guidelines. This trend is particularly strong - but not limited to - the EU, which is a multi-level polity wherein in some issue areas regulatory power is disaggregated into the hands of task-specific transnational networks. These pieces of soft legislation coexist along with hard domestic law in non-trivial ways. In some cases, soft law is actively supported by private actors to prevent the development of more binding legislation. However, soft law can also entail contractual provisions that make it enforceable once agreed upon. This is for instance the case of the "Safe Harbour" agreement on data protection between the EU and the US. Soft law can also pave the way for more stringent public regulation and be referred into hard law. Transnational (soft) law and domestic (hard) law are more and more intertwined in practice, as an effective regulatory regime ideally requires to make the most of the flexibility of the former and of the certainty of the latter. However, the varieties of soft and hard law configurations, their origin, consequences and the trade-offs associated with them are still poorly understood. This panel welcomes theoretical and empirical contributions addressing the complex relationships between soft and hard law with a special attention to the conditions explaining different soft and hard law configurations and their consequences for regulation and governance.</w:t>
      </w:r>
    </w:p>
    <w:p w14:paraId="3BFEE956" w14:textId="77777777" w:rsidR="00D01DEB" w:rsidRPr="00FE18D0" w:rsidRDefault="00D01DEB" w:rsidP="000C5150">
      <w:pPr>
        <w:widowControl w:val="0"/>
        <w:autoSpaceDE w:val="0"/>
        <w:autoSpaceDN w:val="0"/>
        <w:adjustRightInd w:val="0"/>
        <w:spacing w:line="276" w:lineRule="auto"/>
        <w:jc w:val="both"/>
        <w:rPr>
          <w:rFonts w:asciiTheme="majorHAnsi" w:hAnsiTheme="majorHAnsi" w:cs="Helvetica"/>
          <w:color w:val="365F91" w:themeColor="accent1" w:themeShade="BF"/>
          <w:sz w:val="28"/>
          <w:szCs w:val="28"/>
          <w:lang w:val="en-US" w:eastAsia="ja-JP"/>
        </w:rPr>
      </w:pPr>
    </w:p>
    <w:p w14:paraId="3D4A6D2C" w14:textId="77777777" w:rsidR="002D7FA5" w:rsidRPr="00FE18D0" w:rsidRDefault="002D7FA5" w:rsidP="000C5150">
      <w:pPr>
        <w:widowControl w:val="0"/>
        <w:autoSpaceDE w:val="0"/>
        <w:autoSpaceDN w:val="0"/>
        <w:adjustRightInd w:val="0"/>
        <w:spacing w:line="276" w:lineRule="auto"/>
        <w:jc w:val="both"/>
        <w:rPr>
          <w:rFonts w:asciiTheme="majorHAnsi" w:hAnsiTheme="majorHAnsi" w:cs="Calibri"/>
          <w:b/>
          <w:bCs/>
          <w:color w:val="365F91" w:themeColor="accent1" w:themeShade="BF"/>
          <w:sz w:val="28"/>
          <w:szCs w:val="28"/>
          <w:lang w:val="en-US" w:eastAsia="ja-JP"/>
        </w:rPr>
      </w:pPr>
    </w:p>
    <w:p w14:paraId="6B4AFE28" w14:textId="77777777" w:rsidR="00D01DEB" w:rsidRPr="00FE18D0" w:rsidRDefault="00D01DEB" w:rsidP="000C5150">
      <w:pPr>
        <w:widowControl w:val="0"/>
        <w:autoSpaceDE w:val="0"/>
        <w:autoSpaceDN w:val="0"/>
        <w:adjustRightInd w:val="0"/>
        <w:spacing w:line="276" w:lineRule="auto"/>
        <w:jc w:val="both"/>
        <w:rPr>
          <w:rFonts w:asciiTheme="majorHAnsi" w:hAnsiTheme="majorHAnsi" w:cs="Helvetica"/>
          <w:color w:val="365F91" w:themeColor="accent1" w:themeShade="BF"/>
          <w:sz w:val="28"/>
          <w:szCs w:val="28"/>
          <w:lang w:val="en-US" w:eastAsia="ja-JP"/>
        </w:rPr>
      </w:pPr>
      <w:r w:rsidRPr="00FE18D0">
        <w:rPr>
          <w:rFonts w:asciiTheme="majorHAnsi" w:hAnsiTheme="majorHAnsi" w:cs="Calibri"/>
          <w:b/>
          <w:bCs/>
          <w:color w:val="365F91" w:themeColor="accent1" w:themeShade="BF"/>
          <w:sz w:val="28"/>
          <w:szCs w:val="28"/>
          <w:lang w:val="en-US" w:eastAsia="ja-JP"/>
        </w:rPr>
        <w:t>Re-evaluating Soft Law in European Public and Private Governance</w:t>
      </w:r>
    </w:p>
    <w:p w14:paraId="3705482E" w14:textId="77777777" w:rsidR="00C70C10" w:rsidRDefault="00C70C10" w:rsidP="00C70C10">
      <w:pPr>
        <w:widowControl w:val="0"/>
        <w:autoSpaceDE w:val="0"/>
        <w:autoSpaceDN w:val="0"/>
        <w:adjustRightInd w:val="0"/>
        <w:spacing w:line="276" w:lineRule="auto"/>
        <w:jc w:val="both"/>
        <w:rPr>
          <w:rFonts w:asciiTheme="majorHAnsi" w:hAnsiTheme="majorHAnsi" w:cs="Calibri"/>
          <w:color w:val="365F91" w:themeColor="accent1" w:themeShade="BF"/>
          <w:sz w:val="28"/>
          <w:szCs w:val="28"/>
          <w:lang w:val="en-US" w:eastAsia="ja-JP"/>
        </w:rPr>
      </w:pPr>
    </w:p>
    <w:p w14:paraId="60AEEC18" w14:textId="28C731FF" w:rsidR="00C70C10" w:rsidRPr="004F3F47" w:rsidRDefault="00C70C10" w:rsidP="000C5150">
      <w:pPr>
        <w:widowControl w:val="0"/>
        <w:autoSpaceDE w:val="0"/>
        <w:autoSpaceDN w:val="0"/>
        <w:adjustRightInd w:val="0"/>
        <w:spacing w:line="276" w:lineRule="auto"/>
        <w:jc w:val="both"/>
        <w:rPr>
          <w:rFonts w:asciiTheme="majorHAnsi" w:hAnsiTheme="majorHAnsi" w:cs="Calibri"/>
          <w:color w:val="0000FF"/>
          <w:sz w:val="28"/>
          <w:szCs w:val="28"/>
          <w:u w:val="single"/>
          <w:lang w:val="en-US" w:eastAsia="ja-JP"/>
        </w:rPr>
      </w:pPr>
      <w:r w:rsidRPr="00FE18D0">
        <w:rPr>
          <w:rFonts w:asciiTheme="majorHAnsi" w:hAnsiTheme="majorHAnsi" w:cs="Calibri"/>
          <w:color w:val="365F91" w:themeColor="accent1" w:themeShade="BF"/>
          <w:sz w:val="28"/>
          <w:szCs w:val="28"/>
          <w:lang w:val="en-US" w:eastAsia="ja-JP"/>
        </w:rPr>
        <w:t>Linda Senden, University of Utrecht, Europa Instituut/RENFORCE</w:t>
      </w:r>
      <w:r w:rsidR="004F3F47">
        <w:rPr>
          <w:rFonts w:asciiTheme="majorHAnsi" w:hAnsiTheme="majorHAnsi" w:cs="Calibri"/>
          <w:color w:val="365F91" w:themeColor="accent1" w:themeShade="BF"/>
          <w:sz w:val="28"/>
          <w:szCs w:val="28"/>
          <w:lang w:val="en-US" w:eastAsia="ja-JP"/>
        </w:rPr>
        <w:t xml:space="preserve"> (</w:t>
      </w:r>
      <w:hyperlink r:id="rId9" w:history="1">
        <w:r w:rsidR="004F3F47" w:rsidRPr="004C7ECD">
          <w:rPr>
            <w:rStyle w:val="Hyperlink"/>
            <w:rFonts w:asciiTheme="majorHAnsi" w:hAnsiTheme="majorHAnsi" w:cs="Calibri"/>
            <w:sz w:val="28"/>
            <w:szCs w:val="28"/>
            <w:lang w:val="en-US" w:eastAsia="ja-JP"/>
          </w:rPr>
          <w:t>http://renforce.rebo.uu.nl</w:t>
        </w:r>
      </w:hyperlink>
      <w:r w:rsidR="004F3F47">
        <w:rPr>
          <w:rFonts w:asciiTheme="majorHAnsi" w:hAnsiTheme="majorHAnsi" w:cs="Calibri"/>
          <w:color w:val="365F91" w:themeColor="accent1" w:themeShade="BF"/>
          <w:sz w:val="28"/>
          <w:szCs w:val="28"/>
          <w:lang w:val="en-US" w:eastAsia="ja-JP"/>
        </w:rPr>
        <w:t>)</w:t>
      </w:r>
      <w:bookmarkStart w:id="0" w:name="_GoBack"/>
      <w:bookmarkEnd w:id="0"/>
    </w:p>
    <w:p w14:paraId="31A43753" w14:textId="77777777" w:rsidR="006A1DA8" w:rsidRPr="00FE18D0" w:rsidRDefault="006A1DA8" w:rsidP="000C5150">
      <w:pPr>
        <w:widowControl w:val="0"/>
        <w:autoSpaceDE w:val="0"/>
        <w:autoSpaceDN w:val="0"/>
        <w:adjustRightInd w:val="0"/>
        <w:spacing w:line="276" w:lineRule="auto"/>
        <w:jc w:val="both"/>
        <w:rPr>
          <w:rFonts w:asciiTheme="majorHAnsi" w:hAnsiTheme="majorHAnsi" w:cs="Helvetica"/>
          <w:color w:val="365F91" w:themeColor="accent1" w:themeShade="BF"/>
          <w:sz w:val="28"/>
          <w:szCs w:val="28"/>
          <w:lang w:val="en-US" w:eastAsia="ja-JP"/>
        </w:rPr>
      </w:pPr>
      <w:r w:rsidRPr="00FE18D0">
        <w:rPr>
          <w:rFonts w:asciiTheme="majorHAnsi" w:hAnsiTheme="majorHAnsi" w:cs="Calibri"/>
          <w:color w:val="365F91" w:themeColor="accent1" w:themeShade="BF"/>
          <w:sz w:val="28"/>
          <w:szCs w:val="28"/>
          <w:lang w:val="en-US" w:eastAsia="ja-JP"/>
        </w:rPr>
        <w:t>Colin Scott, University College Dublin</w:t>
      </w:r>
    </w:p>
    <w:p w14:paraId="03EB467E" w14:textId="77777777" w:rsidR="00D01DEB" w:rsidRPr="00FE18D0" w:rsidRDefault="00D01DEB" w:rsidP="000C5150">
      <w:pPr>
        <w:widowControl w:val="0"/>
        <w:autoSpaceDE w:val="0"/>
        <w:autoSpaceDN w:val="0"/>
        <w:adjustRightInd w:val="0"/>
        <w:spacing w:line="276" w:lineRule="auto"/>
        <w:jc w:val="both"/>
        <w:rPr>
          <w:rFonts w:asciiTheme="majorHAnsi" w:hAnsiTheme="majorHAnsi" w:cs="Calibri"/>
          <w:color w:val="365F91" w:themeColor="accent1" w:themeShade="BF"/>
          <w:sz w:val="28"/>
          <w:szCs w:val="28"/>
          <w:lang w:val="en-US" w:eastAsia="ja-JP"/>
        </w:rPr>
      </w:pPr>
      <w:r w:rsidRPr="00FE18D0">
        <w:rPr>
          <w:rFonts w:asciiTheme="majorHAnsi" w:hAnsiTheme="majorHAnsi" w:cs="Calibri"/>
          <w:color w:val="365F91" w:themeColor="accent1" w:themeShade="BF"/>
          <w:sz w:val="28"/>
          <w:szCs w:val="28"/>
          <w:lang w:val="en-US" w:eastAsia="ja-JP"/>
        </w:rPr>
        <w:t> </w:t>
      </w:r>
    </w:p>
    <w:p w14:paraId="73FC135B" w14:textId="77777777" w:rsidR="0081712C" w:rsidRPr="00FE18D0" w:rsidRDefault="00784193" w:rsidP="000C5150">
      <w:pPr>
        <w:widowControl w:val="0"/>
        <w:autoSpaceDE w:val="0"/>
        <w:autoSpaceDN w:val="0"/>
        <w:adjustRightInd w:val="0"/>
        <w:spacing w:line="276" w:lineRule="auto"/>
        <w:jc w:val="both"/>
        <w:rPr>
          <w:rFonts w:asciiTheme="majorHAnsi" w:hAnsiTheme="majorHAnsi" w:cs="Calibri"/>
          <w:color w:val="365F91" w:themeColor="accent1" w:themeShade="BF"/>
          <w:sz w:val="28"/>
          <w:szCs w:val="28"/>
          <w:lang w:val="en-US" w:eastAsia="ja-JP"/>
        </w:rPr>
      </w:pPr>
      <w:r w:rsidRPr="00FE18D0">
        <w:rPr>
          <w:rFonts w:asciiTheme="majorHAnsi" w:hAnsiTheme="majorHAnsi" w:cs="Calibri"/>
          <w:color w:val="365F91" w:themeColor="accent1" w:themeShade="BF"/>
          <w:sz w:val="28"/>
          <w:szCs w:val="28"/>
          <w:lang w:val="en-US" w:eastAsia="ja-JP"/>
        </w:rPr>
        <w:t>Very p</w:t>
      </w:r>
      <w:r w:rsidR="00A3121A" w:rsidRPr="00FE18D0">
        <w:rPr>
          <w:rFonts w:asciiTheme="majorHAnsi" w:hAnsiTheme="majorHAnsi" w:cs="Calibri"/>
          <w:color w:val="365F91" w:themeColor="accent1" w:themeShade="BF"/>
          <w:sz w:val="28"/>
          <w:szCs w:val="28"/>
          <w:lang w:val="en-US" w:eastAsia="ja-JP"/>
        </w:rPr>
        <w:t xml:space="preserve">reliminary draft – not to be </w:t>
      </w:r>
      <w:proofErr w:type="gramStart"/>
      <w:r w:rsidR="00A3121A" w:rsidRPr="00FE18D0">
        <w:rPr>
          <w:rFonts w:asciiTheme="majorHAnsi" w:hAnsiTheme="majorHAnsi" w:cs="Calibri"/>
          <w:color w:val="365F91" w:themeColor="accent1" w:themeShade="BF"/>
          <w:sz w:val="28"/>
          <w:szCs w:val="28"/>
          <w:lang w:val="en-US" w:eastAsia="ja-JP"/>
        </w:rPr>
        <w:t>quoted !</w:t>
      </w:r>
      <w:proofErr w:type="gramEnd"/>
      <w:r w:rsidR="00A3121A" w:rsidRPr="00FE18D0">
        <w:rPr>
          <w:rFonts w:asciiTheme="majorHAnsi" w:hAnsiTheme="majorHAnsi" w:cs="Calibri"/>
          <w:color w:val="365F91" w:themeColor="accent1" w:themeShade="BF"/>
          <w:sz w:val="28"/>
          <w:szCs w:val="28"/>
          <w:lang w:val="en-US" w:eastAsia="ja-JP"/>
        </w:rPr>
        <w:t>!</w:t>
      </w:r>
    </w:p>
    <w:p w14:paraId="287F841E" w14:textId="77777777" w:rsidR="00A3121A" w:rsidRPr="00FE18D0" w:rsidRDefault="00A3121A" w:rsidP="000C5150">
      <w:pPr>
        <w:widowControl w:val="0"/>
        <w:autoSpaceDE w:val="0"/>
        <w:autoSpaceDN w:val="0"/>
        <w:adjustRightInd w:val="0"/>
        <w:spacing w:line="276" w:lineRule="auto"/>
        <w:jc w:val="both"/>
        <w:rPr>
          <w:rFonts w:asciiTheme="majorHAnsi" w:hAnsiTheme="majorHAnsi" w:cs="Calibri"/>
          <w:color w:val="365F91" w:themeColor="accent1" w:themeShade="BF"/>
          <w:lang w:val="en-US" w:eastAsia="ja-JP"/>
        </w:rPr>
      </w:pPr>
    </w:p>
    <w:p w14:paraId="3EFC48B1" w14:textId="77777777" w:rsidR="0081712C" w:rsidRPr="00FE18D0" w:rsidRDefault="0081712C" w:rsidP="000C5150">
      <w:pPr>
        <w:widowControl w:val="0"/>
        <w:autoSpaceDE w:val="0"/>
        <w:autoSpaceDN w:val="0"/>
        <w:adjustRightInd w:val="0"/>
        <w:spacing w:line="276" w:lineRule="auto"/>
        <w:jc w:val="both"/>
        <w:rPr>
          <w:rFonts w:asciiTheme="majorHAnsi" w:hAnsiTheme="majorHAnsi" w:cs="Calibri"/>
          <w:b/>
          <w:color w:val="365F91" w:themeColor="accent1" w:themeShade="BF"/>
          <w:lang w:val="en-US" w:eastAsia="ja-JP"/>
        </w:rPr>
      </w:pPr>
      <w:r w:rsidRPr="00FE18D0">
        <w:rPr>
          <w:rFonts w:asciiTheme="majorHAnsi" w:hAnsiTheme="majorHAnsi" w:cs="Calibri"/>
          <w:b/>
          <w:color w:val="365F91" w:themeColor="accent1" w:themeShade="BF"/>
          <w:lang w:val="en-US" w:eastAsia="ja-JP"/>
        </w:rPr>
        <w:t>1. Introduction</w:t>
      </w:r>
    </w:p>
    <w:p w14:paraId="6F7D8750" w14:textId="77777777" w:rsidR="0081712C" w:rsidRPr="00FE18D0" w:rsidRDefault="0081712C" w:rsidP="000C5150">
      <w:pPr>
        <w:widowControl w:val="0"/>
        <w:autoSpaceDE w:val="0"/>
        <w:autoSpaceDN w:val="0"/>
        <w:adjustRightInd w:val="0"/>
        <w:spacing w:line="276" w:lineRule="auto"/>
        <w:jc w:val="both"/>
        <w:rPr>
          <w:rFonts w:asciiTheme="majorHAnsi" w:hAnsiTheme="majorHAnsi" w:cs="Helvetica"/>
          <w:color w:val="365F91" w:themeColor="accent1" w:themeShade="BF"/>
          <w:lang w:val="en-US" w:eastAsia="ja-JP"/>
        </w:rPr>
      </w:pPr>
    </w:p>
    <w:p w14:paraId="3DBD002C" w14:textId="77777777" w:rsidR="00EF0CCE" w:rsidRPr="00FE18D0" w:rsidRDefault="00D01DEB" w:rsidP="000C5150">
      <w:pPr>
        <w:spacing w:line="276" w:lineRule="auto"/>
        <w:jc w:val="both"/>
        <w:rPr>
          <w:rFonts w:asciiTheme="majorHAnsi" w:hAnsiTheme="majorHAnsi" w:cs="Calibri"/>
          <w:color w:val="365F91" w:themeColor="accent1" w:themeShade="BF"/>
          <w:lang w:val="en-US" w:eastAsia="ja-JP"/>
        </w:rPr>
      </w:pPr>
      <w:r w:rsidRPr="00FE18D0">
        <w:rPr>
          <w:rFonts w:asciiTheme="majorHAnsi" w:hAnsiTheme="majorHAnsi" w:cs="Calibri"/>
          <w:color w:val="365F91" w:themeColor="accent1" w:themeShade="BF"/>
          <w:lang w:val="en-US" w:eastAsia="ja-JP"/>
        </w:rPr>
        <w:t>An important governance focus in the disciplines of international relations and law over many years has been on the emergence, character and effects of instruments referred to in English as ‘soft law’. Though the category may be thought of as sufficiently well-established not to require the inverted comm</w:t>
      </w:r>
      <w:r w:rsidR="00C70C10">
        <w:rPr>
          <w:rFonts w:asciiTheme="majorHAnsi" w:hAnsiTheme="majorHAnsi" w:cs="Calibri"/>
          <w:color w:val="365F91" w:themeColor="accent1" w:themeShade="BF"/>
          <w:lang w:val="en-US" w:eastAsia="ja-JP"/>
        </w:rPr>
        <w:t>as</w:t>
      </w:r>
      <w:r w:rsidRPr="00FE18D0">
        <w:rPr>
          <w:rFonts w:asciiTheme="majorHAnsi" w:hAnsiTheme="majorHAnsi" w:cs="Calibri"/>
          <w:color w:val="365F91" w:themeColor="accent1" w:themeShade="BF"/>
          <w:lang w:val="en-US" w:eastAsia="ja-JP"/>
        </w:rPr>
        <w:t xml:space="preserve">, recent developments in public and private governance in the EU raise questions about the boundaries of the concept of soft law and how it is theorised in relation to hard law instruments. Conventionally we might think of soft law as emerging in </w:t>
      </w:r>
      <w:r w:rsidR="0081712C" w:rsidRPr="00FE18D0">
        <w:rPr>
          <w:rFonts w:asciiTheme="majorHAnsi" w:hAnsiTheme="majorHAnsi" w:cs="Calibri"/>
          <w:color w:val="365F91" w:themeColor="accent1" w:themeShade="BF"/>
          <w:lang w:val="en-US" w:eastAsia="ja-JP"/>
        </w:rPr>
        <w:t xml:space="preserve">the </w:t>
      </w:r>
      <w:r w:rsidRPr="00FE18D0">
        <w:rPr>
          <w:rFonts w:asciiTheme="majorHAnsi" w:hAnsiTheme="majorHAnsi" w:cs="Calibri"/>
          <w:color w:val="365F91" w:themeColor="accent1" w:themeShade="BF"/>
          <w:lang w:val="en-US" w:eastAsia="ja-JP"/>
        </w:rPr>
        <w:t xml:space="preserve">EU in the </w:t>
      </w:r>
      <w:r w:rsidRPr="00FE18D0">
        <w:rPr>
          <w:rFonts w:asciiTheme="majorHAnsi" w:hAnsiTheme="majorHAnsi" w:cs="Calibri"/>
          <w:color w:val="365F91" w:themeColor="accent1" w:themeShade="BF"/>
          <w:lang w:val="en-US" w:eastAsia="ja-JP"/>
        </w:rPr>
        <w:lastRenderedPageBreak/>
        <w:t xml:space="preserve">shadow of state hierarchy, </w:t>
      </w:r>
      <w:r w:rsidR="00C70C10">
        <w:rPr>
          <w:rFonts w:asciiTheme="majorHAnsi" w:hAnsiTheme="majorHAnsi" w:cs="Calibri"/>
          <w:color w:val="365F91" w:themeColor="accent1" w:themeShade="BF"/>
          <w:lang w:val="en-US" w:eastAsia="ja-JP"/>
        </w:rPr>
        <w:t xml:space="preserve">as </w:t>
      </w:r>
      <w:r w:rsidRPr="00FE18D0">
        <w:rPr>
          <w:rFonts w:asciiTheme="majorHAnsi" w:hAnsiTheme="majorHAnsi" w:cs="Calibri"/>
          <w:color w:val="365F91" w:themeColor="accent1" w:themeShade="BF"/>
          <w:lang w:val="en-US" w:eastAsia="ja-JP"/>
        </w:rPr>
        <w:t xml:space="preserve">non-binding instruments which have normative effects because of public authority, but which are not properly catalogued within the EU </w:t>
      </w:r>
      <w:r w:rsidR="009F5011" w:rsidRPr="00FE18D0">
        <w:rPr>
          <w:rFonts w:asciiTheme="majorHAnsi" w:hAnsiTheme="majorHAnsi" w:cs="Calibri"/>
          <w:color w:val="365F91" w:themeColor="accent1" w:themeShade="BF"/>
          <w:lang w:val="en-US" w:eastAsia="ja-JP"/>
        </w:rPr>
        <w:t>T</w:t>
      </w:r>
      <w:r w:rsidRPr="00FE18D0">
        <w:rPr>
          <w:rFonts w:asciiTheme="majorHAnsi" w:hAnsiTheme="majorHAnsi" w:cs="Calibri"/>
          <w:color w:val="365F91" w:themeColor="accent1" w:themeShade="BF"/>
          <w:lang w:val="en-US" w:eastAsia="ja-JP"/>
        </w:rPr>
        <w:t xml:space="preserve">reaties. While such an approach may be formally correct it risks neglecting both the empirical effects of soft law instruments on the one hand, and the potential for understanding expanded instrument choices </w:t>
      </w:r>
      <w:r w:rsidR="002D7FA5" w:rsidRPr="00FE18D0">
        <w:rPr>
          <w:rFonts w:asciiTheme="majorHAnsi" w:hAnsiTheme="majorHAnsi" w:cs="Calibri"/>
          <w:color w:val="365F91" w:themeColor="accent1" w:themeShade="BF"/>
          <w:lang w:val="en-US" w:eastAsia="ja-JP"/>
        </w:rPr>
        <w:t xml:space="preserve">in policy design on the other.  </w:t>
      </w:r>
      <w:r w:rsidRPr="00FE18D0">
        <w:rPr>
          <w:rFonts w:asciiTheme="majorHAnsi" w:hAnsiTheme="majorHAnsi" w:cs="Calibri"/>
          <w:color w:val="365F91" w:themeColor="accent1" w:themeShade="BF"/>
          <w:lang w:val="en-US" w:eastAsia="ja-JP"/>
        </w:rPr>
        <w:t xml:space="preserve">A further dimension is added when we consider the effects of privately developed norms which are the subject matter of delegation or adoption, either implicitly or explicitly, by EU institutions. While such instruments might conventionally not be understood as soft law measures, lacking direct public authority, the different forms of </w:t>
      </w:r>
      <w:proofErr w:type="gramStart"/>
      <w:r w:rsidRPr="00FE18D0">
        <w:rPr>
          <w:rFonts w:asciiTheme="majorHAnsi" w:hAnsiTheme="majorHAnsi" w:cs="Calibri"/>
          <w:color w:val="365F91" w:themeColor="accent1" w:themeShade="BF"/>
          <w:lang w:val="en-US" w:eastAsia="ja-JP"/>
        </w:rPr>
        <w:t>complementarity which have</w:t>
      </w:r>
      <w:proofErr w:type="gramEnd"/>
      <w:r w:rsidRPr="00FE18D0">
        <w:rPr>
          <w:rFonts w:asciiTheme="majorHAnsi" w:hAnsiTheme="majorHAnsi" w:cs="Calibri"/>
          <w:color w:val="365F91" w:themeColor="accent1" w:themeShade="BF"/>
          <w:lang w:val="en-US" w:eastAsia="ja-JP"/>
        </w:rPr>
        <w:t xml:space="preserve"> eme</w:t>
      </w:r>
      <w:r w:rsidR="0081712C" w:rsidRPr="00FE18D0">
        <w:rPr>
          <w:rFonts w:asciiTheme="majorHAnsi" w:hAnsiTheme="majorHAnsi" w:cs="Calibri"/>
          <w:color w:val="365F91" w:themeColor="accent1" w:themeShade="BF"/>
          <w:lang w:val="en-US" w:eastAsia="ja-JP"/>
        </w:rPr>
        <w:t xml:space="preserve">rged between public action and </w:t>
      </w:r>
      <w:r w:rsidRPr="00FE18D0">
        <w:rPr>
          <w:rFonts w:asciiTheme="majorHAnsi" w:hAnsiTheme="majorHAnsi" w:cs="Calibri"/>
          <w:color w:val="365F91" w:themeColor="accent1" w:themeShade="BF"/>
          <w:lang w:val="en-US" w:eastAsia="ja-JP"/>
        </w:rPr>
        <w:t xml:space="preserve">private instruments may be thought of as </w:t>
      </w:r>
      <w:r w:rsidR="00C70C10">
        <w:rPr>
          <w:rFonts w:asciiTheme="majorHAnsi" w:hAnsiTheme="majorHAnsi" w:cs="Calibri"/>
          <w:color w:val="365F91" w:themeColor="accent1" w:themeShade="BF"/>
          <w:lang w:val="en-US" w:eastAsia="ja-JP"/>
        </w:rPr>
        <w:t xml:space="preserve">sufficiently </w:t>
      </w:r>
      <w:r w:rsidRPr="00FE18D0">
        <w:rPr>
          <w:rFonts w:asciiTheme="majorHAnsi" w:hAnsiTheme="majorHAnsi" w:cs="Calibri"/>
          <w:color w:val="365F91" w:themeColor="accent1" w:themeShade="BF"/>
          <w:lang w:val="en-US" w:eastAsia="ja-JP"/>
        </w:rPr>
        <w:t>supplying the public imprimatur which is a characteristic of soft law. Taken together such developments suggest a complex normative map comprising both actors and instruments of public and private character which requires a re-evaluation of the character, boundaries, legitimacy and effects of soft law as a mode of governance.</w:t>
      </w:r>
    </w:p>
    <w:p w14:paraId="16BC786C" w14:textId="77777777" w:rsidR="00D01DEB" w:rsidRPr="00FE18D0" w:rsidRDefault="00D01DEB" w:rsidP="000C5150">
      <w:pPr>
        <w:spacing w:line="276" w:lineRule="auto"/>
        <w:jc w:val="both"/>
        <w:rPr>
          <w:rFonts w:asciiTheme="majorHAnsi" w:hAnsiTheme="majorHAnsi" w:cs="Calibri"/>
          <w:color w:val="365F91" w:themeColor="accent1" w:themeShade="BF"/>
          <w:lang w:val="en-US" w:eastAsia="ja-JP"/>
        </w:rPr>
      </w:pPr>
    </w:p>
    <w:p w14:paraId="576471F1" w14:textId="77777777" w:rsidR="00A1471A" w:rsidRDefault="0081712C" w:rsidP="000C5150">
      <w:pPr>
        <w:spacing w:line="276" w:lineRule="auto"/>
        <w:jc w:val="both"/>
        <w:rPr>
          <w:rFonts w:asciiTheme="majorHAnsi" w:hAnsiTheme="majorHAnsi" w:cs="Tahoma"/>
          <w:color w:val="365F91" w:themeColor="accent1" w:themeShade="BF"/>
          <w:lang w:val="en-US" w:eastAsia="ja-JP"/>
        </w:rPr>
      </w:pPr>
      <w:r w:rsidRPr="00FE18D0">
        <w:rPr>
          <w:rFonts w:asciiTheme="majorHAnsi" w:hAnsiTheme="majorHAnsi" w:cs="Calibri"/>
          <w:color w:val="365F91" w:themeColor="accent1" w:themeShade="BF"/>
          <w:lang w:val="en-US" w:eastAsia="ja-JP"/>
        </w:rPr>
        <w:t>In this contribution we explore these tw</w:t>
      </w:r>
      <w:r w:rsidR="00A83F00" w:rsidRPr="00FE18D0">
        <w:rPr>
          <w:rFonts w:asciiTheme="majorHAnsi" w:hAnsiTheme="majorHAnsi" w:cs="Calibri"/>
          <w:color w:val="365F91" w:themeColor="accent1" w:themeShade="BF"/>
          <w:lang w:val="en-US" w:eastAsia="ja-JP"/>
        </w:rPr>
        <w:t>o dimensions of the</w:t>
      </w:r>
      <w:r w:rsidRPr="00FE18D0">
        <w:rPr>
          <w:rFonts w:asciiTheme="majorHAnsi" w:hAnsiTheme="majorHAnsi" w:cs="Calibri"/>
          <w:color w:val="365F91" w:themeColor="accent1" w:themeShade="BF"/>
          <w:lang w:val="en-US" w:eastAsia="ja-JP"/>
        </w:rPr>
        <w:t xml:space="preserve"> increasingly complex normative map</w:t>
      </w:r>
      <w:r w:rsidR="009F5011" w:rsidRPr="00FE18D0">
        <w:rPr>
          <w:rFonts w:asciiTheme="majorHAnsi" w:hAnsiTheme="majorHAnsi" w:cs="Calibri"/>
          <w:color w:val="365F91" w:themeColor="accent1" w:themeShade="BF"/>
          <w:lang w:val="en-US" w:eastAsia="ja-JP"/>
        </w:rPr>
        <w:t xml:space="preserve">. We wish to identify in particular the </w:t>
      </w:r>
      <w:r w:rsidRPr="00FE18D0">
        <w:rPr>
          <w:rFonts w:asciiTheme="majorHAnsi" w:hAnsiTheme="majorHAnsi" w:cs="Tahoma"/>
          <w:color w:val="365F91" w:themeColor="accent1" w:themeShade="BF"/>
          <w:lang w:val="en-US" w:eastAsia="ja-JP"/>
        </w:rPr>
        <w:t xml:space="preserve">different </w:t>
      </w:r>
      <w:r w:rsidR="00D01DEB" w:rsidRPr="00FE18D0">
        <w:rPr>
          <w:rFonts w:asciiTheme="majorHAnsi" w:hAnsiTheme="majorHAnsi" w:cs="Tahoma"/>
          <w:color w:val="365F91" w:themeColor="accent1" w:themeShade="BF"/>
          <w:lang w:val="en-US" w:eastAsia="ja-JP"/>
        </w:rPr>
        <w:t>types of complementarities between hard</w:t>
      </w:r>
      <w:r w:rsidRPr="00FE18D0">
        <w:rPr>
          <w:rFonts w:asciiTheme="majorHAnsi" w:hAnsiTheme="majorHAnsi" w:cs="Tahoma"/>
          <w:color w:val="365F91" w:themeColor="accent1" w:themeShade="BF"/>
          <w:lang w:val="en-US" w:eastAsia="ja-JP"/>
        </w:rPr>
        <w:t xml:space="preserve"> law</w:t>
      </w:r>
      <w:r w:rsidR="00D01DEB" w:rsidRPr="00FE18D0">
        <w:rPr>
          <w:rFonts w:asciiTheme="majorHAnsi" w:hAnsiTheme="majorHAnsi" w:cs="Tahoma"/>
          <w:color w:val="365F91" w:themeColor="accent1" w:themeShade="BF"/>
          <w:lang w:val="en-US" w:eastAsia="ja-JP"/>
        </w:rPr>
        <w:t xml:space="preserve"> and soft l</w:t>
      </w:r>
      <w:r w:rsidRPr="00FE18D0">
        <w:rPr>
          <w:rFonts w:asciiTheme="majorHAnsi" w:hAnsiTheme="majorHAnsi" w:cs="Tahoma"/>
          <w:color w:val="365F91" w:themeColor="accent1" w:themeShade="BF"/>
          <w:lang w:val="en-US" w:eastAsia="ja-JP"/>
        </w:rPr>
        <w:t xml:space="preserve">aw </w:t>
      </w:r>
      <w:r w:rsidR="009F5011" w:rsidRPr="00FE18D0">
        <w:rPr>
          <w:rFonts w:asciiTheme="majorHAnsi" w:hAnsiTheme="majorHAnsi" w:cs="Tahoma"/>
          <w:color w:val="365F91" w:themeColor="accent1" w:themeShade="BF"/>
          <w:lang w:val="en-US" w:eastAsia="ja-JP"/>
        </w:rPr>
        <w:t xml:space="preserve">that currently emerge </w:t>
      </w:r>
      <w:r w:rsidRPr="00FE18D0">
        <w:rPr>
          <w:rFonts w:asciiTheme="majorHAnsi" w:hAnsiTheme="majorHAnsi" w:cs="Tahoma"/>
          <w:color w:val="365F91" w:themeColor="accent1" w:themeShade="BF"/>
          <w:lang w:val="en-US" w:eastAsia="ja-JP"/>
        </w:rPr>
        <w:t>within the context of the EU</w:t>
      </w:r>
      <w:r w:rsidR="009F5011" w:rsidRPr="00FE18D0">
        <w:rPr>
          <w:rFonts w:asciiTheme="majorHAnsi" w:hAnsiTheme="majorHAnsi" w:cs="Tahoma"/>
          <w:color w:val="365F91" w:themeColor="accent1" w:themeShade="BF"/>
          <w:lang w:val="en-US" w:eastAsia="ja-JP"/>
        </w:rPr>
        <w:t xml:space="preserve"> and that involve a multitude of actors, both public and private and operating at the EU, national and transnational levels</w:t>
      </w:r>
      <w:r w:rsidR="00BD54DC" w:rsidRPr="00FE18D0">
        <w:rPr>
          <w:rFonts w:asciiTheme="majorHAnsi" w:hAnsiTheme="majorHAnsi" w:cs="Tahoma"/>
          <w:color w:val="365F91" w:themeColor="accent1" w:themeShade="BF"/>
          <w:lang w:val="en-US" w:eastAsia="ja-JP"/>
        </w:rPr>
        <w:t>. First, we focus on what we</w:t>
      </w:r>
      <w:r w:rsidRPr="00FE18D0">
        <w:rPr>
          <w:rFonts w:asciiTheme="majorHAnsi" w:hAnsiTheme="majorHAnsi" w:cs="Tahoma"/>
          <w:color w:val="365F91" w:themeColor="accent1" w:themeShade="BF"/>
          <w:lang w:val="en-US" w:eastAsia="ja-JP"/>
        </w:rPr>
        <w:t xml:space="preserve"> </w:t>
      </w:r>
      <w:r w:rsidR="00A83F00" w:rsidRPr="00FE18D0">
        <w:rPr>
          <w:rFonts w:asciiTheme="majorHAnsi" w:hAnsiTheme="majorHAnsi" w:cs="Tahoma"/>
          <w:color w:val="365F91" w:themeColor="accent1" w:themeShade="BF"/>
          <w:lang w:val="en-US" w:eastAsia="ja-JP"/>
        </w:rPr>
        <w:t xml:space="preserve">label </w:t>
      </w:r>
      <w:r w:rsidRPr="00FE18D0">
        <w:rPr>
          <w:rFonts w:asciiTheme="majorHAnsi" w:hAnsiTheme="majorHAnsi" w:cs="Tahoma"/>
          <w:color w:val="365F91" w:themeColor="accent1" w:themeShade="BF"/>
          <w:lang w:val="en-US" w:eastAsia="ja-JP"/>
        </w:rPr>
        <w:t xml:space="preserve">as the </w:t>
      </w:r>
      <w:r w:rsidRPr="00FE18D0">
        <w:rPr>
          <w:rFonts w:asciiTheme="majorHAnsi" w:hAnsiTheme="majorHAnsi" w:cs="Tahoma"/>
          <w:i/>
          <w:color w:val="365F91" w:themeColor="accent1" w:themeShade="BF"/>
          <w:lang w:val="en-US" w:eastAsia="ja-JP"/>
        </w:rPr>
        <w:t>soft public law dimension</w:t>
      </w:r>
      <w:r w:rsidR="00D01DEB" w:rsidRPr="00FE18D0">
        <w:rPr>
          <w:rFonts w:asciiTheme="majorHAnsi" w:hAnsiTheme="majorHAnsi" w:cs="Tahoma"/>
          <w:color w:val="365F91" w:themeColor="accent1" w:themeShade="BF"/>
          <w:lang w:val="en-US" w:eastAsia="ja-JP"/>
        </w:rPr>
        <w:t xml:space="preserve">, </w:t>
      </w:r>
      <w:r w:rsidR="00651ED2" w:rsidRPr="00FE18D0">
        <w:rPr>
          <w:rFonts w:asciiTheme="majorHAnsi" w:hAnsiTheme="majorHAnsi" w:cs="Tahoma"/>
          <w:color w:val="365F91" w:themeColor="accent1" w:themeShade="BF"/>
          <w:lang w:val="en-US" w:eastAsia="ja-JP"/>
        </w:rPr>
        <w:t xml:space="preserve">referring to </w:t>
      </w:r>
      <w:r w:rsidR="002D7FA5" w:rsidRPr="00FE18D0">
        <w:rPr>
          <w:rFonts w:asciiTheme="majorHAnsi" w:hAnsiTheme="majorHAnsi" w:cs="Tahoma"/>
          <w:color w:val="365F91" w:themeColor="accent1" w:themeShade="BF"/>
          <w:lang w:val="en-US" w:eastAsia="ja-JP"/>
        </w:rPr>
        <w:t xml:space="preserve">soft law originating from a public source but </w:t>
      </w:r>
      <w:r w:rsidR="00651ED2" w:rsidRPr="00FE18D0">
        <w:rPr>
          <w:rFonts w:asciiTheme="majorHAnsi" w:hAnsiTheme="majorHAnsi" w:cs="Tahoma"/>
          <w:color w:val="365F91" w:themeColor="accent1" w:themeShade="BF"/>
          <w:lang w:val="en-US" w:eastAsia="ja-JP"/>
        </w:rPr>
        <w:t xml:space="preserve">which finds itself in the shadow of the system of legal </w:t>
      </w:r>
      <w:r w:rsidR="00D01DEB" w:rsidRPr="00FE18D0">
        <w:rPr>
          <w:rFonts w:asciiTheme="majorHAnsi" w:hAnsiTheme="majorHAnsi" w:cs="Tahoma"/>
          <w:color w:val="365F91" w:themeColor="accent1" w:themeShade="BF"/>
          <w:lang w:val="en-US" w:eastAsia="ja-JP"/>
        </w:rPr>
        <w:t xml:space="preserve">instruments </w:t>
      </w:r>
      <w:r w:rsidR="00651ED2" w:rsidRPr="00FE18D0">
        <w:rPr>
          <w:rFonts w:asciiTheme="majorHAnsi" w:hAnsiTheme="majorHAnsi" w:cs="Tahoma"/>
          <w:color w:val="365F91" w:themeColor="accent1" w:themeShade="BF"/>
          <w:lang w:val="en-US" w:eastAsia="ja-JP"/>
        </w:rPr>
        <w:t xml:space="preserve">and hierarchy of norms </w:t>
      </w:r>
      <w:r w:rsidR="00D01DEB" w:rsidRPr="00FE18D0">
        <w:rPr>
          <w:rFonts w:asciiTheme="majorHAnsi" w:hAnsiTheme="majorHAnsi" w:cs="Tahoma"/>
          <w:color w:val="365F91" w:themeColor="accent1" w:themeShade="BF"/>
          <w:lang w:val="en-US" w:eastAsia="ja-JP"/>
        </w:rPr>
        <w:t xml:space="preserve">the Treaty of Lisbon put into place. </w:t>
      </w:r>
      <w:r w:rsidRPr="00FE18D0">
        <w:rPr>
          <w:rFonts w:asciiTheme="majorHAnsi" w:hAnsiTheme="majorHAnsi" w:cs="Tahoma"/>
          <w:color w:val="365F91" w:themeColor="accent1" w:themeShade="BF"/>
          <w:lang w:val="en-US" w:eastAsia="ja-JP"/>
        </w:rPr>
        <w:t xml:space="preserve">This concerns </w:t>
      </w:r>
      <w:r w:rsidR="00651ED2" w:rsidRPr="00FE18D0">
        <w:rPr>
          <w:rFonts w:asciiTheme="majorHAnsi" w:hAnsiTheme="majorHAnsi" w:cs="Tahoma"/>
          <w:color w:val="365F91" w:themeColor="accent1" w:themeShade="BF"/>
          <w:lang w:val="en-US" w:eastAsia="ja-JP"/>
        </w:rPr>
        <w:t>not only</w:t>
      </w:r>
      <w:r w:rsidRPr="00FE18D0">
        <w:rPr>
          <w:rFonts w:asciiTheme="majorHAnsi" w:hAnsiTheme="majorHAnsi" w:cs="Tahoma"/>
          <w:color w:val="365F91" w:themeColor="accent1" w:themeShade="BF"/>
          <w:lang w:val="en-US" w:eastAsia="ja-JP"/>
        </w:rPr>
        <w:t xml:space="preserve"> soft law </w:t>
      </w:r>
      <w:r w:rsidR="00651ED2" w:rsidRPr="00FE18D0">
        <w:rPr>
          <w:rFonts w:asciiTheme="majorHAnsi" w:hAnsiTheme="majorHAnsi" w:cs="Tahoma"/>
          <w:color w:val="365F91" w:themeColor="accent1" w:themeShade="BF"/>
          <w:lang w:val="en-US" w:eastAsia="ja-JP"/>
        </w:rPr>
        <w:t xml:space="preserve">acts adopted by </w:t>
      </w:r>
      <w:r w:rsidR="00A83F00" w:rsidRPr="00FE18D0">
        <w:rPr>
          <w:rFonts w:asciiTheme="majorHAnsi" w:hAnsiTheme="majorHAnsi" w:cs="Tahoma"/>
          <w:color w:val="365F91" w:themeColor="accent1" w:themeShade="BF"/>
          <w:lang w:val="en-US" w:eastAsia="ja-JP"/>
        </w:rPr>
        <w:t xml:space="preserve">the </w:t>
      </w:r>
      <w:r w:rsidR="00651ED2" w:rsidRPr="00FE18D0">
        <w:rPr>
          <w:rFonts w:asciiTheme="majorHAnsi" w:hAnsiTheme="majorHAnsi" w:cs="Tahoma"/>
          <w:color w:val="365F91" w:themeColor="accent1" w:themeShade="BF"/>
          <w:lang w:val="en-US" w:eastAsia="ja-JP"/>
        </w:rPr>
        <w:t xml:space="preserve">European </w:t>
      </w:r>
      <w:r w:rsidR="00A83F00" w:rsidRPr="00FE18D0">
        <w:rPr>
          <w:rFonts w:asciiTheme="majorHAnsi" w:hAnsiTheme="majorHAnsi" w:cs="Tahoma"/>
          <w:color w:val="365F91" w:themeColor="accent1" w:themeShade="BF"/>
          <w:lang w:val="en-US" w:eastAsia="ja-JP"/>
        </w:rPr>
        <w:t>Commission</w:t>
      </w:r>
      <w:r w:rsidR="00651ED2" w:rsidRPr="00FE18D0">
        <w:rPr>
          <w:rFonts w:asciiTheme="majorHAnsi" w:hAnsiTheme="majorHAnsi" w:cs="Tahoma"/>
          <w:color w:val="365F91" w:themeColor="accent1" w:themeShade="BF"/>
          <w:lang w:val="en-US" w:eastAsia="ja-JP"/>
        </w:rPr>
        <w:t>, but also by</w:t>
      </w:r>
      <w:r w:rsidR="00A83F00" w:rsidRPr="00FE18D0">
        <w:rPr>
          <w:rFonts w:asciiTheme="majorHAnsi" w:hAnsiTheme="majorHAnsi" w:cs="Tahoma"/>
          <w:color w:val="365F91" w:themeColor="accent1" w:themeShade="BF"/>
          <w:lang w:val="en-US" w:eastAsia="ja-JP"/>
        </w:rPr>
        <w:t xml:space="preserve"> </w:t>
      </w:r>
      <w:r w:rsidRPr="00FE18D0">
        <w:rPr>
          <w:rFonts w:asciiTheme="majorHAnsi" w:hAnsiTheme="majorHAnsi" w:cs="Tahoma"/>
          <w:color w:val="365F91" w:themeColor="accent1" w:themeShade="BF"/>
          <w:lang w:val="en-US" w:eastAsia="ja-JP"/>
        </w:rPr>
        <w:t xml:space="preserve">Union agencies </w:t>
      </w:r>
      <w:r w:rsidR="00651ED2" w:rsidRPr="00FE18D0">
        <w:rPr>
          <w:rFonts w:asciiTheme="majorHAnsi" w:hAnsiTheme="majorHAnsi" w:cs="Tahoma"/>
          <w:color w:val="365F91" w:themeColor="accent1" w:themeShade="BF"/>
          <w:lang w:val="en-US" w:eastAsia="ja-JP"/>
        </w:rPr>
        <w:t>and intergovernmental networks. These include for instance the new financial agencies (</w:t>
      </w:r>
      <w:r w:rsidR="00C70C10">
        <w:rPr>
          <w:rFonts w:asciiTheme="majorHAnsi" w:hAnsiTheme="majorHAnsi" w:cs="Tahoma"/>
          <w:color w:val="365F91" w:themeColor="accent1" w:themeShade="BF"/>
          <w:lang w:val="en-US" w:eastAsia="ja-JP"/>
        </w:rPr>
        <w:t>eg</w:t>
      </w:r>
      <w:r w:rsidR="00651ED2" w:rsidRPr="00FE18D0">
        <w:rPr>
          <w:rFonts w:asciiTheme="majorHAnsi" w:hAnsiTheme="majorHAnsi" w:cs="Tahoma"/>
          <w:color w:val="365F91" w:themeColor="accent1" w:themeShade="BF"/>
          <w:lang w:val="en-US" w:eastAsia="ja-JP"/>
        </w:rPr>
        <w:t>. ESMA) but also older agencies l</w:t>
      </w:r>
      <w:r w:rsidRPr="00FE18D0">
        <w:rPr>
          <w:rFonts w:asciiTheme="majorHAnsi" w:hAnsiTheme="majorHAnsi" w:cs="Tahoma"/>
          <w:color w:val="365F91" w:themeColor="accent1" w:themeShade="BF"/>
          <w:lang w:val="en-US" w:eastAsia="ja-JP"/>
        </w:rPr>
        <w:t xml:space="preserve">ike the European Aviation Safety Agency (EASA). </w:t>
      </w:r>
      <w:r w:rsidR="00DD1E49" w:rsidRPr="00FE18D0">
        <w:rPr>
          <w:rFonts w:asciiTheme="majorHAnsi" w:hAnsiTheme="majorHAnsi" w:cs="Tahoma"/>
          <w:color w:val="365F91" w:themeColor="accent1" w:themeShade="BF"/>
          <w:lang w:val="en-US" w:eastAsia="ja-JP"/>
        </w:rPr>
        <w:t>Intergovernmental networks producing soft law can be found in the area of communications</w:t>
      </w:r>
      <w:r w:rsidR="00EE6742" w:rsidRPr="00FE18D0">
        <w:rPr>
          <w:rFonts w:asciiTheme="majorHAnsi" w:hAnsiTheme="majorHAnsi" w:cs="Tahoma"/>
          <w:color w:val="365F91" w:themeColor="accent1" w:themeShade="BF"/>
          <w:lang w:val="en-US" w:eastAsia="ja-JP"/>
        </w:rPr>
        <w:t xml:space="preserve"> and</w:t>
      </w:r>
      <w:r w:rsidR="00DD1E49" w:rsidRPr="00FE18D0">
        <w:rPr>
          <w:rFonts w:asciiTheme="majorHAnsi" w:hAnsiTheme="majorHAnsi" w:cs="Tahoma"/>
          <w:color w:val="365F91" w:themeColor="accent1" w:themeShade="BF"/>
          <w:lang w:val="en-US" w:eastAsia="ja-JP"/>
        </w:rPr>
        <w:t xml:space="preserve"> competition</w:t>
      </w:r>
      <w:r w:rsidR="00EE6742" w:rsidRPr="00FE18D0">
        <w:rPr>
          <w:rFonts w:asciiTheme="majorHAnsi" w:hAnsiTheme="majorHAnsi" w:cs="Tahoma"/>
          <w:b/>
          <w:color w:val="365F91" w:themeColor="accent1" w:themeShade="BF"/>
          <w:lang w:val="en-US" w:eastAsia="ja-JP"/>
        </w:rPr>
        <w:t xml:space="preserve">. </w:t>
      </w:r>
      <w:r w:rsidR="00EE6742" w:rsidRPr="00FE18D0">
        <w:rPr>
          <w:rFonts w:asciiTheme="majorHAnsi" w:hAnsiTheme="majorHAnsi" w:cs="Tahoma"/>
          <w:color w:val="365F91" w:themeColor="accent1" w:themeShade="BF"/>
          <w:lang w:val="en-US" w:eastAsia="ja-JP"/>
        </w:rPr>
        <w:t>Examples include</w:t>
      </w:r>
      <w:r w:rsidR="00ED6FC0" w:rsidRPr="00FE18D0">
        <w:rPr>
          <w:rFonts w:asciiTheme="majorHAnsi" w:hAnsiTheme="majorHAnsi" w:cs="Tahoma"/>
          <w:color w:val="365F91" w:themeColor="accent1" w:themeShade="BF"/>
          <w:lang w:val="en-US" w:eastAsia="ja-JP"/>
        </w:rPr>
        <w:t xml:space="preserve"> policy making by BEREC to implement the European Commission’s preference for a soft law approach in ‘Europe’s Policy Options for a Dynamic and Trustworthy Internet of Things’ (2013) and the quite formal activities of the European Competition Network working groups, addressing the effects of a measure of devolution to national competition authorities under Regulation 1/2003</w:t>
      </w:r>
      <w:r w:rsidR="00DD1E49" w:rsidRPr="00FE18D0">
        <w:rPr>
          <w:rFonts w:asciiTheme="majorHAnsi" w:hAnsiTheme="majorHAnsi" w:cs="Tahoma"/>
          <w:color w:val="365F91" w:themeColor="accent1" w:themeShade="BF"/>
          <w:lang w:val="en-US" w:eastAsia="ja-JP"/>
        </w:rPr>
        <w:t>.</w:t>
      </w:r>
      <w:r w:rsidR="00EE6742" w:rsidRPr="00FE18D0">
        <w:rPr>
          <w:rFonts w:asciiTheme="majorHAnsi" w:hAnsiTheme="majorHAnsi" w:cs="Tahoma"/>
          <w:color w:val="365F91" w:themeColor="accent1" w:themeShade="BF"/>
          <w:lang w:val="en-US" w:eastAsia="ja-JP"/>
        </w:rPr>
        <w:t xml:space="preserve"> Tellingly, the </w:t>
      </w:r>
      <w:proofErr w:type="gramStart"/>
      <w:r w:rsidR="00EE6742" w:rsidRPr="00FE18D0">
        <w:rPr>
          <w:rFonts w:asciiTheme="majorHAnsi" w:hAnsiTheme="majorHAnsi" w:cs="Tahoma"/>
          <w:color w:val="365F91" w:themeColor="accent1" w:themeShade="BF"/>
          <w:lang w:val="en-US" w:eastAsia="ja-JP"/>
        </w:rPr>
        <w:t>emergence of both these networks was driven by the European Commission</w:t>
      </w:r>
      <w:proofErr w:type="gramEnd"/>
      <w:r w:rsidR="00EE6742" w:rsidRPr="00FE18D0">
        <w:rPr>
          <w:rFonts w:asciiTheme="majorHAnsi" w:hAnsiTheme="majorHAnsi" w:cs="Tahoma"/>
          <w:color w:val="365F91" w:themeColor="accent1" w:themeShade="BF"/>
          <w:lang w:val="en-US" w:eastAsia="ja-JP"/>
        </w:rPr>
        <w:t xml:space="preserve">. </w:t>
      </w:r>
      <w:r w:rsidR="00DD1E49" w:rsidRPr="00FE18D0">
        <w:rPr>
          <w:rFonts w:asciiTheme="majorHAnsi" w:hAnsiTheme="majorHAnsi" w:cs="Tahoma"/>
          <w:color w:val="365F91" w:themeColor="accent1" w:themeShade="BF"/>
          <w:lang w:val="en-US" w:eastAsia="ja-JP"/>
        </w:rPr>
        <w:t xml:space="preserve"> Even more th</w:t>
      </w:r>
      <w:r w:rsidR="00C70C10">
        <w:rPr>
          <w:rFonts w:asciiTheme="majorHAnsi" w:hAnsiTheme="majorHAnsi" w:cs="Tahoma"/>
          <w:color w:val="365F91" w:themeColor="accent1" w:themeShade="BF"/>
          <w:lang w:val="en-US" w:eastAsia="ja-JP"/>
        </w:rPr>
        <w:t>a</w:t>
      </w:r>
      <w:r w:rsidR="00DD1E49" w:rsidRPr="00FE18D0">
        <w:rPr>
          <w:rFonts w:asciiTheme="majorHAnsi" w:hAnsiTheme="majorHAnsi" w:cs="Tahoma"/>
          <w:color w:val="365F91" w:themeColor="accent1" w:themeShade="BF"/>
          <w:lang w:val="en-US" w:eastAsia="ja-JP"/>
        </w:rPr>
        <w:t xml:space="preserve">n </w:t>
      </w:r>
      <w:r w:rsidR="00EE6742" w:rsidRPr="00FE18D0">
        <w:rPr>
          <w:rFonts w:asciiTheme="majorHAnsi" w:hAnsiTheme="majorHAnsi" w:cs="Tahoma"/>
          <w:color w:val="365F91" w:themeColor="accent1" w:themeShade="BF"/>
          <w:lang w:val="en-US" w:eastAsia="ja-JP"/>
        </w:rPr>
        <w:t xml:space="preserve">with </w:t>
      </w:r>
      <w:r w:rsidR="00DD1E49" w:rsidRPr="00FE18D0">
        <w:rPr>
          <w:rFonts w:asciiTheme="majorHAnsi" w:hAnsiTheme="majorHAnsi" w:cs="Tahoma"/>
          <w:color w:val="365F91" w:themeColor="accent1" w:themeShade="BF"/>
          <w:lang w:val="en-US" w:eastAsia="ja-JP"/>
        </w:rPr>
        <w:t xml:space="preserve">the case </w:t>
      </w:r>
      <w:r w:rsidR="00EE6742" w:rsidRPr="00FE18D0">
        <w:rPr>
          <w:rFonts w:asciiTheme="majorHAnsi" w:hAnsiTheme="majorHAnsi" w:cs="Tahoma"/>
          <w:color w:val="365F91" w:themeColor="accent1" w:themeShade="BF"/>
          <w:lang w:val="en-US" w:eastAsia="ja-JP"/>
        </w:rPr>
        <w:t>of</w:t>
      </w:r>
      <w:r w:rsidR="00DD1E49" w:rsidRPr="00FE18D0">
        <w:rPr>
          <w:rFonts w:asciiTheme="majorHAnsi" w:hAnsiTheme="majorHAnsi" w:cs="Tahoma"/>
          <w:color w:val="365F91" w:themeColor="accent1" w:themeShade="BF"/>
          <w:lang w:val="en-US" w:eastAsia="ja-JP"/>
        </w:rPr>
        <w:t xml:space="preserve"> Commission soft law, </w:t>
      </w:r>
      <w:r w:rsidR="00EE6742" w:rsidRPr="00FE18D0">
        <w:rPr>
          <w:rFonts w:asciiTheme="majorHAnsi" w:hAnsiTheme="majorHAnsi" w:cs="Tahoma"/>
          <w:color w:val="365F91" w:themeColor="accent1" w:themeShade="BF"/>
          <w:lang w:val="en-US" w:eastAsia="ja-JP"/>
        </w:rPr>
        <w:t>the development</w:t>
      </w:r>
      <w:r w:rsidR="00555F65" w:rsidRPr="00FE18D0">
        <w:rPr>
          <w:rFonts w:asciiTheme="majorHAnsi" w:hAnsiTheme="majorHAnsi" w:cs="Tahoma"/>
          <w:color w:val="365F91" w:themeColor="accent1" w:themeShade="BF"/>
          <w:lang w:val="en-US" w:eastAsia="ja-JP"/>
        </w:rPr>
        <w:t xml:space="preserve"> </w:t>
      </w:r>
      <w:r w:rsidR="00EE6742" w:rsidRPr="00FE18D0">
        <w:rPr>
          <w:rFonts w:asciiTheme="majorHAnsi" w:hAnsiTheme="majorHAnsi" w:cs="Tahoma"/>
          <w:color w:val="365F91" w:themeColor="accent1" w:themeShade="BF"/>
          <w:lang w:val="en-US" w:eastAsia="ja-JP"/>
        </w:rPr>
        <w:t xml:space="preserve">of </w:t>
      </w:r>
      <w:r w:rsidR="00555F65" w:rsidRPr="00FE18D0">
        <w:rPr>
          <w:rFonts w:asciiTheme="majorHAnsi" w:hAnsiTheme="majorHAnsi" w:cs="Tahoma"/>
          <w:color w:val="365F91" w:themeColor="accent1" w:themeShade="BF"/>
          <w:lang w:val="en-US" w:eastAsia="ja-JP"/>
        </w:rPr>
        <w:t>soft law</w:t>
      </w:r>
      <w:r w:rsidR="00EE6742" w:rsidRPr="00FE18D0">
        <w:rPr>
          <w:rFonts w:asciiTheme="majorHAnsi" w:hAnsiTheme="majorHAnsi" w:cs="Tahoma"/>
          <w:color w:val="365F91" w:themeColor="accent1" w:themeShade="BF"/>
          <w:lang w:val="en-US" w:eastAsia="ja-JP"/>
        </w:rPr>
        <w:t xml:space="preserve"> in such networks</w:t>
      </w:r>
      <w:r w:rsidR="00555F65" w:rsidRPr="00FE18D0">
        <w:rPr>
          <w:rFonts w:asciiTheme="majorHAnsi" w:hAnsiTheme="majorHAnsi" w:cs="Tahoma"/>
          <w:color w:val="365F91" w:themeColor="accent1" w:themeShade="BF"/>
          <w:lang w:val="en-US" w:eastAsia="ja-JP"/>
        </w:rPr>
        <w:t xml:space="preserve"> </w:t>
      </w:r>
      <w:r w:rsidR="00EE6742" w:rsidRPr="00FE18D0">
        <w:rPr>
          <w:rFonts w:asciiTheme="majorHAnsi" w:hAnsiTheme="majorHAnsi" w:cs="Tahoma"/>
          <w:color w:val="365F91" w:themeColor="accent1" w:themeShade="BF"/>
          <w:lang w:val="en-US" w:eastAsia="ja-JP"/>
        </w:rPr>
        <w:t>tends to go</w:t>
      </w:r>
      <w:r w:rsidR="00555F65" w:rsidRPr="00FE18D0">
        <w:rPr>
          <w:rFonts w:asciiTheme="majorHAnsi" w:hAnsiTheme="majorHAnsi" w:cs="Tahoma"/>
          <w:color w:val="365F91" w:themeColor="accent1" w:themeShade="BF"/>
          <w:lang w:val="en-US" w:eastAsia="ja-JP"/>
        </w:rPr>
        <w:t xml:space="preserve"> underground within the </w:t>
      </w:r>
      <w:r w:rsidR="00D01DEB" w:rsidRPr="00FE18D0">
        <w:rPr>
          <w:rFonts w:asciiTheme="majorHAnsi" w:hAnsiTheme="majorHAnsi" w:cs="Tahoma"/>
          <w:color w:val="365F91" w:themeColor="accent1" w:themeShade="BF"/>
          <w:lang w:val="en-US" w:eastAsia="ja-JP"/>
        </w:rPr>
        <w:t>broader legal system</w:t>
      </w:r>
      <w:r w:rsidR="00A83F00" w:rsidRPr="00FE18D0">
        <w:rPr>
          <w:rFonts w:asciiTheme="majorHAnsi" w:hAnsiTheme="majorHAnsi" w:cs="Tahoma"/>
          <w:color w:val="365F91" w:themeColor="accent1" w:themeShade="BF"/>
          <w:lang w:val="en-US" w:eastAsia="ja-JP"/>
        </w:rPr>
        <w:t>,</w:t>
      </w:r>
      <w:r w:rsidR="00D01DEB" w:rsidRPr="00FE18D0">
        <w:rPr>
          <w:rFonts w:asciiTheme="majorHAnsi" w:hAnsiTheme="majorHAnsi" w:cs="Tahoma"/>
          <w:color w:val="365F91" w:themeColor="accent1" w:themeShade="BF"/>
          <w:lang w:val="en-US" w:eastAsia="ja-JP"/>
        </w:rPr>
        <w:t xml:space="preserve"> </w:t>
      </w:r>
      <w:r w:rsidR="00555F65" w:rsidRPr="00FE18D0">
        <w:rPr>
          <w:rFonts w:asciiTheme="majorHAnsi" w:hAnsiTheme="majorHAnsi" w:cs="Tahoma"/>
          <w:color w:val="365F91" w:themeColor="accent1" w:themeShade="BF"/>
          <w:lang w:val="en-US" w:eastAsia="ja-JP"/>
        </w:rPr>
        <w:t xml:space="preserve">as it has remained non-regulated in the Union Treaties. </w:t>
      </w:r>
      <w:r w:rsidR="009F5011" w:rsidRPr="00FE18D0">
        <w:rPr>
          <w:rFonts w:asciiTheme="majorHAnsi" w:hAnsiTheme="majorHAnsi" w:cs="Tahoma"/>
          <w:color w:val="365F91" w:themeColor="accent1" w:themeShade="BF"/>
          <w:lang w:val="en-US" w:eastAsia="ja-JP"/>
        </w:rPr>
        <w:t>EU d</w:t>
      </w:r>
      <w:r w:rsidR="00A83F00" w:rsidRPr="00FE18D0">
        <w:rPr>
          <w:rFonts w:asciiTheme="majorHAnsi" w:hAnsiTheme="majorHAnsi" w:cs="Tahoma"/>
          <w:color w:val="365F91" w:themeColor="accent1" w:themeShade="BF"/>
          <w:lang w:val="en-US" w:eastAsia="ja-JP"/>
        </w:rPr>
        <w:t>irectives or regulations may thus in fact impose a certain ob</w:t>
      </w:r>
      <w:r w:rsidR="00DD1E49" w:rsidRPr="00FE18D0">
        <w:rPr>
          <w:rFonts w:asciiTheme="majorHAnsi" w:hAnsiTheme="majorHAnsi" w:cs="Tahoma"/>
          <w:color w:val="365F91" w:themeColor="accent1" w:themeShade="BF"/>
          <w:lang w:val="en-US" w:eastAsia="ja-JP"/>
        </w:rPr>
        <w:t xml:space="preserve">ligation upon the Commission or an agency </w:t>
      </w:r>
      <w:r w:rsidR="00A83F00" w:rsidRPr="00FE18D0">
        <w:rPr>
          <w:rFonts w:asciiTheme="majorHAnsi" w:hAnsiTheme="majorHAnsi" w:cs="Tahoma"/>
          <w:color w:val="365F91" w:themeColor="accent1" w:themeShade="BF"/>
          <w:lang w:val="en-US" w:eastAsia="ja-JP"/>
        </w:rPr>
        <w:t>to adopt soft law acts, such as recommend</w:t>
      </w:r>
      <w:r w:rsidR="00DD1E49" w:rsidRPr="00FE18D0">
        <w:rPr>
          <w:rFonts w:asciiTheme="majorHAnsi" w:hAnsiTheme="majorHAnsi" w:cs="Tahoma"/>
          <w:color w:val="365F91" w:themeColor="accent1" w:themeShade="BF"/>
          <w:lang w:val="en-US" w:eastAsia="ja-JP"/>
        </w:rPr>
        <w:t>ations and guidelines, without the latter eve</w:t>
      </w:r>
      <w:r w:rsidR="00EE6742" w:rsidRPr="00FE18D0">
        <w:rPr>
          <w:rFonts w:asciiTheme="majorHAnsi" w:hAnsiTheme="majorHAnsi" w:cs="Tahoma"/>
          <w:color w:val="365F91" w:themeColor="accent1" w:themeShade="BF"/>
          <w:lang w:val="en-US" w:eastAsia="ja-JP"/>
        </w:rPr>
        <w:t>r</w:t>
      </w:r>
      <w:r w:rsidR="00DD1E49" w:rsidRPr="00FE18D0">
        <w:rPr>
          <w:rFonts w:asciiTheme="majorHAnsi" w:hAnsiTheme="majorHAnsi" w:cs="Tahoma"/>
          <w:color w:val="365F91" w:themeColor="accent1" w:themeShade="BF"/>
          <w:lang w:val="en-US" w:eastAsia="ja-JP"/>
        </w:rPr>
        <w:t xml:space="preserve"> forming part </w:t>
      </w:r>
      <w:r w:rsidR="00A83F00" w:rsidRPr="00FE18D0">
        <w:rPr>
          <w:rFonts w:asciiTheme="majorHAnsi" w:hAnsiTheme="majorHAnsi" w:cs="Tahoma"/>
          <w:color w:val="365F91" w:themeColor="accent1" w:themeShade="BF"/>
          <w:lang w:val="en-US" w:eastAsia="ja-JP"/>
        </w:rPr>
        <w:t>of the formal set of the Union's legal instruments</w:t>
      </w:r>
      <w:r w:rsidR="00DD1E49" w:rsidRPr="00FE18D0">
        <w:rPr>
          <w:rFonts w:asciiTheme="majorHAnsi" w:hAnsiTheme="majorHAnsi" w:cs="Tahoma"/>
          <w:color w:val="365F91" w:themeColor="accent1" w:themeShade="BF"/>
          <w:lang w:val="en-US" w:eastAsia="ja-JP"/>
        </w:rPr>
        <w:t xml:space="preserve"> and without the Treaties stipulating tasks and </w:t>
      </w:r>
      <w:r w:rsidR="00DD1E49" w:rsidRPr="00FE18D0">
        <w:rPr>
          <w:rFonts w:asciiTheme="majorHAnsi" w:hAnsiTheme="majorHAnsi" w:cs="Tahoma"/>
          <w:color w:val="365F91" w:themeColor="accent1" w:themeShade="BF"/>
          <w:lang w:val="en-US" w:eastAsia="ja-JP"/>
        </w:rPr>
        <w:lastRenderedPageBreak/>
        <w:t xml:space="preserve">powers of Union agencies. Given the silence of the Treaties, </w:t>
      </w:r>
      <w:r w:rsidR="009F5011" w:rsidRPr="00FE18D0">
        <w:rPr>
          <w:rFonts w:asciiTheme="majorHAnsi" w:hAnsiTheme="majorHAnsi" w:cs="Tahoma"/>
          <w:color w:val="365F91" w:themeColor="accent1" w:themeShade="BF"/>
          <w:lang w:val="en-US" w:eastAsia="ja-JP"/>
        </w:rPr>
        <w:t xml:space="preserve">a full understanding of </w:t>
      </w:r>
      <w:r w:rsidR="00DD1E49" w:rsidRPr="00FE18D0">
        <w:rPr>
          <w:rFonts w:asciiTheme="majorHAnsi" w:hAnsiTheme="majorHAnsi" w:cs="Tahoma"/>
          <w:color w:val="365F91" w:themeColor="accent1" w:themeShade="BF"/>
          <w:lang w:val="en-US" w:eastAsia="ja-JP"/>
        </w:rPr>
        <w:t>the soft regulatory role of the Commission, agencies and intergovernmental networks, the effects thereof and it</w:t>
      </w:r>
      <w:r w:rsidR="009F5011" w:rsidRPr="00FE18D0">
        <w:rPr>
          <w:rFonts w:asciiTheme="majorHAnsi" w:hAnsiTheme="majorHAnsi" w:cs="Tahoma"/>
          <w:color w:val="365F91" w:themeColor="accent1" w:themeShade="BF"/>
          <w:lang w:val="en-US" w:eastAsia="ja-JP"/>
        </w:rPr>
        <w:t xml:space="preserve">s relation to hard law requires </w:t>
      </w:r>
      <w:r w:rsidR="00DD1E49" w:rsidRPr="00FE18D0">
        <w:rPr>
          <w:rFonts w:asciiTheme="majorHAnsi" w:hAnsiTheme="majorHAnsi" w:cs="Tahoma"/>
          <w:color w:val="365F91" w:themeColor="accent1" w:themeShade="BF"/>
          <w:lang w:val="en-US" w:eastAsia="ja-JP"/>
        </w:rPr>
        <w:t xml:space="preserve">further </w:t>
      </w:r>
      <w:r w:rsidR="00555F65" w:rsidRPr="00FE18D0">
        <w:rPr>
          <w:rFonts w:asciiTheme="majorHAnsi" w:hAnsiTheme="majorHAnsi" w:cs="Tahoma"/>
          <w:color w:val="365F91" w:themeColor="accent1" w:themeShade="BF"/>
          <w:lang w:val="en-US" w:eastAsia="ja-JP"/>
        </w:rPr>
        <w:t>empirical investigations and analysis</w:t>
      </w:r>
      <w:r w:rsidR="00DD1E49" w:rsidRPr="00FE18D0">
        <w:rPr>
          <w:rFonts w:asciiTheme="majorHAnsi" w:hAnsiTheme="majorHAnsi" w:cs="Tahoma"/>
          <w:color w:val="365F91" w:themeColor="accent1" w:themeShade="BF"/>
          <w:lang w:val="en-US" w:eastAsia="ja-JP"/>
        </w:rPr>
        <w:t xml:space="preserve"> (section 2). </w:t>
      </w:r>
    </w:p>
    <w:p w14:paraId="437418EC" w14:textId="77777777" w:rsidR="00C70C10" w:rsidRPr="00FE18D0" w:rsidRDefault="00C70C10" w:rsidP="000C5150">
      <w:pPr>
        <w:spacing w:line="276" w:lineRule="auto"/>
        <w:jc w:val="both"/>
        <w:rPr>
          <w:rFonts w:asciiTheme="majorHAnsi" w:hAnsiTheme="majorHAnsi" w:cs="Tahoma"/>
          <w:b/>
          <w:color w:val="365F91" w:themeColor="accent1" w:themeShade="BF"/>
          <w:lang w:val="en-US" w:eastAsia="ja-JP"/>
        </w:rPr>
      </w:pPr>
    </w:p>
    <w:p w14:paraId="57ECDE90" w14:textId="77777777" w:rsidR="00AA21F8" w:rsidRPr="00FE18D0" w:rsidRDefault="00BD54DC" w:rsidP="000C5150">
      <w:pPr>
        <w:spacing w:line="276" w:lineRule="auto"/>
        <w:jc w:val="both"/>
        <w:rPr>
          <w:rFonts w:asciiTheme="majorHAnsi" w:hAnsiTheme="majorHAnsi" w:cs="Tahoma"/>
          <w:color w:val="365F91" w:themeColor="accent1" w:themeShade="BF"/>
          <w:lang w:val="en-US" w:eastAsia="ja-JP"/>
        </w:rPr>
      </w:pPr>
      <w:r w:rsidRPr="00FE18D0">
        <w:rPr>
          <w:rFonts w:asciiTheme="majorHAnsi" w:hAnsiTheme="majorHAnsi" w:cs="Tahoma"/>
          <w:color w:val="365F91" w:themeColor="accent1" w:themeShade="BF"/>
          <w:lang w:val="en-US" w:eastAsia="ja-JP"/>
        </w:rPr>
        <w:t>The second focus concerns what can be labelled as</w:t>
      </w:r>
      <w:r w:rsidR="00DD1E49" w:rsidRPr="00FE18D0">
        <w:rPr>
          <w:rFonts w:asciiTheme="majorHAnsi" w:hAnsiTheme="majorHAnsi" w:cs="Tahoma"/>
          <w:color w:val="365F91" w:themeColor="accent1" w:themeShade="BF"/>
          <w:lang w:val="en-US" w:eastAsia="ja-JP"/>
        </w:rPr>
        <w:t xml:space="preserve"> </w:t>
      </w:r>
      <w:r w:rsidR="00034909" w:rsidRPr="00FE18D0">
        <w:rPr>
          <w:rFonts w:asciiTheme="majorHAnsi" w:hAnsiTheme="majorHAnsi" w:cs="Tahoma"/>
          <w:color w:val="365F91" w:themeColor="accent1" w:themeShade="BF"/>
          <w:lang w:val="en-US" w:eastAsia="ja-JP"/>
        </w:rPr>
        <w:t xml:space="preserve">the </w:t>
      </w:r>
      <w:r w:rsidR="00034909" w:rsidRPr="00FE18D0">
        <w:rPr>
          <w:rFonts w:asciiTheme="majorHAnsi" w:hAnsiTheme="majorHAnsi" w:cs="Tahoma"/>
          <w:i/>
          <w:color w:val="365F91" w:themeColor="accent1" w:themeShade="BF"/>
          <w:lang w:val="en-US" w:eastAsia="ja-JP"/>
        </w:rPr>
        <w:t>soft private regulation dimension,</w:t>
      </w:r>
      <w:r w:rsidR="00034909" w:rsidRPr="00FE18D0">
        <w:rPr>
          <w:rFonts w:asciiTheme="majorHAnsi" w:hAnsiTheme="majorHAnsi" w:cs="Tahoma"/>
          <w:color w:val="365F91" w:themeColor="accent1" w:themeShade="BF"/>
          <w:lang w:val="en-US" w:eastAsia="ja-JP"/>
        </w:rPr>
        <w:t xml:space="preserve"> </w:t>
      </w:r>
      <w:r w:rsidR="00DD1E49" w:rsidRPr="00FE18D0">
        <w:rPr>
          <w:rFonts w:asciiTheme="majorHAnsi" w:hAnsiTheme="majorHAnsi" w:cs="Tahoma"/>
          <w:color w:val="365F91" w:themeColor="accent1" w:themeShade="BF"/>
          <w:lang w:val="en-US" w:eastAsia="ja-JP"/>
        </w:rPr>
        <w:t xml:space="preserve">referring to </w:t>
      </w:r>
      <w:r w:rsidR="00034909" w:rsidRPr="00FE18D0">
        <w:rPr>
          <w:rFonts w:asciiTheme="majorHAnsi" w:hAnsiTheme="majorHAnsi" w:cs="Tahoma"/>
          <w:color w:val="365F91" w:themeColor="accent1" w:themeShade="BF"/>
          <w:lang w:val="en-US" w:eastAsia="ja-JP"/>
        </w:rPr>
        <w:t xml:space="preserve">the different ways in which transnational </w:t>
      </w:r>
      <w:r w:rsidR="00DD1E49" w:rsidRPr="00FE18D0">
        <w:rPr>
          <w:rFonts w:asciiTheme="majorHAnsi" w:hAnsiTheme="majorHAnsi" w:cs="Tahoma"/>
          <w:color w:val="365F91" w:themeColor="accent1" w:themeShade="BF"/>
          <w:lang w:val="en-US" w:eastAsia="ja-JP"/>
        </w:rPr>
        <w:t xml:space="preserve">– </w:t>
      </w:r>
      <w:r w:rsidR="00C70C10">
        <w:rPr>
          <w:rFonts w:asciiTheme="majorHAnsi" w:hAnsiTheme="majorHAnsi" w:cs="Tahoma"/>
          <w:color w:val="365F91" w:themeColor="accent1" w:themeShade="BF"/>
          <w:lang w:val="en-US" w:eastAsia="ja-JP"/>
        </w:rPr>
        <w:t>often perceived as soft</w:t>
      </w:r>
      <w:r w:rsidR="00DD1E49" w:rsidRPr="00FE18D0">
        <w:rPr>
          <w:rFonts w:asciiTheme="majorHAnsi" w:hAnsiTheme="majorHAnsi" w:cs="Tahoma"/>
          <w:color w:val="365F91" w:themeColor="accent1" w:themeShade="BF"/>
          <w:lang w:val="en-US" w:eastAsia="ja-JP"/>
        </w:rPr>
        <w:t xml:space="preserve"> - </w:t>
      </w:r>
      <w:r w:rsidR="00034909" w:rsidRPr="00FE18D0">
        <w:rPr>
          <w:rFonts w:asciiTheme="majorHAnsi" w:hAnsiTheme="majorHAnsi" w:cs="Tahoma"/>
          <w:color w:val="365F91" w:themeColor="accent1" w:themeShade="BF"/>
          <w:lang w:val="en-US" w:eastAsia="ja-JP"/>
        </w:rPr>
        <w:t>private regulation can find</w:t>
      </w:r>
      <w:r w:rsidR="00AA21F8" w:rsidRPr="00FE18D0">
        <w:rPr>
          <w:rFonts w:asciiTheme="majorHAnsi" w:hAnsiTheme="majorHAnsi" w:cs="Tahoma"/>
          <w:color w:val="365F91" w:themeColor="accent1" w:themeShade="BF"/>
          <w:lang w:val="en-US" w:eastAsia="ja-JP"/>
        </w:rPr>
        <w:t xml:space="preserve"> its way into the Union's </w:t>
      </w:r>
      <w:r w:rsidR="00DD1E49" w:rsidRPr="00FE18D0">
        <w:rPr>
          <w:rFonts w:asciiTheme="majorHAnsi" w:hAnsiTheme="majorHAnsi" w:cs="Tahoma"/>
          <w:color w:val="365F91" w:themeColor="accent1" w:themeShade="BF"/>
          <w:lang w:val="en-US" w:eastAsia="ja-JP"/>
        </w:rPr>
        <w:t xml:space="preserve">legal </w:t>
      </w:r>
      <w:r w:rsidR="00AA21F8" w:rsidRPr="00FE18D0">
        <w:rPr>
          <w:rFonts w:asciiTheme="majorHAnsi" w:hAnsiTheme="majorHAnsi" w:cs="Tahoma"/>
          <w:color w:val="365F91" w:themeColor="accent1" w:themeShade="BF"/>
          <w:lang w:val="en-US" w:eastAsia="ja-JP"/>
        </w:rPr>
        <w:t xml:space="preserve">framework. </w:t>
      </w:r>
      <w:r w:rsidR="00A1471A" w:rsidRPr="00FE18D0">
        <w:rPr>
          <w:rFonts w:asciiTheme="majorHAnsi" w:hAnsiTheme="majorHAnsi" w:cs="Tahoma"/>
          <w:color w:val="365F91" w:themeColor="accent1" w:themeShade="BF"/>
          <w:lang w:val="en-US" w:eastAsia="ja-JP"/>
        </w:rPr>
        <w:t xml:space="preserve">Such </w:t>
      </w:r>
      <w:r w:rsidR="00B2015B" w:rsidRPr="00FE18D0">
        <w:rPr>
          <w:rFonts w:asciiTheme="majorHAnsi" w:hAnsiTheme="majorHAnsi" w:cs="Tahoma"/>
          <w:color w:val="365F91" w:themeColor="accent1" w:themeShade="BF"/>
          <w:lang w:val="en-US" w:eastAsia="ja-JP"/>
        </w:rPr>
        <w:t xml:space="preserve">private regulation can be ‘loaned’ </w:t>
      </w:r>
      <w:r w:rsidR="00A1471A" w:rsidRPr="00FE18D0">
        <w:rPr>
          <w:rFonts w:asciiTheme="majorHAnsi" w:hAnsiTheme="majorHAnsi" w:cs="Tahoma"/>
          <w:color w:val="365F91" w:themeColor="accent1" w:themeShade="BF"/>
          <w:lang w:val="en-US" w:eastAsia="ja-JP"/>
        </w:rPr>
        <w:t xml:space="preserve">soft public authority but also hard public authority, depending on the different ways in which public regulators follow-up on such private regulation. </w:t>
      </w:r>
      <w:r w:rsidR="00034909" w:rsidRPr="00FE18D0">
        <w:rPr>
          <w:rFonts w:asciiTheme="majorHAnsi" w:hAnsiTheme="majorHAnsi" w:cs="Tahoma"/>
          <w:color w:val="365F91" w:themeColor="accent1" w:themeShade="BF"/>
          <w:lang w:val="en-US" w:eastAsia="ja-JP"/>
        </w:rPr>
        <w:t xml:space="preserve">Here we will draw on the insights gained in </w:t>
      </w:r>
      <w:r w:rsidR="00AA21F8" w:rsidRPr="00FE18D0">
        <w:rPr>
          <w:rFonts w:asciiTheme="majorHAnsi" w:hAnsiTheme="majorHAnsi" w:cs="Tahoma"/>
          <w:color w:val="365F91" w:themeColor="accent1" w:themeShade="BF"/>
          <w:lang w:val="en-US" w:eastAsia="ja-JP"/>
        </w:rPr>
        <w:t xml:space="preserve">various case studies to illustrate </w:t>
      </w:r>
      <w:r w:rsidR="00034909" w:rsidRPr="00FE18D0">
        <w:rPr>
          <w:rFonts w:asciiTheme="majorHAnsi" w:hAnsiTheme="majorHAnsi" w:cs="Tahoma"/>
          <w:color w:val="365F91" w:themeColor="accent1" w:themeShade="BF"/>
          <w:lang w:val="en-US" w:eastAsia="ja-JP"/>
        </w:rPr>
        <w:t xml:space="preserve">the </w:t>
      </w:r>
      <w:r w:rsidR="00AA21F8" w:rsidRPr="00FE18D0">
        <w:rPr>
          <w:rFonts w:asciiTheme="majorHAnsi" w:hAnsiTheme="majorHAnsi" w:cs="Tahoma"/>
          <w:color w:val="365F91" w:themeColor="accent1" w:themeShade="BF"/>
          <w:lang w:val="en-US" w:eastAsia="ja-JP"/>
        </w:rPr>
        <w:t xml:space="preserve">different complementarities </w:t>
      </w:r>
      <w:r w:rsidR="00034909" w:rsidRPr="00FE18D0">
        <w:rPr>
          <w:rFonts w:asciiTheme="majorHAnsi" w:hAnsiTheme="majorHAnsi" w:cs="Tahoma"/>
          <w:color w:val="365F91" w:themeColor="accent1" w:themeShade="BF"/>
          <w:lang w:val="en-US" w:eastAsia="ja-JP"/>
        </w:rPr>
        <w:t xml:space="preserve">that one sees emerging </w:t>
      </w:r>
      <w:r w:rsidR="00AA21F8" w:rsidRPr="00FE18D0">
        <w:rPr>
          <w:rFonts w:asciiTheme="majorHAnsi" w:hAnsiTheme="majorHAnsi" w:cs="Tahoma"/>
          <w:color w:val="365F91" w:themeColor="accent1" w:themeShade="BF"/>
          <w:lang w:val="en-US" w:eastAsia="ja-JP"/>
        </w:rPr>
        <w:t xml:space="preserve">between soft </w:t>
      </w:r>
      <w:r w:rsidR="00034909" w:rsidRPr="00FE18D0">
        <w:rPr>
          <w:rFonts w:asciiTheme="majorHAnsi" w:hAnsiTheme="majorHAnsi" w:cs="Tahoma"/>
          <w:color w:val="365F91" w:themeColor="accent1" w:themeShade="BF"/>
          <w:lang w:val="en-US" w:eastAsia="ja-JP"/>
        </w:rPr>
        <w:t xml:space="preserve">private regulation </w:t>
      </w:r>
      <w:r w:rsidR="00AA21F8" w:rsidRPr="00FE18D0">
        <w:rPr>
          <w:rFonts w:asciiTheme="majorHAnsi" w:hAnsiTheme="majorHAnsi" w:cs="Tahoma"/>
          <w:color w:val="365F91" w:themeColor="accent1" w:themeShade="BF"/>
          <w:lang w:val="en-US" w:eastAsia="ja-JP"/>
        </w:rPr>
        <w:t xml:space="preserve">and </w:t>
      </w:r>
      <w:r w:rsidR="00034909" w:rsidRPr="00FE18D0">
        <w:rPr>
          <w:rFonts w:asciiTheme="majorHAnsi" w:hAnsiTheme="majorHAnsi" w:cs="Tahoma"/>
          <w:color w:val="365F91" w:themeColor="accent1" w:themeShade="BF"/>
          <w:lang w:val="en-US" w:eastAsia="ja-JP"/>
        </w:rPr>
        <w:t xml:space="preserve">EU </w:t>
      </w:r>
      <w:r w:rsidR="00A1471A" w:rsidRPr="00FE18D0">
        <w:rPr>
          <w:rFonts w:asciiTheme="majorHAnsi" w:hAnsiTheme="majorHAnsi" w:cs="Tahoma"/>
          <w:color w:val="365F91" w:themeColor="accent1" w:themeShade="BF"/>
          <w:lang w:val="en-US" w:eastAsia="ja-JP"/>
        </w:rPr>
        <w:t xml:space="preserve">soft and </w:t>
      </w:r>
      <w:r w:rsidR="00034909" w:rsidRPr="00FE18D0">
        <w:rPr>
          <w:rFonts w:asciiTheme="majorHAnsi" w:hAnsiTheme="majorHAnsi" w:cs="Tahoma"/>
          <w:color w:val="365F91" w:themeColor="accent1" w:themeShade="BF"/>
          <w:lang w:val="en-US" w:eastAsia="ja-JP"/>
        </w:rPr>
        <w:t xml:space="preserve">hard law (section 3). </w:t>
      </w:r>
      <w:r w:rsidR="00C2361C" w:rsidRPr="00FE18D0">
        <w:rPr>
          <w:rFonts w:asciiTheme="majorHAnsi" w:hAnsiTheme="majorHAnsi" w:cs="Tahoma"/>
          <w:color w:val="365F91" w:themeColor="accent1" w:themeShade="BF"/>
          <w:lang w:val="en-US" w:eastAsia="ja-JP"/>
        </w:rPr>
        <w:t xml:space="preserve">In a synthesizing section, we will consider what consequences the identified soft and hard law configurations and complementarities may have for the development of the Union’s regulatory system and its legitimacy (section 4). </w:t>
      </w:r>
      <w:r w:rsidR="00EE6742" w:rsidRPr="00FE18D0">
        <w:rPr>
          <w:rFonts w:asciiTheme="majorHAnsi" w:hAnsiTheme="majorHAnsi" w:cs="Tahoma"/>
          <w:color w:val="365F91" w:themeColor="accent1" w:themeShade="BF"/>
          <w:lang w:val="en-US" w:eastAsia="ja-JP"/>
        </w:rPr>
        <w:t>Overall, this analysis enables us to address the tripartite questions to what extent soft law practices have grown through the developing roles assigned, explicitly or implicitly, to intergovernmental networks and private regulatory regimes, to what extent the growth in such normative instruments beyond the European Commission and other direct governmental actors tends towards masking their significance and effects, and, to what extent the move lending of governmental authority to soft law instruments progressively further from the core of government can be a legitimate and effective basis for policy implementation.</w:t>
      </w:r>
    </w:p>
    <w:p w14:paraId="3523296F" w14:textId="77777777" w:rsidR="00A83F00" w:rsidRPr="00FE18D0" w:rsidRDefault="00A83F00" w:rsidP="000C5150">
      <w:pPr>
        <w:spacing w:line="276" w:lineRule="auto"/>
        <w:jc w:val="both"/>
        <w:rPr>
          <w:rFonts w:asciiTheme="majorHAnsi" w:hAnsiTheme="majorHAnsi" w:cs="Tahoma"/>
          <w:color w:val="365F91" w:themeColor="accent1" w:themeShade="BF"/>
          <w:sz w:val="28"/>
          <w:szCs w:val="28"/>
          <w:lang w:val="en-US" w:eastAsia="ja-JP"/>
        </w:rPr>
      </w:pPr>
    </w:p>
    <w:p w14:paraId="20F9491D" w14:textId="77777777" w:rsidR="006C4D20" w:rsidRPr="00FE18D0" w:rsidRDefault="00B27D57" w:rsidP="000C5150">
      <w:pPr>
        <w:widowControl w:val="0"/>
        <w:autoSpaceDE w:val="0"/>
        <w:autoSpaceDN w:val="0"/>
        <w:adjustRightInd w:val="0"/>
        <w:spacing w:line="276" w:lineRule="auto"/>
        <w:jc w:val="both"/>
        <w:rPr>
          <w:rFonts w:asciiTheme="majorHAnsi" w:hAnsiTheme="majorHAnsi" w:cs="Tahoma"/>
          <w:b/>
          <w:color w:val="365F91" w:themeColor="accent1" w:themeShade="BF"/>
          <w:sz w:val="28"/>
          <w:szCs w:val="28"/>
          <w:lang w:val="en-US" w:eastAsia="ja-JP"/>
        </w:rPr>
      </w:pPr>
      <w:r w:rsidRPr="00FE18D0">
        <w:rPr>
          <w:rFonts w:asciiTheme="majorHAnsi" w:hAnsiTheme="majorHAnsi" w:cs="Tahoma"/>
          <w:b/>
          <w:color w:val="365F91" w:themeColor="accent1" w:themeShade="BF"/>
          <w:sz w:val="28"/>
          <w:szCs w:val="28"/>
          <w:lang w:val="en-US" w:eastAsia="ja-JP"/>
        </w:rPr>
        <w:t>2. The soft public law dimension</w:t>
      </w:r>
    </w:p>
    <w:p w14:paraId="1676A372" w14:textId="77777777" w:rsidR="00B27D57" w:rsidRPr="00FE18D0" w:rsidRDefault="00B27D57" w:rsidP="000C5150">
      <w:pPr>
        <w:widowControl w:val="0"/>
        <w:autoSpaceDE w:val="0"/>
        <w:autoSpaceDN w:val="0"/>
        <w:adjustRightInd w:val="0"/>
        <w:spacing w:line="276" w:lineRule="auto"/>
        <w:jc w:val="both"/>
        <w:rPr>
          <w:rFonts w:asciiTheme="majorHAnsi" w:hAnsiTheme="majorHAnsi" w:cs="Tahoma"/>
          <w:b/>
          <w:color w:val="365F91" w:themeColor="accent1" w:themeShade="BF"/>
          <w:sz w:val="28"/>
          <w:szCs w:val="28"/>
          <w:lang w:val="en-US" w:eastAsia="ja-JP"/>
        </w:rPr>
      </w:pPr>
    </w:p>
    <w:p w14:paraId="606911F2" w14:textId="77777777" w:rsidR="00B27D57" w:rsidRPr="00FE18D0" w:rsidRDefault="00B27D57" w:rsidP="000C5150">
      <w:pPr>
        <w:spacing w:line="276" w:lineRule="auto"/>
        <w:jc w:val="both"/>
        <w:outlineLvl w:val="0"/>
        <w:rPr>
          <w:rFonts w:asciiTheme="majorHAnsi" w:hAnsiTheme="majorHAnsi" w:cs="Tahoma"/>
          <w:color w:val="365F91" w:themeColor="accent1" w:themeShade="BF"/>
          <w:lang w:val="en-US" w:eastAsia="ja-JP"/>
        </w:rPr>
      </w:pPr>
      <w:r w:rsidRPr="00FE18D0">
        <w:rPr>
          <w:rFonts w:asciiTheme="majorHAnsi" w:hAnsiTheme="majorHAnsi" w:cs="Tahoma"/>
          <w:color w:val="365F91" w:themeColor="accent1" w:themeShade="BF"/>
          <w:lang w:val="en-US" w:eastAsia="ja-JP"/>
        </w:rPr>
        <w:t>2.1 The</w:t>
      </w:r>
      <w:r w:rsidR="000A44F3" w:rsidRPr="00FE18D0">
        <w:rPr>
          <w:rFonts w:asciiTheme="majorHAnsi" w:hAnsiTheme="majorHAnsi" w:cs="Tahoma"/>
          <w:color w:val="365F91" w:themeColor="accent1" w:themeShade="BF"/>
          <w:lang w:val="en-US" w:eastAsia="ja-JP"/>
        </w:rPr>
        <w:t xml:space="preserve"> formal</w:t>
      </w:r>
      <w:r w:rsidRPr="00FE18D0">
        <w:rPr>
          <w:rFonts w:asciiTheme="majorHAnsi" w:hAnsiTheme="majorHAnsi" w:cs="Tahoma"/>
          <w:color w:val="365F91" w:themeColor="accent1" w:themeShade="BF"/>
          <w:lang w:val="en-US" w:eastAsia="ja-JP"/>
        </w:rPr>
        <w:t xml:space="preserve"> </w:t>
      </w:r>
      <w:r w:rsidR="000A44F3" w:rsidRPr="00FE18D0">
        <w:rPr>
          <w:rFonts w:asciiTheme="majorHAnsi" w:hAnsiTheme="majorHAnsi" w:cs="Tahoma"/>
          <w:color w:val="365F91" w:themeColor="accent1" w:themeShade="BF"/>
          <w:lang w:val="en-US" w:eastAsia="ja-JP"/>
        </w:rPr>
        <w:t xml:space="preserve">EU </w:t>
      </w:r>
      <w:r w:rsidRPr="00FE18D0">
        <w:rPr>
          <w:rFonts w:asciiTheme="majorHAnsi" w:hAnsiTheme="majorHAnsi" w:cs="Tahoma"/>
          <w:color w:val="365F91" w:themeColor="accent1" w:themeShade="BF"/>
          <w:lang w:val="en-US" w:eastAsia="ja-JP"/>
        </w:rPr>
        <w:t>hierarchy of norms and delegation of powers system</w:t>
      </w:r>
    </w:p>
    <w:p w14:paraId="39E26055" w14:textId="77777777" w:rsidR="00B27D57" w:rsidRPr="00FE18D0" w:rsidRDefault="00B27D57" w:rsidP="000C5150">
      <w:pPr>
        <w:spacing w:line="276" w:lineRule="auto"/>
        <w:jc w:val="both"/>
        <w:rPr>
          <w:rFonts w:asciiTheme="majorHAnsi" w:hAnsiTheme="majorHAnsi" w:cs="Tahoma"/>
          <w:color w:val="365F91" w:themeColor="accent1" w:themeShade="BF"/>
          <w:lang w:val="en-US" w:eastAsia="ja-JP"/>
        </w:rPr>
      </w:pPr>
    </w:p>
    <w:p w14:paraId="3C967A8A" w14:textId="77777777" w:rsidR="00B27D57" w:rsidRPr="00FE18D0" w:rsidRDefault="00B27D57" w:rsidP="000C5150">
      <w:pPr>
        <w:spacing w:line="276" w:lineRule="auto"/>
        <w:jc w:val="both"/>
        <w:rPr>
          <w:rFonts w:asciiTheme="majorHAnsi" w:hAnsiTheme="majorHAnsi" w:cs="Tahoma"/>
          <w:color w:val="365F91" w:themeColor="accent1" w:themeShade="BF"/>
          <w:lang w:val="en-US" w:eastAsia="ja-JP"/>
        </w:rPr>
      </w:pPr>
      <w:r w:rsidRPr="00FE18D0">
        <w:rPr>
          <w:rFonts w:asciiTheme="majorHAnsi" w:hAnsiTheme="majorHAnsi" w:cs="Tahoma"/>
          <w:color w:val="365F91" w:themeColor="accent1" w:themeShade="BF"/>
          <w:lang w:val="en-US" w:eastAsia="ja-JP"/>
        </w:rPr>
        <w:t>At first glance, the Treaty of Lisbon put into place a rather clear set of legal instruments – or hierarchy of norms, as it is often referred to</w:t>
      </w:r>
      <w:r w:rsidR="000C5150">
        <w:rPr>
          <w:rFonts w:asciiTheme="majorHAnsi" w:hAnsiTheme="majorHAnsi" w:cs="Tahoma"/>
          <w:color w:val="365F91" w:themeColor="accent1" w:themeShade="BF"/>
          <w:lang w:val="en-US" w:eastAsia="ja-JP"/>
        </w:rPr>
        <w:t xml:space="preserve"> </w:t>
      </w:r>
      <w:r w:rsidRPr="00FE18D0">
        <w:rPr>
          <w:rFonts w:asciiTheme="majorHAnsi" w:hAnsiTheme="majorHAnsi" w:cs="Tahoma"/>
          <w:color w:val="365F91" w:themeColor="accent1" w:themeShade="BF"/>
          <w:lang w:val="en-US" w:eastAsia="ja-JP"/>
        </w:rPr>
        <w:t xml:space="preserve">– in Articles 288 to 291 TFEU, certainly when compared to the pre-Lisbon version of the EC-Treaty. Article 289 of the old EC-Treaty merely distinguished between regulations, directives and decisions as binding Community acts, while recognizing recommendations and opinions as (the only) Community instruments having no binding force. So, the old Treaty did not distinguish between the legislative or administrative/executive nature of a Community instrument and one could only find out by actually having a closer look at the legal act at issue, whether it was of a legislative or executive nature by looking at the adopting institution (the </w:t>
      </w:r>
      <w:r w:rsidR="00D5662D">
        <w:rPr>
          <w:rFonts w:asciiTheme="majorHAnsi" w:hAnsiTheme="majorHAnsi" w:cs="Tahoma"/>
          <w:color w:val="365F91" w:themeColor="accent1" w:themeShade="BF"/>
          <w:lang w:val="en-US" w:eastAsia="ja-JP"/>
        </w:rPr>
        <w:t xml:space="preserve">adoption by the </w:t>
      </w:r>
      <w:r w:rsidRPr="00FE18D0">
        <w:rPr>
          <w:rFonts w:asciiTheme="majorHAnsi" w:hAnsiTheme="majorHAnsi" w:cs="Tahoma"/>
          <w:color w:val="365F91" w:themeColor="accent1" w:themeShade="BF"/>
          <w:lang w:val="en-US" w:eastAsia="ja-JP"/>
        </w:rPr>
        <w:t>Council</w:t>
      </w:r>
      <w:r w:rsidR="00D5662D">
        <w:rPr>
          <w:rFonts w:asciiTheme="majorHAnsi" w:hAnsiTheme="majorHAnsi" w:cs="Tahoma"/>
          <w:color w:val="365F91" w:themeColor="accent1" w:themeShade="BF"/>
          <w:lang w:val="en-US" w:eastAsia="ja-JP"/>
        </w:rPr>
        <w:t xml:space="preserve"> and </w:t>
      </w:r>
      <w:r w:rsidRPr="00FE18D0">
        <w:rPr>
          <w:rFonts w:asciiTheme="majorHAnsi" w:hAnsiTheme="majorHAnsi" w:cs="Tahoma"/>
          <w:color w:val="365F91" w:themeColor="accent1" w:themeShade="BF"/>
          <w:lang w:val="en-US" w:eastAsia="ja-JP"/>
        </w:rPr>
        <w:t xml:space="preserve">European Parliament pointing towards a legislative act, and the </w:t>
      </w:r>
      <w:r w:rsidR="00D5662D">
        <w:rPr>
          <w:rFonts w:asciiTheme="majorHAnsi" w:hAnsiTheme="majorHAnsi" w:cs="Tahoma"/>
          <w:color w:val="365F91" w:themeColor="accent1" w:themeShade="BF"/>
          <w:lang w:val="en-US" w:eastAsia="ja-JP"/>
        </w:rPr>
        <w:t xml:space="preserve">adoption by the </w:t>
      </w:r>
      <w:r w:rsidRPr="00FE18D0">
        <w:rPr>
          <w:rFonts w:asciiTheme="majorHAnsi" w:hAnsiTheme="majorHAnsi" w:cs="Tahoma"/>
          <w:color w:val="365F91" w:themeColor="accent1" w:themeShade="BF"/>
          <w:lang w:val="en-US" w:eastAsia="ja-JP"/>
        </w:rPr>
        <w:t xml:space="preserve">Commission pointing to an administrative/executive one, in rare cases the Council). </w:t>
      </w:r>
    </w:p>
    <w:p w14:paraId="73E7DBEB" w14:textId="77777777" w:rsidR="000C5150" w:rsidRDefault="00B27D57" w:rsidP="000C5150">
      <w:pPr>
        <w:spacing w:line="276" w:lineRule="auto"/>
        <w:jc w:val="both"/>
        <w:rPr>
          <w:rFonts w:asciiTheme="majorHAnsi" w:hAnsiTheme="majorHAnsi" w:cs="Tahoma"/>
          <w:color w:val="365F91" w:themeColor="accent1" w:themeShade="BF"/>
          <w:lang w:val="en-US" w:eastAsia="ja-JP"/>
        </w:rPr>
      </w:pPr>
      <w:r w:rsidRPr="00FE18D0">
        <w:rPr>
          <w:rFonts w:asciiTheme="majorHAnsi" w:hAnsiTheme="majorHAnsi" w:cs="Tahoma"/>
          <w:color w:val="365F91" w:themeColor="accent1" w:themeShade="BF"/>
          <w:lang w:val="en-US" w:eastAsia="ja-JP"/>
        </w:rPr>
        <w:lastRenderedPageBreak/>
        <w:t>While Article 288 TFEU still contains the same set of instruments, setting out their legal nature and effect,</w:t>
      </w:r>
      <w:r w:rsidRPr="00FE18D0">
        <w:rPr>
          <w:rStyle w:val="Voetnootmarkering"/>
          <w:rFonts w:asciiTheme="majorHAnsi" w:hAnsiTheme="majorHAnsi" w:cs="Tahoma"/>
          <w:color w:val="365F91" w:themeColor="accent1" w:themeShade="BF"/>
          <w:lang w:val="en-US" w:eastAsia="ja-JP"/>
        </w:rPr>
        <w:footnoteReference w:id="1"/>
      </w:r>
      <w:r w:rsidRPr="00FE18D0">
        <w:rPr>
          <w:rFonts w:asciiTheme="majorHAnsi" w:hAnsiTheme="majorHAnsi" w:cs="Tahoma"/>
          <w:color w:val="365F91" w:themeColor="accent1" w:themeShade="BF"/>
          <w:lang w:val="en-US" w:eastAsia="ja-JP"/>
        </w:rPr>
        <w:t xml:space="preserve"> the Lisbon Treaty brought not</w:t>
      </w:r>
      <w:r w:rsidR="00C70C10">
        <w:rPr>
          <w:rFonts w:asciiTheme="majorHAnsi" w:hAnsiTheme="majorHAnsi" w:cs="Tahoma"/>
          <w:color w:val="365F91" w:themeColor="accent1" w:themeShade="BF"/>
          <w:lang w:val="en-US" w:eastAsia="ja-JP"/>
        </w:rPr>
        <w:t>able</w:t>
      </w:r>
      <w:r w:rsidRPr="00FE18D0">
        <w:rPr>
          <w:rFonts w:asciiTheme="majorHAnsi" w:hAnsiTheme="majorHAnsi" w:cs="Tahoma"/>
          <w:color w:val="365F91" w:themeColor="accent1" w:themeShade="BF"/>
          <w:lang w:val="en-US" w:eastAsia="ja-JP"/>
        </w:rPr>
        <w:t xml:space="preserve"> changes as to the purposes for which they can be used. The new Articles 289, 290 and 291 TFEU thus make a distinction between respectively legislative acts, delegated acts and implementing acts, Union directives, regulations and decisions taking either one of these forms. In itself, this distinction in itself is to be applauded for indeed making clear the different nature of Union acts and the way in which they relate to one another, especially since the words of ‘delegated’ and ‘implementing’ are added to the labels of the acts when adopted. Yet, while the underlying aim of this Treaty amendment was to bring more transparency and clarity to the Union’s legal instruments and their specific nature, it may be doubted whether this goal has actually been achieved. In particular, because the three binding Article 288 instruments can actually </w:t>
      </w:r>
      <w:r w:rsidR="000C5150">
        <w:rPr>
          <w:rFonts w:asciiTheme="majorHAnsi" w:hAnsiTheme="majorHAnsi" w:cs="Tahoma"/>
          <w:color w:val="365F91" w:themeColor="accent1" w:themeShade="BF"/>
          <w:lang w:val="en-US" w:eastAsia="ja-JP"/>
        </w:rPr>
        <w:t xml:space="preserve">still </w:t>
      </w:r>
      <w:r w:rsidRPr="00FE18D0">
        <w:rPr>
          <w:rFonts w:asciiTheme="majorHAnsi" w:hAnsiTheme="majorHAnsi" w:cs="Tahoma"/>
          <w:color w:val="365F91" w:themeColor="accent1" w:themeShade="BF"/>
          <w:lang w:val="en-US" w:eastAsia="ja-JP"/>
        </w:rPr>
        <w:t xml:space="preserve">be of either a legislative, delegated or implementing nature. </w:t>
      </w:r>
      <w:r w:rsidR="000C5150">
        <w:rPr>
          <w:rFonts w:asciiTheme="majorHAnsi" w:hAnsiTheme="majorHAnsi" w:cs="Tahoma"/>
          <w:color w:val="365F91" w:themeColor="accent1" w:themeShade="BF"/>
          <w:lang w:val="en-US" w:eastAsia="ja-JP"/>
        </w:rPr>
        <w:t>The following graph illustrates this.</w:t>
      </w:r>
    </w:p>
    <w:p w14:paraId="20ECB3C5" w14:textId="77777777" w:rsidR="000C5150" w:rsidRDefault="000C5150" w:rsidP="000C5150">
      <w:pPr>
        <w:spacing w:line="276" w:lineRule="auto"/>
        <w:jc w:val="both"/>
        <w:rPr>
          <w:rFonts w:asciiTheme="majorHAnsi" w:hAnsiTheme="majorHAnsi" w:cs="Tahoma"/>
          <w:color w:val="365F91" w:themeColor="accent1" w:themeShade="BF"/>
          <w:lang w:val="en-US" w:eastAsia="ja-JP"/>
        </w:rPr>
      </w:pPr>
    </w:p>
    <w:p w14:paraId="33B94789" w14:textId="77777777" w:rsidR="000C5150" w:rsidRDefault="000C5150" w:rsidP="000C5150">
      <w:pPr>
        <w:spacing w:line="276" w:lineRule="auto"/>
        <w:jc w:val="both"/>
        <w:rPr>
          <w:rFonts w:asciiTheme="majorHAnsi" w:hAnsiTheme="majorHAnsi" w:cs="Tahoma"/>
          <w:color w:val="365F91" w:themeColor="accent1" w:themeShade="BF"/>
          <w:lang w:val="en-US" w:eastAsia="ja-JP"/>
        </w:rPr>
      </w:pPr>
    </w:p>
    <w:p w14:paraId="65FA2ABC" w14:textId="77777777" w:rsidR="000C5150" w:rsidRPr="00FE18D0" w:rsidRDefault="000C5150" w:rsidP="000C5150">
      <w:pPr>
        <w:spacing w:line="276" w:lineRule="auto"/>
        <w:jc w:val="both"/>
        <w:rPr>
          <w:rFonts w:asciiTheme="majorHAnsi" w:hAnsiTheme="majorHAnsi" w:cs="Tahoma"/>
          <w:b/>
          <w:i/>
          <w:color w:val="365F91" w:themeColor="accent1" w:themeShade="BF"/>
          <w:lang w:val="en-US" w:eastAsia="ja-JP"/>
        </w:rPr>
      </w:pPr>
      <w:r w:rsidRPr="00FE18D0">
        <w:rPr>
          <w:rFonts w:asciiTheme="majorHAnsi" w:hAnsiTheme="majorHAnsi" w:cs="Tahoma"/>
          <w:b/>
          <w:i/>
          <w:color w:val="365F91" w:themeColor="accent1" w:themeShade="BF"/>
          <w:lang w:val="en-US" w:eastAsia="ja-JP"/>
        </w:rPr>
        <w:t xml:space="preserve">Graph </w:t>
      </w:r>
      <w:r w:rsidR="00D5662D">
        <w:rPr>
          <w:rFonts w:asciiTheme="majorHAnsi" w:hAnsiTheme="majorHAnsi" w:cs="Tahoma"/>
          <w:b/>
          <w:i/>
          <w:color w:val="365F91" w:themeColor="accent1" w:themeShade="BF"/>
          <w:lang w:val="en-US" w:eastAsia="ja-JP"/>
        </w:rPr>
        <w:t>1</w:t>
      </w:r>
      <w:r w:rsidRPr="00FE18D0">
        <w:rPr>
          <w:rFonts w:asciiTheme="majorHAnsi" w:hAnsiTheme="majorHAnsi" w:cs="Tahoma"/>
          <w:b/>
          <w:i/>
          <w:color w:val="365F91" w:themeColor="accent1" w:themeShade="BF"/>
          <w:lang w:val="en-US" w:eastAsia="ja-JP"/>
        </w:rPr>
        <w:t xml:space="preserve"> – Formal hierarchy of norms, as contained in Articles 288-291 TFEU</w:t>
      </w:r>
    </w:p>
    <w:p w14:paraId="49465194" w14:textId="77777777" w:rsidR="000C5150" w:rsidRPr="00FE18D0" w:rsidRDefault="000C5150" w:rsidP="000C5150">
      <w:pPr>
        <w:spacing w:line="276" w:lineRule="auto"/>
        <w:jc w:val="both"/>
        <w:rPr>
          <w:rFonts w:asciiTheme="majorHAnsi" w:hAnsiTheme="majorHAnsi" w:cs="Tahoma"/>
          <w:color w:val="365F91" w:themeColor="accent1" w:themeShade="BF"/>
          <w:lang w:val="en-US" w:eastAsia="ja-JP"/>
        </w:rPr>
      </w:pPr>
      <w:r w:rsidRPr="00FE18D0">
        <w:rPr>
          <w:rFonts w:asciiTheme="majorHAnsi" w:hAnsiTheme="majorHAnsi" w:cs="Tahoma"/>
          <w:noProof/>
          <w:color w:val="365F91" w:themeColor="accent1" w:themeShade="BF"/>
          <w:lang w:val="en-US" w:eastAsia="nl-NL"/>
        </w:rPr>
        <w:drawing>
          <wp:inline distT="0" distB="0" distL="0" distR="0" wp14:anchorId="5EA913E6" wp14:editId="176D5685">
            <wp:extent cx="5270500" cy="3074670"/>
            <wp:effectExtent l="0" t="25400" r="0" b="2413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29B46818" w14:textId="77777777" w:rsidR="000C5150" w:rsidRPr="00FE18D0" w:rsidRDefault="000C5150" w:rsidP="000C5150">
      <w:pPr>
        <w:spacing w:line="276" w:lineRule="auto"/>
        <w:jc w:val="both"/>
        <w:rPr>
          <w:rFonts w:asciiTheme="majorHAnsi" w:hAnsiTheme="majorHAnsi" w:cs="Tahoma"/>
          <w:color w:val="365F91" w:themeColor="accent1" w:themeShade="BF"/>
          <w:lang w:val="en-US" w:eastAsia="ja-JP"/>
        </w:rPr>
      </w:pPr>
    </w:p>
    <w:p w14:paraId="090A2595" w14:textId="77777777" w:rsidR="000C5150" w:rsidRDefault="000C5150" w:rsidP="000C5150">
      <w:pPr>
        <w:spacing w:line="276" w:lineRule="auto"/>
        <w:jc w:val="both"/>
        <w:rPr>
          <w:rFonts w:asciiTheme="majorHAnsi" w:hAnsiTheme="majorHAnsi" w:cs="Tahoma"/>
          <w:color w:val="365F91" w:themeColor="accent1" w:themeShade="BF"/>
          <w:lang w:val="en-US" w:eastAsia="ja-JP"/>
        </w:rPr>
      </w:pPr>
    </w:p>
    <w:p w14:paraId="655075D5" w14:textId="77777777" w:rsidR="00B27D57" w:rsidRPr="00FE18D0" w:rsidRDefault="00B27D57" w:rsidP="000C5150">
      <w:pPr>
        <w:spacing w:line="276" w:lineRule="auto"/>
        <w:jc w:val="both"/>
        <w:rPr>
          <w:rFonts w:asciiTheme="majorHAnsi" w:hAnsiTheme="majorHAnsi" w:cs="Tahoma"/>
          <w:color w:val="365F91" w:themeColor="accent1" w:themeShade="BF"/>
          <w:lang w:val="en-US" w:eastAsia="ja-JP"/>
        </w:rPr>
      </w:pPr>
      <w:r w:rsidRPr="00FE18D0">
        <w:rPr>
          <w:rFonts w:asciiTheme="majorHAnsi" w:hAnsiTheme="majorHAnsi" w:cs="Tahoma"/>
          <w:color w:val="365F91" w:themeColor="accent1" w:themeShade="BF"/>
          <w:lang w:val="en-US" w:eastAsia="ja-JP"/>
        </w:rPr>
        <w:t xml:space="preserve">As a consequence, one will still have to take a look at a particular Union act as to identify this nature. In the hierarchy of norms as it was originally designed in the Constitutional Treaty for Europe and upon which the current provisions draw, this was not the case as a different terminology was being introduced for acts of a </w:t>
      </w:r>
      <w:r w:rsidRPr="00FE18D0">
        <w:rPr>
          <w:rFonts w:asciiTheme="majorHAnsi" w:hAnsiTheme="majorHAnsi" w:cs="Tahoma"/>
          <w:color w:val="365F91" w:themeColor="accent1" w:themeShade="BF"/>
          <w:lang w:val="en-US" w:eastAsia="ja-JP"/>
        </w:rPr>
        <w:lastRenderedPageBreak/>
        <w:t>legi</w:t>
      </w:r>
      <w:r w:rsidR="00FE18D0">
        <w:rPr>
          <w:rFonts w:asciiTheme="majorHAnsi" w:hAnsiTheme="majorHAnsi" w:cs="Tahoma"/>
          <w:color w:val="365F91" w:themeColor="accent1" w:themeShade="BF"/>
          <w:lang w:val="en-US" w:eastAsia="ja-JP"/>
        </w:rPr>
        <w:t xml:space="preserve">slative and delegated nature (framework laws and laws). </w:t>
      </w:r>
      <w:r w:rsidRPr="00FE18D0">
        <w:rPr>
          <w:rFonts w:asciiTheme="majorHAnsi" w:hAnsiTheme="majorHAnsi" w:cs="Tahoma"/>
          <w:color w:val="365F91" w:themeColor="accent1" w:themeShade="BF"/>
          <w:lang w:val="en-US" w:eastAsia="ja-JP"/>
        </w:rPr>
        <w:t xml:space="preserve">Yet, this terminology was </w:t>
      </w:r>
      <w:r w:rsidR="00C70C10">
        <w:rPr>
          <w:rFonts w:asciiTheme="majorHAnsi" w:hAnsiTheme="majorHAnsi" w:cs="Tahoma"/>
          <w:color w:val="365F91" w:themeColor="accent1" w:themeShade="BF"/>
          <w:lang w:val="en-US" w:eastAsia="ja-JP"/>
        </w:rPr>
        <w:t>abandoned</w:t>
      </w:r>
      <w:r w:rsidRPr="00FE18D0">
        <w:rPr>
          <w:rFonts w:asciiTheme="majorHAnsi" w:hAnsiTheme="majorHAnsi" w:cs="Tahoma"/>
          <w:color w:val="365F91" w:themeColor="accent1" w:themeShade="BF"/>
          <w:lang w:val="en-US" w:eastAsia="ja-JP"/>
        </w:rPr>
        <w:t xml:space="preserve"> in the Treaty of Lisbon because of its </w:t>
      </w:r>
      <w:r w:rsidR="00C70C10">
        <w:rPr>
          <w:rFonts w:asciiTheme="majorHAnsi" w:hAnsiTheme="majorHAnsi" w:cs="Tahoma"/>
          <w:color w:val="365F91" w:themeColor="accent1" w:themeShade="BF"/>
          <w:lang w:val="en-US" w:eastAsia="ja-JP"/>
        </w:rPr>
        <w:t>declared excessivley</w:t>
      </w:r>
      <w:r w:rsidR="00C70C10" w:rsidRPr="00FE18D0">
        <w:rPr>
          <w:rFonts w:asciiTheme="majorHAnsi" w:hAnsiTheme="majorHAnsi" w:cs="Tahoma"/>
          <w:color w:val="365F91" w:themeColor="accent1" w:themeShade="BF"/>
          <w:lang w:val="en-US" w:eastAsia="ja-JP"/>
        </w:rPr>
        <w:t xml:space="preserve"> </w:t>
      </w:r>
      <w:r w:rsidRPr="00FE18D0">
        <w:rPr>
          <w:rFonts w:asciiTheme="majorHAnsi" w:hAnsiTheme="majorHAnsi" w:cs="Tahoma"/>
          <w:color w:val="365F91" w:themeColor="accent1" w:themeShade="BF"/>
          <w:lang w:val="en-US" w:eastAsia="ja-JP"/>
        </w:rPr>
        <w:t>constitutional nature. Secondly, even if the TFEU seemed to have built a rather comprehensive hierarchy of norms or at least give the impression thereof, the many different soft law instruments the EU institutions use in practice do not reflect in any other way in the TFEU than it did already in the old EC-Treaty. So, the reference to recommendations and opinion</w:t>
      </w:r>
      <w:r w:rsidR="00C70C10">
        <w:rPr>
          <w:rFonts w:asciiTheme="majorHAnsi" w:hAnsiTheme="majorHAnsi" w:cs="Tahoma"/>
          <w:color w:val="365F91" w:themeColor="accent1" w:themeShade="BF"/>
          <w:lang w:val="en-US" w:eastAsia="ja-JP"/>
        </w:rPr>
        <w:t>s</w:t>
      </w:r>
      <w:r w:rsidRPr="00FE18D0">
        <w:rPr>
          <w:rFonts w:asciiTheme="majorHAnsi" w:hAnsiTheme="majorHAnsi" w:cs="Tahoma"/>
          <w:color w:val="365F91" w:themeColor="accent1" w:themeShade="BF"/>
          <w:lang w:val="en-US" w:eastAsia="ja-JP"/>
        </w:rPr>
        <w:t xml:space="preserve"> in Article 288 has remained unchanged and only Art</w:t>
      </w:r>
      <w:r w:rsidR="000C5150">
        <w:rPr>
          <w:rFonts w:asciiTheme="majorHAnsi" w:hAnsiTheme="majorHAnsi" w:cs="Tahoma"/>
          <w:color w:val="365F91" w:themeColor="accent1" w:themeShade="BF"/>
          <w:lang w:val="en-US" w:eastAsia="ja-JP"/>
        </w:rPr>
        <w:t>icle 292 was added, stipulating</w:t>
      </w:r>
      <w:r w:rsidR="00FE18D0">
        <w:rPr>
          <w:rFonts w:asciiTheme="majorHAnsi" w:hAnsiTheme="majorHAnsi" w:cs="Tahoma"/>
          <w:color w:val="365F91" w:themeColor="accent1" w:themeShade="BF"/>
          <w:lang w:val="en-US" w:eastAsia="ja-JP"/>
        </w:rPr>
        <w:t xml:space="preserve"> the power of the Council to adopt recommendations and the procedure to follow for this. </w:t>
      </w:r>
      <w:r w:rsidRPr="00FE18D0">
        <w:rPr>
          <w:rFonts w:asciiTheme="majorHAnsi" w:hAnsiTheme="majorHAnsi" w:cs="Tahoma"/>
          <w:color w:val="365F91" w:themeColor="accent1" w:themeShade="BF"/>
          <w:lang w:val="en-US" w:eastAsia="ja-JP"/>
        </w:rPr>
        <w:t>This means that the Treaties in their current form do not reflect in any way the incremental develop</w:t>
      </w:r>
      <w:r w:rsidR="00324D52" w:rsidRPr="00FE18D0">
        <w:rPr>
          <w:rFonts w:asciiTheme="majorHAnsi" w:hAnsiTheme="majorHAnsi" w:cs="Tahoma"/>
          <w:color w:val="365F91" w:themeColor="accent1" w:themeShade="BF"/>
          <w:lang w:val="en-US" w:eastAsia="ja-JP"/>
        </w:rPr>
        <w:t>ment soft administrative rule-making</w:t>
      </w:r>
      <w:r w:rsidRPr="00FE18D0">
        <w:rPr>
          <w:rFonts w:asciiTheme="majorHAnsi" w:hAnsiTheme="majorHAnsi" w:cs="Tahoma"/>
          <w:color w:val="365F91" w:themeColor="accent1" w:themeShade="BF"/>
          <w:lang w:val="en-US" w:eastAsia="ja-JP"/>
        </w:rPr>
        <w:t xml:space="preserve"> has witnessed in the da</w:t>
      </w:r>
      <w:r w:rsidR="001B14D2" w:rsidRPr="00FE18D0">
        <w:rPr>
          <w:rFonts w:asciiTheme="majorHAnsi" w:hAnsiTheme="majorHAnsi" w:cs="Tahoma"/>
          <w:color w:val="365F91" w:themeColor="accent1" w:themeShade="BF"/>
          <w:lang w:val="en-US" w:eastAsia="ja-JP"/>
        </w:rPr>
        <w:t>ily practice of the EU, also beyond the European Commission. Below we will highlight core features of this development.</w:t>
      </w:r>
      <w:r w:rsidR="00324D52" w:rsidRPr="00FE18D0">
        <w:rPr>
          <w:rStyle w:val="Voetnootmarkering"/>
          <w:rFonts w:asciiTheme="majorHAnsi" w:hAnsiTheme="majorHAnsi" w:cs="Tahoma"/>
          <w:color w:val="365F91" w:themeColor="accent1" w:themeShade="BF"/>
          <w:lang w:val="en-US" w:eastAsia="ja-JP"/>
        </w:rPr>
        <w:footnoteReference w:id="2"/>
      </w:r>
      <w:r w:rsidRPr="00FE18D0">
        <w:rPr>
          <w:rFonts w:asciiTheme="majorHAnsi" w:hAnsiTheme="majorHAnsi" w:cs="Tahoma"/>
          <w:color w:val="365F91" w:themeColor="accent1" w:themeShade="BF"/>
          <w:lang w:val="en-US" w:eastAsia="ja-JP"/>
        </w:rPr>
        <w:t xml:space="preserve"> </w:t>
      </w:r>
    </w:p>
    <w:p w14:paraId="5AC548C4" w14:textId="77777777" w:rsidR="00B27D57" w:rsidRPr="00FE18D0" w:rsidRDefault="00B27D57" w:rsidP="000C5150">
      <w:pPr>
        <w:spacing w:line="276" w:lineRule="auto"/>
        <w:jc w:val="both"/>
        <w:rPr>
          <w:rFonts w:asciiTheme="majorHAnsi" w:hAnsiTheme="majorHAnsi" w:cs="Tahoma"/>
          <w:color w:val="365F91" w:themeColor="accent1" w:themeShade="BF"/>
          <w:lang w:val="en-US" w:eastAsia="ja-JP"/>
        </w:rPr>
      </w:pPr>
    </w:p>
    <w:p w14:paraId="5D855F9E" w14:textId="77777777" w:rsidR="000C5150" w:rsidRDefault="00B27D57" w:rsidP="000C5150">
      <w:pPr>
        <w:spacing w:line="276" w:lineRule="auto"/>
        <w:jc w:val="both"/>
        <w:rPr>
          <w:rFonts w:asciiTheme="majorHAnsi" w:hAnsiTheme="majorHAnsi" w:cs="Tahoma"/>
          <w:color w:val="365F91" w:themeColor="accent1" w:themeShade="BF"/>
          <w:lang w:val="en-US" w:eastAsia="ja-JP"/>
        </w:rPr>
      </w:pPr>
      <w:r w:rsidRPr="00FE18D0">
        <w:rPr>
          <w:rFonts w:asciiTheme="majorHAnsi" w:hAnsiTheme="majorHAnsi" w:cs="Tahoma"/>
          <w:color w:val="365F91" w:themeColor="accent1" w:themeShade="BF"/>
          <w:lang w:val="en-US" w:eastAsia="ja-JP"/>
        </w:rPr>
        <w:t xml:space="preserve"> </w:t>
      </w:r>
    </w:p>
    <w:p w14:paraId="60B21720" w14:textId="77777777" w:rsidR="00B27D57" w:rsidRPr="00FE18D0" w:rsidRDefault="00B27D57" w:rsidP="000C5150">
      <w:pPr>
        <w:spacing w:line="276" w:lineRule="auto"/>
        <w:jc w:val="both"/>
        <w:rPr>
          <w:rFonts w:asciiTheme="majorHAnsi" w:hAnsiTheme="majorHAnsi" w:cs="Tahoma"/>
          <w:color w:val="365F91" w:themeColor="accent1" w:themeShade="BF"/>
          <w:lang w:val="en-US" w:eastAsia="ja-JP"/>
        </w:rPr>
      </w:pPr>
      <w:r w:rsidRPr="00FE18D0">
        <w:rPr>
          <w:rFonts w:asciiTheme="majorHAnsi" w:hAnsiTheme="majorHAnsi" w:cs="Tahoma"/>
          <w:color w:val="365F91" w:themeColor="accent1" w:themeShade="BF"/>
          <w:lang w:val="en-US" w:eastAsia="ja-JP"/>
        </w:rPr>
        <w:t xml:space="preserve">2.2 The </w:t>
      </w:r>
      <w:r w:rsidR="00324D52" w:rsidRPr="00FE18D0">
        <w:rPr>
          <w:rFonts w:asciiTheme="majorHAnsi" w:hAnsiTheme="majorHAnsi" w:cs="Tahoma"/>
          <w:color w:val="365F91" w:themeColor="accent1" w:themeShade="BF"/>
          <w:lang w:val="en-US" w:eastAsia="ja-JP"/>
        </w:rPr>
        <w:t>phenomenon of EU soft administrative rule-making</w:t>
      </w:r>
    </w:p>
    <w:p w14:paraId="2B2E0197" w14:textId="77777777" w:rsidR="00B27D57" w:rsidRPr="00FE18D0" w:rsidRDefault="00B27D57" w:rsidP="000C5150">
      <w:pPr>
        <w:spacing w:line="276" w:lineRule="auto"/>
        <w:jc w:val="both"/>
        <w:outlineLvl w:val="0"/>
        <w:rPr>
          <w:rFonts w:asciiTheme="majorHAnsi" w:hAnsiTheme="majorHAnsi" w:cs="Tahoma"/>
          <w:color w:val="365F91" w:themeColor="accent1" w:themeShade="BF"/>
          <w:lang w:val="en-US" w:eastAsia="ja-JP"/>
        </w:rPr>
      </w:pPr>
    </w:p>
    <w:p w14:paraId="1EFFC4F7" w14:textId="77777777" w:rsidR="00324D52" w:rsidRPr="00FE18D0" w:rsidRDefault="001973B3" w:rsidP="000C51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ajorHAnsi" w:hAnsiTheme="majorHAnsi" w:cs="Verdana"/>
          <w:color w:val="365F91" w:themeColor="accent1" w:themeShade="BF"/>
          <w:lang w:val="en-US" w:eastAsia="ja-JP"/>
        </w:rPr>
      </w:pPr>
      <w:r w:rsidRPr="00FE18D0">
        <w:rPr>
          <w:rFonts w:asciiTheme="majorHAnsi" w:hAnsiTheme="majorHAnsi" w:cs="Verdana"/>
          <w:color w:val="365F91" w:themeColor="accent1" w:themeShade="BF"/>
          <w:lang w:val="en-US" w:eastAsia="ja-JP"/>
        </w:rPr>
        <w:t xml:space="preserve">Analysing </w:t>
      </w:r>
      <w:r w:rsidR="00324D52" w:rsidRPr="00FE18D0">
        <w:rPr>
          <w:rFonts w:asciiTheme="majorHAnsi" w:hAnsiTheme="majorHAnsi" w:cs="Verdana"/>
          <w:color w:val="365F91" w:themeColor="accent1" w:themeShade="BF"/>
          <w:lang w:val="en-US" w:eastAsia="ja-JP"/>
        </w:rPr>
        <w:t xml:space="preserve">the Union’s administration in a triadic way, </w:t>
      </w:r>
      <w:r w:rsidRPr="00FE18D0">
        <w:rPr>
          <w:rFonts w:asciiTheme="majorHAnsi" w:hAnsiTheme="majorHAnsi" w:cs="Verdana"/>
          <w:color w:val="365F91" w:themeColor="accent1" w:themeShade="BF"/>
          <w:lang w:val="en-US" w:eastAsia="ja-JP"/>
        </w:rPr>
        <w:t xml:space="preserve">the distinction is made </w:t>
      </w:r>
      <w:r w:rsidR="00324D52" w:rsidRPr="00FE18D0">
        <w:rPr>
          <w:rFonts w:asciiTheme="majorHAnsi" w:hAnsiTheme="majorHAnsi" w:cs="Verdana"/>
          <w:color w:val="365F91" w:themeColor="accent1" w:themeShade="BF"/>
          <w:lang w:val="en-US" w:eastAsia="ja-JP"/>
        </w:rPr>
        <w:t>between direct administration, indirect administration and cooperative or shared administration.</w:t>
      </w:r>
      <w:r w:rsidR="00832DDF" w:rsidRPr="00FE18D0">
        <w:rPr>
          <w:rStyle w:val="Voetnootmarkering"/>
          <w:rFonts w:asciiTheme="majorHAnsi" w:hAnsiTheme="majorHAnsi" w:cs="Verdana"/>
          <w:color w:val="365F91" w:themeColor="accent1" w:themeShade="BF"/>
          <w:lang w:val="en-US" w:eastAsia="ja-JP"/>
        </w:rPr>
        <w:footnoteReference w:id="3"/>
      </w:r>
      <w:r w:rsidR="00832DDF" w:rsidRPr="00FE18D0">
        <w:rPr>
          <w:rFonts w:asciiTheme="majorHAnsi" w:hAnsiTheme="majorHAnsi" w:cs="Verdana"/>
          <w:color w:val="365F91" w:themeColor="accent1" w:themeShade="BF"/>
          <w:lang w:val="en-US" w:eastAsia="ja-JP"/>
        </w:rPr>
        <w:t xml:space="preserve"> </w:t>
      </w:r>
      <w:r w:rsidR="00324D52" w:rsidRPr="00FE18D0">
        <w:rPr>
          <w:rFonts w:asciiTheme="majorHAnsi" w:hAnsiTheme="majorHAnsi" w:cs="Verdana"/>
          <w:color w:val="365F91" w:themeColor="accent1" w:themeShade="BF"/>
          <w:lang w:val="en-US" w:eastAsia="ja-JP"/>
        </w:rPr>
        <w:t xml:space="preserve">Direct administration </w:t>
      </w:r>
      <w:r w:rsidRPr="00FE18D0">
        <w:rPr>
          <w:rFonts w:asciiTheme="majorHAnsi" w:hAnsiTheme="majorHAnsi" w:cs="Verdana"/>
          <w:color w:val="365F91" w:themeColor="accent1" w:themeShade="BF"/>
          <w:lang w:val="en-US" w:eastAsia="ja-JP"/>
        </w:rPr>
        <w:t>occurs at the Union level,</w:t>
      </w:r>
      <w:r w:rsidR="00324D52" w:rsidRPr="00FE18D0">
        <w:rPr>
          <w:rFonts w:asciiTheme="majorHAnsi" w:hAnsiTheme="majorHAnsi" w:cs="Verdana"/>
          <w:color w:val="365F91" w:themeColor="accent1" w:themeShade="BF"/>
          <w:lang w:val="en-US" w:eastAsia="ja-JP"/>
        </w:rPr>
        <w:t xml:space="preserve"> often </w:t>
      </w:r>
      <w:r w:rsidRPr="00FE18D0">
        <w:rPr>
          <w:rFonts w:asciiTheme="majorHAnsi" w:hAnsiTheme="majorHAnsi" w:cs="Verdana"/>
          <w:color w:val="365F91" w:themeColor="accent1" w:themeShade="BF"/>
          <w:lang w:val="en-US" w:eastAsia="ja-JP"/>
        </w:rPr>
        <w:t xml:space="preserve">equalised </w:t>
      </w:r>
      <w:r w:rsidR="00324D52" w:rsidRPr="00FE18D0">
        <w:rPr>
          <w:rFonts w:asciiTheme="majorHAnsi" w:hAnsiTheme="majorHAnsi" w:cs="Verdana"/>
          <w:color w:val="365F91" w:themeColor="accent1" w:themeShade="BF"/>
          <w:lang w:val="en-US" w:eastAsia="ja-JP"/>
        </w:rPr>
        <w:t xml:space="preserve">with administrative decision-making or single-case decision-making, such as the Commission’s individual decisions in the area of competition law. </w:t>
      </w:r>
      <w:r w:rsidRPr="00FE18D0">
        <w:rPr>
          <w:rFonts w:asciiTheme="majorHAnsi" w:hAnsiTheme="majorHAnsi" w:cs="Verdana"/>
          <w:color w:val="365F91" w:themeColor="accent1" w:themeShade="BF"/>
          <w:lang w:val="en-US" w:eastAsia="ja-JP"/>
        </w:rPr>
        <w:t xml:space="preserve">But this can also be taken to refer to </w:t>
      </w:r>
      <w:r w:rsidR="00324D52" w:rsidRPr="00FE18D0">
        <w:rPr>
          <w:rFonts w:asciiTheme="majorHAnsi" w:hAnsiTheme="majorHAnsi" w:cs="Verdana"/>
          <w:color w:val="365F91" w:themeColor="accent1" w:themeShade="BF"/>
          <w:lang w:val="en-US" w:eastAsia="ja-JP"/>
        </w:rPr>
        <w:t>administrative rule-making</w:t>
      </w:r>
      <w:r w:rsidR="00832DDF" w:rsidRPr="00FE18D0">
        <w:rPr>
          <w:rStyle w:val="Voetnootmarkering"/>
          <w:rFonts w:asciiTheme="majorHAnsi" w:hAnsiTheme="majorHAnsi" w:cs="Verdana"/>
          <w:color w:val="365F91" w:themeColor="accent1" w:themeShade="BF"/>
          <w:lang w:val="en-US" w:eastAsia="ja-JP"/>
        </w:rPr>
        <w:footnoteReference w:id="4"/>
      </w:r>
      <w:r w:rsidR="00324D52" w:rsidRPr="00FE18D0">
        <w:rPr>
          <w:rFonts w:asciiTheme="majorHAnsi" w:hAnsiTheme="majorHAnsi" w:cs="Verdana"/>
          <w:color w:val="365F91" w:themeColor="accent1" w:themeShade="BF"/>
          <w:lang w:val="en-US" w:eastAsia="ja-JP"/>
        </w:rPr>
        <w:t xml:space="preserve"> or the exercise of general implementing powers by EU entities. Indirect administration</w:t>
      </w:r>
      <w:r w:rsidRPr="00FE18D0">
        <w:rPr>
          <w:rFonts w:asciiTheme="majorHAnsi" w:hAnsiTheme="majorHAnsi" w:cs="Verdana"/>
          <w:color w:val="365F91" w:themeColor="accent1" w:themeShade="BF"/>
          <w:lang w:val="en-US" w:eastAsia="ja-JP"/>
        </w:rPr>
        <w:t xml:space="preserve"> then refers to</w:t>
      </w:r>
      <w:r w:rsidR="00324D52" w:rsidRPr="00FE18D0">
        <w:rPr>
          <w:rFonts w:asciiTheme="majorHAnsi" w:hAnsiTheme="majorHAnsi" w:cs="Verdana"/>
          <w:color w:val="365F91" w:themeColor="accent1" w:themeShade="BF"/>
          <w:lang w:val="en-US" w:eastAsia="ja-JP"/>
        </w:rPr>
        <w:t xml:space="preserve"> the implementation of EU law into national administrative systems. Shared administration is considered to occur where the two levels work together.</w:t>
      </w:r>
      <w:r w:rsidR="00832DDF" w:rsidRPr="00FE18D0">
        <w:rPr>
          <w:rStyle w:val="Voetnootmarkering"/>
          <w:rFonts w:asciiTheme="majorHAnsi" w:hAnsiTheme="majorHAnsi" w:cs="Verdana"/>
          <w:color w:val="365F91" w:themeColor="accent1" w:themeShade="BF"/>
          <w:lang w:val="en-US" w:eastAsia="ja-JP"/>
        </w:rPr>
        <w:footnoteReference w:id="5"/>
      </w:r>
      <w:r w:rsidR="00324D52" w:rsidRPr="00FE18D0">
        <w:rPr>
          <w:rFonts w:asciiTheme="majorHAnsi" w:hAnsiTheme="majorHAnsi" w:cs="Verdana"/>
          <w:color w:val="365F91" w:themeColor="accent1" w:themeShade="BF"/>
          <w:lang w:val="en-US" w:eastAsia="ja-JP"/>
        </w:rPr>
        <w:t xml:space="preserve"> Soft administrative rule-making as this occurs in the context of the EU must clearly be viewed from the perspective of </w:t>
      </w:r>
      <w:r w:rsidR="00324D52" w:rsidRPr="00FE18D0">
        <w:rPr>
          <w:rFonts w:asciiTheme="majorHAnsi" w:hAnsiTheme="majorHAnsi" w:cs="Verdana"/>
          <w:bCs/>
          <w:color w:val="365F91" w:themeColor="accent1" w:themeShade="BF"/>
          <w:lang w:val="en-US" w:eastAsia="ja-JP"/>
        </w:rPr>
        <w:t>shared administration</w:t>
      </w:r>
      <w:r w:rsidR="00324D52" w:rsidRPr="00FE18D0">
        <w:rPr>
          <w:rFonts w:asciiTheme="majorHAnsi" w:hAnsiTheme="majorHAnsi" w:cs="Verdana"/>
          <w:color w:val="365F91" w:themeColor="accent1" w:themeShade="BF"/>
          <w:lang w:val="en-US" w:eastAsia="ja-JP"/>
        </w:rPr>
        <w:t xml:space="preserve">. Practice shows that the Commission’s exercise of implementing powers does not only lead to the adoption of legally binding acts – in particular delegated and implementing acts – but also of administrative soft law acts. These are cast primarily in instruments like communications, notices, guidelines, codes and circulars. This forms an increasingly </w:t>
      </w:r>
      <w:r w:rsidR="00324D52" w:rsidRPr="00FE18D0">
        <w:rPr>
          <w:rFonts w:asciiTheme="majorHAnsi" w:hAnsiTheme="majorHAnsi" w:cs="Verdana"/>
          <w:color w:val="365F91" w:themeColor="accent1" w:themeShade="BF"/>
          <w:lang w:val="en-US" w:eastAsia="ja-JP"/>
        </w:rPr>
        <w:lastRenderedPageBreak/>
        <w:t>important category of soft law that fulfils a post-law function,</w:t>
      </w:r>
      <w:r w:rsidR="00832DDF" w:rsidRPr="00FE18D0">
        <w:rPr>
          <w:rStyle w:val="Voetnootmarkering"/>
          <w:rFonts w:asciiTheme="majorHAnsi" w:hAnsiTheme="majorHAnsi" w:cs="Verdana"/>
          <w:color w:val="365F91" w:themeColor="accent1" w:themeShade="BF"/>
          <w:lang w:val="en-US" w:eastAsia="ja-JP"/>
        </w:rPr>
        <w:footnoteReference w:id="6"/>
      </w:r>
      <w:r w:rsidR="00324D52" w:rsidRPr="00FE18D0">
        <w:rPr>
          <w:rFonts w:asciiTheme="majorHAnsi" w:hAnsiTheme="majorHAnsi" w:cs="Verdana"/>
          <w:color w:val="365F91" w:themeColor="accent1" w:themeShade="BF"/>
          <w:lang w:val="en-US" w:eastAsia="ja-JP"/>
        </w:rPr>
        <w:t xml:space="preserve"> by seeking to provide further rules and guidance to national authorities and interested parties on the interpretation, transposition, application and enforcement of EU law. This occurs with a view to enhancing the transparency, legal certainty, correct and uniform interpretation of EU law, its predictability and the equal treatment of those concerned. This type of soft law is thus always related to already existing – hard - Union law.</w:t>
      </w:r>
    </w:p>
    <w:p w14:paraId="5533F9AB" w14:textId="77777777" w:rsidR="00832DDF" w:rsidRPr="00FE18D0" w:rsidRDefault="00832DDF" w:rsidP="000C51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ajorHAnsi" w:hAnsiTheme="majorHAnsi" w:cs="Verdana"/>
          <w:color w:val="365F91" w:themeColor="accent1" w:themeShade="BF"/>
          <w:lang w:val="en-US" w:eastAsia="ja-JP"/>
        </w:rPr>
      </w:pPr>
    </w:p>
    <w:p w14:paraId="45FDE8F7" w14:textId="77777777" w:rsidR="00324D52" w:rsidRDefault="00324D52" w:rsidP="000C51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ajorHAnsi" w:hAnsiTheme="majorHAnsi" w:cs="Verdana"/>
          <w:color w:val="365F91" w:themeColor="accent1" w:themeShade="BF"/>
          <w:lang w:val="en-US" w:eastAsia="ja-JP"/>
        </w:rPr>
      </w:pPr>
      <w:r w:rsidRPr="00FE18D0">
        <w:rPr>
          <w:rFonts w:asciiTheme="majorHAnsi" w:hAnsiTheme="majorHAnsi" w:cs="Verdana"/>
          <w:color w:val="365F91" w:themeColor="accent1" w:themeShade="BF"/>
          <w:lang w:val="en-US" w:eastAsia="ja-JP"/>
        </w:rPr>
        <w:t xml:space="preserve">As such, soft administrative rule-making acts may be geared towards the </w:t>
      </w:r>
      <w:r w:rsidRPr="00FE18D0">
        <w:rPr>
          <w:rFonts w:asciiTheme="majorHAnsi" w:hAnsiTheme="majorHAnsi" w:cs="Verdana"/>
          <w:bCs/>
          <w:color w:val="365F91" w:themeColor="accent1" w:themeShade="BF"/>
          <w:lang w:val="en-US" w:eastAsia="ja-JP"/>
        </w:rPr>
        <w:t>level of direct administration</w:t>
      </w:r>
      <w:r w:rsidRPr="00FE18D0">
        <w:rPr>
          <w:rFonts w:asciiTheme="majorHAnsi" w:hAnsiTheme="majorHAnsi" w:cs="Verdana"/>
          <w:color w:val="365F91" w:themeColor="accent1" w:themeShade="BF"/>
          <w:lang w:val="en-US" w:eastAsia="ja-JP"/>
        </w:rPr>
        <w:t>, by explaining how the Commission will use its own decision-making powers in individual cases (</w:t>
      </w:r>
      <w:r w:rsidRPr="00FE18D0">
        <w:rPr>
          <w:rFonts w:asciiTheme="majorHAnsi" w:hAnsiTheme="majorHAnsi" w:cs="Verdana"/>
          <w:bCs/>
          <w:i/>
          <w:iCs/>
          <w:color w:val="365F91" w:themeColor="accent1" w:themeShade="BF"/>
          <w:lang w:val="en-US" w:eastAsia="ja-JP"/>
        </w:rPr>
        <w:t>decisional acts</w:t>
      </w:r>
      <w:r w:rsidRPr="00FE18D0">
        <w:rPr>
          <w:rFonts w:asciiTheme="majorHAnsi" w:hAnsiTheme="majorHAnsi" w:cs="Verdana"/>
          <w:color w:val="365F91" w:themeColor="accent1" w:themeShade="BF"/>
          <w:lang w:val="en-US" w:eastAsia="ja-JP"/>
        </w:rPr>
        <w:t>).</w:t>
      </w:r>
      <w:r w:rsidR="00832DDF" w:rsidRPr="00FE18D0">
        <w:rPr>
          <w:rStyle w:val="Voetnootmarkering"/>
          <w:rFonts w:asciiTheme="majorHAnsi" w:hAnsiTheme="majorHAnsi" w:cs="Verdana"/>
          <w:color w:val="365F91" w:themeColor="accent1" w:themeShade="BF"/>
          <w:lang w:val="en-US" w:eastAsia="ja-JP"/>
        </w:rPr>
        <w:footnoteReference w:id="7"/>
      </w:r>
      <w:r w:rsidR="00832DDF" w:rsidRPr="00FE18D0">
        <w:rPr>
          <w:rFonts w:asciiTheme="majorHAnsi" w:hAnsiTheme="majorHAnsi" w:cs="Verdana"/>
          <w:color w:val="365F91" w:themeColor="accent1" w:themeShade="BF"/>
          <w:lang w:val="en-US" w:eastAsia="ja-JP"/>
        </w:rPr>
        <w:t xml:space="preserve"> </w:t>
      </w:r>
      <w:r w:rsidRPr="00FE18D0">
        <w:rPr>
          <w:rFonts w:asciiTheme="majorHAnsi" w:hAnsiTheme="majorHAnsi" w:cs="Verdana"/>
          <w:color w:val="365F91" w:themeColor="accent1" w:themeShade="BF"/>
          <w:lang w:val="en-US" w:eastAsia="ja-JP"/>
        </w:rPr>
        <w:t>An example is the Commission’s communication on the application of penalty payments and lump sum payments in the framework of the infringement procedure.</w:t>
      </w:r>
      <w:r w:rsidR="00832DDF" w:rsidRPr="00FE18D0">
        <w:rPr>
          <w:rStyle w:val="Voetnootmarkering"/>
          <w:rFonts w:asciiTheme="majorHAnsi" w:hAnsiTheme="majorHAnsi" w:cs="Verdana"/>
          <w:color w:val="365F91" w:themeColor="accent1" w:themeShade="BF"/>
          <w:lang w:val="en-US" w:eastAsia="ja-JP"/>
        </w:rPr>
        <w:footnoteReference w:id="8"/>
      </w:r>
      <w:r w:rsidR="00832DDF" w:rsidRPr="00FE18D0">
        <w:rPr>
          <w:rFonts w:asciiTheme="majorHAnsi" w:hAnsiTheme="majorHAnsi" w:cs="Verdana"/>
          <w:color w:val="365F91" w:themeColor="accent1" w:themeShade="BF"/>
          <w:lang w:val="en-US" w:eastAsia="ja-JP"/>
        </w:rPr>
        <w:t xml:space="preserve"> </w:t>
      </w:r>
      <w:r w:rsidRPr="00FE18D0">
        <w:rPr>
          <w:rFonts w:asciiTheme="majorHAnsi" w:hAnsiTheme="majorHAnsi" w:cs="Verdana"/>
          <w:color w:val="365F91" w:themeColor="accent1" w:themeShade="BF"/>
          <w:lang w:val="en-US" w:eastAsia="ja-JP"/>
        </w:rPr>
        <w:t xml:space="preserve">Yet, such acts will clearly also bear effect on the organization of the implementation of EU law on the national level and thereby on the </w:t>
      </w:r>
      <w:r w:rsidRPr="00FE18D0">
        <w:rPr>
          <w:rFonts w:asciiTheme="majorHAnsi" w:hAnsiTheme="majorHAnsi" w:cs="Verdana"/>
          <w:bCs/>
          <w:color w:val="365F91" w:themeColor="accent1" w:themeShade="BF"/>
          <w:lang w:val="en-US" w:eastAsia="ja-JP"/>
        </w:rPr>
        <w:t>level of indirect administration</w:t>
      </w:r>
      <w:r w:rsidRPr="00FE18D0">
        <w:rPr>
          <w:rFonts w:asciiTheme="majorHAnsi" w:hAnsiTheme="majorHAnsi" w:cs="Verdana"/>
          <w:color w:val="365F91" w:themeColor="accent1" w:themeShade="BF"/>
          <w:lang w:val="en-US" w:eastAsia="ja-JP"/>
        </w:rPr>
        <w:t xml:space="preserve">. Interestingly, more recently we also witness the emergence of Commission decisional acts that are specifically geared towards the level of indirect administration, by seeking to guide the way in which Member States use their discretionary powers in implementing EU law. The Handbook on Implementation of the Services Directive provides an example of this. Another category of soft administrative acts indicates or summarizes the way in which – according to the Commission – Union law should be understood and applied </w:t>
      </w:r>
      <w:r w:rsidRPr="00FE18D0">
        <w:rPr>
          <w:rFonts w:asciiTheme="majorHAnsi" w:hAnsiTheme="majorHAnsi" w:cs="Verdana"/>
          <w:i/>
          <w:iCs/>
          <w:color w:val="365F91" w:themeColor="accent1" w:themeShade="BF"/>
          <w:lang w:val="en-US" w:eastAsia="ja-JP"/>
        </w:rPr>
        <w:t>(</w:t>
      </w:r>
      <w:r w:rsidRPr="00FE18D0">
        <w:rPr>
          <w:rFonts w:asciiTheme="majorHAnsi" w:hAnsiTheme="majorHAnsi" w:cs="Verdana"/>
          <w:bCs/>
          <w:i/>
          <w:iCs/>
          <w:color w:val="365F91" w:themeColor="accent1" w:themeShade="BF"/>
          <w:lang w:val="en-US" w:eastAsia="ja-JP"/>
        </w:rPr>
        <w:t>interpretative acts</w:t>
      </w:r>
      <w:r w:rsidRPr="00FE18D0">
        <w:rPr>
          <w:rFonts w:asciiTheme="majorHAnsi" w:hAnsiTheme="majorHAnsi" w:cs="Verdana"/>
          <w:i/>
          <w:iCs/>
          <w:color w:val="365F91" w:themeColor="accent1" w:themeShade="BF"/>
          <w:lang w:val="en-US" w:eastAsia="ja-JP"/>
        </w:rPr>
        <w:t>)</w:t>
      </w:r>
      <w:r w:rsidRPr="00FE18D0">
        <w:rPr>
          <w:rFonts w:asciiTheme="majorHAnsi" w:hAnsiTheme="majorHAnsi" w:cs="Verdana"/>
          <w:color w:val="365F91" w:themeColor="accent1" w:themeShade="BF"/>
          <w:lang w:val="en-US" w:eastAsia="ja-JP"/>
        </w:rPr>
        <w:t>. These may not only relate to indirect administration (giving guidance to national authorities), but may be relevant in the context of direct administration as well. The objective may then be to provide guidance to other EU institutions, bodies and agencies, as well as to provide transparency and legal certainty for stakeholders and citizens on how EU law will be interpreted and applied by the EU administration.</w:t>
      </w:r>
    </w:p>
    <w:p w14:paraId="38DF2F63" w14:textId="77777777" w:rsidR="000C5150" w:rsidRPr="00FE18D0" w:rsidRDefault="000C5150" w:rsidP="000C51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ajorHAnsi" w:hAnsiTheme="majorHAnsi" w:cs="Verdana"/>
          <w:color w:val="365F91" w:themeColor="accent1" w:themeShade="BF"/>
          <w:lang w:val="en-US" w:eastAsia="ja-JP"/>
        </w:rPr>
      </w:pPr>
    </w:p>
    <w:p w14:paraId="6529B2C4" w14:textId="77777777" w:rsidR="00B27D57" w:rsidRPr="00FE18D0" w:rsidRDefault="00324D52" w:rsidP="000C51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ajorHAnsi" w:hAnsiTheme="majorHAnsi" w:cs="Verdana"/>
          <w:color w:val="365F91" w:themeColor="accent1" w:themeShade="BF"/>
          <w:lang w:val="en-US" w:eastAsia="ja-JP"/>
        </w:rPr>
      </w:pPr>
      <w:r w:rsidRPr="00FE18D0">
        <w:rPr>
          <w:rFonts w:asciiTheme="majorHAnsi" w:hAnsiTheme="majorHAnsi" w:cs="Verdana"/>
          <w:color w:val="365F91" w:themeColor="accent1" w:themeShade="BF"/>
          <w:lang w:val="en-US" w:eastAsia="ja-JP"/>
        </w:rPr>
        <w:t xml:space="preserve">When it comes to soft administrative rule-making, not only the levels of direct and indirect administration are thus very much </w:t>
      </w:r>
      <w:r w:rsidRPr="00FE18D0">
        <w:rPr>
          <w:rFonts w:asciiTheme="majorHAnsi" w:hAnsiTheme="majorHAnsi" w:cs="Verdana"/>
          <w:bCs/>
          <w:color w:val="365F91" w:themeColor="accent1" w:themeShade="BF"/>
          <w:lang w:val="en-US" w:eastAsia="ja-JP"/>
        </w:rPr>
        <w:t>intertwined</w:t>
      </w:r>
      <w:r w:rsidRPr="00FE18D0">
        <w:rPr>
          <w:rFonts w:asciiTheme="majorHAnsi" w:hAnsiTheme="majorHAnsi" w:cs="Verdana"/>
          <w:color w:val="365F91" w:themeColor="accent1" w:themeShade="BF"/>
          <w:lang w:val="en-US" w:eastAsia="ja-JP"/>
        </w:rPr>
        <w:t>, but in fact also the levels of general rule- making and single-case decision-making. The underlying rationales of soft administrative rule-making and its increasing importance for legal practice underline this. Very importantly, it must also be observed that more recently certain EU-level committees (e.g. the Customs Committee),</w:t>
      </w:r>
      <w:r w:rsidR="007D655C" w:rsidRPr="00FE18D0">
        <w:rPr>
          <w:rStyle w:val="Voetnootmarkering"/>
          <w:rFonts w:asciiTheme="majorHAnsi" w:hAnsiTheme="majorHAnsi" w:cs="Verdana"/>
          <w:color w:val="365F91" w:themeColor="accent1" w:themeShade="BF"/>
          <w:lang w:val="en-US" w:eastAsia="ja-JP"/>
        </w:rPr>
        <w:footnoteReference w:id="9"/>
      </w:r>
      <w:r w:rsidRPr="00FE18D0">
        <w:rPr>
          <w:rFonts w:asciiTheme="majorHAnsi" w:hAnsiTheme="majorHAnsi" w:cs="Verdana"/>
          <w:color w:val="365F91" w:themeColor="accent1" w:themeShade="BF"/>
          <w:lang w:val="en-US" w:eastAsia="ja-JP"/>
        </w:rPr>
        <w:t xml:space="preserve"> networks and agencies have been gaining soft rule- making powers as well with a view to securing the actual implementation and enforcement of EU law and policy. In itself, the use of soft EU </w:t>
      </w:r>
      <w:r w:rsidRPr="00FE18D0">
        <w:rPr>
          <w:rFonts w:asciiTheme="majorHAnsi" w:hAnsiTheme="majorHAnsi" w:cs="Verdana"/>
          <w:color w:val="365F91" w:themeColor="accent1" w:themeShade="BF"/>
          <w:lang w:val="en-US" w:eastAsia="ja-JP"/>
        </w:rPr>
        <w:lastRenderedPageBreak/>
        <w:t xml:space="preserve">administrative rule-making by such entities indicates a </w:t>
      </w:r>
      <w:r w:rsidRPr="00FE18D0">
        <w:rPr>
          <w:rFonts w:asciiTheme="majorHAnsi" w:hAnsiTheme="majorHAnsi" w:cs="Verdana"/>
          <w:bCs/>
          <w:color w:val="365F91" w:themeColor="accent1" w:themeShade="BF"/>
          <w:lang w:val="en-US" w:eastAsia="ja-JP"/>
        </w:rPr>
        <w:t>maturing European administrative bureaucracy</w:t>
      </w:r>
      <w:r w:rsidRPr="00FE18D0">
        <w:rPr>
          <w:rFonts w:asciiTheme="majorHAnsi" w:hAnsiTheme="majorHAnsi" w:cs="Verdana"/>
          <w:color w:val="365F91" w:themeColor="accent1" w:themeShade="BF"/>
          <w:lang w:val="en-US" w:eastAsia="ja-JP"/>
        </w:rPr>
        <w:t>, as this to a certain extent parallels developments at the national administrative level where we can find counterparts of interpretative and decisional rules, as well as of agencies.</w:t>
      </w:r>
      <w:r w:rsidR="007D655C" w:rsidRPr="00FE18D0">
        <w:rPr>
          <w:rStyle w:val="Voetnootmarkering"/>
          <w:rFonts w:asciiTheme="majorHAnsi" w:hAnsiTheme="majorHAnsi" w:cs="Verdana"/>
          <w:color w:val="365F91" w:themeColor="accent1" w:themeShade="BF"/>
          <w:lang w:val="en-US" w:eastAsia="ja-JP"/>
        </w:rPr>
        <w:footnoteReference w:id="10"/>
      </w:r>
    </w:p>
    <w:p w14:paraId="0BBC0630" w14:textId="77777777" w:rsidR="00B27D57" w:rsidRPr="00FE18D0" w:rsidRDefault="00B27D57" w:rsidP="000C51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ajorHAnsi" w:hAnsiTheme="majorHAnsi" w:cs="Verdana"/>
          <w:color w:val="365F91" w:themeColor="accent1" w:themeShade="BF"/>
          <w:lang w:val="en-US" w:eastAsia="ja-JP"/>
        </w:rPr>
      </w:pPr>
    </w:p>
    <w:p w14:paraId="47461204" w14:textId="77777777" w:rsidR="00B27D57" w:rsidRPr="00FE18D0" w:rsidRDefault="00B27D57" w:rsidP="000C51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ajorHAnsi" w:hAnsiTheme="majorHAnsi" w:cs="Verdana"/>
          <w:color w:val="365F91" w:themeColor="accent1" w:themeShade="BF"/>
          <w:lang w:val="en-US" w:eastAsia="ja-JP"/>
        </w:rPr>
      </w:pPr>
      <w:r w:rsidRPr="00FE18D0">
        <w:rPr>
          <w:rFonts w:asciiTheme="majorHAnsi" w:hAnsiTheme="majorHAnsi" w:cs="Verdana"/>
          <w:bCs/>
          <w:color w:val="365F91" w:themeColor="accent1" w:themeShade="BF"/>
          <w:lang w:val="en-US" w:eastAsia="ja-JP"/>
        </w:rPr>
        <w:t>Decisional acts</w:t>
      </w:r>
      <w:r w:rsidRPr="00FE18D0">
        <w:rPr>
          <w:rFonts w:asciiTheme="majorHAnsi" w:hAnsiTheme="majorHAnsi" w:cs="Verdana"/>
          <w:b/>
          <w:bCs/>
          <w:color w:val="365F91" w:themeColor="accent1" w:themeShade="BF"/>
          <w:lang w:val="en-US" w:eastAsia="ja-JP"/>
        </w:rPr>
        <w:t xml:space="preserve"> </w:t>
      </w:r>
      <w:r w:rsidRPr="00FE18D0">
        <w:rPr>
          <w:rFonts w:asciiTheme="majorHAnsi" w:hAnsiTheme="majorHAnsi" w:cs="Verdana"/>
          <w:color w:val="365F91" w:themeColor="accent1" w:themeShade="BF"/>
          <w:lang w:val="en-US" w:eastAsia="ja-JP"/>
        </w:rPr>
        <w:t>are of particular importance when it comes to the Commission’s single-case decision-making, as they set out how the Commission intends to apply EU law to individual cases at hand. So, these acts are adopted in areas where the Commission enjoys (wide) discretionary implementing powers, such as in the fields of competition law and state aid. Direct administration by the Commission as expressed in its individual decision- making will thus very much depend on the existence and contents of such general rule- making acts, underlining that these two aspects of direct administration should be considered very much in conjunction.</w:t>
      </w:r>
      <w:r w:rsidR="007D655C" w:rsidRPr="00FE18D0">
        <w:rPr>
          <w:rFonts w:asciiTheme="majorHAnsi" w:hAnsiTheme="majorHAnsi" w:cs="Verdana"/>
          <w:color w:val="365F91" w:themeColor="accent1" w:themeShade="BF"/>
          <w:lang w:val="en-US" w:eastAsia="ja-JP"/>
        </w:rPr>
        <w:t xml:space="preserve"> Interestingly, Union legislation may not only enable but even oblige the Commission </w:t>
      </w:r>
    </w:p>
    <w:p w14:paraId="662DEE3B" w14:textId="77777777" w:rsidR="00B27D57" w:rsidRPr="00FE18D0" w:rsidRDefault="00B27D57" w:rsidP="000C51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ajorHAnsi" w:hAnsiTheme="majorHAnsi" w:cs="Verdana"/>
          <w:color w:val="365F91" w:themeColor="accent1" w:themeShade="BF"/>
          <w:lang w:val="en-US" w:eastAsia="ja-JP"/>
        </w:rPr>
      </w:pPr>
      <w:proofErr w:type="gramStart"/>
      <w:r w:rsidRPr="00FE18D0">
        <w:rPr>
          <w:rFonts w:asciiTheme="majorHAnsi" w:hAnsiTheme="majorHAnsi" w:cs="Verdana"/>
          <w:color w:val="365F91" w:themeColor="accent1" w:themeShade="BF"/>
          <w:lang w:val="en-US" w:eastAsia="ja-JP"/>
        </w:rPr>
        <w:t>to</w:t>
      </w:r>
      <w:proofErr w:type="gramEnd"/>
      <w:r w:rsidRPr="00FE18D0">
        <w:rPr>
          <w:rFonts w:asciiTheme="majorHAnsi" w:hAnsiTheme="majorHAnsi" w:cs="Verdana"/>
          <w:color w:val="365F91" w:themeColor="accent1" w:themeShade="BF"/>
          <w:lang w:val="en-US" w:eastAsia="ja-JP"/>
        </w:rPr>
        <w:t xml:space="preserve"> adopt </w:t>
      </w:r>
      <w:r w:rsidR="007D655C" w:rsidRPr="00FE18D0">
        <w:rPr>
          <w:rFonts w:asciiTheme="majorHAnsi" w:hAnsiTheme="majorHAnsi" w:cs="Verdana"/>
          <w:color w:val="365F91" w:themeColor="accent1" w:themeShade="BF"/>
          <w:lang w:val="en-US" w:eastAsia="ja-JP"/>
        </w:rPr>
        <w:t xml:space="preserve">such </w:t>
      </w:r>
      <w:r w:rsidRPr="00FE18D0">
        <w:rPr>
          <w:rFonts w:asciiTheme="majorHAnsi" w:hAnsiTheme="majorHAnsi" w:cs="Verdana"/>
          <w:color w:val="365F91" w:themeColor="accent1" w:themeShade="BF"/>
          <w:lang w:val="en-US" w:eastAsia="ja-JP"/>
        </w:rPr>
        <w:t>a decisional act, while stipulating at the same time certain procedural requirements. A clear example is in Directive 2010/40,102 of which Article 9 states:</w:t>
      </w:r>
    </w:p>
    <w:p w14:paraId="0B1931EA" w14:textId="77777777" w:rsidR="00B27D57" w:rsidRDefault="00B27D57" w:rsidP="000C51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ajorHAnsi" w:hAnsiTheme="majorHAnsi" w:cs="Verdana"/>
          <w:color w:val="365F91" w:themeColor="accent1" w:themeShade="BF"/>
          <w:lang w:val="en-US" w:eastAsia="ja-JP"/>
        </w:rPr>
      </w:pPr>
      <w:r w:rsidRPr="00FE18D0">
        <w:rPr>
          <w:rFonts w:asciiTheme="majorHAnsi" w:hAnsiTheme="majorHAnsi" w:cs="Verdana"/>
          <w:color w:val="365F91" w:themeColor="accent1" w:themeShade="BF"/>
          <w:lang w:val="en-US" w:eastAsia="ja-JP"/>
        </w:rPr>
        <w:t xml:space="preserve">‘The Commission </w:t>
      </w:r>
      <w:r w:rsidRPr="00FE18D0">
        <w:rPr>
          <w:rFonts w:asciiTheme="majorHAnsi" w:hAnsiTheme="majorHAnsi" w:cs="Verdana"/>
          <w:b/>
          <w:i/>
          <w:color w:val="365F91" w:themeColor="accent1" w:themeShade="BF"/>
          <w:lang w:val="en-US" w:eastAsia="ja-JP"/>
        </w:rPr>
        <w:t xml:space="preserve">may </w:t>
      </w:r>
      <w:r w:rsidRPr="00FE18D0">
        <w:rPr>
          <w:rFonts w:asciiTheme="majorHAnsi" w:hAnsiTheme="majorHAnsi" w:cs="Verdana"/>
          <w:b/>
          <w:bCs/>
          <w:i/>
          <w:color w:val="365F91" w:themeColor="accent1" w:themeShade="BF"/>
          <w:lang w:val="en-US" w:eastAsia="ja-JP"/>
        </w:rPr>
        <w:t>adopt guidelines and other non-binding measures</w:t>
      </w:r>
      <w:r w:rsidRPr="00FE18D0">
        <w:rPr>
          <w:rFonts w:asciiTheme="majorHAnsi" w:hAnsiTheme="majorHAnsi" w:cs="Verdana"/>
          <w:b/>
          <w:bCs/>
          <w:color w:val="365F91" w:themeColor="accent1" w:themeShade="BF"/>
          <w:lang w:val="en-US" w:eastAsia="ja-JP"/>
        </w:rPr>
        <w:t xml:space="preserve"> </w:t>
      </w:r>
      <w:r w:rsidRPr="00FE18D0">
        <w:rPr>
          <w:rFonts w:asciiTheme="majorHAnsi" w:hAnsiTheme="majorHAnsi" w:cs="Verdana"/>
          <w:color w:val="365F91" w:themeColor="accent1" w:themeShade="BF"/>
          <w:lang w:val="en-US" w:eastAsia="ja-JP"/>
        </w:rPr>
        <w:t xml:space="preserve">to facilitate Member States' cooperation relating to the priority areas in accordance with the </w:t>
      </w:r>
      <w:r w:rsidRPr="00FE18D0">
        <w:rPr>
          <w:rFonts w:asciiTheme="majorHAnsi" w:hAnsiTheme="majorHAnsi" w:cs="Verdana"/>
          <w:b/>
          <w:bCs/>
          <w:color w:val="365F91" w:themeColor="accent1" w:themeShade="BF"/>
          <w:lang w:val="en-US" w:eastAsia="ja-JP"/>
        </w:rPr>
        <w:t xml:space="preserve">advisory procedure </w:t>
      </w:r>
      <w:r w:rsidRPr="00FE18D0">
        <w:rPr>
          <w:rFonts w:asciiTheme="majorHAnsi" w:hAnsiTheme="majorHAnsi" w:cs="Verdana"/>
          <w:color w:val="365F91" w:themeColor="accent1" w:themeShade="BF"/>
          <w:lang w:val="en-US" w:eastAsia="ja-JP"/>
        </w:rPr>
        <w:t>referred to in Article 15(2).’</w:t>
      </w:r>
      <w:r w:rsidR="007D655C" w:rsidRPr="00FE18D0">
        <w:rPr>
          <w:rFonts w:asciiTheme="majorHAnsi" w:hAnsiTheme="majorHAnsi" w:cs="Verdana"/>
          <w:color w:val="365F91" w:themeColor="accent1" w:themeShade="BF"/>
          <w:lang w:val="en-US" w:eastAsia="ja-JP"/>
        </w:rPr>
        <w:t xml:space="preserve"> </w:t>
      </w:r>
      <w:r w:rsidRPr="00FE18D0">
        <w:rPr>
          <w:rFonts w:asciiTheme="majorHAnsi" w:hAnsiTheme="majorHAnsi" w:cs="Verdana"/>
          <w:color w:val="365F91" w:themeColor="accent1" w:themeShade="BF"/>
          <w:lang w:val="en-US" w:eastAsia="ja-JP"/>
        </w:rPr>
        <w:t xml:space="preserve">In a similar vein, Article 23(4) of Directive 2010/63 on the protection for animals used for scientific </w:t>
      </w:r>
      <w:r w:rsidR="00A3121A" w:rsidRPr="00FE18D0">
        <w:rPr>
          <w:rFonts w:asciiTheme="majorHAnsi" w:hAnsiTheme="majorHAnsi" w:cs="Verdana"/>
          <w:color w:val="365F91" w:themeColor="accent1" w:themeShade="BF"/>
          <w:lang w:val="en-US" w:eastAsia="ja-JP"/>
        </w:rPr>
        <w:t>purposes</w:t>
      </w:r>
      <w:r w:rsidRPr="00FE18D0">
        <w:rPr>
          <w:rFonts w:asciiTheme="majorHAnsi" w:hAnsiTheme="majorHAnsi" w:cs="Verdana"/>
          <w:color w:val="365F91" w:themeColor="accent1" w:themeShade="BF"/>
          <w:lang w:val="en-US" w:eastAsia="ja-JP"/>
        </w:rPr>
        <w:t xml:space="preserve"> provides that:</w:t>
      </w:r>
      <w:r w:rsidR="007D655C" w:rsidRPr="00FE18D0">
        <w:rPr>
          <w:rFonts w:asciiTheme="majorHAnsi" w:hAnsiTheme="majorHAnsi" w:cs="Verdana"/>
          <w:color w:val="365F91" w:themeColor="accent1" w:themeShade="BF"/>
          <w:lang w:val="en-US" w:eastAsia="ja-JP"/>
        </w:rPr>
        <w:t xml:space="preserve"> </w:t>
      </w:r>
      <w:r w:rsidRPr="00FE18D0">
        <w:rPr>
          <w:rFonts w:asciiTheme="majorHAnsi" w:hAnsiTheme="majorHAnsi" w:cs="Verdana"/>
          <w:color w:val="365F91" w:themeColor="accent1" w:themeShade="BF"/>
          <w:lang w:val="en-US" w:eastAsia="ja-JP"/>
        </w:rPr>
        <w:t>‘</w:t>
      </w:r>
      <w:r w:rsidRPr="00FE18D0">
        <w:rPr>
          <w:rFonts w:asciiTheme="majorHAnsi" w:hAnsiTheme="majorHAnsi" w:cs="Verdana"/>
          <w:bCs/>
          <w:i/>
          <w:color w:val="365F91" w:themeColor="accent1" w:themeShade="BF"/>
          <w:lang w:val="en-US" w:eastAsia="ja-JP"/>
        </w:rPr>
        <w:t>Non-binding guidelines</w:t>
      </w:r>
      <w:r w:rsidRPr="00FE18D0">
        <w:rPr>
          <w:rFonts w:asciiTheme="majorHAnsi" w:hAnsiTheme="majorHAnsi" w:cs="Verdana"/>
          <w:b/>
          <w:bCs/>
          <w:color w:val="365F91" w:themeColor="accent1" w:themeShade="BF"/>
          <w:lang w:val="en-US" w:eastAsia="ja-JP"/>
        </w:rPr>
        <w:t xml:space="preserve"> </w:t>
      </w:r>
      <w:r w:rsidRPr="00FE18D0">
        <w:rPr>
          <w:rFonts w:asciiTheme="majorHAnsi" w:hAnsiTheme="majorHAnsi" w:cs="Verdana"/>
          <w:color w:val="365F91" w:themeColor="accent1" w:themeShade="BF"/>
          <w:lang w:val="en-US" w:eastAsia="ja-JP"/>
        </w:rPr>
        <w:t xml:space="preserve">at the level of the Union on the requirements laid down in paragraph 2 may be adopted in accordance with the </w:t>
      </w:r>
      <w:r w:rsidRPr="00FE18D0">
        <w:rPr>
          <w:rFonts w:asciiTheme="majorHAnsi" w:hAnsiTheme="majorHAnsi" w:cs="Verdana"/>
          <w:bCs/>
          <w:color w:val="365F91" w:themeColor="accent1" w:themeShade="BF"/>
          <w:lang w:val="en-US" w:eastAsia="ja-JP"/>
        </w:rPr>
        <w:t>advisory procedure</w:t>
      </w:r>
      <w:r w:rsidRPr="00FE18D0">
        <w:rPr>
          <w:rFonts w:asciiTheme="majorHAnsi" w:hAnsiTheme="majorHAnsi" w:cs="Verdana"/>
          <w:b/>
          <w:bCs/>
          <w:color w:val="365F91" w:themeColor="accent1" w:themeShade="BF"/>
          <w:lang w:val="en-US" w:eastAsia="ja-JP"/>
        </w:rPr>
        <w:t xml:space="preserve"> </w:t>
      </w:r>
      <w:r w:rsidRPr="00FE18D0">
        <w:rPr>
          <w:rFonts w:asciiTheme="majorHAnsi" w:hAnsiTheme="majorHAnsi" w:cs="Verdana"/>
          <w:color w:val="365F91" w:themeColor="accent1" w:themeShade="BF"/>
          <w:lang w:val="en-US" w:eastAsia="ja-JP"/>
        </w:rPr>
        <w:t>referred to in Article 56(2).’</w:t>
      </w:r>
      <w:r w:rsidR="007D655C" w:rsidRPr="00FE18D0">
        <w:rPr>
          <w:rFonts w:asciiTheme="majorHAnsi" w:hAnsiTheme="majorHAnsi" w:cs="Verdana"/>
          <w:color w:val="365F91" w:themeColor="accent1" w:themeShade="BF"/>
          <w:lang w:val="en-US" w:eastAsia="ja-JP"/>
        </w:rPr>
        <w:t xml:space="preserve"> </w:t>
      </w:r>
      <w:r w:rsidRPr="00FE18D0">
        <w:rPr>
          <w:rFonts w:asciiTheme="majorHAnsi" w:hAnsiTheme="majorHAnsi" w:cs="Verdana"/>
          <w:color w:val="365F91" w:themeColor="accent1" w:themeShade="BF"/>
          <w:lang w:val="en-US" w:eastAsia="ja-JP"/>
        </w:rPr>
        <w:t>The advisory procedure envisaged in both cases is that under Articles 3 and 7 of Decision 1999/468/EC (the old Comitology Decision), also having regard to its Article 8. This procedure allows for a certain involvement in and control of the Commission’s exercise of implementing powers by national representatives and the European Parliament. Certain directives may even provide for more stringent control of national representatives and the European Parliament, as Directive 2011/24/EC on the application of patient’s righ</w:t>
      </w:r>
      <w:r w:rsidR="00A3121A" w:rsidRPr="00FE18D0">
        <w:rPr>
          <w:rFonts w:asciiTheme="majorHAnsi" w:hAnsiTheme="majorHAnsi" w:cs="Verdana"/>
          <w:color w:val="365F91" w:themeColor="accent1" w:themeShade="BF"/>
          <w:lang w:val="en-US" w:eastAsia="ja-JP"/>
        </w:rPr>
        <w:t>ts in cross-border healthcare</w:t>
      </w:r>
      <w:r w:rsidRPr="00FE18D0">
        <w:rPr>
          <w:rFonts w:asciiTheme="majorHAnsi" w:hAnsiTheme="majorHAnsi" w:cs="Verdana"/>
          <w:color w:val="365F91" w:themeColor="accent1" w:themeShade="BF"/>
          <w:lang w:val="en-US" w:eastAsia="ja-JP"/>
        </w:rPr>
        <w:t xml:space="preserve"> illustrates. This Directive provides that the Commission ‘</w:t>
      </w:r>
      <w:r w:rsidRPr="00FE18D0">
        <w:rPr>
          <w:rFonts w:asciiTheme="majorHAnsi" w:hAnsiTheme="majorHAnsi" w:cs="Verdana"/>
          <w:b/>
          <w:i/>
          <w:color w:val="365F91" w:themeColor="accent1" w:themeShade="BF"/>
          <w:lang w:val="en-US" w:eastAsia="ja-JP"/>
        </w:rPr>
        <w:t>shall adopt guidelines</w:t>
      </w:r>
      <w:r w:rsidRPr="00FE18D0">
        <w:rPr>
          <w:rFonts w:asciiTheme="majorHAnsi" w:hAnsiTheme="majorHAnsi" w:cs="Verdana"/>
          <w:color w:val="365F91" w:themeColor="accent1" w:themeShade="BF"/>
          <w:lang w:val="en-US" w:eastAsia="ja-JP"/>
        </w:rPr>
        <w:t xml:space="preserve"> supporting the Member States in developing the interoperability of ePrescriptions’, according to the </w:t>
      </w:r>
      <w:r w:rsidRPr="00FE18D0">
        <w:rPr>
          <w:rFonts w:asciiTheme="majorHAnsi" w:hAnsiTheme="majorHAnsi" w:cs="Verdana"/>
          <w:b/>
          <w:color w:val="365F91" w:themeColor="accent1" w:themeShade="BF"/>
          <w:lang w:val="en-US" w:eastAsia="ja-JP"/>
        </w:rPr>
        <w:t>regulatory procedure</w:t>
      </w:r>
      <w:r w:rsidRPr="00FE18D0">
        <w:rPr>
          <w:rFonts w:asciiTheme="majorHAnsi" w:hAnsiTheme="majorHAnsi" w:cs="Verdana"/>
          <w:color w:val="365F91" w:themeColor="accent1" w:themeShade="BF"/>
          <w:lang w:val="en-US" w:eastAsia="ja-JP"/>
        </w:rPr>
        <w:t xml:space="preserve"> as contained in the Comitology Decision.</w:t>
      </w:r>
      <w:r w:rsidR="00A13E7D" w:rsidRPr="00FE18D0">
        <w:rPr>
          <w:rFonts w:asciiTheme="majorHAnsi" w:hAnsiTheme="majorHAnsi" w:cs="Verdana"/>
          <w:color w:val="365F91" w:themeColor="accent1" w:themeShade="BF"/>
          <w:lang w:val="en-US" w:eastAsia="ja-JP"/>
        </w:rPr>
        <w:t>’ [</w:t>
      </w:r>
      <w:proofErr w:type="gramStart"/>
      <w:r w:rsidR="00A13E7D" w:rsidRPr="00FE18D0">
        <w:rPr>
          <w:rFonts w:asciiTheme="majorHAnsi" w:hAnsiTheme="majorHAnsi" w:cs="Verdana"/>
          <w:color w:val="365F91" w:themeColor="accent1" w:themeShade="BF"/>
          <w:lang w:val="en-US" w:eastAsia="ja-JP"/>
        </w:rPr>
        <w:t>our</w:t>
      </w:r>
      <w:proofErr w:type="gramEnd"/>
      <w:r w:rsidR="00A13E7D" w:rsidRPr="00FE18D0">
        <w:rPr>
          <w:rFonts w:asciiTheme="majorHAnsi" w:hAnsiTheme="majorHAnsi" w:cs="Verdana"/>
          <w:color w:val="365F91" w:themeColor="accent1" w:themeShade="BF"/>
          <w:lang w:val="en-US" w:eastAsia="ja-JP"/>
        </w:rPr>
        <w:t xml:space="preserve"> emphasis]</w:t>
      </w:r>
      <w:r w:rsidRPr="00FE18D0">
        <w:rPr>
          <w:rFonts w:asciiTheme="majorHAnsi" w:hAnsiTheme="majorHAnsi" w:cs="Verdana"/>
          <w:color w:val="365F91" w:themeColor="accent1" w:themeShade="BF"/>
          <w:lang w:val="en-US" w:eastAsia="ja-JP"/>
        </w:rPr>
        <w:t xml:space="preserve"> It does not specify whether these guidelines are to be of a binding or non-binding nature.</w:t>
      </w:r>
    </w:p>
    <w:p w14:paraId="609CA7BC" w14:textId="77777777" w:rsidR="000C5150" w:rsidRPr="00FE18D0" w:rsidRDefault="000C5150" w:rsidP="000C51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ajorHAnsi" w:hAnsiTheme="majorHAnsi" w:cs="Verdana"/>
          <w:color w:val="365F91" w:themeColor="accent1" w:themeShade="BF"/>
          <w:lang w:val="en-US" w:eastAsia="ja-JP"/>
        </w:rPr>
      </w:pPr>
    </w:p>
    <w:p w14:paraId="74DBCD4E" w14:textId="77777777" w:rsidR="00B27D57" w:rsidRPr="00FE18D0" w:rsidRDefault="007D655C" w:rsidP="000C51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ajorHAnsi" w:hAnsiTheme="majorHAnsi" w:cs="Verdana"/>
          <w:color w:val="365F91" w:themeColor="accent1" w:themeShade="BF"/>
          <w:lang w:val="en-US" w:eastAsia="ja-JP"/>
        </w:rPr>
      </w:pPr>
      <w:r w:rsidRPr="00FE18D0">
        <w:rPr>
          <w:rFonts w:asciiTheme="majorHAnsi" w:hAnsiTheme="majorHAnsi" w:cs="Verdana"/>
          <w:color w:val="365F91" w:themeColor="accent1" w:themeShade="BF"/>
          <w:lang w:val="en-US" w:eastAsia="ja-JP"/>
        </w:rPr>
        <w:lastRenderedPageBreak/>
        <w:t xml:space="preserve">These examples show firstly, that the legal set of instruments </w:t>
      </w:r>
      <w:r w:rsidR="00424C91" w:rsidRPr="00FE18D0">
        <w:rPr>
          <w:rFonts w:asciiTheme="majorHAnsi" w:hAnsiTheme="majorHAnsi" w:cs="Verdana"/>
          <w:color w:val="365F91" w:themeColor="accent1" w:themeShade="BF"/>
          <w:lang w:val="en-US" w:eastAsia="ja-JP"/>
        </w:rPr>
        <w:t xml:space="preserve">as contained in Articles 288-291 </w:t>
      </w:r>
      <w:r w:rsidR="00A13E7D" w:rsidRPr="00FE18D0">
        <w:rPr>
          <w:rFonts w:asciiTheme="majorHAnsi" w:hAnsiTheme="majorHAnsi" w:cs="Verdana"/>
          <w:color w:val="365F91" w:themeColor="accent1" w:themeShade="BF"/>
          <w:lang w:val="en-US" w:eastAsia="ja-JP"/>
        </w:rPr>
        <w:t xml:space="preserve">TFEU is not comprehensive and that </w:t>
      </w:r>
      <w:r w:rsidR="00424C91" w:rsidRPr="00FE18D0">
        <w:rPr>
          <w:rFonts w:asciiTheme="majorHAnsi" w:hAnsiTheme="majorHAnsi" w:cs="Verdana"/>
          <w:color w:val="365F91" w:themeColor="accent1" w:themeShade="BF"/>
          <w:lang w:val="en-US" w:eastAsia="ja-JP"/>
        </w:rPr>
        <w:t xml:space="preserve">the functioning of the Union system clearly also relies on other legal instruments operating in the shadow thereof. </w:t>
      </w:r>
      <w:r w:rsidR="000C2228" w:rsidRPr="00FE18D0">
        <w:rPr>
          <w:rFonts w:asciiTheme="majorHAnsi" w:hAnsiTheme="majorHAnsi" w:cs="Verdana"/>
          <w:color w:val="365F91" w:themeColor="accent1" w:themeShade="BF"/>
          <w:lang w:val="en-US" w:eastAsia="ja-JP"/>
        </w:rPr>
        <w:t>Secondly, the adoption of such instruments may clearly also be bound to comitology procedures that</w:t>
      </w:r>
      <w:r w:rsidR="00424C91" w:rsidRPr="00FE18D0">
        <w:rPr>
          <w:rFonts w:asciiTheme="majorHAnsi" w:hAnsiTheme="majorHAnsi" w:cs="Verdana"/>
          <w:color w:val="365F91" w:themeColor="accent1" w:themeShade="BF"/>
          <w:lang w:val="en-US" w:eastAsia="ja-JP"/>
        </w:rPr>
        <w:t xml:space="preserve"> </w:t>
      </w:r>
      <w:r w:rsidR="000C2228" w:rsidRPr="00FE18D0">
        <w:rPr>
          <w:rFonts w:asciiTheme="majorHAnsi" w:hAnsiTheme="majorHAnsi" w:cs="Verdana"/>
          <w:color w:val="365F91" w:themeColor="accent1" w:themeShade="BF"/>
          <w:lang w:val="en-US" w:eastAsia="ja-JP"/>
        </w:rPr>
        <w:t>have been</w:t>
      </w:r>
      <w:r w:rsidR="00B27D57" w:rsidRPr="00FE18D0">
        <w:rPr>
          <w:rFonts w:asciiTheme="majorHAnsi" w:hAnsiTheme="majorHAnsi" w:cs="Verdana"/>
          <w:color w:val="365F91" w:themeColor="accent1" w:themeShade="BF"/>
          <w:lang w:val="en-US" w:eastAsia="ja-JP"/>
        </w:rPr>
        <w:t xml:space="preserve"> introduced for the control of the Commission’s exercise of implementing powers in Article 291 TFEU, i</w:t>
      </w:r>
      <w:r w:rsidR="000C2228" w:rsidRPr="00FE18D0">
        <w:rPr>
          <w:rFonts w:asciiTheme="majorHAnsi" w:hAnsiTheme="majorHAnsi" w:cs="Verdana"/>
          <w:color w:val="365F91" w:themeColor="accent1" w:themeShade="BF"/>
          <w:lang w:val="en-US" w:eastAsia="ja-JP"/>
        </w:rPr>
        <w:t>n particular in its Paragraph 3. Apparently, the scope of comitology</w:t>
      </w:r>
      <w:r w:rsidR="00B27D57" w:rsidRPr="00FE18D0">
        <w:rPr>
          <w:rFonts w:asciiTheme="majorHAnsi" w:hAnsiTheme="majorHAnsi" w:cs="Verdana"/>
          <w:color w:val="365F91" w:themeColor="accent1" w:themeShade="BF"/>
          <w:lang w:val="en-US" w:eastAsia="ja-JP"/>
        </w:rPr>
        <w:t xml:space="preserve"> is not necessarily restricted to the </w:t>
      </w:r>
      <w:r w:rsidR="000C2228" w:rsidRPr="00FE18D0">
        <w:rPr>
          <w:rFonts w:asciiTheme="majorHAnsi" w:hAnsiTheme="majorHAnsi" w:cs="Verdana"/>
          <w:color w:val="365F91" w:themeColor="accent1" w:themeShade="BF"/>
          <w:lang w:val="en-US" w:eastAsia="ja-JP"/>
        </w:rPr>
        <w:t xml:space="preserve">Commission’s </w:t>
      </w:r>
      <w:r w:rsidR="00B27D57" w:rsidRPr="00FE18D0">
        <w:rPr>
          <w:rFonts w:asciiTheme="majorHAnsi" w:hAnsiTheme="majorHAnsi" w:cs="Verdana"/>
          <w:color w:val="365F91" w:themeColor="accent1" w:themeShade="BF"/>
          <w:lang w:val="en-US" w:eastAsia="ja-JP"/>
        </w:rPr>
        <w:t xml:space="preserve">adoption of legally binding acts but </w:t>
      </w:r>
      <w:r w:rsidR="000C2228" w:rsidRPr="00FE18D0">
        <w:rPr>
          <w:rFonts w:asciiTheme="majorHAnsi" w:hAnsiTheme="majorHAnsi" w:cs="Verdana"/>
          <w:color w:val="365F91" w:themeColor="accent1" w:themeShade="BF"/>
          <w:lang w:val="en-US" w:eastAsia="ja-JP"/>
        </w:rPr>
        <w:t xml:space="preserve">can also be extended </w:t>
      </w:r>
      <w:r w:rsidR="00B27D57" w:rsidRPr="00FE18D0">
        <w:rPr>
          <w:rFonts w:asciiTheme="majorHAnsi" w:hAnsiTheme="majorHAnsi" w:cs="Verdana"/>
          <w:color w:val="365F91" w:themeColor="accent1" w:themeShade="BF"/>
          <w:lang w:val="en-US" w:eastAsia="ja-JP"/>
        </w:rPr>
        <w:t xml:space="preserve">to </w:t>
      </w:r>
      <w:r w:rsidR="000C2228" w:rsidRPr="00FE18D0">
        <w:rPr>
          <w:rFonts w:asciiTheme="majorHAnsi" w:hAnsiTheme="majorHAnsi" w:cs="Verdana"/>
          <w:color w:val="365F91" w:themeColor="accent1" w:themeShade="BF"/>
          <w:lang w:val="en-US" w:eastAsia="ja-JP"/>
        </w:rPr>
        <w:t xml:space="preserve">its </w:t>
      </w:r>
      <w:r w:rsidR="00B27D57" w:rsidRPr="00FE18D0">
        <w:rPr>
          <w:rFonts w:asciiTheme="majorHAnsi" w:hAnsiTheme="majorHAnsi" w:cs="Verdana"/>
          <w:color w:val="365F91" w:themeColor="accent1" w:themeShade="BF"/>
          <w:lang w:val="en-US" w:eastAsia="ja-JP"/>
        </w:rPr>
        <w:t xml:space="preserve">soft implementing acts. The new Comitology Regulation, replacing Decision 1999/468/EC allows for such a reading, given that it speaks in a general way of ‘implementing acts’ without distinguishing between </w:t>
      </w:r>
      <w:r w:rsidR="00A3121A" w:rsidRPr="00FE18D0">
        <w:rPr>
          <w:rFonts w:asciiTheme="majorHAnsi" w:hAnsiTheme="majorHAnsi" w:cs="Verdana"/>
          <w:color w:val="365F91" w:themeColor="accent1" w:themeShade="BF"/>
          <w:lang w:val="en-US" w:eastAsia="ja-JP"/>
        </w:rPr>
        <w:t>binding and non-binding acts.</w:t>
      </w:r>
    </w:p>
    <w:p w14:paraId="2F602CC3" w14:textId="77777777" w:rsidR="00B27D57" w:rsidRPr="00FE18D0" w:rsidRDefault="00B27D57" w:rsidP="000C5150">
      <w:pPr>
        <w:spacing w:line="276" w:lineRule="auto"/>
        <w:jc w:val="both"/>
        <w:outlineLvl w:val="0"/>
        <w:rPr>
          <w:rFonts w:asciiTheme="majorHAnsi" w:hAnsiTheme="majorHAnsi" w:cs="Tahoma"/>
          <w:color w:val="365F91" w:themeColor="accent1" w:themeShade="BF"/>
          <w:lang w:val="en-US" w:eastAsia="ja-JP"/>
        </w:rPr>
      </w:pPr>
    </w:p>
    <w:p w14:paraId="17A1FF65" w14:textId="77777777" w:rsidR="000A44F3" w:rsidRPr="00FE18D0" w:rsidRDefault="000A44F3" w:rsidP="000C5150">
      <w:pPr>
        <w:spacing w:line="276" w:lineRule="auto"/>
        <w:jc w:val="both"/>
        <w:outlineLvl w:val="0"/>
        <w:rPr>
          <w:rFonts w:asciiTheme="majorHAnsi" w:hAnsiTheme="majorHAnsi" w:cs="Tahoma"/>
          <w:color w:val="365F91" w:themeColor="accent1" w:themeShade="BF"/>
          <w:lang w:val="en-US" w:eastAsia="ja-JP"/>
        </w:rPr>
      </w:pPr>
    </w:p>
    <w:p w14:paraId="3CCF9544" w14:textId="77777777" w:rsidR="00B27D57" w:rsidRPr="00FE18D0" w:rsidRDefault="00B27D57" w:rsidP="000C5150">
      <w:pPr>
        <w:spacing w:line="276" w:lineRule="auto"/>
        <w:jc w:val="both"/>
        <w:outlineLvl w:val="0"/>
        <w:rPr>
          <w:rFonts w:asciiTheme="majorHAnsi" w:hAnsiTheme="majorHAnsi" w:cs="Tahoma"/>
          <w:color w:val="365F91" w:themeColor="accent1" w:themeShade="BF"/>
          <w:lang w:val="en-US" w:eastAsia="ja-JP"/>
        </w:rPr>
      </w:pPr>
      <w:r w:rsidRPr="00FE18D0">
        <w:rPr>
          <w:rFonts w:asciiTheme="majorHAnsi" w:hAnsiTheme="majorHAnsi" w:cs="Tahoma"/>
          <w:color w:val="365F91" w:themeColor="accent1" w:themeShade="BF"/>
          <w:lang w:val="en-US" w:eastAsia="ja-JP"/>
        </w:rPr>
        <w:t xml:space="preserve">2.3 The agencies’ use of soft law </w:t>
      </w:r>
    </w:p>
    <w:p w14:paraId="029E27CD" w14:textId="77777777" w:rsidR="00B27D57" w:rsidRPr="00FE18D0" w:rsidRDefault="00B27D57" w:rsidP="000C5150">
      <w:pPr>
        <w:pStyle w:val="Geenafstand1"/>
        <w:spacing w:line="276" w:lineRule="auto"/>
        <w:jc w:val="both"/>
        <w:rPr>
          <w:rFonts w:asciiTheme="majorHAnsi" w:hAnsiTheme="majorHAnsi" w:cstheme="majorHAnsi"/>
          <w:color w:val="365F91" w:themeColor="accent1" w:themeShade="BF"/>
          <w:sz w:val="24"/>
          <w:szCs w:val="24"/>
        </w:rPr>
      </w:pPr>
    </w:p>
    <w:p w14:paraId="08698BA3" w14:textId="77777777" w:rsidR="00B27D57" w:rsidRPr="00FE18D0" w:rsidRDefault="00B27D57" w:rsidP="000C51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ajorHAnsi" w:hAnsiTheme="majorHAnsi" w:cs="Verdana"/>
          <w:color w:val="365F91" w:themeColor="accent1" w:themeShade="BF"/>
          <w:lang w:val="en-US" w:eastAsia="ja-JP"/>
        </w:rPr>
      </w:pPr>
      <w:r w:rsidRPr="00FE18D0">
        <w:rPr>
          <w:rFonts w:asciiTheme="majorHAnsi" w:hAnsiTheme="majorHAnsi" w:cs="Verdana"/>
          <w:color w:val="365F91" w:themeColor="accent1" w:themeShade="BF"/>
          <w:lang w:val="en-US" w:eastAsia="ja-JP"/>
        </w:rPr>
        <w:t>While being an increasingly important part of the Union’s institutional framework, a general provision in the Treaties stipulating the place and function of agencies in the Union system as well as rules regarding their establishment and powers is lacking. Consequently, they are generally established by secondary law acts (often regulations), on the basis of a specific Treaty provision, such as Articles 114 and 352 TFEU. These provisions confer powers on the EU to bring about certain (substantive) laws and policies, but have been interpreted by the EU legislator so as to include the power to establish Union organs to supervise or facilitate the implementation of the laws and policies at issue. While the ECJ has established that powers may be delegated to such organs, it made it clear that this must be confined to clearly defined executive powers and does not extend to powers involving a wide margin of discretion.</w:t>
      </w:r>
      <w:r w:rsidR="0098141A" w:rsidRPr="00FE18D0">
        <w:rPr>
          <w:rFonts w:asciiTheme="majorHAnsi" w:hAnsiTheme="majorHAnsi" w:cs="Verdana"/>
          <w:color w:val="365F91" w:themeColor="accent1" w:themeShade="BF"/>
          <w:lang w:val="en-US" w:eastAsia="ja-JP"/>
        </w:rPr>
        <w:t xml:space="preserve"> </w:t>
      </w:r>
      <w:r w:rsidRPr="00FE18D0">
        <w:rPr>
          <w:rFonts w:asciiTheme="majorHAnsi" w:hAnsiTheme="majorHAnsi" w:cs="Verdana"/>
          <w:color w:val="365F91" w:themeColor="accent1" w:themeShade="BF"/>
          <w:lang w:val="en-US" w:eastAsia="ja-JP"/>
        </w:rPr>
        <w:t xml:space="preserve">This famous </w:t>
      </w:r>
      <w:r w:rsidRPr="00FE18D0">
        <w:rPr>
          <w:rFonts w:asciiTheme="majorHAnsi" w:hAnsiTheme="majorHAnsi" w:cs="Verdana"/>
          <w:bCs/>
          <w:color w:val="365F91" w:themeColor="accent1" w:themeShade="BF"/>
          <w:lang w:val="en-US" w:eastAsia="ja-JP"/>
        </w:rPr>
        <w:t>Meroni doctrine</w:t>
      </w:r>
      <w:r w:rsidRPr="00FE18D0">
        <w:rPr>
          <w:rFonts w:asciiTheme="majorHAnsi" w:hAnsiTheme="majorHAnsi" w:cs="Verdana"/>
          <w:b/>
          <w:bCs/>
          <w:color w:val="365F91" w:themeColor="accent1" w:themeShade="BF"/>
          <w:lang w:val="en-US" w:eastAsia="ja-JP"/>
        </w:rPr>
        <w:t xml:space="preserve"> </w:t>
      </w:r>
      <w:r w:rsidRPr="00FE18D0">
        <w:rPr>
          <w:rFonts w:asciiTheme="majorHAnsi" w:hAnsiTheme="majorHAnsi" w:cs="Verdana"/>
          <w:color w:val="365F91" w:themeColor="accent1" w:themeShade="BF"/>
          <w:lang w:val="en-US" w:eastAsia="ja-JP"/>
        </w:rPr>
        <w:t>thus excludes the delegation of general regulatory powers to agencies.</w:t>
      </w:r>
      <w:r w:rsidRPr="00FE18D0">
        <w:rPr>
          <w:rStyle w:val="Voetnootmarkering"/>
          <w:rFonts w:asciiTheme="majorHAnsi" w:hAnsiTheme="majorHAnsi" w:cs="Verdana"/>
          <w:color w:val="365F91" w:themeColor="accent1" w:themeShade="BF"/>
          <w:lang w:val="en-US" w:eastAsia="ja-JP"/>
        </w:rPr>
        <w:footnoteReference w:id="11"/>
      </w:r>
      <w:r w:rsidRPr="00FE18D0">
        <w:rPr>
          <w:rFonts w:asciiTheme="majorHAnsi" w:hAnsiTheme="majorHAnsi" w:cs="Verdana"/>
          <w:color w:val="365F91" w:themeColor="accent1" w:themeShade="BF"/>
          <w:lang w:val="en-US" w:eastAsia="ja-JP"/>
        </w:rPr>
        <w:t xml:space="preserve"> Yet, this doctrine is put under pressure by the currently developing institutional practice, as certain agencies have developed policy-making activity that comes close to full regulatory powers.</w:t>
      </w:r>
      <w:r w:rsidRPr="00FE18D0">
        <w:rPr>
          <w:rStyle w:val="Voetnootmarkering"/>
          <w:rFonts w:asciiTheme="majorHAnsi" w:hAnsiTheme="majorHAnsi" w:cs="Verdana"/>
          <w:color w:val="365F91" w:themeColor="accent1" w:themeShade="BF"/>
          <w:lang w:val="en-US" w:eastAsia="ja-JP"/>
        </w:rPr>
        <w:footnoteReference w:id="12"/>
      </w:r>
      <w:r w:rsidRPr="00FE18D0">
        <w:rPr>
          <w:rFonts w:asciiTheme="majorHAnsi" w:hAnsiTheme="majorHAnsi" w:cs="Verdana"/>
          <w:color w:val="365F91" w:themeColor="accent1" w:themeShade="BF"/>
          <w:lang w:val="en-US" w:eastAsia="ja-JP"/>
        </w:rPr>
        <w:t xml:space="preserve"> While these general rule-making powers are soft by the label, they are often hard in practice</w:t>
      </w:r>
      <w:r w:rsidR="00C70C10">
        <w:rPr>
          <w:rFonts w:asciiTheme="majorHAnsi" w:hAnsiTheme="majorHAnsi" w:cs="Verdana"/>
          <w:color w:val="365F91" w:themeColor="accent1" w:themeShade="BF"/>
          <w:lang w:val="en-US" w:eastAsia="ja-JP"/>
        </w:rPr>
        <w:t xml:space="preserve"> and effects</w:t>
      </w:r>
      <w:r w:rsidRPr="00FE18D0">
        <w:rPr>
          <w:rFonts w:asciiTheme="majorHAnsi" w:hAnsiTheme="majorHAnsi" w:cs="Verdana"/>
          <w:color w:val="365F91" w:themeColor="accent1" w:themeShade="BF"/>
          <w:lang w:val="en-US" w:eastAsia="ja-JP"/>
        </w:rPr>
        <w:t xml:space="preserve">. One may actually say that soft EU administrative rule- making is </w:t>
      </w:r>
      <w:r w:rsidRPr="00FE18D0">
        <w:rPr>
          <w:rFonts w:asciiTheme="majorHAnsi" w:hAnsiTheme="majorHAnsi" w:cs="Verdana"/>
          <w:bCs/>
          <w:color w:val="365F91" w:themeColor="accent1" w:themeShade="BF"/>
          <w:lang w:val="en-US" w:eastAsia="ja-JP"/>
        </w:rPr>
        <w:t>booming business</w:t>
      </w:r>
      <w:r w:rsidRPr="00FE18D0">
        <w:rPr>
          <w:rFonts w:asciiTheme="majorHAnsi" w:hAnsiTheme="majorHAnsi" w:cs="Verdana"/>
          <w:color w:val="365F91" w:themeColor="accent1" w:themeShade="BF"/>
          <w:lang w:val="en-US" w:eastAsia="ja-JP"/>
        </w:rPr>
        <w:t xml:space="preserve">. </w:t>
      </w:r>
    </w:p>
    <w:p w14:paraId="541EAD7B" w14:textId="77777777" w:rsidR="00B27D57" w:rsidRPr="00FE18D0" w:rsidRDefault="00B27D57" w:rsidP="000C51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ajorHAnsi" w:hAnsiTheme="majorHAnsi" w:cs="Verdana"/>
          <w:color w:val="365F91" w:themeColor="accent1" w:themeShade="BF"/>
          <w:lang w:val="en-US" w:eastAsia="ja-JP"/>
        </w:rPr>
      </w:pPr>
    </w:p>
    <w:p w14:paraId="37F21A2C" w14:textId="77777777" w:rsidR="00B27D57" w:rsidRPr="00FE18D0" w:rsidRDefault="00B27D57" w:rsidP="000C51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ajorHAnsi" w:hAnsiTheme="majorHAnsi" w:cs="Verdana"/>
          <w:color w:val="365F91" w:themeColor="accent1" w:themeShade="BF"/>
          <w:lang w:val="en-US" w:eastAsia="ja-JP"/>
        </w:rPr>
      </w:pPr>
      <w:r w:rsidRPr="00FE18D0">
        <w:rPr>
          <w:rFonts w:asciiTheme="majorHAnsi" w:hAnsiTheme="majorHAnsi" w:cs="Verdana"/>
          <w:color w:val="365F91" w:themeColor="accent1" w:themeShade="BF"/>
          <w:lang w:val="en-US" w:eastAsia="ja-JP"/>
        </w:rPr>
        <w:t xml:space="preserve">Chiti has </w:t>
      </w:r>
      <w:r w:rsidR="0098141A" w:rsidRPr="00FE18D0">
        <w:rPr>
          <w:rFonts w:asciiTheme="majorHAnsi" w:hAnsiTheme="majorHAnsi" w:cs="Verdana"/>
          <w:color w:val="365F91" w:themeColor="accent1" w:themeShade="BF"/>
          <w:lang w:val="en-US" w:eastAsia="ja-JP"/>
        </w:rPr>
        <w:t>distinguished</w:t>
      </w:r>
      <w:r w:rsidRPr="00FE18D0">
        <w:rPr>
          <w:rFonts w:asciiTheme="majorHAnsi" w:hAnsiTheme="majorHAnsi" w:cs="Verdana"/>
          <w:color w:val="365F91" w:themeColor="accent1" w:themeShade="BF"/>
          <w:lang w:val="en-US" w:eastAsia="ja-JP"/>
        </w:rPr>
        <w:t xml:space="preserve"> agencies on the basis of how they are involved in the ex</w:t>
      </w:r>
      <w:r w:rsidR="0098141A" w:rsidRPr="00FE18D0">
        <w:rPr>
          <w:rFonts w:asciiTheme="majorHAnsi" w:hAnsiTheme="majorHAnsi" w:cs="Verdana"/>
          <w:color w:val="365F91" w:themeColor="accent1" w:themeShade="BF"/>
          <w:lang w:val="en-US" w:eastAsia="ja-JP"/>
        </w:rPr>
        <w:t>ercise of rule-making powers:</w:t>
      </w:r>
      <w:r w:rsidR="0098141A" w:rsidRPr="00FE18D0">
        <w:rPr>
          <w:rStyle w:val="Voetnootmarkering"/>
          <w:rFonts w:asciiTheme="majorHAnsi" w:hAnsiTheme="majorHAnsi" w:cs="Verdana"/>
          <w:color w:val="365F91" w:themeColor="accent1" w:themeShade="BF"/>
          <w:lang w:val="en-US" w:eastAsia="ja-JP"/>
        </w:rPr>
        <w:footnoteReference w:id="13"/>
      </w:r>
      <w:r w:rsidRPr="00FE18D0">
        <w:rPr>
          <w:rFonts w:asciiTheme="majorHAnsi" w:hAnsiTheme="majorHAnsi" w:cs="Verdana"/>
          <w:color w:val="365F91" w:themeColor="accent1" w:themeShade="BF"/>
          <w:lang w:val="en-US" w:eastAsia="ja-JP"/>
        </w:rPr>
        <w:t xml:space="preserve"> </w:t>
      </w:r>
      <w:r w:rsidR="0098141A" w:rsidRPr="00FE18D0">
        <w:rPr>
          <w:rFonts w:asciiTheme="majorHAnsi" w:hAnsiTheme="majorHAnsi" w:cs="Verdana"/>
          <w:color w:val="365F91" w:themeColor="accent1" w:themeShade="BF"/>
          <w:lang w:val="en-US" w:eastAsia="ja-JP"/>
        </w:rPr>
        <w:t xml:space="preserve">(i) </w:t>
      </w:r>
      <w:r w:rsidRPr="00FE18D0">
        <w:rPr>
          <w:rFonts w:asciiTheme="majorHAnsi" w:hAnsiTheme="majorHAnsi" w:cs="Verdana"/>
          <w:color w:val="365F91" w:themeColor="accent1" w:themeShade="BF"/>
          <w:lang w:val="en-US" w:eastAsia="ja-JP"/>
        </w:rPr>
        <w:t xml:space="preserve">European agencies provided with genuinely final administrative decision-making powers; </w:t>
      </w:r>
      <w:r w:rsidR="0098141A" w:rsidRPr="00FE18D0">
        <w:rPr>
          <w:rFonts w:asciiTheme="majorHAnsi" w:hAnsiTheme="majorHAnsi" w:cs="Verdana"/>
          <w:color w:val="365F91" w:themeColor="accent1" w:themeShade="BF"/>
          <w:lang w:val="en-US" w:eastAsia="ja-JP"/>
        </w:rPr>
        <w:t xml:space="preserve">(ii) </w:t>
      </w:r>
      <w:r w:rsidRPr="00FE18D0">
        <w:rPr>
          <w:rFonts w:asciiTheme="majorHAnsi" w:hAnsiTheme="majorHAnsi" w:cs="Verdana"/>
          <w:color w:val="365F91" w:themeColor="accent1" w:themeShade="BF"/>
          <w:lang w:val="en-US" w:eastAsia="ja-JP"/>
        </w:rPr>
        <w:t xml:space="preserve">European agencies coordinating common </w:t>
      </w:r>
      <w:r w:rsidRPr="00FE18D0">
        <w:rPr>
          <w:rFonts w:asciiTheme="majorHAnsi" w:hAnsiTheme="majorHAnsi" w:cs="Verdana"/>
          <w:color w:val="365F91" w:themeColor="accent1" w:themeShade="BF"/>
          <w:lang w:val="en-US" w:eastAsia="ja-JP"/>
        </w:rPr>
        <w:lastRenderedPageBreak/>
        <w:t>systems providing an advisory or technical assistance to European and national institutions;</w:t>
      </w:r>
      <w:r w:rsidR="0098141A" w:rsidRPr="00FE18D0">
        <w:rPr>
          <w:rFonts w:asciiTheme="majorHAnsi" w:hAnsiTheme="majorHAnsi" w:cs="Verdana"/>
          <w:color w:val="365F91" w:themeColor="accent1" w:themeShade="BF"/>
          <w:lang w:val="en-US" w:eastAsia="ja-JP"/>
        </w:rPr>
        <w:t xml:space="preserve"> (iii) </w:t>
      </w:r>
      <w:r w:rsidRPr="00FE18D0">
        <w:rPr>
          <w:rFonts w:asciiTheme="majorHAnsi" w:hAnsiTheme="majorHAnsi" w:cs="Verdana"/>
          <w:color w:val="365F91" w:themeColor="accent1" w:themeShade="BF"/>
          <w:lang w:val="en-US" w:eastAsia="ja-JP"/>
        </w:rPr>
        <w:t>European agencies coordinating common systems responsible for the production and dissemination of high-quality information in certain specific sectors of EU action. For the purposes of this paper, especially agencies falling within the first and second category are of interest as most of these engage in some form of</w:t>
      </w:r>
      <w:r w:rsidRPr="00FE18D0">
        <w:rPr>
          <w:rFonts w:asciiTheme="majorHAnsi" w:hAnsiTheme="majorHAnsi" w:cs="Verdana"/>
          <w:bCs/>
          <w:color w:val="365F91" w:themeColor="accent1" w:themeShade="BF"/>
          <w:lang w:val="en-US" w:eastAsia="ja-JP"/>
        </w:rPr>
        <w:t xml:space="preserve"> regulation by soft law</w:t>
      </w:r>
      <w:r w:rsidRPr="00FE18D0">
        <w:rPr>
          <w:rFonts w:asciiTheme="majorHAnsi" w:hAnsiTheme="majorHAnsi" w:cs="Verdana"/>
          <w:color w:val="365F91" w:themeColor="accent1" w:themeShade="BF"/>
          <w:lang w:val="en-US" w:eastAsia="ja-JP"/>
        </w:rPr>
        <w:t>. The first category includes for instance the Office for Harmonization in the Internal Market (Trademarks and Designs - OHIM), the Community Plant Variety Office (CPVO), the European Chemicals Agency (ECHA) and, most recently, the three new European Supervisory Authorities (ESAs): the European Banking Authority (EBA), the European Insurance and Occupational Pensions Authority (EIOPA) and the European Securities a</w:t>
      </w:r>
      <w:r w:rsidR="0098141A" w:rsidRPr="00FE18D0">
        <w:rPr>
          <w:rFonts w:asciiTheme="majorHAnsi" w:hAnsiTheme="majorHAnsi" w:cs="Verdana"/>
          <w:color w:val="365F91" w:themeColor="accent1" w:themeShade="BF"/>
          <w:lang w:val="en-US" w:eastAsia="ja-JP"/>
        </w:rPr>
        <w:t>nd Markets Authority (ESMA).</w:t>
      </w:r>
      <w:r w:rsidRPr="00FE18D0">
        <w:rPr>
          <w:rFonts w:asciiTheme="majorHAnsi" w:hAnsiTheme="majorHAnsi" w:cs="Verdana"/>
          <w:color w:val="365F91" w:themeColor="accent1" w:themeShade="BF"/>
          <w:lang w:val="en-US" w:eastAsia="ja-JP"/>
        </w:rPr>
        <w:t xml:space="preserve"> European agencies within the second category include those that coordinate common systems providing advisory or technical assistance to European and national institutions, such as the European Network and Information Security Agency (ENISA), the Agency for Cooperation of Energy Regulators (ACER), the European Maritime Safety Agency (EMSA) and the European Railway Agency (ERA). The European Aviation Safety Agency (EASA) does not merely assist the Commission in exercising rule-making powers, but also adopts itself </w:t>
      </w:r>
      <w:r w:rsidRPr="00FE18D0">
        <w:rPr>
          <w:rFonts w:asciiTheme="majorHAnsi" w:hAnsiTheme="majorHAnsi" w:cs="Verdana"/>
          <w:bCs/>
          <w:color w:val="365F91" w:themeColor="accent1" w:themeShade="BF"/>
          <w:lang w:val="en-US" w:eastAsia="ja-JP"/>
        </w:rPr>
        <w:t>technical guidelines</w:t>
      </w:r>
      <w:r w:rsidRPr="00FE18D0">
        <w:rPr>
          <w:rFonts w:asciiTheme="majorHAnsi" w:hAnsiTheme="majorHAnsi" w:cs="Verdana"/>
          <w:b/>
          <w:bCs/>
          <w:color w:val="365F91" w:themeColor="accent1" w:themeShade="BF"/>
          <w:lang w:val="en-US" w:eastAsia="ja-JP"/>
        </w:rPr>
        <w:t xml:space="preserve">. </w:t>
      </w:r>
      <w:r w:rsidRPr="00FE18D0">
        <w:rPr>
          <w:rFonts w:asciiTheme="majorHAnsi" w:hAnsiTheme="majorHAnsi" w:cs="Verdana"/>
          <w:color w:val="365F91" w:themeColor="accent1" w:themeShade="BF"/>
          <w:lang w:val="en-US" w:eastAsia="ja-JP"/>
        </w:rPr>
        <w:t xml:space="preserve">The European Medicines Agency (EMEA) is an example of an agency that has </w:t>
      </w:r>
      <w:r w:rsidRPr="00FE18D0">
        <w:rPr>
          <w:rFonts w:asciiTheme="majorHAnsi" w:hAnsiTheme="majorHAnsi" w:cs="Verdana"/>
          <w:i/>
          <w:iCs/>
          <w:color w:val="365F91" w:themeColor="accent1" w:themeShade="BF"/>
          <w:lang w:val="en-US" w:eastAsia="ja-JP"/>
        </w:rPr>
        <w:t xml:space="preserve">de facto </w:t>
      </w:r>
      <w:r w:rsidRPr="00FE18D0">
        <w:rPr>
          <w:rFonts w:asciiTheme="majorHAnsi" w:hAnsiTheme="majorHAnsi" w:cs="Verdana"/>
          <w:color w:val="365F91" w:themeColor="accent1" w:themeShade="BF"/>
          <w:lang w:val="en-US" w:eastAsia="ja-JP"/>
        </w:rPr>
        <w:t>engaged in issuing technical, scientific and procedural guidance concerning the implementation of the EU pharmace</w:t>
      </w:r>
      <w:r w:rsidR="0098141A" w:rsidRPr="00FE18D0">
        <w:rPr>
          <w:rFonts w:asciiTheme="majorHAnsi" w:hAnsiTheme="majorHAnsi" w:cs="Verdana"/>
          <w:color w:val="365F91" w:themeColor="accent1" w:themeShade="BF"/>
          <w:lang w:val="en-US" w:eastAsia="ja-JP"/>
        </w:rPr>
        <w:t xml:space="preserve">utical legislative framework. </w:t>
      </w:r>
      <w:r w:rsidRPr="00FE18D0">
        <w:rPr>
          <w:rFonts w:asciiTheme="majorHAnsi" w:hAnsiTheme="majorHAnsi" w:cs="Verdana"/>
          <w:color w:val="365F91" w:themeColor="accent1" w:themeShade="BF"/>
          <w:lang w:val="en-US" w:eastAsia="ja-JP"/>
        </w:rPr>
        <w:t>Here we will look briefly into two examples of soft rule-making by regulatory agencies and legal effects thereof; EASA and ESMA.</w:t>
      </w:r>
    </w:p>
    <w:p w14:paraId="5DE2D403" w14:textId="77777777" w:rsidR="00B27D57" w:rsidRPr="00FE18D0" w:rsidRDefault="00B27D57" w:rsidP="000C5150">
      <w:pPr>
        <w:pStyle w:val="Geenafstand1"/>
        <w:spacing w:line="276" w:lineRule="auto"/>
        <w:jc w:val="both"/>
        <w:rPr>
          <w:rFonts w:asciiTheme="majorHAnsi" w:hAnsiTheme="majorHAnsi" w:cstheme="majorHAnsi"/>
          <w:color w:val="365F91" w:themeColor="accent1" w:themeShade="BF"/>
          <w:sz w:val="24"/>
          <w:szCs w:val="24"/>
        </w:rPr>
      </w:pPr>
    </w:p>
    <w:p w14:paraId="61EC629C" w14:textId="77777777" w:rsidR="00B27D57" w:rsidRPr="00FE18D0" w:rsidRDefault="00B27D57" w:rsidP="000C5150">
      <w:pPr>
        <w:pStyle w:val="Geenafstand1"/>
        <w:spacing w:line="276" w:lineRule="auto"/>
        <w:jc w:val="both"/>
        <w:outlineLvl w:val="0"/>
        <w:rPr>
          <w:rFonts w:asciiTheme="majorHAnsi" w:hAnsiTheme="majorHAnsi" w:cstheme="majorHAnsi"/>
          <w:i/>
          <w:color w:val="365F91" w:themeColor="accent1" w:themeShade="BF"/>
          <w:sz w:val="24"/>
          <w:szCs w:val="24"/>
        </w:rPr>
      </w:pPr>
      <w:r w:rsidRPr="00FE18D0">
        <w:rPr>
          <w:rFonts w:asciiTheme="majorHAnsi" w:hAnsiTheme="majorHAnsi" w:cstheme="majorHAnsi"/>
          <w:i/>
          <w:color w:val="365F91" w:themeColor="accent1" w:themeShade="BF"/>
          <w:sz w:val="24"/>
          <w:szCs w:val="24"/>
        </w:rPr>
        <w:t>EASA</w:t>
      </w:r>
    </w:p>
    <w:p w14:paraId="448FED9D" w14:textId="77777777" w:rsidR="00B27D57" w:rsidRPr="00FE18D0" w:rsidRDefault="00B27D57" w:rsidP="000C5150">
      <w:pPr>
        <w:pStyle w:val="Geenafstand1"/>
        <w:spacing w:line="276" w:lineRule="auto"/>
        <w:jc w:val="both"/>
        <w:rPr>
          <w:rFonts w:asciiTheme="majorHAnsi" w:hAnsiTheme="majorHAnsi" w:cstheme="majorHAnsi"/>
          <w:color w:val="365F91" w:themeColor="accent1" w:themeShade="BF"/>
          <w:sz w:val="24"/>
          <w:szCs w:val="24"/>
        </w:rPr>
      </w:pPr>
      <w:r w:rsidRPr="00FE18D0">
        <w:rPr>
          <w:rFonts w:asciiTheme="majorHAnsi" w:hAnsiTheme="majorHAnsi" w:cstheme="majorHAnsi"/>
          <w:color w:val="365F91" w:themeColor="accent1" w:themeShade="BF"/>
          <w:sz w:val="24"/>
          <w:szCs w:val="24"/>
        </w:rPr>
        <w:t>The European Aviation Safety Agency (EASA) was established in 2002 as an independent EU body with a specific responsibility for aviation safety strategy within the continent.</w:t>
      </w:r>
      <w:r w:rsidRPr="00FE18D0">
        <w:rPr>
          <w:rStyle w:val="Voetnootmarkering"/>
          <w:rFonts w:asciiTheme="majorHAnsi" w:hAnsiTheme="majorHAnsi" w:cstheme="majorHAnsi"/>
          <w:color w:val="365F91" w:themeColor="accent1" w:themeShade="BF"/>
          <w:sz w:val="24"/>
          <w:szCs w:val="24"/>
        </w:rPr>
        <w:footnoteReference w:id="14"/>
      </w:r>
      <w:r w:rsidRPr="00FE18D0">
        <w:rPr>
          <w:rFonts w:asciiTheme="majorHAnsi" w:hAnsiTheme="majorHAnsi" w:cstheme="majorHAnsi"/>
          <w:color w:val="365F91" w:themeColor="accent1" w:themeShade="BF"/>
          <w:sz w:val="24"/>
          <w:szCs w:val="24"/>
        </w:rPr>
        <w:t xml:space="preserve"> </w:t>
      </w:r>
      <w:r w:rsidRPr="00FE18D0">
        <w:rPr>
          <w:rFonts w:asciiTheme="majorHAnsi" w:hAnsiTheme="majorHAnsi" w:cstheme="majorHAnsi"/>
          <w:color w:val="365F91" w:themeColor="accent1" w:themeShade="BF"/>
          <w:sz w:val="24"/>
          <w:szCs w:val="24"/>
          <w:lang w:val="en-GB"/>
        </w:rPr>
        <w:t>The principal objective of EASA is to ‘establish and maintain a high uniform level of civil aviation safety in Europe’.</w:t>
      </w:r>
      <w:r w:rsidRPr="00FE18D0">
        <w:rPr>
          <w:rStyle w:val="Voetnootmarkering"/>
          <w:rFonts w:asciiTheme="majorHAnsi" w:hAnsiTheme="majorHAnsi" w:cstheme="majorHAnsi"/>
          <w:color w:val="365F91" w:themeColor="accent1" w:themeShade="BF"/>
          <w:sz w:val="24"/>
          <w:szCs w:val="24"/>
          <w:lang w:val="en-GB"/>
        </w:rPr>
        <w:footnoteReference w:id="15"/>
      </w:r>
      <w:r w:rsidRPr="00FE18D0">
        <w:rPr>
          <w:rFonts w:asciiTheme="majorHAnsi" w:hAnsiTheme="majorHAnsi" w:cstheme="majorHAnsi"/>
          <w:color w:val="365F91" w:themeColor="accent1" w:themeShade="BF"/>
          <w:sz w:val="24"/>
          <w:szCs w:val="24"/>
          <w:lang w:val="en-GB"/>
        </w:rPr>
        <w:t xml:space="preserve"> </w:t>
      </w:r>
      <w:r w:rsidRPr="00FE18D0">
        <w:rPr>
          <w:rFonts w:asciiTheme="majorHAnsi" w:hAnsiTheme="majorHAnsi" w:cstheme="majorHAnsi"/>
          <w:color w:val="365F91" w:themeColor="accent1" w:themeShade="BF"/>
          <w:sz w:val="24"/>
          <w:szCs w:val="24"/>
        </w:rPr>
        <w:t>It focuses especially on advising the EU safety standards, authorisation of non-EU operators, undertaking safety research and certifying types and parts as appropriate for use on aircraft operating in the EU. It is also engaged in establishing operational links with other regional and national organisations undertaking similar functions, with a view to harmonise standards and promote best practice in aviation safety. This is indicative already of the regulatory role of the EASA, which is confirmed by the functions the founding Regulation ascribes to it. Besides inspection, certification, coordination, data collection and analysis and authori</w:t>
      </w:r>
      <w:r w:rsidR="00C70C10">
        <w:rPr>
          <w:rFonts w:asciiTheme="majorHAnsi" w:hAnsiTheme="majorHAnsi" w:cstheme="majorHAnsi"/>
          <w:color w:val="365F91" w:themeColor="accent1" w:themeShade="BF"/>
          <w:sz w:val="24"/>
          <w:szCs w:val="24"/>
        </w:rPr>
        <w:t>s</w:t>
      </w:r>
      <w:r w:rsidRPr="00FE18D0">
        <w:rPr>
          <w:rFonts w:asciiTheme="majorHAnsi" w:hAnsiTheme="majorHAnsi" w:cstheme="majorHAnsi"/>
          <w:color w:val="365F91" w:themeColor="accent1" w:themeShade="BF"/>
          <w:sz w:val="24"/>
          <w:szCs w:val="24"/>
        </w:rPr>
        <w:t xml:space="preserve">ation activities, these include in particular also  ‘the drafting of </w:t>
      </w:r>
      <w:r w:rsidRPr="00FE18D0">
        <w:rPr>
          <w:rFonts w:asciiTheme="majorHAnsi" w:hAnsiTheme="majorHAnsi" w:cstheme="majorHAnsi"/>
          <w:color w:val="365F91" w:themeColor="accent1" w:themeShade="BF"/>
          <w:sz w:val="24"/>
          <w:szCs w:val="24"/>
        </w:rPr>
        <w:lastRenderedPageBreak/>
        <w:t xml:space="preserve">aviation safety legislation and provision of technical advice to the Commission’. </w:t>
      </w:r>
      <w:r w:rsidRPr="00FE18D0">
        <w:rPr>
          <w:rFonts w:asciiTheme="majorHAnsi" w:hAnsiTheme="majorHAnsi" w:cstheme="majorHAnsi"/>
          <w:color w:val="365F91" w:themeColor="accent1" w:themeShade="BF"/>
          <w:sz w:val="24"/>
          <w:szCs w:val="24"/>
          <w:lang w:val="en-GB"/>
        </w:rPr>
        <w:t xml:space="preserve">According to the preamble of the Regulation, the EU </w:t>
      </w:r>
      <w:r w:rsidR="00C70C10">
        <w:rPr>
          <w:rFonts w:asciiTheme="majorHAnsi" w:hAnsiTheme="majorHAnsi" w:cstheme="majorHAnsi"/>
          <w:color w:val="365F91" w:themeColor="accent1" w:themeShade="BF"/>
          <w:sz w:val="24"/>
          <w:szCs w:val="24"/>
          <w:lang w:val="en-GB"/>
        </w:rPr>
        <w:t>must</w:t>
      </w:r>
      <w:r w:rsidR="00C70C10" w:rsidRPr="00FE18D0">
        <w:rPr>
          <w:rFonts w:asciiTheme="majorHAnsi" w:hAnsiTheme="majorHAnsi" w:cstheme="majorHAnsi"/>
          <w:color w:val="365F91" w:themeColor="accent1" w:themeShade="BF"/>
          <w:sz w:val="24"/>
          <w:szCs w:val="24"/>
          <w:lang w:val="en-GB"/>
        </w:rPr>
        <w:t xml:space="preserve"> </w:t>
      </w:r>
      <w:r w:rsidRPr="00FE18D0">
        <w:rPr>
          <w:rFonts w:asciiTheme="majorHAnsi" w:hAnsiTheme="majorHAnsi" w:cstheme="majorHAnsi"/>
          <w:color w:val="365F91" w:themeColor="accent1" w:themeShade="BF"/>
          <w:sz w:val="24"/>
          <w:szCs w:val="24"/>
          <w:lang w:val="en-GB"/>
        </w:rPr>
        <w:t xml:space="preserve">lay down essential requirements </w:t>
      </w:r>
      <w:r w:rsidRPr="00FE18D0">
        <w:rPr>
          <w:rFonts w:asciiTheme="majorHAnsi" w:eastAsiaTheme="minorEastAsia" w:hAnsiTheme="majorHAnsi" w:cstheme="majorHAnsi"/>
          <w:color w:val="365F91" w:themeColor="accent1" w:themeShade="BF"/>
          <w:sz w:val="24"/>
          <w:szCs w:val="24"/>
          <w:lang w:val="en-GB" w:eastAsia="zh-CN"/>
        </w:rPr>
        <w:t>applicable to aeronautical products, parts and appliances, to persons and organisations involved in the operation of aircraft, and to persons and products involved in the training and medical examination of pilots. For this purpose, the European Commission is also empowered to develop the necessary Implementing Rules (IR).</w:t>
      </w:r>
      <w:r w:rsidRPr="00FE18D0">
        <w:rPr>
          <w:rStyle w:val="Voetnootmarkering"/>
          <w:rFonts w:asciiTheme="majorHAnsi" w:eastAsiaTheme="minorEastAsia" w:hAnsiTheme="majorHAnsi" w:cstheme="majorHAnsi"/>
          <w:color w:val="365F91" w:themeColor="accent1" w:themeShade="BF"/>
          <w:sz w:val="24"/>
          <w:szCs w:val="24"/>
          <w:lang w:val="en-GB" w:eastAsia="zh-CN"/>
        </w:rPr>
        <w:footnoteReference w:id="16"/>
      </w:r>
      <w:r w:rsidRPr="00FE18D0">
        <w:rPr>
          <w:rFonts w:asciiTheme="majorHAnsi" w:eastAsiaTheme="minorEastAsia" w:hAnsiTheme="majorHAnsi" w:cstheme="majorHAnsi"/>
          <w:color w:val="365F91" w:themeColor="accent1" w:themeShade="BF"/>
          <w:sz w:val="24"/>
          <w:szCs w:val="24"/>
          <w:lang w:val="en-GB" w:eastAsia="zh-CN"/>
        </w:rPr>
        <w:t xml:space="preserve"> </w:t>
      </w:r>
      <w:r w:rsidRPr="00FE18D0">
        <w:rPr>
          <w:rFonts w:asciiTheme="majorHAnsi" w:hAnsiTheme="majorHAnsi" w:cstheme="majorHAnsi"/>
          <w:color w:val="365F91" w:themeColor="accent1" w:themeShade="BF"/>
          <w:sz w:val="24"/>
          <w:szCs w:val="24"/>
          <w:lang w:val="en-GB"/>
        </w:rPr>
        <w:t>Even though the European Commission is responsible for regulatory tasks, many are in fact carried out by EASA.</w:t>
      </w:r>
      <w:r w:rsidRPr="00FE18D0">
        <w:rPr>
          <w:rStyle w:val="Voetnootmarkering"/>
          <w:rFonts w:asciiTheme="majorHAnsi" w:hAnsiTheme="majorHAnsi" w:cstheme="majorHAnsi"/>
          <w:color w:val="365F91" w:themeColor="accent1" w:themeShade="BF"/>
          <w:sz w:val="24"/>
          <w:szCs w:val="24"/>
          <w:lang w:val="en-GB"/>
        </w:rPr>
        <w:footnoteReference w:id="17"/>
      </w:r>
      <w:r w:rsidRPr="00FE18D0">
        <w:rPr>
          <w:rFonts w:asciiTheme="majorHAnsi" w:hAnsiTheme="majorHAnsi" w:cstheme="majorHAnsi"/>
          <w:color w:val="365F91" w:themeColor="accent1" w:themeShade="BF"/>
          <w:sz w:val="24"/>
          <w:szCs w:val="24"/>
          <w:lang w:val="en-GB"/>
        </w:rPr>
        <w:t xml:space="preserve"> More </w:t>
      </w:r>
      <w:r w:rsidR="00C70C10">
        <w:rPr>
          <w:rFonts w:asciiTheme="majorHAnsi" w:hAnsiTheme="majorHAnsi" w:cstheme="majorHAnsi"/>
          <w:color w:val="365F91" w:themeColor="accent1" w:themeShade="BF"/>
          <w:sz w:val="24"/>
          <w:szCs w:val="24"/>
          <w:lang w:val="en-GB"/>
        </w:rPr>
        <w:t>particularly</w:t>
      </w:r>
      <w:r w:rsidRPr="00FE18D0">
        <w:rPr>
          <w:rFonts w:asciiTheme="majorHAnsi" w:hAnsiTheme="majorHAnsi" w:cstheme="majorHAnsi"/>
          <w:color w:val="365F91" w:themeColor="accent1" w:themeShade="BF"/>
          <w:sz w:val="24"/>
          <w:szCs w:val="24"/>
          <w:lang w:val="en-GB"/>
        </w:rPr>
        <w:t>, EASA plays an important role in aviation legislation through the performance of three essential tasks: rulemaking, certification, and standardization.</w:t>
      </w:r>
      <w:r w:rsidRPr="00FE18D0">
        <w:rPr>
          <w:rStyle w:val="Voetnootmarkering"/>
          <w:rFonts w:asciiTheme="majorHAnsi" w:hAnsiTheme="majorHAnsi" w:cstheme="majorHAnsi"/>
          <w:color w:val="365F91" w:themeColor="accent1" w:themeShade="BF"/>
          <w:sz w:val="24"/>
          <w:szCs w:val="24"/>
          <w:lang w:val="en-GB"/>
        </w:rPr>
        <w:footnoteReference w:id="18"/>
      </w:r>
      <w:r w:rsidRPr="00FE18D0">
        <w:rPr>
          <w:rFonts w:asciiTheme="majorHAnsi" w:hAnsiTheme="majorHAnsi" w:cstheme="majorHAnsi"/>
          <w:color w:val="365F91" w:themeColor="accent1" w:themeShade="BF"/>
          <w:sz w:val="24"/>
          <w:szCs w:val="24"/>
          <w:lang w:val="en-GB"/>
        </w:rPr>
        <w:t xml:space="preserve"> In terms of rulemaking, EASA has to support ‘the development of a high and uniform level of safety and of environmental standards in aviation’.</w:t>
      </w:r>
      <w:r w:rsidRPr="00FE18D0">
        <w:rPr>
          <w:rStyle w:val="Voetnootmarkering"/>
          <w:rFonts w:asciiTheme="majorHAnsi" w:hAnsiTheme="majorHAnsi" w:cstheme="majorHAnsi"/>
          <w:color w:val="365F91" w:themeColor="accent1" w:themeShade="BF"/>
          <w:sz w:val="24"/>
          <w:szCs w:val="24"/>
          <w:lang w:val="en-GB"/>
        </w:rPr>
        <w:footnoteReference w:id="19"/>
      </w:r>
      <w:r w:rsidRPr="00FE18D0">
        <w:rPr>
          <w:rFonts w:asciiTheme="majorHAnsi" w:hAnsiTheme="majorHAnsi" w:cstheme="majorHAnsi"/>
          <w:color w:val="365F91" w:themeColor="accent1" w:themeShade="BF"/>
          <w:sz w:val="24"/>
          <w:szCs w:val="24"/>
          <w:lang w:val="en-GB"/>
        </w:rPr>
        <w:t xml:space="preserve">  This involves the drafting of aviation safety rules and adopting so-called 'soft rules' to assist in the consistent application of EU legislation across the European Union.</w:t>
      </w:r>
      <w:r w:rsidRPr="00FE18D0">
        <w:rPr>
          <w:rStyle w:val="Voetnootmarkering"/>
          <w:rFonts w:asciiTheme="majorHAnsi" w:hAnsiTheme="majorHAnsi" w:cstheme="majorHAnsi"/>
          <w:color w:val="365F91" w:themeColor="accent1" w:themeShade="BF"/>
          <w:sz w:val="24"/>
          <w:szCs w:val="24"/>
          <w:lang w:val="en-GB"/>
        </w:rPr>
        <w:footnoteReference w:id="20"/>
      </w:r>
    </w:p>
    <w:p w14:paraId="609B6BF0" w14:textId="77777777" w:rsidR="00B27D57" w:rsidRPr="00FE18D0" w:rsidRDefault="00B27D57" w:rsidP="000C5150">
      <w:pPr>
        <w:pStyle w:val="Tekstopmerking"/>
        <w:spacing w:line="276" w:lineRule="auto"/>
        <w:jc w:val="both"/>
        <w:rPr>
          <w:rFonts w:asciiTheme="majorHAnsi" w:eastAsiaTheme="minorEastAsia" w:hAnsiTheme="majorHAnsi" w:cstheme="majorHAnsi"/>
          <w:color w:val="365F91" w:themeColor="accent1" w:themeShade="BF"/>
          <w:lang w:eastAsia="zh-CN"/>
        </w:rPr>
      </w:pPr>
      <w:r w:rsidRPr="00FE18D0">
        <w:rPr>
          <w:rFonts w:asciiTheme="majorHAnsi" w:hAnsiTheme="majorHAnsi" w:cstheme="majorHAnsi"/>
          <w:iCs/>
          <w:color w:val="365F91" w:themeColor="accent1" w:themeShade="BF"/>
          <w:lang w:val="en-GB"/>
        </w:rPr>
        <w:t>The ‘rules’ of EASA are cast in Opinions and Decisions.</w:t>
      </w:r>
      <w:r w:rsidRPr="00FE18D0">
        <w:rPr>
          <w:rStyle w:val="Voetnootmarkering"/>
          <w:rFonts w:asciiTheme="majorHAnsi" w:eastAsia="Calibri" w:hAnsiTheme="majorHAnsi" w:cstheme="majorHAnsi"/>
          <w:color w:val="365F91" w:themeColor="accent1" w:themeShade="BF"/>
          <w:lang w:val="en-GB"/>
        </w:rPr>
        <w:footnoteReference w:id="21"/>
      </w:r>
      <w:r w:rsidRPr="00FE18D0">
        <w:rPr>
          <w:rFonts w:asciiTheme="majorHAnsi" w:hAnsiTheme="majorHAnsi" w:cstheme="majorHAnsi"/>
          <w:iCs/>
          <w:color w:val="365F91" w:themeColor="accent1" w:themeShade="BF"/>
          <w:lang w:val="en-GB"/>
        </w:rPr>
        <w:t xml:space="preserve"> </w:t>
      </w:r>
      <w:r w:rsidRPr="00FE18D0">
        <w:rPr>
          <w:rFonts w:asciiTheme="majorHAnsi" w:hAnsiTheme="majorHAnsi" w:cstheme="majorHAnsi"/>
          <w:color w:val="365F91" w:themeColor="accent1" w:themeShade="BF"/>
          <w:lang w:val="en-GB"/>
        </w:rPr>
        <w:t xml:space="preserve">An </w:t>
      </w:r>
      <w:r w:rsidRPr="00FE18D0">
        <w:rPr>
          <w:rFonts w:asciiTheme="majorHAnsi" w:hAnsiTheme="majorHAnsi" w:cstheme="majorHAnsi"/>
          <w:color w:val="365F91" w:themeColor="accent1" w:themeShade="BF"/>
          <w:u w:val="single"/>
          <w:lang w:val="en-GB"/>
        </w:rPr>
        <w:t>Opinion</w:t>
      </w:r>
      <w:r w:rsidRPr="00FE18D0">
        <w:rPr>
          <w:rFonts w:asciiTheme="majorHAnsi" w:hAnsiTheme="majorHAnsi" w:cstheme="majorHAnsi"/>
          <w:color w:val="365F91" w:themeColor="accent1" w:themeShade="BF"/>
          <w:lang w:val="en-GB"/>
        </w:rPr>
        <w:t xml:space="preserve"> is a draft of legislation (together with an explanatory memorandum), which is submitted to the European Commission.</w:t>
      </w:r>
      <w:r w:rsidRPr="00FE18D0">
        <w:rPr>
          <w:rStyle w:val="Voetnootmarkering"/>
          <w:rFonts w:asciiTheme="majorHAnsi" w:hAnsiTheme="majorHAnsi" w:cstheme="majorHAnsi"/>
          <w:color w:val="365F91" w:themeColor="accent1" w:themeShade="BF"/>
          <w:lang w:val="en-GB"/>
        </w:rPr>
        <w:footnoteReference w:id="22"/>
      </w:r>
      <w:r w:rsidRPr="00FE18D0">
        <w:rPr>
          <w:rFonts w:asciiTheme="majorHAnsi" w:hAnsiTheme="majorHAnsi" w:cstheme="majorHAnsi"/>
          <w:color w:val="365F91" w:themeColor="accent1" w:themeShade="BF"/>
          <w:lang w:val="en-GB"/>
        </w:rPr>
        <w:t xml:space="preserve"> Opinions are issued in the case of amendments concerning the scope and content of the EASA Regulation and its Implementing Rules, or when new Implementing Rules are being established.</w:t>
      </w:r>
      <w:r w:rsidRPr="00FE18D0">
        <w:rPr>
          <w:rStyle w:val="Voetnootmarkering"/>
          <w:rFonts w:asciiTheme="majorHAnsi" w:eastAsia="Calibri" w:hAnsiTheme="majorHAnsi" w:cstheme="majorHAnsi"/>
          <w:color w:val="365F91" w:themeColor="accent1" w:themeShade="BF"/>
          <w:lang w:val="en-GB"/>
        </w:rPr>
        <w:footnoteReference w:id="23"/>
      </w:r>
      <w:r w:rsidRPr="00FE18D0">
        <w:rPr>
          <w:rFonts w:asciiTheme="majorHAnsi" w:hAnsiTheme="majorHAnsi" w:cstheme="majorHAnsi"/>
          <w:color w:val="365F91" w:themeColor="accent1" w:themeShade="BF"/>
        </w:rPr>
        <w:t xml:space="preserve"> </w:t>
      </w:r>
      <w:r w:rsidRPr="00FE18D0">
        <w:rPr>
          <w:rFonts w:asciiTheme="majorHAnsi" w:hAnsiTheme="majorHAnsi" w:cstheme="majorHAnsi"/>
          <w:color w:val="365F91" w:themeColor="accent1" w:themeShade="BF"/>
          <w:lang w:val="en-GB"/>
        </w:rPr>
        <w:t>They are further processed either by the European legislator (the Council of Ministers and the European Parliament) or the European Commission before the legislation can be enacted and published in the Official Journal of the EU. Where the opinions comprise technical rules, the Commission may not change their content without prior coordination with EASA.</w:t>
      </w:r>
      <w:r w:rsidRPr="00FE18D0">
        <w:rPr>
          <w:rStyle w:val="Voetnootmarkering"/>
          <w:rFonts w:asciiTheme="majorHAnsi" w:hAnsiTheme="majorHAnsi" w:cstheme="majorHAnsi"/>
          <w:color w:val="365F91" w:themeColor="accent1" w:themeShade="BF"/>
          <w:lang w:val="en-GB"/>
        </w:rPr>
        <w:footnoteReference w:id="24"/>
      </w:r>
      <w:r w:rsidRPr="00FE18D0">
        <w:rPr>
          <w:rFonts w:asciiTheme="majorHAnsi" w:hAnsiTheme="majorHAnsi" w:cstheme="majorHAnsi"/>
          <w:color w:val="365F91" w:themeColor="accent1" w:themeShade="BF"/>
          <w:lang w:val="en-GB"/>
        </w:rPr>
        <w:t xml:space="preserve"> </w:t>
      </w:r>
    </w:p>
    <w:p w14:paraId="4588B01A" w14:textId="77777777" w:rsidR="00B27D57" w:rsidRPr="00FE18D0" w:rsidRDefault="00B27D57" w:rsidP="000C5150">
      <w:pPr>
        <w:pStyle w:val="Default"/>
        <w:spacing w:line="276" w:lineRule="auto"/>
        <w:jc w:val="both"/>
        <w:rPr>
          <w:rFonts w:asciiTheme="majorHAnsi" w:hAnsiTheme="majorHAnsi" w:cstheme="majorHAnsi"/>
          <w:color w:val="365F91" w:themeColor="accent1" w:themeShade="BF"/>
        </w:rPr>
      </w:pPr>
      <w:r w:rsidRPr="00FE18D0">
        <w:rPr>
          <w:rFonts w:asciiTheme="majorHAnsi" w:hAnsiTheme="majorHAnsi" w:cstheme="majorHAnsi"/>
          <w:color w:val="365F91" w:themeColor="accent1" w:themeShade="BF"/>
          <w:lang w:val="en-GB"/>
        </w:rPr>
        <w:t xml:space="preserve">Agency </w:t>
      </w:r>
      <w:r w:rsidRPr="00FE18D0">
        <w:rPr>
          <w:rFonts w:asciiTheme="majorHAnsi" w:hAnsiTheme="majorHAnsi" w:cstheme="majorHAnsi"/>
          <w:color w:val="365F91" w:themeColor="accent1" w:themeShade="BF"/>
          <w:u w:val="single"/>
          <w:lang w:val="en-GB"/>
        </w:rPr>
        <w:t>Decisions</w:t>
      </w:r>
      <w:r w:rsidRPr="00FE18D0">
        <w:rPr>
          <w:rFonts w:asciiTheme="majorHAnsi" w:hAnsiTheme="majorHAnsi" w:cstheme="majorHAnsi"/>
          <w:color w:val="365F91" w:themeColor="accent1" w:themeShade="BF"/>
          <w:lang w:val="en-GB"/>
        </w:rPr>
        <w:t xml:space="preserve"> do not constitute mandatory requirements; they provide details in order to support implementation of the requirements entailed in the related regulations. A Decision can take the form of a </w:t>
      </w:r>
      <w:r w:rsidRPr="00FE18D0">
        <w:rPr>
          <w:rFonts w:asciiTheme="majorHAnsi" w:hAnsiTheme="majorHAnsi" w:cstheme="majorHAnsi"/>
          <w:i/>
          <w:color w:val="365F91" w:themeColor="accent1" w:themeShade="BF"/>
          <w:lang w:val="en-GB"/>
        </w:rPr>
        <w:t>Certification Specification</w:t>
      </w:r>
      <w:r w:rsidRPr="00FE18D0">
        <w:rPr>
          <w:rFonts w:asciiTheme="majorHAnsi" w:hAnsiTheme="majorHAnsi" w:cstheme="majorHAnsi"/>
          <w:color w:val="365F91" w:themeColor="accent1" w:themeShade="BF"/>
          <w:lang w:val="en-GB"/>
        </w:rPr>
        <w:t xml:space="preserve"> (CS), an </w:t>
      </w:r>
      <w:r w:rsidRPr="00FE18D0">
        <w:rPr>
          <w:rFonts w:asciiTheme="majorHAnsi" w:hAnsiTheme="majorHAnsi" w:cstheme="majorHAnsi"/>
          <w:i/>
          <w:color w:val="365F91" w:themeColor="accent1" w:themeShade="BF"/>
          <w:lang w:val="en-GB"/>
        </w:rPr>
        <w:t>Acceptable Means of Compliance</w:t>
      </w:r>
      <w:r w:rsidRPr="00FE18D0">
        <w:rPr>
          <w:rFonts w:asciiTheme="majorHAnsi" w:hAnsiTheme="majorHAnsi" w:cstheme="majorHAnsi"/>
          <w:color w:val="365F91" w:themeColor="accent1" w:themeShade="BF"/>
          <w:lang w:val="en-GB"/>
        </w:rPr>
        <w:t xml:space="preserve"> (AMC) to a rule, or </w:t>
      </w:r>
      <w:r w:rsidRPr="00FE18D0">
        <w:rPr>
          <w:rFonts w:asciiTheme="majorHAnsi" w:hAnsiTheme="majorHAnsi" w:cstheme="majorHAnsi"/>
          <w:i/>
          <w:color w:val="365F91" w:themeColor="accent1" w:themeShade="BF"/>
          <w:lang w:val="en-GB"/>
        </w:rPr>
        <w:t>Guidance Material</w:t>
      </w:r>
      <w:r w:rsidRPr="00FE18D0">
        <w:rPr>
          <w:rFonts w:asciiTheme="majorHAnsi" w:hAnsiTheme="majorHAnsi" w:cstheme="majorHAnsi"/>
          <w:color w:val="365F91" w:themeColor="accent1" w:themeShade="BF"/>
          <w:lang w:val="en-GB"/>
        </w:rPr>
        <w:t xml:space="preserve"> (GM) to a rule. These acts aim to assist in the implementation of the law and they are </w:t>
      </w:r>
      <w:r w:rsidRPr="00FE18D0">
        <w:rPr>
          <w:rFonts w:asciiTheme="majorHAnsi" w:hAnsiTheme="majorHAnsi" w:cstheme="majorHAnsi"/>
          <w:color w:val="365F91" w:themeColor="accent1" w:themeShade="BF"/>
          <w:lang w:val="en-GB"/>
        </w:rPr>
        <w:lastRenderedPageBreak/>
        <w:t>frequently referred to as 'soft law'. However, with regard to CS,</w:t>
      </w:r>
      <w:r w:rsidRPr="00FE18D0">
        <w:rPr>
          <w:rStyle w:val="Voetnootmarkering"/>
          <w:rFonts w:asciiTheme="majorHAnsi" w:hAnsiTheme="majorHAnsi" w:cstheme="majorHAnsi"/>
          <w:color w:val="365F91" w:themeColor="accent1" w:themeShade="BF"/>
          <w:lang w:val="en-GB"/>
        </w:rPr>
        <w:footnoteReference w:id="25"/>
      </w:r>
      <w:r w:rsidRPr="00FE18D0">
        <w:rPr>
          <w:rFonts w:asciiTheme="majorHAnsi" w:hAnsiTheme="majorHAnsi" w:cstheme="majorHAnsi"/>
          <w:color w:val="365F91" w:themeColor="accent1" w:themeShade="BF"/>
          <w:lang w:val="en-GB"/>
        </w:rPr>
        <w:t xml:space="preserve"> certificates shall be issued and maintained if they are complied with. Although the agency formally only ‘assists’ the Commission, its decisions apply to all owners of a specific type of plane and the withdrawal of a certificate can mean that all owners of that plane are affected. In that sense, its soft law can be quite hard in fact.</w:t>
      </w:r>
      <w:r w:rsidRPr="00FE18D0">
        <w:rPr>
          <w:rStyle w:val="Voetnootmarkering"/>
          <w:rFonts w:asciiTheme="majorHAnsi" w:eastAsia="Calibri" w:hAnsiTheme="majorHAnsi" w:cstheme="majorHAnsi"/>
          <w:color w:val="365F91" w:themeColor="accent1" w:themeShade="BF"/>
          <w:lang w:val="en-GB"/>
        </w:rPr>
        <w:footnoteReference w:id="26"/>
      </w:r>
      <w:r w:rsidRPr="00FE18D0">
        <w:rPr>
          <w:rFonts w:asciiTheme="majorHAnsi" w:hAnsiTheme="majorHAnsi" w:cstheme="majorHAnsi"/>
          <w:color w:val="365F91" w:themeColor="accent1" w:themeShade="BF"/>
        </w:rPr>
        <w:t xml:space="preserve"> </w:t>
      </w:r>
      <w:r w:rsidRPr="00FE18D0">
        <w:rPr>
          <w:rFonts w:asciiTheme="majorHAnsi" w:hAnsiTheme="majorHAnsi" w:cstheme="majorHAnsi"/>
          <w:color w:val="365F91" w:themeColor="accent1" w:themeShade="BF"/>
          <w:lang w:val="en-GB"/>
        </w:rPr>
        <w:t>Regarding AMC, these are non-binding standards in order to illustrate means to establish compliance with the EASA Regulation and its implementing rules and, at the same time, allow for flexibility in the way of compliance as alternative means of compliance can be proposed. GM are non-binding supportive documents to the rule texts.</w:t>
      </w:r>
      <w:r w:rsidRPr="00FE18D0">
        <w:rPr>
          <w:rStyle w:val="Voetnootmarkering"/>
          <w:rFonts w:asciiTheme="majorHAnsi" w:eastAsia="Calibri" w:hAnsiTheme="majorHAnsi" w:cstheme="majorHAnsi"/>
          <w:color w:val="365F91" w:themeColor="accent1" w:themeShade="BF"/>
          <w:lang w:val="en-GB"/>
        </w:rPr>
        <w:footnoteReference w:id="27"/>
      </w:r>
      <w:r w:rsidRPr="00FE18D0">
        <w:rPr>
          <w:rFonts w:asciiTheme="majorHAnsi" w:hAnsiTheme="majorHAnsi" w:cstheme="majorHAnsi"/>
          <w:color w:val="365F91" w:themeColor="accent1" w:themeShade="BF"/>
          <w:lang w:val="en-GB"/>
        </w:rPr>
        <w:t xml:space="preserve"> They help to clarify the meaning of a requirement or specification and are used to support the interpretation of the EASA Regulation, its implementing rules and AMC.</w:t>
      </w:r>
      <w:r w:rsidRPr="00FE18D0">
        <w:rPr>
          <w:rStyle w:val="Voetnootmarkering"/>
          <w:rFonts w:asciiTheme="majorHAnsi" w:eastAsia="Calibri" w:hAnsiTheme="majorHAnsi" w:cstheme="majorHAnsi"/>
          <w:color w:val="365F91" w:themeColor="accent1" w:themeShade="BF"/>
          <w:lang w:val="en-GB"/>
        </w:rPr>
        <w:footnoteReference w:id="28"/>
      </w:r>
      <w:r w:rsidRPr="00FE18D0">
        <w:rPr>
          <w:rFonts w:asciiTheme="majorHAnsi" w:hAnsiTheme="majorHAnsi" w:cstheme="majorHAnsi"/>
          <w:color w:val="365F91" w:themeColor="accent1" w:themeShade="BF"/>
          <w:lang w:val="en-GB"/>
        </w:rPr>
        <w:t xml:space="preserve"> </w:t>
      </w:r>
    </w:p>
    <w:p w14:paraId="27D8AE16" w14:textId="77777777" w:rsidR="00B27D57" w:rsidRPr="00FE18D0" w:rsidRDefault="00B27D57" w:rsidP="000C5150">
      <w:pPr>
        <w:autoSpaceDE w:val="0"/>
        <w:autoSpaceDN w:val="0"/>
        <w:adjustRightInd w:val="0"/>
        <w:spacing w:line="276" w:lineRule="auto"/>
        <w:jc w:val="both"/>
        <w:rPr>
          <w:rFonts w:asciiTheme="majorHAnsi" w:hAnsiTheme="majorHAnsi" w:cstheme="majorHAnsi"/>
          <w:color w:val="365F91" w:themeColor="accent1" w:themeShade="BF"/>
        </w:rPr>
      </w:pPr>
      <w:r w:rsidRPr="00FE18D0">
        <w:rPr>
          <w:rFonts w:asciiTheme="majorHAnsi" w:hAnsiTheme="majorHAnsi" w:cstheme="majorHAnsi"/>
          <w:color w:val="365F91" w:themeColor="accent1" w:themeShade="BF"/>
        </w:rPr>
        <w:t>EASA’s Management Board has established procedures for issuing Opinions, CS, AMC and GM.</w:t>
      </w:r>
      <w:r w:rsidRPr="00FE18D0">
        <w:rPr>
          <w:rStyle w:val="Voetnootmarkering"/>
          <w:rFonts w:asciiTheme="majorHAnsi" w:hAnsiTheme="majorHAnsi" w:cstheme="majorHAnsi"/>
          <w:color w:val="365F91" w:themeColor="accent1" w:themeShade="BF"/>
        </w:rPr>
        <w:footnoteReference w:id="29"/>
      </w:r>
      <w:r w:rsidRPr="00FE18D0">
        <w:rPr>
          <w:rFonts w:asciiTheme="majorHAnsi" w:hAnsiTheme="majorHAnsi" w:cstheme="majorHAnsi"/>
          <w:color w:val="365F91" w:themeColor="accent1" w:themeShade="BF"/>
        </w:rPr>
        <w:t xml:space="preserve"> In the case of Opinions, the Agency puts forward in fact the proposal for regulation by the Commission, but the decision-making process then continues outside of EASA’s remit, the ultimate responsibility lying with the Commission. The decision for adoption or further amendment of the rule will be taken under the comitology procedure. In practice, m</w:t>
      </w:r>
      <w:r w:rsidRPr="00FE18D0">
        <w:rPr>
          <w:rFonts w:asciiTheme="majorHAnsi" w:eastAsia="Times New Roman" w:hAnsiTheme="majorHAnsi" w:cstheme="majorHAnsi"/>
          <w:color w:val="365F91" w:themeColor="accent1" w:themeShade="BF"/>
          <w:lang w:eastAsia="nl-NL"/>
        </w:rPr>
        <w:t>ost EASA Opinions are handled through the comitology procedure.</w:t>
      </w:r>
      <w:r w:rsidRPr="00FE18D0">
        <w:rPr>
          <w:rStyle w:val="Voetnootmarkering"/>
          <w:rFonts w:asciiTheme="majorHAnsi" w:eastAsia="Times New Roman" w:hAnsiTheme="majorHAnsi" w:cstheme="majorHAnsi"/>
          <w:color w:val="365F91" w:themeColor="accent1" w:themeShade="BF"/>
          <w:lang w:eastAsia="nl-NL"/>
        </w:rPr>
        <w:footnoteReference w:id="30"/>
      </w:r>
      <w:r w:rsidRPr="00FE18D0">
        <w:rPr>
          <w:rFonts w:asciiTheme="majorHAnsi" w:eastAsia="Times New Roman" w:hAnsiTheme="majorHAnsi" w:cstheme="majorHAnsi"/>
          <w:color w:val="365F91" w:themeColor="accent1" w:themeShade="BF"/>
          <w:lang w:eastAsia="nl-NL"/>
        </w:rPr>
        <w:t xml:space="preserve"> </w:t>
      </w:r>
    </w:p>
    <w:p w14:paraId="3E9B5743" w14:textId="77777777" w:rsidR="00B27D57" w:rsidRPr="00FE18D0" w:rsidRDefault="00B27D57" w:rsidP="000C5150">
      <w:pPr>
        <w:spacing w:line="276" w:lineRule="auto"/>
        <w:ind w:right="-46"/>
        <w:jc w:val="both"/>
        <w:rPr>
          <w:rFonts w:asciiTheme="majorHAnsi" w:hAnsiTheme="majorHAnsi" w:cstheme="majorHAnsi"/>
          <w:color w:val="365F91" w:themeColor="accent1" w:themeShade="BF"/>
        </w:rPr>
      </w:pPr>
      <w:r w:rsidRPr="00FE18D0">
        <w:rPr>
          <w:rFonts w:asciiTheme="majorHAnsi" w:hAnsiTheme="majorHAnsi" w:cstheme="majorHAnsi"/>
          <w:color w:val="365F91" w:themeColor="accent1" w:themeShade="BF"/>
        </w:rPr>
        <w:t>Although EU law acts are strictly speaking only applicable within the European Union, the transnational nature of aviation and the fact that many (if not most) international aviation companies will operate within the European Union in some ways, gives these provisions a broader territorial application than might otherwise be the case. EASA, thus, has a regulatory impact both within and outside of the European Union inasmuch as non-EU organizations, operators and airlines may wish to engage in activity within the Union.</w:t>
      </w:r>
    </w:p>
    <w:p w14:paraId="686F73F0" w14:textId="77777777" w:rsidR="00B27D57" w:rsidRPr="00FE18D0" w:rsidRDefault="00B27D57" w:rsidP="000C5150">
      <w:pPr>
        <w:widowControl w:val="0"/>
        <w:autoSpaceDE w:val="0"/>
        <w:autoSpaceDN w:val="0"/>
        <w:adjustRightInd w:val="0"/>
        <w:spacing w:line="276" w:lineRule="auto"/>
        <w:jc w:val="both"/>
        <w:rPr>
          <w:rFonts w:asciiTheme="majorHAnsi" w:hAnsiTheme="majorHAnsi" w:cs="Tahoma"/>
          <w:color w:val="365F91" w:themeColor="accent1" w:themeShade="BF"/>
          <w:lang w:val="en-US" w:eastAsia="ja-JP"/>
        </w:rPr>
      </w:pPr>
    </w:p>
    <w:p w14:paraId="16BFACC9" w14:textId="77777777" w:rsidR="00B27D57" w:rsidRPr="00FE18D0" w:rsidRDefault="00B27D57" w:rsidP="000C5150">
      <w:pPr>
        <w:widowControl w:val="0"/>
        <w:autoSpaceDE w:val="0"/>
        <w:autoSpaceDN w:val="0"/>
        <w:adjustRightInd w:val="0"/>
        <w:spacing w:line="276" w:lineRule="auto"/>
        <w:jc w:val="both"/>
        <w:outlineLvl w:val="0"/>
        <w:rPr>
          <w:rFonts w:asciiTheme="majorHAnsi" w:hAnsiTheme="majorHAnsi" w:cs="Tahoma"/>
          <w:i/>
          <w:color w:val="365F91" w:themeColor="accent1" w:themeShade="BF"/>
          <w:lang w:val="en-US" w:eastAsia="ja-JP"/>
        </w:rPr>
      </w:pPr>
      <w:r w:rsidRPr="00FE18D0">
        <w:rPr>
          <w:rFonts w:asciiTheme="majorHAnsi" w:hAnsiTheme="majorHAnsi" w:cs="Tahoma"/>
          <w:i/>
          <w:color w:val="365F91" w:themeColor="accent1" w:themeShade="BF"/>
          <w:lang w:val="en-US" w:eastAsia="ja-JP"/>
        </w:rPr>
        <w:t>ESMA</w:t>
      </w:r>
    </w:p>
    <w:p w14:paraId="52545264" w14:textId="77777777" w:rsidR="00EE6FA2" w:rsidRPr="00EE6FA2" w:rsidRDefault="005F6389" w:rsidP="00890F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ajorHAnsi" w:hAnsiTheme="majorHAnsi" w:cs="Garamond"/>
          <w:color w:val="365F91" w:themeColor="accent1" w:themeShade="BF"/>
          <w:lang w:val="en-US" w:eastAsia="ja-JP"/>
        </w:rPr>
      </w:pPr>
      <w:r w:rsidRPr="00890FF9">
        <w:rPr>
          <w:rFonts w:asciiTheme="majorHAnsi" w:hAnsiTheme="majorHAnsi" w:cs="Verdana"/>
          <w:color w:val="365F91" w:themeColor="accent1" w:themeShade="BF"/>
          <w:lang w:val="en-US" w:eastAsia="ja-JP"/>
        </w:rPr>
        <w:t>The founding Regulation of ESMA provides that it has the power to develop draft regulatory technical standards in the specific cases referred to in the Regulation</w:t>
      </w:r>
      <w:r w:rsidRPr="00890FF9">
        <w:rPr>
          <w:rFonts w:asciiTheme="majorHAnsi" w:hAnsiTheme="majorHAnsi" w:cs="Garamond"/>
          <w:color w:val="365F91" w:themeColor="accent1" w:themeShade="BF"/>
          <w:lang w:val="en-US" w:eastAsia="ja-JP"/>
        </w:rPr>
        <w:t xml:space="preserve"> and issue </w:t>
      </w:r>
      <w:r w:rsidR="00890FF9" w:rsidRPr="00890FF9">
        <w:rPr>
          <w:rFonts w:asciiTheme="majorHAnsi" w:hAnsiTheme="majorHAnsi" w:cs="Garamond"/>
          <w:color w:val="365F91" w:themeColor="accent1" w:themeShade="BF"/>
          <w:lang w:val="en-US" w:eastAsia="ja-JP"/>
        </w:rPr>
        <w:t>guidelines and recommendations. This does not, however, imply</w:t>
      </w:r>
      <w:r w:rsidRPr="00890FF9">
        <w:rPr>
          <w:rFonts w:asciiTheme="majorHAnsi" w:hAnsiTheme="majorHAnsi" w:cs="Garamond"/>
          <w:color w:val="365F91" w:themeColor="accent1" w:themeShade="BF"/>
          <w:lang w:val="en-US" w:eastAsia="ja-JP"/>
        </w:rPr>
        <w:t xml:space="preserve"> a </w:t>
      </w:r>
      <w:r w:rsidRPr="00890FF9">
        <w:rPr>
          <w:rFonts w:asciiTheme="majorHAnsi" w:hAnsiTheme="majorHAnsi" w:cs="Garamond"/>
          <w:i/>
          <w:iCs/>
          <w:color w:val="365F91" w:themeColor="accent1" w:themeShade="BF"/>
          <w:lang w:val="en-US" w:eastAsia="ja-JP"/>
        </w:rPr>
        <w:t xml:space="preserve">carte </w:t>
      </w:r>
      <w:r w:rsidRPr="00890FF9">
        <w:rPr>
          <w:rFonts w:asciiTheme="majorHAnsi" w:hAnsiTheme="majorHAnsi" w:cs="Garamond"/>
          <w:i/>
          <w:iCs/>
          <w:color w:val="365F91" w:themeColor="accent1" w:themeShade="BF"/>
          <w:lang w:val="en-US" w:eastAsia="ja-JP"/>
        </w:rPr>
        <w:lastRenderedPageBreak/>
        <w:t xml:space="preserve">blanche </w:t>
      </w:r>
      <w:r w:rsidRPr="00890FF9">
        <w:rPr>
          <w:rFonts w:asciiTheme="majorHAnsi" w:hAnsiTheme="majorHAnsi" w:cs="Garamond"/>
          <w:color w:val="365F91" w:themeColor="accent1" w:themeShade="BF"/>
          <w:lang w:val="en-US" w:eastAsia="ja-JP"/>
        </w:rPr>
        <w:t>for ESMA simply to adopt soft law measures in any situation</w:t>
      </w:r>
      <w:r w:rsidR="00890FF9" w:rsidRPr="00890FF9">
        <w:rPr>
          <w:rFonts w:asciiTheme="majorHAnsi" w:hAnsiTheme="majorHAnsi" w:cs="Garamond"/>
          <w:color w:val="365F91" w:themeColor="accent1" w:themeShade="BF"/>
          <w:lang w:val="en-US" w:eastAsia="ja-JP"/>
        </w:rPr>
        <w:t>.</w:t>
      </w:r>
      <w:r w:rsidR="00890FF9" w:rsidRPr="00890FF9">
        <w:rPr>
          <w:rStyle w:val="Voetnootmarkering"/>
          <w:rFonts w:asciiTheme="majorHAnsi" w:hAnsiTheme="majorHAnsi" w:cs="Garamond"/>
          <w:color w:val="365F91" w:themeColor="accent1" w:themeShade="BF"/>
          <w:lang w:val="en-US" w:eastAsia="ja-JP"/>
        </w:rPr>
        <w:footnoteReference w:id="31"/>
      </w:r>
      <w:r w:rsidR="00890FF9" w:rsidRPr="00890FF9">
        <w:rPr>
          <w:rFonts w:asciiTheme="majorHAnsi" w:hAnsiTheme="majorHAnsi" w:cs="Garamond"/>
          <w:color w:val="365F91" w:themeColor="accent1" w:themeShade="BF"/>
          <w:lang w:val="en-US" w:eastAsia="ja-JP"/>
        </w:rPr>
        <w:t xml:space="preserve"> According to A</w:t>
      </w:r>
      <w:r w:rsidRPr="00890FF9">
        <w:rPr>
          <w:rFonts w:asciiTheme="majorHAnsi" w:hAnsiTheme="majorHAnsi" w:cs="Garamond"/>
          <w:color w:val="365F91" w:themeColor="accent1" w:themeShade="BF"/>
          <w:lang w:val="en-US" w:eastAsia="ja-JP"/>
        </w:rPr>
        <w:t xml:space="preserve">rticle 16(1) the agency may decide to issue </w:t>
      </w:r>
      <w:r w:rsidR="00890FF9" w:rsidRPr="00890FF9">
        <w:rPr>
          <w:rFonts w:asciiTheme="majorHAnsi" w:hAnsiTheme="majorHAnsi" w:cs="Garamond"/>
          <w:color w:val="365F91" w:themeColor="accent1" w:themeShade="BF"/>
          <w:lang w:val="en-US" w:eastAsia="ja-JP"/>
        </w:rPr>
        <w:t xml:space="preserve">guidelines and recommendations </w:t>
      </w:r>
      <w:r w:rsidRPr="00890FF9">
        <w:rPr>
          <w:rFonts w:asciiTheme="majorHAnsi" w:hAnsiTheme="majorHAnsi" w:cs="Garamond"/>
          <w:color w:val="365F91" w:themeColor="accent1" w:themeShade="BF"/>
          <w:lang w:val="en-US" w:eastAsia="ja-JP"/>
        </w:rPr>
        <w:t xml:space="preserve">for </w:t>
      </w:r>
      <w:r w:rsidR="00890FF9" w:rsidRPr="00890FF9">
        <w:rPr>
          <w:rFonts w:asciiTheme="majorHAnsi" w:hAnsiTheme="majorHAnsi" w:cs="Garamond"/>
          <w:color w:val="365F91" w:themeColor="accent1" w:themeShade="BF"/>
          <w:lang w:val="en-US" w:eastAsia="ja-JP"/>
        </w:rPr>
        <w:t xml:space="preserve">the </w:t>
      </w:r>
      <w:r w:rsidRPr="00890FF9">
        <w:rPr>
          <w:rFonts w:asciiTheme="majorHAnsi" w:hAnsiTheme="majorHAnsi" w:cs="Garamond"/>
          <w:color w:val="365F91" w:themeColor="accent1" w:themeShade="BF"/>
          <w:lang w:val="en-US" w:eastAsia="ja-JP"/>
        </w:rPr>
        <w:t>consistent, efficient and effective supervisory practices as</w:t>
      </w:r>
      <w:r w:rsidR="00890FF9" w:rsidRPr="00890FF9">
        <w:rPr>
          <w:rFonts w:asciiTheme="majorHAnsi" w:hAnsiTheme="majorHAnsi" w:cs="Garamond"/>
          <w:color w:val="365F91" w:themeColor="accent1" w:themeShade="BF"/>
          <w:lang w:val="en-US" w:eastAsia="ja-JP"/>
        </w:rPr>
        <w:t xml:space="preserve"> well as for common, uniform and consistent application of EU law. Furthermore, recital 26 of the Regulation provides that “in areas not covered by regulatory or implementing technical standards, the Authority should have the power to issue guidelines and recommendations on the application of Union law.” As Van Rijsbergen has stated: “On the one hand, this recital may imply that ESMA is indeed free to issue guidelines and recommendations on whatever issue in whichever area it deems it necessary and important. On the other hand, however, the recital may be interpreted as meaning that ESMA is not always free to use its powers to adopt soft law measures, because securities legislation may result in limiting ESMA’s power, namely by providing for the power to draft regulatory or implementing technical standards.” While these soft law measures are not legally binding by definition, there seems to be at least an intention of legally binding force deriving from the wording and terms used in ESMA guidelines and recommendation. The ‘comply or explain’ mechanism that goes along with them for national competent authorities and financial market participants is also considered an indicator for this.</w:t>
      </w:r>
      <w:r w:rsidR="00890FF9" w:rsidRPr="00890FF9">
        <w:rPr>
          <w:rStyle w:val="Voetnootmarkering"/>
          <w:rFonts w:asciiTheme="majorHAnsi" w:hAnsiTheme="majorHAnsi" w:cs="Garamond"/>
          <w:color w:val="365F91" w:themeColor="accent1" w:themeShade="BF"/>
          <w:lang w:val="en-US" w:eastAsia="ja-JP"/>
        </w:rPr>
        <w:footnoteReference w:id="32"/>
      </w:r>
      <w:r w:rsidR="00890FF9" w:rsidRPr="00890FF9">
        <w:rPr>
          <w:rFonts w:asciiTheme="majorHAnsi" w:hAnsiTheme="majorHAnsi" w:cs="Garamond"/>
          <w:color w:val="000000"/>
          <w:lang w:val="en-US" w:eastAsia="ja-JP"/>
        </w:rPr>
        <w:t xml:space="preserve"> </w:t>
      </w:r>
    </w:p>
    <w:p w14:paraId="07E9A916" w14:textId="77777777" w:rsidR="00B27D57" w:rsidRPr="00890FF9" w:rsidRDefault="00EE6FA2" w:rsidP="00890F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ajorHAnsi" w:hAnsiTheme="majorHAnsi" w:cs="Verdana"/>
          <w:color w:val="365F91" w:themeColor="accent1" w:themeShade="BF"/>
          <w:lang w:val="en-US" w:eastAsia="ja-JP"/>
        </w:rPr>
      </w:pPr>
      <w:r w:rsidRPr="00EE6FA2">
        <w:rPr>
          <w:rFonts w:asciiTheme="majorHAnsi" w:hAnsiTheme="majorHAnsi"/>
          <w:color w:val="365F91" w:themeColor="accent1" w:themeShade="BF"/>
        </w:rPr>
        <w:t xml:space="preserve">Both regulatory and implementing technical standards are </w:t>
      </w:r>
      <w:r>
        <w:rPr>
          <w:rFonts w:asciiTheme="majorHAnsi" w:hAnsiTheme="majorHAnsi"/>
          <w:color w:val="365F91" w:themeColor="accent1" w:themeShade="BF"/>
        </w:rPr>
        <w:t xml:space="preserve">to be </w:t>
      </w:r>
      <w:r w:rsidRPr="00EE6FA2">
        <w:rPr>
          <w:rFonts w:asciiTheme="majorHAnsi" w:hAnsiTheme="majorHAnsi"/>
          <w:color w:val="365F91" w:themeColor="accent1" w:themeShade="BF"/>
        </w:rPr>
        <w:t>adopted by the Commission by means of Regulations or Decisions</w:t>
      </w:r>
      <w:r>
        <w:rPr>
          <w:rFonts w:asciiTheme="majorHAnsi" w:hAnsiTheme="majorHAnsi"/>
          <w:color w:val="365F91" w:themeColor="accent1" w:themeShade="BF"/>
        </w:rPr>
        <w:t>.</w:t>
      </w:r>
      <w:r>
        <w:rPr>
          <w:rFonts w:asciiTheme="majorHAnsi" w:hAnsiTheme="majorHAnsi" w:cs="Verdana"/>
          <w:color w:val="365F91" w:themeColor="accent1" w:themeShade="BF"/>
          <w:lang w:val="en-US" w:eastAsia="ja-JP"/>
        </w:rPr>
        <w:t xml:space="preserve"> </w:t>
      </w:r>
      <w:r w:rsidR="0098141A" w:rsidRPr="00890FF9">
        <w:rPr>
          <w:rFonts w:asciiTheme="majorHAnsi" w:hAnsiTheme="majorHAnsi" w:cs="Verdana"/>
          <w:color w:val="365F91" w:themeColor="accent1" w:themeShade="BF"/>
          <w:lang w:val="en-US" w:eastAsia="ja-JP"/>
        </w:rPr>
        <w:t xml:space="preserve">The Commission may ‘rubberstamp’ these standards or </w:t>
      </w:r>
      <w:proofErr w:type="gramStart"/>
      <w:r w:rsidR="0098141A" w:rsidRPr="00890FF9">
        <w:rPr>
          <w:rFonts w:asciiTheme="majorHAnsi" w:hAnsiTheme="majorHAnsi" w:cs="Verdana"/>
          <w:color w:val="365F91" w:themeColor="accent1" w:themeShade="BF"/>
          <w:lang w:val="en-US" w:eastAsia="ja-JP"/>
        </w:rPr>
        <w:t>reject</w:t>
      </w:r>
      <w:proofErr w:type="gramEnd"/>
      <w:r w:rsidR="0098141A" w:rsidRPr="00890FF9">
        <w:rPr>
          <w:rFonts w:asciiTheme="majorHAnsi" w:hAnsiTheme="majorHAnsi" w:cs="Verdana"/>
          <w:color w:val="365F91" w:themeColor="accent1" w:themeShade="BF"/>
          <w:lang w:val="en-US" w:eastAsia="ja-JP"/>
        </w:rPr>
        <w:t xml:space="preserve"> them fully or in part and/or adopt amendments, but the latter two options only after consultation of the ESA in question. Experience has taught us, however, that the Commission, with regard to older agencies, tends to opt for the former alternative (‘rubberstamping’) which increases the </w:t>
      </w:r>
      <w:r w:rsidR="0098141A" w:rsidRPr="00890FF9">
        <w:rPr>
          <w:rFonts w:asciiTheme="majorHAnsi" w:hAnsiTheme="majorHAnsi" w:cs="Verdana"/>
          <w:i/>
          <w:iCs/>
          <w:color w:val="365F91" w:themeColor="accent1" w:themeShade="BF"/>
          <w:lang w:val="en-US" w:eastAsia="ja-JP"/>
        </w:rPr>
        <w:t xml:space="preserve">de facto </w:t>
      </w:r>
      <w:r w:rsidR="0098141A" w:rsidRPr="00890FF9">
        <w:rPr>
          <w:rFonts w:asciiTheme="majorHAnsi" w:hAnsiTheme="majorHAnsi" w:cs="Verdana"/>
          <w:color w:val="365F91" w:themeColor="accent1" w:themeShade="BF"/>
          <w:lang w:val="en-US" w:eastAsia="ja-JP"/>
        </w:rPr>
        <w:t>power of the agencies EU even more.</w:t>
      </w:r>
      <w:r w:rsidR="0098141A" w:rsidRPr="00890FF9">
        <w:rPr>
          <w:rStyle w:val="Voetnootmarkering"/>
          <w:rFonts w:asciiTheme="majorHAnsi" w:hAnsiTheme="majorHAnsi" w:cs="Verdana"/>
          <w:color w:val="365F91" w:themeColor="accent1" w:themeShade="BF"/>
          <w:lang w:val="en-US" w:eastAsia="ja-JP"/>
        </w:rPr>
        <w:footnoteReference w:id="33"/>
      </w:r>
      <w:r w:rsidR="0098141A" w:rsidRPr="00890FF9">
        <w:rPr>
          <w:rFonts w:asciiTheme="majorHAnsi" w:hAnsiTheme="majorHAnsi" w:cs="Verdana"/>
          <w:color w:val="365F91" w:themeColor="accent1" w:themeShade="BF"/>
          <w:lang w:val="en-US" w:eastAsia="ja-JP"/>
        </w:rPr>
        <w:t xml:space="preserve"> </w:t>
      </w:r>
    </w:p>
    <w:p w14:paraId="2A0873E8" w14:textId="77777777" w:rsidR="0098141A" w:rsidRPr="00890FF9" w:rsidRDefault="0098141A" w:rsidP="00890FF9">
      <w:pPr>
        <w:widowControl w:val="0"/>
        <w:autoSpaceDE w:val="0"/>
        <w:autoSpaceDN w:val="0"/>
        <w:adjustRightInd w:val="0"/>
        <w:spacing w:line="276" w:lineRule="auto"/>
        <w:jc w:val="both"/>
        <w:rPr>
          <w:rFonts w:asciiTheme="majorHAnsi" w:hAnsiTheme="majorHAnsi" w:cs="Tahoma"/>
          <w:color w:val="365F91" w:themeColor="accent1" w:themeShade="BF"/>
          <w:lang w:val="en-US" w:eastAsia="ja-JP"/>
        </w:rPr>
      </w:pPr>
    </w:p>
    <w:p w14:paraId="215346A0" w14:textId="77777777" w:rsidR="00B27D57" w:rsidRPr="00FE18D0" w:rsidRDefault="00B27D57" w:rsidP="000C5150">
      <w:pPr>
        <w:pStyle w:val="Geenafstand1"/>
        <w:spacing w:line="276" w:lineRule="auto"/>
        <w:jc w:val="both"/>
        <w:rPr>
          <w:rFonts w:asciiTheme="majorHAnsi" w:hAnsiTheme="majorHAnsi" w:cs="Verdana"/>
          <w:color w:val="365F91" w:themeColor="accent1" w:themeShade="BF"/>
          <w:sz w:val="24"/>
          <w:szCs w:val="24"/>
          <w:lang w:val="en-US" w:eastAsia="ja-JP"/>
        </w:rPr>
      </w:pPr>
      <w:r w:rsidRPr="00FE18D0">
        <w:rPr>
          <w:rFonts w:asciiTheme="majorHAnsi" w:hAnsiTheme="majorHAnsi" w:cs="Verdana"/>
          <w:color w:val="365F91" w:themeColor="accent1" w:themeShade="BF"/>
          <w:sz w:val="24"/>
          <w:szCs w:val="24"/>
          <w:lang w:val="en-US" w:eastAsia="ja-JP"/>
        </w:rPr>
        <w:t>In section 2.4, we will consider the problematic aspects of the regulatory trend thus identified for legitimate regulation and governance in the EU. But first we will look into the rulemaking activities of networks.</w:t>
      </w:r>
    </w:p>
    <w:p w14:paraId="12C93C93" w14:textId="77777777" w:rsidR="00B27D57" w:rsidRPr="00FE18D0" w:rsidRDefault="00B27D57" w:rsidP="000C5150">
      <w:pPr>
        <w:widowControl w:val="0"/>
        <w:autoSpaceDE w:val="0"/>
        <w:autoSpaceDN w:val="0"/>
        <w:adjustRightInd w:val="0"/>
        <w:spacing w:line="276" w:lineRule="auto"/>
        <w:jc w:val="both"/>
        <w:rPr>
          <w:rFonts w:asciiTheme="majorHAnsi" w:hAnsiTheme="majorHAnsi" w:cs="Tahoma"/>
          <w:color w:val="365F91" w:themeColor="accent1" w:themeShade="BF"/>
          <w:lang w:val="en-US" w:eastAsia="ja-JP"/>
        </w:rPr>
      </w:pPr>
    </w:p>
    <w:p w14:paraId="4D257BB7" w14:textId="77777777" w:rsidR="000A44F3" w:rsidRPr="00FE18D0" w:rsidRDefault="000A44F3" w:rsidP="000C5150">
      <w:pPr>
        <w:widowControl w:val="0"/>
        <w:autoSpaceDE w:val="0"/>
        <w:autoSpaceDN w:val="0"/>
        <w:adjustRightInd w:val="0"/>
        <w:spacing w:line="276" w:lineRule="auto"/>
        <w:jc w:val="both"/>
        <w:rPr>
          <w:rFonts w:asciiTheme="majorHAnsi" w:hAnsiTheme="majorHAnsi" w:cs="Tahoma"/>
          <w:color w:val="365F91" w:themeColor="accent1" w:themeShade="BF"/>
          <w:lang w:val="en-US" w:eastAsia="ja-JP"/>
        </w:rPr>
      </w:pPr>
    </w:p>
    <w:p w14:paraId="3207EAAE" w14:textId="77777777" w:rsidR="00B27D57" w:rsidRPr="00FE18D0" w:rsidRDefault="00A3121A" w:rsidP="000C5150">
      <w:pPr>
        <w:widowControl w:val="0"/>
        <w:autoSpaceDE w:val="0"/>
        <w:autoSpaceDN w:val="0"/>
        <w:adjustRightInd w:val="0"/>
        <w:spacing w:line="276" w:lineRule="auto"/>
        <w:jc w:val="both"/>
        <w:outlineLvl w:val="0"/>
        <w:rPr>
          <w:rFonts w:asciiTheme="majorHAnsi" w:hAnsiTheme="majorHAnsi" w:cs="Tahoma"/>
          <w:color w:val="365F91" w:themeColor="accent1" w:themeShade="BF"/>
          <w:lang w:val="en-US" w:eastAsia="ja-JP"/>
        </w:rPr>
      </w:pPr>
      <w:r w:rsidRPr="00FE18D0">
        <w:rPr>
          <w:rFonts w:asciiTheme="majorHAnsi" w:hAnsiTheme="majorHAnsi" w:cs="Tahoma"/>
          <w:color w:val="365F91" w:themeColor="accent1" w:themeShade="BF"/>
          <w:lang w:val="en-US" w:eastAsia="ja-JP"/>
        </w:rPr>
        <w:t>2.4</w:t>
      </w:r>
      <w:r w:rsidR="00B27D57" w:rsidRPr="00FE18D0">
        <w:rPr>
          <w:rFonts w:asciiTheme="majorHAnsi" w:hAnsiTheme="majorHAnsi" w:cs="Tahoma"/>
          <w:color w:val="365F91" w:themeColor="accent1" w:themeShade="BF"/>
          <w:lang w:val="en-US" w:eastAsia="ja-JP"/>
        </w:rPr>
        <w:t xml:space="preserve"> The use of soft law in networks</w:t>
      </w:r>
    </w:p>
    <w:p w14:paraId="74C2EED3" w14:textId="77777777" w:rsidR="00B27D57" w:rsidRPr="00FE18D0" w:rsidRDefault="00B27D57" w:rsidP="000C5150">
      <w:pPr>
        <w:widowControl w:val="0"/>
        <w:autoSpaceDE w:val="0"/>
        <w:autoSpaceDN w:val="0"/>
        <w:adjustRightInd w:val="0"/>
        <w:spacing w:line="276" w:lineRule="auto"/>
        <w:jc w:val="both"/>
        <w:rPr>
          <w:rFonts w:asciiTheme="majorHAnsi" w:hAnsiTheme="majorHAnsi" w:cs="Tahoma"/>
          <w:color w:val="365F91" w:themeColor="accent1" w:themeShade="BF"/>
          <w:lang w:val="en-US" w:eastAsia="ja-JP"/>
        </w:rPr>
      </w:pPr>
    </w:p>
    <w:p w14:paraId="7550F7C8" w14:textId="77777777" w:rsidR="00B27D57" w:rsidRPr="00FE18D0" w:rsidRDefault="00B27D57" w:rsidP="000C51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ajorHAnsi" w:hAnsiTheme="majorHAnsi" w:cs="Verdana"/>
          <w:color w:val="365F91" w:themeColor="accent1" w:themeShade="BF"/>
          <w:lang w:val="en-US" w:eastAsia="ja-JP"/>
        </w:rPr>
      </w:pPr>
      <w:r w:rsidRPr="00FE18D0">
        <w:rPr>
          <w:rFonts w:asciiTheme="majorHAnsi" w:hAnsiTheme="majorHAnsi" w:cs="Verdana"/>
          <w:color w:val="365F91" w:themeColor="accent1" w:themeShade="BF"/>
          <w:lang w:val="en-US" w:eastAsia="ja-JP"/>
        </w:rPr>
        <w:t xml:space="preserve">Not only within the framework of </w:t>
      </w:r>
      <w:r w:rsidRPr="00FE18D0">
        <w:rPr>
          <w:rFonts w:asciiTheme="majorHAnsi" w:hAnsiTheme="majorHAnsi" w:cs="Verdana"/>
          <w:bCs/>
          <w:color w:val="365F91" w:themeColor="accent1" w:themeShade="BF"/>
          <w:lang w:val="en-US" w:eastAsia="ja-JP"/>
        </w:rPr>
        <w:t>agencies but also of networks</w:t>
      </w:r>
      <w:r w:rsidRPr="00FE18D0">
        <w:rPr>
          <w:rFonts w:asciiTheme="majorHAnsi" w:hAnsiTheme="majorHAnsi" w:cs="Verdana"/>
          <w:b/>
          <w:bCs/>
          <w:color w:val="365F91" w:themeColor="accent1" w:themeShade="BF"/>
          <w:lang w:val="en-US" w:eastAsia="ja-JP"/>
        </w:rPr>
        <w:t xml:space="preserve"> </w:t>
      </w:r>
      <w:r w:rsidRPr="00FE18D0">
        <w:rPr>
          <w:rFonts w:asciiTheme="majorHAnsi" w:hAnsiTheme="majorHAnsi" w:cs="Verdana"/>
          <w:color w:val="365F91" w:themeColor="accent1" w:themeShade="BF"/>
          <w:lang w:val="en-US" w:eastAsia="ja-JP"/>
        </w:rPr>
        <w:t xml:space="preserve">we increasingly witness the adoption of soft administrative and even regulatory rule-making. Networks have developed in many areas and sectors of EU law, including those of </w:t>
      </w:r>
      <w:r w:rsidRPr="00FE18D0">
        <w:rPr>
          <w:rFonts w:asciiTheme="majorHAnsi" w:hAnsiTheme="majorHAnsi" w:cs="Verdana"/>
          <w:color w:val="365F91" w:themeColor="accent1" w:themeShade="BF"/>
          <w:lang w:val="en-US" w:eastAsia="ja-JP"/>
        </w:rPr>
        <w:lastRenderedPageBreak/>
        <w:t>competition law (ECN), telecommunications (ERG) and the environment (IMPEL, EEA). In certain cases, such networks have culminated in the creation of agencies, for instance in the area of energy (ACER) and the financial markets (EBA, EIOPA, ESMA). Networks are predominantly geared towards the administration of legal rules and the effective enforcement of law.</w:t>
      </w:r>
      <w:r w:rsidRPr="00FE18D0">
        <w:rPr>
          <w:rStyle w:val="Voetnootmarkering"/>
          <w:rFonts w:asciiTheme="majorHAnsi" w:hAnsiTheme="majorHAnsi" w:cs="Verdana"/>
          <w:color w:val="365F91" w:themeColor="accent1" w:themeShade="BF"/>
          <w:lang w:val="en-US" w:eastAsia="ja-JP"/>
        </w:rPr>
        <w:footnoteReference w:id="34"/>
      </w:r>
      <w:r w:rsidRPr="00FE18D0">
        <w:rPr>
          <w:rFonts w:asciiTheme="majorHAnsi" w:hAnsiTheme="majorHAnsi" w:cs="Verdana"/>
          <w:color w:val="365F91" w:themeColor="accent1" w:themeShade="BF"/>
          <w:lang w:val="en-US" w:eastAsia="ja-JP"/>
        </w:rPr>
        <w:t xml:space="preserve"> The network trend has been analysed in terms of infiltration into national policy areas in different stages, labelling them as </w:t>
      </w:r>
      <w:r w:rsidRPr="00FE18D0">
        <w:rPr>
          <w:rFonts w:asciiTheme="majorHAnsi" w:hAnsiTheme="majorHAnsi" w:cs="Verdana"/>
          <w:bCs/>
          <w:color w:val="365F91" w:themeColor="accent1" w:themeShade="BF"/>
          <w:lang w:val="en-US" w:eastAsia="ja-JP"/>
        </w:rPr>
        <w:t>Trojan horses</w:t>
      </w:r>
      <w:r w:rsidRPr="00FE18D0">
        <w:rPr>
          <w:rFonts w:asciiTheme="majorHAnsi" w:hAnsiTheme="majorHAnsi" w:cs="Verdana"/>
          <w:color w:val="365F91" w:themeColor="accent1" w:themeShade="BF"/>
          <w:lang w:val="en-US" w:eastAsia="ja-JP"/>
        </w:rPr>
        <w:t>.</w:t>
      </w:r>
      <w:r w:rsidRPr="00FE18D0">
        <w:rPr>
          <w:rStyle w:val="Voetnootmarkering"/>
          <w:rFonts w:asciiTheme="majorHAnsi" w:hAnsiTheme="majorHAnsi" w:cs="Verdana"/>
          <w:color w:val="365F91" w:themeColor="accent1" w:themeShade="BF"/>
          <w:lang w:val="en-US" w:eastAsia="ja-JP"/>
        </w:rPr>
        <w:footnoteReference w:id="35"/>
      </w:r>
      <w:r w:rsidRPr="00FE18D0">
        <w:rPr>
          <w:rFonts w:asciiTheme="majorHAnsi" w:hAnsiTheme="majorHAnsi" w:cs="Verdana"/>
          <w:color w:val="365F91" w:themeColor="accent1" w:themeShade="BF"/>
          <w:lang w:val="en-US" w:eastAsia="ja-JP"/>
        </w:rPr>
        <w:t xml:space="preserve"> In the most far-reaching stage, they have important centralising effects on the EU-level and </w:t>
      </w:r>
      <w:r w:rsidRPr="00FE18D0">
        <w:rPr>
          <w:rFonts w:asciiTheme="majorHAnsi" w:hAnsiTheme="majorHAnsi" w:cs="Verdana"/>
          <w:i/>
          <w:iCs/>
          <w:color w:val="365F91" w:themeColor="accent1" w:themeShade="BF"/>
          <w:lang w:val="en-US" w:eastAsia="ja-JP"/>
        </w:rPr>
        <w:t>de facto</w:t>
      </w:r>
      <w:r w:rsidRPr="00FE18D0">
        <w:rPr>
          <w:rFonts w:asciiTheme="majorHAnsi" w:hAnsiTheme="majorHAnsi" w:cs="Verdana"/>
          <w:color w:val="365F91" w:themeColor="accent1" w:themeShade="BF"/>
          <w:lang w:val="en-US" w:eastAsia="ja-JP"/>
        </w:rPr>
        <w:t>, national supervisory authorities will work more as the extended arm of the Commission than for their own Member State.</w:t>
      </w:r>
      <w:r w:rsidRPr="00FE18D0">
        <w:rPr>
          <w:rStyle w:val="Voetnootmarkering"/>
          <w:rFonts w:asciiTheme="majorHAnsi" w:hAnsiTheme="majorHAnsi" w:cs="Verdana"/>
          <w:color w:val="365F91" w:themeColor="accent1" w:themeShade="BF"/>
          <w:lang w:val="en-US" w:eastAsia="ja-JP"/>
        </w:rPr>
        <w:footnoteReference w:id="36"/>
      </w:r>
      <w:r w:rsidRPr="00FE18D0">
        <w:rPr>
          <w:rFonts w:asciiTheme="majorHAnsi" w:hAnsiTheme="majorHAnsi" w:cs="Verdana"/>
          <w:color w:val="365F91" w:themeColor="accent1" w:themeShade="BF"/>
          <w:lang w:val="en-US" w:eastAsia="ja-JP"/>
        </w:rPr>
        <w:t xml:space="preserve"> The institutional and procedural design and functioning of networks raises a number of issues from the perspective of input or procedural legitimacy and judicial protection (see the next section on this). </w:t>
      </w:r>
    </w:p>
    <w:p w14:paraId="3E3E997C" w14:textId="77777777" w:rsidR="00B27D57" w:rsidRPr="00FE18D0" w:rsidRDefault="00B27D57" w:rsidP="000C51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ajorHAnsi" w:hAnsiTheme="majorHAnsi" w:cs="Verdana"/>
          <w:color w:val="365F91" w:themeColor="accent1" w:themeShade="BF"/>
          <w:lang w:val="en-US" w:eastAsia="ja-JP"/>
        </w:rPr>
      </w:pPr>
      <w:r w:rsidRPr="00FE18D0">
        <w:rPr>
          <w:rFonts w:asciiTheme="majorHAnsi" w:hAnsiTheme="majorHAnsi" w:cs="Verdana"/>
          <w:color w:val="365F91" w:themeColor="accent1" w:themeShade="BF"/>
          <w:lang w:val="en-US" w:eastAsia="ja-JP"/>
        </w:rPr>
        <w:t xml:space="preserve">We confine ourselves here to briefly indicating these problems in relation to the </w:t>
      </w:r>
      <w:r w:rsidRPr="00FE18D0">
        <w:rPr>
          <w:rFonts w:asciiTheme="majorHAnsi" w:hAnsiTheme="majorHAnsi" w:cs="Verdana"/>
          <w:bCs/>
          <w:color w:val="365F91" w:themeColor="accent1" w:themeShade="BF"/>
          <w:lang w:val="en-US" w:eastAsia="ja-JP"/>
        </w:rPr>
        <w:t>European Competition Network</w:t>
      </w:r>
      <w:r w:rsidRPr="00FE18D0">
        <w:rPr>
          <w:rFonts w:asciiTheme="majorHAnsi" w:hAnsiTheme="majorHAnsi" w:cs="Verdana"/>
          <w:b/>
          <w:bCs/>
          <w:color w:val="365F91" w:themeColor="accent1" w:themeShade="BF"/>
          <w:lang w:val="en-US" w:eastAsia="ja-JP"/>
        </w:rPr>
        <w:t xml:space="preserve"> </w:t>
      </w:r>
      <w:r w:rsidRPr="00FE18D0">
        <w:rPr>
          <w:rFonts w:asciiTheme="majorHAnsi" w:hAnsiTheme="majorHAnsi" w:cs="Verdana"/>
          <w:color w:val="365F91" w:themeColor="accent1" w:themeShade="BF"/>
          <w:lang w:val="en-US" w:eastAsia="ja-JP"/>
        </w:rPr>
        <w:t>(ECN), often seen as the mother of all networks.</w:t>
      </w:r>
    </w:p>
    <w:p w14:paraId="0292FE32" w14:textId="77777777" w:rsidR="000A44F3" w:rsidRPr="00FE18D0" w:rsidRDefault="00B27D57" w:rsidP="000C51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ajorHAnsi" w:hAnsiTheme="majorHAnsi" w:cs="Verdana"/>
          <w:color w:val="365F91" w:themeColor="accent1" w:themeShade="BF"/>
          <w:lang w:val="en-US" w:eastAsia="ja-JP"/>
        </w:rPr>
      </w:pPr>
      <w:r w:rsidRPr="00FE18D0">
        <w:rPr>
          <w:rFonts w:asciiTheme="majorHAnsi" w:hAnsiTheme="majorHAnsi" w:cs="Verdana"/>
          <w:color w:val="365F91" w:themeColor="accent1" w:themeShade="BF"/>
          <w:lang w:val="en-US" w:eastAsia="ja-JP"/>
        </w:rPr>
        <w:t xml:space="preserve">The ECN’s main task is to ensure effective decision-making and consistent application and enforcement of EU competition rules at both EU and national level. The Network has a </w:t>
      </w:r>
      <w:r w:rsidRPr="00FE18D0">
        <w:rPr>
          <w:rFonts w:asciiTheme="majorHAnsi" w:hAnsiTheme="majorHAnsi" w:cs="Verdana"/>
          <w:bCs/>
          <w:color w:val="365F91" w:themeColor="accent1" w:themeShade="BF"/>
          <w:lang w:val="en-US" w:eastAsia="ja-JP"/>
        </w:rPr>
        <w:t>weak legal basis</w:t>
      </w:r>
      <w:r w:rsidRPr="00FE18D0">
        <w:rPr>
          <w:rFonts w:asciiTheme="majorHAnsi" w:hAnsiTheme="majorHAnsi" w:cs="Verdana"/>
          <w:color w:val="365F91" w:themeColor="accent1" w:themeShade="BF"/>
          <w:lang w:val="en-US" w:eastAsia="ja-JP"/>
        </w:rPr>
        <w:t>, as its establishment can only be traced back to two provisions which impose a duty of cooperation and of exchange of information,</w:t>
      </w:r>
      <w:r w:rsidRPr="00FE18D0">
        <w:rPr>
          <w:rStyle w:val="Voetnootmarkering"/>
          <w:rFonts w:asciiTheme="majorHAnsi" w:hAnsiTheme="majorHAnsi" w:cs="Verdana"/>
          <w:color w:val="365F91" w:themeColor="accent1" w:themeShade="BF"/>
          <w:lang w:val="en-US" w:eastAsia="ja-JP"/>
        </w:rPr>
        <w:footnoteReference w:id="37"/>
      </w:r>
      <w:r w:rsidRPr="00FE18D0">
        <w:rPr>
          <w:rFonts w:asciiTheme="majorHAnsi" w:hAnsiTheme="majorHAnsi" w:cs="Verdana"/>
          <w:color w:val="365F91" w:themeColor="accent1" w:themeShade="BF"/>
          <w:lang w:val="en-US" w:eastAsia="ja-JP"/>
        </w:rPr>
        <w:t xml:space="preserve"> the creation of a network between the Commission and the national competition authorities (NCAs) merely being mentioned in recital 15 of the preamble of the Regulation. The Network was created by way of a Commission notice only, as a forum for discussion and cooperation, lacking the independent legal personality that European agencies do have.</w:t>
      </w:r>
      <w:r w:rsidRPr="00FE18D0">
        <w:rPr>
          <w:rStyle w:val="Voetnootmarkering"/>
          <w:rFonts w:asciiTheme="majorHAnsi" w:hAnsiTheme="majorHAnsi" w:cs="Verdana"/>
          <w:color w:val="365F91" w:themeColor="accent1" w:themeShade="BF"/>
          <w:lang w:val="en-US" w:eastAsia="ja-JP"/>
        </w:rPr>
        <w:footnoteReference w:id="38"/>
      </w:r>
      <w:r w:rsidRPr="00FE18D0">
        <w:rPr>
          <w:rFonts w:asciiTheme="majorHAnsi" w:hAnsiTheme="majorHAnsi" w:cs="Verdana"/>
          <w:color w:val="365F91" w:themeColor="accent1" w:themeShade="BF"/>
          <w:lang w:val="en-US" w:eastAsia="ja-JP"/>
        </w:rPr>
        <w:t xml:space="preserve"> Yet, the ECN has developed into more than just such a forum, as it also has </w:t>
      </w:r>
      <w:r w:rsidRPr="00FE18D0">
        <w:rPr>
          <w:rFonts w:asciiTheme="majorHAnsi" w:hAnsiTheme="majorHAnsi" w:cs="Verdana"/>
          <w:bCs/>
          <w:color w:val="365F91" w:themeColor="accent1" w:themeShade="BF"/>
          <w:lang w:val="en-US" w:eastAsia="ja-JP"/>
        </w:rPr>
        <w:t>decision-making power</w:t>
      </w:r>
      <w:r w:rsidRPr="00FE18D0">
        <w:rPr>
          <w:rFonts w:asciiTheme="majorHAnsi" w:hAnsiTheme="majorHAnsi" w:cs="Verdana"/>
          <w:color w:val="365F91" w:themeColor="accent1" w:themeShade="BF"/>
          <w:lang w:val="en-US" w:eastAsia="ja-JP"/>
        </w:rPr>
        <w:t>. In particular, it may decide on the most appropriate forum to deal with a case (the best placed authority).</w:t>
      </w:r>
      <w:r w:rsidRPr="00FE18D0">
        <w:rPr>
          <w:rStyle w:val="Voetnootmarkering"/>
          <w:rFonts w:asciiTheme="majorHAnsi" w:hAnsiTheme="majorHAnsi" w:cs="Verdana"/>
          <w:color w:val="365F91" w:themeColor="accent1" w:themeShade="BF"/>
          <w:lang w:val="en-US" w:eastAsia="ja-JP"/>
        </w:rPr>
        <w:footnoteReference w:id="39"/>
      </w:r>
      <w:r w:rsidRPr="00FE18D0">
        <w:rPr>
          <w:rFonts w:asciiTheme="majorHAnsi" w:hAnsiTheme="majorHAnsi" w:cs="Verdana"/>
          <w:color w:val="365F91" w:themeColor="accent1" w:themeShade="BF"/>
          <w:lang w:val="en-US" w:eastAsia="ja-JP"/>
        </w:rPr>
        <w:t xml:space="preserve"> The allocation of a case</w:t>
      </w:r>
      <w:r w:rsidRPr="00FE18D0">
        <w:rPr>
          <w:rStyle w:val="Voetnootmarkering"/>
          <w:rFonts w:asciiTheme="majorHAnsi" w:hAnsiTheme="majorHAnsi" w:cs="Verdana"/>
          <w:color w:val="365F91" w:themeColor="accent1" w:themeShade="BF"/>
          <w:lang w:val="en-US" w:eastAsia="ja-JP"/>
        </w:rPr>
        <w:footnoteReference w:id="40"/>
      </w:r>
      <w:r w:rsidRPr="00FE18D0">
        <w:rPr>
          <w:rFonts w:asciiTheme="majorHAnsi" w:hAnsiTheme="majorHAnsi" w:cs="Verdana"/>
          <w:color w:val="365F91" w:themeColor="accent1" w:themeShade="BF"/>
          <w:lang w:val="en-US" w:eastAsia="ja-JP"/>
        </w:rPr>
        <w:t xml:space="preserve"> can have huge consequences for the complainant since it can be viewed as an implicit way of deciding that the European competition rules have not been violated and therefore the complaint will not be found admissible. However, these allocation decisions have a soft law status and are therefore not open to appeal. There is also the practice of ‘informal discussions’. While the exchange of information can have important consequences - for detection, private enforcement and leniency -, there is no right of access to records (if they exist) or </w:t>
      </w:r>
      <w:r w:rsidRPr="00FE18D0">
        <w:rPr>
          <w:rFonts w:asciiTheme="majorHAnsi" w:hAnsiTheme="majorHAnsi" w:cs="Verdana"/>
          <w:color w:val="365F91" w:themeColor="accent1" w:themeShade="BF"/>
          <w:lang w:val="en-US" w:eastAsia="ja-JP"/>
        </w:rPr>
        <w:lastRenderedPageBreak/>
        <w:t>right of appeal.</w:t>
      </w:r>
      <w:r w:rsidRPr="00FE18D0">
        <w:rPr>
          <w:rStyle w:val="Voetnootmarkering"/>
          <w:rFonts w:asciiTheme="majorHAnsi" w:hAnsiTheme="majorHAnsi" w:cs="Verdana"/>
          <w:color w:val="365F91" w:themeColor="accent1" w:themeShade="BF"/>
          <w:lang w:val="en-US" w:eastAsia="ja-JP"/>
        </w:rPr>
        <w:footnoteReference w:id="41"/>
      </w:r>
      <w:r w:rsidR="000A44F3" w:rsidRPr="00FE18D0">
        <w:rPr>
          <w:rFonts w:asciiTheme="majorHAnsi" w:hAnsiTheme="majorHAnsi" w:cs="Verdana"/>
          <w:color w:val="365F91" w:themeColor="accent1" w:themeShade="BF"/>
          <w:lang w:val="en-US" w:eastAsia="ja-JP"/>
        </w:rPr>
        <w:t xml:space="preserve"> </w:t>
      </w:r>
      <w:r w:rsidRPr="00FE18D0">
        <w:rPr>
          <w:rFonts w:asciiTheme="majorHAnsi" w:hAnsiTheme="majorHAnsi" w:cs="Verdana"/>
          <w:color w:val="365F91" w:themeColor="accent1" w:themeShade="BF"/>
          <w:lang w:val="en-US" w:eastAsia="ja-JP"/>
        </w:rPr>
        <w:t xml:space="preserve">The ECN also </w:t>
      </w:r>
      <w:r w:rsidRPr="00FE18D0">
        <w:rPr>
          <w:rFonts w:asciiTheme="majorHAnsi" w:hAnsiTheme="majorHAnsi" w:cs="Verdana"/>
          <w:bCs/>
          <w:color w:val="365F91" w:themeColor="accent1" w:themeShade="BF"/>
          <w:lang w:val="en-US" w:eastAsia="ja-JP"/>
        </w:rPr>
        <w:t>issues policy guidelines</w:t>
      </w:r>
      <w:r w:rsidRPr="00FE18D0">
        <w:rPr>
          <w:rFonts w:asciiTheme="majorHAnsi" w:hAnsiTheme="majorHAnsi" w:cs="Verdana"/>
          <w:color w:val="365F91" w:themeColor="accent1" w:themeShade="BF"/>
          <w:lang w:val="en-US" w:eastAsia="ja-JP"/>
        </w:rPr>
        <w:t xml:space="preserve">. </w:t>
      </w:r>
      <w:r w:rsidR="000A44F3" w:rsidRPr="00FE18D0">
        <w:rPr>
          <w:rFonts w:asciiTheme="majorHAnsi" w:hAnsiTheme="majorHAnsi" w:cs="Verdana"/>
          <w:color w:val="365F91" w:themeColor="accent1" w:themeShade="BF"/>
          <w:lang w:val="en-US" w:eastAsia="ja-JP"/>
        </w:rPr>
        <w:t>Furthermore, a</w:t>
      </w:r>
      <w:r w:rsidRPr="00FE18D0">
        <w:rPr>
          <w:rFonts w:asciiTheme="majorHAnsi" w:hAnsiTheme="majorHAnsi" w:cs="Verdana"/>
          <w:color w:val="365F91" w:themeColor="accent1" w:themeShade="BF"/>
          <w:lang w:val="en-US" w:eastAsia="ja-JP"/>
        </w:rPr>
        <w:t>lthough these qualify as soft law, national supervisory authorities in practice usually comply with them. Since these authorities are part of the Network and collaborate in the drawing up of the European guidelines, it is because of principles of good governance such as legitimate expectations, due care and equal treatment that they also have a duty to act in accordance with them.</w:t>
      </w:r>
      <w:r w:rsidRPr="00FE18D0">
        <w:rPr>
          <w:rStyle w:val="Voetnootmarkering"/>
          <w:rFonts w:asciiTheme="majorHAnsi" w:hAnsiTheme="majorHAnsi" w:cs="Verdana"/>
          <w:color w:val="365F91" w:themeColor="accent1" w:themeShade="BF"/>
          <w:lang w:val="en-US" w:eastAsia="ja-JP"/>
        </w:rPr>
        <w:footnoteReference w:id="42"/>
      </w:r>
      <w:r w:rsidRPr="00FE18D0">
        <w:rPr>
          <w:rFonts w:asciiTheme="majorHAnsi" w:hAnsiTheme="majorHAnsi" w:cs="Verdana"/>
          <w:color w:val="365F91" w:themeColor="accent1" w:themeShade="BF"/>
          <w:lang w:val="en-US" w:eastAsia="ja-JP"/>
        </w:rPr>
        <w:t xml:space="preserve"> National courts also take these policy guidelines into account because they have been agreed on by the national authorities and because they may not possess the specialized expertise to pass judgments on these texts.</w:t>
      </w:r>
      <w:r w:rsidRPr="00FE18D0">
        <w:rPr>
          <w:rStyle w:val="Voetnootmarkering"/>
          <w:rFonts w:asciiTheme="majorHAnsi" w:hAnsiTheme="majorHAnsi" w:cs="Verdana"/>
          <w:color w:val="365F91" w:themeColor="accent1" w:themeShade="BF"/>
          <w:lang w:val="en-US" w:eastAsia="ja-JP"/>
        </w:rPr>
        <w:footnoteReference w:id="43"/>
      </w:r>
      <w:r w:rsidRPr="00FE18D0">
        <w:rPr>
          <w:rFonts w:asciiTheme="majorHAnsi" w:hAnsiTheme="majorHAnsi" w:cs="Verdana"/>
          <w:color w:val="365F91" w:themeColor="accent1" w:themeShade="BF"/>
          <w:lang w:val="en-US" w:eastAsia="ja-JP"/>
        </w:rPr>
        <w:t xml:space="preserve"> </w:t>
      </w:r>
    </w:p>
    <w:p w14:paraId="5C2E76F7" w14:textId="77777777" w:rsidR="00A3121A" w:rsidRPr="00FE18D0" w:rsidRDefault="00A3121A" w:rsidP="000C5150">
      <w:pPr>
        <w:widowControl w:val="0"/>
        <w:autoSpaceDE w:val="0"/>
        <w:autoSpaceDN w:val="0"/>
        <w:adjustRightInd w:val="0"/>
        <w:spacing w:line="276" w:lineRule="auto"/>
        <w:jc w:val="both"/>
        <w:rPr>
          <w:rFonts w:asciiTheme="majorHAnsi" w:hAnsiTheme="majorHAnsi" w:cs="Verdana"/>
          <w:color w:val="365F91" w:themeColor="accent1" w:themeShade="BF"/>
          <w:lang w:val="en-US" w:eastAsia="ja-JP"/>
        </w:rPr>
      </w:pPr>
    </w:p>
    <w:p w14:paraId="7D96C16A" w14:textId="77777777" w:rsidR="001B14D2" w:rsidRPr="00FE18D0" w:rsidRDefault="00A3121A" w:rsidP="000C5150">
      <w:pPr>
        <w:widowControl w:val="0"/>
        <w:autoSpaceDE w:val="0"/>
        <w:autoSpaceDN w:val="0"/>
        <w:adjustRightInd w:val="0"/>
        <w:spacing w:line="276" w:lineRule="auto"/>
        <w:jc w:val="both"/>
        <w:rPr>
          <w:rFonts w:asciiTheme="majorHAnsi" w:hAnsiTheme="majorHAnsi" w:cs="Verdana"/>
          <w:color w:val="365F91" w:themeColor="accent1" w:themeShade="BF"/>
          <w:lang w:val="en-US" w:eastAsia="ja-JP"/>
        </w:rPr>
      </w:pPr>
      <w:r w:rsidRPr="00FE18D0">
        <w:rPr>
          <w:rFonts w:asciiTheme="majorHAnsi" w:hAnsiTheme="majorHAnsi" w:cs="Verdana"/>
          <w:color w:val="365F91" w:themeColor="accent1" w:themeShade="BF"/>
          <w:lang w:val="en-US" w:eastAsia="ja-JP"/>
        </w:rPr>
        <w:t xml:space="preserve">This brief account of soft administrative rule-making as it emerges in the Union’s daily practice confirms that the formal hierarchy of norms as contained in the TFEU only contains part of the picture. As the following graph illustrates, one can identify in particular a much hidden dimension to the implementing activity of EU law, taking place in the shadow of Article 291 TFEU. This occurs not only by the Commission itself, but also other public bodies both at the EU level and that of shared administration. </w:t>
      </w:r>
    </w:p>
    <w:p w14:paraId="1B86EEA1" w14:textId="77777777" w:rsidR="00A3121A" w:rsidRPr="00FE18D0" w:rsidRDefault="00A3121A" w:rsidP="000C5150">
      <w:pPr>
        <w:widowControl w:val="0"/>
        <w:autoSpaceDE w:val="0"/>
        <w:autoSpaceDN w:val="0"/>
        <w:adjustRightInd w:val="0"/>
        <w:spacing w:line="276" w:lineRule="auto"/>
        <w:jc w:val="both"/>
        <w:rPr>
          <w:rFonts w:asciiTheme="majorHAnsi" w:hAnsiTheme="majorHAnsi" w:cs="Verdana"/>
          <w:color w:val="365F91" w:themeColor="accent1" w:themeShade="BF"/>
          <w:lang w:val="en-US" w:eastAsia="ja-JP"/>
        </w:rPr>
      </w:pPr>
    </w:p>
    <w:p w14:paraId="227D585A" w14:textId="77777777" w:rsidR="001B14D2" w:rsidRPr="00FE18D0" w:rsidRDefault="001B14D2" w:rsidP="000C5150">
      <w:pPr>
        <w:spacing w:line="276" w:lineRule="auto"/>
        <w:jc w:val="both"/>
        <w:rPr>
          <w:rFonts w:asciiTheme="majorHAnsi" w:hAnsiTheme="majorHAnsi" w:cs="Tahoma"/>
          <w:i/>
          <w:color w:val="365F91" w:themeColor="accent1" w:themeShade="BF"/>
          <w:lang w:val="en-US" w:eastAsia="ja-JP"/>
        </w:rPr>
      </w:pPr>
      <w:r w:rsidRPr="00FE18D0">
        <w:rPr>
          <w:rFonts w:asciiTheme="majorHAnsi" w:hAnsiTheme="majorHAnsi" w:cs="Tahoma"/>
          <w:i/>
          <w:color w:val="365F91" w:themeColor="accent1" w:themeShade="BF"/>
          <w:lang w:val="en-US" w:eastAsia="ja-JP"/>
        </w:rPr>
        <w:t>Graph 2 – Informal hierarchy of norms, as ensuing from administrative practice</w:t>
      </w:r>
    </w:p>
    <w:p w14:paraId="3DB34192" w14:textId="77777777" w:rsidR="001B14D2" w:rsidRPr="00FE18D0" w:rsidRDefault="001B14D2" w:rsidP="000C5150">
      <w:pPr>
        <w:spacing w:line="276" w:lineRule="auto"/>
        <w:jc w:val="both"/>
        <w:rPr>
          <w:rFonts w:asciiTheme="majorHAnsi" w:hAnsiTheme="majorHAnsi" w:cs="Tahoma"/>
          <w:color w:val="365F91" w:themeColor="accent1" w:themeShade="BF"/>
          <w:lang w:val="en-US" w:eastAsia="ja-JP"/>
        </w:rPr>
      </w:pPr>
      <w:r w:rsidRPr="00FE18D0">
        <w:rPr>
          <w:rFonts w:asciiTheme="majorHAnsi" w:hAnsiTheme="majorHAnsi" w:cs="Tahoma"/>
          <w:noProof/>
          <w:color w:val="365F91" w:themeColor="accent1" w:themeShade="BF"/>
          <w:lang w:val="en-US" w:eastAsia="nl-NL"/>
        </w:rPr>
        <w:drawing>
          <wp:inline distT="0" distB="0" distL="0" distR="0" wp14:anchorId="589CD860" wp14:editId="1425AD39">
            <wp:extent cx="5270500" cy="3074670"/>
            <wp:effectExtent l="50800" t="0" r="1270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20E765D1" w14:textId="77777777" w:rsidR="001B14D2" w:rsidRPr="00FE18D0" w:rsidRDefault="001B14D2" w:rsidP="000C5150">
      <w:pPr>
        <w:widowControl w:val="0"/>
        <w:autoSpaceDE w:val="0"/>
        <w:autoSpaceDN w:val="0"/>
        <w:adjustRightInd w:val="0"/>
        <w:spacing w:line="276" w:lineRule="auto"/>
        <w:jc w:val="both"/>
        <w:rPr>
          <w:rFonts w:asciiTheme="majorHAnsi" w:hAnsiTheme="majorHAnsi" w:cs="Verdana"/>
          <w:color w:val="365F91" w:themeColor="accent1" w:themeShade="BF"/>
          <w:lang w:val="en-US" w:eastAsia="ja-JP"/>
        </w:rPr>
      </w:pPr>
    </w:p>
    <w:p w14:paraId="6839CC5A" w14:textId="77777777" w:rsidR="001B14D2" w:rsidRPr="00FE18D0" w:rsidRDefault="001B14D2" w:rsidP="000C5150">
      <w:pPr>
        <w:widowControl w:val="0"/>
        <w:autoSpaceDE w:val="0"/>
        <w:autoSpaceDN w:val="0"/>
        <w:adjustRightInd w:val="0"/>
        <w:spacing w:line="276" w:lineRule="auto"/>
        <w:jc w:val="both"/>
        <w:rPr>
          <w:rFonts w:asciiTheme="majorHAnsi" w:hAnsiTheme="majorHAnsi" w:cs="Verdana"/>
          <w:color w:val="365F91" w:themeColor="accent1" w:themeShade="BF"/>
          <w:lang w:val="en-US" w:eastAsia="ja-JP"/>
        </w:rPr>
      </w:pPr>
    </w:p>
    <w:p w14:paraId="0C619933" w14:textId="77777777" w:rsidR="00B27D57" w:rsidRPr="00FE18D0" w:rsidRDefault="000A44F3" w:rsidP="000C5150">
      <w:pPr>
        <w:widowControl w:val="0"/>
        <w:autoSpaceDE w:val="0"/>
        <w:autoSpaceDN w:val="0"/>
        <w:adjustRightInd w:val="0"/>
        <w:spacing w:line="276" w:lineRule="auto"/>
        <w:jc w:val="both"/>
        <w:outlineLvl w:val="0"/>
        <w:rPr>
          <w:rFonts w:asciiTheme="majorHAnsi" w:hAnsiTheme="majorHAnsi" w:cs="Verdana"/>
          <w:b/>
          <w:color w:val="365F91" w:themeColor="accent1" w:themeShade="BF"/>
          <w:lang w:val="en-US" w:eastAsia="ja-JP"/>
        </w:rPr>
      </w:pPr>
      <w:r w:rsidRPr="00FE18D0">
        <w:rPr>
          <w:rFonts w:asciiTheme="majorHAnsi" w:hAnsiTheme="majorHAnsi" w:cs="Verdana"/>
          <w:b/>
          <w:color w:val="365F91" w:themeColor="accent1" w:themeShade="BF"/>
          <w:lang w:val="en-US" w:eastAsia="ja-JP"/>
        </w:rPr>
        <w:t>2.4 Re-evaluating soft administrative rule-making</w:t>
      </w:r>
      <w:r w:rsidR="00B27D57" w:rsidRPr="00FE18D0">
        <w:rPr>
          <w:rFonts w:asciiTheme="majorHAnsi" w:hAnsiTheme="majorHAnsi" w:cs="Verdana"/>
          <w:b/>
          <w:color w:val="365F91" w:themeColor="accent1" w:themeShade="BF"/>
          <w:lang w:val="en-US" w:eastAsia="ja-JP"/>
        </w:rPr>
        <w:t xml:space="preserve"> in European public governance</w:t>
      </w:r>
    </w:p>
    <w:p w14:paraId="173F00B6" w14:textId="77777777" w:rsidR="00B27D57" w:rsidRPr="00FE18D0" w:rsidRDefault="00B27D57" w:rsidP="000C5150">
      <w:pPr>
        <w:widowControl w:val="0"/>
        <w:autoSpaceDE w:val="0"/>
        <w:autoSpaceDN w:val="0"/>
        <w:adjustRightInd w:val="0"/>
        <w:spacing w:line="276" w:lineRule="auto"/>
        <w:jc w:val="both"/>
        <w:rPr>
          <w:rFonts w:asciiTheme="majorHAnsi" w:hAnsiTheme="majorHAnsi" w:cs="Verdana"/>
          <w:color w:val="365F91" w:themeColor="accent1" w:themeShade="BF"/>
          <w:lang w:val="en-US" w:eastAsia="ja-JP"/>
        </w:rPr>
      </w:pPr>
    </w:p>
    <w:p w14:paraId="670B0F05" w14:textId="77777777" w:rsidR="00A3121A" w:rsidRPr="00FE18D0" w:rsidRDefault="00EA7201" w:rsidP="000C5150">
      <w:pPr>
        <w:widowControl w:val="0"/>
        <w:autoSpaceDE w:val="0"/>
        <w:autoSpaceDN w:val="0"/>
        <w:adjustRightInd w:val="0"/>
        <w:spacing w:line="276" w:lineRule="auto"/>
        <w:jc w:val="both"/>
        <w:rPr>
          <w:rFonts w:asciiTheme="majorHAnsi" w:hAnsiTheme="majorHAnsi" w:cs="Tahoma"/>
          <w:color w:val="365F91" w:themeColor="accent1" w:themeShade="BF"/>
          <w:lang w:val="en-US" w:eastAsia="ja-JP"/>
        </w:rPr>
      </w:pPr>
      <w:r w:rsidRPr="00FE18D0">
        <w:rPr>
          <w:rFonts w:asciiTheme="majorHAnsi" w:hAnsiTheme="majorHAnsi" w:cs="Tahoma"/>
          <w:color w:val="365F91" w:themeColor="accent1" w:themeShade="BF"/>
          <w:lang w:val="en-US" w:eastAsia="ja-JP"/>
        </w:rPr>
        <w:lastRenderedPageBreak/>
        <w:t>T</w:t>
      </w:r>
      <w:r w:rsidR="00A3121A" w:rsidRPr="00FE18D0">
        <w:rPr>
          <w:rFonts w:asciiTheme="majorHAnsi" w:hAnsiTheme="majorHAnsi" w:cs="Tahoma"/>
          <w:color w:val="365F91" w:themeColor="accent1" w:themeShade="BF"/>
          <w:lang w:val="en-US" w:eastAsia="ja-JP"/>
        </w:rPr>
        <w:t xml:space="preserve">he next logical issue to consider is what this </w:t>
      </w:r>
      <w:r w:rsidR="00784193" w:rsidRPr="00FE18D0">
        <w:rPr>
          <w:rFonts w:asciiTheme="majorHAnsi" w:hAnsiTheme="majorHAnsi" w:cs="Tahoma"/>
          <w:color w:val="365F91" w:themeColor="accent1" w:themeShade="BF"/>
          <w:lang w:val="en-US" w:eastAsia="ja-JP"/>
        </w:rPr>
        <w:t xml:space="preserve">‘hidden’ </w:t>
      </w:r>
      <w:r w:rsidR="00A3121A" w:rsidRPr="00FE18D0">
        <w:rPr>
          <w:rFonts w:asciiTheme="majorHAnsi" w:hAnsiTheme="majorHAnsi" w:cs="Tahoma"/>
          <w:color w:val="365F91" w:themeColor="accent1" w:themeShade="BF"/>
          <w:lang w:val="en-US" w:eastAsia="ja-JP"/>
        </w:rPr>
        <w:t xml:space="preserve">soft administrative rule-making practice means in terms of the </w:t>
      </w:r>
      <w:r w:rsidR="00D5218D" w:rsidRPr="00FE18D0">
        <w:rPr>
          <w:rFonts w:asciiTheme="majorHAnsi" w:hAnsiTheme="majorHAnsi" w:cs="Tahoma"/>
          <w:color w:val="365F91" w:themeColor="accent1" w:themeShade="BF"/>
          <w:lang w:val="en-US" w:eastAsia="ja-JP"/>
        </w:rPr>
        <w:t>legitimacy of EU regulation and governance</w:t>
      </w:r>
      <w:r w:rsidRPr="00FE18D0">
        <w:rPr>
          <w:rFonts w:asciiTheme="majorHAnsi" w:hAnsiTheme="majorHAnsi" w:cs="Tahoma"/>
          <w:color w:val="365F91" w:themeColor="accent1" w:themeShade="BF"/>
          <w:lang w:val="en-US" w:eastAsia="ja-JP"/>
        </w:rPr>
        <w:t>, even if their practices or very existence are considered efficient devices of cooperation between the EU and the national levels</w:t>
      </w:r>
      <w:r w:rsidR="00D5218D" w:rsidRPr="00FE18D0">
        <w:rPr>
          <w:rFonts w:asciiTheme="majorHAnsi" w:hAnsiTheme="majorHAnsi" w:cs="Tahoma"/>
          <w:color w:val="365F91" w:themeColor="accent1" w:themeShade="BF"/>
          <w:lang w:val="en-US" w:eastAsia="ja-JP"/>
        </w:rPr>
        <w:t xml:space="preserve">. Here we confine ourselves to identifying the main problem areas. </w:t>
      </w:r>
    </w:p>
    <w:p w14:paraId="2E4C28E8" w14:textId="77777777" w:rsidR="00590879" w:rsidRPr="00FE18D0" w:rsidRDefault="00590879" w:rsidP="000C5150">
      <w:pPr>
        <w:widowControl w:val="0"/>
        <w:autoSpaceDE w:val="0"/>
        <w:autoSpaceDN w:val="0"/>
        <w:adjustRightInd w:val="0"/>
        <w:spacing w:line="276" w:lineRule="auto"/>
        <w:jc w:val="both"/>
        <w:rPr>
          <w:rFonts w:asciiTheme="majorHAnsi" w:hAnsiTheme="majorHAnsi" w:cs="Tahoma"/>
          <w:color w:val="365F91" w:themeColor="accent1" w:themeShade="BF"/>
          <w:lang w:val="en-US" w:eastAsia="ja-JP"/>
        </w:rPr>
      </w:pPr>
    </w:p>
    <w:p w14:paraId="3ACA09F3" w14:textId="77777777" w:rsidR="00A64BF5" w:rsidRPr="00FE18D0" w:rsidRDefault="00EA7201" w:rsidP="000C5150">
      <w:pPr>
        <w:widowControl w:val="0"/>
        <w:autoSpaceDE w:val="0"/>
        <w:autoSpaceDN w:val="0"/>
        <w:adjustRightInd w:val="0"/>
        <w:spacing w:line="276" w:lineRule="auto"/>
        <w:jc w:val="both"/>
        <w:rPr>
          <w:rFonts w:asciiTheme="majorHAnsi" w:hAnsiTheme="majorHAnsi" w:cs="Verdana"/>
          <w:color w:val="365F91" w:themeColor="accent1" w:themeShade="BF"/>
          <w:lang w:val="en-US" w:eastAsia="ja-JP"/>
        </w:rPr>
      </w:pPr>
      <w:r w:rsidRPr="00FE18D0">
        <w:rPr>
          <w:rFonts w:asciiTheme="majorHAnsi" w:hAnsiTheme="majorHAnsi" w:cs="Tahoma"/>
          <w:color w:val="365F91" w:themeColor="accent1" w:themeShade="BF"/>
          <w:lang w:val="en-US" w:eastAsia="ja-JP"/>
        </w:rPr>
        <w:t>As a startingpoint</w:t>
      </w:r>
      <w:r w:rsidR="00784193" w:rsidRPr="00FE18D0">
        <w:rPr>
          <w:rFonts w:asciiTheme="majorHAnsi" w:hAnsiTheme="majorHAnsi" w:cs="Tahoma"/>
          <w:color w:val="365F91" w:themeColor="accent1" w:themeShade="BF"/>
          <w:lang w:val="en-US" w:eastAsia="ja-JP"/>
        </w:rPr>
        <w:t xml:space="preserve">, the non-acknowledgement and non-regulation of the Commission’s use </w:t>
      </w:r>
      <w:proofErr w:type="gramStart"/>
      <w:r w:rsidR="00784193" w:rsidRPr="00FE18D0">
        <w:rPr>
          <w:rFonts w:asciiTheme="majorHAnsi" w:hAnsiTheme="majorHAnsi" w:cs="Tahoma"/>
          <w:color w:val="365F91" w:themeColor="accent1" w:themeShade="BF"/>
          <w:lang w:val="en-US" w:eastAsia="ja-JP"/>
        </w:rPr>
        <w:t>of</w:t>
      </w:r>
      <w:proofErr w:type="gramEnd"/>
      <w:r w:rsidR="00784193" w:rsidRPr="00FE18D0">
        <w:rPr>
          <w:rFonts w:asciiTheme="majorHAnsi" w:hAnsiTheme="majorHAnsi" w:cs="Tahoma"/>
          <w:color w:val="365F91" w:themeColor="accent1" w:themeShade="BF"/>
          <w:lang w:val="en-US" w:eastAsia="ja-JP"/>
        </w:rPr>
        <w:t xml:space="preserve"> soft law nor of agencies and networks i</w:t>
      </w:r>
      <w:r w:rsidRPr="00FE18D0">
        <w:rPr>
          <w:rFonts w:asciiTheme="majorHAnsi" w:hAnsiTheme="majorHAnsi" w:cs="Tahoma"/>
          <w:color w:val="365F91" w:themeColor="accent1" w:themeShade="BF"/>
          <w:lang w:val="en-US" w:eastAsia="ja-JP"/>
        </w:rPr>
        <w:t xml:space="preserve">n the Treaties </w:t>
      </w:r>
      <w:r w:rsidR="00C70C10">
        <w:rPr>
          <w:rFonts w:asciiTheme="majorHAnsi" w:hAnsiTheme="majorHAnsi" w:cs="Tahoma"/>
          <w:color w:val="365F91" w:themeColor="accent1" w:themeShade="BF"/>
          <w:lang w:val="en-US" w:eastAsia="ja-JP"/>
        </w:rPr>
        <w:t>betrays</w:t>
      </w:r>
      <w:r w:rsidR="00C70C10" w:rsidRPr="00FE18D0">
        <w:rPr>
          <w:rFonts w:asciiTheme="majorHAnsi" w:hAnsiTheme="majorHAnsi" w:cs="Tahoma"/>
          <w:color w:val="365F91" w:themeColor="accent1" w:themeShade="BF"/>
          <w:lang w:val="en-US" w:eastAsia="ja-JP"/>
        </w:rPr>
        <w:t xml:space="preserve"> </w:t>
      </w:r>
      <w:r w:rsidR="00784193" w:rsidRPr="00FE18D0">
        <w:rPr>
          <w:rFonts w:asciiTheme="majorHAnsi" w:hAnsiTheme="majorHAnsi" w:cs="Tahoma"/>
          <w:color w:val="365F91" w:themeColor="accent1" w:themeShade="BF"/>
          <w:lang w:val="en-US" w:eastAsia="ja-JP"/>
        </w:rPr>
        <w:t xml:space="preserve">a strong desire to maintain as much flexibility in this use as possible. While this may add to its effectiveness, </w:t>
      </w:r>
      <w:r w:rsidRPr="00FE18D0">
        <w:rPr>
          <w:rFonts w:asciiTheme="majorHAnsi" w:hAnsiTheme="majorHAnsi" w:cs="Tahoma"/>
          <w:color w:val="365F91" w:themeColor="accent1" w:themeShade="BF"/>
          <w:lang w:val="en-US" w:eastAsia="ja-JP"/>
        </w:rPr>
        <w:t xml:space="preserve">in itself </w:t>
      </w:r>
      <w:r w:rsidRPr="00FE18D0">
        <w:rPr>
          <w:rFonts w:asciiTheme="majorHAnsi" w:hAnsiTheme="majorHAnsi" w:cs="Verdana"/>
          <w:color w:val="365F91" w:themeColor="accent1" w:themeShade="BF"/>
          <w:lang w:val="en-US" w:eastAsia="ja-JP"/>
        </w:rPr>
        <w:t xml:space="preserve">the </w:t>
      </w:r>
      <w:r w:rsidRPr="00FE18D0">
        <w:rPr>
          <w:rFonts w:asciiTheme="majorHAnsi" w:hAnsiTheme="majorHAnsi" w:cs="Verdana"/>
          <w:bCs/>
          <w:color w:val="365F91" w:themeColor="accent1" w:themeShade="BF"/>
          <w:lang w:val="en-US" w:eastAsia="ja-JP"/>
        </w:rPr>
        <w:t>lack of a coherent regulation and more comprehensive typology of instruments</w:t>
      </w:r>
      <w:r w:rsidRPr="00FE18D0">
        <w:rPr>
          <w:rFonts w:asciiTheme="majorHAnsi" w:hAnsiTheme="majorHAnsi" w:cs="Verdana"/>
          <w:b/>
          <w:bCs/>
          <w:color w:val="365F91" w:themeColor="accent1" w:themeShade="BF"/>
          <w:lang w:val="en-US" w:eastAsia="ja-JP"/>
        </w:rPr>
        <w:t xml:space="preserve"> </w:t>
      </w:r>
      <w:proofErr w:type="gramStart"/>
      <w:r w:rsidRPr="00FE18D0">
        <w:rPr>
          <w:rFonts w:asciiTheme="majorHAnsi" w:hAnsiTheme="majorHAnsi" w:cs="Verdana"/>
          <w:color w:val="365F91" w:themeColor="accent1" w:themeShade="BF"/>
          <w:lang w:val="en-US" w:eastAsia="ja-JP"/>
        </w:rPr>
        <w:t>leads</w:t>
      </w:r>
      <w:proofErr w:type="gramEnd"/>
      <w:r w:rsidRPr="00FE18D0">
        <w:rPr>
          <w:rFonts w:asciiTheme="majorHAnsi" w:hAnsiTheme="majorHAnsi" w:cs="Verdana"/>
          <w:color w:val="365F91" w:themeColor="accent1" w:themeShade="BF"/>
          <w:lang w:val="en-US" w:eastAsia="ja-JP"/>
        </w:rPr>
        <w:t xml:space="preserve"> to a certain level of con</w:t>
      </w:r>
      <w:r w:rsidR="00590879" w:rsidRPr="00FE18D0">
        <w:rPr>
          <w:rFonts w:asciiTheme="majorHAnsi" w:hAnsiTheme="majorHAnsi" w:cs="Verdana"/>
          <w:color w:val="365F91" w:themeColor="accent1" w:themeShade="BF"/>
          <w:lang w:val="en-US" w:eastAsia="ja-JP"/>
        </w:rPr>
        <w:t>fusion on soft rule-making, affecting</w:t>
      </w:r>
      <w:r w:rsidRPr="00FE18D0">
        <w:rPr>
          <w:rFonts w:asciiTheme="majorHAnsi" w:hAnsiTheme="majorHAnsi" w:cs="Verdana"/>
          <w:color w:val="365F91" w:themeColor="accent1" w:themeShade="BF"/>
          <w:lang w:val="en-US" w:eastAsia="ja-JP"/>
        </w:rPr>
        <w:t xml:space="preserve"> </w:t>
      </w:r>
      <w:r w:rsidRPr="00FE18D0">
        <w:rPr>
          <w:rFonts w:asciiTheme="majorHAnsi" w:hAnsiTheme="majorHAnsi" w:cs="Verdana"/>
          <w:i/>
          <w:color w:val="365F91" w:themeColor="accent1" w:themeShade="BF"/>
          <w:lang w:val="en-US" w:eastAsia="ja-JP"/>
        </w:rPr>
        <w:t>legal certainty</w:t>
      </w:r>
      <w:r w:rsidRPr="00FE18D0">
        <w:rPr>
          <w:rFonts w:asciiTheme="majorHAnsi" w:hAnsiTheme="majorHAnsi" w:cs="Verdana"/>
          <w:color w:val="365F91" w:themeColor="accent1" w:themeShade="BF"/>
          <w:lang w:val="en-US" w:eastAsia="ja-JP"/>
        </w:rPr>
        <w:t xml:space="preserve">. This lack raises questions for instance as to how this rule-making relates to the other Union instruments and </w:t>
      </w:r>
      <w:r w:rsidR="00590879" w:rsidRPr="00FE18D0">
        <w:rPr>
          <w:rFonts w:asciiTheme="majorHAnsi" w:hAnsiTheme="majorHAnsi" w:cs="Verdana"/>
          <w:color w:val="365F91" w:themeColor="accent1" w:themeShade="BF"/>
          <w:lang w:val="en-US" w:eastAsia="ja-JP"/>
        </w:rPr>
        <w:t xml:space="preserve">the applicability of </w:t>
      </w:r>
      <w:r w:rsidRPr="00FE18D0">
        <w:rPr>
          <w:rFonts w:asciiTheme="majorHAnsi" w:hAnsiTheme="majorHAnsi" w:cs="Verdana"/>
          <w:color w:val="365F91" w:themeColor="accent1" w:themeShade="BF"/>
          <w:lang w:val="en-US" w:eastAsia="ja-JP"/>
        </w:rPr>
        <w:t>concomitant procedures</w:t>
      </w:r>
      <w:r w:rsidR="00590879" w:rsidRPr="00FE18D0">
        <w:rPr>
          <w:rFonts w:asciiTheme="majorHAnsi" w:hAnsiTheme="majorHAnsi" w:cs="Verdana"/>
          <w:color w:val="365F91" w:themeColor="accent1" w:themeShade="BF"/>
          <w:lang w:val="en-US" w:eastAsia="ja-JP"/>
        </w:rPr>
        <w:t xml:space="preserve"> as well as </w:t>
      </w:r>
      <w:r w:rsidRPr="00FE18D0">
        <w:rPr>
          <w:rFonts w:asciiTheme="majorHAnsi" w:hAnsiTheme="majorHAnsi" w:cs="Verdana"/>
          <w:color w:val="365F91" w:themeColor="accent1" w:themeShade="BF"/>
          <w:lang w:val="en-US" w:eastAsia="ja-JP"/>
        </w:rPr>
        <w:t xml:space="preserve">their </w:t>
      </w:r>
      <w:r w:rsidR="00590879" w:rsidRPr="00FE18D0">
        <w:rPr>
          <w:rFonts w:asciiTheme="majorHAnsi" w:hAnsiTheme="majorHAnsi" w:cs="Verdana"/>
          <w:color w:val="365F91" w:themeColor="accent1" w:themeShade="BF"/>
          <w:lang w:val="en-US" w:eastAsia="ja-JP"/>
        </w:rPr>
        <w:t xml:space="preserve">precise </w:t>
      </w:r>
      <w:r w:rsidRPr="00FE18D0">
        <w:rPr>
          <w:rFonts w:asciiTheme="majorHAnsi" w:hAnsiTheme="majorHAnsi" w:cs="Verdana"/>
          <w:color w:val="365F91" w:themeColor="accent1" w:themeShade="BF"/>
          <w:lang w:val="en-US" w:eastAsia="ja-JP"/>
        </w:rPr>
        <w:t>legal status and effects</w:t>
      </w:r>
      <w:r w:rsidR="00CD01E1" w:rsidRPr="00FE18D0">
        <w:rPr>
          <w:rFonts w:asciiTheme="majorHAnsi" w:hAnsiTheme="majorHAnsi" w:cs="Verdana"/>
          <w:color w:val="365F91" w:themeColor="accent1" w:themeShade="BF"/>
          <w:lang w:val="en-US" w:eastAsia="ja-JP"/>
        </w:rPr>
        <w:t>, also for national administrations and judiciaries</w:t>
      </w:r>
      <w:r w:rsidRPr="00FE18D0">
        <w:rPr>
          <w:rFonts w:asciiTheme="majorHAnsi" w:hAnsiTheme="majorHAnsi" w:cs="Verdana"/>
          <w:color w:val="365F91" w:themeColor="accent1" w:themeShade="BF"/>
          <w:lang w:val="en-US" w:eastAsia="ja-JP"/>
        </w:rPr>
        <w:t>.</w:t>
      </w:r>
      <w:r w:rsidR="00CD01E1" w:rsidRPr="00FE18D0">
        <w:rPr>
          <w:rFonts w:asciiTheme="majorHAnsi" w:hAnsiTheme="majorHAnsi" w:cs="Verdana"/>
          <w:color w:val="365F91" w:themeColor="accent1" w:themeShade="BF"/>
          <w:lang w:val="en-US" w:eastAsia="ja-JP"/>
        </w:rPr>
        <w:t xml:space="preserve"> </w:t>
      </w:r>
      <w:r w:rsidR="00BA55C5">
        <w:rPr>
          <w:rFonts w:asciiTheme="majorHAnsi" w:hAnsiTheme="majorHAnsi" w:cs="Verdana"/>
          <w:color w:val="365F91" w:themeColor="accent1" w:themeShade="BF"/>
          <w:lang w:val="en-US" w:eastAsia="ja-JP"/>
        </w:rPr>
        <w:t xml:space="preserve">The Court’s ruling in the ESMA Case may actually have added to the legal confusion and uncertainty existing in this regard. </w:t>
      </w:r>
      <w:r w:rsidR="00BA55C5" w:rsidRPr="00BA55C5">
        <w:rPr>
          <w:rFonts w:asciiTheme="majorHAnsi" w:hAnsiTheme="majorHAnsi" w:cs="Verdana"/>
          <w:color w:val="365F91" w:themeColor="accent1" w:themeShade="BF"/>
          <w:lang w:val="en-US" w:eastAsia="ja-JP"/>
        </w:rPr>
        <w:t xml:space="preserve">In that case, </w:t>
      </w:r>
      <w:r w:rsidR="00BA55C5" w:rsidRPr="00BA55C5">
        <w:rPr>
          <w:rFonts w:asciiTheme="majorHAnsi" w:hAnsiTheme="majorHAnsi" w:cs="AdvP3E76B0"/>
          <w:color w:val="365F91" w:themeColor="accent1" w:themeShade="BF"/>
        </w:rPr>
        <w:t>t</w:t>
      </w:r>
      <w:r w:rsidR="00EE6FA2" w:rsidRPr="00BA55C5">
        <w:rPr>
          <w:rFonts w:asciiTheme="majorHAnsi" w:hAnsiTheme="majorHAnsi" w:cs="AdvP3E76B0"/>
          <w:color w:val="365F91" w:themeColor="accent1" w:themeShade="BF"/>
        </w:rPr>
        <w:t xml:space="preserve">he UK submitted that the delegation of powers to an EU agency as those provided for in Article 28 of the foundational Regulation of ESMA was incompatible with the Treaties, since Articles 290 and 291 TFEU circumscribed the circumstances in which certain powers could be given to the Commission. But </w:t>
      </w:r>
      <w:r w:rsidR="00BA55C5" w:rsidRPr="00BA55C5">
        <w:rPr>
          <w:rFonts w:asciiTheme="majorHAnsi" w:hAnsiTheme="majorHAnsi" w:cs="AdvP3E76B0"/>
          <w:color w:val="365F91" w:themeColor="accent1" w:themeShade="BF"/>
        </w:rPr>
        <w:t xml:space="preserve">the </w:t>
      </w:r>
      <w:r w:rsidR="00EE6FA2" w:rsidRPr="00BA55C5">
        <w:rPr>
          <w:rFonts w:asciiTheme="majorHAnsi" w:hAnsiTheme="majorHAnsi" w:cs="AdvP3E76B0"/>
          <w:color w:val="365F91" w:themeColor="accent1" w:themeShade="BF"/>
        </w:rPr>
        <w:t>Court</w:t>
      </w:r>
      <w:r w:rsidR="00BA55C5" w:rsidRPr="00BA55C5">
        <w:rPr>
          <w:rFonts w:asciiTheme="majorHAnsi" w:hAnsiTheme="majorHAnsi" w:cs="AdvP3E76B0"/>
          <w:color w:val="365F91" w:themeColor="accent1" w:themeShade="BF"/>
        </w:rPr>
        <w:t xml:space="preserve"> did not consider the delegation system as ensuing from those provisions (as by contrast AG Jaaskinen did), but simply stated that</w:t>
      </w:r>
      <w:r w:rsidR="00EE6FA2" w:rsidRPr="00BA55C5">
        <w:rPr>
          <w:rFonts w:asciiTheme="majorHAnsi" w:hAnsiTheme="majorHAnsi" w:cs="AdvP3E76B0"/>
          <w:color w:val="365F91" w:themeColor="accent1" w:themeShade="BF"/>
        </w:rPr>
        <w:t xml:space="preserve"> </w:t>
      </w:r>
      <w:r w:rsidR="00BA55C5" w:rsidRPr="00BA55C5">
        <w:rPr>
          <w:rFonts w:asciiTheme="majorHAnsi" w:hAnsiTheme="majorHAnsi" w:cs="AdvP3E76B0"/>
          <w:color w:val="365F91" w:themeColor="accent1" w:themeShade="BF"/>
        </w:rPr>
        <w:t>since the T</w:t>
      </w:r>
      <w:r w:rsidR="00BA55C5" w:rsidRPr="00BA55C5">
        <w:rPr>
          <w:rFonts w:asciiTheme="majorHAnsi" w:hAnsiTheme="majorHAnsi" w:cs="Arial"/>
          <w:color w:val="365F91" w:themeColor="accent1" w:themeShade="BF"/>
          <w:lang w:val="en-US" w:eastAsia="ja-JP"/>
        </w:rPr>
        <w:t>FEU Treaty expressly permits EU bodies, offices and agencies to adopt acts of general application as appears from the judicial review provisions (especially art. 263), ESMA is also entitled to adopt such acts. Furthermore, it was also of the opinion that Article 28 did not involve</w:t>
      </w:r>
      <w:r w:rsidR="00BA55C5" w:rsidRPr="00BA55C5">
        <w:rPr>
          <w:rFonts w:asciiTheme="majorHAnsi" w:hAnsiTheme="majorHAnsi" w:cs="AdvP3E76B0"/>
          <w:color w:val="365F91" w:themeColor="accent1" w:themeShade="BF"/>
        </w:rPr>
        <w:t xml:space="preserve"> </w:t>
      </w:r>
      <w:r w:rsidR="00EE6FA2" w:rsidRPr="00BA55C5">
        <w:rPr>
          <w:rFonts w:asciiTheme="majorHAnsi" w:hAnsiTheme="majorHAnsi" w:cs="AdvP3E76B0"/>
          <w:color w:val="365F91" w:themeColor="accent1" w:themeShade="BF"/>
        </w:rPr>
        <w:t>a wide margin of discretion that would prevent such</w:t>
      </w:r>
      <w:r w:rsidR="00BA55C5" w:rsidRPr="00BA55C5">
        <w:rPr>
          <w:rFonts w:asciiTheme="majorHAnsi" w:hAnsiTheme="majorHAnsi" w:cs="AdvP3E76B0"/>
          <w:color w:val="365F91" w:themeColor="accent1" w:themeShade="BF"/>
        </w:rPr>
        <w:t xml:space="preserve"> a</w:t>
      </w:r>
      <w:r w:rsidR="00EE6FA2" w:rsidRPr="00BA55C5">
        <w:rPr>
          <w:rFonts w:asciiTheme="majorHAnsi" w:hAnsiTheme="majorHAnsi" w:cs="AdvP3E76B0"/>
          <w:color w:val="365F91" w:themeColor="accent1" w:themeShade="BF"/>
        </w:rPr>
        <w:t xml:space="preserve"> delegation of powers</w:t>
      </w:r>
      <w:r w:rsidR="00BA55C5" w:rsidRPr="00BA55C5">
        <w:rPr>
          <w:rFonts w:asciiTheme="majorHAnsi" w:hAnsiTheme="majorHAnsi" w:cs="AdvP3E76B0"/>
          <w:color w:val="365F91" w:themeColor="accent1" w:themeShade="BF"/>
        </w:rPr>
        <w:t>.</w:t>
      </w:r>
      <w:r w:rsidR="00BA55C5">
        <w:rPr>
          <w:rFonts w:ascii="Garamond" w:hAnsi="Garamond" w:cs="AdvP3E76B0"/>
        </w:rPr>
        <w:t xml:space="preserve"> </w:t>
      </w:r>
    </w:p>
    <w:p w14:paraId="73EC758F" w14:textId="77777777" w:rsidR="00590879" w:rsidRPr="00FE18D0" w:rsidRDefault="00590879" w:rsidP="000C5150">
      <w:pPr>
        <w:widowControl w:val="0"/>
        <w:autoSpaceDE w:val="0"/>
        <w:autoSpaceDN w:val="0"/>
        <w:adjustRightInd w:val="0"/>
        <w:spacing w:line="276" w:lineRule="auto"/>
        <w:jc w:val="both"/>
        <w:rPr>
          <w:rFonts w:asciiTheme="majorHAnsi" w:hAnsiTheme="majorHAnsi" w:cs="Verdana"/>
          <w:color w:val="365F91" w:themeColor="accent1" w:themeShade="BF"/>
          <w:lang w:val="en-US" w:eastAsia="ja-JP"/>
        </w:rPr>
      </w:pPr>
    </w:p>
    <w:p w14:paraId="5166D753" w14:textId="77777777" w:rsidR="00EA7201" w:rsidRPr="00FE18D0" w:rsidRDefault="00694BB4" w:rsidP="000C5150">
      <w:pPr>
        <w:widowControl w:val="0"/>
        <w:autoSpaceDE w:val="0"/>
        <w:autoSpaceDN w:val="0"/>
        <w:adjustRightInd w:val="0"/>
        <w:spacing w:line="276" w:lineRule="auto"/>
        <w:jc w:val="both"/>
        <w:rPr>
          <w:rFonts w:asciiTheme="majorHAnsi" w:hAnsiTheme="majorHAnsi" w:cs="Verdana"/>
          <w:color w:val="365F91" w:themeColor="accent1" w:themeShade="BF"/>
          <w:lang w:val="en-US" w:eastAsia="ja-JP"/>
        </w:rPr>
      </w:pPr>
      <w:r w:rsidRPr="00FE18D0">
        <w:rPr>
          <w:rFonts w:asciiTheme="majorHAnsi" w:hAnsiTheme="majorHAnsi" w:cs="Verdana"/>
          <w:color w:val="365F91" w:themeColor="accent1" w:themeShade="BF"/>
          <w:lang w:val="en-US" w:eastAsia="ja-JP"/>
        </w:rPr>
        <w:t>Besides that</w:t>
      </w:r>
      <w:r w:rsidR="00CD01E1" w:rsidRPr="00FE18D0">
        <w:rPr>
          <w:rFonts w:asciiTheme="majorHAnsi" w:hAnsiTheme="majorHAnsi" w:cs="Verdana"/>
          <w:color w:val="365F91" w:themeColor="accent1" w:themeShade="BF"/>
          <w:lang w:val="en-US" w:eastAsia="ja-JP"/>
        </w:rPr>
        <w:t xml:space="preserve">, </w:t>
      </w:r>
      <w:r w:rsidR="00784193" w:rsidRPr="00FE18D0">
        <w:rPr>
          <w:rFonts w:asciiTheme="majorHAnsi" w:hAnsiTheme="majorHAnsi" w:cs="Tahoma"/>
          <w:color w:val="365F91" w:themeColor="accent1" w:themeShade="BF"/>
          <w:lang w:val="en-US" w:eastAsia="ja-JP"/>
        </w:rPr>
        <w:t>th</w:t>
      </w:r>
      <w:r w:rsidR="00CD01E1" w:rsidRPr="00FE18D0">
        <w:rPr>
          <w:rFonts w:asciiTheme="majorHAnsi" w:hAnsiTheme="majorHAnsi" w:cs="Tahoma"/>
          <w:color w:val="365F91" w:themeColor="accent1" w:themeShade="BF"/>
          <w:lang w:val="en-US" w:eastAsia="ja-JP"/>
        </w:rPr>
        <w:t xml:space="preserve">e </w:t>
      </w:r>
      <w:r w:rsidR="00A64BF5" w:rsidRPr="00FE18D0">
        <w:rPr>
          <w:rFonts w:asciiTheme="majorHAnsi" w:hAnsiTheme="majorHAnsi" w:cs="Tahoma"/>
          <w:color w:val="365F91" w:themeColor="accent1" w:themeShade="BF"/>
          <w:lang w:val="en-US" w:eastAsia="ja-JP"/>
        </w:rPr>
        <w:t xml:space="preserve">complete </w:t>
      </w:r>
      <w:r w:rsidR="00CD01E1" w:rsidRPr="00FE18D0">
        <w:rPr>
          <w:rFonts w:asciiTheme="majorHAnsi" w:hAnsiTheme="majorHAnsi" w:cs="Tahoma"/>
          <w:color w:val="365F91" w:themeColor="accent1" w:themeShade="BF"/>
          <w:lang w:val="en-US" w:eastAsia="ja-JP"/>
        </w:rPr>
        <w:t xml:space="preserve">silence of the Treaties </w:t>
      </w:r>
      <w:r w:rsidRPr="00FE18D0">
        <w:rPr>
          <w:rFonts w:asciiTheme="majorHAnsi" w:hAnsiTheme="majorHAnsi" w:cs="Tahoma"/>
          <w:color w:val="365F91" w:themeColor="accent1" w:themeShade="BF"/>
          <w:lang w:val="en-US" w:eastAsia="ja-JP"/>
        </w:rPr>
        <w:t xml:space="preserve">on agencies’ and networks’ rule-making activities has quite </w:t>
      </w:r>
      <w:r w:rsidR="005B3AD3">
        <w:rPr>
          <w:rFonts w:asciiTheme="majorHAnsi" w:hAnsiTheme="majorHAnsi" w:cs="Tahoma"/>
          <w:color w:val="365F91" w:themeColor="accent1" w:themeShade="BF"/>
          <w:lang w:val="en-US" w:eastAsia="ja-JP"/>
        </w:rPr>
        <w:t>some potentially significant</w:t>
      </w:r>
      <w:r w:rsidRPr="00FE18D0">
        <w:rPr>
          <w:rFonts w:asciiTheme="majorHAnsi" w:hAnsiTheme="majorHAnsi" w:cs="Tahoma"/>
          <w:color w:val="365F91" w:themeColor="accent1" w:themeShade="BF"/>
          <w:lang w:val="en-US" w:eastAsia="ja-JP"/>
        </w:rPr>
        <w:t xml:space="preserve"> drawbacks for their</w:t>
      </w:r>
      <w:r w:rsidR="00CD01E1" w:rsidRPr="00FE18D0">
        <w:rPr>
          <w:rFonts w:asciiTheme="majorHAnsi" w:hAnsiTheme="majorHAnsi" w:cs="Tahoma"/>
          <w:color w:val="365F91" w:themeColor="accent1" w:themeShade="BF"/>
          <w:lang w:val="en-US" w:eastAsia="ja-JP"/>
        </w:rPr>
        <w:t xml:space="preserve"> </w:t>
      </w:r>
      <w:r w:rsidR="00CD01E1" w:rsidRPr="00FE18D0">
        <w:rPr>
          <w:rFonts w:asciiTheme="majorHAnsi" w:hAnsiTheme="majorHAnsi" w:cs="Tahoma"/>
          <w:i/>
          <w:color w:val="365F91" w:themeColor="accent1" w:themeShade="BF"/>
          <w:lang w:val="en-US" w:eastAsia="ja-JP"/>
        </w:rPr>
        <w:t xml:space="preserve">accountability and </w:t>
      </w:r>
      <w:r w:rsidR="00784193" w:rsidRPr="00FE18D0">
        <w:rPr>
          <w:rFonts w:asciiTheme="majorHAnsi" w:hAnsiTheme="majorHAnsi" w:cs="Tahoma"/>
          <w:i/>
          <w:color w:val="365F91" w:themeColor="accent1" w:themeShade="BF"/>
          <w:lang w:val="en-US" w:eastAsia="ja-JP"/>
        </w:rPr>
        <w:t>checks and balances</w:t>
      </w:r>
      <w:r w:rsidR="00CD01E1" w:rsidRPr="00FE18D0">
        <w:rPr>
          <w:rFonts w:asciiTheme="majorHAnsi" w:hAnsiTheme="majorHAnsi" w:cs="Tahoma"/>
          <w:color w:val="365F91" w:themeColor="accent1" w:themeShade="BF"/>
          <w:lang w:val="en-US" w:eastAsia="ja-JP"/>
        </w:rPr>
        <w:t xml:space="preserve">, in </w:t>
      </w:r>
      <w:r w:rsidR="00EA7201" w:rsidRPr="00FE18D0">
        <w:rPr>
          <w:rFonts w:asciiTheme="majorHAnsi" w:hAnsiTheme="majorHAnsi" w:cs="Tahoma"/>
          <w:color w:val="365F91" w:themeColor="accent1" w:themeShade="BF"/>
          <w:lang w:val="en-US" w:eastAsia="ja-JP"/>
        </w:rPr>
        <w:t xml:space="preserve">particular when these concerns are </w:t>
      </w:r>
      <w:r w:rsidR="00CD01E1" w:rsidRPr="00FE18D0">
        <w:rPr>
          <w:rFonts w:asciiTheme="majorHAnsi" w:hAnsiTheme="majorHAnsi" w:cs="Tahoma"/>
          <w:color w:val="365F91" w:themeColor="accent1" w:themeShade="BF"/>
          <w:lang w:val="en-US" w:eastAsia="ja-JP"/>
        </w:rPr>
        <w:t xml:space="preserve">also </w:t>
      </w:r>
      <w:r w:rsidR="00EA7201" w:rsidRPr="00FE18D0">
        <w:rPr>
          <w:rFonts w:asciiTheme="majorHAnsi" w:hAnsiTheme="majorHAnsi" w:cs="Tahoma"/>
          <w:color w:val="365F91" w:themeColor="accent1" w:themeShade="BF"/>
          <w:lang w:val="en-US" w:eastAsia="ja-JP"/>
        </w:rPr>
        <w:t>not adequately addressed at the specific Commission, agency or network levels</w:t>
      </w:r>
      <w:r w:rsidR="00784193" w:rsidRPr="00FE18D0">
        <w:rPr>
          <w:rFonts w:asciiTheme="majorHAnsi" w:hAnsiTheme="majorHAnsi" w:cs="Tahoma"/>
          <w:color w:val="365F91" w:themeColor="accent1" w:themeShade="BF"/>
          <w:lang w:val="en-US" w:eastAsia="ja-JP"/>
        </w:rPr>
        <w:t xml:space="preserve">. When it comes to agencies, </w:t>
      </w:r>
      <w:r w:rsidR="00784193" w:rsidRPr="00FE18D0">
        <w:rPr>
          <w:rFonts w:asciiTheme="majorHAnsi" w:hAnsiTheme="majorHAnsi" w:cs="Verdana"/>
          <w:color w:val="365F91" w:themeColor="accent1" w:themeShade="BF"/>
          <w:lang w:val="en-US" w:eastAsia="ja-JP"/>
        </w:rPr>
        <w:t xml:space="preserve">the Commission has </w:t>
      </w:r>
      <w:r w:rsidR="005B3AD3">
        <w:rPr>
          <w:rFonts w:asciiTheme="majorHAnsi" w:hAnsiTheme="majorHAnsi" w:cs="Verdana"/>
          <w:color w:val="365F91" w:themeColor="accent1" w:themeShade="BF"/>
          <w:lang w:val="en-US" w:eastAsia="ja-JP"/>
        </w:rPr>
        <w:t>attempted</w:t>
      </w:r>
      <w:r w:rsidR="005B3AD3" w:rsidRPr="00FE18D0">
        <w:rPr>
          <w:rFonts w:asciiTheme="majorHAnsi" w:hAnsiTheme="majorHAnsi" w:cs="Verdana"/>
          <w:color w:val="365F91" w:themeColor="accent1" w:themeShade="BF"/>
          <w:lang w:val="en-US" w:eastAsia="ja-JP"/>
        </w:rPr>
        <w:t xml:space="preserve"> </w:t>
      </w:r>
      <w:r w:rsidR="00784193" w:rsidRPr="00FE18D0">
        <w:rPr>
          <w:rFonts w:asciiTheme="majorHAnsi" w:hAnsiTheme="majorHAnsi" w:cs="Verdana"/>
          <w:color w:val="365F91" w:themeColor="accent1" w:themeShade="BF"/>
          <w:lang w:val="en-US" w:eastAsia="ja-JP"/>
        </w:rPr>
        <w:t>to develop a common framework for their governance, leading in the past to the adoption of a Regul</w:t>
      </w:r>
      <w:r w:rsidR="00CD01E1" w:rsidRPr="00FE18D0">
        <w:rPr>
          <w:rFonts w:asciiTheme="majorHAnsi" w:hAnsiTheme="majorHAnsi" w:cs="Verdana"/>
          <w:color w:val="365F91" w:themeColor="accent1" w:themeShade="BF"/>
          <w:lang w:val="en-US" w:eastAsia="ja-JP"/>
        </w:rPr>
        <w:t>ation on executive agencies.</w:t>
      </w:r>
      <w:r w:rsidR="005B3AD3">
        <w:rPr>
          <w:rStyle w:val="Voetnootmarkering"/>
          <w:rFonts w:asciiTheme="majorHAnsi" w:hAnsiTheme="majorHAnsi" w:cs="Verdana"/>
          <w:color w:val="365F91" w:themeColor="accent1" w:themeShade="BF"/>
          <w:lang w:val="en-US" w:eastAsia="ja-JP"/>
        </w:rPr>
        <w:footnoteReference w:id="44"/>
      </w:r>
      <w:r w:rsidR="00CD01E1" w:rsidRPr="00FE18D0">
        <w:rPr>
          <w:rFonts w:asciiTheme="majorHAnsi" w:hAnsiTheme="majorHAnsi" w:cs="Verdana"/>
          <w:color w:val="365F91" w:themeColor="accent1" w:themeShade="BF"/>
          <w:lang w:val="en-US" w:eastAsia="ja-JP"/>
        </w:rPr>
        <w:t xml:space="preserve"> </w:t>
      </w:r>
      <w:r w:rsidR="00784193" w:rsidRPr="00FE18D0">
        <w:rPr>
          <w:rFonts w:asciiTheme="majorHAnsi" w:hAnsiTheme="majorHAnsi" w:cs="Verdana"/>
          <w:color w:val="365F91" w:themeColor="accent1" w:themeShade="BF"/>
          <w:lang w:val="en-US" w:eastAsia="ja-JP"/>
        </w:rPr>
        <w:t xml:space="preserve">So far, the efforts to </w:t>
      </w:r>
      <w:r w:rsidR="00EA7201" w:rsidRPr="00FE18D0">
        <w:rPr>
          <w:rFonts w:asciiTheme="majorHAnsi" w:hAnsiTheme="majorHAnsi" w:cs="Verdana"/>
          <w:color w:val="365F91" w:themeColor="accent1" w:themeShade="BF"/>
          <w:lang w:val="en-US" w:eastAsia="ja-JP"/>
        </w:rPr>
        <w:t xml:space="preserve">establish </w:t>
      </w:r>
      <w:r w:rsidR="00784193" w:rsidRPr="00FE18D0">
        <w:rPr>
          <w:rFonts w:asciiTheme="majorHAnsi" w:hAnsiTheme="majorHAnsi" w:cs="Verdana"/>
          <w:color w:val="365F91" w:themeColor="accent1" w:themeShade="BF"/>
          <w:lang w:val="en-US" w:eastAsia="ja-JP"/>
        </w:rPr>
        <w:t xml:space="preserve">a common framework or inter-institutional agreement regarding </w:t>
      </w:r>
      <w:r w:rsidR="00EA7201" w:rsidRPr="00FE18D0">
        <w:rPr>
          <w:rFonts w:asciiTheme="majorHAnsi" w:hAnsiTheme="majorHAnsi" w:cs="Verdana"/>
          <w:color w:val="365F91" w:themeColor="accent1" w:themeShade="BF"/>
          <w:lang w:val="en-US" w:eastAsia="ja-JP"/>
        </w:rPr>
        <w:t>regulatory agencies have failed.</w:t>
      </w:r>
      <w:r w:rsidR="00590879" w:rsidRPr="00FE18D0">
        <w:rPr>
          <w:rFonts w:asciiTheme="majorHAnsi" w:hAnsiTheme="majorHAnsi" w:cs="Verdana"/>
          <w:color w:val="365F91" w:themeColor="accent1" w:themeShade="BF"/>
          <w:lang w:val="en-US" w:eastAsia="ja-JP"/>
        </w:rPr>
        <w:t xml:space="preserve"> </w:t>
      </w:r>
      <w:r w:rsidR="0050056C" w:rsidRPr="00FE18D0">
        <w:rPr>
          <w:rFonts w:asciiTheme="majorHAnsi" w:hAnsiTheme="majorHAnsi" w:cs="Verdana"/>
          <w:color w:val="365F91" w:themeColor="accent1" w:themeShade="BF"/>
          <w:lang w:val="en-US" w:eastAsia="ja-JP"/>
        </w:rPr>
        <w:t>T</w:t>
      </w:r>
      <w:r w:rsidR="00EA7201" w:rsidRPr="00FE18D0">
        <w:rPr>
          <w:rFonts w:asciiTheme="majorHAnsi" w:hAnsiTheme="majorHAnsi" w:cs="Verdana"/>
          <w:color w:val="365F91" w:themeColor="accent1" w:themeShade="BF"/>
          <w:lang w:val="en-US" w:eastAsia="ja-JP"/>
        </w:rPr>
        <w:t>he procedural framing of soft rule-making</w:t>
      </w:r>
      <w:r w:rsidR="00EA7201" w:rsidRPr="00FE18D0">
        <w:rPr>
          <w:rFonts w:asciiTheme="majorHAnsi" w:hAnsiTheme="majorHAnsi"/>
          <w:color w:val="365F91" w:themeColor="accent1" w:themeShade="BF"/>
          <w:lang w:val="en-US" w:eastAsia="ja-JP"/>
        </w:rPr>
        <w:t xml:space="preserve"> </w:t>
      </w:r>
      <w:r w:rsidR="0050056C" w:rsidRPr="00FE18D0">
        <w:rPr>
          <w:rFonts w:asciiTheme="majorHAnsi" w:hAnsiTheme="majorHAnsi"/>
          <w:color w:val="365F91" w:themeColor="accent1" w:themeShade="BF"/>
          <w:lang w:val="en-US" w:eastAsia="ja-JP"/>
        </w:rPr>
        <w:t xml:space="preserve">thus </w:t>
      </w:r>
      <w:r w:rsidR="00EA7201" w:rsidRPr="00FE18D0">
        <w:rPr>
          <w:rFonts w:asciiTheme="majorHAnsi" w:hAnsiTheme="majorHAnsi" w:cs="Verdana"/>
          <w:color w:val="365F91" w:themeColor="accent1" w:themeShade="BF"/>
          <w:lang w:val="en-US" w:eastAsia="ja-JP"/>
        </w:rPr>
        <w:t xml:space="preserve">gets its shape in a highly </w:t>
      </w:r>
      <w:r w:rsidR="00EA7201" w:rsidRPr="00FE18D0">
        <w:rPr>
          <w:rFonts w:asciiTheme="majorHAnsi" w:hAnsiTheme="majorHAnsi" w:cs="Verdana"/>
          <w:bCs/>
          <w:i/>
          <w:iCs/>
          <w:color w:val="365F91" w:themeColor="accent1" w:themeShade="BF"/>
          <w:lang w:val="en-US" w:eastAsia="ja-JP"/>
        </w:rPr>
        <w:t xml:space="preserve">ad hoc </w:t>
      </w:r>
      <w:r w:rsidR="00EA7201" w:rsidRPr="00FE18D0">
        <w:rPr>
          <w:rFonts w:asciiTheme="majorHAnsi" w:hAnsiTheme="majorHAnsi" w:cs="Verdana"/>
          <w:bCs/>
          <w:color w:val="365F91" w:themeColor="accent1" w:themeShade="BF"/>
          <w:lang w:val="en-US" w:eastAsia="ja-JP"/>
        </w:rPr>
        <w:t>manner</w:t>
      </w:r>
      <w:r w:rsidR="00EA7201" w:rsidRPr="00FE18D0">
        <w:rPr>
          <w:rFonts w:asciiTheme="majorHAnsi" w:hAnsiTheme="majorHAnsi" w:cs="Verdana"/>
          <w:color w:val="365F91" w:themeColor="accent1" w:themeShade="BF"/>
          <w:lang w:val="en-US" w:eastAsia="ja-JP"/>
        </w:rPr>
        <w:t>, depending on the rules that are being put into place in the context of specific areas, sectors, agencies or networks. In legal doctrine, this has led to the observation that ‘</w:t>
      </w:r>
      <w:r w:rsidR="005B3AD3">
        <w:rPr>
          <w:rFonts w:asciiTheme="majorHAnsi" w:hAnsiTheme="majorHAnsi" w:cs="Verdana"/>
          <w:color w:val="365F91" w:themeColor="accent1" w:themeShade="BF"/>
          <w:lang w:val="en-US" w:eastAsia="ja-JP"/>
        </w:rPr>
        <w:t>[</w:t>
      </w:r>
      <w:proofErr w:type="gramStart"/>
      <w:r w:rsidR="005B3AD3">
        <w:rPr>
          <w:rFonts w:asciiTheme="majorHAnsi" w:hAnsiTheme="majorHAnsi" w:cs="Verdana"/>
          <w:color w:val="365F91" w:themeColor="accent1" w:themeShade="BF"/>
          <w:lang w:val="en-US" w:eastAsia="ja-JP"/>
        </w:rPr>
        <w:t>w]</w:t>
      </w:r>
      <w:r w:rsidR="00EA7201" w:rsidRPr="00FE18D0">
        <w:rPr>
          <w:rFonts w:asciiTheme="majorHAnsi" w:hAnsiTheme="majorHAnsi" w:cs="Verdana"/>
          <w:color w:val="365F91" w:themeColor="accent1" w:themeShade="BF"/>
          <w:lang w:val="en-US" w:eastAsia="ja-JP"/>
        </w:rPr>
        <w:t>hile</w:t>
      </w:r>
      <w:proofErr w:type="gramEnd"/>
      <w:r w:rsidR="00EA7201" w:rsidRPr="00FE18D0">
        <w:rPr>
          <w:rFonts w:asciiTheme="majorHAnsi" w:hAnsiTheme="majorHAnsi" w:cs="Verdana"/>
          <w:color w:val="365F91" w:themeColor="accent1" w:themeShade="BF"/>
          <w:lang w:val="en-US" w:eastAsia="ja-JP"/>
        </w:rPr>
        <w:t xml:space="preserve"> certain overall administrative norms, such as giving reasons and the duty of good administration may apply, a style of administrative law seems to be emerging </w:t>
      </w:r>
      <w:r w:rsidR="00EA7201" w:rsidRPr="00FE18D0">
        <w:rPr>
          <w:rFonts w:asciiTheme="majorHAnsi" w:hAnsiTheme="majorHAnsi" w:cs="Verdana"/>
          <w:color w:val="365F91" w:themeColor="accent1" w:themeShade="BF"/>
          <w:lang w:val="en-US" w:eastAsia="ja-JP"/>
        </w:rPr>
        <w:lastRenderedPageBreak/>
        <w:t>in which each agency is subject to procedures peculiar to itself and provided by the legislation creating it plus those developed by its own practices over time plus any em</w:t>
      </w:r>
      <w:r w:rsidR="00590879" w:rsidRPr="00FE18D0">
        <w:rPr>
          <w:rFonts w:asciiTheme="majorHAnsi" w:hAnsiTheme="majorHAnsi" w:cs="Verdana"/>
          <w:color w:val="365F91" w:themeColor="accent1" w:themeShade="BF"/>
          <w:lang w:val="en-US" w:eastAsia="ja-JP"/>
        </w:rPr>
        <w:t>erging from judicial review.’</w:t>
      </w:r>
      <w:r w:rsidR="00590879" w:rsidRPr="00FE18D0">
        <w:rPr>
          <w:rStyle w:val="Voetnootmarkering"/>
          <w:rFonts w:asciiTheme="majorHAnsi" w:hAnsiTheme="majorHAnsi" w:cs="Verdana"/>
          <w:color w:val="365F91" w:themeColor="accent1" w:themeShade="BF"/>
          <w:lang w:val="en-US" w:eastAsia="ja-JP"/>
        </w:rPr>
        <w:footnoteReference w:id="45"/>
      </w:r>
      <w:r w:rsidR="00EA7201" w:rsidRPr="00FE18D0">
        <w:rPr>
          <w:rFonts w:asciiTheme="majorHAnsi" w:hAnsiTheme="majorHAnsi" w:cs="Verdana"/>
          <w:color w:val="365F91" w:themeColor="accent1" w:themeShade="BF"/>
          <w:lang w:val="en-US" w:eastAsia="ja-JP"/>
        </w:rPr>
        <w:t xml:space="preserve"> The landscape of applicable procedural rules and practices thus resembles a patchwork blanket, where some agencies may have put into place far more sophisticated good governance/administration rules and practices than others. While more recently we can see a correlation between the scope of rule-making powers allocated to agencies and the level of proceduralisation (cf. the ESAs), the reasons behind the differences in approach in this regard are not always evident. </w:t>
      </w:r>
      <w:r w:rsidR="0050056C" w:rsidRPr="00FE18D0">
        <w:rPr>
          <w:rFonts w:asciiTheme="majorHAnsi" w:hAnsiTheme="majorHAnsi" w:cs="Verdana"/>
          <w:color w:val="365F91" w:themeColor="accent1" w:themeShade="BF"/>
          <w:lang w:val="en-US" w:eastAsia="ja-JP"/>
        </w:rPr>
        <w:t xml:space="preserve">Therewith, a general issue emerging in this context is </w:t>
      </w:r>
      <w:r w:rsidR="00FE18D0" w:rsidRPr="00FE18D0">
        <w:rPr>
          <w:rFonts w:asciiTheme="majorHAnsi" w:hAnsiTheme="majorHAnsi" w:cs="Verdana"/>
          <w:color w:val="365F91" w:themeColor="accent1" w:themeShade="BF"/>
          <w:lang w:val="en-US" w:eastAsia="ja-JP"/>
        </w:rPr>
        <w:t xml:space="preserve">also </w:t>
      </w:r>
      <w:r w:rsidR="0050056C" w:rsidRPr="00FE18D0">
        <w:rPr>
          <w:rFonts w:asciiTheme="majorHAnsi" w:hAnsiTheme="majorHAnsi" w:cs="Verdana"/>
          <w:color w:val="365F91" w:themeColor="accent1" w:themeShade="BF"/>
          <w:lang w:val="en-US" w:eastAsia="ja-JP"/>
        </w:rPr>
        <w:t>how to ensure consistency.</w:t>
      </w:r>
    </w:p>
    <w:p w14:paraId="715F660A" w14:textId="77777777" w:rsidR="0050056C" w:rsidRPr="00FE18D0" w:rsidRDefault="0050056C" w:rsidP="000C51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ajorHAnsi" w:hAnsiTheme="majorHAnsi"/>
          <w:color w:val="365F91" w:themeColor="accent1" w:themeShade="BF"/>
          <w:lang w:val="en-US" w:eastAsia="ja-JP"/>
        </w:rPr>
      </w:pPr>
    </w:p>
    <w:p w14:paraId="73DA7422" w14:textId="77777777" w:rsidR="00EA7201" w:rsidRPr="00FE18D0" w:rsidRDefault="005B3AD3" w:rsidP="000C51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ajorHAnsi" w:hAnsiTheme="majorHAnsi" w:cs="Verdana"/>
          <w:color w:val="365F91" w:themeColor="accent1" w:themeShade="BF"/>
          <w:lang w:val="en-US" w:eastAsia="ja-JP"/>
        </w:rPr>
      </w:pPr>
      <w:r>
        <w:rPr>
          <w:rFonts w:asciiTheme="majorHAnsi" w:hAnsiTheme="majorHAnsi" w:cs="Verdana"/>
          <w:color w:val="365F91" w:themeColor="accent1" w:themeShade="BF"/>
          <w:lang w:val="en-US" w:eastAsia="ja-JP"/>
        </w:rPr>
        <w:t>Expanding on the remarks above</w:t>
      </w:r>
      <w:r w:rsidR="00FE18D0" w:rsidRPr="00FE18D0">
        <w:rPr>
          <w:rFonts w:asciiTheme="majorHAnsi" w:hAnsiTheme="majorHAnsi" w:cs="Verdana"/>
          <w:color w:val="365F91" w:themeColor="accent1" w:themeShade="BF"/>
          <w:lang w:val="en-US" w:eastAsia="ja-JP"/>
        </w:rPr>
        <w:t>, a</w:t>
      </w:r>
      <w:r w:rsidR="00036348" w:rsidRPr="00FE18D0">
        <w:rPr>
          <w:rFonts w:asciiTheme="majorHAnsi" w:hAnsiTheme="majorHAnsi" w:cs="Verdana"/>
          <w:color w:val="365F91" w:themeColor="accent1" w:themeShade="BF"/>
          <w:lang w:val="en-US" w:eastAsia="ja-JP"/>
        </w:rPr>
        <w:t xml:space="preserve"> </w:t>
      </w:r>
      <w:r w:rsidR="0050056C" w:rsidRPr="00FE18D0">
        <w:rPr>
          <w:rFonts w:asciiTheme="majorHAnsi" w:hAnsiTheme="majorHAnsi" w:cs="Verdana"/>
          <w:color w:val="365F91" w:themeColor="accent1" w:themeShade="BF"/>
          <w:lang w:val="en-US" w:eastAsia="ja-JP"/>
        </w:rPr>
        <w:t xml:space="preserve">key issue of concern </w:t>
      </w:r>
      <w:r w:rsidR="00FE18D0" w:rsidRPr="00FE18D0">
        <w:rPr>
          <w:rFonts w:asciiTheme="majorHAnsi" w:hAnsiTheme="majorHAnsi" w:cs="Verdana"/>
          <w:color w:val="365F91" w:themeColor="accent1" w:themeShade="BF"/>
          <w:lang w:val="en-US" w:eastAsia="ja-JP"/>
        </w:rPr>
        <w:t xml:space="preserve">related </w:t>
      </w:r>
      <w:r w:rsidR="0050056C" w:rsidRPr="00FE18D0">
        <w:rPr>
          <w:rFonts w:asciiTheme="majorHAnsi" w:hAnsiTheme="majorHAnsi" w:cs="Verdana"/>
          <w:color w:val="365F91" w:themeColor="accent1" w:themeShade="BF"/>
          <w:lang w:val="en-US" w:eastAsia="ja-JP"/>
        </w:rPr>
        <w:t xml:space="preserve">is </w:t>
      </w:r>
      <w:r w:rsidR="00036348" w:rsidRPr="00FE18D0">
        <w:rPr>
          <w:rFonts w:asciiTheme="majorHAnsi" w:hAnsiTheme="majorHAnsi" w:cs="Verdana"/>
          <w:i/>
          <w:color w:val="365F91" w:themeColor="accent1" w:themeShade="BF"/>
          <w:lang w:val="en-US" w:eastAsia="ja-JP"/>
        </w:rPr>
        <w:t xml:space="preserve">the (legal) position of </w:t>
      </w:r>
      <w:proofErr w:type="gramStart"/>
      <w:r w:rsidR="00036348" w:rsidRPr="00FE18D0">
        <w:rPr>
          <w:rFonts w:asciiTheme="majorHAnsi" w:hAnsiTheme="majorHAnsi" w:cs="Verdana"/>
          <w:i/>
          <w:color w:val="365F91" w:themeColor="accent1" w:themeShade="BF"/>
          <w:lang w:val="en-US" w:eastAsia="ja-JP"/>
        </w:rPr>
        <w:t>individuals</w:t>
      </w:r>
      <w:proofErr w:type="gramEnd"/>
      <w:r w:rsidR="00036348" w:rsidRPr="00FE18D0">
        <w:rPr>
          <w:rFonts w:asciiTheme="majorHAnsi" w:hAnsiTheme="majorHAnsi" w:cs="Verdana"/>
          <w:i/>
          <w:color w:val="365F91" w:themeColor="accent1" w:themeShade="BF"/>
          <w:lang w:val="en-US" w:eastAsia="ja-JP"/>
        </w:rPr>
        <w:t xml:space="preserve"> vis-à-vis such soft administrative rulemaking</w:t>
      </w:r>
      <w:r w:rsidR="00036348" w:rsidRPr="00FE18D0">
        <w:rPr>
          <w:rFonts w:asciiTheme="majorHAnsi" w:hAnsiTheme="majorHAnsi" w:cs="Verdana"/>
          <w:color w:val="365F91" w:themeColor="accent1" w:themeShade="BF"/>
          <w:lang w:val="en-US" w:eastAsia="ja-JP"/>
        </w:rPr>
        <w:t xml:space="preserve">. The </w:t>
      </w:r>
      <w:r w:rsidR="00EA7201" w:rsidRPr="00FE18D0">
        <w:rPr>
          <w:rFonts w:asciiTheme="majorHAnsi" w:hAnsiTheme="majorHAnsi" w:cs="Verdana"/>
          <w:color w:val="365F91" w:themeColor="accent1" w:themeShade="BF"/>
          <w:lang w:val="en-US" w:eastAsia="ja-JP"/>
        </w:rPr>
        <w:t xml:space="preserve">Treaty of Lisbon has sought to enhance the protection of individuals regarding actions on the part of agencies, institutes and bodies of the EU, even if not regulating them in a general way in the Treaties. It has thus recognized the necessity of ensuring the openness and access to documents of these entities as well as of judicial protection against their actions. Yet, neither Article 11 TEU nor other Treaty rules on participation and consultation include these entities. Given the fact that there is no electoral connection in the </w:t>
      </w:r>
      <w:r w:rsidR="00FE18D0" w:rsidRPr="00FE18D0">
        <w:rPr>
          <w:rFonts w:asciiTheme="majorHAnsi" w:hAnsiTheme="majorHAnsi" w:cs="Verdana"/>
          <w:color w:val="365F91" w:themeColor="accent1" w:themeShade="BF"/>
          <w:lang w:val="en-US" w:eastAsia="ja-JP"/>
        </w:rPr>
        <w:t xml:space="preserve">networks’ and </w:t>
      </w:r>
      <w:r w:rsidR="00EA7201" w:rsidRPr="00FE18D0">
        <w:rPr>
          <w:rFonts w:asciiTheme="majorHAnsi" w:hAnsiTheme="majorHAnsi" w:cs="Verdana"/>
          <w:color w:val="365F91" w:themeColor="accent1" w:themeShade="BF"/>
          <w:lang w:val="en-US" w:eastAsia="ja-JP"/>
        </w:rPr>
        <w:t>agencies’ general rule- making activity, the establishment of procedural rules under which such rule-making may come about and who is to be involved in this process appears imperative. While agencies’ statutes may (increasingly) provide for outside participation in their decision-making processes, there is a risk that this particularly involves those that have the technical and</w:t>
      </w:r>
      <w:r w:rsidR="00036348" w:rsidRPr="00FE18D0">
        <w:rPr>
          <w:rFonts w:asciiTheme="majorHAnsi" w:hAnsiTheme="majorHAnsi" w:cs="Verdana"/>
          <w:color w:val="365F91" w:themeColor="accent1" w:themeShade="BF"/>
          <w:lang w:val="en-US" w:eastAsia="ja-JP"/>
        </w:rPr>
        <w:t xml:space="preserve"> </w:t>
      </w:r>
      <w:r w:rsidR="00EA7201" w:rsidRPr="00FE18D0">
        <w:rPr>
          <w:rFonts w:asciiTheme="majorHAnsi" w:hAnsiTheme="majorHAnsi" w:cs="Verdana"/>
          <w:color w:val="365F91" w:themeColor="accent1" w:themeShade="BF"/>
          <w:lang w:val="en-US" w:eastAsia="ja-JP"/>
        </w:rPr>
        <w:t xml:space="preserve">financial resources to do so and </w:t>
      </w:r>
      <w:r>
        <w:rPr>
          <w:rFonts w:asciiTheme="majorHAnsi" w:hAnsiTheme="majorHAnsi" w:cs="Verdana"/>
          <w:color w:val="365F91" w:themeColor="accent1" w:themeShade="BF"/>
          <w:lang w:val="en-US" w:eastAsia="ja-JP"/>
        </w:rPr>
        <w:t xml:space="preserve">and also </w:t>
      </w:r>
      <w:r w:rsidR="00EA7201" w:rsidRPr="00FE18D0">
        <w:rPr>
          <w:rFonts w:asciiTheme="majorHAnsi" w:hAnsiTheme="majorHAnsi" w:cs="Verdana"/>
          <w:color w:val="365F91" w:themeColor="accent1" w:themeShade="BF"/>
          <w:lang w:val="en-US" w:eastAsia="ja-JP"/>
        </w:rPr>
        <w:t>those having a particular interest.</w:t>
      </w:r>
      <w:r w:rsidR="00036348" w:rsidRPr="00FE18D0">
        <w:rPr>
          <w:rStyle w:val="Voetnootmarkering"/>
          <w:rFonts w:asciiTheme="majorHAnsi" w:hAnsiTheme="majorHAnsi" w:cs="Verdana"/>
          <w:color w:val="365F91" w:themeColor="accent1" w:themeShade="BF"/>
          <w:lang w:val="en-US" w:eastAsia="ja-JP"/>
        </w:rPr>
        <w:footnoteReference w:id="46"/>
      </w:r>
      <w:r w:rsidR="00EA7201" w:rsidRPr="00FE18D0">
        <w:rPr>
          <w:rFonts w:asciiTheme="majorHAnsi" w:hAnsiTheme="majorHAnsi" w:cs="Verdana"/>
          <w:color w:val="365F91" w:themeColor="accent1" w:themeShade="BF"/>
          <w:lang w:val="en-US" w:eastAsia="ja-JP"/>
        </w:rPr>
        <w:t xml:space="preserve"> There is no legal guarantee of balanced participation and influence on this process and some actors may be privileged</w:t>
      </w:r>
      <w:r>
        <w:rPr>
          <w:rFonts w:asciiTheme="majorHAnsi" w:hAnsiTheme="majorHAnsi" w:cs="Verdana"/>
          <w:color w:val="365F91" w:themeColor="accent1" w:themeShade="BF"/>
          <w:lang w:val="en-US" w:eastAsia="ja-JP"/>
        </w:rPr>
        <w:t>, under the guise that decision making is purely technical, even though it is widely acknowledged that most technical decision making significantly affects interests and thus has political components</w:t>
      </w:r>
      <w:r w:rsidR="00EA7201" w:rsidRPr="00FE18D0">
        <w:rPr>
          <w:rFonts w:asciiTheme="majorHAnsi" w:hAnsiTheme="majorHAnsi" w:cs="Verdana"/>
          <w:color w:val="365F91" w:themeColor="accent1" w:themeShade="BF"/>
          <w:lang w:val="en-US" w:eastAsia="ja-JP"/>
        </w:rPr>
        <w:t>. Agencies are therefore often considered to provide at the most for some form of technical accountability rather than any democratic accountability: the typical agency executive board is constructed in such a way as to provide for some Member State control through the appointment of experts. It is argued that to the extent that this renders the staff of agencies accountable, it is less likely to be to the Member States and the citizenry as a whole than to the epistemic community to which board members and the staff belong.</w:t>
      </w:r>
      <w:r w:rsidR="00036348" w:rsidRPr="00FE18D0">
        <w:rPr>
          <w:rStyle w:val="Voetnootmarkering"/>
          <w:rFonts w:asciiTheme="majorHAnsi" w:hAnsiTheme="majorHAnsi" w:cs="Verdana"/>
          <w:color w:val="365F91" w:themeColor="accent1" w:themeShade="BF"/>
          <w:lang w:val="en-US" w:eastAsia="ja-JP"/>
        </w:rPr>
        <w:footnoteReference w:id="47"/>
      </w:r>
      <w:r w:rsidR="00036348" w:rsidRPr="00FE18D0">
        <w:rPr>
          <w:rFonts w:asciiTheme="majorHAnsi" w:hAnsiTheme="majorHAnsi" w:cs="Verdana"/>
          <w:color w:val="365F91" w:themeColor="accent1" w:themeShade="BF"/>
          <w:lang w:val="en-US" w:eastAsia="ja-JP"/>
        </w:rPr>
        <w:t xml:space="preserve"> </w:t>
      </w:r>
      <w:r w:rsidR="00EA7201" w:rsidRPr="00FE18D0">
        <w:rPr>
          <w:rFonts w:asciiTheme="majorHAnsi" w:hAnsiTheme="majorHAnsi" w:cs="Verdana"/>
          <w:color w:val="365F91" w:themeColor="accent1" w:themeShade="BF"/>
          <w:lang w:val="en-US" w:eastAsia="ja-JP"/>
        </w:rPr>
        <w:t>How to ensure inclusiveness, equal treatment and equal representation are therefore important issues emerging in this context.</w:t>
      </w:r>
    </w:p>
    <w:p w14:paraId="1EA628C6" w14:textId="77777777" w:rsidR="00036348" w:rsidRPr="00FE18D0" w:rsidRDefault="00036348" w:rsidP="000C51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ajorHAnsi" w:hAnsiTheme="majorHAnsi" w:cs="Verdana"/>
          <w:color w:val="365F91" w:themeColor="accent1" w:themeShade="BF"/>
          <w:lang w:val="en-US" w:eastAsia="ja-JP"/>
        </w:rPr>
      </w:pPr>
    </w:p>
    <w:p w14:paraId="67770779" w14:textId="77777777" w:rsidR="00EA7201" w:rsidRPr="00FE18D0" w:rsidRDefault="00036348" w:rsidP="000C51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ajorHAnsi" w:hAnsiTheme="majorHAnsi" w:cs="Verdana"/>
          <w:color w:val="365F91" w:themeColor="accent1" w:themeShade="BF"/>
          <w:lang w:val="en-US" w:eastAsia="ja-JP"/>
        </w:rPr>
      </w:pPr>
      <w:r w:rsidRPr="00FE18D0">
        <w:rPr>
          <w:rFonts w:asciiTheme="majorHAnsi" w:hAnsiTheme="majorHAnsi" w:cs="Verdana"/>
          <w:color w:val="365F91" w:themeColor="accent1" w:themeShade="BF"/>
          <w:lang w:val="en-US" w:eastAsia="ja-JP"/>
        </w:rPr>
        <w:lastRenderedPageBreak/>
        <w:t xml:space="preserve">Apart </w:t>
      </w:r>
      <w:r w:rsidR="005B3AD3">
        <w:rPr>
          <w:rFonts w:asciiTheme="majorHAnsi" w:hAnsiTheme="majorHAnsi" w:cs="Verdana"/>
          <w:color w:val="365F91" w:themeColor="accent1" w:themeShade="BF"/>
          <w:lang w:val="en-US" w:eastAsia="ja-JP"/>
        </w:rPr>
        <w:t xml:space="preserve">from </w:t>
      </w:r>
      <w:r w:rsidRPr="00FE18D0">
        <w:rPr>
          <w:rFonts w:asciiTheme="majorHAnsi" w:hAnsiTheme="majorHAnsi" w:cs="Verdana"/>
          <w:color w:val="365F91" w:themeColor="accent1" w:themeShade="BF"/>
          <w:lang w:val="en-US" w:eastAsia="ja-JP"/>
        </w:rPr>
        <w:t>that, the judicial review of soft administrative rule-making presents numerous hurdles, first of all because of its very soft law</w:t>
      </w:r>
      <w:r w:rsidRPr="00FE18D0">
        <w:rPr>
          <w:rFonts w:asciiTheme="majorHAnsi" w:hAnsiTheme="majorHAnsi" w:cs="Verdana"/>
          <w:b/>
          <w:bCs/>
          <w:color w:val="365F91" w:themeColor="accent1" w:themeShade="BF"/>
          <w:lang w:val="en-US" w:eastAsia="ja-JP"/>
        </w:rPr>
        <w:t xml:space="preserve"> </w:t>
      </w:r>
      <w:r w:rsidRPr="00FE18D0">
        <w:rPr>
          <w:rFonts w:asciiTheme="majorHAnsi" w:hAnsiTheme="majorHAnsi" w:cs="Verdana"/>
          <w:bCs/>
          <w:color w:val="365F91" w:themeColor="accent1" w:themeShade="BF"/>
          <w:lang w:val="en-US" w:eastAsia="ja-JP"/>
        </w:rPr>
        <w:t>nature</w:t>
      </w:r>
      <w:r w:rsidR="00EA7201" w:rsidRPr="00FE18D0">
        <w:rPr>
          <w:rFonts w:asciiTheme="majorHAnsi" w:hAnsiTheme="majorHAnsi" w:cs="Verdana"/>
          <w:color w:val="365F91" w:themeColor="accent1" w:themeShade="BF"/>
          <w:lang w:val="en-US" w:eastAsia="ja-JP"/>
        </w:rPr>
        <w:t>. While it is settled case law that an action for annulment under Article 263 TFEU can be brought before the ECJ against ‘fake’ soft law provisions, some uncertainty remains as to what extent the Court effectively requires demonstration of ‘intent’ of legal effects in this regard and if this is not required, whether all types of legal effects allow for admissibility of a claim. Would</w:t>
      </w:r>
      <w:r w:rsidRPr="00FE18D0">
        <w:rPr>
          <w:rFonts w:asciiTheme="majorHAnsi" w:hAnsiTheme="majorHAnsi"/>
          <w:color w:val="365F91" w:themeColor="accent1" w:themeShade="BF"/>
          <w:lang w:val="en-US" w:eastAsia="ja-JP"/>
        </w:rPr>
        <w:t xml:space="preserve"> </w:t>
      </w:r>
      <w:r w:rsidR="00EA7201" w:rsidRPr="00FE18D0">
        <w:rPr>
          <w:rFonts w:asciiTheme="majorHAnsi" w:hAnsiTheme="majorHAnsi" w:cs="Verdana"/>
          <w:color w:val="365F91" w:themeColor="accent1" w:themeShade="BF"/>
          <w:lang w:val="en-US" w:eastAsia="ja-JP"/>
        </w:rPr>
        <w:t>for instance legal effects produced by way of judicial interpretation suffice in this regard</w:t>
      </w:r>
      <w:r w:rsidRPr="00FE18D0">
        <w:rPr>
          <w:rFonts w:asciiTheme="majorHAnsi" w:hAnsiTheme="majorHAnsi" w:cs="Verdana"/>
          <w:color w:val="365F91" w:themeColor="accent1" w:themeShade="BF"/>
          <w:lang w:val="en-US" w:eastAsia="ja-JP"/>
        </w:rPr>
        <w:t xml:space="preserve">? </w:t>
      </w:r>
      <w:r w:rsidR="00EA7201" w:rsidRPr="00FE18D0">
        <w:rPr>
          <w:rFonts w:asciiTheme="majorHAnsi" w:hAnsiTheme="majorHAnsi" w:cs="Verdana"/>
          <w:color w:val="365F91" w:themeColor="accent1" w:themeShade="BF"/>
          <w:lang w:val="en-US" w:eastAsia="ja-JP"/>
        </w:rPr>
        <w:t>Clearly, Article 263 does not allow for judicial protection against soft law acts which entail only factual implications, even if such acts present a wrongful interpretation of EU law and may be misleading for those concerned and legal practitioners.</w:t>
      </w:r>
      <w:r w:rsidRPr="00FE18D0">
        <w:rPr>
          <w:rStyle w:val="Voetnootmarkering"/>
          <w:rFonts w:asciiTheme="majorHAnsi" w:hAnsiTheme="majorHAnsi" w:cs="Verdana"/>
          <w:color w:val="365F91" w:themeColor="accent1" w:themeShade="BF"/>
          <w:lang w:val="en-US" w:eastAsia="ja-JP"/>
        </w:rPr>
        <w:footnoteReference w:id="48"/>
      </w:r>
      <w:r w:rsidR="00EA7201" w:rsidRPr="00FE18D0">
        <w:rPr>
          <w:rFonts w:asciiTheme="majorHAnsi" w:hAnsiTheme="majorHAnsi" w:cs="Verdana"/>
          <w:color w:val="365F91" w:themeColor="accent1" w:themeShade="BF"/>
          <w:lang w:val="en-US" w:eastAsia="ja-JP"/>
        </w:rPr>
        <w:t xml:space="preserve"> The lack of judicial protection due to the impossibility of challenging acts not intending or producing legal effects, can be somewhat mitigated by the possibility to bring an action for annulment against an individual decision the Union may have taken on the basis of such an act.</w:t>
      </w:r>
      <w:r w:rsidRPr="00FE18D0">
        <w:rPr>
          <w:rStyle w:val="Voetnootmarkering"/>
          <w:rFonts w:asciiTheme="majorHAnsi" w:hAnsiTheme="majorHAnsi" w:cs="Verdana"/>
          <w:color w:val="365F91" w:themeColor="accent1" w:themeShade="BF"/>
          <w:lang w:val="en-US" w:eastAsia="ja-JP"/>
        </w:rPr>
        <w:footnoteReference w:id="49"/>
      </w:r>
      <w:r w:rsidR="000F24DA" w:rsidRPr="00FE18D0">
        <w:rPr>
          <w:rFonts w:asciiTheme="majorHAnsi" w:hAnsiTheme="majorHAnsi"/>
          <w:color w:val="365F91" w:themeColor="accent1" w:themeShade="BF"/>
          <w:lang w:val="en-US" w:eastAsia="ja-JP"/>
        </w:rPr>
        <w:t xml:space="preserve"> </w:t>
      </w:r>
      <w:r w:rsidR="00EA7201" w:rsidRPr="00FE18D0">
        <w:rPr>
          <w:rFonts w:asciiTheme="majorHAnsi" w:hAnsiTheme="majorHAnsi" w:cs="Verdana"/>
          <w:color w:val="365F91" w:themeColor="accent1" w:themeShade="BF"/>
          <w:lang w:val="en-US" w:eastAsia="ja-JP"/>
        </w:rPr>
        <w:t xml:space="preserve">A second problem concerns the </w:t>
      </w:r>
      <w:r w:rsidR="00EA7201" w:rsidRPr="00FE18D0">
        <w:rPr>
          <w:rFonts w:asciiTheme="majorHAnsi" w:hAnsiTheme="majorHAnsi" w:cs="Verdana"/>
          <w:bCs/>
          <w:color w:val="365F91" w:themeColor="accent1" w:themeShade="BF"/>
          <w:lang w:val="en-US" w:eastAsia="ja-JP"/>
        </w:rPr>
        <w:t xml:space="preserve">limited </w:t>
      </w:r>
      <w:r w:rsidR="00EA7201" w:rsidRPr="00FE18D0">
        <w:rPr>
          <w:rFonts w:asciiTheme="majorHAnsi" w:hAnsiTheme="majorHAnsi" w:cs="Verdana"/>
          <w:bCs/>
          <w:i/>
          <w:iCs/>
          <w:color w:val="365F91" w:themeColor="accent1" w:themeShade="BF"/>
          <w:lang w:val="en-US" w:eastAsia="ja-JP"/>
        </w:rPr>
        <w:t>locus standi</w:t>
      </w:r>
      <w:r w:rsidR="00EA7201" w:rsidRPr="00FE18D0">
        <w:rPr>
          <w:rFonts w:asciiTheme="majorHAnsi" w:hAnsiTheme="majorHAnsi" w:cs="Verdana"/>
          <w:b/>
          <w:bCs/>
          <w:i/>
          <w:iCs/>
          <w:color w:val="365F91" w:themeColor="accent1" w:themeShade="BF"/>
          <w:lang w:val="en-US" w:eastAsia="ja-JP"/>
        </w:rPr>
        <w:t xml:space="preserve"> </w:t>
      </w:r>
      <w:r w:rsidR="00EA7201" w:rsidRPr="00FE18D0">
        <w:rPr>
          <w:rFonts w:asciiTheme="majorHAnsi" w:hAnsiTheme="majorHAnsi" w:cs="Verdana"/>
          <w:color w:val="365F91" w:themeColor="accent1" w:themeShade="BF"/>
          <w:lang w:val="en-US" w:eastAsia="ja-JP"/>
        </w:rPr>
        <w:t>of natural and legal persons (including representative associations, NGOs) under Article 263 TFEU. It has been noted that the Treaty of Lisbon has taken an important step to loosen the strict requirement of ‘individual concern’ by now enabling claimants to start an action for annulment against ‘regulatory acts’ that are merely of direct</w:t>
      </w:r>
      <w:r w:rsidR="000F24DA" w:rsidRPr="00FE18D0">
        <w:rPr>
          <w:rFonts w:asciiTheme="majorHAnsi" w:hAnsiTheme="majorHAnsi" w:cs="Verdana"/>
          <w:color w:val="365F91" w:themeColor="accent1" w:themeShade="BF"/>
          <w:lang w:val="en-US" w:eastAsia="ja-JP"/>
        </w:rPr>
        <w:t xml:space="preserve"> concern to them. Yet, a </w:t>
      </w:r>
      <w:r w:rsidR="00EA7201" w:rsidRPr="00FE18D0">
        <w:rPr>
          <w:rFonts w:asciiTheme="majorHAnsi" w:hAnsiTheme="majorHAnsi" w:cs="Verdana"/>
          <w:color w:val="365F91" w:themeColor="accent1" w:themeShade="BF"/>
          <w:lang w:val="en-US" w:eastAsia="ja-JP"/>
        </w:rPr>
        <w:t xml:space="preserve">ruling of the General Court has shown that while acts of general application are covered by that term, they have to be of a binding nature as well. A third problem </w:t>
      </w:r>
      <w:r w:rsidR="000F24DA" w:rsidRPr="00FE18D0">
        <w:rPr>
          <w:rFonts w:asciiTheme="majorHAnsi" w:hAnsiTheme="majorHAnsi" w:cs="Verdana"/>
          <w:color w:val="365F91" w:themeColor="accent1" w:themeShade="BF"/>
          <w:lang w:val="en-US" w:eastAsia="ja-JP"/>
        </w:rPr>
        <w:t>concerns</w:t>
      </w:r>
      <w:r w:rsidR="00EA7201" w:rsidRPr="00FE18D0">
        <w:rPr>
          <w:rFonts w:asciiTheme="majorHAnsi" w:hAnsiTheme="majorHAnsi" w:cs="Verdana"/>
          <w:color w:val="365F91" w:themeColor="accent1" w:themeShade="BF"/>
          <w:lang w:val="en-US" w:eastAsia="ja-JP"/>
        </w:rPr>
        <w:t xml:space="preserve"> </w:t>
      </w:r>
      <w:r w:rsidR="00EA7201" w:rsidRPr="00FE18D0">
        <w:rPr>
          <w:rFonts w:asciiTheme="majorHAnsi" w:hAnsiTheme="majorHAnsi" w:cs="Verdana"/>
          <w:bCs/>
          <w:color w:val="365F91" w:themeColor="accent1" w:themeShade="BF"/>
          <w:lang w:val="en-US" w:eastAsia="ja-JP"/>
        </w:rPr>
        <w:t>the</w:t>
      </w:r>
      <w:r w:rsidR="000F24DA" w:rsidRPr="00FE18D0">
        <w:rPr>
          <w:rFonts w:asciiTheme="majorHAnsi" w:hAnsiTheme="majorHAnsi" w:cs="Verdana"/>
          <w:bCs/>
          <w:color w:val="365F91" w:themeColor="accent1" w:themeShade="BF"/>
          <w:lang w:val="en-US" w:eastAsia="ja-JP"/>
        </w:rPr>
        <w:t xml:space="preserve"> bodies</w:t>
      </w:r>
      <w:r w:rsidR="00EA7201" w:rsidRPr="00FE18D0">
        <w:rPr>
          <w:rFonts w:asciiTheme="majorHAnsi" w:hAnsiTheme="majorHAnsi" w:cs="Verdana"/>
          <w:bCs/>
          <w:color w:val="365F91" w:themeColor="accent1" w:themeShade="BF"/>
          <w:lang w:val="en-US" w:eastAsia="ja-JP"/>
        </w:rPr>
        <w:t xml:space="preserve"> against which procedures can be started</w:t>
      </w:r>
      <w:r w:rsidR="00EA7201" w:rsidRPr="00FE18D0">
        <w:rPr>
          <w:rFonts w:asciiTheme="majorHAnsi" w:hAnsiTheme="majorHAnsi" w:cs="Verdana"/>
          <w:color w:val="365F91" w:themeColor="accent1" w:themeShade="BF"/>
          <w:lang w:val="en-US" w:eastAsia="ja-JP"/>
        </w:rPr>
        <w:t>. The Treaty of Lisbon has marked an enhancement of the level of judicial protection by stipulating in the judicial procedures provisions, including Articles 263 and 267 TFEU, that actions can also be brought against acts of Union bodies, offices and agencies. Yet, networks do not have the formal status of a Union body and lack legal personality</w:t>
      </w:r>
      <w:r w:rsidR="000F24DA" w:rsidRPr="00FE18D0">
        <w:rPr>
          <w:rFonts w:asciiTheme="majorHAnsi" w:hAnsiTheme="majorHAnsi" w:cs="Verdana"/>
          <w:color w:val="365F91" w:themeColor="accent1" w:themeShade="BF"/>
          <w:lang w:val="en-US" w:eastAsia="ja-JP"/>
        </w:rPr>
        <w:t xml:space="preserve"> under EU law. Presumably, therefore, they do not fall within the scope of </w:t>
      </w:r>
      <w:r w:rsidR="00EA7201" w:rsidRPr="00FE18D0">
        <w:rPr>
          <w:rFonts w:asciiTheme="majorHAnsi" w:hAnsiTheme="majorHAnsi" w:cs="Verdana"/>
          <w:color w:val="365F91" w:themeColor="accent1" w:themeShade="BF"/>
          <w:lang w:val="en-US" w:eastAsia="ja-JP"/>
        </w:rPr>
        <w:t>these provisions and hence no action for annulment can be started against such an entity.</w:t>
      </w:r>
      <w:r w:rsidR="000F24DA" w:rsidRPr="00FE18D0">
        <w:rPr>
          <w:rStyle w:val="Voetnootmarkering"/>
          <w:rFonts w:asciiTheme="majorHAnsi" w:hAnsiTheme="majorHAnsi" w:cs="Verdana"/>
          <w:color w:val="365F91" w:themeColor="accent1" w:themeShade="BF"/>
          <w:lang w:val="en-US" w:eastAsia="ja-JP"/>
        </w:rPr>
        <w:footnoteReference w:id="50"/>
      </w:r>
      <w:r w:rsidR="00EA7201" w:rsidRPr="00FE18D0">
        <w:rPr>
          <w:rFonts w:asciiTheme="majorHAnsi" w:hAnsiTheme="majorHAnsi" w:cs="Verdana"/>
          <w:color w:val="365F91" w:themeColor="accent1" w:themeShade="BF"/>
          <w:lang w:val="en-US" w:eastAsia="ja-JP"/>
        </w:rPr>
        <w:t xml:space="preserve"> Yet, if the rule- making activity of a network can be considered attributable to the Commission and/or the national regulatory authority, one can start proceedings against the Commission and/or the national authority.</w:t>
      </w:r>
      <w:r w:rsidR="000F24DA" w:rsidRPr="00FE18D0">
        <w:rPr>
          <w:rFonts w:asciiTheme="majorHAnsi" w:hAnsiTheme="majorHAnsi"/>
          <w:color w:val="365F91" w:themeColor="accent1" w:themeShade="BF"/>
          <w:lang w:val="en-US" w:eastAsia="ja-JP"/>
        </w:rPr>
        <w:t xml:space="preserve"> </w:t>
      </w:r>
      <w:r w:rsidR="00EA7201" w:rsidRPr="00FE18D0">
        <w:rPr>
          <w:rFonts w:asciiTheme="majorHAnsi" w:hAnsiTheme="majorHAnsi" w:cs="Verdana"/>
          <w:color w:val="365F91" w:themeColor="accent1" w:themeShade="BF"/>
          <w:lang w:val="en-US" w:eastAsia="ja-JP"/>
        </w:rPr>
        <w:t xml:space="preserve">If a claimant has been able to overcome </w:t>
      </w:r>
      <w:r w:rsidR="000F24DA" w:rsidRPr="00FE18D0">
        <w:rPr>
          <w:rFonts w:asciiTheme="majorHAnsi" w:hAnsiTheme="majorHAnsi" w:cs="Verdana"/>
          <w:color w:val="365F91" w:themeColor="accent1" w:themeShade="BF"/>
          <w:lang w:val="en-US" w:eastAsia="ja-JP"/>
        </w:rPr>
        <w:t xml:space="preserve">these hurdles, yet another looms </w:t>
      </w:r>
      <w:r w:rsidR="00EA7201" w:rsidRPr="00FE18D0">
        <w:rPr>
          <w:rFonts w:asciiTheme="majorHAnsi" w:hAnsiTheme="majorHAnsi" w:cs="Verdana"/>
          <w:color w:val="365F91" w:themeColor="accent1" w:themeShade="BF"/>
          <w:lang w:val="en-US" w:eastAsia="ja-JP"/>
        </w:rPr>
        <w:t xml:space="preserve">in the actual </w:t>
      </w:r>
      <w:r w:rsidR="00EA7201" w:rsidRPr="00FE18D0">
        <w:rPr>
          <w:rFonts w:asciiTheme="majorHAnsi" w:hAnsiTheme="majorHAnsi" w:cs="Verdana"/>
          <w:bCs/>
          <w:color w:val="365F91" w:themeColor="accent1" w:themeShade="BF"/>
          <w:lang w:val="en-US" w:eastAsia="ja-JP"/>
        </w:rPr>
        <w:t>enforceability of certain good administration principles</w:t>
      </w:r>
      <w:r w:rsidR="00EA7201" w:rsidRPr="00FE18D0">
        <w:rPr>
          <w:rFonts w:asciiTheme="majorHAnsi" w:hAnsiTheme="majorHAnsi" w:cs="Verdana"/>
          <w:color w:val="365F91" w:themeColor="accent1" w:themeShade="BF"/>
          <w:lang w:val="en-US" w:eastAsia="ja-JP"/>
        </w:rPr>
        <w:t xml:space="preserve">. While access to documents, under certain conditions, has </w:t>
      </w:r>
      <w:r w:rsidR="00EA7201" w:rsidRPr="00FE18D0">
        <w:rPr>
          <w:rFonts w:asciiTheme="majorHAnsi" w:hAnsiTheme="majorHAnsi" w:cs="Verdana"/>
          <w:color w:val="365F91" w:themeColor="accent1" w:themeShade="BF"/>
          <w:lang w:val="en-US" w:eastAsia="ja-JP"/>
        </w:rPr>
        <w:lastRenderedPageBreak/>
        <w:t>evolved into a procedural right, this is certainly not the case so far for the principles of participation and</w:t>
      </w:r>
      <w:r w:rsidR="000F24DA" w:rsidRPr="00FE18D0">
        <w:rPr>
          <w:rFonts w:asciiTheme="majorHAnsi" w:hAnsiTheme="majorHAnsi" w:cs="Verdana"/>
          <w:color w:val="365F91" w:themeColor="accent1" w:themeShade="BF"/>
          <w:lang w:val="en-US" w:eastAsia="ja-JP"/>
        </w:rPr>
        <w:t xml:space="preserve"> consultation. S</w:t>
      </w:r>
      <w:r w:rsidR="00EA7201" w:rsidRPr="00FE18D0">
        <w:rPr>
          <w:rFonts w:asciiTheme="majorHAnsi" w:hAnsiTheme="majorHAnsi" w:cs="Verdana"/>
          <w:color w:val="365F91" w:themeColor="accent1" w:themeShade="BF"/>
          <w:lang w:val="en-US" w:eastAsia="ja-JP"/>
        </w:rPr>
        <w:t>o far the Union Courts have been very reluctant to understand the</w:t>
      </w:r>
      <w:r w:rsidR="000F24DA" w:rsidRPr="00FE18D0">
        <w:rPr>
          <w:rFonts w:asciiTheme="majorHAnsi" w:hAnsiTheme="majorHAnsi" w:cs="Verdana"/>
          <w:color w:val="365F91" w:themeColor="accent1" w:themeShade="BF"/>
          <w:lang w:val="en-US" w:eastAsia="ja-JP"/>
        </w:rPr>
        <w:t>m in terms of procedural rights.</w:t>
      </w:r>
    </w:p>
    <w:p w14:paraId="67590EBB" w14:textId="77777777" w:rsidR="002139BC" w:rsidRPr="00FE18D0" w:rsidRDefault="002139BC" w:rsidP="000C5150">
      <w:pPr>
        <w:widowControl w:val="0"/>
        <w:autoSpaceDE w:val="0"/>
        <w:autoSpaceDN w:val="0"/>
        <w:adjustRightInd w:val="0"/>
        <w:spacing w:line="276" w:lineRule="auto"/>
        <w:jc w:val="both"/>
        <w:rPr>
          <w:rFonts w:asciiTheme="majorHAnsi" w:hAnsiTheme="majorHAnsi" w:cs="Tahoma"/>
          <w:color w:val="365F91" w:themeColor="accent1" w:themeShade="BF"/>
          <w:sz w:val="28"/>
          <w:szCs w:val="28"/>
          <w:lang w:val="en-US" w:eastAsia="ja-JP"/>
        </w:rPr>
      </w:pPr>
    </w:p>
    <w:p w14:paraId="5E97176A" w14:textId="77777777" w:rsidR="00E21B30" w:rsidRDefault="00B2015B" w:rsidP="000C5150">
      <w:pPr>
        <w:spacing w:line="276" w:lineRule="auto"/>
        <w:jc w:val="both"/>
        <w:rPr>
          <w:rFonts w:asciiTheme="majorHAnsi" w:hAnsiTheme="majorHAnsi" w:cs="Tahoma"/>
          <w:b/>
          <w:color w:val="365F91" w:themeColor="accent1" w:themeShade="BF"/>
          <w:lang w:val="en-US" w:eastAsia="ja-JP"/>
        </w:rPr>
      </w:pPr>
      <w:r w:rsidRPr="004F3F47">
        <w:rPr>
          <w:rFonts w:asciiTheme="majorHAnsi" w:hAnsiTheme="majorHAnsi" w:cs="Tahoma"/>
          <w:b/>
          <w:color w:val="365F91" w:themeColor="accent1" w:themeShade="BF"/>
          <w:lang w:val="en-US" w:eastAsia="ja-JP"/>
        </w:rPr>
        <w:t>3. The soft private regulation</w:t>
      </w:r>
      <w:r w:rsidR="00AA21F8" w:rsidRPr="004F3F47">
        <w:rPr>
          <w:rFonts w:asciiTheme="majorHAnsi" w:hAnsiTheme="majorHAnsi" w:cs="Tahoma"/>
          <w:b/>
          <w:color w:val="365F91" w:themeColor="accent1" w:themeShade="BF"/>
          <w:lang w:val="en-US" w:eastAsia="ja-JP"/>
        </w:rPr>
        <w:t xml:space="preserve"> dimension</w:t>
      </w:r>
    </w:p>
    <w:p w14:paraId="656A2488" w14:textId="77777777" w:rsidR="00D5662D" w:rsidRPr="004F3F47" w:rsidRDefault="00D5662D" w:rsidP="000C5150">
      <w:pPr>
        <w:spacing w:line="276" w:lineRule="auto"/>
        <w:jc w:val="both"/>
        <w:rPr>
          <w:rFonts w:asciiTheme="majorHAnsi" w:hAnsiTheme="majorHAnsi" w:cs="Tahoma"/>
          <w:b/>
          <w:color w:val="365F91" w:themeColor="accent1" w:themeShade="BF"/>
          <w:lang w:val="en-US" w:eastAsia="ja-JP"/>
        </w:rPr>
      </w:pPr>
    </w:p>
    <w:p w14:paraId="34086C3E" w14:textId="77777777" w:rsidR="00AA21F8" w:rsidRPr="004F3F47" w:rsidRDefault="00991FD8" w:rsidP="000C5150">
      <w:pPr>
        <w:spacing w:line="276" w:lineRule="auto"/>
        <w:jc w:val="both"/>
        <w:rPr>
          <w:rFonts w:asciiTheme="majorHAnsi" w:hAnsiTheme="majorHAnsi" w:cs="Tahoma"/>
          <w:color w:val="365F91" w:themeColor="accent1" w:themeShade="BF"/>
          <w:lang w:val="en-US" w:eastAsia="ja-JP"/>
        </w:rPr>
      </w:pPr>
      <w:r w:rsidRPr="004F3F47">
        <w:rPr>
          <w:rFonts w:asciiTheme="majorHAnsi" w:hAnsiTheme="majorHAnsi" w:cs="Tahoma"/>
          <w:color w:val="365F91" w:themeColor="accent1" w:themeShade="BF"/>
          <w:lang w:val="en-US" w:eastAsia="ja-JP"/>
        </w:rPr>
        <w:t>An exploration of the hard and soft norms of the core and peripheral public governance institutions of the EU might be thought to complete the set of those involved in law making. The concept of soft law highlights the capacity and tendency of public authorities to make rules which are intended to have effects but which are not binding. However, recent research on private regulation emphasizes the extent to which non-state bodies have become involved in both making and implementing norms. One response to the recognition of such private rule making is to suggest that this is undertake</w:t>
      </w:r>
      <w:r w:rsidR="00D5662D">
        <w:rPr>
          <w:rFonts w:asciiTheme="majorHAnsi" w:hAnsiTheme="majorHAnsi" w:cs="Tahoma"/>
          <w:color w:val="365F91" w:themeColor="accent1" w:themeShade="BF"/>
          <w:lang w:val="en-US" w:eastAsia="ja-JP"/>
        </w:rPr>
        <w:t>n</w:t>
      </w:r>
      <w:r w:rsidRPr="004F3F47">
        <w:rPr>
          <w:rFonts w:asciiTheme="majorHAnsi" w:hAnsiTheme="majorHAnsi" w:cs="Tahoma"/>
          <w:color w:val="365F91" w:themeColor="accent1" w:themeShade="BF"/>
          <w:lang w:val="en-US" w:eastAsia="ja-JP"/>
        </w:rPr>
        <w:t xml:space="preserve"> chiefly through consensual contractual mechanisms, as would be true of both bilateral contracts and associational self-regulatory regimes over long periods of time and thus to argue that the consideration of such mechanisms does not belong in an analysis of public law or soft law. However it is increasingly impossible to see such private regimes in isolation from public governance and public authority as they frequently involve implicit or explicit recognition by governmental bodies, sometimes through forms of delegation and sometimes through some form of adoption in the public sphere.</w:t>
      </w:r>
    </w:p>
    <w:p w14:paraId="422D6382" w14:textId="77777777" w:rsidR="00991FD8" w:rsidRPr="004F3F47" w:rsidRDefault="00991FD8" w:rsidP="000C5150">
      <w:pPr>
        <w:spacing w:line="276" w:lineRule="auto"/>
        <w:jc w:val="both"/>
        <w:rPr>
          <w:rFonts w:asciiTheme="majorHAnsi" w:hAnsiTheme="majorHAnsi" w:cs="Tahoma"/>
          <w:color w:val="365F91" w:themeColor="accent1" w:themeShade="BF"/>
          <w:lang w:val="en-US" w:eastAsia="ja-JP"/>
        </w:rPr>
      </w:pPr>
    </w:p>
    <w:p w14:paraId="624F5C06" w14:textId="77777777" w:rsidR="00991FD8" w:rsidRPr="004F3F47" w:rsidRDefault="00991FD8" w:rsidP="000C5150">
      <w:pPr>
        <w:spacing w:line="276" w:lineRule="auto"/>
        <w:jc w:val="both"/>
        <w:rPr>
          <w:rFonts w:asciiTheme="majorHAnsi" w:hAnsiTheme="majorHAnsi" w:cs="Tahoma"/>
          <w:color w:val="365F91" w:themeColor="accent1" w:themeShade="BF"/>
          <w:lang w:val="en-US" w:eastAsia="ja-JP"/>
        </w:rPr>
      </w:pPr>
      <w:r w:rsidRPr="004F3F47">
        <w:rPr>
          <w:rFonts w:asciiTheme="majorHAnsi" w:hAnsiTheme="majorHAnsi" w:cs="Tahoma"/>
          <w:color w:val="365F91" w:themeColor="accent1" w:themeShade="BF"/>
          <w:lang w:val="en-US" w:eastAsia="ja-JP"/>
        </w:rPr>
        <w:t xml:space="preserve">What kind of norms are we talking about? Much of the private law making occurs through contractual </w:t>
      </w:r>
      <w:proofErr w:type="gramStart"/>
      <w:r w:rsidRPr="004F3F47">
        <w:rPr>
          <w:rFonts w:asciiTheme="majorHAnsi" w:hAnsiTheme="majorHAnsi" w:cs="Tahoma"/>
          <w:color w:val="365F91" w:themeColor="accent1" w:themeShade="BF"/>
          <w:lang w:val="en-US" w:eastAsia="ja-JP"/>
        </w:rPr>
        <w:t>mechanisms which</w:t>
      </w:r>
      <w:proofErr w:type="gramEnd"/>
      <w:r w:rsidRPr="004F3F47">
        <w:rPr>
          <w:rFonts w:asciiTheme="majorHAnsi" w:hAnsiTheme="majorHAnsi" w:cs="Tahoma"/>
          <w:color w:val="365F91" w:themeColor="accent1" w:themeShade="BF"/>
          <w:lang w:val="en-US" w:eastAsia="ja-JP"/>
        </w:rPr>
        <w:t xml:space="preserve"> have the effect of making the norms legally binding and thus outwith the scope of an article on soft law. However, notwithstanding the importance of such private contractual governance, there are other important instances where </w:t>
      </w:r>
      <w:proofErr w:type="gramStart"/>
      <w:r w:rsidRPr="004F3F47">
        <w:rPr>
          <w:rFonts w:asciiTheme="majorHAnsi" w:hAnsiTheme="majorHAnsi" w:cs="Tahoma"/>
          <w:color w:val="365F91" w:themeColor="accent1" w:themeShade="BF"/>
          <w:lang w:val="en-US" w:eastAsia="ja-JP"/>
        </w:rPr>
        <w:t>norms which are made</w:t>
      </w:r>
      <w:proofErr w:type="gramEnd"/>
      <w:r w:rsidRPr="004F3F47">
        <w:rPr>
          <w:rFonts w:asciiTheme="majorHAnsi" w:hAnsiTheme="majorHAnsi" w:cs="Tahoma"/>
          <w:color w:val="365F91" w:themeColor="accent1" w:themeShade="BF"/>
          <w:lang w:val="en-US" w:eastAsia="ja-JP"/>
        </w:rPr>
        <w:t xml:space="preserve"> are soft in character, because they do not legally bind anyone, though their intended effects on behavior may be very widespread. We suggest in this article that such soft norms may take on characteristics of soft law where they are in some sense supported by public authority for their effectiveness. In such instances a public body may be thought of as loaning its public authority, enabling private actors to undertake legislative </w:t>
      </w:r>
      <w:proofErr w:type="gramStart"/>
      <w:r w:rsidRPr="004F3F47">
        <w:rPr>
          <w:rFonts w:asciiTheme="majorHAnsi" w:hAnsiTheme="majorHAnsi" w:cs="Tahoma"/>
          <w:color w:val="365F91" w:themeColor="accent1" w:themeShade="BF"/>
          <w:lang w:val="en-US" w:eastAsia="ja-JP"/>
        </w:rPr>
        <w:t>tasks which</w:t>
      </w:r>
      <w:proofErr w:type="gramEnd"/>
      <w:r w:rsidRPr="004F3F47">
        <w:rPr>
          <w:rFonts w:asciiTheme="majorHAnsi" w:hAnsiTheme="majorHAnsi" w:cs="Tahoma"/>
          <w:color w:val="365F91" w:themeColor="accent1" w:themeShade="BF"/>
          <w:lang w:val="en-US" w:eastAsia="ja-JP"/>
        </w:rPr>
        <w:t xml:space="preserve"> would otherwise be undertaken by governmental bodies. </w:t>
      </w:r>
    </w:p>
    <w:p w14:paraId="198A3E4E" w14:textId="77777777" w:rsidR="00991FD8" w:rsidRPr="004F3F47" w:rsidRDefault="00991FD8" w:rsidP="000C5150">
      <w:pPr>
        <w:spacing w:line="276" w:lineRule="auto"/>
        <w:jc w:val="both"/>
        <w:rPr>
          <w:rFonts w:asciiTheme="majorHAnsi" w:hAnsiTheme="majorHAnsi" w:cs="Tahoma"/>
          <w:color w:val="365F91" w:themeColor="accent1" w:themeShade="BF"/>
          <w:lang w:val="en-US" w:eastAsia="ja-JP"/>
        </w:rPr>
      </w:pPr>
      <w:r w:rsidRPr="004F3F47">
        <w:rPr>
          <w:rFonts w:asciiTheme="majorHAnsi" w:hAnsiTheme="majorHAnsi" w:cs="Tahoma"/>
          <w:color w:val="365F91" w:themeColor="accent1" w:themeShade="BF"/>
          <w:lang w:val="en-US" w:eastAsia="ja-JP"/>
        </w:rPr>
        <w:t>The idea that public bodies may loan their authority is not novel. Frank Partnoy’s concept of regulatory licensing is suggestive of public bodies loaning their authority to private organisations such as credit rating agencies by making compliance with the private norms an aspect of public regulatory scrutiny.</w:t>
      </w:r>
      <w:r w:rsidR="00927B3A" w:rsidRPr="004F3F47">
        <w:rPr>
          <w:rStyle w:val="Voetnootmarkering"/>
          <w:rFonts w:asciiTheme="majorHAnsi" w:hAnsiTheme="majorHAnsi" w:cs="Tahoma"/>
          <w:color w:val="365F91" w:themeColor="accent1" w:themeShade="BF"/>
          <w:lang w:val="en-US" w:eastAsia="ja-JP"/>
        </w:rPr>
        <w:footnoteReference w:id="51"/>
      </w:r>
      <w:r w:rsidRPr="004F3F47">
        <w:rPr>
          <w:rFonts w:asciiTheme="majorHAnsi" w:hAnsiTheme="majorHAnsi" w:cs="Tahoma"/>
          <w:color w:val="365F91" w:themeColor="accent1" w:themeShade="BF"/>
          <w:lang w:val="en-US" w:eastAsia="ja-JP"/>
        </w:rPr>
        <w:t xml:space="preserve"> </w:t>
      </w:r>
      <w:r w:rsidR="005A4682" w:rsidRPr="004F3F47">
        <w:rPr>
          <w:rFonts w:asciiTheme="majorHAnsi" w:hAnsiTheme="majorHAnsi" w:cs="Tahoma"/>
          <w:color w:val="365F91" w:themeColor="accent1" w:themeShade="BF"/>
          <w:lang w:val="en-US" w:eastAsia="ja-JP"/>
        </w:rPr>
        <w:t xml:space="preserve">In some instances the effect may be </w:t>
      </w:r>
      <w:r w:rsidR="00D5662D">
        <w:rPr>
          <w:rFonts w:asciiTheme="majorHAnsi" w:hAnsiTheme="majorHAnsi" w:cs="Tahoma"/>
          <w:color w:val="365F91" w:themeColor="accent1" w:themeShade="BF"/>
          <w:lang w:val="en-US" w:eastAsia="ja-JP"/>
        </w:rPr>
        <w:t xml:space="preserve">to </w:t>
      </w:r>
      <w:r w:rsidR="005A4682" w:rsidRPr="004F3F47">
        <w:rPr>
          <w:rFonts w:asciiTheme="majorHAnsi" w:hAnsiTheme="majorHAnsi" w:cs="Tahoma"/>
          <w:color w:val="365F91" w:themeColor="accent1" w:themeShade="BF"/>
          <w:lang w:val="en-US" w:eastAsia="ja-JP"/>
        </w:rPr>
        <w:t xml:space="preserve">turn the private rules into public law, because compliance with the </w:t>
      </w:r>
      <w:r w:rsidR="005A4682" w:rsidRPr="004F3F47">
        <w:rPr>
          <w:rFonts w:asciiTheme="majorHAnsi" w:hAnsiTheme="majorHAnsi" w:cs="Tahoma"/>
          <w:color w:val="365F91" w:themeColor="accent1" w:themeShade="BF"/>
          <w:lang w:val="en-US" w:eastAsia="ja-JP"/>
        </w:rPr>
        <w:lastRenderedPageBreak/>
        <w:t>norms is said to be a mandatory requirement. But just as commonly, it appears to us, the loaning of public authority underpins the authority of private norms without making them binding, thus generating a form of soft law emanating from private bodies.</w:t>
      </w:r>
    </w:p>
    <w:p w14:paraId="6784EDEE" w14:textId="77777777" w:rsidR="002B6055" w:rsidRDefault="00D47F19" w:rsidP="000C5150">
      <w:pPr>
        <w:spacing w:line="276" w:lineRule="auto"/>
        <w:jc w:val="both"/>
        <w:rPr>
          <w:rFonts w:asciiTheme="majorHAnsi" w:hAnsiTheme="majorHAnsi" w:cs="Tahoma"/>
          <w:color w:val="365F91" w:themeColor="accent1" w:themeShade="BF"/>
          <w:lang w:val="en-US" w:eastAsia="ja-JP"/>
        </w:rPr>
      </w:pPr>
      <w:r w:rsidRPr="004F3F47">
        <w:rPr>
          <w:rFonts w:asciiTheme="majorHAnsi" w:hAnsiTheme="majorHAnsi" w:cs="Tahoma"/>
          <w:color w:val="365F91" w:themeColor="accent1" w:themeShade="BF"/>
          <w:lang w:val="en-US" w:eastAsia="ja-JP"/>
        </w:rPr>
        <w:t xml:space="preserve">As noted, many examples of transnational private regulation involve the deployment of hard law in the form of contracts. Thus purchasers who claim adherence to regimes relating to sustainable forestery, such as that of the Forest Stewardship Council, specify compliance with and accreditation of the standards right down the supply chain. In the case of private food standards, such as those devised by GlobalGap, similarly contracts are deployed to give effect. There is limited engagement of public authorities and no strong sense that public authority, beyond the enforceability of contracts, underpins the normative force of the regime. In other cases, however, regulatory instruments have been developed by transnational private </w:t>
      </w:r>
      <w:proofErr w:type="gramStart"/>
      <w:r w:rsidRPr="004F3F47">
        <w:rPr>
          <w:rFonts w:asciiTheme="majorHAnsi" w:hAnsiTheme="majorHAnsi" w:cs="Tahoma"/>
          <w:color w:val="365F91" w:themeColor="accent1" w:themeShade="BF"/>
          <w:lang w:val="en-US" w:eastAsia="ja-JP"/>
        </w:rPr>
        <w:t>regulators which</w:t>
      </w:r>
      <w:proofErr w:type="gramEnd"/>
      <w:r w:rsidRPr="004F3F47">
        <w:rPr>
          <w:rFonts w:asciiTheme="majorHAnsi" w:hAnsiTheme="majorHAnsi" w:cs="Tahoma"/>
          <w:color w:val="365F91" w:themeColor="accent1" w:themeShade="BF"/>
          <w:lang w:val="en-US" w:eastAsia="ja-JP"/>
        </w:rPr>
        <w:t xml:space="preserve"> are soft in character, in the sense that they are not binding. A key example is provided by the case of the development of Best Practice Recommendations by the European Advertising Standards Alliance (EASA).</w:t>
      </w:r>
      <w:r w:rsidR="00BC3C7B" w:rsidRPr="004F3F47">
        <w:rPr>
          <w:rStyle w:val="Voetnootmarkering"/>
          <w:rFonts w:asciiTheme="majorHAnsi" w:hAnsiTheme="majorHAnsi" w:cs="Tahoma"/>
          <w:color w:val="365F91" w:themeColor="accent1" w:themeShade="BF"/>
          <w:lang w:val="en-US" w:eastAsia="ja-JP"/>
        </w:rPr>
        <w:footnoteReference w:id="52"/>
      </w:r>
      <w:r w:rsidRPr="004F3F47">
        <w:rPr>
          <w:rFonts w:asciiTheme="majorHAnsi" w:hAnsiTheme="majorHAnsi" w:cs="Tahoma"/>
          <w:color w:val="365F91" w:themeColor="accent1" w:themeShade="BF"/>
          <w:lang w:val="en-US" w:eastAsia="ja-JP"/>
        </w:rPr>
        <w:t xml:space="preserve"> EASA is the network of national self-regulatory bodies in the EU and beyond which address advertising content.</w:t>
      </w:r>
      <w:r w:rsidR="00BC3C7B" w:rsidRPr="004F3F47">
        <w:rPr>
          <w:rFonts w:asciiTheme="majorHAnsi" w:hAnsiTheme="majorHAnsi" w:cs="Tahoma"/>
          <w:color w:val="365F91" w:themeColor="accent1" w:themeShade="BF"/>
          <w:lang w:val="en-US" w:eastAsia="ja-JP"/>
        </w:rPr>
        <w:t xml:space="preserve"> Its membership includes</w:t>
      </w:r>
      <w:r w:rsidRPr="004F3F47">
        <w:rPr>
          <w:rFonts w:asciiTheme="majorHAnsi" w:hAnsiTheme="majorHAnsi" w:cs="Tahoma"/>
          <w:color w:val="365F91" w:themeColor="accent1" w:themeShade="BF"/>
          <w:lang w:val="en-US" w:eastAsia="ja-JP"/>
        </w:rPr>
        <w:t xml:space="preserve"> both the national self-regulatory bodies and industry representation. Whilst we may think of EASA’s emergence as a market driven measure designed to create reassurance for the public and confidence in the national self-regulatory bodies of the advertising industry, over time its activities in setting down norms have been observed by governmental bodies at national and EU level. Nationally, the </w:t>
      </w:r>
      <w:r w:rsidR="002B6055" w:rsidRPr="004F3F47">
        <w:rPr>
          <w:rFonts w:asciiTheme="majorHAnsi" w:hAnsiTheme="majorHAnsi" w:cs="Tahoma"/>
          <w:color w:val="365F91" w:themeColor="accent1" w:themeShade="BF"/>
          <w:lang w:val="en-US" w:eastAsia="ja-JP"/>
        </w:rPr>
        <w:t>UK communications regulator</w:t>
      </w:r>
      <w:r w:rsidRPr="004F3F47">
        <w:rPr>
          <w:rFonts w:asciiTheme="majorHAnsi" w:hAnsiTheme="majorHAnsi" w:cs="Tahoma"/>
          <w:color w:val="365F91" w:themeColor="accent1" w:themeShade="BF"/>
          <w:lang w:val="en-US" w:eastAsia="ja-JP"/>
        </w:rPr>
        <w:t>,</w:t>
      </w:r>
      <w:r w:rsidR="002B6055" w:rsidRPr="004F3F47">
        <w:rPr>
          <w:rFonts w:asciiTheme="majorHAnsi" w:hAnsiTheme="majorHAnsi" w:cs="Tahoma"/>
          <w:color w:val="365F91" w:themeColor="accent1" w:themeShade="BF"/>
          <w:lang w:val="en-US" w:eastAsia="ja-JP"/>
        </w:rPr>
        <w:t xml:space="preserve"> OFCOM</w:t>
      </w:r>
      <w:proofErr w:type="gramStart"/>
      <w:r w:rsidR="002B6055" w:rsidRPr="004F3F47">
        <w:rPr>
          <w:rFonts w:asciiTheme="majorHAnsi" w:hAnsiTheme="majorHAnsi" w:cs="Tahoma"/>
          <w:color w:val="365F91" w:themeColor="accent1" w:themeShade="BF"/>
          <w:lang w:val="en-US" w:eastAsia="ja-JP"/>
        </w:rPr>
        <w:t xml:space="preserve">, </w:t>
      </w:r>
      <w:r w:rsidRPr="004F3F47">
        <w:rPr>
          <w:rFonts w:asciiTheme="majorHAnsi" w:hAnsiTheme="majorHAnsi" w:cs="Tahoma"/>
          <w:color w:val="365F91" w:themeColor="accent1" w:themeShade="BF"/>
          <w:lang w:val="en-US" w:eastAsia="ja-JP"/>
        </w:rPr>
        <w:t xml:space="preserve"> observing</w:t>
      </w:r>
      <w:proofErr w:type="gramEnd"/>
      <w:r w:rsidRPr="004F3F47">
        <w:rPr>
          <w:rFonts w:asciiTheme="majorHAnsi" w:hAnsiTheme="majorHAnsi" w:cs="Tahoma"/>
          <w:color w:val="365F91" w:themeColor="accent1" w:themeShade="BF"/>
          <w:lang w:val="en-US" w:eastAsia="ja-JP"/>
        </w:rPr>
        <w:t xml:space="preserve"> the credibility of the national regime for self-regulation of print advertising, administered by the Advertising Standards Authority (ASA), decided in </w:t>
      </w:r>
      <w:r w:rsidR="00927B3A" w:rsidRPr="004F3F47">
        <w:rPr>
          <w:rFonts w:asciiTheme="majorHAnsi" w:hAnsiTheme="majorHAnsi" w:cs="Tahoma"/>
          <w:color w:val="365F91" w:themeColor="accent1" w:themeShade="BF"/>
          <w:lang w:val="en-US" w:eastAsia="ja-JP"/>
        </w:rPr>
        <w:t>2006</w:t>
      </w:r>
      <w:r w:rsidRPr="004F3F47">
        <w:rPr>
          <w:rFonts w:asciiTheme="majorHAnsi" w:hAnsiTheme="majorHAnsi" w:cs="Tahoma"/>
          <w:color w:val="365F91" w:themeColor="accent1" w:themeShade="BF"/>
          <w:lang w:val="en-US" w:eastAsia="ja-JP"/>
        </w:rPr>
        <w:t xml:space="preserve"> to delegate regulation of the content of broadcast advertising to the ASA also.</w:t>
      </w:r>
      <w:r w:rsidR="002B6055" w:rsidRPr="004F3F47">
        <w:rPr>
          <w:rFonts w:asciiTheme="majorHAnsi" w:hAnsiTheme="majorHAnsi" w:cs="Tahoma"/>
          <w:color w:val="365F91" w:themeColor="accent1" w:themeShade="BF"/>
          <w:lang w:val="en-US" w:eastAsia="ja-JP"/>
        </w:rPr>
        <w:t xml:space="preserve"> Thus the UK Code of Broadcast Advertising, developed by the ASA, is </w:t>
      </w:r>
    </w:p>
    <w:p w14:paraId="1DCF05D0" w14:textId="77777777" w:rsidR="004F3F47" w:rsidRPr="004F3F47" w:rsidRDefault="004F3F47" w:rsidP="000C5150">
      <w:pPr>
        <w:spacing w:line="276" w:lineRule="auto"/>
        <w:jc w:val="both"/>
        <w:rPr>
          <w:rFonts w:asciiTheme="majorHAnsi" w:hAnsiTheme="majorHAnsi" w:cs="Tahoma"/>
          <w:color w:val="365F91" w:themeColor="accent1" w:themeShade="BF"/>
          <w:sz w:val="20"/>
          <w:szCs w:val="20"/>
          <w:lang w:val="en-US" w:eastAsia="ja-JP"/>
        </w:rPr>
      </w:pPr>
    </w:p>
    <w:p w14:paraId="71A8BB1E" w14:textId="77777777" w:rsidR="00D47F19" w:rsidRPr="004F3F47" w:rsidRDefault="002B6055" w:rsidP="004F3F47">
      <w:pPr>
        <w:spacing w:line="276" w:lineRule="auto"/>
        <w:ind w:left="720"/>
        <w:jc w:val="both"/>
        <w:rPr>
          <w:rFonts w:asciiTheme="majorHAnsi" w:hAnsiTheme="majorHAnsi" w:cs="Tahoma"/>
          <w:color w:val="365F91" w:themeColor="accent1" w:themeShade="BF"/>
          <w:sz w:val="20"/>
          <w:szCs w:val="20"/>
          <w:lang w:val="en-US" w:eastAsia="ja-JP"/>
        </w:rPr>
      </w:pPr>
      <w:r w:rsidRPr="004F3F47">
        <w:rPr>
          <w:rFonts w:asciiTheme="majorHAnsi" w:hAnsiTheme="majorHAnsi" w:cs="Tahoma"/>
          <w:color w:val="365F91" w:themeColor="accent1" w:themeShade="BF"/>
          <w:sz w:val="20"/>
          <w:szCs w:val="20"/>
          <w:lang w:val="en-US" w:eastAsia="ja-JP"/>
        </w:rPr>
        <w:t>‘…</w:t>
      </w:r>
      <w:proofErr w:type="gramStart"/>
      <w:r w:rsidRPr="004F3F47">
        <w:rPr>
          <w:rFonts w:asciiTheme="majorHAnsi" w:hAnsiTheme="majorHAnsi"/>
          <w:sz w:val="20"/>
          <w:szCs w:val="20"/>
        </w:rPr>
        <w:t>designed</w:t>
      </w:r>
      <w:proofErr w:type="gramEnd"/>
      <w:r w:rsidRPr="004F3F47">
        <w:rPr>
          <w:rFonts w:asciiTheme="majorHAnsi" w:hAnsiTheme="majorHAnsi"/>
          <w:sz w:val="20"/>
          <w:szCs w:val="20"/>
        </w:rPr>
        <w:t xml:space="preserve"> to inform advertisers and broadcasters of the standards expected in the content and scheduling of broadcast advertisements…’</w:t>
      </w:r>
      <w:r w:rsidRPr="004F3F47">
        <w:rPr>
          <w:rStyle w:val="Voetnootmarkering"/>
          <w:rFonts w:asciiTheme="majorHAnsi" w:hAnsiTheme="majorHAnsi"/>
          <w:sz w:val="20"/>
          <w:szCs w:val="20"/>
        </w:rPr>
        <w:footnoteReference w:id="53"/>
      </w:r>
    </w:p>
    <w:p w14:paraId="2A1EB1FD" w14:textId="77777777" w:rsidR="004F3F47" w:rsidRDefault="004F3F47" w:rsidP="000C5150">
      <w:pPr>
        <w:spacing w:line="276" w:lineRule="auto"/>
        <w:jc w:val="both"/>
        <w:rPr>
          <w:rFonts w:asciiTheme="majorHAnsi" w:hAnsiTheme="majorHAnsi" w:cs="Tahoma"/>
          <w:color w:val="365F91" w:themeColor="accent1" w:themeShade="BF"/>
          <w:lang w:val="en-US" w:eastAsia="ja-JP"/>
        </w:rPr>
      </w:pPr>
    </w:p>
    <w:p w14:paraId="711F712C" w14:textId="08DE027E" w:rsidR="005A4682" w:rsidRPr="004F3F47" w:rsidRDefault="00927B3A" w:rsidP="000C5150">
      <w:pPr>
        <w:spacing w:line="276" w:lineRule="auto"/>
        <w:jc w:val="both"/>
        <w:rPr>
          <w:rFonts w:asciiTheme="majorHAnsi" w:hAnsiTheme="majorHAnsi" w:cs="Tahoma"/>
          <w:color w:val="365F91" w:themeColor="accent1" w:themeShade="BF"/>
          <w:lang w:val="en-US" w:eastAsia="ja-JP"/>
        </w:rPr>
      </w:pPr>
      <w:r w:rsidRPr="004F3F47">
        <w:rPr>
          <w:rFonts w:asciiTheme="majorHAnsi" w:hAnsiTheme="majorHAnsi" w:cs="Tahoma"/>
          <w:color w:val="365F91" w:themeColor="accent1" w:themeShade="BF"/>
          <w:lang w:val="en-US" w:eastAsia="ja-JP"/>
        </w:rPr>
        <w:t xml:space="preserve">Given the complaint-driven enforcement provisions of the ASA code, which includes the power to require any licensed broadcaster to pull an advertisement, and further back up sanctions held by OFCOM itself, using its statutory powers, we might think </w:t>
      </w:r>
      <w:proofErr w:type="gramStart"/>
      <w:r w:rsidRPr="004F3F47">
        <w:rPr>
          <w:rFonts w:asciiTheme="majorHAnsi" w:hAnsiTheme="majorHAnsi" w:cs="Tahoma"/>
          <w:color w:val="365F91" w:themeColor="accent1" w:themeShade="BF"/>
          <w:lang w:val="en-US" w:eastAsia="ja-JP"/>
        </w:rPr>
        <w:t>that</w:t>
      </w:r>
      <w:proofErr w:type="gramEnd"/>
      <w:r w:rsidRPr="004F3F47">
        <w:rPr>
          <w:rFonts w:asciiTheme="majorHAnsi" w:hAnsiTheme="majorHAnsi" w:cs="Tahoma"/>
          <w:color w:val="365F91" w:themeColor="accent1" w:themeShade="BF"/>
          <w:lang w:val="en-US" w:eastAsia="ja-JP"/>
        </w:rPr>
        <w:t xml:space="preserve"> the ASA Code is not particularly soft, though it does provide a clear example of public authority being loaned. At the European level, with EASA, the European Commission has become increasingly interested in how it may lend authority to self-</w:t>
      </w:r>
      <w:r w:rsidRPr="004F3F47">
        <w:rPr>
          <w:rFonts w:asciiTheme="majorHAnsi" w:hAnsiTheme="majorHAnsi" w:cs="Tahoma"/>
          <w:color w:val="365F91" w:themeColor="accent1" w:themeShade="BF"/>
          <w:lang w:val="en-US" w:eastAsia="ja-JP"/>
        </w:rPr>
        <w:lastRenderedPageBreak/>
        <w:t>regulatory schemes generally and EASA in particular.</w:t>
      </w:r>
      <w:r w:rsidRPr="004F3F47">
        <w:rPr>
          <w:rStyle w:val="Voetnootmarkering"/>
          <w:rFonts w:asciiTheme="majorHAnsi" w:hAnsiTheme="majorHAnsi" w:cs="Tahoma"/>
          <w:color w:val="365F91" w:themeColor="accent1" w:themeShade="BF"/>
          <w:lang w:val="en-US" w:eastAsia="ja-JP"/>
        </w:rPr>
        <w:footnoteReference w:id="54"/>
      </w:r>
      <w:r w:rsidR="00D47F19" w:rsidRPr="004F3F47">
        <w:rPr>
          <w:rFonts w:asciiTheme="majorHAnsi" w:hAnsiTheme="majorHAnsi" w:cs="Tahoma"/>
          <w:color w:val="365F91" w:themeColor="accent1" w:themeShade="BF"/>
          <w:lang w:val="en-US" w:eastAsia="ja-JP"/>
        </w:rPr>
        <w:t xml:space="preserve"> </w:t>
      </w:r>
      <w:r w:rsidRPr="004F3F47">
        <w:rPr>
          <w:rFonts w:asciiTheme="majorHAnsi" w:hAnsiTheme="majorHAnsi" w:cs="Tahoma"/>
          <w:color w:val="365F91" w:themeColor="accent1" w:themeShade="BF"/>
          <w:lang w:val="en-US" w:eastAsia="ja-JP"/>
        </w:rPr>
        <w:t>Thus when the European Commission became concerned about the need to regulate Online Behavioral Advertising, it did not feel able to encourage pure self-regulation by the IT industry, but did provide encouragement to EASA to broker a set of Best Practice Recommendations at the EU level, which are then diffused through take up by national self-regulatory bodies and industry actors.</w:t>
      </w:r>
      <w:r w:rsidR="00BC3C7B" w:rsidRPr="004F3F47">
        <w:rPr>
          <w:rStyle w:val="Voetnootmarkering"/>
          <w:rFonts w:asciiTheme="majorHAnsi" w:hAnsiTheme="majorHAnsi" w:cs="Tahoma"/>
          <w:color w:val="365F91" w:themeColor="accent1" w:themeShade="BF"/>
          <w:lang w:val="en-US" w:eastAsia="ja-JP"/>
        </w:rPr>
        <w:footnoteReference w:id="55"/>
      </w:r>
      <w:r w:rsidRPr="004F3F47">
        <w:rPr>
          <w:rFonts w:asciiTheme="majorHAnsi" w:hAnsiTheme="majorHAnsi" w:cs="Tahoma"/>
          <w:color w:val="365F91" w:themeColor="accent1" w:themeShade="BF"/>
          <w:lang w:val="en-US" w:eastAsia="ja-JP"/>
        </w:rPr>
        <w:t xml:space="preserve"> There can be no doubt that the force and effectiveness of this soft law instrument, while partially deriving from EASA’s authority, is amplified significantly by the engagement of the European Commission. </w:t>
      </w:r>
      <w:r w:rsidR="00BC3C7B" w:rsidRPr="004F3F47">
        <w:rPr>
          <w:rFonts w:asciiTheme="majorHAnsi" w:hAnsiTheme="majorHAnsi" w:cs="Tahoma"/>
          <w:color w:val="365F91" w:themeColor="accent1" w:themeShade="BF"/>
          <w:lang w:val="en-US" w:eastAsia="ja-JP"/>
        </w:rPr>
        <w:t>Thus, EASA Best Practice Recommendations, if they are a form of soft law, in the sense they are backed by loaned public authority, though made through the processes of a private organization, raise significant issues about both the character and oversight of law making.</w:t>
      </w:r>
    </w:p>
    <w:p w14:paraId="5E4587D0" w14:textId="77777777" w:rsidR="00BC3C7B" w:rsidRPr="004F3F47" w:rsidRDefault="00BC3C7B" w:rsidP="000C5150">
      <w:pPr>
        <w:spacing w:line="276" w:lineRule="auto"/>
        <w:jc w:val="both"/>
        <w:rPr>
          <w:rFonts w:asciiTheme="majorHAnsi" w:hAnsiTheme="majorHAnsi" w:cs="Tahoma"/>
          <w:color w:val="365F91" w:themeColor="accent1" w:themeShade="BF"/>
          <w:lang w:val="en-US" w:eastAsia="ja-JP"/>
        </w:rPr>
      </w:pPr>
      <w:r w:rsidRPr="004F3F47">
        <w:rPr>
          <w:rFonts w:asciiTheme="majorHAnsi" w:hAnsiTheme="majorHAnsi" w:cs="Tahoma"/>
          <w:color w:val="365F91" w:themeColor="accent1" w:themeShade="BF"/>
          <w:lang w:val="en-US" w:eastAsia="ja-JP"/>
        </w:rPr>
        <w:t xml:space="preserve">A further form of linkage between private norms and public authority occurs when governmental actors adopt private norms </w:t>
      </w:r>
      <w:r w:rsidRPr="004F3F47">
        <w:rPr>
          <w:rFonts w:asciiTheme="majorHAnsi" w:hAnsiTheme="majorHAnsi" w:cs="Tahoma"/>
          <w:i/>
          <w:color w:val="365F91" w:themeColor="accent1" w:themeShade="BF"/>
          <w:lang w:val="en-US" w:eastAsia="ja-JP"/>
        </w:rPr>
        <w:t>after</w:t>
      </w:r>
      <w:r w:rsidRPr="004F3F47">
        <w:rPr>
          <w:rFonts w:asciiTheme="majorHAnsi" w:hAnsiTheme="majorHAnsi" w:cs="Tahoma"/>
          <w:color w:val="365F91" w:themeColor="accent1" w:themeShade="BF"/>
          <w:lang w:val="en-US" w:eastAsia="ja-JP"/>
        </w:rPr>
        <w:t xml:space="preserve"> they have been promulgated. Often this will take the form of hardening the norms by making their take up mandatory. However, some EU instruments offer compliance with privately made norms as one mechanism for demonstrating compliance with a mandatory general principle, leaving the norm as soft in character, but backed by public authority in respect of its effectiveness.</w:t>
      </w:r>
      <w:r w:rsidRPr="004F3F47">
        <w:rPr>
          <w:rStyle w:val="Voetnootmarkering"/>
          <w:rFonts w:asciiTheme="majorHAnsi" w:hAnsiTheme="majorHAnsi" w:cs="Tahoma"/>
          <w:color w:val="365F91" w:themeColor="accent1" w:themeShade="BF"/>
          <w:lang w:val="en-US" w:eastAsia="ja-JP"/>
        </w:rPr>
        <w:footnoteReference w:id="56"/>
      </w:r>
      <w:r w:rsidRPr="004F3F47">
        <w:rPr>
          <w:rFonts w:asciiTheme="majorHAnsi" w:hAnsiTheme="majorHAnsi" w:cs="Tahoma"/>
          <w:color w:val="365F91" w:themeColor="accent1" w:themeShade="BF"/>
          <w:lang w:val="en-US" w:eastAsia="ja-JP"/>
        </w:rPr>
        <w:t xml:space="preserve"> Does the private norm, such as a technical standard, which is mandatory for no one, and thus soft, become soft </w:t>
      </w:r>
      <w:r w:rsidRPr="004F3F47">
        <w:rPr>
          <w:rFonts w:asciiTheme="majorHAnsi" w:hAnsiTheme="majorHAnsi" w:cs="Tahoma"/>
          <w:i/>
          <w:color w:val="365F91" w:themeColor="accent1" w:themeShade="BF"/>
          <w:lang w:val="en-US" w:eastAsia="ja-JP"/>
        </w:rPr>
        <w:t>law</w:t>
      </w:r>
      <w:r w:rsidRPr="004F3F47">
        <w:rPr>
          <w:rFonts w:asciiTheme="majorHAnsi" w:hAnsiTheme="majorHAnsi" w:cs="Tahoma"/>
          <w:color w:val="365F91" w:themeColor="accent1" w:themeShade="BF"/>
          <w:lang w:val="en-US" w:eastAsia="ja-JP"/>
        </w:rPr>
        <w:t>, when it remains non-mandatory, but compliance satisfies requirements with mandatory public requirements?</w:t>
      </w:r>
    </w:p>
    <w:p w14:paraId="35B7F3C9" w14:textId="77777777" w:rsidR="00B2015B" w:rsidRPr="004F3F47" w:rsidRDefault="00B2015B" w:rsidP="000C5150">
      <w:pPr>
        <w:spacing w:line="276" w:lineRule="auto"/>
        <w:jc w:val="both"/>
        <w:rPr>
          <w:rFonts w:asciiTheme="majorHAnsi" w:hAnsiTheme="majorHAnsi" w:cs="Tahoma"/>
          <w:color w:val="365F91" w:themeColor="accent1" w:themeShade="BF"/>
          <w:lang w:val="en-US" w:eastAsia="ja-JP"/>
        </w:rPr>
      </w:pPr>
    </w:p>
    <w:p w14:paraId="5FC81813" w14:textId="4EA0BE27" w:rsidR="00E21B30" w:rsidRPr="004F3F47" w:rsidRDefault="00BD513D" w:rsidP="000C5150">
      <w:pPr>
        <w:spacing w:line="276" w:lineRule="auto"/>
        <w:ind w:right="-205"/>
        <w:jc w:val="both"/>
        <w:rPr>
          <w:rFonts w:asciiTheme="majorHAnsi" w:hAnsiTheme="majorHAnsi"/>
          <w:iCs/>
          <w:color w:val="365F91" w:themeColor="accent1" w:themeShade="BF"/>
        </w:rPr>
      </w:pPr>
      <w:r w:rsidRPr="004F3F47">
        <w:rPr>
          <w:rFonts w:asciiTheme="majorHAnsi" w:eastAsia="SimSun" w:hAnsiTheme="majorHAnsi"/>
          <w:iCs/>
          <w:color w:val="365F91" w:themeColor="accent1" w:themeShade="BF"/>
          <w:kern w:val="1"/>
          <w:lang w:eastAsia="zh-CN" w:bidi="hi-IN"/>
        </w:rPr>
        <w:t xml:space="preserve">Thinking more generally about public-private relationships in regulatory regimes there is a variety of forms of complementarity between public and private action. </w:t>
      </w:r>
      <w:r w:rsidR="00E21B30" w:rsidRPr="004F3F47">
        <w:rPr>
          <w:rFonts w:asciiTheme="majorHAnsi" w:eastAsia="SimSun" w:hAnsiTheme="majorHAnsi"/>
          <w:iCs/>
          <w:color w:val="365F91" w:themeColor="accent1" w:themeShade="BF"/>
          <w:kern w:val="1"/>
          <w:lang w:eastAsia="zh-CN" w:bidi="hi-IN"/>
        </w:rPr>
        <w:t xml:space="preserve">The </w:t>
      </w:r>
      <w:r w:rsidR="00E21B30" w:rsidRPr="004F3F47">
        <w:rPr>
          <w:rFonts w:asciiTheme="majorHAnsi" w:eastAsia="SimSun" w:hAnsiTheme="majorHAnsi"/>
          <w:i/>
          <w:iCs/>
          <w:color w:val="365F91" w:themeColor="accent1" w:themeShade="BF"/>
          <w:kern w:val="1"/>
          <w:lang w:eastAsia="zh-CN" w:bidi="hi-IN"/>
        </w:rPr>
        <w:t>public-private axis</w:t>
      </w:r>
      <w:r w:rsidR="00E21B30" w:rsidRPr="004F3F47">
        <w:rPr>
          <w:rFonts w:asciiTheme="majorHAnsi" w:eastAsia="SimSun" w:hAnsiTheme="majorHAnsi"/>
          <w:iCs/>
          <w:color w:val="365F91" w:themeColor="accent1" w:themeShade="BF"/>
          <w:kern w:val="1"/>
          <w:lang w:eastAsia="zh-CN" w:bidi="hi-IN"/>
        </w:rPr>
        <w:t xml:space="preserve"> can be said to refer in particular to cases where complementarity comes about by way of public regulators actively involving private actors in public regulatory processes (co-regulation or conditioned self-regulation, delegation) or by public endorsement of private regulation in some form or another (ex-post administrative approval/policy alignment/legislative endorsement, incorporation otherwise in public standards</w:t>
      </w:r>
      <w:r w:rsidRPr="004F3F47">
        <w:rPr>
          <w:rFonts w:asciiTheme="majorHAnsi" w:eastAsia="SimSun" w:hAnsiTheme="majorHAnsi"/>
          <w:iCs/>
          <w:color w:val="365F91" w:themeColor="accent1" w:themeShade="BF"/>
          <w:kern w:val="1"/>
          <w:lang w:eastAsia="zh-CN" w:bidi="hi-IN"/>
        </w:rPr>
        <w:t>)</w:t>
      </w:r>
      <w:r w:rsidR="00E21B30" w:rsidRPr="004F3F47">
        <w:rPr>
          <w:rFonts w:asciiTheme="majorHAnsi" w:eastAsia="SimSun" w:hAnsiTheme="majorHAnsi"/>
          <w:iCs/>
          <w:color w:val="365F91" w:themeColor="accent1" w:themeShade="BF"/>
          <w:kern w:val="1"/>
          <w:lang w:eastAsia="zh-CN" w:bidi="hi-IN"/>
        </w:rPr>
        <w:t>.</w:t>
      </w:r>
      <w:r w:rsidR="00E21B30" w:rsidRPr="004F3F47">
        <w:rPr>
          <w:rFonts w:asciiTheme="majorHAnsi" w:hAnsiTheme="majorHAnsi"/>
          <w:i/>
          <w:iCs/>
          <w:color w:val="365F91" w:themeColor="accent1" w:themeShade="BF"/>
        </w:rPr>
        <w:t xml:space="preserve"> </w:t>
      </w:r>
      <w:r w:rsidR="00E21B30" w:rsidRPr="004F3F47">
        <w:rPr>
          <w:rFonts w:asciiTheme="majorHAnsi" w:hAnsiTheme="majorHAnsi"/>
          <w:iCs/>
          <w:color w:val="365F91" w:themeColor="accent1" w:themeShade="BF"/>
        </w:rPr>
        <w:t xml:space="preserve">The </w:t>
      </w:r>
      <w:r w:rsidR="00E21B30" w:rsidRPr="004F3F47">
        <w:rPr>
          <w:rFonts w:asciiTheme="majorHAnsi" w:hAnsiTheme="majorHAnsi"/>
          <w:i/>
          <w:color w:val="365F91" w:themeColor="accent1" w:themeShade="BF"/>
        </w:rPr>
        <w:t>private-&gt;public axis</w:t>
      </w:r>
      <w:r w:rsidR="00E21B30" w:rsidRPr="004F3F47">
        <w:rPr>
          <w:rFonts w:asciiTheme="majorHAnsi" w:hAnsiTheme="majorHAnsi"/>
          <w:iCs/>
          <w:color w:val="365F91" w:themeColor="accent1" w:themeShade="BF"/>
        </w:rPr>
        <w:t xml:space="preserve"> refers to cases where complementarity comes about as a result of the private regulator actively involving public actors in the private regulatory process by taking into account public standards in the private standard-setting (incorporation, reference, source of inspiration) or where private standards give effect to public standards (implementation). It may also be considered to refer to </w:t>
      </w:r>
      <w:r w:rsidR="00E21B30" w:rsidRPr="004F3F47">
        <w:rPr>
          <w:rFonts w:asciiTheme="majorHAnsi" w:hAnsiTheme="majorHAnsi"/>
          <w:iCs/>
          <w:color w:val="365F91" w:themeColor="accent1" w:themeShade="BF"/>
        </w:rPr>
        <w:lastRenderedPageBreak/>
        <w:t>cases where the development of a private standard has been incited by the absence of public standards, serving thus the purpose of gap filling. More generally, one can label these various forms of complementarity as regulatory complementarity. Such complementarity may not only concern the rulemaking level, but also the levels of implementation, monitoring and enforcement.</w:t>
      </w:r>
    </w:p>
    <w:p w14:paraId="1A507229" w14:textId="5BDF3A5E" w:rsidR="00E21B30" w:rsidRPr="004F3F47" w:rsidRDefault="00E21B30" w:rsidP="000C5150">
      <w:pPr>
        <w:spacing w:line="276" w:lineRule="auto"/>
        <w:ind w:right="-205"/>
        <w:jc w:val="both"/>
        <w:rPr>
          <w:rFonts w:asciiTheme="majorHAnsi" w:hAnsiTheme="majorHAnsi"/>
          <w:iCs/>
          <w:color w:val="365F91" w:themeColor="accent1" w:themeShade="BF"/>
        </w:rPr>
      </w:pPr>
      <w:r w:rsidRPr="004F3F47">
        <w:rPr>
          <w:rFonts w:asciiTheme="majorHAnsi" w:hAnsiTheme="majorHAnsi"/>
          <w:iCs/>
          <w:color w:val="365F91" w:themeColor="accent1" w:themeShade="BF"/>
        </w:rPr>
        <w:t xml:space="preserve">The </w:t>
      </w:r>
      <w:r w:rsidRPr="004F3F47">
        <w:rPr>
          <w:rFonts w:asciiTheme="majorHAnsi" w:hAnsiTheme="majorHAnsi"/>
          <w:i/>
          <w:iCs/>
          <w:color w:val="365F91" w:themeColor="accent1" w:themeShade="BF"/>
        </w:rPr>
        <w:t>mixed public-private axis</w:t>
      </w:r>
      <w:r w:rsidRPr="004F3F47">
        <w:rPr>
          <w:rFonts w:asciiTheme="majorHAnsi" w:hAnsiTheme="majorHAnsi"/>
          <w:iCs/>
          <w:color w:val="365F91" w:themeColor="accent1" w:themeShade="BF"/>
        </w:rPr>
        <w:t xml:space="preserve"> can be said to concern in particular those cases where there is rather question of joint public-private initiatives/standard-setting or of cooperation that is demonstrative of vertical complementarity in a more institutional way; initiatives geared towards enhancing consistent and integrated approaches, reducing overlap and duplication of efforts.</w:t>
      </w:r>
      <w:r w:rsidR="00BD513D" w:rsidRPr="004F3F47">
        <w:rPr>
          <w:rFonts w:asciiTheme="majorHAnsi" w:hAnsiTheme="majorHAnsi"/>
          <w:iCs/>
          <w:color w:val="365F91" w:themeColor="accent1" w:themeShade="BF"/>
        </w:rPr>
        <w:t xml:space="preserve"> This exemplifies</w:t>
      </w:r>
      <w:r w:rsidRPr="004F3F47">
        <w:rPr>
          <w:rFonts w:asciiTheme="majorHAnsi" w:hAnsiTheme="majorHAnsi"/>
          <w:iCs/>
          <w:color w:val="365F91" w:themeColor="accent1" w:themeShade="BF"/>
        </w:rPr>
        <w:t xml:space="preserve"> </w:t>
      </w:r>
      <w:proofErr w:type="gramStart"/>
      <w:r w:rsidRPr="004F3F47">
        <w:rPr>
          <w:rFonts w:asciiTheme="majorHAnsi" w:hAnsiTheme="majorHAnsi"/>
          <w:iCs/>
          <w:color w:val="365F91" w:themeColor="accent1" w:themeShade="BF"/>
        </w:rPr>
        <w:t>institutional  more</w:t>
      </w:r>
      <w:proofErr w:type="gramEnd"/>
      <w:r w:rsidRPr="004F3F47">
        <w:rPr>
          <w:rFonts w:asciiTheme="majorHAnsi" w:hAnsiTheme="majorHAnsi"/>
          <w:iCs/>
          <w:color w:val="365F91" w:themeColor="accent1" w:themeShade="BF"/>
        </w:rPr>
        <w:t xml:space="preserve"> than regulatory</w:t>
      </w:r>
      <w:r w:rsidR="00BD513D" w:rsidRPr="004F3F47">
        <w:rPr>
          <w:rFonts w:asciiTheme="majorHAnsi" w:hAnsiTheme="majorHAnsi"/>
          <w:iCs/>
          <w:color w:val="365F91" w:themeColor="accent1" w:themeShade="BF"/>
        </w:rPr>
        <w:t xml:space="preserve"> complementarity, but possibly describes the case of the EASA Best Practice Recommendations noted above.</w:t>
      </w:r>
    </w:p>
    <w:p w14:paraId="1B385FE5" w14:textId="77777777" w:rsidR="00E21B30" w:rsidRPr="004F3F47" w:rsidRDefault="00E21B30" w:rsidP="000C5150">
      <w:pPr>
        <w:spacing w:line="276" w:lineRule="auto"/>
        <w:jc w:val="both"/>
        <w:rPr>
          <w:rFonts w:asciiTheme="majorHAnsi" w:hAnsiTheme="majorHAnsi"/>
          <w:color w:val="365F91" w:themeColor="accent1" w:themeShade="BF"/>
        </w:rPr>
      </w:pPr>
    </w:p>
    <w:p w14:paraId="5CC3953A" w14:textId="77777777" w:rsidR="002139BC" w:rsidRPr="004F3F47" w:rsidRDefault="002139BC" w:rsidP="000C5150">
      <w:pPr>
        <w:spacing w:line="276" w:lineRule="auto"/>
        <w:jc w:val="both"/>
        <w:rPr>
          <w:rFonts w:asciiTheme="majorHAnsi" w:hAnsiTheme="majorHAnsi"/>
          <w:b/>
          <w:color w:val="365F91" w:themeColor="accent1" w:themeShade="BF"/>
        </w:rPr>
      </w:pPr>
      <w:r w:rsidRPr="004F3F47">
        <w:rPr>
          <w:rFonts w:asciiTheme="majorHAnsi" w:hAnsiTheme="majorHAnsi"/>
          <w:b/>
          <w:color w:val="365F91" w:themeColor="accent1" w:themeShade="BF"/>
        </w:rPr>
        <w:t xml:space="preserve">4. </w:t>
      </w:r>
      <w:r w:rsidR="00E60B1A" w:rsidRPr="004F3F47">
        <w:rPr>
          <w:rFonts w:asciiTheme="majorHAnsi" w:hAnsiTheme="majorHAnsi"/>
          <w:b/>
          <w:color w:val="365F91" w:themeColor="accent1" w:themeShade="BF"/>
        </w:rPr>
        <w:t xml:space="preserve">Provisional </w:t>
      </w:r>
      <w:r w:rsidR="00FE18D0" w:rsidRPr="004F3F47">
        <w:rPr>
          <w:rFonts w:asciiTheme="majorHAnsi" w:hAnsiTheme="majorHAnsi"/>
          <w:b/>
          <w:color w:val="365F91" w:themeColor="accent1" w:themeShade="BF"/>
        </w:rPr>
        <w:t>Concluding remarks</w:t>
      </w:r>
    </w:p>
    <w:p w14:paraId="5640C562" w14:textId="77777777" w:rsidR="002139BC" w:rsidRPr="004F3F47" w:rsidRDefault="002139BC" w:rsidP="000C5150">
      <w:pPr>
        <w:spacing w:line="276" w:lineRule="auto"/>
        <w:jc w:val="both"/>
        <w:rPr>
          <w:rFonts w:asciiTheme="majorHAnsi" w:hAnsiTheme="majorHAnsi"/>
          <w:color w:val="365F91" w:themeColor="accent1" w:themeShade="BF"/>
        </w:rPr>
      </w:pPr>
    </w:p>
    <w:p w14:paraId="0DE12F59" w14:textId="77777777" w:rsidR="002139BC" w:rsidRPr="004F3F47" w:rsidRDefault="002139BC" w:rsidP="000C5150">
      <w:pPr>
        <w:spacing w:line="276" w:lineRule="auto"/>
        <w:jc w:val="both"/>
        <w:rPr>
          <w:rFonts w:asciiTheme="majorHAnsi" w:hAnsiTheme="majorHAnsi"/>
          <w:color w:val="365F91" w:themeColor="accent1" w:themeShade="BF"/>
        </w:rPr>
      </w:pPr>
      <w:r w:rsidRPr="004F3F47">
        <w:rPr>
          <w:rFonts w:asciiTheme="majorHAnsi" w:hAnsiTheme="majorHAnsi"/>
          <w:color w:val="365F91" w:themeColor="accent1" w:themeShade="BF"/>
        </w:rPr>
        <w:t xml:space="preserve">What legitimacy problems </w:t>
      </w:r>
      <w:r w:rsidR="00B2015B" w:rsidRPr="004F3F47">
        <w:rPr>
          <w:rFonts w:asciiTheme="majorHAnsi" w:hAnsiTheme="majorHAnsi"/>
          <w:color w:val="365F91" w:themeColor="accent1" w:themeShade="BF"/>
        </w:rPr>
        <w:t>ensue from the soft-hard law configurations and complementarities we have identified in the paper</w:t>
      </w:r>
      <w:r w:rsidR="00954661" w:rsidRPr="004F3F47">
        <w:rPr>
          <w:rFonts w:asciiTheme="majorHAnsi" w:hAnsiTheme="majorHAnsi"/>
          <w:color w:val="365F91" w:themeColor="accent1" w:themeShade="BF"/>
        </w:rPr>
        <w:t>? Do we see already possibilities for dealing with such problems or remedies thereto?</w:t>
      </w:r>
    </w:p>
    <w:p w14:paraId="12E22EA5" w14:textId="77777777" w:rsidR="005A4682" w:rsidRPr="004F3F47" w:rsidRDefault="00BD513D" w:rsidP="000C5150">
      <w:pPr>
        <w:spacing w:line="276" w:lineRule="auto"/>
        <w:jc w:val="both"/>
        <w:rPr>
          <w:rFonts w:asciiTheme="majorHAnsi" w:hAnsiTheme="majorHAnsi"/>
          <w:color w:val="365F91" w:themeColor="accent1" w:themeShade="BF"/>
        </w:rPr>
      </w:pPr>
      <w:r w:rsidRPr="004F3F47">
        <w:rPr>
          <w:rFonts w:asciiTheme="majorHAnsi" w:hAnsiTheme="majorHAnsi"/>
          <w:color w:val="365F91" w:themeColor="accent1" w:themeShade="BF"/>
        </w:rPr>
        <w:t>Clearly the move of soft law, beyond instruments promulgated by the European Commission, to take in instruments from European agencies, European networks, and private regulators, further accentuates the constitutional difficulties of legal instruments, though they may be soft in character, which have considerable impact extending well beyond the parties which negotiate them (and thus represent forms of government rather than contract). In the administrative sphere, the difficulties of such soft law instruments include their virtual immunity from measures such as those developed under the rubric of better regulation or smart regulation as to monitor and minimise regulatory burdens or ensure that the demands of regulation are proportionate to the objectives being sought.</w:t>
      </w:r>
    </w:p>
    <w:p w14:paraId="0A242418" w14:textId="77777777" w:rsidR="00BD513D" w:rsidRPr="004F3F47" w:rsidRDefault="00BD513D" w:rsidP="000C5150">
      <w:pPr>
        <w:spacing w:line="276" w:lineRule="auto"/>
        <w:jc w:val="both"/>
        <w:rPr>
          <w:rFonts w:asciiTheme="majorHAnsi" w:hAnsiTheme="majorHAnsi"/>
          <w:color w:val="365F91" w:themeColor="accent1" w:themeShade="BF"/>
        </w:rPr>
      </w:pPr>
      <w:r w:rsidRPr="004F3F47">
        <w:rPr>
          <w:rFonts w:asciiTheme="majorHAnsi" w:hAnsiTheme="majorHAnsi"/>
          <w:color w:val="365F91" w:themeColor="accent1" w:themeShade="BF"/>
        </w:rPr>
        <w:t xml:space="preserve">One way to address these difficulties, not requiring amendment to the Treaties, is to expand the inter-institutional agreement on better law making. </w:t>
      </w:r>
      <w:r w:rsidRPr="004F3F47">
        <w:rPr>
          <w:rStyle w:val="Voetnootmarkering"/>
          <w:rFonts w:asciiTheme="majorHAnsi" w:hAnsiTheme="majorHAnsi"/>
          <w:color w:val="365F91" w:themeColor="accent1" w:themeShade="BF"/>
        </w:rPr>
        <w:footnoteReference w:id="57"/>
      </w:r>
      <w:r w:rsidRPr="004F3F47">
        <w:rPr>
          <w:rFonts w:asciiTheme="majorHAnsi" w:hAnsiTheme="majorHAnsi"/>
          <w:color w:val="365F91" w:themeColor="accent1" w:themeShade="BF"/>
        </w:rPr>
        <w:t xml:space="preserve"> In his letter to the European Parliament of 12 November 2014, setting out his priorities for 2015, Commission President, Jean-Claude Juncker indicated that a new agreement on better law making was very much a priority, to be overseen </w:t>
      </w:r>
      <w:proofErr w:type="gramStart"/>
      <w:r w:rsidRPr="004F3F47">
        <w:rPr>
          <w:rFonts w:asciiTheme="majorHAnsi" w:hAnsiTheme="majorHAnsi"/>
          <w:color w:val="365F91" w:themeColor="accent1" w:themeShade="BF"/>
        </w:rPr>
        <w:t>by  Vice</w:t>
      </w:r>
      <w:proofErr w:type="gramEnd"/>
      <w:r w:rsidRPr="004F3F47">
        <w:rPr>
          <w:rFonts w:asciiTheme="majorHAnsi" w:hAnsiTheme="majorHAnsi"/>
          <w:color w:val="365F91" w:themeColor="accent1" w:themeShade="BF"/>
        </w:rPr>
        <w:t xml:space="preserve"> President Frans Timmermans. A new agreement could offer not only a mechanism through which expanded soft law could be better observed and overseen, but also a means to legitimate self- and co-regulation and identify conditions under which </w:t>
      </w:r>
      <w:proofErr w:type="gramStart"/>
      <w:r w:rsidRPr="004F3F47">
        <w:rPr>
          <w:rFonts w:asciiTheme="majorHAnsi" w:hAnsiTheme="majorHAnsi"/>
          <w:color w:val="365F91" w:themeColor="accent1" w:themeShade="BF"/>
        </w:rPr>
        <w:t>delegation  to</w:t>
      </w:r>
      <w:proofErr w:type="gramEnd"/>
      <w:r w:rsidRPr="004F3F47">
        <w:rPr>
          <w:rFonts w:asciiTheme="majorHAnsi" w:hAnsiTheme="majorHAnsi"/>
          <w:color w:val="365F91" w:themeColor="accent1" w:themeShade="BF"/>
        </w:rPr>
        <w:t xml:space="preserve"> private actors could be more routinely undertaken</w:t>
      </w:r>
      <w:r w:rsidR="00E60B1A" w:rsidRPr="004F3F47">
        <w:rPr>
          <w:rFonts w:asciiTheme="majorHAnsi" w:hAnsiTheme="majorHAnsi"/>
          <w:color w:val="365F91" w:themeColor="accent1" w:themeShade="BF"/>
        </w:rPr>
        <w:t>.</w:t>
      </w:r>
    </w:p>
    <w:p w14:paraId="27897061" w14:textId="77777777" w:rsidR="002139BC" w:rsidRPr="004F3F47" w:rsidRDefault="002139BC" w:rsidP="000C5150">
      <w:pPr>
        <w:spacing w:line="276" w:lineRule="auto"/>
        <w:jc w:val="both"/>
        <w:rPr>
          <w:rFonts w:asciiTheme="majorHAnsi" w:hAnsiTheme="majorHAnsi"/>
          <w:color w:val="365F91" w:themeColor="accent1" w:themeShade="BF"/>
        </w:rPr>
      </w:pPr>
    </w:p>
    <w:sectPr w:rsidR="002139BC" w:rsidRPr="004F3F47" w:rsidSect="00EF0CCE">
      <w:footerReference w:type="even" r:id="rId20"/>
      <w:footerReference w:type="default" r:id="rId21"/>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512E8A" w14:textId="77777777" w:rsidR="00BF65F5" w:rsidRDefault="00BF65F5" w:rsidP="00E21B30">
      <w:r>
        <w:separator/>
      </w:r>
    </w:p>
  </w:endnote>
  <w:endnote w:type="continuationSeparator" w:id="0">
    <w:p w14:paraId="65DD5FEF" w14:textId="77777777" w:rsidR="00BF65F5" w:rsidRDefault="00BF65F5" w:rsidP="00E21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Arial-BoldMT">
    <w:altName w:val="Arial Unicode MS"/>
    <w:panose1 w:val="00000000000000000000"/>
    <w:charset w:val="80"/>
    <w:family w:val="auto"/>
    <w:notTrueType/>
    <w:pitch w:val="default"/>
    <w:sig w:usb0="00000001" w:usb1="08070000" w:usb2="00000010" w:usb3="00000000" w:csb0="00020000" w:csb1="00000000"/>
  </w:font>
  <w:font w:name="Lucida Sans Unicode">
    <w:panose1 w:val="020B0602030504020204"/>
    <w:charset w:val="00"/>
    <w:family w:val="auto"/>
    <w:pitch w:val="variable"/>
    <w:sig w:usb0="80000AFF" w:usb1="0000396B" w:usb2="00000000" w:usb3="00000000" w:csb0="000000BF" w:csb1="00000000"/>
  </w:font>
  <w:font w:name="Garamond">
    <w:panose1 w:val="02020404030301010803"/>
    <w:charset w:val="00"/>
    <w:family w:val="auto"/>
    <w:pitch w:val="variable"/>
    <w:sig w:usb0="00000003" w:usb1="00000000" w:usb2="00000000" w:usb3="00000000" w:csb0="00000001" w:csb1="00000000"/>
  </w:font>
  <w:font w:name="AdvP3E76B0">
    <w:panose1 w:val="00000000000000000000"/>
    <w:charset w:val="00"/>
    <w:family w:val="roman"/>
    <w:notTrueType/>
    <w:pitch w:val="default"/>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39D31" w14:textId="77777777" w:rsidR="00BF65F5" w:rsidRDefault="00BF65F5" w:rsidP="002D7FA5">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1FD21361" w14:textId="77777777" w:rsidR="00BF65F5" w:rsidRDefault="00BF65F5">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AF86F" w14:textId="77777777" w:rsidR="00BF65F5" w:rsidRDefault="00BF65F5" w:rsidP="002D7FA5">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F3F47">
      <w:rPr>
        <w:rStyle w:val="Paginanummer"/>
        <w:noProof/>
      </w:rPr>
      <w:t>1</w:t>
    </w:r>
    <w:r>
      <w:rPr>
        <w:rStyle w:val="Paginanummer"/>
      </w:rPr>
      <w:fldChar w:fldCharType="end"/>
    </w:r>
  </w:p>
  <w:p w14:paraId="79C992BD" w14:textId="77777777" w:rsidR="00BF65F5" w:rsidRDefault="00BF65F5">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E22E7E" w14:textId="77777777" w:rsidR="00BF65F5" w:rsidRDefault="00BF65F5" w:rsidP="00E21B30">
      <w:r>
        <w:separator/>
      </w:r>
    </w:p>
  </w:footnote>
  <w:footnote w:type="continuationSeparator" w:id="0">
    <w:p w14:paraId="425E5833" w14:textId="77777777" w:rsidR="00BF65F5" w:rsidRDefault="00BF65F5" w:rsidP="00E21B30">
      <w:r>
        <w:continuationSeparator/>
      </w:r>
    </w:p>
  </w:footnote>
  <w:footnote w:id="1">
    <w:p w14:paraId="0AD4DC71" w14:textId="77777777" w:rsidR="00BF65F5" w:rsidRPr="000C5150" w:rsidRDefault="00BF65F5" w:rsidP="00B27D57">
      <w:pPr>
        <w:pStyle w:val="Voetnoottekst"/>
        <w:rPr>
          <w:rFonts w:asciiTheme="majorHAnsi" w:hAnsiTheme="majorHAnsi"/>
          <w:color w:val="365F91" w:themeColor="accent1" w:themeShade="BF"/>
          <w:lang w:val="nl-NL"/>
        </w:rPr>
      </w:pPr>
      <w:r w:rsidRPr="000C5150">
        <w:rPr>
          <w:rStyle w:val="Voetnootmarkering"/>
          <w:rFonts w:asciiTheme="majorHAnsi" w:hAnsiTheme="majorHAnsi"/>
          <w:color w:val="365F91" w:themeColor="accent1" w:themeShade="BF"/>
        </w:rPr>
        <w:footnoteRef/>
      </w:r>
      <w:r w:rsidRPr="000C5150">
        <w:rPr>
          <w:rFonts w:asciiTheme="majorHAnsi" w:hAnsiTheme="majorHAnsi"/>
          <w:color w:val="365F91" w:themeColor="accent1" w:themeShade="BF"/>
        </w:rPr>
        <w:t xml:space="preserve"> It must be noted that while </w:t>
      </w:r>
      <w:r w:rsidRPr="000C5150">
        <w:rPr>
          <w:rFonts w:asciiTheme="majorHAnsi" w:hAnsiTheme="majorHAnsi"/>
          <w:color w:val="365F91" w:themeColor="accent1" w:themeShade="BF"/>
          <w:lang w:val="nl-NL"/>
        </w:rPr>
        <w:t>the description of the regulation and directive have remained unchanged, this has not been the case for the instrument of the decision; under the new formula, this instrument can in fact also be used as a generally applicable act and not just for individualized situations.</w:t>
      </w:r>
    </w:p>
  </w:footnote>
  <w:footnote w:id="2">
    <w:p w14:paraId="23199905" w14:textId="77777777" w:rsidR="00BF65F5" w:rsidRPr="000C5150" w:rsidRDefault="00BF65F5">
      <w:pPr>
        <w:pStyle w:val="Voetnoottekst"/>
        <w:rPr>
          <w:rFonts w:asciiTheme="majorHAnsi" w:hAnsiTheme="majorHAnsi"/>
          <w:color w:val="365F91" w:themeColor="accent1" w:themeShade="BF"/>
          <w:lang w:val="nl-NL"/>
        </w:rPr>
      </w:pPr>
      <w:r w:rsidRPr="000C5150">
        <w:rPr>
          <w:rStyle w:val="Voetnootmarkering"/>
          <w:rFonts w:asciiTheme="majorHAnsi" w:hAnsiTheme="majorHAnsi"/>
          <w:color w:val="365F91" w:themeColor="accent1" w:themeShade="BF"/>
        </w:rPr>
        <w:footnoteRef/>
      </w:r>
      <w:r w:rsidRPr="000C5150">
        <w:rPr>
          <w:rFonts w:asciiTheme="majorHAnsi" w:hAnsiTheme="majorHAnsi"/>
          <w:color w:val="365F91" w:themeColor="accent1" w:themeShade="BF"/>
        </w:rPr>
        <w:t xml:space="preserve"> </w:t>
      </w:r>
      <w:r w:rsidRPr="000C5150">
        <w:rPr>
          <w:rFonts w:asciiTheme="majorHAnsi" w:hAnsiTheme="majorHAnsi"/>
          <w:color w:val="365F91" w:themeColor="accent1" w:themeShade="BF"/>
          <w:lang w:val="nl-NL"/>
        </w:rPr>
        <w:t>In doing so, this paper draws very much on a study that was performed for the European Parliament, on Checks and Balances of Soft EU-Rulemaking, by A. van den Brink and L.A.J. Senden, 2012, which can be found at</w:t>
      </w:r>
      <w:r w:rsidRPr="000C5150">
        <w:rPr>
          <w:rFonts w:asciiTheme="majorHAnsi" w:hAnsiTheme="majorHAnsi"/>
          <w:color w:val="365F91" w:themeColor="accent1" w:themeShade="BF"/>
        </w:rPr>
        <w:t xml:space="preserve"> </w:t>
      </w:r>
      <w:r w:rsidRPr="000C5150">
        <w:rPr>
          <w:rFonts w:asciiTheme="majorHAnsi" w:hAnsiTheme="majorHAnsi"/>
          <w:color w:val="365F91" w:themeColor="accent1" w:themeShade="BF"/>
          <w:lang w:val="nl-NL"/>
        </w:rPr>
        <w:t>http://papers.ssrn.com/sol3/papers.cfm?abstract_id=2042480</w:t>
      </w:r>
    </w:p>
  </w:footnote>
  <w:footnote w:id="3">
    <w:p w14:paraId="2810109C" w14:textId="77777777" w:rsidR="00BF65F5" w:rsidRPr="000C5150" w:rsidRDefault="00BF65F5" w:rsidP="000C51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olor w:val="365F91" w:themeColor="accent1" w:themeShade="BF"/>
          <w:sz w:val="20"/>
          <w:szCs w:val="20"/>
          <w:lang w:val="nl-NL"/>
        </w:rPr>
      </w:pPr>
      <w:r w:rsidRPr="000C5150">
        <w:rPr>
          <w:rStyle w:val="Voetnootmarkering"/>
          <w:rFonts w:asciiTheme="majorHAnsi" w:hAnsiTheme="majorHAnsi"/>
          <w:color w:val="365F91" w:themeColor="accent1" w:themeShade="BF"/>
          <w:sz w:val="20"/>
          <w:szCs w:val="20"/>
        </w:rPr>
        <w:footnoteRef/>
      </w:r>
      <w:r w:rsidRPr="000C5150">
        <w:rPr>
          <w:rFonts w:asciiTheme="majorHAnsi" w:hAnsiTheme="majorHAnsi"/>
          <w:color w:val="365F91" w:themeColor="accent1" w:themeShade="BF"/>
          <w:sz w:val="20"/>
          <w:szCs w:val="20"/>
        </w:rPr>
        <w:t xml:space="preserve"> </w:t>
      </w:r>
      <w:r w:rsidRPr="000C5150">
        <w:rPr>
          <w:rFonts w:asciiTheme="majorHAnsi" w:hAnsiTheme="majorHAnsi" w:cs="Verdana"/>
          <w:color w:val="365F91" w:themeColor="accent1" w:themeShade="BF"/>
          <w:sz w:val="20"/>
          <w:szCs w:val="20"/>
          <w:lang w:val="en-US" w:eastAsia="ja-JP"/>
        </w:rPr>
        <w:t xml:space="preserve">C. Harlow, Three Phases in the Evolution of EU Administrative Law, in: P. Craig and G. De Burca, </w:t>
      </w:r>
      <w:r w:rsidRPr="000C5150">
        <w:rPr>
          <w:rFonts w:asciiTheme="majorHAnsi" w:hAnsiTheme="majorHAnsi" w:cs="Verdana"/>
          <w:i/>
          <w:iCs/>
          <w:color w:val="365F91" w:themeColor="accent1" w:themeShade="BF"/>
          <w:sz w:val="20"/>
          <w:szCs w:val="20"/>
          <w:lang w:val="en-US" w:eastAsia="ja-JP"/>
        </w:rPr>
        <w:t>The Evolution of EU Law</w:t>
      </w:r>
      <w:r w:rsidRPr="000C5150">
        <w:rPr>
          <w:rFonts w:asciiTheme="majorHAnsi" w:hAnsiTheme="majorHAnsi" w:cs="Verdana"/>
          <w:color w:val="365F91" w:themeColor="accent1" w:themeShade="BF"/>
          <w:sz w:val="20"/>
          <w:szCs w:val="20"/>
          <w:lang w:val="en-US" w:eastAsia="ja-JP"/>
        </w:rPr>
        <w:t xml:space="preserve">, OUP, 2011, at p. 443. Cf. also W.T. Eijsbouts, J.H. Jans, A. Prechal and L.A.J. Senden, </w:t>
      </w:r>
      <w:r w:rsidRPr="000C5150">
        <w:rPr>
          <w:rFonts w:asciiTheme="majorHAnsi" w:hAnsiTheme="majorHAnsi" w:cs="Verdana"/>
          <w:i/>
          <w:iCs/>
          <w:color w:val="365F91" w:themeColor="accent1" w:themeShade="BF"/>
          <w:sz w:val="20"/>
          <w:szCs w:val="20"/>
          <w:lang w:val="en-US" w:eastAsia="ja-JP"/>
        </w:rPr>
        <w:t>Europees recht. Algemeen deel</w:t>
      </w:r>
      <w:r w:rsidRPr="000C5150">
        <w:rPr>
          <w:rFonts w:asciiTheme="majorHAnsi" w:hAnsiTheme="majorHAnsi" w:cs="Verdana"/>
          <w:color w:val="365F91" w:themeColor="accent1" w:themeShade="BF"/>
          <w:sz w:val="20"/>
          <w:szCs w:val="20"/>
          <w:lang w:val="en-US" w:eastAsia="ja-JP"/>
        </w:rPr>
        <w:t xml:space="preserve">, Europa Law Publishing, 2010, third revised edition, p. 28. Cf. also Hofmann and Türk, </w:t>
      </w:r>
      <w:r w:rsidRPr="000C5150">
        <w:rPr>
          <w:rFonts w:asciiTheme="majorHAnsi" w:hAnsiTheme="majorHAnsi" w:cs="Verdana"/>
          <w:i/>
          <w:iCs/>
          <w:color w:val="365F91" w:themeColor="accent1" w:themeShade="BF"/>
          <w:sz w:val="20"/>
          <w:szCs w:val="20"/>
          <w:lang w:val="en-US" w:eastAsia="ja-JP"/>
        </w:rPr>
        <w:t xml:space="preserve">Legal Challenges in EU Administrative Law. </w:t>
      </w:r>
      <w:proofErr w:type="gramStart"/>
      <w:r w:rsidRPr="000C5150">
        <w:rPr>
          <w:rFonts w:asciiTheme="majorHAnsi" w:hAnsiTheme="majorHAnsi" w:cs="Verdana"/>
          <w:i/>
          <w:iCs/>
          <w:color w:val="365F91" w:themeColor="accent1" w:themeShade="BF"/>
          <w:sz w:val="20"/>
          <w:szCs w:val="20"/>
          <w:lang w:val="en-US" w:eastAsia="ja-JP"/>
        </w:rPr>
        <w:t>Towards an Integrated Administration</w:t>
      </w:r>
      <w:r w:rsidRPr="000C5150">
        <w:rPr>
          <w:rFonts w:asciiTheme="majorHAnsi" w:hAnsiTheme="majorHAnsi" w:cs="Verdana"/>
          <w:color w:val="365F91" w:themeColor="accent1" w:themeShade="BF"/>
          <w:sz w:val="20"/>
          <w:szCs w:val="20"/>
          <w:lang w:val="en-US" w:eastAsia="ja-JP"/>
        </w:rPr>
        <w:t>, Edward Elgar, 2009.</w:t>
      </w:r>
      <w:proofErr w:type="gramEnd"/>
      <w:r w:rsidRPr="000C5150">
        <w:rPr>
          <w:rFonts w:asciiTheme="majorHAnsi" w:hAnsiTheme="majorHAnsi"/>
          <w:color w:val="365F91" w:themeColor="accent1" w:themeShade="BF"/>
          <w:lang w:val="nl-NL"/>
        </w:rPr>
        <w:t xml:space="preserve"> </w:t>
      </w:r>
    </w:p>
  </w:footnote>
  <w:footnote w:id="4">
    <w:p w14:paraId="0B5A0891" w14:textId="77777777" w:rsidR="00BF65F5" w:rsidRPr="000C5150" w:rsidRDefault="00BF65F5">
      <w:pPr>
        <w:pStyle w:val="Voetnoottekst"/>
        <w:rPr>
          <w:rFonts w:asciiTheme="majorHAnsi" w:hAnsiTheme="majorHAnsi"/>
          <w:color w:val="365F91" w:themeColor="accent1" w:themeShade="BF"/>
          <w:lang w:val="nl-NL"/>
        </w:rPr>
      </w:pPr>
      <w:r w:rsidRPr="000C5150">
        <w:rPr>
          <w:rStyle w:val="Voetnootmarkering"/>
          <w:rFonts w:asciiTheme="majorHAnsi" w:hAnsiTheme="majorHAnsi"/>
          <w:color w:val="365F91" w:themeColor="accent1" w:themeShade="BF"/>
        </w:rPr>
        <w:footnoteRef/>
      </w:r>
      <w:r w:rsidRPr="000C5150">
        <w:rPr>
          <w:rFonts w:asciiTheme="majorHAnsi" w:hAnsiTheme="majorHAnsi"/>
          <w:color w:val="365F91" w:themeColor="accent1" w:themeShade="BF"/>
        </w:rPr>
        <w:t xml:space="preserve"> </w:t>
      </w:r>
      <w:r w:rsidRPr="000C5150">
        <w:rPr>
          <w:rFonts w:asciiTheme="majorHAnsi" w:hAnsiTheme="majorHAnsi" w:cs="Verdana"/>
          <w:color w:val="365F91" w:themeColor="accent1" w:themeShade="BF"/>
          <w:lang w:eastAsia="ja-JP"/>
        </w:rPr>
        <w:t xml:space="preserve">Cf. also J. Ziller, Alternatives in Drafting an EU Administrative Procedure Law, </w:t>
      </w:r>
      <w:r w:rsidRPr="000C5150">
        <w:rPr>
          <w:rFonts w:asciiTheme="majorHAnsi" w:hAnsiTheme="majorHAnsi" w:cs="Verdana"/>
          <w:i/>
          <w:iCs/>
          <w:color w:val="365F91" w:themeColor="accent1" w:themeShade="BF"/>
          <w:lang w:eastAsia="ja-JP"/>
        </w:rPr>
        <w:t xml:space="preserve">PE </w:t>
      </w:r>
      <w:r w:rsidRPr="000C5150">
        <w:rPr>
          <w:rFonts w:asciiTheme="majorHAnsi" w:hAnsiTheme="majorHAnsi" w:cs="Verdana"/>
          <w:color w:val="365F91" w:themeColor="accent1" w:themeShade="BF"/>
          <w:lang w:eastAsia="ja-JP"/>
        </w:rPr>
        <w:t>462.417, p. 11</w:t>
      </w:r>
    </w:p>
  </w:footnote>
  <w:footnote w:id="5">
    <w:p w14:paraId="180758A0" w14:textId="77777777" w:rsidR="00BF65F5" w:rsidRPr="000C5150" w:rsidRDefault="00BF65F5">
      <w:pPr>
        <w:pStyle w:val="Voetnoottekst"/>
        <w:rPr>
          <w:rFonts w:asciiTheme="majorHAnsi" w:hAnsiTheme="majorHAnsi"/>
          <w:color w:val="365F91" w:themeColor="accent1" w:themeShade="BF"/>
          <w:lang w:val="nl-NL"/>
        </w:rPr>
      </w:pPr>
      <w:r w:rsidRPr="000C5150">
        <w:rPr>
          <w:rStyle w:val="Voetnootmarkering"/>
          <w:rFonts w:asciiTheme="majorHAnsi" w:hAnsiTheme="majorHAnsi"/>
          <w:color w:val="365F91" w:themeColor="accent1" w:themeShade="BF"/>
        </w:rPr>
        <w:footnoteRef/>
      </w:r>
      <w:r w:rsidRPr="000C5150">
        <w:rPr>
          <w:rFonts w:asciiTheme="majorHAnsi" w:hAnsiTheme="majorHAnsi"/>
          <w:color w:val="365F91" w:themeColor="accent1" w:themeShade="BF"/>
        </w:rPr>
        <w:t xml:space="preserve"> </w:t>
      </w:r>
      <w:proofErr w:type="gramStart"/>
      <w:r w:rsidRPr="000C5150">
        <w:rPr>
          <w:rFonts w:asciiTheme="majorHAnsi" w:hAnsiTheme="majorHAnsi" w:cs="Verdana"/>
          <w:color w:val="365F91" w:themeColor="accent1" w:themeShade="BF"/>
          <w:lang w:eastAsia="ja-JP"/>
        </w:rPr>
        <w:t xml:space="preserve">Harlow 2011, </w:t>
      </w:r>
      <w:r w:rsidRPr="000C5150">
        <w:rPr>
          <w:rFonts w:asciiTheme="majorHAnsi" w:hAnsiTheme="majorHAnsi" w:cs="Verdana"/>
          <w:i/>
          <w:iCs/>
          <w:color w:val="365F91" w:themeColor="accent1" w:themeShade="BF"/>
          <w:lang w:eastAsia="ja-JP"/>
        </w:rPr>
        <w:t>op. cit</w:t>
      </w:r>
      <w:r w:rsidRPr="000C5150">
        <w:rPr>
          <w:rFonts w:asciiTheme="majorHAnsi" w:hAnsiTheme="majorHAnsi" w:cs="Verdana"/>
          <w:color w:val="365F91" w:themeColor="accent1" w:themeShade="BF"/>
          <w:lang w:eastAsia="ja-JP"/>
        </w:rPr>
        <w:t>.</w:t>
      </w:r>
      <w:proofErr w:type="gramEnd"/>
    </w:p>
  </w:footnote>
  <w:footnote w:id="6">
    <w:p w14:paraId="6CDFC392" w14:textId="77777777" w:rsidR="00BF65F5" w:rsidRPr="000C5150" w:rsidRDefault="00BF65F5">
      <w:pPr>
        <w:pStyle w:val="Voetnoottekst"/>
        <w:rPr>
          <w:rFonts w:asciiTheme="majorHAnsi" w:hAnsiTheme="majorHAnsi"/>
          <w:color w:val="365F91" w:themeColor="accent1" w:themeShade="BF"/>
          <w:lang w:val="nl-NL"/>
        </w:rPr>
      </w:pPr>
      <w:r w:rsidRPr="000C5150">
        <w:rPr>
          <w:rStyle w:val="Voetnootmarkering"/>
          <w:rFonts w:asciiTheme="majorHAnsi" w:hAnsiTheme="majorHAnsi"/>
          <w:color w:val="365F91" w:themeColor="accent1" w:themeShade="BF"/>
        </w:rPr>
        <w:footnoteRef/>
      </w:r>
      <w:r w:rsidRPr="000C5150">
        <w:rPr>
          <w:rFonts w:asciiTheme="majorHAnsi" w:hAnsiTheme="majorHAnsi"/>
          <w:color w:val="365F91" w:themeColor="accent1" w:themeShade="BF"/>
        </w:rPr>
        <w:t xml:space="preserve"> </w:t>
      </w:r>
      <w:r w:rsidRPr="000C5150">
        <w:rPr>
          <w:rFonts w:asciiTheme="majorHAnsi" w:hAnsiTheme="majorHAnsi" w:cs="Verdana"/>
          <w:color w:val="365F91" w:themeColor="accent1" w:themeShade="BF"/>
          <w:lang w:eastAsia="ja-JP"/>
        </w:rPr>
        <w:t xml:space="preserve">Senden 2004, </w:t>
      </w:r>
      <w:r w:rsidRPr="000C5150">
        <w:rPr>
          <w:rFonts w:asciiTheme="majorHAnsi" w:hAnsiTheme="majorHAnsi" w:cs="Verdana"/>
          <w:i/>
          <w:iCs/>
          <w:color w:val="365F91" w:themeColor="accent1" w:themeShade="BF"/>
          <w:lang w:eastAsia="ja-JP"/>
        </w:rPr>
        <w:t>op. cit</w:t>
      </w:r>
    </w:p>
  </w:footnote>
  <w:footnote w:id="7">
    <w:p w14:paraId="5F5EA2E3" w14:textId="77777777" w:rsidR="00BF65F5" w:rsidRPr="000C5150" w:rsidRDefault="00BF65F5">
      <w:pPr>
        <w:pStyle w:val="Voetnoottekst"/>
        <w:rPr>
          <w:rFonts w:asciiTheme="majorHAnsi" w:hAnsiTheme="majorHAnsi"/>
          <w:color w:val="365F91" w:themeColor="accent1" w:themeShade="BF"/>
          <w:lang w:val="nl-NL"/>
        </w:rPr>
      </w:pPr>
      <w:r w:rsidRPr="000C5150">
        <w:rPr>
          <w:rStyle w:val="Voetnootmarkering"/>
          <w:rFonts w:asciiTheme="majorHAnsi" w:hAnsiTheme="majorHAnsi"/>
          <w:color w:val="365F91" w:themeColor="accent1" w:themeShade="BF"/>
        </w:rPr>
        <w:footnoteRef/>
      </w:r>
      <w:r w:rsidRPr="000C5150">
        <w:rPr>
          <w:rFonts w:asciiTheme="majorHAnsi" w:hAnsiTheme="majorHAnsi"/>
          <w:color w:val="365F91" w:themeColor="accent1" w:themeShade="BF"/>
        </w:rPr>
        <w:t xml:space="preserve"> </w:t>
      </w:r>
      <w:r w:rsidRPr="000C5150">
        <w:rPr>
          <w:rFonts w:asciiTheme="majorHAnsi" w:hAnsiTheme="majorHAnsi" w:cs="Verdana"/>
          <w:color w:val="365F91" w:themeColor="accent1" w:themeShade="BF"/>
          <w:lang w:eastAsia="ja-JP"/>
        </w:rPr>
        <w:t xml:space="preserve">For the use of this terminology, see Senden 2004, </w:t>
      </w:r>
      <w:r w:rsidRPr="000C5150">
        <w:rPr>
          <w:rFonts w:asciiTheme="majorHAnsi" w:hAnsiTheme="majorHAnsi" w:cs="Verdana"/>
          <w:i/>
          <w:iCs/>
          <w:color w:val="365F91" w:themeColor="accent1" w:themeShade="BF"/>
          <w:lang w:eastAsia="ja-JP"/>
        </w:rPr>
        <w:t>op. cit</w:t>
      </w:r>
    </w:p>
  </w:footnote>
  <w:footnote w:id="8">
    <w:p w14:paraId="4C9BB934" w14:textId="77777777" w:rsidR="00BF65F5" w:rsidRPr="000C5150" w:rsidRDefault="00BF65F5">
      <w:pPr>
        <w:pStyle w:val="Voetnoottekst"/>
        <w:rPr>
          <w:rFonts w:asciiTheme="majorHAnsi" w:hAnsiTheme="majorHAnsi"/>
          <w:color w:val="365F91" w:themeColor="accent1" w:themeShade="BF"/>
          <w:lang w:val="nl-NL"/>
        </w:rPr>
      </w:pPr>
      <w:r w:rsidRPr="000C5150">
        <w:rPr>
          <w:rStyle w:val="Voetnootmarkering"/>
          <w:rFonts w:asciiTheme="majorHAnsi" w:hAnsiTheme="majorHAnsi"/>
          <w:color w:val="365F91" w:themeColor="accent1" w:themeShade="BF"/>
        </w:rPr>
        <w:footnoteRef/>
      </w:r>
      <w:r w:rsidRPr="000C5150">
        <w:rPr>
          <w:rFonts w:asciiTheme="majorHAnsi" w:hAnsiTheme="majorHAnsi"/>
          <w:color w:val="365F91" w:themeColor="accent1" w:themeShade="BF"/>
        </w:rPr>
        <w:t xml:space="preserve"> </w:t>
      </w:r>
      <w:r w:rsidRPr="000C5150">
        <w:rPr>
          <w:rFonts w:asciiTheme="majorHAnsi" w:hAnsiTheme="majorHAnsi" w:cs="Verdana"/>
          <w:color w:val="365F91" w:themeColor="accent1" w:themeShade="BF"/>
          <w:lang w:eastAsia="ja-JP"/>
        </w:rPr>
        <w:t xml:space="preserve">Commission communication on the Implementation of Article 260(3) TFEU, </w:t>
      </w:r>
      <w:r w:rsidRPr="000C5150">
        <w:rPr>
          <w:rFonts w:asciiTheme="majorHAnsi" w:hAnsiTheme="majorHAnsi" w:cs="Verdana"/>
          <w:i/>
          <w:iCs/>
          <w:color w:val="365F91" w:themeColor="accent1" w:themeShade="BF"/>
          <w:lang w:eastAsia="ja-JP"/>
        </w:rPr>
        <w:t xml:space="preserve">COM </w:t>
      </w:r>
      <w:r w:rsidRPr="000C5150">
        <w:rPr>
          <w:rFonts w:asciiTheme="majorHAnsi" w:hAnsiTheme="majorHAnsi" w:cs="Verdana"/>
          <w:color w:val="365F91" w:themeColor="accent1" w:themeShade="BF"/>
          <w:lang w:eastAsia="ja-JP"/>
        </w:rPr>
        <w:t>2010 1371 fin</w:t>
      </w:r>
    </w:p>
  </w:footnote>
  <w:footnote w:id="9">
    <w:p w14:paraId="0D1CD876" w14:textId="77777777" w:rsidR="00BF65F5" w:rsidRPr="000C5150" w:rsidRDefault="00BF65F5">
      <w:pPr>
        <w:pStyle w:val="Voetnoottekst"/>
        <w:rPr>
          <w:rFonts w:asciiTheme="majorHAnsi" w:hAnsiTheme="majorHAnsi"/>
          <w:color w:val="365F91" w:themeColor="accent1" w:themeShade="BF"/>
          <w:lang w:val="nl-NL"/>
        </w:rPr>
      </w:pPr>
      <w:r w:rsidRPr="000C5150">
        <w:rPr>
          <w:rStyle w:val="Voetnootmarkering"/>
          <w:rFonts w:asciiTheme="majorHAnsi" w:hAnsiTheme="majorHAnsi"/>
          <w:color w:val="365F91" w:themeColor="accent1" w:themeShade="BF"/>
        </w:rPr>
        <w:footnoteRef/>
      </w:r>
      <w:r w:rsidRPr="000C5150">
        <w:rPr>
          <w:rFonts w:asciiTheme="majorHAnsi" w:hAnsiTheme="majorHAnsi"/>
          <w:color w:val="365F91" w:themeColor="accent1" w:themeShade="BF"/>
        </w:rPr>
        <w:t xml:space="preserve"> </w:t>
      </w:r>
      <w:r w:rsidRPr="000C5150">
        <w:rPr>
          <w:rFonts w:asciiTheme="majorHAnsi" w:hAnsiTheme="majorHAnsi" w:cs="Verdana"/>
          <w:color w:val="365F91" w:themeColor="accent1" w:themeShade="BF"/>
          <w:lang w:eastAsia="ja-JP"/>
        </w:rPr>
        <w:t xml:space="preserve">It is not clear from the outset whether the rules established by such a committee are to be attributed to the Commission or not. See for example the Conclusions of the Customs Committee in Case C-311/04, </w:t>
      </w:r>
      <w:r w:rsidRPr="000C5150">
        <w:rPr>
          <w:rFonts w:asciiTheme="majorHAnsi" w:hAnsiTheme="majorHAnsi" w:cs="Verdana"/>
          <w:i/>
          <w:iCs/>
          <w:color w:val="365F91" w:themeColor="accent1" w:themeShade="BF"/>
          <w:lang w:eastAsia="ja-JP"/>
        </w:rPr>
        <w:t>Algemene Scheeps Agentuur Dordrecht</w:t>
      </w:r>
      <w:r w:rsidRPr="000C5150">
        <w:rPr>
          <w:rFonts w:asciiTheme="majorHAnsi" w:hAnsiTheme="majorHAnsi" w:cs="Verdana"/>
          <w:color w:val="365F91" w:themeColor="accent1" w:themeShade="BF"/>
          <w:lang w:eastAsia="ja-JP"/>
        </w:rPr>
        <w:t xml:space="preserve">, [2006] </w:t>
      </w:r>
      <w:proofErr w:type="gramStart"/>
      <w:r w:rsidRPr="000C5150">
        <w:rPr>
          <w:rFonts w:asciiTheme="majorHAnsi" w:hAnsiTheme="majorHAnsi" w:cs="Verdana"/>
          <w:color w:val="365F91" w:themeColor="accent1" w:themeShade="BF"/>
          <w:lang w:eastAsia="ja-JP"/>
        </w:rPr>
        <w:t>ECR</w:t>
      </w:r>
      <w:proofErr w:type="gramEnd"/>
      <w:r w:rsidRPr="000C5150">
        <w:rPr>
          <w:rFonts w:asciiTheme="majorHAnsi" w:hAnsiTheme="majorHAnsi" w:cs="Verdana"/>
          <w:color w:val="365F91" w:themeColor="accent1" w:themeShade="BF"/>
          <w:lang w:eastAsia="ja-JP"/>
        </w:rPr>
        <w:t xml:space="preserve"> I-609.</w:t>
      </w:r>
    </w:p>
  </w:footnote>
  <w:footnote w:id="10">
    <w:p w14:paraId="26A8CECE" w14:textId="77777777" w:rsidR="00BF65F5" w:rsidRPr="000C5150" w:rsidRDefault="00BF65F5">
      <w:pPr>
        <w:pStyle w:val="Voetnoottekst"/>
        <w:rPr>
          <w:rFonts w:asciiTheme="majorHAnsi" w:hAnsiTheme="majorHAnsi"/>
          <w:color w:val="365F91" w:themeColor="accent1" w:themeShade="BF"/>
          <w:lang w:val="nl-NL"/>
        </w:rPr>
      </w:pPr>
      <w:r w:rsidRPr="000C5150">
        <w:rPr>
          <w:rStyle w:val="Voetnootmarkering"/>
          <w:rFonts w:asciiTheme="majorHAnsi" w:hAnsiTheme="majorHAnsi"/>
          <w:color w:val="365F91" w:themeColor="accent1" w:themeShade="BF"/>
        </w:rPr>
        <w:footnoteRef/>
      </w:r>
      <w:r w:rsidRPr="000C5150">
        <w:rPr>
          <w:rFonts w:asciiTheme="majorHAnsi" w:hAnsiTheme="majorHAnsi"/>
          <w:color w:val="365F91" w:themeColor="accent1" w:themeShade="BF"/>
        </w:rPr>
        <w:t xml:space="preserve"> </w:t>
      </w:r>
      <w:r w:rsidRPr="000C5150">
        <w:rPr>
          <w:rFonts w:asciiTheme="majorHAnsi" w:hAnsiTheme="majorHAnsi" w:cs="Verdana"/>
          <w:color w:val="365F91" w:themeColor="accent1" w:themeShade="BF"/>
          <w:lang w:eastAsia="ja-JP"/>
        </w:rPr>
        <w:t xml:space="preserve">See e.g. G. Winter, </w:t>
      </w:r>
      <w:r w:rsidRPr="000C5150">
        <w:rPr>
          <w:rFonts w:asciiTheme="majorHAnsi" w:hAnsiTheme="majorHAnsi" w:cs="Verdana"/>
          <w:i/>
          <w:iCs/>
          <w:color w:val="365F91" w:themeColor="accent1" w:themeShade="BF"/>
          <w:lang w:eastAsia="ja-JP"/>
        </w:rPr>
        <w:t>Sources and categories of European Union law: a comparative and reform perspective</w:t>
      </w:r>
      <w:r w:rsidRPr="000C5150">
        <w:rPr>
          <w:rFonts w:asciiTheme="majorHAnsi" w:hAnsiTheme="majorHAnsi" w:cs="Verdana"/>
          <w:color w:val="365F91" w:themeColor="accent1" w:themeShade="BF"/>
          <w:lang w:eastAsia="ja-JP"/>
        </w:rPr>
        <w:t xml:space="preserve">, 1. Auflage, Nomos, Baden-Baden, 1996, concerning the British, Danish, Dutch, French, Spanish, Italian and German legal systems. Cf. also J.H. van Kreveld, </w:t>
      </w:r>
      <w:r w:rsidRPr="000C5150">
        <w:rPr>
          <w:rFonts w:asciiTheme="majorHAnsi" w:hAnsiTheme="majorHAnsi" w:cs="Verdana"/>
          <w:i/>
          <w:iCs/>
          <w:color w:val="365F91" w:themeColor="accent1" w:themeShade="BF"/>
          <w:lang w:eastAsia="ja-JP"/>
        </w:rPr>
        <w:t>Beleidsregels in het recht</w:t>
      </w:r>
      <w:r w:rsidRPr="000C5150">
        <w:rPr>
          <w:rFonts w:asciiTheme="majorHAnsi" w:hAnsiTheme="majorHAnsi" w:cs="Verdana"/>
          <w:color w:val="365F91" w:themeColor="accent1" w:themeShade="BF"/>
          <w:lang w:eastAsia="ja-JP"/>
        </w:rPr>
        <w:t xml:space="preserve">, Kluwer, 1983; H. Bröring, ‘Administrative Rules in British Law’, </w:t>
      </w:r>
      <w:r w:rsidRPr="000C5150">
        <w:rPr>
          <w:rFonts w:asciiTheme="majorHAnsi" w:hAnsiTheme="majorHAnsi" w:cs="Verdana"/>
          <w:i/>
          <w:iCs/>
          <w:color w:val="365F91" w:themeColor="accent1" w:themeShade="BF"/>
          <w:lang w:eastAsia="ja-JP"/>
        </w:rPr>
        <w:t xml:space="preserve">MJEL </w:t>
      </w:r>
      <w:r w:rsidRPr="000C5150">
        <w:rPr>
          <w:rFonts w:asciiTheme="majorHAnsi" w:hAnsiTheme="majorHAnsi" w:cs="Verdana"/>
          <w:color w:val="365F91" w:themeColor="accent1" w:themeShade="BF"/>
          <w:lang w:eastAsia="ja-JP"/>
        </w:rPr>
        <w:t xml:space="preserve">1(1994), p.273; R. Baldwin </w:t>
      </w:r>
      <w:proofErr w:type="gramStart"/>
      <w:r>
        <w:rPr>
          <w:rFonts w:asciiTheme="majorHAnsi" w:hAnsiTheme="majorHAnsi" w:cs="Verdana"/>
          <w:color w:val="365F91" w:themeColor="accent1" w:themeShade="BF"/>
          <w:lang w:eastAsia="ja-JP"/>
        </w:rPr>
        <w:t>and  K</w:t>
      </w:r>
      <w:proofErr w:type="gramEnd"/>
      <w:r>
        <w:rPr>
          <w:rFonts w:asciiTheme="majorHAnsi" w:hAnsiTheme="majorHAnsi" w:cs="Verdana"/>
          <w:color w:val="365F91" w:themeColor="accent1" w:themeShade="BF"/>
          <w:lang w:eastAsia="ja-JP"/>
        </w:rPr>
        <w:t>.</w:t>
      </w:r>
      <w:r w:rsidRPr="000C5150">
        <w:rPr>
          <w:rFonts w:asciiTheme="majorHAnsi" w:hAnsiTheme="majorHAnsi" w:cs="Verdana"/>
          <w:color w:val="365F91" w:themeColor="accent1" w:themeShade="BF"/>
          <w:lang w:eastAsia="ja-JP"/>
        </w:rPr>
        <w:t xml:space="preserve"> Houghton, ‘Circular arguments: the status and legitimacy of administrative rules’, </w:t>
      </w:r>
      <w:r w:rsidRPr="000C5150">
        <w:rPr>
          <w:rFonts w:asciiTheme="majorHAnsi" w:hAnsiTheme="majorHAnsi" w:cs="Verdana"/>
          <w:i/>
          <w:iCs/>
          <w:color w:val="365F91" w:themeColor="accent1" w:themeShade="BF"/>
          <w:lang w:eastAsia="ja-JP"/>
        </w:rPr>
        <w:t>Public Law</w:t>
      </w:r>
      <w:r w:rsidRPr="000C5150">
        <w:rPr>
          <w:rFonts w:asciiTheme="majorHAnsi" w:hAnsiTheme="majorHAnsi" w:cs="Verdana"/>
          <w:color w:val="365F91" w:themeColor="accent1" w:themeShade="BF"/>
          <w:lang w:eastAsia="ja-JP"/>
        </w:rPr>
        <w:t xml:space="preserve">, 1986, p. 239; A. Bok, ‘Policy Rules in German Law’, </w:t>
      </w:r>
      <w:r w:rsidRPr="000C5150">
        <w:rPr>
          <w:rFonts w:asciiTheme="majorHAnsi" w:hAnsiTheme="majorHAnsi" w:cs="Verdana"/>
          <w:i/>
          <w:iCs/>
          <w:color w:val="365F91" w:themeColor="accent1" w:themeShade="BF"/>
          <w:lang w:eastAsia="ja-JP"/>
        </w:rPr>
        <w:t xml:space="preserve">MJEL </w:t>
      </w:r>
      <w:r w:rsidRPr="000C5150">
        <w:rPr>
          <w:rFonts w:asciiTheme="majorHAnsi" w:hAnsiTheme="majorHAnsi" w:cs="Verdana"/>
          <w:color w:val="365F91" w:themeColor="accent1" w:themeShade="BF"/>
          <w:lang w:eastAsia="ja-JP"/>
        </w:rPr>
        <w:t xml:space="preserve">1(1994), p. 255; B. Roozendaal, ‘Self-Restraint of Discretionary Authority in French Administrative Law’, </w:t>
      </w:r>
      <w:r w:rsidRPr="000C5150">
        <w:rPr>
          <w:rFonts w:asciiTheme="majorHAnsi" w:hAnsiTheme="majorHAnsi" w:cs="Verdana"/>
          <w:i/>
          <w:iCs/>
          <w:color w:val="365F91" w:themeColor="accent1" w:themeShade="BF"/>
          <w:lang w:eastAsia="ja-JP"/>
        </w:rPr>
        <w:t xml:space="preserve">MJEL </w:t>
      </w:r>
      <w:r w:rsidRPr="000C5150">
        <w:rPr>
          <w:rFonts w:asciiTheme="majorHAnsi" w:hAnsiTheme="majorHAnsi" w:cs="Verdana"/>
          <w:color w:val="365F91" w:themeColor="accent1" w:themeShade="BF"/>
          <w:lang w:eastAsia="ja-JP"/>
        </w:rPr>
        <w:t>1(1994), p. 285.</w:t>
      </w:r>
    </w:p>
  </w:footnote>
  <w:footnote w:id="11">
    <w:p w14:paraId="3512878F" w14:textId="77777777" w:rsidR="00BF65F5" w:rsidRPr="000C5150" w:rsidRDefault="00BF65F5" w:rsidP="00B27D57">
      <w:pPr>
        <w:pStyle w:val="Voetnoottekst"/>
        <w:rPr>
          <w:rFonts w:asciiTheme="majorHAnsi" w:hAnsiTheme="majorHAnsi"/>
          <w:color w:val="365F91" w:themeColor="accent1" w:themeShade="BF"/>
          <w:lang w:val="nl-NL"/>
        </w:rPr>
      </w:pPr>
      <w:r w:rsidRPr="000C5150">
        <w:rPr>
          <w:rStyle w:val="Voetnootmarkering"/>
          <w:rFonts w:asciiTheme="majorHAnsi" w:hAnsiTheme="majorHAnsi"/>
          <w:color w:val="365F91" w:themeColor="accent1" w:themeShade="BF"/>
        </w:rPr>
        <w:footnoteRef/>
      </w:r>
      <w:r w:rsidRPr="000C5150">
        <w:rPr>
          <w:rFonts w:asciiTheme="majorHAnsi" w:hAnsiTheme="majorHAnsi"/>
          <w:color w:val="365F91" w:themeColor="accent1" w:themeShade="BF"/>
        </w:rPr>
        <w:t xml:space="preserve"> </w:t>
      </w:r>
      <w:proofErr w:type="gramStart"/>
      <w:r w:rsidRPr="000C5150">
        <w:rPr>
          <w:rFonts w:asciiTheme="majorHAnsi" w:hAnsiTheme="majorHAnsi" w:cs="Verdana"/>
          <w:color w:val="365F91" w:themeColor="accent1" w:themeShade="BF"/>
          <w:lang w:eastAsia="ja-JP"/>
        </w:rPr>
        <w:t xml:space="preserve">Case 9/56, </w:t>
      </w:r>
      <w:r w:rsidRPr="000C5150">
        <w:rPr>
          <w:rFonts w:asciiTheme="majorHAnsi" w:hAnsiTheme="majorHAnsi" w:cs="Verdana"/>
          <w:i/>
          <w:iCs/>
          <w:color w:val="365F91" w:themeColor="accent1" w:themeShade="BF"/>
          <w:lang w:eastAsia="ja-JP"/>
        </w:rPr>
        <w:t xml:space="preserve">Meroni, </w:t>
      </w:r>
      <w:r w:rsidRPr="000C5150">
        <w:rPr>
          <w:rFonts w:asciiTheme="majorHAnsi" w:hAnsiTheme="majorHAnsi" w:cs="Verdana"/>
          <w:color w:val="365F91" w:themeColor="accent1" w:themeShade="BF"/>
          <w:lang w:eastAsia="ja-JP"/>
        </w:rPr>
        <w:t>[1958] ECR 133, 152.</w:t>
      </w:r>
      <w:proofErr w:type="gramEnd"/>
    </w:p>
  </w:footnote>
  <w:footnote w:id="12">
    <w:p w14:paraId="22E740CF" w14:textId="77777777" w:rsidR="00BF65F5" w:rsidRPr="000C5150" w:rsidRDefault="00BF65F5" w:rsidP="00B27D57">
      <w:pPr>
        <w:pStyle w:val="Voetnoottekst"/>
        <w:rPr>
          <w:rFonts w:asciiTheme="majorHAnsi" w:hAnsiTheme="majorHAnsi"/>
          <w:color w:val="365F91" w:themeColor="accent1" w:themeShade="BF"/>
          <w:lang w:val="nl-NL"/>
        </w:rPr>
      </w:pPr>
      <w:r w:rsidRPr="000C5150">
        <w:rPr>
          <w:rStyle w:val="Voetnootmarkering"/>
          <w:rFonts w:asciiTheme="majorHAnsi" w:hAnsiTheme="majorHAnsi"/>
          <w:color w:val="365F91" w:themeColor="accent1" w:themeShade="BF"/>
        </w:rPr>
        <w:footnoteRef/>
      </w:r>
      <w:r w:rsidRPr="000C5150">
        <w:rPr>
          <w:rFonts w:asciiTheme="majorHAnsi" w:hAnsiTheme="majorHAnsi"/>
          <w:color w:val="365F91" w:themeColor="accent1" w:themeShade="BF"/>
        </w:rPr>
        <w:t xml:space="preserve"> </w:t>
      </w:r>
      <w:r w:rsidRPr="000C5150">
        <w:rPr>
          <w:rFonts w:asciiTheme="majorHAnsi" w:hAnsiTheme="majorHAnsi" w:cs="Verdana"/>
          <w:color w:val="365F91" w:themeColor="accent1" w:themeShade="BF"/>
          <w:lang w:eastAsia="ja-JP"/>
        </w:rPr>
        <w:t xml:space="preserve">In this sense, M. Shapiro, ‘Independent agencies’, in: P. Craig and G. De Burca, </w:t>
      </w:r>
      <w:r w:rsidRPr="000C5150">
        <w:rPr>
          <w:rFonts w:asciiTheme="majorHAnsi" w:hAnsiTheme="majorHAnsi" w:cs="Verdana"/>
          <w:i/>
          <w:iCs/>
          <w:color w:val="365F91" w:themeColor="accent1" w:themeShade="BF"/>
          <w:lang w:eastAsia="ja-JP"/>
        </w:rPr>
        <w:t>The Evolution of EU Law</w:t>
      </w:r>
      <w:r w:rsidRPr="000C5150">
        <w:rPr>
          <w:rFonts w:asciiTheme="majorHAnsi" w:hAnsiTheme="majorHAnsi" w:cs="Verdana"/>
          <w:color w:val="365F91" w:themeColor="accent1" w:themeShade="BF"/>
          <w:lang w:eastAsia="ja-JP"/>
        </w:rPr>
        <w:t>, OUP, 2011, pp. 112-115.</w:t>
      </w:r>
    </w:p>
  </w:footnote>
  <w:footnote w:id="13">
    <w:p w14:paraId="1CAE0018" w14:textId="77777777" w:rsidR="00BF65F5" w:rsidRPr="000C5150" w:rsidRDefault="00BF65F5">
      <w:pPr>
        <w:pStyle w:val="Voetnoottekst"/>
        <w:rPr>
          <w:rFonts w:asciiTheme="majorHAnsi" w:hAnsiTheme="majorHAnsi"/>
          <w:color w:val="365F91" w:themeColor="accent1" w:themeShade="BF"/>
          <w:lang w:val="nl-NL"/>
        </w:rPr>
      </w:pPr>
      <w:r w:rsidRPr="000C5150">
        <w:rPr>
          <w:rStyle w:val="Voetnootmarkering"/>
          <w:rFonts w:asciiTheme="majorHAnsi" w:hAnsiTheme="majorHAnsi"/>
          <w:color w:val="365F91" w:themeColor="accent1" w:themeShade="BF"/>
        </w:rPr>
        <w:footnoteRef/>
      </w:r>
      <w:r w:rsidRPr="000C5150">
        <w:rPr>
          <w:rFonts w:asciiTheme="majorHAnsi" w:hAnsiTheme="majorHAnsi"/>
          <w:color w:val="365F91" w:themeColor="accent1" w:themeShade="BF"/>
        </w:rPr>
        <w:t xml:space="preserve"> E. Chiti, </w:t>
      </w:r>
      <w:r w:rsidRPr="000C5150">
        <w:rPr>
          <w:rFonts w:asciiTheme="majorHAnsi" w:hAnsiTheme="majorHAnsi" w:cs="Verdana"/>
          <w:color w:val="365F91" w:themeColor="accent1" w:themeShade="BF"/>
          <w:lang w:eastAsia="ja-JP"/>
        </w:rPr>
        <w:t xml:space="preserve">Features, problems and perspectives of European agencies, </w:t>
      </w:r>
      <w:r w:rsidRPr="000C5150">
        <w:rPr>
          <w:rFonts w:asciiTheme="majorHAnsi" w:hAnsiTheme="majorHAnsi" w:cs="Verdana"/>
          <w:i/>
          <w:iCs/>
          <w:color w:val="365F91" w:themeColor="accent1" w:themeShade="BF"/>
          <w:lang w:eastAsia="ja-JP"/>
        </w:rPr>
        <w:t>CMLRev</w:t>
      </w:r>
      <w:r w:rsidRPr="000C5150">
        <w:rPr>
          <w:rFonts w:asciiTheme="majorHAnsi" w:hAnsiTheme="majorHAnsi" w:cs="Verdana"/>
          <w:color w:val="365F91" w:themeColor="accent1" w:themeShade="BF"/>
          <w:lang w:eastAsia="ja-JP"/>
        </w:rPr>
        <w:t xml:space="preserve">. 2009, p. 1395 </w:t>
      </w:r>
      <w:proofErr w:type="gramStart"/>
      <w:r w:rsidRPr="000C5150">
        <w:rPr>
          <w:rFonts w:asciiTheme="majorHAnsi" w:hAnsiTheme="majorHAnsi" w:cs="Verdana"/>
          <w:color w:val="365F91" w:themeColor="accent1" w:themeShade="BF"/>
          <w:lang w:eastAsia="ja-JP"/>
        </w:rPr>
        <w:t>et</w:t>
      </w:r>
      <w:proofErr w:type="gramEnd"/>
      <w:r w:rsidRPr="000C5150">
        <w:rPr>
          <w:rFonts w:asciiTheme="majorHAnsi" w:hAnsiTheme="majorHAnsi" w:cs="Verdana"/>
          <w:color w:val="365F91" w:themeColor="accent1" w:themeShade="BF"/>
          <w:lang w:eastAsia="ja-JP"/>
        </w:rPr>
        <w:t xml:space="preserve"> seq.</w:t>
      </w:r>
    </w:p>
  </w:footnote>
  <w:footnote w:id="14">
    <w:p w14:paraId="5A4669B7" w14:textId="77777777" w:rsidR="00BF65F5" w:rsidRPr="000C5150" w:rsidRDefault="00BF65F5" w:rsidP="00B27D57">
      <w:pPr>
        <w:pStyle w:val="Voetnoottekst"/>
        <w:rPr>
          <w:rFonts w:asciiTheme="majorHAnsi" w:hAnsiTheme="majorHAnsi" w:cstheme="majorHAnsi"/>
          <w:color w:val="365F91" w:themeColor="accent1" w:themeShade="BF"/>
          <w:lang w:val="en-IE"/>
        </w:rPr>
      </w:pPr>
      <w:r w:rsidRPr="000C5150">
        <w:rPr>
          <w:rStyle w:val="Voetnootmarkering"/>
          <w:rFonts w:asciiTheme="majorHAnsi" w:hAnsiTheme="majorHAnsi" w:cstheme="majorHAnsi"/>
          <w:color w:val="365F91" w:themeColor="accent1" w:themeShade="BF"/>
        </w:rPr>
        <w:footnoteRef/>
      </w:r>
      <w:r w:rsidRPr="000C5150">
        <w:rPr>
          <w:rFonts w:asciiTheme="majorHAnsi" w:hAnsiTheme="majorHAnsi" w:cstheme="majorHAnsi"/>
          <w:color w:val="365F91" w:themeColor="accent1" w:themeShade="BF"/>
        </w:rPr>
        <w:t xml:space="preserve"> Under </w:t>
      </w:r>
      <w:r w:rsidRPr="000C5150">
        <w:rPr>
          <w:rFonts w:asciiTheme="majorHAnsi" w:hAnsiTheme="majorHAnsi" w:cstheme="majorHAnsi"/>
          <w:color w:val="365F91" w:themeColor="accent1" w:themeShade="BF"/>
          <w:lang w:val="en-IE"/>
        </w:rPr>
        <w:t>Regulation (EC) No 1592/2002 of the European Parliament and of the Council of 15 July 2002 on common rules in the field of civil aviation and establishing a European Aviation Safety Agency, now replaced by Regulation (EC) 216/2008. The authors are grateful to Marloes van Rijsbergen for her research assistance on this part.</w:t>
      </w:r>
    </w:p>
  </w:footnote>
  <w:footnote w:id="15">
    <w:p w14:paraId="5A5278E1" w14:textId="77777777" w:rsidR="00BF65F5" w:rsidRPr="000C5150" w:rsidRDefault="00BF65F5" w:rsidP="00B27D57">
      <w:pPr>
        <w:pStyle w:val="Voetnoottekst"/>
        <w:jc w:val="both"/>
        <w:rPr>
          <w:rFonts w:asciiTheme="majorHAnsi" w:hAnsiTheme="majorHAnsi" w:cstheme="majorHAnsi"/>
          <w:color w:val="365F91" w:themeColor="accent1" w:themeShade="BF"/>
        </w:rPr>
      </w:pPr>
      <w:r w:rsidRPr="000C5150">
        <w:rPr>
          <w:rStyle w:val="Voetnootmarkering"/>
          <w:rFonts w:asciiTheme="majorHAnsi" w:eastAsia="Calibri" w:hAnsiTheme="majorHAnsi" w:cstheme="majorHAnsi"/>
          <w:color w:val="365F91" w:themeColor="accent1" w:themeShade="BF"/>
        </w:rPr>
        <w:footnoteRef/>
      </w:r>
      <w:r w:rsidRPr="000C5150">
        <w:rPr>
          <w:rFonts w:asciiTheme="majorHAnsi" w:hAnsiTheme="majorHAnsi" w:cstheme="majorHAnsi"/>
          <w:color w:val="365F91" w:themeColor="accent1" w:themeShade="BF"/>
        </w:rPr>
        <w:t xml:space="preserve"> </w:t>
      </w:r>
      <w:proofErr w:type="gramStart"/>
      <w:r w:rsidRPr="000C5150">
        <w:rPr>
          <w:rFonts w:asciiTheme="majorHAnsi" w:hAnsiTheme="majorHAnsi" w:cstheme="majorHAnsi"/>
          <w:color w:val="365F91" w:themeColor="accent1" w:themeShade="BF"/>
        </w:rPr>
        <w:t>Article 2(1) of Regulation (EC) 216/2008.</w:t>
      </w:r>
      <w:proofErr w:type="gramEnd"/>
    </w:p>
  </w:footnote>
  <w:footnote w:id="16">
    <w:p w14:paraId="28F4430E" w14:textId="77777777" w:rsidR="00BF65F5" w:rsidRPr="000C5150" w:rsidRDefault="00BF65F5" w:rsidP="00B27D57">
      <w:pPr>
        <w:pStyle w:val="Voetnoottekst"/>
        <w:rPr>
          <w:rFonts w:asciiTheme="majorHAnsi" w:hAnsiTheme="majorHAnsi" w:cstheme="majorHAnsi"/>
          <w:color w:val="365F91" w:themeColor="accent1" w:themeShade="BF"/>
        </w:rPr>
      </w:pPr>
      <w:r w:rsidRPr="000C5150">
        <w:rPr>
          <w:rStyle w:val="Voetnootmarkering"/>
          <w:rFonts w:asciiTheme="majorHAnsi" w:hAnsiTheme="majorHAnsi" w:cstheme="majorHAnsi"/>
          <w:color w:val="365F91" w:themeColor="accent1" w:themeShade="BF"/>
        </w:rPr>
        <w:footnoteRef/>
      </w:r>
      <w:r w:rsidRPr="000C5150">
        <w:rPr>
          <w:rFonts w:asciiTheme="majorHAnsi" w:hAnsiTheme="majorHAnsi" w:cstheme="majorHAnsi"/>
          <w:color w:val="365F91" w:themeColor="accent1" w:themeShade="BF"/>
        </w:rPr>
        <w:t xml:space="preserve"> </w:t>
      </w:r>
      <w:proofErr w:type="gramStart"/>
      <w:r w:rsidRPr="000C5150">
        <w:rPr>
          <w:rFonts w:asciiTheme="majorHAnsi" w:hAnsiTheme="majorHAnsi" w:cstheme="majorHAnsi"/>
          <w:color w:val="365F91" w:themeColor="accent1" w:themeShade="BF"/>
        </w:rPr>
        <w:t>Its clause 4 and 38 and Art.</w:t>
      </w:r>
      <w:proofErr w:type="gramEnd"/>
      <w:r w:rsidRPr="000C5150">
        <w:rPr>
          <w:rFonts w:asciiTheme="majorHAnsi" w:hAnsiTheme="majorHAnsi" w:cstheme="majorHAnsi"/>
          <w:color w:val="365F91" w:themeColor="accent1" w:themeShade="BF"/>
        </w:rPr>
        <w:t xml:space="preserve"> </w:t>
      </w:r>
      <w:proofErr w:type="gramStart"/>
      <w:r w:rsidRPr="000C5150">
        <w:rPr>
          <w:rFonts w:asciiTheme="majorHAnsi" w:hAnsiTheme="majorHAnsi" w:cstheme="majorHAnsi"/>
          <w:color w:val="365F91" w:themeColor="accent1" w:themeShade="BF"/>
        </w:rPr>
        <w:t>19(2), Regulation (EC) 216/2008.</w:t>
      </w:r>
      <w:proofErr w:type="gramEnd"/>
    </w:p>
  </w:footnote>
  <w:footnote w:id="17">
    <w:p w14:paraId="3DBD3878" w14:textId="77777777" w:rsidR="00BF65F5" w:rsidRPr="000C5150" w:rsidRDefault="00BF65F5" w:rsidP="00B27D57">
      <w:pPr>
        <w:autoSpaceDE w:val="0"/>
        <w:autoSpaceDN w:val="0"/>
        <w:adjustRightInd w:val="0"/>
        <w:jc w:val="both"/>
        <w:rPr>
          <w:rFonts w:asciiTheme="majorHAnsi" w:eastAsia="Arial-BoldMT" w:hAnsiTheme="majorHAnsi" w:cstheme="majorHAnsi"/>
          <w:bCs/>
          <w:color w:val="365F91" w:themeColor="accent1" w:themeShade="BF"/>
          <w:sz w:val="20"/>
          <w:szCs w:val="20"/>
        </w:rPr>
      </w:pPr>
      <w:r w:rsidRPr="000C5150">
        <w:rPr>
          <w:rStyle w:val="Voetnootmarkering"/>
          <w:rFonts w:asciiTheme="majorHAnsi" w:hAnsiTheme="majorHAnsi" w:cstheme="majorHAnsi"/>
          <w:color w:val="365F91" w:themeColor="accent1" w:themeShade="BF"/>
          <w:sz w:val="20"/>
          <w:szCs w:val="20"/>
        </w:rPr>
        <w:footnoteRef/>
      </w:r>
      <w:r w:rsidRPr="000C5150">
        <w:rPr>
          <w:rFonts w:asciiTheme="majorHAnsi" w:hAnsiTheme="majorHAnsi" w:cstheme="majorHAnsi"/>
          <w:color w:val="365F91" w:themeColor="accent1" w:themeShade="BF"/>
          <w:sz w:val="20"/>
          <w:szCs w:val="20"/>
        </w:rPr>
        <w:t xml:space="preserve"> Schout, ‘</w:t>
      </w:r>
      <w:r w:rsidRPr="000C5150">
        <w:rPr>
          <w:rFonts w:asciiTheme="majorHAnsi" w:eastAsia="Arial-BoldMT" w:hAnsiTheme="majorHAnsi" w:cstheme="majorHAnsi"/>
          <w:bCs/>
          <w:color w:val="365F91" w:themeColor="accent1" w:themeShade="BF"/>
          <w:sz w:val="20"/>
          <w:szCs w:val="20"/>
        </w:rPr>
        <w:t xml:space="preserve">Assessing the Added Value of an EU Agency for Aviation Safety’ (2011), </w:t>
      </w:r>
      <w:r w:rsidRPr="000C5150">
        <w:rPr>
          <w:rFonts w:asciiTheme="majorHAnsi" w:eastAsia="Arial-BoldMT" w:hAnsiTheme="majorHAnsi" w:cstheme="majorHAnsi"/>
          <w:bCs/>
          <w:i/>
          <w:color w:val="365F91" w:themeColor="accent1" w:themeShade="BF"/>
          <w:sz w:val="20"/>
          <w:szCs w:val="20"/>
        </w:rPr>
        <w:t>Journal of Public Policy</w:t>
      </w:r>
      <w:r w:rsidRPr="000C5150">
        <w:rPr>
          <w:rFonts w:asciiTheme="majorHAnsi" w:eastAsia="Arial-BoldMT" w:hAnsiTheme="majorHAnsi" w:cstheme="majorHAnsi"/>
          <w:bCs/>
          <w:color w:val="365F91" w:themeColor="accent1" w:themeShade="BF"/>
          <w:sz w:val="20"/>
          <w:szCs w:val="20"/>
        </w:rPr>
        <w:t>, Volume 31, No. 3, p. 379.</w:t>
      </w:r>
    </w:p>
  </w:footnote>
  <w:footnote w:id="18">
    <w:p w14:paraId="1F2C18E8" w14:textId="77777777" w:rsidR="00BF65F5" w:rsidRPr="000C5150" w:rsidRDefault="00BF65F5" w:rsidP="00B27D57">
      <w:pPr>
        <w:pStyle w:val="Voetnoottekst"/>
        <w:jc w:val="both"/>
        <w:rPr>
          <w:rFonts w:asciiTheme="majorHAnsi" w:hAnsiTheme="majorHAnsi" w:cstheme="majorHAnsi"/>
          <w:color w:val="365F91" w:themeColor="accent1" w:themeShade="BF"/>
        </w:rPr>
      </w:pPr>
      <w:r w:rsidRPr="000C5150">
        <w:rPr>
          <w:rStyle w:val="Voetnootmarkering"/>
          <w:rFonts w:asciiTheme="majorHAnsi" w:eastAsia="Calibri" w:hAnsiTheme="majorHAnsi" w:cstheme="majorHAnsi"/>
          <w:color w:val="365F91" w:themeColor="accent1" w:themeShade="BF"/>
        </w:rPr>
        <w:footnoteRef/>
      </w:r>
      <w:r w:rsidRPr="000C5150">
        <w:rPr>
          <w:rFonts w:asciiTheme="majorHAnsi" w:hAnsiTheme="majorHAnsi" w:cstheme="majorHAnsi"/>
          <w:color w:val="365F91" w:themeColor="accent1" w:themeShade="BF"/>
        </w:rPr>
        <w:t xml:space="preserve"> Groenleer, Kaeding &amp; Versluis, ‘Regulatory governance through agencies of the European Union? The role of the European agencies for maritime and aviation safety in the implementation of European transport legislation’ (2010), </w:t>
      </w:r>
      <w:r w:rsidRPr="000C5150">
        <w:rPr>
          <w:rFonts w:asciiTheme="majorHAnsi" w:hAnsiTheme="majorHAnsi" w:cstheme="majorHAnsi"/>
          <w:i/>
          <w:color w:val="365F91" w:themeColor="accent1" w:themeShade="BF"/>
        </w:rPr>
        <w:t>Journal of European Public Policy</w:t>
      </w:r>
      <w:r w:rsidRPr="000C5150">
        <w:rPr>
          <w:rFonts w:asciiTheme="majorHAnsi" w:hAnsiTheme="majorHAnsi" w:cstheme="majorHAnsi"/>
          <w:color w:val="365F91" w:themeColor="accent1" w:themeShade="BF"/>
        </w:rPr>
        <w:t xml:space="preserve">, Volume 17, No. 8, p. 1221. </w:t>
      </w:r>
    </w:p>
  </w:footnote>
  <w:footnote w:id="19">
    <w:p w14:paraId="79C4306E" w14:textId="77777777" w:rsidR="00BF65F5" w:rsidRPr="000C5150" w:rsidRDefault="00BF65F5" w:rsidP="00B27D57">
      <w:pPr>
        <w:autoSpaceDE w:val="0"/>
        <w:autoSpaceDN w:val="0"/>
        <w:adjustRightInd w:val="0"/>
        <w:jc w:val="both"/>
        <w:rPr>
          <w:rFonts w:asciiTheme="majorHAnsi" w:eastAsia="Arial-BoldMT" w:hAnsiTheme="majorHAnsi" w:cstheme="majorHAnsi"/>
          <w:bCs/>
          <w:color w:val="365F91" w:themeColor="accent1" w:themeShade="BF"/>
          <w:sz w:val="20"/>
          <w:szCs w:val="20"/>
        </w:rPr>
      </w:pPr>
      <w:r w:rsidRPr="000C5150">
        <w:rPr>
          <w:rStyle w:val="Voetnootmarkering"/>
          <w:rFonts w:asciiTheme="majorHAnsi" w:hAnsiTheme="majorHAnsi" w:cstheme="majorHAnsi"/>
          <w:color w:val="365F91" w:themeColor="accent1" w:themeShade="BF"/>
          <w:sz w:val="20"/>
          <w:szCs w:val="20"/>
        </w:rPr>
        <w:footnoteRef/>
      </w:r>
      <w:r w:rsidRPr="000C5150">
        <w:rPr>
          <w:rFonts w:asciiTheme="majorHAnsi" w:hAnsiTheme="majorHAnsi" w:cstheme="majorHAnsi"/>
          <w:color w:val="365F91" w:themeColor="accent1" w:themeShade="BF"/>
          <w:sz w:val="20"/>
          <w:szCs w:val="20"/>
        </w:rPr>
        <w:t xml:space="preserve"> Schout 2011, op.cit</w:t>
      </w:r>
      <w:proofErr w:type="gramStart"/>
      <w:r w:rsidRPr="000C5150">
        <w:rPr>
          <w:rFonts w:asciiTheme="majorHAnsi" w:hAnsiTheme="majorHAnsi" w:cstheme="majorHAnsi"/>
          <w:color w:val="365F91" w:themeColor="accent1" w:themeShade="BF"/>
          <w:sz w:val="20"/>
          <w:szCs w:val="20"/>
        </w:rPr>
        <w:t>.,</w:t>
      </w:r>
      <w:proofErr w:type="gramEnd"/>
      <w:r w:rsidRPr="000C5150">
        <w:rPr>
          <w:rFonts w:asciiTheme="majorHAnsi" w:hAnsiTheme="majorHAnsi" w:cstheme="majorHAnsi"/>
          <w:color w:val="365F91" w:themeColor="accent1" w:themeShade="BF"/>
          <w:sz w:val="20"/>
          <w:szCs w:val="20"/>
        </w:rPr>
        <w:t xml:space="preserve"> </w:t>
      </w:r>
      <w:r w:rsidRPr="000C5150">
        <w:rPr>
          <w:rFonts w:asciiTheme="majorHAnsi" w:eastAsia="Arial-BoldMT" w:hAnsiTheme="majorHAnsi" w:cstheme="majorHAnsi"/>
          <w:bCs/>
          <w:color w:val="365F91" w:themeColor="accent1" w:themeShade="BF"/>
          <w:sz w:val="20"/>
          <w:szCs w:val="20"/>
        </w:rPr>
        <w:t>p. 378.</w:t>
      </w:r>
    </w:p>
  </w:footnote>
  <w:footnote w:id="20">
    <w:p w14:paraId="7682D5FB" w14:textId="77777777" w:rsidR="00BF65F5" w:rsidRPr="000C5150" w:rsidRDefault="00BF65F5" w:rsidP="00B27D57">
      <w:pPr>
        <w:pStyle w:val="Voetnoottekst"/>
        <w:jc w:val="both"/>
        <w:rPr>
          <w:rFonts w:asciiTheme="majorHAnsi" w:hAnsiTheme="majorHAnsi" w:cstheme="majorHAnsi"/>
          <w:color w:val="365F91" w:themeColor="accent1" w:themeShade="BF"/>
        </w:rPr>
      </w:pPr>
      <w:r w:rsidRPr="000C5150">
        <w:rPr>
          <w:rStyle w:val="Voetnootmarkering"/>
          <w:rFonts w:asciiTheme="majorHAnsi" w:eastAsia="Calibri" w:hAnsiTheme="majorHAnsi" w:cstheme="majorHAnsi"/>
          <w:color w:val="365F91" w:themeColor="accent1" w:themeShade="BF"/>
        </w:rPr>
        <w:footnoteRef/>
      </w:r>
      <w:r w:rsidRPr="000C5150">
        <w:rPr>
          <w:rFonts w:asciiTheme="majorHAnsi" w:hAnsiTheme="majorHAnsi" w:cstheme="majorHAnsi"/>
          <w:color w:val="365F91" w:themeColor="accent1" w:themeShade="BF"/>
        </w:rPr>
        <w:t xml:space="preserve"> </w:t>
      </w:r>
      <w:proofErr w:type="gramStart"/>
      <w:r w:rsidRPr="000C5150">
        <w:rPr>
          <w:rFonts w:asciiTheme="majorHAnsi" w:hAnsiTheme="majorHAnsi" w:cstheme="majorHAnsi"/>
          <w:color w:val="365F91" w:themeColor="accent1" w:themeShade="BF"/>
        </w:rPr>
        <w:t>Article 18 and 19 of Regulation (EC) 216/2008.</w:t>
      </w:r>
      <w:proofErr w:type="gramEnd"/>
      <w:r w:rsidRPr="000C5150">
        <w:rPr>
          <w:rFonts w:asciiTheme="majorHAnsi" w:hAnsiTheme="majorHAnsi" w:cstheme="majorHAnsi"/>
          <w:color w:val="365F91" w:themeColor="accent1" w:themeShade="BF"/>
        </w:rPr>
        <w:t xml:space="preserve"> </w:t>
      </w:r>
    </w:p>
  </w:footnote>
  <w:footnote w:id="21">
    <w:p w14:paraId="1457FF4A" w14:textId="77777777" w:rsidR="00BF65F5" w:rsidRPr="000C5150" w:rsidRDefault="00BF65F5" w:rsidP="00B27D57">
      <w:pPr>
        <w:pStyle w:val="Voetnoottekst"/>
        <w:rPr>
          <w:rFonts w:asciiTheme="majorHAnsi" w:hAnsiTheme="majorHAnsi" w:cstheme="majorHAnsi"/>
          <w:color w:val="365F91" w:themeColor="accent1" w:themeShade="BF"/>
          <w:lang w:val="de-DE"/>
        </w:rPr>
      </w:pPr>
      <w:r w:rsidRPr="000C5150">
        <w:rPr>
          <w:rStyle w:val="Voetnootmarkering"/>
          <w:rFonts w:asciiTheme="majorHAnsi" w:eastAsia="Calibri" w:hAnsiTheme="majorHAnsi" w:cstheme="majorHAnsi"/>
          <w:color w:val="365F91" w:themeColor="accent1" w:themeShade="BF"/>
        </w:rPr>
        <w:footnoteRef/>
      </w:r>
      <w:r w:rsidRPr="000C5150">
        <w:rPr>
          <w:rFonts w:asciiTheme="majorHAnsi" w:hAnsiTheme="majorHAnsi" w:cstheme="majorHAnsi"/>
          <w:color w:val="365F91" w:themeColor="accent1" w:themeShade="BF"/>
          <w:lang w:val="de-DE"/>
        </w:rPr>
        <w:t xml:space="preserve"> Art. 2 www.easa.europa.eu/management-board/docs/management-board-meetings/2012/01/EASA%20MB%20Decision%2001-2012%20Revised%20MB%20Decision%20RM%20Process%20.pdf</w:t>
      </w:r>
    </w:p>
  </w:footnote>
  <w:footnote w:id="22">
    <w:p w14:paraId="0EE96C2A" w14:textId="77777777" w:rsidR="00BF65F5" w:rsidRPr="000C5150" w:rsidRDefault="00BF65F5" w:rsidP="00B27D57">
      <w:pPr>
        <w:pStyle w:val="Voetnoottekst"/>
        <w:rPr>
          <w:rFonts w:asciiTheme="majorHAnsi" w:hAnsiTheme="majorHAnsi" w:cstheme="majorHAnsi"/>
          <w:color w:val="365F91" w:themeColor="accent1" w:themeShade="BF"/>
        </w:rPr>
      </w:pPr>
      <w:r w:rsidRPr="000C5150">
        <w:rPr>
          <w:rStyle w:val="Voetnootmarkering"/>
          <w:rFonts w:asciiTheme="majorHAnsi" w:hAnsiTheme="majorHAnsi" w:cstheme="majorHAnsi"/>
          <w:color w:val="365F91" w:themeColor="accent1" w:themeShade="BF"/>
        </w:rPr>
        <w:footnoteRef/>
      </w:r>
      <w:r w:rsidRPr="000C5150">
        <w:rPr>
          <w:rFonts w:asciiTheme="majorHAnsi" w:hAnsiTheme="majorHAnsi" w:cstheme="majorHAnsi"/>
          <w:color w:val="365F91" w:themeColor="accent1" w:themeShade="BF"/>
        </w:rPr>
        <w:t xml:space="preserve"> </w:t>
      </w:r>
      <w:proofErr w:type="gramStart"/>
      <w:r w:rsidRPr="000C5150">
        <w:rPr>
          <w:rFonts w:asciiTheme="majorHAnsi" w:hAnsiTheme="majorHAnsi" w:cstheme="majorHAnsi"/>
          <w:color w:val="365F91" w:themeColor="accent1" w:themeShade="BF"/>
        </w:rPr>
        <w:t>Article 19(1) of Regulation (EC) 216/2008.</w:t>
      </w:r>
      <w:proofErr w:type="gramEnd"/>
    </w:p>
  </w:footnote>
  <w:footnote w:id="23">
    <w:p w14:paraId="2BE7362A" w14:textId="77777777" w:rsidR="00BF65F5" w:rsidRPr="000C5150" w:rsidRDefault="00BF65F5" w:rsidP="00B27D57">
      <w:pPr>
        <w:pStyle w:val="Voetnoottekst"/>
        <w:rPr>
          <w:rFonts w:asciiTheme="majorHAnsi" w:hAnsiTheme="majorHAnsi" w:cstheme="majorHAnsi"/>
          <w:color w:val="365F91" w:themeColor="accent1" w:themeShade="BF"/>
        </w:rPr>
      </w:pPr>
      <w:r w:rsidRPr="000C5150">
        <w:rPr>
          <w:rStyle w:val="Voetnootmarkering"/>
          <w:rFonts w:asciiTheme="majorHAnsi" w:eastAsia="Calibri" w:hAnsiTheme="majorHAnsi" w:cstheme="majorHAnsi"/>
          <w:color w:val="365F91" w:themeColor="accent1" w:themeShade="BF"/>
        </w:rPr>
        <w:footnoteRef/>
      </w:r>
      <w:r w:rsidRPr="000C5150">
        <w:rPr>
          <w:rFonts w:asciiTheme="majorHAnsi" w:hAnsiTheme="majorHAnsi" w:cstheme="majorHAnsi"/>
          <w:color w:val="365F91" w:themeColor="accent1" w:themeShade="BF"/>
        </w:rPr>
        <w:t xml:space="preserve"> www.easa.europa.eu/rulemaking/rulemaking-directorate.php</w:t>
      </w:r>
    </w:p>
  </w:footnote>
  <w:footnote w:id="24">
    <w:p w14:paraId="6015B7DB" w14:textId="77777777" w:rsidR="00BF65F5" w:rsidRPr="000C5150" w:rsidRDefault="00BF65F5" w:rsidP="00B27D57">
      <w:pPr>
        <w:pStyle w:val="Voetnoottekst"/>
        <w:jc w:val="both"/>
        <w:rPr>
          <w:rFonts w:asciiTheme="majorHAnsi" w:hAnsiTheme="majorHAnsi" w:cstheme="majorHAnsi"/>
          <w:color w:val="365F91" w:themeColor="accent1" w:themeShade="BF"/>
        </w:rPr>
      </w:pPr>
      <w:r w:rsidRPr="000C5150">
        <w:rPr>
          <w:rStyle w:val="Voetnootmarkering"/>
          <w:rFonts w:asciiTheme="majorHAnsi" w:eastAsia="Calibri" w:hAnsiTheme="majorHAnsi" w:cstheme="majorHAnsi"/>
          <w:color w:val="365F91" w:themeColor="accent1" w:themeShade="BF"/>
        </w:rPr>
        <w:footnoteRef/>
      </w:r>
      <w:r w:rsidRPr="000C5150">
        <w:rPr>
          <w:rFonts w:asciiTheme="majorHAnsi" w:hAnsiTheme="majorHAnsi" w:cstheme="majorHAnsi"/>
          <w:color w:val="365F91" w:themeColor="accent1" w:themeShade="BF"/>
        </w:rPr>
        <w:t xml:space="preserve"> </w:t>
      </w:r>
      <w:proofErr w:type="gramStart"/>
      <w:r w:rsidRPr="000C5150">
        <w:rPr>
          <w:rFonts w:asciiTheme="majorHAnsi" w:hAnsiTheme="majorHAnsi" w:cstheme="majorHAnsi"/>
          <w:color w:val="365F91" w:themeColor="accent1" w:themeShade="BF"/>
        </w:rPr>
        <w:t>Article 17(2)(b) of Regulation (EC) 216/2008.</w:t>
      </w:r>
      <w:proofErr w:type="gramEnd"/>
      <w:r w:rsidRPr="000C5150">
        <w:rPr>
          <w:rFonts w:asciiTheme="majorHAnsi" w:hAnsiTheme="majorHAnsi" w:cstheme="majorHAnsi"/>
          <w:color w:val="365F91" w:themeColor="accent1" w:themeShade="BF"/>
        </w:rPr>
        <w:t xml:space="preserve"> See also: Hofmann, Rowe &amp; Türk (2011), </w:t>
      </w:r>
      <w:r w:rsidRPr="000C5150">
        <w:rPr>
          <w:rFonts w:asciiTheme="majorHAnsi" w:hAnsiTheme="majorHAnsi" w:cstheme="majorHAnsi"/>
          <w:i/>
          <w:color w:val="365F91" w:themeColor="accent1" w:themeShade="BF"/>
        </w:rPr>
        <w:t xml:space="preserve">Administrative Law and Policy of the European Union, </w:t>
      </w:r>
      <w:r w:rsidRPr="000C5150">
        <w:rPr>
          <w:rFonts w:asciiTheme="majorHAnsi" w:hAnsiTheme="majorHAnsi" w:cstheme="majorHAnsi"/>
          <w:color w:val="365F91" w:themeColor="accent1" w:themeShade="BF"/>
        </w:rPr>
        <w:t>Oxford University Press,</w:t>
      </w:r>
      <w:r w:rsidRPr="000C5150">
        <w:rPr>
          <w:rFonts w:asciiTheme="majorHAnsi" w:hAnsiTheme="majorHAnsi" w:cstheme="majorHAnsi"/>
          <w:i/>
          <w:color w:val="365F91" w:themeColor="accent1" w:themeShade="BF"/>
        </w:rPr>
        <w:t xml:space="preserve"> </w:t>
      </w:r>
      <w:r w:rsidRPr="000C5150">
        <w:rPr>
          <w:rFonts w:asciiTheme="majorHAnsi" w:hAnsiTheme="majorHAnsi" w:cstheme="majorHAnsi"/>
          <w:color w:val="365F91" w:themeColor="accent1" w:themeShade="BF"/>
        </w:rPr>
        <w:t xml:space="preserve">p. 294. </w:t>
      </w:r>
    </w:p>
  </w:footnote>
  <w:footnote w:id="25">
    <w:p w14:paraId="3C3B3B27" w14:textId="77777777" w:rsidR="00BF65F5" w:rsidRPr="000C5150" w:rsidRDefault="00BF65F5" w:rsidP="00B27D57">
      <w:pPr>
        <w:pStyle w:val="Voetnoottekst"/>
        <w:rPr>
          <w:rFonts w:asciiTheme="majorHAnsi" w:hAnsiTheme="majorHAnsi"/>
          <w:color w:val="365F91" w:themeColor="accent1" w:themeShade="BF"/>
          <w:lang w:val="nl-NL"/>
        </w:rPr>
      </w:pPr>
      <w:r w:rsidRPr="000C5150">
        <w:rPr>
          <w:rStyle w:val="Voetnootmarkering"/>
          <w:rFonts w:asciiTheme="majorHAnsi" w:hAnsiTheme="majorHAnsi"/>
          <w:color w:val="365F91" w:themeColor="accent1" w:themeShade="BF"/>
        </w:rPr>
        <w:footnoteRef/>
      </w:r>
      <w:r w:rsidRPr="000C5150">
        <w:rPr>
          <w:rFonts w:asciiTheme="majorHAnsi" w:hAnsiTheme="majorHAnsi"/>
          <w:color w:val="365F91" w:themeColor="accent1" w:themeShade="BF"/>
        </w:rPr>
        <w:t xml:space="preserve"> </w:t>
      </w:r>
      <w:r w:rsidRPr="000C5150">
        <w:rPr>
          <w:rFonts w:asciiTheme="majorHAnsi" w:hAnsiTheme="majorHAnsi" w:cstheme="majorHAnsi"/>
          <w:color w:val="365F91" w:themeColor="accent1" w:themeShade="BF"/>
          <w:lang w:val="en-GB"/>
        </w:rPr>
        <w:t>Certification Specifications are technical standards indicating means to show compliance with the EASA Regulation and its implementing rules, which can be used by organisations for the purpose of certification.</w:t>
      </w:r>
    </w:p>
  </w:footnote>
  <w:footnote w:id="26">
    <w:p w14:paraId="475924E7" w14:textId="77777777" w:rsidR="00BF65F5" w:rsidRPr="000C5150" w:rsidRDefault="00BF65F5" w:rsidP="00B27D57">
      <w:pPr>
        <w:pStyle w:val="Voetnoottekst"/>
        <w:jc w:val="both"/>
        <w:rPr>
          <w:rFonts w:asciiTheme="majorHAnsi" w:hAnsiTheme="majorHAnsi" w:cstheme="majorHAnsi"/>
          <w:color w:val="365F91" w:themeColor="accent1" w:themeShade="BF"/>
        </w:rPr>
      </w:pPr>
      <w:r w:rsidRPr="000C5150">
        <w:rPr>
          <w:rStyle w:val="Voetnootmarkering"/>
          <w:rFonts w:asciiTheme="majorHAnsi" w:eastAsia="Calibri" w:hAnsiTheme="majorHAnsi" w:cstheme="majorHAnsi"/>
          <w:color w:val="365F91" w:themeColor="accent1" w:themeShade="BF"/>
        </w:rPr>
        <w:footnoteRef/>
      </w:r>
      <w:r w:rsidRPr="000C5150">
        <w:rPr>
          <w:rFonts w:asciiTheme="majorHAnsi" w:hAnsiTheme="majorHAnsi" w:cstheme="majorHAnsi"/>
          <w:color w:val="365F91" w:themeColor="accent1" w:themeShade="BF"/>
        </w:rPr>
        <w:t xml:space="preserve"> Cf. Schout 2011, op.cit</w:t>
      </w:r>
      <w:proofErr w:type="gramStart"/>
      <w:r w:rsidRPr="000C5150">
        <w:rPr>
          <w:rFonts w:asciiTheme="majorHAnsi" w:hAnsiTheme="majorHAnsi" w:cstheme="majorHAnsi"/>
          <w:color w:val="365F91" w:themeColor="accent1" w:themeShade="BF"/>
        </w:rPr>
        <w:t>.</w:t>
      </w:r>
      <w:r w:rsidRPr="000C5150">
        <w:rPr>
          <w:rFonts w:asciiTheme="majorHAnsi" w:eastAsia="Arial-BoldMT" w:hAnsiTheme="majorHAnsi" w:cstheme="majorHAnsi"/>
          <w:bCs/>
          <w:color w:val="365F91" w:themeColor="accent1" w:themeShade="BF"/>
        </w:rPr>
        <w:t>,</w:t>
      </w:r>
      <w:proofErr w:type="gramEnd"/>
      <w:r w:rsidRPr="000C5150">
        <w:rPr>
          <w:rFonts w:asciiTheme="majorHAnsi" w:eastAsia="Arial-BoldMT" w:hAnsiTheme="majorHAnsi" w:cstheme="majorHAnsi"/>
          <w:bCs/>
          <w:color w:val="365F91" w:themeColor="accent1" w:themeShade="BF"/>
        </w:rPr>
        <w:t xml:space="preserve"> p. 378.</w:t>
      </w:r>
    </w:p>
  </w:footnote>
  <w:footnote w:id="27">
    <w:p w14:paraId="41E994AC" w14:textId="77777777" w:rsidR="00BF65F5" w:rsidRPr="000C5150" w:rsidRDefault="00BF65F5" w:rsidP="00B27D57">
      <w:pPr>
        <w:pStyle w:val="Voetnoottekst"/>
        <w:rPr>
          <w:rFonts w:asciiTheme="majorHAnsi" w:hAnsiTheme="majorHAnsi" w:cstheme="majorHAnsi"/>
          <w:color w:val="365F91" w:themeColor="accent1" w:themeShade="BF"/>
        </w:rPr>
      </w:pPr>
      <w:r w:rsidRPr="000C5150">
        <w:rPr>
          <w:rStyle w:val="Voetnootmarkering"/>
          <w:rFonts w:asciiTheme="majorHAnsi" w:eastAsia="Calibri" w:hAnsiTheme="majorHAnsi" w:cstheme="majorHAnsi"/>
          <w:color w:val="365F91" w:themeColor="accent1" w:themeShade="BF"/>
        </w:rPr>
        <w:footnoteRef/>
      </w:r>
      <w:r w:rsidRPr="000C5150">
        <w:rPr>
          <w:rFonts w:asciiTheme="majorHAnsi" w:hAnsiTheme="majorHAnsi" w:cstheme="majorHAnsi"/>
          <w:color w:val="365F91" w:themeColor="accent1" w:themeShade="BF"/>
        </w:rPr>
        <w:t xml:space="preserve"> www.easa.europa.eu/rulemaking/rulemaking-directorate.php</w:t>
      </w:r>
    </w:p>
  </w:footnote>
  <w:footnote w:id="28">
    <w:p w14:paraId="38F973C2" w14:textId="77777777" w:rsidR="00BF65F5" w:rsidRPr="000C5150" w:rsidRDefault="00BF65F5" w:rsidP="00B27D57">
      <w:pPr>
        <w:pStyle w:val="Voetnoottekst"/>
        <w:rPr>
          <w:rFonts w:asciiTheme="majorHAnsi" w:hAnsiTheme="majorHAnsi" w:cstheme="majorHAnsi"/>
          <w:color w:val="365F91" w:themeColor="accent1" w:themeShade="BF"/>
          <w:lang w:val="de-DE"/>
        </w:rPr>
      </w:pPr>
      <w:r w:rsidRPr="000C5150">
        <w:rPr>
          <w:rStyle w:val="Voetnootmarkering"/>
          <w:rFonts w:asciiTheme="majorHAnsi" w:eastAsia="Calibri" w:hAnsiTheme="majorHAnsi" w:cstheme="majorHAnsi"/>
          <w:color w:val="365F91" w:themeColor="accent1" w:themeShade="BF"/>
        </w:rPr>
        <w:footnoteRef/>
      </w:r>
      <w:r w:rsidRPr="000C5150">
        <w:rPr>
          <w:rFonts w:asciiTheme="majorHAnsi" w:hAnsiTheme="majorHAnsi" w:cstheme="majorHAnsi"/>
          <w:color w:val="365F91" w:themeColor="accent1" w:themeShade="BF"/>
          <w:lang w:val="de-DE"/>
        </w:rPr>
        <w:t xml:space="preserve"> Art. 2 www.easa.europa.eu/management-board/docs/management-board-meetings/2012/01/EASA%20MB%20Decision%2001-2012%20Revised%20MB%20Decision%20RM%20Process%20.pdf</w:t>
      </w:r>
    </w:p>
  </w:footnote>
  <w:footnote w:id="29">
    <w:p w14:paraId="54DABB2F" w14:textId="77777777" w:rsidR="00BF65F5" w:rsidRPr="000C5150" w:rsidRDefault="00BF65F5" w:rsidP="00B27D57">
      <w:pPr>
        <w:pStyle w:val="Voetnoottekst"/>
        <w:rPr>
          <w:rFonts w:asciiTheme="majorHAnsi" w:hAnsiTheme="majorHAnsi" w:cstheme="majorHAnsi"/>
          <w:color w:val="365F91" w:themeColor="accent1" w:themeShade="BF"/>
        </w:rPr>
      </w:pPr>
      <w:r w:rsidRPr="000C5150">
        <w:rPr>
          <w:rStyle w:val="Voetnootmarkering"/>
          <w:rFonts w:asciiTheme="majorHAnsi" w:eastAsia="Calibri" w:hAnsiTheme="majorHAnsi" w:cstheme="majorHAnsi"/>
          <w:color w:val="365F91" w:themeColor="accent1" w:themeShade="BF"/>
        </w:rPr>
        <w:footnoteRef/>
      </w:r>
      <w:r w:rsidRPr="000C5150">
        <w:rPr>
          <w:rFonts w:asciiTheme="majorHAnsi" w:hAnsiTheme="majorHAnsi" w:cstheme="majorHAnsi"/>
          <w:color w:val="365F91" w:themeColor="accent1" w:themeShade="BF"/>
        </w:rPr>
        <w:t xml:space="preserve"> </w:t>
      </w:r>
      <w:proofErr w:type="gramStart"/>
      <w:r w:rsidRPr="000C5150">
        <w:rPr>
          <w:rFonts w:asciiTheme="majorHAnsi" w:hAnsiTheme="majorHAnsi" w:cstheme="majorHAnsi"/>
          <w:color w:val="365F91" w:themeColor="accent1" w:themeShade="BF"/>
        </w:rPr>
        <w:t>Article 52 of Regulation (EC) 216/2008.</w:t>
      </w:r>
      <w:proofErr w:type="gramEnd"/>
      <w:r w:rsidRPr="000C5150">
        <w:rPr>
          <w:rFonts w:asciiTheme="majorHAnsi" w:hAnsiTheme="majorHAnsi" w:cstheme="majorHAnsi"/>
          <w:color w:val="365F91" w:themeColor="accent1" w:themeShade="BF"/>
        </w:rPr>
        <w:t xml:space="preserve"> See also art. 1 of Management Board Decision 1/2012. This Decision describes the rulemaking procedure.</w:t>
      </w:r>
      <w:r w:rsidRPr="000C5150">
        <w:rPr>
          <w:rFonts w:asciiTheme="majorHAnsi" w:hAnsiTheme="majorHAnsi"/>
          <w:color w:val="365F91" w:themeColor="accent1" w:themeShade="BF"/>
        </w:rPr>
        <w:t xml:space="preserve"> </w:t>
      </w:r>
      <w:hyperlink r:id="rId1" w:history="1">
        <w:r w:rsidRPr="000C5150">
          <w:rPr>
            <w:rStyle w:val="Hyperlink"/>
            <w:rFonts w:asciiTheme="majorHAnsi" w:eastAsia="Lucida Sans Unicode" w:hAnsiTheme="majorHAnsi" w:cstheme="majorHAnsi"/>
            <w:color w:val="365F91" w:themeColor="accent1" w:themeShade="BF"/>
          </w:rPr>
          <w:t>www.easa.europa.eu/rulemaking/rulemaking-directorate.php</w:t>
        </w:r>
      </w:hyperlink>
      <w:r w:rsidRPr="000C5150">
        <w:rPr>
          <w:rFonts w:asciiTheme="majorHAnsi" w:hAnsiTheme="majorHAnsi" w:cstheme="majorHAnsi"/>
          <w:color w:val="365F91" w:themeColor="accent1" w:themeShade="BF"/>
        </w:rPr>
        <w:t>. See also: www.easa.europa.eu/management-board/docs/management-board-meetings/2012/01/EASA%20MB%20Decision%2001-2012%20Revised%20MB%20Decision%20RM%20Process%20.pdf</w:t>
      </w:r>
    </w:p>
  </w:footnote>
  <w:footnote w:id="30">
    <w:p w14:paraId="664BCE84" w14:textId="77777777" w:rsidR="00BF65F5" w:rsidRPr="000C5150" w:rsidRDefault="00BF65F5" w:rsidP="00B27D57">
      <w:pPr>
        <w:pStyle w:val="Voetnoottekst"/>
        <w:rPr>
          <w:rFonts w:asciiTheme="majorHAnsi" w:hAnsiTheme="majorHAnsi" w:cstheme="majorHAnsi"/>
          <w:color w:val="365F91" w:themeColor="accent1" w:themeShade="BF"/>
        </w:rPr>
      </w:pPr>
      <w:r w:rsidRPr="000C5150">
        <w:rPr>
          <w:rStyle w:val="Voetnootmarkering"/>
          <w:rFonts w:asciiTheme="majorHAnsi" w:eastAsia="Calibri" w:hAnsiTheme="majorHAnsi" w:cstheme="majorHAnsi"/>
          <w:color w:val="365F91" w:themeColor="accent1" w:themeShade="BF"/>
        </w:rPr>
        <w:footnoteRef/>
      </w:r>
      <w:r w:rsidRPr="000C5150">
        <w:rPr>
          <w:rFonts w:asciiTheme="majorHAnsi" w:hAnsiTheme="majorHAnsi" w:cstheme="majorHAnsi"/>
          <w:color w:val="365F91" w:themeColor="accent1" w:themeShade="BF"/>
        </w:rPr>
        <w:t xml:space="preserve"> www.easa.europa.eu/rulemaking/rulemaking-directorate.php</w:t>
      </w:r>
    </w:p>
  </w:footnote>
  <w:footnote w:id="31">
    <w:p w14:paraId="053E92FF" w14:textId="77777777" w:rsidR="00BF65F5" w:rsidRPr="00890FF9" w:rsidRDefault="00BF65F5">
      <w:pPr>
        <w:pStyle w:val="Voetnoottekst"/>
        <w:rPr>
          <w:rFonts w:asciiTheme="majorHAnsi" w:hAnsiTheme="majorHAnsi"/>
          <w:color w:val="365F91" w:themeColor="accent1" w:themeShade="BF"/>
          <w:lang w:val="nl-NL"/>
        </w:rPr>
      </w:pPr>
      <w:r w:rsidRPr="00890FF9">
        <w:rPr>
          <w:rStyle w:val="Voetnootmarkering"/>
          <w:rFonts w:asciiTheme="majorHAnsi" w:hAnsiTheme="majorHAnsi"/>
          <w:color w:val="365F91" w:themeColor="accent1" w:themeShade="BF"/>
        </w:rPr>
        <w:footnoteRef/>
      </w:r>
      <w:r w:rsidRPr="00890FF9">
        <w:rPr>
          <w:rFonts w:asciiTheme="majorHAnsi" w:hAnsiTheme="majorHAnsi"/>
          <w:color w:val="365F91" w:themeColor="accent1" w:themeShade="BF"/>
        </w:rPr>
        <w:t xml:space="preserve"> </w:t>
      </w:r>
      <w:r w:rsidRPr="00890FF9">
        <w:rPr>
          <w:rFonts w:asciiTheme="majorHAnsi" w:hAnsiTheme="majorHAnsi"/>
          <w:color w:val="365F91" w:themeColor="accent1" w:themeShade="BF"/>
          <w:lang w:val="nl-NL"/>
        </w:rPr>
        <w:t xml:space="preserve">See M. van Rijsbergen, On the enforceability of EU soft law measures at the national level. The case of the European Securities and Markets Authority, </w:t>
      </w:r>
      <w:r w:rsidRPr="00890FF9">
        <w:rPr>
          <w:rFonts w:asciiTheme="majorHAnsi" w:hAnsiTheme="majorHAnsi"/>
          <w:i/>
          <w:color w:val="365F91" w:themeColor="accent1" w:themeShade="BF"/>
          <w:lang w:val="nl-NL"/>
        </w:rPr>
        <w:t>Utrecht Law Review</w:t>
      </w:r>
      <w:r w:rsidRPr="00890FF9">
        <w:rPr>
          <w:rFonts w:asciiTheme="majorHAnsi" w:hAnsiTheme="majorHAnsi"/>
          <w:color w:val="365F91" w:themeColor="accent1" w:themeShade="BF"/>
          <w:lang w:val="nl-NL"/>
        </w:rPr>
        <w:t>, Dec. 2014.</w:t>
      </w:r>
    </w:p>
  </w:footnote>
  <w:footnote w:id="32">
    <w:p w14:paraId="4C99E979" w14:textId="77777777" w:rsidR="00BF65F5" w:rsidRPr="00890FF9" w:rsidRDefault="00BF65F5">
      <w:pPr>
        <w:pStyle w:val="Voetnoottekst"/>
        <w:rPr>
          <w:rFonts w:asciiTheme="majorHAnsi" w:hAnsiTheme="majorHAnsi"/>
          <w:lang w:val="nl-NL"/>
        </w:rPr>
      </w:pPr>
      <w:r w:rsidRPr="00890FF9">
        <w:rPr>
          <w:rStyle w:val="Voetnootmarkering"/>
          <w:rFonts w:asciiTheme="majorHAnsi" w:hAnsiTheme="majorHAnsi"/>
        </w:rPr>
        <w:footnoteRef/>
      </w:r>
      <w:r w:rsidRPr="00890FF9">
        <w:rPr>
          <w:rFonts w:asciiTheme="majorHAnsi" w:hAnsiTheme="majorHAnsi"/>
        </w:rPr>
        <w:t xml:space="preserve"> </w:t>
      </w:r>
      <w:r w:rsidRPr="00890FF9">
        <w:rPr>
          <w:rFonts w:asciiTheme="majorHAnsi" w:hAnsiTheme="majorHAnsi"/>
          <w:lang w:val="nl-NL"/>
        </w:rPr>
        <w:t>Ibidem.</w:t>
      </w:r>
    </w:p>
  </w:footnote>
  <w:footnote w:id="33">
    <w:p w14:paraId="479EA092" w14:textId="77777777" w:rsidR="00BF65F5" w:rsidRPr="000C5150" w:rsidRDefault="00BF65F5">
      <w:pPr>
        <w:pStyle w:val="Voetnoottekst"/>
        <w:rPr>
          <w:rFonts w:asciiTheme="majorHAnsi" w:hAnsiTheme="majorHAnsi"/>
          <w:color w:val="365F91" w:themeColor="accent1" w:themeShade="BF"/>
          <w:lang w:val="nl-NL"/>
        </w:rPr>
      </w:pPr>
      <w:r w:rsidRPr="000C5150">
        <w:rPr>
          <w:rStyle w:val="Voetnootmarkering"/>
          <w:rFonts w:asciiTheme="majorHAnsi" w:hAnsiTheme="majorHAnsi"/>
          <w:color w:val="365F91" w:themeColor="accent1" w:themeShade="BF"/>
        </w:rPr>
        <w:footnoteRef/>
      </w:r>
      <w:r w:rsidRPr="000C5150">
        <w:rPr>
          <w:rFonts w:asciiTheme="majorHAnsi" w:hAnsiTheme="majorHAnsi"/>
          <w:color w:val="365F91" w:themeColor="accent1" w:themeShade="BF"/>
        </w:rPr>
        <w:t xml:space="preserve"> </w:t>
      </w:r>
      <w:r w:rsidRPr="000C5150">
        <w:rPr>
          <w:rFonts w:asciiTheme="majorHAnsi" w:hAnsiTheme="majorHAnsi" w:cs="Verdana"/>
          <w:color w:val="365F91" w:themeColor="accent1" w:themeShade="BF"/>
          <w:lang w:eastAsia="ja-JP"/>
        </w:rPr>
        <w:t>R. Dehousse, ‘EU Law and the Transformation of European Governance</w:t>
      </w:r>
      <w:r w:rsidRPr="000C5150">
        <w:rPr>
          <w:rFonts w:asciiTheme="majorHAnsi" w:hAnsiTheme="majorHAnsi" w:cs="Tahoma"/>
          <w:color w:val="365F91" w:themeColor="accent1" w:themeShade="BF"/>
          <w:lang w:eastAsia="ja-JP"/>
        </w:rPr>
        <w:t xml:space="preserve">’ </w:t>
      </w:r>
      <w:r w:rsidRPr="000C5150">
        <w:rPr>
          <w:rFonts w:asciiTheme="majorHAnsi" w:hAnsiTheme="majorHAnsi" w:cs="Verdana"/>
          <w:color w:val="365F91" w:themeColor="accent1" w:themeShade="BF"/>
          <w:lang w:eastAsia="ja-JP"/>
        </w:rPr>
        <w:t xml:space="preserve">in: C. Joerges and R. Dehousse, </w:t>
      </w:r>
      <w:r w:rsidRPr="000C5150">
        <w:rPr>
          <w:rFonts w:asciiTheme="majorHAnsi" w:hAnsiTheme="majorHAnsi" w:cs="Verdana"/>
          <w:i/>
          <w:iCs/>
          <w:color w:val="365F91" w:themeColor="accent1" w:themeShade="BF"/>
          <w:lang w:eastAsia="ja-JP"/>
        </w:rPr>
        <w:t>Good Governance in Europe’s Integrated Market</w:t>
      </w:r>
      <w:r w:rsidRPr="000C5150">
        <w:rPr>
          <w:rFonts w:asciiTheme="majorHAnsi" w:hAnsiTheme="majorHAnsi" w:cs="Verdana"/>
          <w:color w:val="365F91" w:themeColor="accent1" w:themeShade="BF"/>
          <w:lang w:eastAsia="ja-JP"/>
        </w:rPr>
        <w:t>, Oxford: Oxford University Press 2002, p. 223.</w:t>
      </w:r>
    </w:p>
  </w:footnote>
  <w:footnote w:id="34">
    <w:p w14:paraId="2B82E42C" w14:textId="77777777" w:rsidR="00BF65F5" w:rsidRPr="000C5150" w:rsidRDefault="00BF65F5" w:rsidP="00B27D57">
      <w:pPr>
        <w:pStyle w:val="Voetnoottekst"/>
        <w:rPr>
          <w:rFonts w:asciiTheme="majorHAnsi" w:hAnsiTheme="majorHAnsi"/>
          <w:color w:val="365F91" w:themeColor="accent1" w:themeShade="BF"/>
          <w:lang w:val="nl-NL"/>
        </w:rPr>
      </w:pPr>
      <w:r w:rsidRPr="000C5150">
        <w:rPr>
          <w:rStyle w:val="Voetnootmarkering"/>
          <w:rFonts w:asciiTheme="majorHAnsi" w:hAnsiTheme="majorHAnsi"/>
          <w:color w:val="365F91" w:themeColor="accent1" w:themeShade="BF"/>
        </w:rPr>
        <w:footnoteRef/>
      </w:r>
      <w:r w:rsidRPr="000C5150">
        <w:rPr>
          <w:rFonts w:asciiTheme="majorHAnsi" w:hAnsiTheme="majorHAnsi"/>
          <w:color w:val="365F91" w:themeColor="accent1" w:themeShade="BF"/>
        </w:rPr>
        <w:t xml:space="preserve"> M. de Visser, </w:t>
      </w:r>
      <w:r w:rsidRPr="000C5150">
        <w:rPr>
          <w:rFonts w:asciiTheme="majorHAnsi" w:hAnsiTheme="majorHAnsi" w:cs="Verdana"/>
          <w:i/>
          <w:iCs/>
          <w:color w:val="365F91" w:themeColor="accent1" w:themeShade="BF"/>
          <w:lang w:eastAsia="ja-JP"/>
        </w:rPr>
        <w:t>Network-based governance in EC law. The example of EC competition law and EC communications law</w:t>
      </w:r>
      <w:r w:rsidRPr="000C5150">
        <w:rPr>
          <w:rFonts w:asciiTheme="majorHAnsi" w:hAnsiTheme="majorHAnsi" w:cs="Verdana"/>
          <w:color w:val="365F91" w:themeColor="accent1" w:themeShade="BF"/>
          <w:lang w:eastAsia="ja-JP"/>
        </w:rPr>
        <w:t>, Hart Legal Publishers, 2009, p. 207.</w:t>
      </w:r>
    </w:p>
  </w:footnote>
  <w:footnote w:id="35">
    <w:p w14:paraId="57782B5F" w14:textId="77777777" w:rsidR="00BF65F5" w:rsidRPr="000C5150" w:rsidRDefault="00BF65F5" w:rsidP="00B27D57">
      <w:pPr>
        <w:pStyle w:val="Voetnoottekst"/>
        <w:rPr>
          <w:rFonts w:asciiTheme="majorHAnsi" w:hAnsiTheme="majorHAnsi"/>
          <w:color w:val="365F91" w:themeColor="accent1" w:themeShade="BF"/>
          <w:lang w:val="nl-NL"/>
        </w:rPr>
      </w:pPr>
      <w:r w:rsidRPr="000C5150">
        <w:rPr>
          <w:rStyle w:val="Voetnootmarkering"/>
          <w:rFonts w:asciiTheme="majorHAnsi" w:hAnsiTheme="majorHAnsi"/>
          <w:color w:val="365F91" w:themeColor="accent1" w:themeShade="BF"/>
        </w:rPr>
        <w:footnoteRef/>
      </w:r>
      <w:r w:rsidRPr="000C5150">
        <w:rPr>
          <w:rFonts w:asciiTheme="majorHAnsi" w:hAnsiTheme="majorHAnsi"/>
          <w:color w:val="365F91" w:themeColor="accent1" w:themeShade="BF"/>
        </w:rPr>
        <w:t xml:space="preserve"> </w:t>
      </w:r>
      <w:r w:rsidRPr="000C5150">
        <w:rPr>
          <w:rFonts w:asciiTheme="majorHAnsi" w:hAnsiTheme="majorHAnsi" w:cs="Verdana"/>
          <w:color w:val="365F91" w:themeColor="accent1" w:themeShade="BF"/>
          <w:lang w:eastAsia="ja-JP"/>
        </w:rPr>
        <w:t xml:space="preserve">A. De Moor-van Vugt, Netwerken en de europeanisering van het toezicht, </w:t>
      </w:r>
      <w:r w:rsidRPr="000C5150">
        <w:rPr>
          <w:rFonts w:asciiTheme="majorHAnsi" w:hAnsiTheme="majorHAnsi" w:cs="Verdana"/>
          <w:i/>
          <w:iCs/>
          <w:color w:val="365F91" w:themeColor="accent1" w:themeShade="BF"/>
          <w:lang w:eastAsia="ja-JP"/>
        </w:rPr>
        <w:t xml:space="preserve">SEW </w:t>
      </w:r>
      <w:r w:rsidRPr="000C5150">
        <w:rPr>
          <w:rFonts w:asciiTheme="majorHAnsi" w:hAnsiTheme="majorHAnsi" w:cs="Verdana"/>
          <w:color w:val="365F91" w:themeColor="accent1" w:themeShade="BF"/>
          <w:lang w:eastAsia="ja-JP"/>
        </w:rPr>
        <w:t xml:space="preserve">nr. </w:t>
      </w:r>
      <w:proofErr w:type="gramStart"/>
      <w:r w:rsidRPr="000C5150">
        <w:rPr>
          <w:rFonts w:asciiTheme="majorHAnsi" w:hAnsiTheme="majorHAnsi" w:cs="Verdana"/>
          <w:color w:val="365F91" w:themeColor="accent1" w:themeShade="BF"/>
          <w:lang w:eastAsia="ja-JP"/>
        </w:rPr>
        <w:t>3, maart 2011, pp. 94-102.</w:t>
      </w:r>
      <w:proofErr w:type="gramEnd"/>
    </w:p>
  </w:footnote>
  <w:footnote w:id="36">
    <w:p w14:paraId="3824CEFA" w14:textId="77777777" w:rsidR="00BF65F5" w:rsidRPr="000C5150" w:rsidRDefault="00BF65F5" w:rsidP="00B27D57">
      <w:pPr>
        <w:pStyle w:val="Voetnoottekst"/>
        <w:rPr>
          <w:rFonts w:asciiTheme="majorHAnsi" w:hAnsiTheme="majorHAnsi"/>
          <w:color w:val="365F91" w:themeColor="accent1" w:themeShade="BF"/>
          <w:lang w:val="nl-NL"/>
        </w:rPr>
      </w:pPr>
      <w:r w:rsidRPr="000C5150">
        <w:rPr>
          <w:rStyle w:val="Voetnootmarkering"/>
          <w:rFonts w:asciiTheme="majorHAnsi" w:hAnsiTheme="majorHAnsi"/>
          <w:color w:val="365F91" w:themeColor="accent1" w:themeShade="BF"/>
        </w:rPr>
        <w:footnoteRef/>
      </w:r>
      <w:r w:rsidRPr="000C5150">
        <w:rPr>
          <w:rFonts w:asciiTheme="majorHAnsi" w:hAnsiTheme="majorHAnsi"/>
          <w:color w:val="365F91" w:themeColor="accent1" w:themeShade="BF"/>
        </w:rPr>
        <w:t xml:space="preserve"> </w:t>
      </w:r>
      <w:r w:rsidRPr="000C5150">
        <w:rPr>
          <w:rFonts w:asciiTheme="majorHAnsi" w:hAnsiTheme="majorHAnsi" w:cs="Verdana"/>
          <w:i/>
          <w:iCs/>
          <w:color w:val="365F91" w:themeColor="accent1" w:themeShade="BF"/>
          <w:lang w:eastAsia="ja-JP"/>
        </w:rPr>
        <w:t>Ibidem</w:t>
      </w:r>
      <w:r w:rsidRPr="000C5150">
        <w:rPr>
          <w:rFonts w:asciiTheme="majorHAnsi" w:hAnsiTheme="majorHAnsi" w:cs="Verdana"/>
          <w:color w:val="365F91" w:themeColor="accent1" w:themeShade="BF"/>
          <w:lang w:eastAsia="ja-JP"/>
        </w:rPr>
        <w:t>.</w:t>
      </w:r>
    </w:p>
  </w:footnote>
  <w:footnote w:id="37">
    <w:p w14:paraId="77252322" w14:textId="77777777" w:rsidR="00BF65F5" w:rsidRPr="000C5150" w:rsidRDefault="00BF65F5" w:rsidP="00B27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olor w:val="365F91" w:themeColor="accent1" w:themeShade="BF"/>
          <w:sz w:val="20"/>
          <w:szCs w:val="20"/>
          <w:lang w:val="nl-NL"/>
        </w:rPr>
      </w:pPr>
      <w:r w:rsidRPr="000C5150">
        <w:rPr>
          <w:rStyle w:val="Voetnootmarkering"/>
          <w:rFonts w:asciiTheme="majorHAnsi" w:hAnsiTheme="majorHAnsi"/>
          <w:color w:val="365F91" w:themeColor="accent1" w:themeShade="BF"/>
          <w:sz w:val="20"/>
          <w:szCs w:val="20"/>
        </w:rPr>
        <w:footnoteRef/>
      </w:r>
      <w:r w:rsidRPr="000C5150">
        <w:rPr>
          <w:rFonts w:asciiTheme="majorHAnsi" w:hAnsiTheme="majorHAnsi"/>
          <w:color w:val="365F91" w:themeColor="accent1" w:themeShade="BF"/>
          <w:sz w:val="20"/>
          <w:szCs w:val="20"/>
        </w:rPr>
        <w:t xml:space="preserve"> </w:t>
      </w:r>
      <w:r w:rsidRPr="000C5150">
        <w:rPr>
          <w:rFonts w:asciiTheme="majorHAnsi" w:hAnsiTheme="majorHAnsi" w:cs="Verdana"/>
          <w:color w:val="365F91" w:themeColor="accent1" w:themeShade="BF"/>
          <w:sz w:val="20"/>
          <w:szCs w:val="20"/>
          <w:lang w:val="en-US" w:eastAsia="ja-JP"/>
        </w:rPr>
        <w:t xml:space="preserve">Arts. 11 to 16 of Council Regulation 1/2003 on the implementation of the rules on competition laid down in Articles 81 and 82 of the Treaty, </w:t>
      </w:r>
      <w:r w:rsidRPr="000C5150">
        <w:rPr>
          <w:rFonts w:asciiTheme="majorHAnsi" w:hAnsiTheme="majorHAnsi" w:cs="Verdana"/>
          <w:i/>
          <w:iCs/>
          <w:color w:val="365F91" w:themeColor="accent1" w:themeShade="BF"/>
          <w:sz w:val="20"/>
          <w:szCs w:val="20"/>
          <w:lang w:val="en-US" w:eastAsia="ja-JP"/>
        </w:rPr>
        <w:t xml:space="preserve">OJ </w:t>
      </w:r>
      <w:r w:rsidRPr="000C5150">
        <w:rPr>
          <w:rFonts w:asciiTheme="majorHAnsi" w:hAnsiTheme="majorHAnsi" w:cs="Verdana"/>
          <w:color w:val="365F91" w:themeColor="accent1" w:themeShade="BF"/>
          <w:sz w:val="20"/>
          <w:szCs w:val="20"/>
          <w:lang w:val="en-US" w:eastAsia="ja-JP"/>
        </w:rPr>
        <w:t xml:space="preserve">2003, </w:t>
      </w:r>
      <w:proofErr w:type="gramStart"/>
      <w:r w:rsidRPr="000C5150">
        <w:rPr>
          <w:rFonts w:asciiTheme="majorHAnsi" w:hAnsiTheme="majorHAnsi" w:cs="Verdana"/>
          <w:color w:val="365F91" w:themeColor="accent1" w:themeShade="BF"/>
          <w:sz w:val="20"/>
          <w:szCs w:val="20"/>
          <w:lang w:val="en-US" w:eastAsia="ja-JP"/>
        </w:rPr>
        <w:t>L1</w:t>
      </w:r>
      <w:proofErr w:type="gramEnd"/>
      <w:r w:rsidRPr="000C5150">
        <w:rPr>
          <w:rFonts w:asciiTheme="majorHAnsi" w:hAnsiTheme="majorHAnsi" w:cs="Verdana"/>
          <w:color w:val="365F91" w:themeColor="accent1" w:themeShade="BF"/>
          <w:sz w:val="20"/>
          <w:szCs w:val="20"/>
          <w:lang w:val="en-US" w:eastAsia="ja-JP"/>
        </w:rPr>
        <w:t>/1.</w:t>
      </w:r>
      <w:r w:rsidRPr="000C5150">
        <w:rPr>
          <w:rFonts w:asciiTheme="majorHAnsi" w:hAnsiTheme="majorHAnsi"/>
          <w:color w:val="365F91" w:themeColor="accent1" w:themeShade="BF"/>
          <w:sz w:val="20"/>
          <w:szCs w:val="20"/>
          <w:lang w:val="nl-NL"/>
        </w:rPr>
        <w:t xml:space="preserve"> </w:t>
      </w:r>
    </w:p>
  </w:footnote>
  <w:footnote w:id="38">
    <w:p w14:paraId="66C1D925" w14:textId="77777777" w:rsidR="00BF65F5" w:rsidRPr="000C5150" w:rsidRDefault="00BF65F5" w:rsidP="00B27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olor w:val="365F91" w:themeColor="accent1" w:themeShade="BF"/>
          <w:sz w:val="20"/>
          <w:szCs w:val="20"/>
          <w:lang w:val="nl-NL"/>
        </w:rPr>
      </w:pPr>
      <w:r w:rsidRPr="000C5150">
        <w:rPr>
          <w:rStyle w:val="Voetnootmarkering"/>
          <w:rFonts w:asciiTheme="majorHAnsi" w:hAnsiTheme="majorHAnsi"/>
          <w:color w:val="365F91" w:themeColor="accent1" w:themeShade="BF"/>
          <w:sz w:val="20"/>
          <w:szCs w:val="20"/>
        </w:rPr>
        <w:footnoteRef/>
      </w:r>
      <w:r w:rsidRPr="000C5150">
        <w:rPr>
          <w:rFonts w:asciiTheme="majorHAnsi" w:hAnsiTheme="majorHAnsi"/>
          <w:color w:val="365F91" w:themeColor="accent1" w:themeShade="BF"/>
          <w:sz w:val="20"/>
          <w:szCs w:val="20"/>
        </w:rPr>
        <w:t xml:space="preserve"> </w:t>
      </w:r>
      <w:r w:rsidRPr="000C5150">
        <w:rPr>
          <w:rFonts w:asciiTheme="majorHAnsi" w:hAnsiTheme="majorHAnsi" w:cs="Verdana"/>
          <w:color w:val="365F91" w:themeColor="accent1" w:themeShade="BF"/>
          <w:sz w:val="20"/>
          <w:szCs w:val="20"/>
          <w:lang w:val="en-US" w:eastAsia="ja-JP"/>
        </w:rPr>
        <w:t xml:space="preserve">Commission Notice on cooperation within the Network of Competition Authorities, </w:t>
      </w:r>
      <w:r w:rsidRPr="000C5150">
        <w:rPr>
          <w:rFonts w:asciiTheme="majorHAnsi" w:hAnsiTheme="majorHAnsi" w:cs="Verdana"/>
          <w:i/>
          <w:iCs/>
          <w:color w:val="365F91" w:themeColor="accent1" w:themeShade="BF"/>
          <w:sz w:val="20"/>
          <w:szCs w:val="20"/>
          <w:lang w:val="en-US" w:eastAsia="ja-JP"/>
        </w:rPr>
        <w:t xml:space="preserve">OJ </w:t>
      </w:r>
      <w:r w:rsidRPr="000C5150">
        <w:rPr>
          <w:rFonts w:asciiTheme="majorHAnsi" w:hAnsiTheme="majorHAnsi" w:cs="Verdana"/>
          <w:color w:val="365F91" w:themeColor="accent1" w:themeShade="BF"/>
          <w:sz w:val="20"/>
          <w:szCs w:val="20"/>
          <w:lang w:val="en-US" w:eastAsia="ja-JP"/>
        </w:rPr>
        <w:t>2004, C101/03.</w:t>
      </w:r>
      <w:r w:rsidRPr="000C5150">
        <w:rPr>
          <w:rFonts w:asciiTheme="majorHAnsi" w:hAnsiTheme="majorHAnsi"/>
          <w:color w:val="365F91" w:themeColor="accent1" w:themeShade="BF"/>
          <w:sz w:val="20"/>
          <w:szCs w:val="20"/>
          <w:lang w:val="nl-NL"/>
        </w:rPr>
        <w:t xml:space="preserve"> </w:t>
      </w:r>
    </w:p>
  </w:footnote>
  <w:footnote w:id="39">
    <w:p w14:paraId="35B43BC8" w14:textId="77777777" w:rsidR="00BF65F5" w:rsidRPr="000C5150" w:rsidRDefault="00BF65F5" w:rsidP="00B27D57">
      <w:pPr>
        <w:pStyle w:val="Voetnoottekst"/>
        <w:rPr>
          <w:rFonts w:asciiTheme="majorHAnsi" w:hAnsiTheme="majorHAnsi"/>
          <w:color w:val="365F91" w:themeColor="accent1" w:themeShade="BF"/>
          <w:lang w:val="nl-NL"/>
        </w:rPr>
      </w:pPr>
      <w:r w:rsidRPr="000C5150">
        <w:rPr>
          <w:rStyle w:val="Voetnootmarkering"/>
          <w:rFonts w:asciiTheme="majorHAnsi" w:hAnsiTheme="majorHAnsi"/>
          <w:color w:val="365F91" w:themeColor="accent1" w:themeShade="BF"/>
        </w:rPr>
        <w:footnoteRef/>
      </w:r>
      <w:r w:rsidRPr="000C5150">
        <w:rPr>
          <w:rFonts w:asciiTheme="majorHAnsi" w:hAnsiTheme="majorHAnsi"/>
          <w:color w:val="365F91" w:themeColor="accent1" w:themeShade="BF"/>
        </w:rPr>
        <w:t xml:space="preserve"> </w:t>
      </w:r>
      <w:r w:rsidRPr="000C5150">
        <w:rPr>
          <w:rFonts w:asciiTheme="majorHAnsi" w:hAnsiTheme="majorHAnsi" w:cs="Verdana"/>
          <w:color w:val="365F91" w:themeColor="accent1" w:themeShade="BF"/>
          <w:lang w:eastAsia="ja-JP"/>
        </w:rPr>
        <w:t>Article 11 (2) and (3) oblige the national supervisory authorities and the Commission to inform each other of cases which will be dealt with in accordance with the procedures of the ECN.</w:t>
      </w:r>
    </w:p>
  </w:footnote>
  <w:footnote w:id="40">
    <w:p w14:paraId="5E662B3D" w14:textId="77777777" w:rsidR="00BF65F5" w:rsidRPr="000C5150" w:rsidRDefault="00BF65F5" w:rsidP="00B27D57">
      <w:pPr>
        <w:pStyle w:val="Voetnoottekst"/>
        <w:rPr>
          <w:rFonts w:asciiTheme="majorHAnsi" w:hAnsiTheme="majorHAnsi"/>
          <w:color w:val="365F91" w:themeColor="accent1" w:themeShade="BF"/>
          <w:lang w:val="nl-NL"/>
        </w:rPr>
      </w:pPr>
      <w:r w:rsidRPr="000C5150">
        <w:rPr>
          <w:rStyle w:val="Voetnootmarkering"/>
          <w:rFonts w:asciiTheme="majorHAnsi" w:hAnsiTheme="majorHAnsi"/>
          <w:color w:val="365F91" w:themeColor="accent1" w:themeShade="BF"/>
        </w:rPr>
        <w:footnoteRef/>
      </w:r>
      <w:r w:rsidRPr="000C5150">
        <w:rPr>
          <w:rFonts w:asciiTheme="majorHAnsi" w:hAnsiTheme="majorHAnsi"/>
          <w:color w:val="365F91" w:themeColor="accent1" w:themeShade="BF"/>
        </w:rPr>
        <w:t xml:space="preserve"> </w:t>
      </w:r>
      <w:r w:rsidRPr="000C5150">
        <w:rPr>
          <w:rFonts w:asciiTheme="majorHAnsi" w:hAnsiTheme="majorHAnsi" w:cs="Verdana"/>
          <w:color w:val="365F91" w:themeColor="accent1" w:themeShade="BF"/>
          <w:lang w:eastAsia="ja-JP"/>
        </w:rPr>
        <w:t>Art. 11 Reg. 1/2003.</w:t>
      </w:r>
    </w:p>
  </w:footnote>
  <w:footnote w:id="41">
    <w:p w14:paraId="1095BD39" w14:textId="77777777" w:rsidR="00BF65F5" w:rsidRPr="000C5150" w:rsidRDefault="00BF65F5" w:rsidP="00B27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olor w:val="365F91" w:themeColor="accent1" w:themeShade="BF"/>
          <w:sz w:val="20"/>
          <w:szCs w:val="20"/>
          <w:lang w:val="nl-NL"/>
        </w:rPr>
      </w:pPr>
      <w:r w:rsidRPr="000C5150">
        <w:rPr>
          <w:rStyle w:val="Voetnootmarkering"/>
          <w:rFonts w:asciiTheme="majorHAnsi" w:hAnsiTheme="majorHAnsi"/>
          <w:color w:val="365F91" w:themeColor="accent1" w:themeShade="BF"/>
          <w:sz w:val="20"/>
          <w:szCs w:val="20"/>
        </w:rPr>
        <w:footnoteRef/>
      </w:r>
      <w:r w:rsidRPr="000C5150">
        <w:rPr>
          <w:rFonts w:asciiTheme="majorHAnsi" w:hAnsiTheme="majorHAnsi"/>
          <w:color w:val="365F91" w:themeColor="accent1" w:themeShade="BF"/>
          <w:sz w:val="20"/>
          <w:szCs w:val="20"/>
        </w:rPr>
        <w:t xml:space="preserve"> </w:t>
      </w:r>
      <w:r w:rsidRPr="000C5150">
        <w:rPr>
          <w:rFonts w:asciiTheme="majorHAnsi" w:hAnsiTheme="majorHAnsi" w:cs="Verdana"/>
          <w:color w:val="365F91" w:themeColor="accent1" w:themeShade="BF"/>
          <w:sz w:val="20"/>
          <w:szCs w:val="20"/>
          <w:lang w:val="en-US" w:eastAsia="ja-JP"/>
        </w:rPr>
        <w:t>Art. 12 Reg. 1/2003.</w:t>
      </w:r>
      <w:r w:rsidRPr="000C5150">
        <w:rPr>
          <w:rFonts w:asciiTheme="majorHAnsi" w:hAnsiTheme="majorHAnsi"/>
          <w:color w:val="365F91" w:themeColor="accent1" w:themeShade="BF"/>
          <w:sz w:val="20"/>
          <w:szCs w:val="20"/>
          <w:lang w:val="nl-NL"/>
        </w:rPr>
        <w:t xml:space="preserve"> </w:t>
      </w:r>
    </w:p>
  </w:footnote>
  <w:footnote w:id="42">
    <w:p w14:paraId="5B88E30F" w14:textId="77777777" w:rsidR="00BF65F5" w:rsidRPr="000C5150" w:rsidRDefault="00BF65F5" w:rsidP="00B27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ajorHAnsi" w:hAnsiTheme="majorHAnsi"/>
          <w:color w:val="365F91" w:themeColor="accent1" w:themeShade="BF"/>
          <w:sz w:val="20"/>
          <w:szCs w:val="20"/>
          <w:lang w:val="nl-NL"/>
        </w:rPr>
      </w:pPr>
      <w:r w:rsidRPr="000C5150">
        <w:rPr>
          <w:rStyle w:val="Voetnootmarkering"/>
          <w:rFonts w:asciiTheme="majorHAnsi" w:hAnsiTheme="majorHAnsi"/>
          <w:color w:val="365F91" w:themeColor="accent1" w:themeShade="BF"/>
          <w:sz w:val="20"/>
          <w:szCs w:val="20"/>
        </w:rPr>
        <w:footnoteRef/>
      </w:r>
      <w:r w:rsidRPr="000C5150">
        <w:rPr>
          <w:rFonts w:asciiTheme="majorHAnsi" w:hAnsiTheme="majorHAnsi"/>
          <w:color w:val="365F91" w:themeColor="accent1" w:themeShade="BF"/>
          <w:sz w:val="20"/>
          <w:szCs w:val="20"/>
        </w:rPr>
        <w:t xml:space="preserve"> </w:t>
      </w:r>
      <w:r w:rsidRPr="000C5150">
        <w:rPr>
          <w:rFonts w:asciiTheme="majorHAnsi" w:hAnsiTheme="majorHAnsi" w:cs="Verdana"/>
          <w:color w:val="365F91" w:themeColor="accent1" w:themeShade="BF"/>
          <w:sz w:val="20"/>
          <w:szCs w:val="20"/>
          <w:lang w:val="en-US" w:eastAsia="ja-JP"/>
        </w:rPr>
        <w:t>See also S. Lavrijssen-Heijmans and L. Hancher, European Regulators in the Network Sectors: Revolution or Evolution?</w:t>
      </w:r>
      <w:r w:rsidRPr="000C5150">
        <w:rPr>
          <w:rFonts w:asciiTheme="majorHAnsi" w:hAnsiTheme="majorHAnsi" w:cs="Verdana"/>
          <w:color w:val="365F91" w:themeColor="accent1" w:themeShade="BF"/>
          <w:sz w:val="20"/>
          <w:szCs w:val="20"/>
          <w:lang w:val="en-US" w:eastAsia="ja-JP"/>
        </w:rPr>
        <w:tab/>
      </w:r>
      <w:r w:rsidRPr="000C5150">
        <w:rPr>
          <w:rFonts w:asciiTheme="majorHAnsi" w:hAnsiTheme="majorHAnsi" w:cs="Verdana"/>
          <w:i/>
          <w:iCs/>
          <w:color w:val="365F91" w:themeColor="accent1" w:themeShade="BF"/>
          <w:sz w:val="20"/>
          <w:szCs w:val="20"/>
          <w:lang w:val="en-US" w:eastAsia="ja-JP"/>
        </w:rPr>
        <w:t>TILEC</w:t>
      </w:r>
      <w:r w:rsidRPr="000C5150">
        <w:rPr>
          <w:rFonts w:asciiTheme="majorHAnsi" w:hAnsiTheme="majorHAnsi" w:cs="Verdana"/>
          <w:i/>
          <w:iCs/>
          <w:color w:val="365F91" w:themeColor="accent1" w:themeShade="BF"/>
          <w:sz w:val="20"/>
          <w:szCs w:val="20"/>
          <w:lang w:val="en-US" w:eastAsia="ja-JP"/>
        </w:rPr>
        <w:tab/>
        <w:t>Discussion</w:t>
      </w:r>
      <w:r w:rsidRPr="000C5150">
        <w:rPr>
          <w:rFonts w:asciiTheme="majorHAnsi" w:hAnsiTheme="majorHAnsi" w:cs="Verdana"/>
          <w:i/>
          <w:iCs/>
          <w:color w:val="365F91" w:themeColor="accent1" w:themeShade="BF"/>
          <w:sz w:val="20"/>
          <w:szCs w:val="20"/>
          <w:lang w:val="en-US" w:eastAsia="ja-JP"/>
        </w:rPr>
        <w:tab/>
        <w:t>Paper</w:t>
      </w:r>
      <w:r w:rsidRPr="000C5150">
        <w:rPr>
          <w:rFonts w:asciiTheme="majorHAnsi" w:hAnsiTheme="majorHAnsi" w:cs="Verdana"/>
          <w:color w:val="365F91" w:themeColor="accent1" w:themeShade="BF"/>
          <w:sz w:val="20"/>
          <w:szCs w:val="20"/>
          <w:lang w:val="en-US" w:eastAsia="ja-JP"/>
        </w:rPr>
        <w:t>,</w:t>
      </w:r>
      <w:r w:rsidRPr="000C5150">
        <w:rPr>
          <w:rFonts w:asciiTheme="majorHAnsi" w:hAnsiTheme="majorHAnsi" w:cs="Verdana"/>
          <w:color w:val="365F91" w:themeColor="accent1" w:themeShade="BF"/>
          <w:sz w:val="20"/>
          <w:szCs w:val="20"/>
          <w:lang w:val="en-US" w:eastAsia="ja-JP"/>
        </w:rPr>
        <w:tab/>
        <w:t>2008-024,</w:t>
      </w:r>
      <w:r w:rsidRPr="000C5150">
        <w:rPr>
          <w:rFonts w:asciiTheme="majorHAnsi" w:hAnsiTheme="majorHAnsi" w:cs="Verdana"/>
          <w:color w:val="365F91" w:themeColor="accent1" w:themeShade="BF"/>
          <w:sz w:val="20"/>
          <w:szCs w:val="20"/>
          <w:lang w:val="en-US" w:eastAsia="ja-JP"/>
        </w:rPr>
        <w:tab/>
        <w:t>pp.</w:t>
      </w:r>
      <w:r w:rsidRPr="000C5150">
        <w:rPr>
          <w:rFonts w:asciiTheme="majorHAnsi" w:hAnsiTheme="majorHAnsi" w:cs="Verdana"/>
          <w:color w:val="365F91" w:themeColor="accent1" w:themeShade="BF"/>
          <w:sz w:val="20"/>
          <w:szCs w:val="20"/>
          <w:lang w:val="en-US" w:eastAsia="ja-JP"/>
        </w:rPr>
        <w:tab/>
        <w:t>10-11.</w:t>
      </w:r>
      <w:r w:rsidRPr="000C5150">
        <w:rPr>
          <w:rFonts w:asciiTheme="majorHAnsi" w:hAnsiTheme="majorHAnsi" w:cs="Verdana"/>
          <w:color w:val="365F91" w:themeColor="accent1" w:themeShade="BF"/>
          <w:sz w:val="20"/>
          <w:szCs w:val="20"/>
          <w:lang w:val="en-US" w:eastAsia="ja-JP"/>
        </w:rPr>
        <w:tab/>
        <w:t>Accessible</w:t>
      </w:r>
      <w:r w:rsidRPr="000C5150">
        <w:rPr>
          <w:rFonts w:asciiTheme="majorHAnsi" w:hAnsiTheme="majorHAnsi" w:cs="Verdana"/>
          <w:color w:val="365F91" w:themeColor="accent1" w:themeShade="BF"/>
          <w:sz w:val="20"/>
          <w:szCs w:val="20"/>
          <w:lang w:val="en-US" w:eastAsia="ja-JP"/>
        </w:rPr>
        <w:tab/>
        <w:t>on: http://papers.ssrn.com/sol3/papers.cfm?abstract_id=1162164.</w:t>
      </w:r>
      <w:r w:rsidRPr="000C5150">
        <w:rPr>
          <w:rFonts w:asciiTheme="majorHAnsi" w:hAnsiTheme="majorHAnsi"/>
          <w:color w:val="365F91" w:themeColor="accent1" w:themeShade="BF"/>
          <w:sz w:val="20"/>
          <w:szCs w:val="20"/>
          <w:lang w:val="nl-NL"/>
        </w:rPr>
        <w:t xml:space="preserve"> </w:t>
      </w:r>
    </w:p>
  </w:footnote>
  <w:footnote w:id="43">
    <w:p w14:paraId="2D7BAEDC" w14:textId="77777777" w:rsidR="00BF65F5" w:rsidRPr="000C5150" w:rsidRDefault="00BF65F5" w:rsidP="00B27D57">
      <w:pPr>
        <w:pStyle w:val="Voetnoottekst"/>
        <w:rPr>
          <w:rFonts w:asciiTheme="majorHAnsi" w:hAnsiTheme="majorHAnsi"/>
          <w:color w:val="365F91" w:themeColor="accent1" w:themeShade="BF"/>
          <w:lang w:val="nl-NL"/>
        </w:rPr>
      </w:pPr>
      <w:r w:rsidRPr="000C5150">
        <w:rPr>
          <w:rStyle w:val="Voetnootmarkering"/>
          <w:rFonts w:asciiTheme="majorHAnsi" w:hAnsiTheme="majorHAnsi"/>
          <w:color w:val="365F91" w:themeColor="accent1" w:themeShade="BF"/>
        </w:rPr>
        <w:footnoteRef/>
      </w:r>
      <w:r w:rsidRPr="000C5150">
        <w:rPr>
          <w:rFonts w:asciiTheme="majorHAnsi" w:hAnsiTheme="majorHAnsi"/>
          <w:color w:val="365F91" w:themeColor="accent1" w:themeShade="BF"/>
        </w:rPr>
        <w:t xml:space="preserve"> </w:t>
      </w:r>
      <w:proofErr w:type="gramStart"/>
      <w:r w:rsidRPr="000C5150">
        <w:rPr>
          <w:rFonts w:asciiTheme="majorHAnsi" w:hAnsiTheme="majorHAnsi" w:cs="Verdana"/>
          <w:color w:val="365F91" w:themeColor="accent1" w:themeShade="BF"/>
          <w:lang w:eastAsia="ja-JP"/>
        </w:rPr>
        <w:t xml:space="preserve">De Visser 2009, </w:t>
      </w:r>
      <w:r w:rsidRPr="000C5150">
        <w:rPr>
          <w:rFonts w:asciiTheme="majorHAnsi" w:hAnsiTheme="majorHAnsi" w:cs="Verdana"/>
          <w:i/>
          <w:iCs/>
          <w:color w:val="365F91" w:themeColor="accent1" w:themeShade="BF"/>
          <w:lang w:eastAsia="ja-JP"/>
        </w:rPr>
        <w:t>op.cit.</w:t>
      </w:r>
      <w:proofErr w:type="gramEnd"/>
    </w:p>
  </w:footnote>
  <w:footnote w:id="44">
    <w:p w14:paraId="7CF003C9" w14:textId="77777777" w:rsidR="00BF65F5" w:rsidRPr="00D5662D" w:rsidRDefault="00BF65F5">
      <w:pPr>
        <w:pStyle w:val="Voetnoottekst"/>
        <w:rPr>
          <w:lang w:val="en-GB"/>
        </w:rPr>
      </w:pPr>
      <w:r>
        <w:rPr>
          <w:rStyle w:val="Voetnootmarkering"/>
        </w:rPr>
        <w:footnoteRef/>
      </w:r>
      <w:r>
        <w:t xml:space="preserve"> </w:t>
      </w:r>
      <w:r>
        <w:rPr>
          <w:lang w:val="en-GB"/>
        </w:rPr>
        <w:t>***</w:t>
      </w:r>
    </w:p>
  </w:footnote>
  <w:footnote w:id="45">
    <w:p w14:paraId="1ECE3C5E" w14:textId="77777777" w:rsidR="00BF65F5" w:rsidRPr="000C5150" w:rsidRDefault="00BF65F5">
      <w:pPr>
        <w:pStyle w:val="Voetnoottekst"/>
        <w:rPr>
          <w:rFonts w:asciiTheme="majorHAnsi" w:hAnsiTheme="majorHAnsi"/>
          <w:color w:val="365F91" w:themeColor="accent1" w:themeShade="BF"/>
          <w:lang w:val="nl-NL"/>
        </w:rPr>
      </w:pPr>
      <w:r w:rsidRPr="000C5150">
        <w:rPr>
          <w:rStyle w:val="Voetnootmarkering"/>
          <w:rFonts w:asciiTheme="majorHAnsi" w:hAnsiTheme="majorHAnsi"/>
          <w:color w:val="365F91" w:themeColor="accent1" w:themeShade="BF"/>
        </w:rPr>
        <w:footnoteRef/>
      </w:r>
      <w:r w:rsidRPr="000C5150">
        <w:rPr>
          <w:rFonts w:asciiTheme="majorHAnsi" w:hAnsiTheme="majorHAnsi"/>
          <w:color w:val="365F91" w:themeColor="accent1" w:themeShade="BF"/>
        </w:rPr>
        <w:t xml:space="preserve"> </w:t>
      </w:r>
      <w:r w:rsidRPr="000C5150">
        <w:rPr>
          <w:rFonts w:asciiTheme="majorHAnsi" w:hAnsiTheme="majorHAnsi" w:cs="Verdana"/>
          <w:color w:val="365F91" w:themeColor="accent1" w:themeShade="BF"/>
          <w:lang w:eastAsia="ja-JP"/>
        </w:rPr>
        <w:t xml:space="preserve">Shapiro 2011, </w:t>
      </w:r>
      <w:r w:rsidRPr="000C5150">
        <w:rPr>
          <w:rFonts w:asciiTheme="majorHAnsi" w:hAnsiTheme="majorHAnsi" w:cs="Verdana"/>
          <w:i/>
          <w:iCs/>
          <w:color w:val="365F91" w:themeColor="accent1" w:themeShade="BF"/>
          <w:lang w:eastAsia="ja-JP"/>
        </w:rPr>
        <w:t>op. cit.</w:t>
      </w:r>
      <w:r w:rsidRPr="000C5150">
        <w:rPr>
          <w:rFonts w:asciiTheme="majorHAnsi" w:hAnsiTheme="majorHAnsi" w:cs="Verdana"/>
          <w:color w:val="365F91" w:themeColor="accent1" w:themeShade="BF"/>
          <w:lang w:eastAsia="ja-JP"/>
        </w:rPr>
        <w:t>, second edition, p. 112.</w:t>
      </w:r>
    </w:p>
  </w:footnote>
  <w:footnote w:id="46">
    <w:p w14:paraId="68EEAFD9" w14:textId="77777777" w:rsidR="00BF65F5" w:rsidRPr="000C5150" w:rsidRDefault="00BF65F5">
      <w:pPr>
        <w:pStyle w:val="Voetnoottekst"/>
        <w:rPr>
          <w:rFonts w:asciiTheme="majorHAnsi" w:hAnsiTheme="majorHAnsi"/>
          <w:color w:val="365F91" w:themeColor="accent1" w:themeShade="BF"/>
          <w:lang w:val="nl-NL"/>
        </w:rPr>
      </w:pPr>
      <w:r w:rsidRPr="000C5150">
        <w:rPr>
          <w:rStyle w:val="Voetnootmarkering"/>
          <w:rFonts w:asciiTheme="majorHAnsi" w:hAnsiTheme="majorHAnsi"/>
          <w:color w:val="365F91" w:themeColor="accent1" w:themeShade="BF"/>
        </w:rPr>
        <w:footnoteRef/>
      </w:r>
      <w:r w:rsidRPr="000C5150">
        <w:rPr>
          <w:rFonts w:asciiTheme="majorHAnsi" w:hAnsiTheme="majorHAnsi"/>
          <w:color w:val="365F91" w:themeColor="accent1" w:themeShade="BF"/>
        </w:rPr>
        <w:t xml:space="preserve"> </w:t>
      </w:r>
      <w:r w:rsidRPr="000C5150">
        <w:rPr>
          <w:rFonts w:asciiTheme="majorHAnsi" w:hAnsiTheme="majorHAnsi" w:cs="Verdana"/>
          <w:color w:val="365F91" w:themeColor="accent1" w:themeShade="BF"/>
          <w:lang w:eastAsia="ja-JP"/>
        </w:rPr>
        <w:t xml:space="preserve">Cf. Shapiro 2011, </w:t>
      </w:r>
      <w:r w:rsidRPr="000C5150">
        <w:rPr>
          <w:rFonts w:asciiTheme="majorHAnsi" w:hAnsiTheme="majorHAnsi" w:cs="Verdana"/>
          <w:i/>
          <w:iCs/>
          <w:color w:val="365F91" w:themeColor="accent1" w:themeShade="BF"/>
          <w:lang w:eastAsia="ja-JP"/>
        </w:rPr>
        <w:t>op. cit.</w:t>
      </w:r>
      <w:r w:rsidRPr="000C5150">
        <w:rPr>
          <w:rFonts w:asciiTheme="majorHAnsi" w:hAnsiTheme="majorHAnsi" w:cs="Verdana"/>
          <w:color w:val="365F91" w:themeColor="accent1" w:themeShade="BF"/>
          <w:lang w:eastAsia="ja-JP"/>
        </w:rPr>
        <w:t>, p. 116.</w:t>
      </w:r>
    </w:p>
  </w:footnote>
  <w:footnote w:id="47">
    <w:p w14:paraId="27DCFF89" w14:textId="77777777" w:rsidR="00BF65F5" w:rsidRPr="000C5150" w:rsidRDefault="00BF65F5">
      <w:pPr>
        <w:pStyle w:val="Voetnoottekst"/>
        <w:rPr>
          <w:rFonts w:asciiTheme="majorHAnsi" w:hAnsiTheme="majorHAnsi"/>
          <w:color w:val="365F91" w:themeColor="accent1" w:themeShade="BF"/>
          <w:lang w:val="nl-NL"/>
        </w:rPr>
      </w:pPr>
      <w:r w:rsidRPr="000C5150">
        <w:rPr>
          <w:rStyle w:val="Voetnootmarkering"/>
          <w:rFonts w:asciiTheme="majorHAnsi" w:hAnsiTheme="majorHAnsi"/>
          <w:color w:val="365F91" w:themeColor="accent1" w:themeShade="BF"/>
        </w:rPr>
        <w:footnoteRef/>
      </w:r>
      <w:r w:rsidRPr="000C5150">
        <w:rPr>
          <w:rFonts w:asciiTheme="majorHAnsi" w:hAnsiTheme="majorHAnsi"/>
          <w:color w:val="365F91" w:themeColor="accent1" w:themeShade="BF"/>
        </w:rPr>
        <w:t xml:space="preserve"> </w:t>
      </w:r>
      <w:r w:rsidRPr="000C5150">
        <w:rPr>
          <w:rFonts w:asciiTheme="majorHAnsi" w:hAnsiTheme="majorHAnsi" w:cs="Verdana"/>
          <w:color w:val="365F91" w:themeColor="accent1" w:themeShade="BF"/>
          <w:lang w:eastAsia="ja-JP"/>
        </w:rPr>
        <w:t xml:space="preserve">Shapiro 2011, </w:t>
      </w:r>
      <w:r w:rsidRPr="000C5150">
        <w:rPr>
          <w:rFonts w:asciiTheme="majorHAnsi" w:hAnsiTheme="majorHAnsi" w:cs="Verdana"/>
          <w:i/>
          <w:iCs/>
          <w:color w:val="365F91" w:themeColor="accent1" w:themeShade="BF"/>
          <w:lang w:eastAsia="ja-JP"/>
        </w:rPr>
        <w:t>op.cit</w:t>
      </w:r>
      <w:proofErr w:type="gramStart"/>
      <w:r w:rsidRPr="000C5150">
        <w:rPr>
          <w:rFonts w:asciiTheme="majorHAnsi" w:hAnsiTheme="majorHAnsi" w:cs="Verdana"/>
          <w:i/>
          <w:iCs/>
          <w:color w:val="365F91" w:themeColor="accent1" w:themeShade="BF"/>
          <w:lang w:eastAsia="ja-JP"/>
        </w:rPr>
        <w:t>.</w:t>
      </w:r>
      <w:r w:rsidRPr="000C5150">
        <w:rPr>
          <w:rFonts w:asciiTheme="majorHAnsi" w:hAnsiTheme="majorHAnsi" w:cs="Verdana"/>
          <w:color w:val="365F91" w:themeColor="accent1" w:themeShade="BF"/>
          <w:lang w:eastAsia="ja-JP"/>
        </w:rPr>
        <w:t>,</w:t>
      </w:r>
      <w:proofErr w:type="gramEnd"/>
      <w:r w:rsidRPr="000C5150">
        <w:rPr>
          <w:rFonts w:asciiTheme="majorHAnsi" w:hAnsiTheme="majorHAnsi" w:cs="Verdana"/>
          <w:color w:val="365F91" w:themeColor="accent1" w:themeShade="BF"/>
          <w:lang w:eastAsia="ja-JP"/>
        </w:rPr>
        <w:t xml:space="preserve"> p. 117.</w:t>
      </w:r>
    </w:p>
  </w:footnote>
  <w:footnote w:id="48">
    <w:p w14:paraId="6443ED3B" w14:textId="77777777" w:rsidR="00BF65F5" w:rsidRPr="000C5150" w:rsidRDefault="00BF65F5">
      <w:pPr>
        <w:pStyle w:val="Voetnoottekst"/>
        <w:rPr>
          <w:rFonts w:asciiTheme="majorHAnsi" w:hAnsiTheme="majorHAnsi"/>
          <w:color w:val="365F91" w:themeColor="accent1" w:themeShade="BF"/>
          <w:lang w:val="nl-NL"/>
        </w:rPr>
      </w:pPr>
      <w:r w:rsidRPr="000C5150">
        <w:rPr>
          <w:rStyle w:val="Voetnootmarkering"/>
          <w:rFonts w:asciiTheme="majorHAnsi" w:hAnsiTheme="majorHAnsi"/>
          <w:color w:val="365F91" w:themeColor="accent1" w:themeShade="BF"/>
        </w:rPr>
        <w:footnoteRef/>
      </w:r>
      <w:r w:rsidRPr="000C5150">
        <w:rPr>
          <w:rFonts w:asciiTheme="majorHAnsi" w:hAnsiTheme="majorHAnsi"/>
          <w:color w:val="365F91" w:themeColor="accent1" w:themeShade="BF"/>
        </w:rPr>
        <w:t xml:space="preserve"> </w:t>
      </w:r>
      <w:r w:rsidRPr="000C5150">
        <w:rPr>
          <w:rFonts w:asciiTheme="majorHAnsi" w:hAnsiTheme="majorHAnsi" w:cs="Verdana"/>
          <w:color w:val="365F91" w:themeColor="accent1" w:themeShade="BF"/>
          <w:lang w:eastAsia="ja-JP"/>
        </w:rPr>
        <w:t xml:space="preserve">H. Luijendijk and L. Senden, ‘De gelaagde doorwerking van Europese administratieve soft law in de nationale rechtsorde’, </w:t>
      </w:r>
      <w:r w:rsidRPr="000C5150">
        <w:rPr>
          <w:rFonts w:asciiTheme="majorHAnsi" w:hAnsiTheme="majorHAnsi" w:cs="Verdana"/>
          <w:i/>
          <w:iCs/>
          <w:color w:val="365F91" w:themeColor="accent1" w:themeShade="BF"/>
          <w:lang w:eastAsia="ja-JP"/>
        </w:rPr>
        <w:t xml:space="preserve">Sociaal Economische Wetgeving (SEW), </w:t>
      </w:r>
      <w:r w:rsidRPr="000C5150">
        <w:rPr>
          <w:rFonts w:asciiTheme="majorHAnsi" w:hAnsiTheme="majorHAnsi" w:cs="Verdana"/>
          <w:color w:val="365F91" w:themeColor="accent1" w:themeShade="BF"/>
          <w:lang w:eastAsia="ja-JP"/>
        </w:rPr>
        <w:t xml:space="preserve">59(7-8). </w:t>
      </w:r>
    </w:p>
  </w:footnote>
  <w:footnote w:id="49">
    <w:p w14:paraId="1CF0CEB2" w14:textId="77777777" w:rsidR="00BF65F5" w:rsidRPr="000C5150" w:rsidRDefault="00BF65F5">
      <w:pPr>
        <w:pStyle w:val="Voetnoottekst"/>
        <w:rPr>
          <w:rFonts w:asciiTheme="majorHAnsi" w:hAnsiTheme="majorHAnsi"/>
          <w:color w:val="365F91" w:themeColor="accent1" w:themeShade="BF"/>
          <w:lang w:val="nl-NL"/>
        </w:rPr>
      </w:pPr>
      <w:r w:rsidRPr="000C5150">
        <w:rPr>
          <w:rStyle w:val="Voetnootmarkering"/>
          <w:rFonts w:asciiTheme="majorHAnsi" w:hAnsiTheme="majorHAnsi"/>
          <w:color w:val="365F91" w:themeColor="accent1" w:themeShade="BF"/>
        </w:rPr>
        <w:footnoteRef/>
      </w:r>
      <w:r w:rsidRPr="000C5150">
        <w:rPr>
          <w:rFonts w:asciiTheme="majorHAnsi" w:hAnsiTheme="majorHAnsi"/>
          <w:color w:val="365F91" w:themeColor="accent1" w:themeShade="BF"/>
        </w:rPr>
        <w:t xml:space="preserve"> </w:t>
      </w:r>
      <w:r w:rsidRPr="000C5150">
        <w:rPr>
          <w:rFonts w:asciiTheme="majorHAnsi" w:hAnsiTheme="majorHAnsi" w:cs="Verdana"/>
          <w:color w:val="365F91" w:themeColor="accent1" w:themeShade="BF"/>
          <w:lang w:eastAsia="ja-JP"/>
        </w:rPr>
        <w:t xml:space="preserve">Cf. the ECJ in Case C-443/97 </w:t>
      </w:r>
      <w:r w:rsidRPr="000C5150">
        <w:rPr>
          <w:rFonts w:asciiTheme="majorHAnsi" w:hAnsiTheme="majorHAnsi" w:cs="Verdana"/>
          <w:i/>
          <w:iCs/>
          <w:color w:val="365F91" w:themeColor="accent1" w:themeShade="BF"/>
          <w:lang w:eastAsia="ja-JP"/>
        </w:rPr>
        <w:t xml:space="preserve">Kingdom of Spain v Commission </w:t>
      </w:r>
      <w:r w:rsidRPr="000C5150">
        <w:rPr>
          <w:rFonts w:asciiTheme="majorHAnsi" w:hAnsiTheme="majorHAnsi" w:cs="Verdana"/>
          <w:color w:val="365F91" w:themeColor="accent1" w:themeShade="BF"/>
          <w:lang w:eastAsia="ja-JP"/>
        </w:rPr>
        <w:t>[2000] ECR I-02415, Paragraph 33: ‘The internal guidelines thus indicate the general lines along which, pursuant to Article 24 of the coordination regulation, the Commission envisages subsequently adopting individual decisions whose legality may be challenged before the Court by the Member State concerned in accordance with the procedure laid down by Article 173 of the Treaty.’</w:t>
      </w:r>
    </w:p>
  </w:footnote>
  <w:footnote w:id="50">
    <w:p w14:paraId="5D364978" w14:textId="77777777" w:rsidR="00BF65F5" w:rsidRPr="000C5150" w:rsidRDefault="00BF65F5">
      <w:pPr>
        <w:pStyle w:val="Voetnoottekst"/>
        <w:rPr>
          <w:rFonts w:asciiTheme="majorHAnsi" w:hAnsiTheme="majorHAnsi"/>
          <w:color w:val="365F91" w:themeColor="accent1" w:themeShade="BF"/>
          <w:lang w:val="nl-NL"/>
        </w:rPr>
      </w:pPr>
      <w:r w:rsidRPr="000C5150">
        <w:rPr>
          <w:rStyle w:val="Voetnootmarkering"/>
          <w:rFonts w:asciiTheme="majorHAnsi" w:hAnsiTheme="majorHAnsi"/>
          <w:color w:val="365F91" w:themeColor="accent1" w:themeShade="BF"/>
        </w:rPr>
        <w:footnoteRef/>
      </w:r>
      <w:r w:rsidRPr="000C5150">
        <w:rPr>
          <w:rFonts w:asciiTheme="majorHAnsi" w:hAnsiTheme="majorHAnsi"/>
          <w:color w:val="365F91" w:themeColor="accent1" w:themeShade="BF"/>
        </w:rPr>
        <w:t xml:space="preserve"> </w:t>
      </w:r>
      <w:r w:rsidRPr="000C5150">
        <w:rPr>
          <w:rFonts w:asciiTheme="majorHAnsi" w:hAnsiTheme="majorHAnsi" w:cs="Verdana"/>
          <w:color w:val="365F91" w:themeColor="accent1" w:themeShade="BF"/>
          <w:lang w:eastAsia="ja-JP"/>
        </w:rPr>
        <w:t xml:space="preserve">For a more elaborate discussion of the problem of judicial protection in the context of networks, see De Visser 2009, </w:t>
      </w:r>
      <w:r w:rsidRPr="000C5150">
        <w:rPr>
          <w:rFonts w:asciiTheme="majorHAnsi" w:hAnsiTheme="majorHAnsi" w:cs="Verdana"/>
          <w:i/>
          <w:iCs/>
          <w:color w:val="365F91" w:themeColor="accent1" w:themeShade="BF"/>
          <w:lang w:eastAsia="ja-JP"/>
        </w:rPr>
        <w:t xml:space="preserve">op.cit. </w:t>
      </w:r>
      <w:proofErr w:type="gramStart"/>
      <w:r w:rsidRPr="000C5150">
        <w:rPr>
          <w:rFonts w:asciiTheme="majorHAnsi" w:hAnsiTheme="majorHAnsi" w:cs="Verdana"/>
          <w:color w:val="365F91" w:themeColor="accent1" w:themeShade="BF"/>
          <w:lang w:eastAsia="ja-JP"/>
        </w:rPr>
        <w:t>and</w:t>
      </w:r>
      <w:proofErr w:type="gramEnd"/>
      <w:r w:rsidRPr="000C5150">
        <w:rPr>
          <w:rFonts w:asciiTheme="majorHAnsi" w:hAnsiTheme="majorHAnsi" w:cs="Verdana"/>
          <w:color w:val="365F91" w:themeColor="accent1" w:themeShade="BF"/>
          <w:lang w:eastAsia="ja-JP"/>
        </w:rPr>
        <w:t xml:space="preserve"> M. Eliantonio, Effectieve rechtsbescherming en netwerken: een problematische verhouding, </w:t>
      </w:r>
      <w:r w:rsidRPr="000C5150">
        <w:rPr>
          <w:rFonts w:asciiTheme="majorHAnsi" w:hAnsiTheme="majorHAnsi" w:cs="Verdana"/>
          <w:i/>
          <w:iCs/>
          <w:color w:val="365F91" w:themeColor="accent1" w:themeShade="BF"/>
          <w:lang w:eastAsia="ja-JP"/>
        </w:rPr>
        <w:t xml:space="preserve">SEW </w:t>
      </w:r>
      <w:r w:rsidRPr="000C5150">
        <w:rPr>
          <w:rFonts w:asciiTheme="majorHAnsi" w:hAnsiTheme="majorHAnsi" w:cs="Verdana"/>
          <w:color w:val="365F91" w:themeColor="accent1" w:themeShade="BF"/>
          <w:lang w:eastAsia="ja-JP"/>
        </w:rPr>
        <w:t>2011, nr. 3, pp. 116-122.</w:t>
      </w:r>
    </w:p>
  </w:footnote>
  <w:footnote w:id="51">
    <w:p w14:paraId="06AD7363" w14:textId="77777777" w:rsidR="00BF65F5" w:rsidRPr="004F3F47" w:rsidRDefault="00BF65F5" w:rsidP="00927B3A">
      <w:pPr>
        <w:autoSpaceDE w:val="0"/>
        <w:autoSpaceDN w:val="0"/>
        <w:adjustRightInd w:val="0"/>
        <w:rPr>
          <w:rFonts w:ascii="Arial" w:hAnsi="Arial" w:cs="Arial"/>
          <w:sz w:val="20"/>
          <w:szCs w:val="20"/>
          <w:lang w:val="en-IE" w:eastAsia="ja-JP"/>
        </w:rPr>
      </w:pPr>
      <w:r w:rsidRPr="004F3F47">
        <w:rPr>
          <w:rStyle w:val="Voetnootmarkering"/>
          <w:sz w:val="20"/>
          <w:szCs w:val="20"/>
        </w:rPr>
        <w:footnoteRef/>
      </w:r>
      <w:r w:rsidRPr="004F3F47">
        <w:rPr>
          <w:sz w:val="20"/>
          <w:szCs w:val="20"/>
        </w:rPr>
        <w:t xml:space="preserve"> </w:t>
      </w:r>
      <w:r w:rsidRPr="004F3F47">
        <w:rPr>
          <w:rFonts w:ascii="Arial" w:hAnsi="Arial" w:cs="Arial"/>
          <w:sz w:val="20"/>
          <w:szCs w:val="20"/>
          <w:lang w:val="en-IE" w:eastAsia="ja-JP"/>
        </w:rPr>
        <w:t>F Partnoy,'How and Why Credit Ratings Agencies are not like other Gatekeepers' (University of San Diego Law School, San Diego 2006)</w:t>
      </w:r>
    </w:p>
    <w:p w14:paraId="47305AEE" w14:textId="77777777" w:rsidR="00BF65F5" w:rsidRPr="004F3F47" w:rsidRDefault="00BF65F5">
      <w:pPr>
        <w:pStyle w:val="Voetnoottekst"/>
        <w:rPr>
          <w:lang w:val="en-IE"/>
        </w:rPr>
      </w:pPr>
    </w:p>
  </w:footnote>
  <w:footnote w:id="52">
    <w:p w14:paraId="251D3E9E" w14:textId="77777777" w:rsidR="00BF65F5" w:rsidRPr="004F3F47" w:rsidRDefault="00BF65F5" w:rsidP="00BC3C7B">
      <w:pPr>
        <w:autoSpaceDE w:val="0"/>
        <w:autoSpaceDN w:val="0"/>
        <w:adjustRightInd w:val="0"/>
        <w:rPr>
          <w:rFonts w:ascii="Arial" w:hAnsi="Arial" w:cs="Arial"/>
          <w:sz w:val="20"/>
          <w:szCs w:val="20"/>
          <w:lang w:val="en-IE" w:eastAsia="ja-JP"/>
        </w:rPr>
      </w:pPr>
      <w:r w:rsidRPr="004F3F47">
        <w:rPr>
          <w:rStyle w:val="Voetnootmarkering"/>
          <w:sz w:val="20"/>
          <w:szCs w:val="20"/>
        </w:rPr>
        <w:footnoteRef/>
      </w:r>
      <w:r w:rsidRPr="004F3F47">
        <w:rPr>
          <w:sz w:val="20"/>
          <w:szCs w:val="20"/>
        </w:rPr>
        <w:t xml:space="preserve"> </w:t>
      </w:r>
      <w:r w:rsidRPr="004F3F47">
        <w:rPr>
          <w:rFonts w:ascii="Arial" w:hAnsi="Arial" w:cs="Arial"/>
          <w:sz w:val="20"/>
          <w:szCs w:val="20"/>
          <w:lang w:val="en-IE" w:eastAsia="ja-JP"/>
        </w:rPr>
        <w:t>P Verbruggen, 'Gorillas in the Closet: Public and Private Actors in the Enforcement of Transnational Private Regulation' (2013) 7 Regulation &amp; Governance 512</w:t>
      </w:r>
    </w:p>
    <w:p w14:paraId="6DF80B49" w14:textId="77777777" w:rsidR="00BF65F5" w:rsidRPr="004F3F47" w:rsidRDefault="00BF65F5">
      <w:pPr>
        <w:pStyle w:val="Voetnoottekst"/>
        <w:rPr>
          <w:lang w:val="en-IE"/>
        </w:rPr>
      </w:pPr>
    </w:p>
  </w:footnote>
  <w:footnote w:id="53">
    <w:p w14:paraId="5FD5F231" w14:textId="77777777" w:rsidR="00BF65F5" w:rsidRPr="004F3F47" w:rsidRDefault="00BF65F5" w:rsidP="00927B3A">
      <w:pPr>
        <w:autoSpaceDE w:val="0"/>
        <w:autoSpaceDN w:val="0"/>
        <w:adjustRightInd w:val="0"/>
        <w:rPr>
          <w:rFonts w:ascii="Arial" w:hAnsi="Arial" w:cs="Arial"/>
          <w:sz w:val="20"/>
          <w:szCs w:val="20"/>
          <w:lang w:val="en-IE" w:eastAsia="ja-JP"/>
        </w:rPr>
      </w:pPr>
      <w:r w:rsidRPr="004F3F47">
        <w:rPr>
          <w:rStyle w:val="Voetnootmarkering"/>
          <w:sz w:val="20"/>
          <w:szCs w:val="20"/>
        </w:rPr>
        <w:footnoteRef/>
      </w:r>
      <w:r w:rsidRPr="004F3F47">
        <w:rPr>
          <w:sz w:val="20"/>
          <w:szCs w:val="20"/>
        </w:rPr>
        <w:t xml:space="preserve"> </w:t>
      </w:r>
      <w:r w:rsidRPr="004F3F47">
        <w:rPr>
          <w:rFonts w:ascii="Arial" w:hAnsi="Arial" w:cs="Arial"/>
          <w:sz w:val="20"/>
          <w:szCs w:val="20"/>
          <w:lang w:val="en-IE" w:eastAsia="ja-JP"/>
        </w:rPr>
        <w:t>Advertising Standards Authority,'UK Code of Broadcast Advertising' (Advertising Standards Authority, London no date).</w:t>
      </w:r>
    </w:p>
    <w:p w14:paraId="2DB9399D" w14:textId="77777777" w:rsidR="00BF65F5" w:rsidRPr="004F3F47" w:rsidRDefault="00BF65F5">
      <w:pPr>
        <w:pStyle w:val="Voetnoottekst"/>
        <w:rPr>
          <w:lang w:val="en-IE"/>
        </w:rPr>
      </w:pPr>
    </w:p>
  </w:footnote>
  <w:footnote w:id="54">
    <w:p w14:paraId="35E40085" w14:textId="77777777" w:rsidR="00BF65F5" w:rsidRPr="004F3F47" w:rsidRDefault="00BF65F5" w:rsidP="00927B3A">
      <w:pPr>
        <w:autoSpaceDE w:val="0"/>
        <w:autoSpaceDN w:val="0"/>
        <w:adjustRightInd w:val="0"/>
        <w:rPr>
          <w:rFonts w:ascii="Arial" w:hAnsi="Arial" w:cs="Arial"/>
          <w:sz w:val="20"/>
          <w:szCs w:val="20"/>
          <w:lang w:val="en-IE" w:eastAsia="ja-JP"/>
        </w:rPr>
      </w:pPr>
      <w:r w:rsidRPr="004F3F47">
        <w:rPr>
          <w:rStyle w:val="Voetnootmarkering"/>
          <w:sz w:val="20"/>
          <w:szCs w:val="20"/>
        </w:rPr>
        <w:footnoteRef/>
      </w:r>
      <w:r w:rsidRPr="004F3F47">
        <w:rPr>
          <w:sz w:val="20"/>
          <w:szCs w:val="20"/>
        </w:rPr>
        <w:t xml:space="preserve"> </w:t>
      </w:r>
      <w:r w:rsidRPr="004F3F47">
        <w:rPr>
          <w:rFonts w:ascii="Arial" w:hAnsi="Arial" w:cs="Arial"/>
          <w:sz w:val="20"/>
          <w:szCs w:val="20"/>
          <w:lang w:val="en-IE" w:eastAsia="ja-JP"/>
        </w:rPr>
        <w:t>European Commission,'Self-Regulation in the EU Advertising Sector: A Report of Some Discussion Among Interested Parties' (European Commission, Brussels 2006)</w:t>
      </w:r>
    </w:p>
    <w:p w14:paraId="06F4C8E9" w14:textId="77777777" w:rsidR="00BF65F5" w:rsidRPr="004F3F47" w:rsidRDefault="00BF65F5">
      <w:pPr>
        <w:pStyle w:val="Voetnoottekst"/>
        <w:rPr>
          <w:lang w:val="en-IE"/>
        </w:rPr>
      </w:pPr>
    </w:p>
  </w:footnote>
  <w:footnote w:id="55">
    <w:p w14:paraId="77CC36E8" w14:textId="77777777" w:rsidR="00BF65F5" w:rsidRPr="004F3F47" w:rsidRDefault="00BF65F5" w:rsidP="00BC3C7B">
      <w:pPr>
        <w:autoSpaceDE w:val="0"/>
        <w:autoSpaceDN w:val="0"/>
        <w:adjustRightInd w:val="0"/>
        <w:rPr>
          <w:rFonts w:ascii="Arial" w:hAnsi="Arial" w:cs="Arial"/>
          <w:sz w:val="20"/>
          <w:szCs w:val="20"/>
          <w:lang w:val="en-IE" w:eastAsia="ja-JP"/>
        </w:rPr>
      </w:pPr>
      <w:r w:rsidRPr="004F3F47">
        <w:rPr>
          <w:rStyle w:val="Voetnootmarkering"/>
          <w:sz w:val="20"/>
          <w:szCs w:val="20"/>
        </w:rPr>
        <w:footnoteRef/>
      </w:r>
      <w:r w:rsidRPr="004F3F47">
        <w:rPr>
          <w:sz w:val="20"/>
          <w:szCs w:val="20"/>
        </w:rPr>
        <w:t xml:space="preserve"> </w:t>
      </w:r>
      <w:r w:rsidRPr="004F3F47">
        <w:rPr>
          <w:rFonts w:ascii="Arial" w:hAnsi="Arial" w:cs="Arial"/>
          <w:sz w:val="20"/>
          <w:szCs w:val="20"/>
          <w:lang w:val="en-IE" w:eastAsia="ja-JP"/>
        </w:rPr>
        <w:t>European Advertising Standards Alliance,'EASA Best Practice Recommendation for a European Industry-wide Self-Regulatory Standard and Compliance Mechanism for Consumer Controls in Online Behavioural Advertising' (EASA, Brussels 2011)</w:t>
      </w:r>
    </w:p>
    <w:p w14:paraId="70635F2F" w14:textId="77777777" w:rsidR="00BF65F5" w:rsidRPr="004F3F47" w:rsidRDefault="00BF65F5">
      <w:pPr>
        <w:pStyle w:val="Voetnoottekst"/>
        <w:rPr>
          <w:lang w:val="en-IE"/>
        </w:rPr>
      </w:pPr>
    </w:p>
  </w:footnote>
  <w:footnote w:id="56">
    <w:p w14:paraId="2F47867C" w14:textId="77777777" w:rsidR="00BF65F5" w:rsidRPr="004F3F47" w:rsidRDefault="00BF65F5">
      <w:pPr>
        <w:pStyle w:val="Voetnoottekst"/>
        <w:rPr>
          <w:lang w:val="en-IE"/>
        </w:rPr>
      </w:pPr>
      <w:r w:rsidRPr="00D5662D">
        <w:rPr>
          <w:rStyle w:val="Voetnootmarkering"/>
        </w:rPr>
        <w:footnoteRef/>
      </w:r>
      <w:r w:rsidRPr="00D5662D">
        <w:t xml:space="preserve"> </w:t>
      </w:r>
      <w:r w:rsidRPr="00D5662D">
        <w:rPr>
          <w:lang w:val="en-IE"/>
        </w:rPr>
        <w:t xml:space="preserve">See, for example, the EU General Product Safety Directive 2001/95/EC </w:t>
      </w:r>
      <w:r w:rsidRPr="00BF65F5">
        <w:rPr>
          <w:lang w:val="en-IE"/>
        </w:rPr>
        <w:t xml:space="preserve">Art 3(2). </w:t>
      </w:r>
    </w:p>
  </w:footnote>
  <w:footnote w:id="57">
    <w:p w14:paraId="65FF18FD" w14:textId="77777777" w:rsidR="00BF65F5" w:rsidRPr="004F3F47" w:rsidRDefault="00BF65F5" w:rsidP="00BD513D">
      <w:pPr>
        <w:autoSpaceDE w:val="0"/>
        <w:autoSpaceDN w:val="0"/>
        <w:adjustRightInd w:val="0"/>
        <w:rPr>
          <w:rFonts w:ascii="Arial" w:hAnsi="Arial" w:cs="Arial"/>
          <w:sz w:val="20"/>
          <w:szCs w:val="20"/>
          <w:lang w:val="en-IE" w:eastAsia="ja-JP"/>
        </w:rPr>
      </w:pPr>
      <w:r w:rsidRPr="004F3F47">
        <w:rPr>
          <w:rStyle w:val="Voetnootmarkering"/>
          <w:sz w:val="20"/>
          <w:szCs w:val="20"/>
        </w:rPr>
        <w:footnoteRef/>
      </w:r>
      <w:r w:rsidRPr="004F3F47">
        <w:rPr>
          <w:sz w:val="20"/>
          <w:szCs w:val="20"/>
        </w:rPr>
        <w:t xml:space="preserve"> </w:t>
      </w:r>
      <w:r w:rsidRPr="004F3F47">
        <w:rPr>
          <w:rFonts w:ascii="Arial" w:hAnsi="Arial" w:cs="Arial"/>
          <w:sz w:val="20"/>
          <w:szCs w:val="20"/>
          <w:lang w:val="en-IE" w:eastAsia="ja-JP"/>
        </w:rPr>
        <w:t>European Parliament, European Council and European Commission,'Inter-Institutional Agreement on Better Law-Making' (Brussels 2003)</w:t>
      </w:r>
    </w:p>
    <w:p w14:paraId="066E88DE" w14:textId="77777777" w:rsidR="00BF65F5" w:rsidRPr="004F3F47" w:rsidRDefault="00BF65F5">
      <w:pPr>
        <w:pStyle w:val="Voetnoottekst"/>
        <w:rPr>
          <w:lang w:val="en-IE"/>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04534"/>
    <w:multiLevelType w:val="hybridMultilevel"/>
    <w:tmpl w:val="169EEE64"/>
    <w:lvl w:ilvl="0" w:tplc="2B7CA566">
      <w:start w:val="1"/>
      <w:numFmt w:val="lowerRoman"/>
      <w:lvlText w:val="(%1)"/>
      <w:lvlJc w:val="left"/>
      <w:pPr>
        <w:ind w:left="1280" w:hanging="720"/>
      </w:pPr>
      <w:rPr>
        <w:rFonts w:hint="default"/>
        <w:sz w:val="20"/>
        <w:szCs w:val="20"/>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
    <w:nsid w:val="41FA4DFF"/>
    <w:multiLevelType w:val="hybridMultilevel"/>
    <w:tmpl w:val="362C9134"/>
    <w:lvl w:ilvl="0" w:tplc="C88C18F8">
      <w:start w:val="2"/>
      <w:numFmt w:val="bullet"/>
      <w:lvlText w:val="-"/>
      <w:lvlJc w:val="left"/>
      <w:pPr>
        <w:ind w:left="720" w:hanging="360"/>
      </w:pPr>
      <w:rPr>
        <w:rFonts w:ascii="Calibri" w:eastAsia="Calibri" w:hAnsi="Calibri" w:cs="Wingdings"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94B051F"/>
    <w:multiLevelType w:val="hybridMultilevel"/>
    <w:tmpl w:val="B648761E"/>
    <w:lvl w:ilvl="0" w:tplc="5A304858">
      <w:start w:val="2"/>
      <w:numFmt w:val="bullet"/>
      <w:lvlText w:val="-"/>
      <w:lvlJc w:val="left"/>
      <w:pPr>
        <w:ind w:left="720" w:hanging="360"/>
      </w:pPr>
      <w:rPr>
        <w:rFonts w:ascii="Calibri" w:eastAsiaTheme="minorEastAsia" w:hAnsi="Calibri"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DEB"/>
    <w:rsid w:val="00034909"/>
    <w:rsid w:val="00036348"/>
    <w:rsid w:val="000A44F3"/>
    <w:rsid w:val="000C2228"/>
    <w:rsid w:val="000C5150"/>
    <w:rsid w:val="000F24DA"/>
    <w:rsid w:val="001973B3"/>
    <w:rsid w:val="001B14D2"/>
    <w:rsid w:val="001C38C2"/>
    <w:rsid w:val="002139BC"/>
    <w:rsid w:val="00242797"/>
    <w:rsid w:val="002B6055"/>
    <w:rsid w:val="002D7FA5"/>
    <w:rsid w:val="00324D52"/>
    <w:rsid w:val="00424C91"/>
    <w:rsid w:val="004F3F47"/>
    <w:rsid w:val="0050056C"/>
    <w:rsid w:val="00555F65"/>
    <w:rsid w:val="00590879"/>
    <w:rsid w:val="005A4682"/>
    <w:rsid w:val="005B3AD3"/>
    <w:rsid w:val="005F6389"/>
    <w:rsid w:val="00651ED2"/>
    <w:rsid w:val="00694BB4"/>
    <w:rsid w:val="006A1DA8"/>
    <w:rsid w:val="006C4D20"/>
    <w:rsid w:val="00710685"/>
    <w:rsid w:val="00733880"/>
    <w:rsid w:val="00784193"/>
    <w:rsid w:val="007D655C"/>
    <w:rsid w:val="007E4CEC"/>
    <w:rsid w:val="0081712C"/>
    <w:rsid w:val="00832DDF"/>
    <w:rsid w:val="00890FF9"/>
    <w:rsid w:val="008D0B34"/>
    <w:rsid w:val="00927B3A"/>
    <w:rsid w:val="00954661"/>
    <w:rsid w:val="0098141A"/>
    <w:rsid w:val="00985493"/>
    <w:rsid w:val="00991FD8"/>
    <w:rsid w:val="009F5011"/>
    <w:rsid w:val="00A13E7D"/>
    <w:rsid w:val="00A1471A"/>
    <w:rsid w:val="00A3121A"/>
    <w:rsid w:val="00A64BF5"/>
    <w:rsid w:val="00A83F00"/>
    <w:rsid w:val="00AA21F8"/>
    <w:rsid w:val="00AB15C3"/>
    <w:rsid w:val="00AB4A7B"/>
    <w:rsid w:val="00B2015B"/>
    <w:rsid w:val="00B27D57"/>
    <w:rsid w:val="00BA55C5"/>
    <w:rsid w:val="00BC3C7B"/>
    <w:rsid w:val="00BD513D"/>
    <w:rsid w:val="00BD54DC"/>
    <w:rsid w:val="00BF65F5"/>
    <w:rsid w:val="00C2361C"/>
    <w:rsid w:val="00C70C10"/>
    <w:rsid w:val="00C85FE9"/>
    <w:rsid w:val="00C9289C"/>
    <w:rsid w:val="00CD01E1"/>
    <w:rsid w:val="00D01DEB"/>
    <w:rsid w:val="00D47F19"/>
    <w:rsid w:val="00D5218D"/>
    <w:rsid w:val="00D5662D"/>
    <w:rsid w:val="00DD1E49"/>
    <w:rsid w:val="00E21B30"/>
    <w:rsid w:val="00E60B1A"/>
    <w:rsid w:val="00EA7201"/>
    <w:rsid w:val="00ED6FC0"/>
    <w:rsid w:val="00EE6742"/>
    <w:rsid w:val="00EE6FA2"/>
    <w:rsid w:val="00EF0CCE"/>
    <w:rsid w:val="00F91AC3"/>
    <w:rsid w:val="00FE18D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C192C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sz w:val="24"/>
      <w:szCs w:val="24"/>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aliases w:val="Footnote Text Char3 Char,Footnote Text Char Char2 Char,Footnote Text Char1 Char Char Char,Footnote Text Char Char Char Char1 Char,Footnote Text Char3 Char Char Char Char Char,Footnote Text Char1,Footnote Text Char Char,o Car Char1,fn,ftx"/>
    <w:basedOn w:val="Normaal"/>
    <w:link w:val="VoetnoottekstTeken"/>
    <w:uiPriority w:val="99"/>
    <w:qFormat/>
    <w:rsid w:val="00E21B30"/>
    <w:rPr>
      <w:rFonts w:eastAsia="Times New Roman"/>
      <w:sz w:val="20"/>
      <w:szCs w:val="20"/>
      <w:lang w:val="en-US"/>
    </w:rPr>
  </w:style>
  <w:style w:type="character" w:customStyle="1" w:styleId="VoetnoottekstTeken">
    <w:name w:val="Voetnoottekst Teken"/>
    <w:aliases w:val="Footnote Text Char3 Char Teken,Footnote Text Char Char2 Char Teken,Footnote Text Char1 Char Char Char Teken,Footnote Text Char Char Char Char1 Char Teken,Footnote Text Char3 Char Char Char Char Char Teken,Footnote Text Char1 Teken"/>
    <w:basedOn w:val="Standaardalinea-lettertype"/>
    <w:link w:val="Voetnoottekst"/>
    <w:uiPriority w:val="99"/>
    <w:rsid w:val="00E21B30"/>
    <w:rPr>
      <w:rFonts w:eastAsia="Times New Roman"/>
      <w:lang w:val="en-US" w:eastAsia="en-US"/>
    </w:rPr>
  </w:style>
  <w:style w:type="character" w:styleId="Voetnootmarkering">
    <w:name w:val="footnote reference"/>
    <w:aliases w:val="FZ,Footnotemark,FR,Footnotemark1,Footnotemark2,FR1,Footnotemark3,FR2,Footnotemark4,FR3,Footnotemark5,FR4,Footnotemark6,Footnotemark7,Footnotemark8,FR5,Footnotemark11,Footnotemark21,FR11,Footnotemark31,FR21,Footnotemark41,FR31,FR41,FR6"/>
    <w:uiPriority w:val="99"/>
    <w:rsid w:val="00E21B30"/>
    <w:rPr>
      <w:vertAlign w:val="superscript"/>
    </w:rPr>
  </w:style>
  <w:style w:type="paragraph" w:customStyle="1" w:styleId="Geenafstand1">
    <w:name w:val="Geen afstand1"/>
    <w:link w:val="NoSpacingChar"/>
    <w:uiPriority w:val="1"/>
    <w:qFormat/>
    <w:rsid w:val="00E21B30"/>
    <w:rPr>
      <w:rFonts w:ascii="Calibri" w:eastAsia="Calibri" w:hAnsi="Calibri"/>
      <w:sz w:val="22"/>
      <w:szCs w:val="22"/>
      <w:lang w:val="en-IE" w:eastAsia="en-US"/>
    </w:rPr>
  </w:style>
  <w:style w:type="character" w:customStyle="1" w:styleId="NoSpacingChar">
    <w:name w:val="No Spacing Char"/>
    <w:link w:val="Geenafstand1"/>
    <w:uiPriority w:val="1"/>
    <w:rsid w:val="00E21B30"/>
    <w:rPr>
      <w:rFonts w:ascii="Calibri" w:eastAsia="Calibri" w:hAnsi="Calibri"/>
      <w:sz w:val="22"/>
      <w:szCs w:val="22"/>
      <w:lang w:val="en-IE" w:eastAsia="en-US"/>
    </w:rPr>
  </w:style>
  <w:style w:type="character" w:styleId="Hyperlink">
    <w:name w:val="Hyperlink"/>
    <w:uiPriority w:val="99"/>
    <w:rsid w:val="00E21B30"/>
    <w:rPr>
      <w:color w:val="0000FF"/>
      <w:u w:val="single"/>
    </w:rPr>
  </w:style>
  <w:style w:type="paragraph" w:customStyle="1" w:styleId="NoSpacing1">
    <w:name w:val="No Spacing1"/>
    <w:uiPriority w:val="1"/>
    <w:qFormat/>
    <w:rsid w:val="00E21B30"/>
    <w:rPr>
      <w:rFonts w:ascii="Calibri" w:eastAsia="Calibri" w:hAnsi="Calibri"/>
      <w:sz w:val="22"/>
      <w:szCs w:val="22"/>
      <w:lang w:val="en-IE" w:eastAsia="en-US"/>
    </w:rPr>
  </w:style>
  <w:style w:type="paragraph" w:styleId="Tekstopmerking">
    <w:name w:val="annotation text"/>
    <w:basedOn w:val="Normaal"/>
    <w:link w:val="TekstopmerkingTeken"/>
    <w:uiPriority w:val="99"/>
    <w:rsid w:val="00E21B30"/>
    <w:rPr>
      <w:rFonts w:eastAsia="Times New Roman"/>
      <w:lang w:val="en-US"/>
    </w:rPr>
  </w:style>
  <w:style w:type="character" w:customStyle="1" w:styleId="TekstopmerkingTeken">
    <w:name w:val="Tekst opmerking Teken"/>
    <w:basedOn w:val="Standaardalinea-lettertype"/>
    <w:link w:val="Tekstopmerking"/>
    <w:uiPriority w:val="99"/>
    <w:rsid w:val="00E21B30"/>
    <w:rPr>
      <w:rFonts w:eastAsia="Times New Roman"/>
      <w:sz w:val="24"/>
      <w:szCs w:val="24"/>
      <w:lang w:val="en-US" w:eastAsia="en-US"/>
    </w:rPr>
  </w:style>
  <w:style w:type="paragraph" w:customStyle="1" w:styleId="Default">
    <w:name w:val="Default"/>
    <w:rsid w:val="00E21B30"/>
    <w:pPr>
      <w:autoSpaceDE w:val="0"/>
      <w:autoSpaceDN w:val="0"/>
      <w:adjustRightInd w:val="0"/>
    </w:pPr>
    <w:rPr>
      <w:rFonts w:ascii="Arial" w:eastAsia="Times New Roman" w:hAnsi="Arial" w:cs="Arial"/>
      <w:color w:val="000000"/>
      <w:sz w:val="24"/>
      <w:szCs w:val="24"/>
      <w:lang w:val="en-US" w:eastAsia="en-US"/>
    </w:rPr>
  </w:style>
  <w:style w:type="paragraph" w:styleId="Voettekst">
    <w:name w:val="footer"/>
    <w:basedOn w:val="Normaal"/>
    <w:link w:val="VoettekstTeken"/>
    <w:uiPriority w:val="99"/>
    <w:unhideWhenUsed/>
    <w:rsid w:val="002D7FA5"/>
    <w:pPr>
      <w:tabs>
        <w:tab w:val="center" w:pos="4536"/>
        <w:tab w:val="right" w:pos="9072"/>
      </w:tabs>
    </w:pPr>
  </w:style>
  <w:style w:type="character" w:customStyle="1" w:styleId="VoettekstTeken">
    <w:name w:val="Voettekst Teken"/>
    <w:basedOn w:val="Standaardalinea-lettertype"/>
    <w:link w:val="Voettekst"/>
    <w:uiPriority w:val="99"/>
    <w:rsid w:val="002D7FA5"/>
    <w:rPr>
      <w:sz w:val="24"/>
      <w:szCs w:val="24"/>
      <w:lang w:val="en-GB" w:eastAsia="en-US"/>
    </w:rPr>
  </w:style>
  <w:style w:type="character" w:styleId="Paginanummer">
    <w:name w:val="page number"/>
    <w:basedOn w:val="Standaardalinea-lettertype"/>
    <w:uiPriority w:val="99"/>
    <w:semiHidden/>
    <w:unhideWhenUsed/>
    <w:rsid w:val="002D7FA5"/>
  </w:style>
  <w:style w:type="paragraph" w:styleId="Lijstalinea">
    <w:name w:val="List Paragraph"/>
    <w:basedOn w:val="Normaal"/>
    <w:uiPriority w:val="34"/>
    <w:qFormat/>
    <w:rsid w:val="002139BC"/>
    <w:pPr>
      <w:ind w:left="720"/>
      <w:contextualSpacing/>
    </w:pPr>
  </w:style>
  <w:style w:type="paragraph" w:styleId="Ballontekst">
    <w:name w:val="Balloon Text"/>
    <w:basedOn w:val="Normaal"/>
    <w:link w:val="BallontekstTeken"/>
    <w:uiPriority w:val="99"/>
    <w:semiHidden/>
    <w:unhideWhenUsed/>
    <w:rsid w:val="00ED6FC0"/>
    <w:rPr>
      <w:rFonts w:ascii="Tahoma" w:hAnsi="Tahoma" w:cs="Tahoma"/>
      <w:sz w:val="16"/>
      <w:szCs w:val="16"/>
    </w:rPr>
  </w:style>
  <w:style w:type="character" w:customStyle="1" w:styleId="BallontekstTeken">
    <w:name w:val="Ballontekst Teken"/>
    <w:basedOn w:val="Standaardalinea-lettertype"/>
    <w:link w:val="Ballontekst"/>
    <w:uiPriority w:val="99"/>
    <w:semiHidden/>
    <w:rsid w:val="00ED6FC0"/>
    <w:rPr>
      <w:rFonts w:ascii="Tahoma" w:hAnsi="Tahoma" w:cs="Tahoma"/>
      <w:sz w:val="16"/>
      <w:szCs w:val="16"/>
      <w:lang w:val="en-GB" w:eastAsia="en-US"/>
    </w:rPr>
  </w:style>
  <w:style w:type="character" w:styleId="GevolgdeHyperlink">
    <w:name w:val="FollowedHyperlink"/>
    <w:basedOn w:val="Standaardalinea-lettertype"/>
    <w:uiPriority w:val="99"/>
    <w:semiHidden/>
    <w:unhideWhenUsed/>
    <w:rsid w:val="000C5150"/>
    <w:rPr>
      <w:color w:val="800080" w:themeColor="followedHyperlink"/>
      <w:u w:val="single"/>
    </w:rPr>
  </w:style>
  <w:style w:type="character" w:styleId="Verwijzingopmerking">
    <w:name w:val="annotation reference"/>
    <w:basedOn w:val="Standaardalinea-lettertype"/>
    <w:uiPriority w:val="99"/>
    <w:semiHidden/>
    <w:unhideWhenUsed/>
    <w:rsid w:val="00C70C10"/>
    <w:rPr>
      <w:sz w:val="16"/>
      <w:szCs w:val="16"/>
    </w:rPr>
  </w:style>
  <w:style w:type="paragraph" w:styleId="Onderwerpvanopmerking">
    <w:name w:val="annotation subject"/>
    <w:basedOn w:val="Tekstopmerking"/>
    <w:next w:val="Tekstopmerking"/>
    <w:link w:val="OnderwerpvanopmerkingTeken"/>
    <w:uiPriority w:val="99"/>
    <w:semiHidden/>
    <w:unhideWhenUsed/>
    <w:rsid w:val="00C70C10"/>
    <w:rPr>
      <w:rFonts w:eastAsiaTheme="minorEastAsia"/>
      <w:b/>
      <w:bCs/>
      <w:sz w:val="20"/>
      <w:szCs w:val="20"/>
      <w:lang w:val="en-GB"/>
    </w:rPr>
  </w:style>
  <w:style w:type="character" w:customStyle="1" w:styleId="OnderwerpvanopmerkingTeken">
    <w:name w:val="Onderwerp van opmerking Teken"/>
    <w:basedOn w:val="TekstopmerkingTeken"/>
    <w:link w:val="Onderwerpvanopmerking"/>
    <w:uiPriority w:val="99"/>
    <w:semiHidden/>
    <w:rsid w:val="00C70C10"/>
    <w:rPr>
      <w:rFonts w:eastAsia="Times New Roman"/>
      <w:b/>
      <w:bCs/>
      <w:sz w:val="24"/>
      <w:szCs w:val="24"/>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sz w:val="24"/>
      <w:szCs w:val="24"/>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aliases w:val="Footnote Text Char3 Char,Footnote Text Char Char2 Char,Footnote Text Char1 Char Char Char,Footnote Text Char Char Char Char1 Char,Footnote Text Char3 Char Char Char Char Char,Footnote Text Char1,Footnote Text Char Char,o Car Char1,fn,ftx"/>
    <w:basedOn w:val="Normaal"/>
    <w:link w:val="VoetnoottekstTeken"/>
    <w:uiPriority w:val="99"/>
    <w:qFormat/>
    <w:rsid w:val="00E21B30"/>
    <w:rPr>
      <w:rFonts w:eastAsia="Times New Roman"/>
      <w:sz w:val="20"/>
      <w:szCs w:val="20"/>
      <w:lang w:val="en-US"/>
    </w:rPr>
  </w:style>
  <w:style w:type="character" w:customStyle="1" w:styleId="VoetnoottekstTeken">
    <w:name w:val="Voetnoottekst Teken"/>
    <w:aliases w:val="Footnote Text Char3 Char Teken,Footnote Text Char Char2 Char Teken,Footnote Text Char1 Char Char Char Teken,Footnote Text Char Char Char Char1 Char Teken,Footnote Text Char3 Char Char Char Char Char Teken,Footnote Text Char1 Teken"/>
    <w:basedOn w:val="Standaardalinea-lettertype"/>
    <w:link w:val="Voetnoottekst"/>
    <w:uiPriority w:val="99"/>
    <w:rsid w:val="00E21B30"/>
    <w:rPr>
      <w:rFonts w:eastAsia="Times New Roman"/>
      <w:lang w:val="en-US" w:eastAsia="en-US"/>
    </w:rPr>
  </w:style>
  <w:style w:type="character" w:styleId="Voetnootmarkering">
    <w:name w:val="footnote reference"/>
    <w:aliases w:val="FZ,Footnotemark,FR,Footnotemark1,Footnotemark2,FR1,Footnotemark3,FR2,Footnotemark4,FR3,Footnotemark5,FR4,Footnotemark6,Footnotemark7,Footnotemark8,FR5,Footnotemark11,Footnotemark21,FR11,Footnotemark31,FR21,Footnotemark41,FR31,FR41,FR6"/>
    <w:uiPriority w:val="99"/>
    <w:rsid w:val="00E21B30"/>
    <w:rPr>
      <w:vertAlign w:val="superscript"/>
    </w:rPr>
  </w:style>
  <w:style w:type="paragraph" w:customStyle="1" w:styleId="Geenafstand1">
    <w:name w:val="Geen afstand1"/>
    <w:link w:val="NoSpacingChar"/>
    <w:uiPriority w:val="1"/>
    <w:qFormat/>
    <w:rsid w:val="00E21B30"/>
    <w:rPr>
      <w:rFonts w:ascii="Calibri" w:eastAsia="Calibri" w:hAnsi="Calibri"/>
      <w:sz w:val="22"/>
      <w:szCs w:val="22"/>
      <w:lang w:val="en-IE" w:eastAsia="en-US"/>
    </w:rPr>
  </w:style>
  <w:style w:type="character" w:customStyle="1" w:styleId="NoSpacingChar">
    <w:name w:val="No Spacing Char"/>
    <w:link w:val="Geenafstand1"/>
    <w:uiPriority w:val="1"/>
    <w:rsid w:val="00E21B30"/>
    <w:rPr>
      <w:rFonts w:ascii="Calibri" w:eastAsia="Calibri" w:hAnsi="Calibri"/>
      <w:sz w:val="22"/>
      <w:szCs w:val="22"/>
      <w:lang w:val="en-IE" w:eastAsia="en-US"/>
    </w:rPr>
  </w:style>
  <w:style w:type="character" w:styleId="Hyperlink">
    <w:name w:val="Hyperlink"/>
    <w:uiPriority w:val="99"/>
    <w:rsid w:val="00E21B30"/>
    <w:rPr>
      <w:color w:val="0000FF"/>
      <w:u w:val="single"/>
    </w:rPr>
  </w:style>
  <w:style w:type="paragraph" w:customStyle="1" w:styleId="NoSpacing1">
    <w:name w:val="No Spacing1"/>
    <w:uiPriority w:val="1"/>
    <w:qFormat/>
    <w:rsid w:val="00E21B30"/>
    <w:rPr>
      <w:rFonts w:ascii="Calibri" w:eastAsia="Calibri" w:hAnsi="Calibri"/>
      <w:sz w:val="22"/>
      <w:szCs w:val="22"/>
      <w:lang w:val="en-IE" w:eastAsia="en-US"/>
    </w:rPr>
  </w:style>
  <w:style w:type="paragraph" w:styleId="Tekstopmerking">
    <w:name w:val="annotation text"/>
    <w:basedOn w:val="Normaal"/>
    <w:link w:val="TekstopmerkingTeken"/>
    <w:uiPriority w:val="99"/>
    <w:rsid w:val="00E21B30"/>
    <w:rPr>
      <w:rFonts w:eastAsia="Times New Roman"/>
      <w:lang w:val="en-US"/>
    </w:rPr>
  </w:style>
  <w:style w:type="character" w:customStyle="1" w:styleId="TekstopmerkingTeken">
    <w:name w:val="Tekst opmerking Teken"/>
    <w:basedOn w:val="Standaardalinea-lettertype"/>
    <w:link w:val="Tekstopmerking"/>
    <w:uiPriority w:val="99"/>
    <w:rsid w:val="00E21B30"/>
    <w:rPr>
      <w:rFonts w:eastAsia="Times New Roman"/>
      <w:sz w:val="24"/>
      <w:szCs w:val="24"/>
      <w:lang w:val="en-US" w:eastAsia="en-US"/>
    </w:rPr>
  </w:style>
  <w:style w:type="paragraph" w:customStyle="1" w:styleId="Default">
    <w:name w:val="Default"/>
    <w:rsid w:val="00E21B30"/>
    <w:pPr>
      <w:autoSpaceDE w:val="0"/>
      <w:autoSpaceDN w:val="0"/>
      <w:adjustRightInd w:val="0"/>
    </w:pPr>
    <w:rPr>
      <w:rFonts w:ascii="Arial" w:eastAsia="Times New Roman" w:hAnsi="Arial" w:cs="Arial"/>
      <w:color w:val="000000"/>
      <w:sz w:val="24"/>
      <w:szCs w:val="24"/>
      <w:lang w:val="en-US" w:eastAsia="en-US"/>
    </w:rPr>
  </w:style>
  <w:style w:type="paragraph" w:styleId="Voettekst">
    <w:name w:val="footer"/>
    <w:basedOn w:val="Normaal"/>
    <w:link w:val="VoettekstTeken"/>
    <w:uiPriority w:val="99"/>
    <w:unhideWhenUsed/>
    <w:rsid w:val="002D7FA5"/>
    <w:pPr>
      <w:tabs>
        <w:tab w:val="center" w:pos="4536"/>
        <w:tab w:val="right" w:pos="9072"/>
      </w:tabs>
    </w:pPr>
  </w:style>
  <w:style w:type="character" w:customStyle="1" w:styleId="VoettekstTeken">
    <w:name w:val="Voettekst Teken"/>
    <w:basedOn w:val="Standaardalinea-lettertype"/>
    <w:link w:val="Voettekst"/>
    <w:uiPriority w:val="99"/>
    <w:rsid w:val="002D7FA5"/>
    <w:rPr>
      <w:sz w:val="24"/>
      <w:szCs w:val="24"/>
      <w:lang w:val="en-GB" w:eastAsia="en-US"/>
    </w:rPr>
  </w:style>
  <w:style w:type="character" w:styleId="Paginanummer">
    <w:name w:val="page number"/>
    <w:basedOn w:val="Standaardalinea-lettertype"/>
    <w:uiPriority w:val="99"/>
    <w:semiHidden/>
    <w:unhideWhenUsed/>
    <w:rsid w:val="002D7FA5"/>
  </w:style>
  <w:style w:type="paragraph" w:styleId="Lijstalinea">
    <w:name w:val="List Paragraph"/>
    <w:basedOn w:val="Normaal"/>
    <w:uiPriority w:val="34"/>
    <w:qFormat/>
    <w:rsid w:val="002139BC"/>
    <w:pPr>
      <w:ind w:left="720"/>
      <w:contextualSpacing/>
    </w:pPr>
  </w:style>
  <w:style w:type="paragraph" w:styleId="Ballontekst">
    <w:name w:val="Balloon Text"/>
    <w:basedOn w:val="Normaal"/>
    <w:link w:val="BallontekstTeken"/>
    <w:uiPriority w:val="99"/>
    <w:semiHidden/>
    <w:unhideWhenUsed/>
    <w:rsid w:val="00ED6FC0"/>
    <w:rPr>
      <w:rFonts w:ascii="Tahoma" w:hAnsi="Tahoma" w:cs="Tahoma"/>
      <w:sz w:val="16"/>
      <w:szCs w:val="16"/>
    </w:rPr>
  </w:style>
  <w:style w:type="character" w:customStyle="1" w:styleId="BallontekstTeken">
    <w:name w:val="Ballontekst Teken"/>
    <w:basedOn w:val="Standaardalinea-lettertype"/>
    <w:link w:val="Ballontekst"/>
    <w:uiPriority w:val="99"/>
    <w:semiHidden/>
    <w:rsid w:val="00ED6FC0"/>
    <w:rPr>
      <w:rFonts w:ascii="Tahoma" w:hAnsi="Tahoma" w:cs="Tahoma"/>
      <w:sz w:val="16"/>
      <w:szCs w:val="16"/>
      <w:lang w:val="en-GB" w:eastAsia="en-US"/>
    </w:rPr>
  </w:style>
  <w:style w:type="character" w:styleId="GevolgdeHyperlink">
    <w:name w:val="FollowedHyperlink"/>
    <w:basedOn w:val="Standaardalinea-lettertype"/>
    <w:uiPriority w:val="99"/>
    <w:semiHidden/>
    <w:unhideWhenUsed/>
    <w:rsid w:val="000C5150"/>
    <w:rPr>
      <w:color w:val="800080" w:themeColor="followedHyperlink"/>
      <w:u w:val="single"/>
    </w:rPr>
  </w:style>
  <w:style w:type="character" w:styleId="Verwijzingopmerking">
    <w:name w:val="annotation reference"/>
    <w:basedOn w:val="Standaardalinea-lettertype"/>
    <w:uiPriority w:val="99"/>
    <w:semiHidden/>
    <w:unhideWhenUsed/>
    <w:rsid w:val="00C70C10"/>
    <w:rPr>
      <w:sz w:val="16"/>
      <w:szCs w:val="16"/>
    </w:rPr>
  </w:style>
  <w:style w:type="paragraph" w:styleId="Onderwerpvanopmerking">
    <w:name w:val="annotation subject"/>
    <w:basedOn w:val="Tekstopmerking"/>
    <w:next w:val="Tekstopmerking"/>
    <w:link w:val="OnderwerpvanopmerkingTeken"/>
    <w:uiPriority w:val="99"/>
    <w:semiHidden/>
    <w:unhideWhenUsed/>
    <w:rsid w:val="00C70C10"/>
    <w:rPr>
      <w:rFonts w:eastAsiaTheme="minorEastAsia"/>
      <w:b/>
      <w:bCs/>
      <w:sz w:val="20"/>
      <w:szCs w:val="20"/>
      <w:lang w:val="en-GB"/>
    </w:rPr>
  </w:style>
  <w:style w:type="character" w:customStyle="1" w:styleId="OnderwerpvanopmerkingTeken">
    <w:name w:val="Onderwerp van opmerking Teken"/>
    <w:basedOn w:val="TekstopmerkingTeken"/>
    <w:link w:val="Onderwerpvanopmerking"/>
    <w:uiPriority w:val="99"/>
    <w:semiHidden/>
    <w:rsid w:val="00C70C10"/>
    <w:rPr>
      <w:rFonts w:eastAsia="Times New Roman"/>
      <w:b/>
      <w:bCs/>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renforce.rebo.uu.nl"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diagramData" Target="diagrams/data1.xml"/><Relationship Id="rId11" Type="http://schemas.openxmlformats.org/officeDocument/2006/relationships/diagramLayout" Target="diagrams/layout1.xml"/><Relationship Id="rId12" Type="http://schemas.openxmlformats.org/officeDocument/2006/relationships/diagramQuickStyle" Target="diagrams/quickStyle1.xml"/><Relationship Id="rId13" Type="http://schemas.openxmlformats.org/officeDocument/2006/relationships/diagramColors" Target="diagrams/colors1.xml"/><Relationship Id="rId14" Type="http://schemas.microsoft.com/office/2007/relationships/diagramDrawing" Target="diagrams/drawing1.xml"/><Relationship Id="rId15" Type="http://schemas.openxmlformats.org/officeDocument/2006/relationships/diagramData" Target="diagrams/data2.xml"/><Relationship Id="rId16" Type="http://schemas.openxmlformats.org/officeDocument/2006/relationships/diagramLayout" Target="diagrams/layout2.xml"/><Relationship Id="rId17" Type="http://schemas.openxmlformats.org/officeDocument/2006/relationships/diagramQuickStyle" Target="diagrams/quickStyle2.xml"/><Relationship Id="rId18" Type="http://schemas.openxmlformats.org/officeDocument/2006/relationships/diagramColors" Target="diagrams/colors2.xml"/><Relationship Id="rId19" Type="http://schemas.microsoft.com/office/2007/relationships/diagramDrawing" Target="diagrams/drawing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easa.europa.eu/rulemaking/rulemaking-directorate.php"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5E8EF14-03A4-774B-AF59-1EF06242D27D}" type="doc">
      <dgm:prSet loTypeId="urn:microsoft.com/office/officeart/2005/8/layout/hierarchy1" loCatId="" qsTypeId="urn:microsoft.com/office/officeart/2005/8/quickstyle/simple4" qsCatId="simple" csTypeId="urn:microsoft.com/office/officeart/2005/8/colors/accent1_2" csCatId="accent1" phldr="1"/>
      <dgm:spPr/>
      <dgm:t>
        <a:bodyPr/>
        <a:lstStyle/>
        <a:p>
          <a:endParaRPr lang="nl-NL"/>
        </a:p>
      </dgm:t>
    </dgm:pt>
    <dgm:pt modelId="{2CCA0E45-5328-2844-91E1-AD043D7E5E59}">
      <dgm:prSet phldrT="[Tekst]"/>
      <dgm:spPr/>
      <dgm:t>
        <a:bodyPr/>
        <a:lstStyle/>
        <a:p>
          <a:r>
            <a:rPr lang="nl-NL"/>
            <a:t>Article 288 TFEU instruments -&gt; hierarchy of norms -&gt; </a:t>
          </a:r>
        </a:p>
      </dgm:t>
    </dgm:pt>
    <dgm:pt modelId="{7034EC51-5D12-7042-91AE-B3ACBF1B5E47}" type="parTrans" cxnId="{96F2C98D-0E5D-0343-B9A8-9F38E21BC1D1}">
      <dgm:prSet/>
      <dgm:spPr/>
      <dgm:t>
        <a:bodyPr/>
        <a:lstStyle/>
        <a:p>
          <a:endParaRPr lang="nl-NL"/>
        </a:p>
      </dgm:t>
    </dgm:pt>
    <dgm:pt modelId="{034C337D-A13F-BC45-B641-00482C35AD9F}" type="sibTrans" cxnId="{96F2C98D-0E5D-0343-B9A8-9F38E21BC1D1}">
      <dgm:prSet/>
      <dgm:spPr/>
      <dgm:t>
        <a:bodyPr/>
        <a:lstStyle/>
        <a:p>
          <a:endParaRPr lang="nl-NL"/>
        </a:p>
      </dgm:t>
    </dgm:pt>
    <dgm:pt modelId="{477B1CAF-95FB-FD44-85F4-6E8A1DFBA620}">
      <dgm:prSet phldrT="[Tekst]"/>
      <dgm:spPr/>
      <dgm:t>
        <a:bodyPr/>
        <a:lstStyle/>
        <a:p>
          <a:r>
            <a:rPr lang="nl-NL"/>
            <a:t>Legislative act (art. 289 TFEU)</a:t>
          </a:r>
        </a:p>
      </dgm:t>
    </dgm:pt>
    <dgm:pt modelId="{62552E0A-EB58-CB41-95D1-2AA6B91CB663}" type="parTrans" cxnId="{86C00644-0441-684E-9947-DD58A4F0AA8B}">
      <dgm:prSet/>
      <dgm:spPr/>
      <dgm:t>
        <a:bodyPr/>
        <a:lstStyle/>
        <a:p>
          <a:endParaRPr lang="nl-NL"/>
        </a:p>
      </dgm:t>
    </dgm:pt>
    <dgm:pt modelId="{7692A578-A4C6-4043-8CE8-D05C45EF7AA9}" type="sibTrans" cxnId="{86C00644-0441-684E-9947-DD58A4F0AA8B}">
      <dgm:prSet/>
      <dgm:spPr/>
      <dgm:t>
        <a:bodyPr/>
        <a:lstStyle/>
        <a:p>
          <a:endParaRPr lang="nl-NL"/>
        </a:p>
      </dgm:t>
    </dgm:pt>
    <dgm:pt modelId="{1BE4F773-C088-1349-8153-A7C944352761}">
      <dgm:prSet phldrT="[Tekst]"/>
      <dgm:spPr/>
      <dgm:t>
        <a:bodyPr/>
        <a:lstStyle/>
        <a:p>
          <a:r>
            <a:rPr lang="nl-NL"/>
            <a:t>Regulation, Directive, Decision</a:t>
          </a:r>
        </a:p>
      </dgm:t>
    </dgm:pt>
    <dgm:pt modelId="{B190FFFD-68C2-ED4E-8D2E-96D68D65FA03}" type="parTrans" cxnId="{AA2BEB39-3F17-3242-83B9-6F249256DDB6}">
      <dgm:prSet/>
      <dgm:spPr/>
      <dgm:t>
        <a:bodyPr/>
        <a:lstStyle/>
        <a:p>
          <a:endParaRPr lang="nl-NL"/>
        </a:p>
      </dgm:t>
    </dgm:pt>
    <dgm:pt modelId="{BE2C8F62-7B26-234C-8B23-AC138B45E97A}" type="sibTrans" cxnId="{AA2BEB39-3F17-3242-83B9-6F249256DDB6}">
      <dgm:prSet/>
      <dgm:spPr/>
      <dgm:t>
        <a:bodyPr/>
        <a:lstStyle/>
        <a:p>
          <a:endParaRPr lang="nl-NL"/>
        </a:p>
      </dgm:t>
    </dgm:pt>
    <dgm:pt modelId="{815342D2-9037-9E44-A52F-D6CE391A9084}">
      <dgm:prSet phldrT="[Tekst]"/>
      <dgm:spPr/>
      <dgm:t>
        <a:bodyPr/>
        <a:lstStyle/>
        <a:p>
          <a:r>
            <a:rPr lang="nl-NL"/>
            <a:t>Delegated act (art. 290 TFEU)</a:t>
          </a:r>
        </a:p>
      </dgm:t>
    </dgm:pt>
    <dgm:pt modelId="{C78C2852-61E3-4B45-A09D-9A685219F4BF}" type="parTrans" cxnId="{4D424D97-4311-6948-87CE-FE34E9646688}">
      <dgm:prSet/>
      <dgm:spPr/>
      <dgm:t>
        <a:bodyPr/>
        <a:lstStyle/>
        <a:p>
          <a:endParaRPr lang="nl-NL"/>
        </a:p>
      </dgm:t>
    </dgm:pt>
    <dgm:pt modelId="{073358B7-894C-D54B-A990-A4DC97ECF370}" type="sibTrans" cxnId="{4D424D97-4311-6948-87CE-FE34E9646688}">
      <dgm:prSet/>
      <dgm:spPr/>
      <dgm:t>
        <a:bodyPr/>
        <a:lstStyle/>
        <a:p>
          <a:endParaRPr lang="nl-NL"/>
        </a:p>
      </dgm:t>
    </dgm:pt>
    <dgm:pt modelId="{A4DC3F53-D8AA-9E41-ADE3-049DF29653D4}">
      <dgm:prSet phldrT="[Tekst]"/>
      <dgm:spPr/>
      <dgm:t>
        <a:bodyPr/>
        <a:lstStyle/>
        <a:p>
          <a:r>
            <a:rPr lang="nl-NL"/>
            <a:t>Regulation, Directive, Decision</a:t>
          </a:r>
        </a:p>
      </dgm:t>
    </dgm:pt>
    <dgm:pt modelId="{8D8C87D3-A192-3245-B762-71B4FEDB5A21}" type="parTrans" cxnId="{24794DAA-EA3D-6042-9D29-F737EAECA65C}">
      <dgm:prSet/>
      <dgm:spPr/>
      <dgm:t>
        <a:bodyPr/>
        <a:lstStyle/>
        <a:p>
          <a:endParaRPr lang="nl-NL"/>
        </a:p>
      </dgm:t>
    </dgm:pt>
    <dgm:pt modelId="{CF0FA01E-0BEB-6A40-B0F2-AB7B37085FE4}" type="sibTrans" cxnId="{24794DAA-EA3D-6042-9D29-F737EAECA65C}">
      <dgm:prSet/>
      <dgm:spPr/>
      <dgm:t>
        <a:bodyPr/>
        <a:lstStyle/>
        <a:p>
          <a:endParaRPr lang="nl-NL"/>
        </a:p>
      </dgm:t>
    </dgm:pt>
    <dgm:pt modelId="{564257CD-0D12-ED4A-A826-D4BF4D25D0C8}">
      <dgm:prSet phldrT="[Tekst]"/>
      <dgm:spPr/>
      <dgm:t>
        <a:bodyPr/>
        <a:lstStyle/>
        <a:p>
          <a:r>
            <a:rPr lang="nl-NL"/>
            <a:t>Implementing act (291 TFEU)</a:t>
          </a:r>
        </a:p>
      </dgm:t>
    </dgm:pt>
    <dgm:pt modelId="{8C7AF617-9E03-3F4C-89A9-01C1AC52F54B}" type="parTrans" cxnId="{AD2730E4-3147-2840-88A3-692EC0CBCAB4}">
      <dgm:prSet/>
      <dgm:spPr/>
      <dgm:t>
        <a:bodyPr/>
        <a:lstStyle/>
        <a:p>
          <a:endParaRPr lang="nl-NL"/>
        </a:p>
      </dgm:t>
    </dgm:pt>
    <dgm:pt modelId="{1A5CC940-BBE5-7A4D-A206-A5A52B094163}" type="sibTrans" cxnId="{AD2730E4-3147-2840-88A3-692EC0CBCAB4}">
      <dgm:prSet/>
      <dgm:spPr/>
      <dgm:t>
        <a:bodyPr/>
        <a:lstStyle/>
        <a:p>
          <a:endParaRPr lang="nl-NL"/>
        </a:p>
      </dgm:t>
    </dgm:pt>
    <dgm:pt modelId="{D35C096E-42B1-E04A-BDF8-AED0C8E5CE71}">
      <dgm:prSet phldrT="[Tekst]"/>
      <dgm:spPr/>
      <dgm:t>
        <a:bodyPr/>
        <a:lstStyle/>
        <a:p>
          <a:r>
            <a:rPr lang="nl-NL"/>
            <a:t>Regulation, Directive, Decision</a:t>
          </a:r>
        </a:p>
      </dgm:t>
    </dgm:pt>
    <dgm:pt modelId="{06C0802A-2F2A-1F48-9720-70F913BA6B15}" type="parTrans" cxnId="{4F30E47B-B2FA-734A-AD3F-015D309589C4}">
      <dgm:prSet/>
      <dgm:spPr/>
      <dgm:t>
        <a:bodyPr/>
        <a:lstStyle/>
        <a:p>
          <a:endParaRPr lang="nl-NL"/>
        </a:p>
      </dgm:t>
    </dgm:pt>
    <dgm:pt modelId="{DA0936D9-F539-B147-8DC7-2B7AD02156B3}" type="sibTrans" cxnId="{4F30E47B-B2FA-734A-AD3F-015D309589C4}">
      <dgm:prSet/>
      <dgm:spPr/>
      <dgm:t>
        <a:bodyPr/>
        <a:lstStyle/>
        <a:p>
          <a:endParaRPr lang="nl-NL"/>
        </a:p>
      </dgm:t>
    </dgm:pt>
    <dgm:pt modelId="{18E2D81F-D102-1349-95FD-16C5274148D0}" type="pres">
      <dgm:prSet presAssocID="{F5E8EF14-03A4-774B-AF59-1EF06242D27D}" presName="hierChild1" presStyleCnt="0">
        <dgm:presLayoutVars>
          <dgm:chPref val="1"/>
          <dgm:dir/>
          <dgm:animOne val="branch"/>
          <dgm:animLvl val="lvl"/>
          <dgm:resizeHandles/>
        </dgm:presLayoutVars>
      </dgm:prSet>
      <dgm:spPr/>
      <dgm:t>
        <a:bodyPr/>
        <a:lstStyle/>
        <a:p>
          <a:endParaRPr lang="nl-NL"/>
        </a:p>
      </dgm:t>
    </dgm:pt>
    <dgm:pt modelId="{B80225A3-7C54-2248-80A6-0851726BB214}" type="pres">
      <dgm:prSet presAssocID="{2CCA0E45-5328-2844-91E1-AD043D7E5E59}" presName="hierRoot1" presStyleCnt="0"/>
      <dgm:spPr/>
    </dgm:pt>
    <dgm:pt modelId="{A99D977A-56D8-A947-AFD2-E35F3EA5FE04}" type="pres">
      <dgm:prSet presAssocID="{2CCA0E45-5328-2844-91E1-AD043D7E5E59}" presName="composite" presStyleCnt="0"/>
      <dgm:spPr/>
    </dgm:pt>
    <dgm:pt modelId="{1A6C6F62-300A-0944-AFE1-1B9426A9EC15}" type="pres">
      <dgm:prSet presAssocID="{2CCA0E45-5328-2844-91E1-AD043D7E5E59}" presName="background" presStyleLbl="node0" presStyleIdx="0" presStyleCnt="1"/>
      <dgm:spPr/>
    </dgm:pt>
    <dgm:pt modelId="{40D87CF9-1C20-3446-AF8F-277D6EF0893E}" type="pres">
      <dgm:prSet presAssocID="{2CCA0E45-5328-2844-91E1-AD043D7E5E59}" presName="text" presStyleLbl="fgAcc0" presStyleIdx="0" presStyleCnt="1">
        <dgm:presLayoutVars>
          <dgm:chPref val="3"/>
        </dgm:presLayoutVars>
      </dgm:prSet>
      <dgm:spPr/>
      <dgm:t>
        <a:bodyPr/>
        <a:lstStyle/>
        <a:p>
          <a:endParaRPr lang="nl-NL"/>
        </a:p>
      </dgm:t>
    </dgm:pt>
    <dgm:pt modelId="{DC86BB26-602C-3D4D-8AC0-4EFA42B8E380}" type="pres">
      <dgm:prSet presAssocID="{2CCA0E45-5328-2844-91E1-AD043D7E5E59}" presName="hierChild2" presStyleCnt="0"/>
      <dgm:spPr/>
    </dgm:pt>
    <dgm:pt modelId="{926CEBB9-6100-FF4E-A173-E5A4C991D273}" type="pres">
      <dgm:prSet presAssocID="{62552E0A-EB58-CB41-95D1-2AA6B91CB663}" presName="Name10" presStyleLbl="parChTrans1D2" presStyleIdx="0" presStyleCnt="3"/>
      <dgm:spPr/>
      <dgm:t>
        <a:bodyPr/>
        <a:lstStyle/>
        <a:p>
          <a:endParaRPr lang="nl-NL"/>
        </a:p>
      </dgm:t>
    </dgm:pt>
    <dgm:pt modelId="{3DB5A194-839E-E646-B2BB-203AE63010AA}" type="pres">
      <dgm:prSet presAssocID="{477B1CAF-95FB-FD44-85F4-6E8A1DFBA620}" presName="hierRoot2" presStyleCnt="0"/>
      <dgm:spPr/>
    </dgm:pt>
    <dgm:pt modelId="{397436EA-618C-7540-88C8-85C9679A890C}" type="pres">
      <dgm:prSet presAssocID="{477B1CAF-95FB-FD44-85F4-6E8A1DFBA620}" presName="composite2" presStyleCnt="0"/>
      <dgm:spPr/>
    </dgm:pt>
    <dgm:pt modelId="{B9B0F8A6-203B-7747-9971-F1624CFD1CFB}" type="pres">
      <dgm:prSet presAssocID="{477B1CAF-95FB-FD44-85F4-6E8A1DFBA620}" presName="background2" presStyleLbl="node2" presStyleIdx="0" presStyleCnt="3"/>
      <dgm:spPr/>
    </dgm:pt>
    <dgm:pt modelId="{ABF8EC42-C1E4-A443-8D3B-40CE92CD93BD}" type="pres">
      <dgm:prSet presAssocID="{477B1CAF-95FB-FD44-85F4-6E8A1DFBA620}" presName="text2" presStyleLbl="fgAcc2" presStyleIdx="0" presStyleCnt="3">
        <dgm:presLayoutVars>
          <dgm:chPref val="3"/>
        </dgm:presLayoutVars>
      </dgm:prSet>
      <dgm:spPr/>
      <dgm:t>
        <a:bodyPr/>
        <a:lstStyle/>
        <a:p>
          <a:endParaRPr lang="nl-NL"/>
        </a:p>
      </dgm:t>
    </dgm:pt>
    <dgm:pt modelId="{A2600D16-E8C0-8147-B4A0-50B2741FD32E}" type="pres">
      <dgm:prSet presAssocID="{477B1CAF-95FB-FD44-85F4-6E8A1DFBA620}" presName="hierChild3" presStyleCnt="0"/>
      <dgm:spPr/>
    </dgm:pt>
    <dgm:pt modelId="{0A5D555D-6CF3-D941-A42B-98D9CB6AFCE7}" type="pres">
      <dgm:prSet presAssocID="{B190FFFD-68C2-ED4E-8D2E-96D68D65FA03}" presName="Name17" presStyleLbl="parChTrans1D3" presStyleIdx="0" presStyleCnt="3"/>
      <dgm:spPr/>
      <dgm:t>
        <a:bodyPr/>
        <a:lstStyle/>
        <a:p>
          <a:endParaRPr lang="nl-NL"/>
        </a:p>
      </dgm:t>
    </dgm:pt>
    <dgm:pt modelId="{C1DC4F9F-F122-8345-9D1F-C0B845E4E792}" type="pres">
      <dgm:prSet presAssocID="{1BE4F773-C088-1349-8153-A7C944352761}" presName="hierRoot3" presStyleCnt="0"/>
      <dgm:spPr/>
    </dgm:pt>
    <dgm:pt modelId="{A6D81139-904E-2347-BD7C-8CE233FF932A}" type="pres">
      <dgm:prSet presAssocID="{1BE4F773-C088-1349-8153-A7C944352761}" presName="composite3" presStyleCnt="0"/>
      <dgm:spPr/>
    </dgm:pt>
    <dgm:pt modelId="{95110E71-7C75-B040-BF8F-F7742DA9643A}" type="pres">
      <dgm:prSet presAssocID="{1BE4F773-C088-1349-8153-A7C944352761}" presName="background3" presStyleLbl="node3" presStyleIdx="0" presStyleCnt="3"/>
      <dgm:spPr/>
    </dgm:pt>
    <dgm:pt modelId="{8CC36815-1176-384B-9D0E-BFD9406815EE}" type="pres">
      <dgm:prSet presAssocID="{1BE4F773-C088-1349-8153-A7C944352761}" presName="text3" presStyleLbl="fgAcc3" presStyleIdx="0" presStyleCnt="3">
        <dgm:presLayoutVars>
          <dgm:chPref val="3"/>
        </dgm:presLayoutVars>
      </dgm:prSet>
      <dgm:spPr/>
      <dgm:t>
        <a:bodyPr/>
        <a:lstStyle/>
        <a:p>
          <a:endParaRPr lang="nl-NL"/>
        </a:p>
      </dgm:t>
    </dgm:pt>
    <dgm:pt modelId="{8237D303-235F-614F-8033-450962A17178}" type="pres">
      <dgm:prSet presAssocID="{1BE4F773-C088-1349-8153-A7C944352761}" presName="hierChild4" presStyleCnt="0"/>
      <dgm:spPr/>
    </dgm:pt>
    <dgm:pt modelId="{6F184AD5-114C-F446-A246-D0565AB126FD}" type="pres">
      <dgm:prSet presAssocID="{C78C2852-61E3-4B45-A09D-9A685219F4BF}" presName="Name10" presStyleLbl="parChTrans1D2" presStyleIdx="1" presStyleCnt="3"/>
      <dgm:spPr/>
      <dgm:t>
        <a:bodyPr/>
        <a:lstStyle/>
        <a:p>
          <a:endParaRPr lang="nl-NL"/>
        </a:p>
      </dgm:t>
    </dgm:pt>
    <dgm:pt modelId="{B8EC892F-990F-694A-A5C7-0D9D13CD2CD5}" type="pres">
      <dgm:prSet presAssocID="{815342D2-9037-9E44-A52F-D6CE391A9084}" presName="hierRoot2" presStyleCnt="0"/>
      <dgm:spPr/>
    </dgm:pt>
    <dgm:pt modelId="{40C79072-67C7-3546-A3E6-E74607C573F1}" type="pres">
      <dgm:prSet presAssocID="{815342D2-9037-9E44-A52F-D6CE391A9084}" presName="composite2" presStyleCnt="0"/>
      <dgm:spPr/>
    </dgm:pt>
    <dgm:pt modelId="{1EE27EBA-2506-104E-9A2D-5E459F8057F8}" type="pres">
      <dgm:prSet presAssocID="{815342D2-9037-9E44-A52F-D6CE391A9084}" presName="background2" presStyleLbl="node2" presStyleIdx="1" presStyleCnt="3"/>
      <dgm:spPr/>
    </dgm:pt>
    <dgm:pt modelId="{9A5F2289-F616-4D41-87BD-E469FC36FE94}" type="pres">
      <dgm:prSet presAssocID="{815342D2-9037-9E44-A52F-D6CE391A9084}" presName="text2" presStyleLbl="fgAcc2" presStyleIdx="1" presStyleCnt="3">
        <dgm:presLayoutVars>
          <dgm:chPref val="3"/>
        </dgm:presLayoutVars>
      </dgm:prSet>
      <dgm:spPr/>
      <dgm:t>
        <a:bodyPr/>
        <a:lstStyle/>
        <a:p>
          <a:endParaRPr lang="nl-NL"/>
        </a:p>
      </dgm:t>
    </dgm:pt>
    <dgm:pt modelId="{59D91C0C-FA27-3941-9934-F23DEACF742C}" type="pres">
      <dgm:prSet presAssocID="{815342D2-9037-9E44-A52F-D6CE391A9084}" presName="hierChild3" presStyleCnt="0"/>
      <dgm:spPr/>
    </dgm:pt>
    <dgm:pt modelId="{B4C881F6-B064-B54B-8BE3-621CC77BF147}" type="pres">
      <dgm:prSet presAssocID="{06C0802A-2F2A-1F48-9720-70F913BA6B15}" presName="Name17" presStyleLbl="parChTrans1D3" presStyleIdx="1" presStyleCnt="3"/>
      <dgm:spPr/>
      <dgm:t>
        <a:bodyPr/>
        <a:lstStyle/>
        <a:p>
          <a:endParaRPr lang="nl-NL"/>
        </a:p>
      </dgm:t>
    </dgm:pt>
    <dgm:pt modelId="{DBAB25B9-4104-754C-A75E-00FE826A84A0}" type="pres">
      <dgm:prSet presAssocID="{D35C096E-42B1-E04A-BDF8-AED0C8E5CE71}" presName="hierRoot3" presStyleCnt="0"/>
      <dgm:spPr/>
    </dgm:pt>
    <dgm:pt modelId="{7EA5B4FE-780D-B24F-9BC3-93BE625704D9}" type="pres">
      <dgm:prSet presAssocID="{D35C096E-42B1-E04A-BDF8-AED0C8E5CE71}" presName="composite3" presStyleCnt="0"/>
      <dgm:spPr/>
    </dgm:pt>
    <dgm:pt modelId="{65186360-00CB-8847-8B81-3FA5ED78CC73}" type="pres">
      <dgm:prSet presAssocID="{D35C096E-42B1-E04A-BDF8-AED0C8E5CE71}" presName="background3" presStyleLbl="node3" presStyleIdx="1" presStyleCnt="3"/>
      <dgm:spPr/>
    </dgm:pt>
    <dgm:pt modelId="{744515E5-1C6D-4F41-B02E-0DD73754C139}" type="pres">
      <dgm:prSet presAssocID="{D35C096E-42B1-E04A-BDF8-AED0C8E5CE71}" presName="text3" presStyleLbl="fgAcc3" presStyleIdx="1" presStyleCnt="3">
        <dgm:presLayoutVars>
          <dgm:chPref val="3"/>
        </dgm:presLayoutVars>
      </dgm:prSet>
      <dgm:spPr/>
      <dgm:t>
        <a:bodyPr/>
        <a:lstStyle/>
        <a:p>
          <a:endParaRPr lang="nl-NL"/>
        </a:p>
      </dgm:t>
    </dgm:pt>
    <dgm:pt modelId="{5DB13754-611F-3047-8E90-4FD5A29B161C}" type="pres">
      <dgm:prSet presAssocID="{D35C096E-42B1-E04A-BDF8-AED0C8E5CE71}" presName="hierChild4" presStyleCnt="0"/>
      <dgm:spPr/>
    </dgm:pt>
    <dgm:pt modelId="{2770567A-D065-EC4E-BDA4-657E6282776D}" type="pres">
      <dgm:prSet presAssocID="{8C7AF617-9E03-3F4C-89A9-01C1AC52F54B}" presName="Name10" presStyleLbl="parChTrans1D2" presStyleIdx="2" presStyleCnt="3"/>
      <dgm:spPr/>
      <dgm:t>
        <a:bodyPr/>
        <a:lstStyle/>
        <a:p>
          <a:endParaRPr lang="nl-NL"/>
        </a:p>
      </dgm:t>
    </dgm:pt>
    <dgm:pt modelId="{A2B20E48-F338-A145-9AC3-843FFD98C893}" type="pres">
      <dgm:prSet presAssocID="{564257CD-0D12-ED4A-A826-D4BF4D25D0C8}" presName="hierRoot2" presStyleCnt="0"/>
      <dgm:spPr/>
    </dgm:pt>
    <dgm:pt modelId="{76D4C9A6-13F7-9540-8C01-E85A92ECCD7A}" type="pres">
      <dgm:prSet presAssocID="{564257CD-0D12-ED4A-A826-D4BF4D25D0C8}" presName="composite2" presStyleCnt="0"/>
      <dgm:spPr/>
    </dgm:pt>
    <dgm:pt modelId="{A20898CF-991D-0C49-8D98-D09A0EC1A57F}" type="pres">
      <dgm:prSet presAssocID="{564257CD-0D12-ED4A-A826-D4BF4D25D0C8}" presName="background2" presStyleLbl="node2" presStyleIdx="2" presStyleCnt="3"/>
      <dgm:spPr/>
    </dgm:pt>
    <dgm:pt modelId="{2C481E8E-A554-B04B-9223-7948F9894505}" type="pres">
      <dgm:prSet presAssocID="{564257CD-0D12-ED4A-A826-D4BF4D25D0C8}" presName="text2" presStyleLbl="fgAcc2" presStyleIdx="2" presStyleCnt="3">
        <dgm:presLayoutVars>
          <dgm:chPref val="3"/>
        </dgm:presLayoutVars>
      </dgm:prSet>
      <dgm:spPr/>
      <dgm:t>
        <a:bodyPr/>
        <a:lstStyle/>
        <a:p>
          <a:endParaRPr lang="nl-NL"/>
        </a:p>
      </dgm:t>
    </dgm:pt>
    <dgm:pt modelId="{4CAD8255-AD0A-5E40-8D47-55C941C864B9}" type="pres">
      <dgm:prSet presAssocID="{564257CD-0D12-ED4A-A826-D4BF4D25D0C8}" presName="hierChild3" presStyleCnt="0"/>
      <dgm:spPr/>
    </dgm:pt>
    <dgm:pt modelId="{08E2D480-9F94-234D-A9D3-FBB8940D1E0A}" type="pres">
      <dgm:prSet presAssocID="{8D8C87D3-A192-3245-B762-71B4FEDB5A21}" presName="Name17" presStyleLbl="parChTrans1D3" presStyleIdx="2" presStyleCnt="3"/>
      <dgm:spPr/>
      <dgm:t>
        <a:bodyPr/>
        <a:lstStyle/>
        <a:p>
          <a:endParaRPr lang="nl-NL"/>
        </a:p>
      </dgm:t>
    </dgm:pt>
    <dgm:pt modelId="{07FECF81-8674-DA47-9B80-9FCBBB0B67DA}" type="pres">
      <dgm:prSet presAssocID="{A4DC3F53-D8AA-9E41-ADE3-049DF29653D4}" presName="hierRoot3" presStyleCnt="0"/>
      <dgm:spPr/>
    </dgm:pt>
    <dgm:pt modelId="{34883ED1-1EF8-954C-B078-E1B8819E920C}" type="pres">
      <dgm:prSet presAssocID="{A4DC3F53-D8AA-9E41-ADE3-049DF29653D4}" presName="composite3" presStyleCnt="0"/>
      <dgm:spPr/>
    </dgm:pt>
    <dgm:pt modelId="{0D89BB92-197A-6A4C-82D9-5EC583EB1DF4}" type="pres">
      <dgm:prSet presAssocID="{A4DC3F53-D8AA-9E41-ADE3-049DF29653D4}" presName="background3" presStyleLbl="node3" presStyleIdx="2" presStyleCnt="3"/>
      <dgm:spPr/>
    </dgm:pt>
    <dgm:pt modelId="{A7482F96-01D5-6245-BB8A-4C3737AEB2C4}" type="pres">
      <dgm:prSet presAssocID="{A4DC3F53-D8AA-9E41-ADE3-049DF29653D4}" presName="text3" presStyleLbl="fgAcc3" presStyleIdx="2" presStyleCnt="3">
        <dgm:presLayoutVars>
          <dgm:chPref val="3"/>
        </dgm:presLayoutVars>
      </dgm:prSet>
      <dgm:spPr/>
      <dgm:t>
        <a:bodyPr/>
        <a:lstStyle/>
        <a:p>
          <a:endParaRPr lang="nl-NL"/>
        </a:p>
      </dgm:t>
    </dgm:pt>
    <dgm:pt modelId="{A345A9C8-5E4B-D247-B9AF-B2448BF2D896}" type="pres">
      <dgm:prSet presAssocID="{A4DC3F53-D8AA-9E41-ADE3-049DF29653D4}" presName="hierChild4" presStyleCnt="0"/>
      <dgm:spPr/>
    </dgm:pt>
  </dgm:ptLst>
  <dgm:cxnLst>
    <dgm:cxn modelId="{30210C53-9AAD-4175-9465-32961992A6C5}" type="presOf" srcId="{B190FFFD-68C2-ED4E-8D2E-96D68D65FA03}" destId="{0A5D555D-6CF3-D941-A42B-98D9CB6AFCE7}" srcOrd="0" destOrd="0" presId="urn:microsoft.com/office/officeart/2005/8/layout/hierarchy1"/>
    <dgm:cxn modelId="{C187EDDF-E688-443E-AB98-7926DD4AD3D5}" type="presOf" srcId="{C78C2852-61E3-4B45-A09D-9A685219F4BF}" destId="{6F184AD5-114C-F446-A246-D0565AB126FD}" srcOrd="0" destOrd="0" presId="urn:microsoft.com/office/officeart/2005/8/layout/hierarchy1"/>
    <dgm:cxn modelId="{D6CED33A-0B96-4CE5-99F7-8C0B85787CEB}" type="presOf" srcId="{A4DC3F53-D8AA-9E41-ADE3-049DF29653D4}" destId="{A7482F96-01D5-6245-BB8A-4C3737AEB2C4}" srcOrd="0" destOrd="0" presId="urn:microsoft.com/office/officeart/2005/8/layout/hierarchy1"/>
    <dgm:cxn modelId="{86C00644-0441-684E-9947-DD58A4F0AA8B}" srcId="{2CCA0E45-5328-2844-91E1-AD043D7E5E59}" destId="{477B1CAF-95FB-FD44-85F4-6E8A1DFBA620}" srcOrd="0" destOrd="0" parTransId="{62552E0A-EB58-CB41-95D1-2AA6B91CB663}" sibTransId="{7692A578-A4C6-4043-8CE8-D05C45EF7AA9}"/>
    <dgm:cxn modelId="{B07D81D6-4E4E-4EC6-B61A-EBAD41D3EC39}" type="presOf" srcId="{8C7AF617-9E03-3F4C-89A9-01C1AC52F54B}" destId="{2770567A-D065-EC4E-BDA4-657E6282776D}" srcOrd="0" destOrd="0" presId="urn:microsoft.com/office/officeart/2005/8/layout/hierarchy1"/>
    <dgm:cxn modelId="{AD2730E4-3147-2840-88A3-692EC0CBCAB4}" srcId="{2CCA0E45-5328-2844-91E1-AD043D7E5E59}" destId="{564257CD-0D12-ED4A-A826-D4BF4D25D0C8}" srcOrd="2" destOrd="0" parTransId="{8C7AF617-9E03-3F4C-89A9-01C1AC52F54B}" sibTransId="{1A5CC940-BBE5-7A4D-A206-A5A52B094163}"/>
    <dgm:cxn modelId="{A404257A-F516-4E1D-8877-18704C950F78}" type="presOf" srcId="{06C0802A-2F2A-1F48-9720-70F913BA6B15}" destId="{B4C881F6-B064-B54B-8BE3-621CC77BF147}" srcOrd="0" destOrd="0" presId="urn:microsoft.com/office/officeart/2005/8/layout/hierarchy1"/>
    <dgm:cxn modelId="{7C6E0BC0-73F9-47EA-95A2-BB34AEC3D4FD}" type="presOf" srcId="{F5E8EF14-03A4-774B-AF59-1EF06242D27D}" destId="{18E2D81F-D102-1349-95FD-16C5274148D0}" srcOrd="0" destOrd="0" presId="urn:microsoft.com/office/officeart/2005/8/layout/hierarchy1"/>
    <dgm:cxn modelId="{FF54A0B8-F8FF-4E6B-A006-4744EF00E94E}" type="presOf" srcId="{2CCA0E45-5328-2844-91E1-AD043D7E5E59}" destId="{40D87CF9-1C20-3446-AF8F-277D6EF0893E}" srcOrd="0" destOrd="0" presId="urn:microsoft.com/office/officeart/2005/8/layout/hierarchy1"/>
    <dgm:cxn modelId="{4F30E47B-B2FA-734A-AD3F-015D309589C4}" srcId="{815342D2-9037-9E44-A52F-D6CE391A9084}" destId="{D35C096E-42B1-E04A-BDF8-AED0C8E5CE71}" srcOrd="0" destOrd="0" parTransId="{06C0802A-2F2A-1F48-9720-70F913BA6B15}" sibTransId="{DA0936D9-F539-B147-8DC7-2B7AD02156B3}"/>
    <dgm:cxn modelId="{070A0F9D-2F2F-4520-8678-AE3184E33D81}" type="presOf" srcId="{815342D2-9037-9E44-A52F-D6CE391A9084}" destId="{9A5F2289-F616-4D41-87BD-E469FC36FE94}" srcOrd="0" destOrd="0" presId="urn:microsoft.com/office/officeart/2005/8/layout/hierarchy1"/>
    <dgm:cxn modelId="{4D424D97-4311-6948-87CE-FE34E9646688}" srcId="{2CCA0E45-5328-2844-91E1-AD043D7E5E59}" destId="{815342D2-9037-9E44-A52F-D6CE391A9084}" srcOrd="1" destOrd="0" parTransId="{C78C2852-61E3-4B45-A09D-9A685219F4BF}" sibTransId="{073358B7-894C-D54B-A990-A4DC97ECF370}"/>
    <dgm:cxn modelId="{96F2C98D-0E5D-0343-B9A8-9F38E21BC1D1}" srcId="{F5E8EF14-03A4-774B-AF59-1EF06242D27D}" destId="{2CCA0E45-5328-2844-91E1-AD043D7E5E59}" srcOrd="0" destOrd="0" parTransId="{7034EC51-5D12-7042-91AE-B3ACBF1B5E47}" sibTransId="{034C337D-A13F-BC45-B641-00482C35AD9F}"/>
    <dgm:cxn modelId="{D8592D05-E20B-4252-9A0B-48FBD12CA2AD}" type="presOf" srcId="{1BE4F773-C088-1349-8153-A7C944352761}" destId="{8CC36815-1176-384B-9D0E-BFD9406815EE}" srcOrd="0" destOrd="0" presId="urn:microsoft.com/office/officeart/2005/8/layout/hierarchy1"/>
    <dgm:cxn modelId="{3412B45C-85CE-4336-88FC-355A8A55C462}" type="presOf" srcId="{D35C096E-42B1-E04A-BDF8-AED0C8E5CE71}" destId="{744515E5-1C6D-4F41-B02E-0DD73754C139}" srcOrd="0" destOrd="0" presId="urn:microsoft.com/office/officeart/2005/8/layout/hierarchy1"/>
    <dgm:cxn modelId="{24794DAA-EA3D-6042-9D29-F737EAECA65C}" srcId="{564257CD-0D12-ED4A-A826-D4BF4D25D0C8}" destId="{A4DC3F53-D8AA-9E41-ADE3-049DF29653D4}" srcOrd="0" destOrd="0" parTransId="{8D8C87D3-A192-3245-B762-71B4FEDB5A21}" sibTransId="{CF0FA01E-0BEB-6A40-B0F2-AB7B37085FE4}"/>
    <dgm:cxn modelId="{5E252A80-661B-438B-B556-4BC225403861}" type="presOf" srcId="{477B1CAF-95FB-FD44-85F4-6E8A1DFBA620}" destId="{ABF8EC42-C1E4-A443-8D3B-40CE92CD93BD}" srcOrd="0" destOrd="0" presId="urn:microsoft.com/office/officeart/2005/8/layout/hierarchy1"/>
    <dgm:cxn modelId="{BA307CBA-F01E-4CF5-9F9D-8E5529963F91}" type="presOf" srcId="{8D8C87D3-A192-3245-B762-71B4FEDB5A21}" destId="{08E2D480-9F94-234D-A9D3-FBB8940D1E0A}" srcOrd="0" destOrd="0" presId="urn:microsoft.com/office/officeart/2005/8/layout/hierarchy1"/>
    <dgm:cxn modelId="{AA2BEB39-3F17-3242-83B9-6F249256DDB6}" srcId="{477B1CAF-95FB-FD44-85F4-6E8A1DFBA620}" destId="{1BE4F773-C088-1349-8153-A7C944352761}" srcOrd="0" destOrd="0" parTransId="{B190FFFD-68C2-ED4E-8D2E-96D68D65FA03}" sibTransId="{BE2C8F62-7B26-234C-8B23-AC138B45E97A}"/>
    <dgm:cxn modelId="{5D6B5277-F84D-405D-A079-F078DE966A4E}" type="presOf" srcId="{564257CD-0D12-ED4A-A826-D4BF4D25D0C8}" destId="{2C481E8E-A554-B04B-9223-7948F9894505}" srcOrd="0" destOrd="0" presId="urn:microsoft.com/office/officeart/2005/8/layout/hierarchy1"/>
    <dgm:cxn modelId="{7F8EAA0A-D672-4246-838F-6C0CC3AFA8BF}" type="presOf" srcId="{62552E0A-EB58-CB41-95D1-2AA6B91CB663}" destId="{926CEBB9-6100-FF4E-A173-E5A4C991D273}" srcOrd="0" destOrd="0" presId="urn:microsoft.com/office/officeart/2005/8/layout/hierarchy1"/>
    <dgm:cxn modelId="{7BA765DA-37CE-42FC-A26F-47F3AFBC6505}" type="presParOf" srcId="{18E2D81F-D102-1349-95FD-16C5274148D0}" destId="{B80225A3-7C54-2248-80A6-0851726BB214}" srcOrd="0" destOrd="0" presId="urn:microsoft.com/office/officeart/2005/8/layout/hierarchy1"/>
    <dgm:cxn modelId="{301E8FDD-D9D7-4B31-B6CA-480E1B0803BC}" type="presParOf" srcId="{B80225A3-7C54-2248-80A6-0851726BB214}" destId="{A99D977A-56D8-A947-AFD2-E35F3EA5FE04}" srcOrd="0" destOrd="0" presId="urn:microsoft.com/office/officeart/2005/8/layout/hierarchy1"/>
    <dgm:cxn modelId="{2A2E5EDA-6E0A-469A-8FB2-46687F1BE493}" type="presParOf" srcId="{A99D977A-56D8-A947-AFD2-E35F3EA5FE04}" destId="{1A6C6F62-300A-0944-AFE1-1B9426A9EC15}" srcOrd="0" destOrd="0" presId="urn:microsoft.com/office/officeart/2005/8/layout/hierarchy1"/>
    <dgm:cxn modelId="{081C1DF8-F15E-40CC-94DE-DF733DBB6459}" type="presParOf" srcId="{A99D977A-56D8-A947-AFD2-E35F3EA5FE04}" destId="{40D87CF9-1C20-3446-AF8F-277D6EF0893E}" srcOrd="1" destOrd="0" presId="urn:microsoft.com/office/officeart/2005/8/layout/hierarchy1"/>
    <dgm:cxn modelId="{FCCD770F-9EEC-40A4-A205-3C682C0B1EE2}" type="presParOf" srcId="{B80225A3-7C54-2248-80A6-0851726BB214}" destId="{DC86BB26-602C-3D4D-8AC0-4EFA42B8E380}" srcOrd="1" destOrd="0" presId="urn:microsoft.com/office/officeart/2005/8/layout/hierarchy1"/>
    <dgm:cxn modelId="{E24B976D-41AF-490C-AC55-5F3D6E84821E}" type="presParOf" srcId="{DC86BB26-602C-3D4D-8AC0-4EFA42B8E380}" destId="{926CEBB9-6100-FF4E-A173-E5A4C991D273}" srcOrd="0" destOrd="0" presId="urn:microsoft.com/office/officeart/2005/8/layout/hierarchy1"/>
    <dgm:cxn modelId="{6C2ECDFD-F855-4FFD-A459-E464E5417DC4}" type="presParOf" srcId="{DC86BB26-602C-3D4D-8AC0-4EFA42B8E380}" destId="{3DB5A194-839E-E646-B2BB-203AE63010AA}" srcOrd="1" destOrd="0" presId="urn:microsoft.com/office/officeart/2005/8/layout/hierarchy1"/>
    <dgm:cxn modelId="{E70B7675-2EFB-4E9D-B572-3AF9E028A72F}" type="presParOf" srcId="{3DB5A194-839E-E646-B2BB-203AE63010AA}" destId="{397436EA-618C-7540-88C8-85C9679A890C}" srcOrd="0" destOrd="0" presId="urn:microsoft.com/office/officeart/2005/8/layout/hierarchy1"/>
    <dgm:cxn modelId="{02C0ACDB-1C4C-4C87-9F60-2487988923C7}" type="presParOf" srcId="{397436EA-618C-7540-88C8-85C9679A890C}" destId="{B9B0F8A6-203B-7747-9971-F1624CFD1CFB}" srcOrd="0" destOrd="0" presId="urn:microsoft.com/office/officeart/2005/8/layout/hierarchy1"/>
    <dgm:cxn modelId="{C1FC3A39-7425-43F8-B59D-9AE24267E68C}" type="presParOf" srcId="{397436EA-618C-7540-88C8-85C9679A890C}" destId="{ABF8EC42-C1E4-A443-8D3B-40CE92CD93BD}" srcOrd="1" destOrd="0" presId="urn:microsoft.com/office/officeart/2005/8/layout/hierarchy1"/>
    <dgm:cxn modelId="{DD1F60BB-DF45-41C4-B7F6-6B703C8A8C0B}" type="presParOf" srcId="{3DB5A194-839E-E646-B2BB-203AE63010AA}" destId="{A2600D16-E8C0-8147-B4A0-50B2741FD32E}" srcOrd="1" destOrd="0" presId="urn:microsoft.com/office/officeart/2005/8/layout/hierarchy1"/>
    <dgm:cxn modelId="{AD0DF460-2E92-4997-AE8D-E16EA5BFFA70}" type="presParOf" srcId="{A2600D16-E8C0-8147-B4A0-50B2741FD32E}" destId="{0A5D555D-6CF3-D941-A42B-98D9CB6AFCE7}" srcOrd="0" destOrd="0" presId="urn:microsoft.com/office/officeart/2005/8/layout/hierarchy1"/>
    <dgm:cxn modelId="{FF648E1D-0581-4822-93BE-A80D72A45295}" type="presParOf" srcId="{A2600D16-E8C0-8147-B4A0-50B2741FD32E}" destId="{C1DC4F9F-F122-8345-9D1F-C0B845E4E792}" srcOrd="1" destOrd="0" presId="urn:microsoft.com/office/officeart/2005/8/layout/hierarchy1"/>
    <dgm:cxn modelId="{DE47F9FA-079D-48E8-AD57-17A143FB6B6A}" type="presParOf" srcId="{C1DC4F9F-F122-8345-9D1F-C0B845E4E792}" destId="{A6D81139-904E-2347-BD7C-8CE233FF932A}" srcOrd="0" destOrd="0" presId="urn:microsoft.com/office/officeart/2005/8/layout/hierarchy1"/>
    <dgm:cxn modelId="{DB3D8221-1F4E-4E83-B3BC-542BCB8B50AA}" type="presParOf" srcId="{A6D81139-904E-2347-BD7C-8CE233FF932A}" destId="{95110E71-7C75-B040-BF8F-F7742DA9643A}" srcOrd="0" destOrd="0" presId="urn:microsoft.com/office/officeart/2005/8/layout/hierarchy1"/>
    <dgm:cxn modelId="{F215FB78-C6CB-40D0-BC14-FF9F0BC5D1FF}" type="presParOf" srcId="{A6D81139-904E-2347-BD7C-8CE233FF932A}" destId="{8CC36815-1176-384B-9D0E-BFD9406815EE}" srcOrd="1" destOrd="0" presId="urn:microsoft.com/office/officeart/2005/8/layout/hierarchy1"/>
    <dgm:cxn modelId="{D8770D5D-5A9A-4114-9DCC-073E1C47007A}" type="presParOf" srcId="{C1DC4F9F-F122-8345-9D1F-C0B845E4E792}" destId="{8237D303-235F-614F-8033-450962A17178}" srcOrd="1" destOrd="0" presId="urn:microsoft.com/office/officeart/2005/8/layout/hierarchy1"/>
    <dgm:cxn modelId="{69CD8DBB-983A-44CF-94E7-F2E729AC347D}" type="presParOf" srcId="{DC86BB26-602C-3D4D-8AC0-4EFA42B8E380}" destId="{6F184AD5-114C-F446-A246-D0565AB126FD}" srcOrd="2" destOrd="0" presId="urn:microsoft.com/office/officeart/2005/8/layout/hierarchy1"/>
    <dgm:cxn modelId="{5214B24E-DF8E-4225-A738-FFCBE52015CF}" type="presParOf" srcId="{DC86BB26-602C-3D4D-8AC0-4EFA42B8E380}" destId="{B8EC892F-990F-694A-A5C7-0D9D13CD2CD5}" srcOrd="3" destOrd="0" presId="urn:microsoft.com/office/officeart/2005/8/layout/hierarchy1"/>
    <dgm:cxn modelId="{5572538B-7140-44D7-A20F-75C294D71AD4}" type="presParOf" srcId="{B8EC892F-990F-694A-A5C7-0D9D13CD2CD5}" destId="{40C79072-67C7-3546-A3E6-E74607C573F1}" srcOrd="0" destOrd="0" presId="urn:microsoft.com/office/officeart/2005/8/layout/hierarchy1"/>
    <dgm:cxn modelId="{5FB92CC1-17F4-4C50-82BD-D4BDAD5E119A}" type="presParOf" srcId="{40C79072-67C7-3546-A3E6-E74607C573F1}" destId="{1EE27EBA-2506-104E-9A2D-5E459F8057F8}" srcOrd="0" destOrd="0" presId="urn:microsoft.com/office/officeart/2005/8/layout/hierarchy1"/>
    <dgm:cxn modelId="{7CC6CDA5-A6CC-4AC5-8F38-E44AFB3CFCAB}" type="presParOf" srcId="{40C79072-67C7-3546-A3E6-E74607C573F1}" destId="{9A5F2289-F616-4D41-87BD-E469FC36FE94}" srcOrd="1" destOrd="0" presId="urn:microsoft.com/office/officeart/2005/8/layout/hierarchy1"/>
    <dgm:cxn modelId="{F1FFB1FD-6457-4077-8EC6-7E4339A406E2}" type="presParOf" srcId="{B8EC892F-990F-694A-A5C7-0D9D13CD2CD5}" destId="{59D91C0C-FA27-3941-9934-F23DEACF742C}" srcOrd="1" destOrd="0" presId="urn:microsoft.com/office/officeart/2005/8/layout/hierarchy1"/>
    <dgm:cxn modelId="{2A535B3A-096E-4526-B460-CA15672A0EB8}" type="presParOf" srcId="{59D91C0C-FA27-3941-9934-F23DEACF742C}" destId="{B4C881F6-B064-B54B-8BE3-621CC77BF147}" srcOrd="0" destOrd="0" presId="urn:microsoft.com/office/officeart/2005/8/layout/hierarchy1"/>
    <dgm:cxn modelId="{C127DE80-4EB1-4F91-9833-F87B27CA9803}" type="presParOf" srcId="{59D91C0C-FA27-3941-9934-F23DEACF742C}" destId="{DBAB25B9-4104-754C-A75E-00FE826A84A0}" srcOrd="1" destOrd="0" presId="urn:microsoft.com/office/officeart/2005/8/layout/hierarchy1"/>
    <dgm:cxn modelId="{62819D6E-31B8-4698-9B2B-0500630D719F}" type="presParOf" srcId="{DBAB25B9-4104-754C-A75E-00FE826A84A0}" destId="{7EA5B4FE-780D-B24F-9BC3-93BE625704D9}" srcOrd="0" destOrd="0" presId="urn:microsoft.com/office/officeart/2005/8/layout/hierarchy1"/>
    <dgm:cxn modelId="{964AA70F-82CF-428D-824D-F08E3370856F}" type="presParOf" srcId="{7EA5B4FE-780D-B24F-9BC3-93BE625704D9}" destId="{65186360-00CB-8847-8B81-3FA5ED78CC73}" srcOrd="0" destOrd="0" presId="urn:microsoft.com/office/officeart/2005/8/layout/hierarchy1"/>
    <dgm:cxn modelId="{F50B9407-2ED5-46C4-89F1-B9D97EBE90FB}" type="presParOf" srcId="{7EA5B4FE-780D-B24F-9BC3-93BE625704D9}" destId="{744515E5-1C6D-4F41-B02E-0DD73754C139}" srcOrd="1" destOrd="0" presId="urn:microsoft.com/office/officeart/2005/8/layout/hierarchy1"/>
    <dgm:cxn modelId="{F33DDE5A-2AD2-4EF4-B1FE-C73E608005BE}" type="presParOf" srcId="{DBAB25B9-4104-754C-A75E-00FE826A84A0}" destId="{5DB13754-611F-3047-8E90-4FD5A29B161C}" srcOrd="1" destOrd="0" presId="urn:microsoft.com/office/officeart/2005/8/layout/hierarchy1"/>
    <dgm:cxn modelId="{E6606F6D-E7E3-48F3-9199-94BBBBB38997}" type="presParOf" srcId="{DC86BB26-602C-3D4D-8AC0-4EFA42B8E380}" destId="{2770567A-D065-EC4E-BDA4-657E6282776D}" srcOrd="4" destOrd="0" presId="urn:microsoft.com/office/officeart/2005/8/layout/hierarchy1"/>
    <dgm:cxn modelId="{D74078C0-3823-40CA-B5BD-9912F22976AE}" type="presParOf" srcId="{DC86BB26-602C-3D4D-8AC0-4EFA42B8E380}" destId="{A2B20E48-F338-A145-9AC3-843FFD98C893}" srcOrd="5" destOrd="0" presId="urn:microsoft.com/office/officeart/2005/8/layout/hierarchy1"/>
    <dgm:cxn modelId="{65EF7FCD-F2E6-4FA6-AFE2-F50D0E44E085}" type="presParOf" srcId="{A2B20E48-F338-A145-9AC3-843FFD98C893}" destId="{76D4C9A6-13F7-9540-8C01-E85A92ECCD7A}" srcOrd="0" destOrd="0" presId="urn:microsoft.com/office/officeart/2005/8/layout/hierarchy1"/>
    <dgm:cxn modelId="{DADA7B5D-F17C-41F6-9196-C61ACF26C126}" type="presParOf" srcId="{76D4C9A6-13F7-9540-8C01-E85A92ECCD7A}" destId="{A20898CF-991D-0C49-8D98-D09A0EC1A57F}" srcOrd="0" destOrd="0" presId="urn:microsoft.com/office/officeart/2005/8/layout/hierarchy1"/>
    <dgm:cxn modelId="{644A00F2-16AF-45D0-8AF5-E8F0C93FCDD9}" type="presParOf" srcId="{76D4C9A6-13F7-9540-8C01-E85A92ECCD7A}" destId="{2C481E8E-A554-B04B-9223-7948F9894505}" srcOrd="1" destOrd="0" presId="urn:microsoft.com/office/officeart/2005/8/layout/hierarchy1"/>
    <dgm:cxn modelId="{472E0859-8E3E-4895-877D-DEECB2BE8AED}" type="presParOf" srcId="{A2B20E48-F338-A145-9AC3-843FFD98C893}" destId="{4CAD8255-AD0A-5E40-8D47-55C941C864B9}" srcOrd="1" destOrd="0" presId="urn:microsoft.com/office/officeart/2005/8/layout/hierarchy1"/>
    <dgm:cxn modelId="{FDE39E76-2762-4BCE-8077-696368412D5C}" type="presParOf" srcId="{4CAD8255-AD0A-5E40-8D47-55C941C864B9}" destId="{08E2D480-9F94-234D-A9D3-FBB8940D1E0A}" srcOrd="0" destOrd="0" presId="urn:microsoft.com/office/officeart/2005/8/layout/hierarchy1"/>
    <dgm:cxn modelId="{88BC54B1-E4D3-46B9-8B0D-DB56E9199CEC}" type="presParOf" srcId="{4CAD8255-AD0A-5E40-8D47-55C941C864B9}" destId="{07FECF81-8674-DA47-9B80-9FCBBB0B67DA}" srcOrd="1" destOrd="0" presId="urn:microsoft.com/office/officeart/2005/8/layout/hierarchy1"/>
    <dgm:cxn modelId="{78ABB3AB-7A52-4569-81D6-828D4301A95E}" type="presParOf" srcId="{07FECF81-8674-DA47-9B80-9FCBBB0B67DA}" destId="{34883ED1-1EF8-954C-B078-E1B8819E920C}" srcOrd="0" destOrd="0" presId="urn:microsoft.com/office/officeart/2005/8/layout/hierarchy1"/>
    <dgm:cxn modelId="{306CF7AA-7BCD-4A79-96ED-7CE45554D4E4}" type="presParOf" srcId="{34883ED1-1EF8-954C-B078-E1B8819E920C}" destId="{0D89BB92-197A-6A4C-82D9-5EC583EB1DF4}" srcOrd="0" destOrd="0" presId="urn:microsoft.com/office/officeart/2005/8/layout/hierarchy1"/>
    <dgm:cxn modelId="{5C59203F-32AC-4096-9EE8-8A3CA7396D19}" type="presParOf" srcId="{34883ED1-1EF8-954C-B078-E1B8819E920C}" destId="{A7482F96-01D5-6245-BB8A-4C3737AEB2C4}" srcOrd="1" destOrd="0" presId="urn:microsoft.com/office/officeart/2005/8/layout/hierarchy1"/>
    <dgm:cxn modelId="{9E1093FE-0335-48ED-B3BF-737D4B0F7713}" type="presParOf" srcId="{07FECF81-8674-DA47-9B80-9FCBBB0B67DA}" destId="{A345A9C8-5E4B-D247-B9AF-B2448BF2D896}" srcOrd="1" destOrd="0" presId="urn:microsoft.com/office/officeart/2005/8/layout/hierarchy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5E8EF14-03A4-774B-AF59-1EF06242D27D}" type="doc">
      <dgm:prSet loTypeId="urn:microsoft.com/office/officeart/2005/8/layout/hierarchy1" loCatId="" qsTypeId="urn:microsoft.com/office/officeart/2005/8/quickstyle/simple4" qsCatId="simple" csTypeId="urn:microsoft.com/office/officeart/2005/8/colors/accent1_2" csCatId="accent1" phldr="1"/>
      <dgm:spPr/>
      <dgm:t>
        <a:bodyPr/>
        <a:lstStyle/>
        <a:p>
          <a:endParaRPr lang="nl-NL"/>
        </a:p>
      </dgm:t>
    </dgm:pt>
    <dgm:pt modelId="{2CCA0E45-5328-2844-91E1-AD043D7E5E59}">
      <dgm:prSet phldrT="[Tekst]"/>
      <dgm:spPr/>
      <dgm:t>
        <a:bodyPr/>
        <a:lstStyle/>
        <a:p>
          <a:r>
            <a:rPr lang="nl-NL"/>
            <a:t>Article 288 TFEU instruments -&gt; hierarchy of norms -&gt; </a:t>
          </a:r>
        </a:p>
      </dgm:t>
    </dgm:pt>
    <dgm:pt modelId="{7034EC51-5D12-7042-91AE-B3ACBF1B5E47}" type="parTrans" cxnId="{96F2C98D-0E5D-0343-B9A8-9F38E21BC1D1}">
      <dgm:prSet/>
      <dgm:spPr/>
      <dgm:t>
        <a:bodyPr/>
        <a:lstStyle/>
        <a:p>
          <a:endParaRPr lang="nl-NL"/>
        </a:p>
      </dgm:t>
    </dgm:pt>
    <dgm:pt modelId="{034C337D-A13F-BC45-B641-00482C35AD9F}" type="sibTrans" cxnId="{96F2C98D-0E5D-0343-B9A8-9F38E21BC1D1}">
      <dgm:prSet/>
      <dgm:spPr/>
      <dgm:t>
        <a:bodyPr/>
        <a:lstStyle/>
        <a:p>
          <a:endParaRPr lang="nl-NL"/>
        </a:p>
      </dgm:t>
    </dgm:pt>
    <dgm:pt modelId="{477B1CAF-95FB-FD44-85F4-6E8A1DFBA620}">
      <dgm:prSet phldrT="[Tekst]"/>
      <dgm:spPr/>
      <dgm:t>
        <a:bodyPr/>
        <a:lstStyle/>
        <a:p>
          <a:r>
            <a:rPr lang="nl-NL"/>
            <a:t>Legislative act (art. 289 TFEU)</a:t>
          </a:r>
        </a:p>
      </dgm:t>
    </dgm:pt>
    <dgm:pt modelId="{62552E0A-EB58-CB41-95D1-2AA6B91CB663}" type="parTrans" cxnId="{86C00644-0441-684E-9947-DD58A4F0AA8B}">
      <dgm:prSet/>
      <dgm:spPr/>
      <dgm:t>
        <a:bodyPr/>
        <a:lstStyle/>
        <a:p>
          <a:endParaRPr lang="nl-NL"/>
        </a:p>
      </dgm:t>
    </dgm:pt>
    <dgm:pt modelId="{7692A578-A4C6-4043-8CE8-D05C45EF7AA9}" type="sibTrans" cxnId="{86C00644-0441-684E-9947-DD58A4F0AA8B}">
      <dgm:prSet/>
      <dgm:spPr/>
      <dgm:t>
        <a:bodyPr/>
        <a:lstStyle/>
        <a:p>
          <a:endParaRPr lang="nl-NL"/>
        </a:p>
      </dgm:t>
    </dgm:pt>
    <dgm:pt modelId="{1BE4F773-C088-1349-8153-A7C944352761}">
      <dgm:prSet phldrT="[Tekst]"/>
      <dgm:spPr/>
      <dgm:t>
        <a:bodyPr/>
        <a:lstStyle/>
        <a:p>
          <a:r>
            <a:rPr lang="nl-NL"/>
            <a:t>Regulation, Directive, Decision (</a:t>
          </a:r>
          <a:r>
            <a:rPr lang="nl-NL" i="1"/>
            <a:t>EP, Council</a:t>
          </a:r>
          <a:r>
            <a:rPr lang="nl-NL"/>
            <a:t>)</a:t>
          </a:r>
        </a:p>
      </dgm:t>
    </dgm:pt>
    <dgm:pt modelId="{B190FFFD-68C2-ED4E-8D2E-96D68D65FA03}" type="parTrans" cxnId="{AA2BEB39-3F17-3242-83B9-6F249256DDB6}">
      <dgm:prSet/>
      <dgm:spPr/>
      <dgm:t>
        <a:bodyPr/>
        <a:lstStyle/>
        <a:p>
          <a:endParaRPr lang="nl-NL"/>
        </a:p>
      </dgm:t>
    </dgm:pt>
    <dgm:pt modelId="{BE2C8F62-7B26-234C-8B23-AC138B45E97A}" type="sibTrans" cxnId="{AA2BEB39-3F17-3242-83B9-6F249256DDB6}">
      <dgm:prSet/>
      <dgm:spPr/>
      <dgm:t>
        <a:bodyPr/>
        <a:lstStyle/>
        <a:p>
          <a:endParaRPr lang="nl-NL"/>
        </a:p>
      </dgm:t>
    </dgm:pt>
    <dgm:pt modelId="{815342D2-9037-9E44-A52F-D6CE391A9084}">
      <dgm:prSet phldrT="[Tekst]"/>
      <dgm:spPr/>
      <dgm:t>
        <a:bodyPr/>
        <a:lstStyle/>
        <a:p>
          <a:r>
            <a:rPr lang="nl-NL"/>
            <a:t>Delegated act (art. 290 TFEU)</a:t>
          </a:r>
        </a:p>
      </dgm:t>
    </dgm:pt>
    <dgm:pt modelId="{C78C2852-61E3-4B45-A09D-9A685219F4BF}" type="parTrans" cxnId="{4D424D97-4311-6948-87CE-FE34E9646688}">
      <dgm:prSet/>
      <dgm:spPr/>
      <dgm:t>
        <a:bodyPr/>
        <a:lstStyle/>
        <a:p>
          <a:endParaRPr lang="nl-NL"/>
        </a:p>
      </dgm:t>
    </dgm:pt>
    <dgm:pt modelId="{073358B7-894C-D54B-A990-A4DC97ECF370}" type="sibTrans" cxnId="{4D424D97-4311-6948-87CE-FE34E9646688}">
      <dgm:prSet/>
      <dgm:spPr/>
      <dgm:t>
        <a:bodyPr/>
        <a:lstStyle/>
        <a:p>
          <a:endParaRPr lang="nl-NL"/>
        </a:p>
      </dgm:t>
    </dgm:pt>
    <dgm:pt modelId="{A4DC3F53-D8AA-9E41-ADE3-049DF29653D4}">
      <dgm:prSet phldrT="[Tekst]"/>
      <dgm:spPr/>
      <dgm:t>
        <a:bodyPr/>
        <a:lstStyle/>
        <a:p>
          <a:r>
            <a:rPr lang="nl-NL"/>
            <a:t>Regulation, Directive, Decision (</a:t>
          </a:r>
          <a:r>
            <a:rPr lang="nl-NL" i="1"/>
            <a:t>Commission, Council by exception</a:t>
          </a:r>
          <a:r>
            <a:rPr lang="nl-NL"/>
            <a:t>)</a:t>
          </a:r>
        </a:p>
      </dgm:t>
    </dgm:pt>
    <dgm:pt modelId="{8D8C87D3-A192-3245-B762-71B4FEDB5A21}" type="parTrans" cxnId="{24794DAA-EA3D-6042-9D29-F737EAECA65C}">
      <dgm:prSet/>
      <dgm:spPr/>
      <dgm:t>
        <a:bodyPr/>
        <a:lstStyle/>
        <a:p>
          <a:endParaRPr lang="nl-NL"/>
        </a:p>
      </dgm:t>
    </dgm:pt>
    <dgm:pt modelId="{CF0FA01E-0BEB-6A40-B0F2-AB7B37085FE4}" type="sibTrans" cxnId="{24794DAA-EA3D-6042-9D29-F737EAECA65C}">
      <dgm:prSet/>
      <dgm:spPr/>
      <dgm:t>
        <a:bodyPr/>
        <a:lstStyle/>
        <a:p>
          <a:endParaRPr lang="nl-NL"/>
        </a:p>
      </dgm:t>
    </dgm:pt>
    <dgm:pt modelId="{564257CD-0D12-ED4A-A826-D4BF4D25D0C8}">
      <dgm:prSet phldrT="[Tekst]"/>
      <dgm:spPr/>
      <dgm:t>
        <a:bodyPr/>
        <a:lstStyle/>
        <a:p>
          <a:r>
            <a:rPr lang="nl-NL"/>
            <a:t>Implementing act (291 TFEU)</a:t>
          </a:r>
        </a:p>
      </dgm:t>
    </dgm:pt>
    <dgm:pt modelId="{8C7AF617-9E03-3F4C-89A9-01C1AC52F54B}" type="parTrans" cxnId="{AD2730E4-3147-2840-88A3-692EC0CBCAB4}">
      <dgm:prSet/>
      <dgm:spPr/>
      <dgm:t>
        <a:bodyPr/>
        <a:lstStyle/>
        <a:p>
          <a:endParaRPr lang="nl-NL"/>
        </a:p>
      </dgm:t>
    </dgm:pt>
    <dgm:pt modelId="{1A5CC940-BBE5-7A4D-A206-A5A52B094163}" type="sibTrans" cxnId="{AD2730E4-3147-2840-88A3-692EC0CBCAB4}">
      <dgm:prSet/>
      <dgm:spPr/>
      <dgm:t>
        <a:bodyPr/>
        <a:lstStyle/>
        <a:p>
          <a:endParaRPr lang="nl-NL"/>
        </a:p>
      </dgm:t>
    </dgm:pt>
    <dgm:pt modelId="{D35C096E-42B1-E04A-BDF8-AED0C8E5CE71}">
      <dgm:prSet phldrT="[Tekst]"/>
      <dgm:spPr/>
      <dgm:t>
        <a:bodyPr/>
        <a:lstStyle/>
        <a:p>
          <a:r>
            <a:rPr lang="nl-NL"/>
            <a:t>Regulation, Directive, Decision (</a:t>
          </a:r>
          <a:r>
            <a:rPr lang="nl-NL" i="1"/>
            <a:t>Commission</a:t>
          </a:r>
          <a:r>
            <a:rPr lang="nl-NL"/>
            <a:t>)</a:t>
          </a:r>
        </a:p>
      </dgm:t>
    </dgm:pt>
    <dgm:pt modelId="{06C0802A-2F2A-1F48-9720-70F913BA6B15}" type="parTrans" cxnId="{4F30E47B-B2FA-734A-AD3F-015D309589C4}">
      <dgm:prSet/>
      <dgm:spPr/>
      <dgm:t>
        <a:bodyPr/>
        <a:lstStyle/>
        <a:p>
          <a:endParaRPr lang="nl-NL"/>
        </a:p>
      </dgm:t>
    </dgm:pt>
    <dgm:pt modelId="{DA0936D9-F539-B147-8DC7-2B7AD02156B3}" type="sibTrans" cxnId="{4F30E47B-B2FA-734A-AD3F-015D309589C4}">
      <dgm:prSet/>
      <dgm:spPr/>
      <dgm:t>
        <a:bodyPr/>
        <a:lstStyle/>
        <a:p>
          <a:endParaRPr lang="nl-NL"/>
        </a:p>
      </dgm:t>
    </dgm:pt>
    <dgm:pt modelId="{3BDC614E-1367-804F-A9F8-6A7C03DB9DC3}">
      <dgm:prSet phldrT="[Tekst]"/>
      <dgm:spPr/>
      <dgm:t>
        <a:bodyPr/>
        <a:lstStyle/>
        <a:p>
          <a:r>
            <a:rPr lang="nl-NL" b="1" cap="none" spc="0">
              <a:ln w="1905"/>
              <a:gradFill>
                <a:gsLst>
                  <a:gs pos="0">
                    <a:schemeClr val="accent6">
                      <a:shade val="20000"/>
                      <a:satMod val="200000"/>
                    </a:schemeClr>
                  </a:gs>
                  <a:gs pos="78000">
                    <a:schemeClr val="accent6">
                      <a:tint val="90000"/>
                      <a:shade val="89000"/>
                      <a:satMod val="220000"/>
                    </a:schemeClr>
                  </a:gs>
                  <a:gs pos="100000">
                    <a:schemeClr val="accent6">
                      <a:tint val="12000"/>
                      <a:satMod val="255000"/>
                    </a:schemeClr>
                  </a:gs>
                </a:gsLst>
                <a:lin ang="5400000"/>
              </a:gradFill>
              <a:effectLst>
                <a:innerShdw blurRad="69850" dist="43180" dir="5400000">
                  <a:srgbClr val="000000">
                    <a:alpha val="65000"/>
                  </a:srgbClr>
                </a:innerShdw>
              </a:effectLst>
            </a:rPr>
            <a:t>but also: recommendations, guidelines, codes, etc. (</a:t>
          </a:r>
          <a:r>
            <a:rPr lang="nl-NL" b="1" i="1" cap="none" spc="0">
              <a:ln w="1905"/>
              <a:gradFill>
                <a:gsLst>
                  <a:gs pos="0">
                    <a:schemeClr val="accent6">
                      <a:shade val="20000"/>
                      <a:satMod val="200000"/>
                    </a:schemeClr>
                  </a:gs>
                  <a:gs pos="78000">
                    <a:schemeClr val="accent6">
                      <a:tint val="90000"/>
                      <a:shade val="89000"/>
                      <a:satMod val="220000"/>
                    </a:schemeClr>
                  </a:gs>
                  <a:gs pos="100000">
                    <a:schemeClr val="accent6">
                      <a:tint val="12000"/>
                      <a:satMod val="255000"/>
                    </a:schemeClr>
                  </a:gs>
                </a:gsLst>
                <a:lin ang="5400000"/>
              </a:gradFill>
              <a:effectLst>
                <a:innerShdw blurRad="69850" dist="43180" dir="5400000">
                  <a:srgbClr val="000000">
                    <a:alpha val="65000"/>
                  </a:srgbClr>
                </a:innerShdw>
              </a:effectLst>
            </a:rPr>
            <a:t>Commission, but also agencies and networks</a:t>
          </a:r>
          <a:r>
            <a:rPr lang="nl-NL" b="1" cap="none" spc="0">
              <a:ln w="1905"/>
              <a:gradFill>
                <a:gsLst>
                  <a:gs pos="0">
                    <a:schemeClr val="accent6">
                      <a:shade val="20000"/>
                      <a:satMod val="200000"/>
                    </a:schemeClr>
                  </a:gs>
                  <a:gs pos="78000">
                    <a:schemeClr val="accent6">
                      <a:tint val="90000"/>
                      <a:shade val="89000"/>
                      <a:satMod val="220000"/>
                    </a:schemeClr>
                  </a:gs>
                  <a:gs pos="100000">
                    <a:schemeClr val="accent6">
                      <a:tint val="12000"/>
                      <a:satMod val="255000"/>
                    </a:schemeClr>
                  </a:gs>
                </a:gsLst>
                <a:lin ang="5400000"/>
              </a:gradFill>
              <a:effectLst>
                <a:innerShdw blurRad="69850" dist="43180" dir="5400000">
                  <a:srgbClr val="000000">
                    <a:alpha val="65000"/>
                  </a:srgbClr>
                </a:innerShdw>
              </a:effectLst>
            </a:rPr>
            <a:t>) </a:t>
          </a:r>
        </a:p>
      </dgm:t>
    </dgm:pt>
    <dgm:pt modelId="{CFF1F1FC-1BA1-AC42-83DD-5C70B030ED2D}" type="parTrans" cxnId="{8A4A8350-4528-9040-8308-4D3D188AF3B8}">
      <dgm:prSet/>
      <dgm:spPr/>
      <dgm:t>
        <a:bodyPr/>
        <a:lstStyle/>
        <a:p>
          <a:endParaRPr lang="nl-NL"/>
        </a:p>
      </dgm:t>
    </dgm:pt>
    <dgm:pt modelId="{B3A15EB3-2B50-4543-B467-8D79864094D7}" type="sibTrans" cxnId="{8A4A8350-4528-9040-8308-4D3D188AF3B8}">
      <dgm:prSet/>
      <dgm:spPr/>
      <dgm:t>
        <a:bodyPr/>
        <a:lstStyle/>
        <a:p>
          <a:endParaRPr lang="nl-NL"/>
        </a:p>
      </dgm:t>
    </dgm:pt>
    <dgm:pt modelId="{18E2D81F-D102-1349-95FD-16C5274148D0}" type="pres">
      <dgm:prSet presAssocID="{F5E8EF14-03A4-774B-AF59-1EF06242D27D}" presName="hierChild1" presStyleCnt="0">
        <dgm:presLayoutVars>
          <dgm:chPref val="1"/>
          <dgm:dir/>
          <dgm:animOne val="branch"/>
          <dgm:animLvl val="lvl"/>
          <dgm:resizeHandles/>
        </dgm:presLayoutVars>
      </dgm:prSet>
      <dgm:spPr/>
      <dgm:t>
        <a:bodyPr/>
        <a:lstStyle/>
        <a:p>
          <a:endParaRPr lang="nl-NL"/>
        </a:p>
      </dgm:t>
    </dgm:pt>
    <dgm:pt modelId="{B80225A3-7C54-2248-80A6-0851726BB214}" type="pres">
      <dgm:prSet presAssocID="{2CCA0E45-5328-2844-91E1-AD043D7E5E59}" presName="hierRoot1" presStyleCnt="0"/>
      <dgm:spPr/>
    </dgm:pt>
    <dgm:pt modelId="{A99D977A-56D8-A947-AFD2-E35F3EA5FE04}" type="pres">
      <dgm:prSet presAssocID="{2CCA0E45-5328-2844-91E1-AD043D7E5E59}" presName="composite" presStyleCnt="0"/>
      <dgm:spPr/>
    </dgm:pt>
    <dgm:pt modelId="{1A6C6F62-300A-0944-AFE1-1B9426A9EC15}" type="pres">
      <dgm:prSet presAssocID="{2CCA0E45-5328-2844-91E1-AD043D7E5E59}" presName="background" presStyleLbl="node0" presStyleIdx="0" presStyleCnt="1"/>
      <dgm:spPr/>
    </dgm:pt>
    <dgm:pt modelId="{40D87CF9-1C20-3446-AF8F-277D6EF0893E}" type="pres">
      <dgm:prSet presAssocID="{2CCA0E45-5328-2844-91E1-AD043D7E5E59}" presName="text" presStyleLbl="fgAcc0" presStyleIdx="0" presStyleCnt="1">
        <dgm:presLayoutVars>
          <dgm:chPref val="3"/>
        </dgm:presLayoutVars>
      </dgm:prSet>
      <dgm:spPr/>
      <dgm:t>
        <a:bodyPr/>
        <a:lstStyle/>
        <a:p>
          <a:endParaRPr lang="nl-NL"/>
        </a:p>
      </dgm:t>
    </dgm:pt>
    <dgm:pt modelId="{DC86BB26-602C-3D4D-8AC0-4EFA42B8E380}" type="pres">
      <dgm:prSet presAssocID="{2CCA0E45-5328-2844-91E1-AD043D7E5E59}" presName="hierChild2" presStyleCnt="0"/>
      <dgm:spPr/>
    </dgm:pt>
    <dgm:pt modelId="{926CEBB9-6100-FF4E-A173-E5A4C991D273}" type="pres">
      <dgm:prSet presAssocID="{62552E0A-EB58-CB41-95D1-2AA6B91CB663}" presName="Name10" presStyleLbl="parChTrans1D2" presStyleIdx="0" presStyleCnt="3"/>
      <dgm:spPr/>
      <dgm:t>
        <a:bodyPr/>
        <a:lstStyle/>
        <a:p>
          <a:endParaRPr lang="nl-NL"/>
        </a:p>
      </dgm:t>
    </dgm:pt>
    <dgm:pt modelId="{3DB5A194-839E-E646-B2BB-203AE63010AA}" type="pres">
      <dgm:prSet presAssocID="{477B1CAF-95FB-FD44-85F4-6E8A1DFBA620}" presName="hierRoot2" presStyleCnt="0"/>
      <dgm:spPr/>
    </dgm:pt>
    <dgm:pt modelId="{397436EA-618C-7540-88C8-85C9679A890C}" type="pres">
      <dgm:prSet presAssocID="{477B1CAF-95FB-FD44-85F4-6E8A1DFBA620}" presName="composite2" presStyleCnt="0"/>
      <dgm:spPr/>
    </dgm:pt>
    <dgm:pt modelId="{B9B0F8A6-203B-7747-9971-F1624CFD1CFB}" type="pres">
      <dgm:prSet presAssocID="{477B1CAF-95FB-FD44-85F4-6E8A1DFBA620}" presName="background2" presStyleLbl="node2" presStyleIdx="0" presStyleCnt="3"/>
      <dgm:spPr/>
    </dgm:pt>
    <dgm:pt modelId="{ABF8EC42-C1E4-A443-8D3B-40CE92CD93BD}" type="pres">
      <dgm:prSet presAssocID="{477B1CAF-95FB-FD44-85F4-6E8A1DFBA620}" presName="text2" presStyleLbl="fgAcc2" presStyleIdx="0" presStyleCnt="3">
        <dgm:presLayoutVars>
          <dgm:chPref val="3"/>
        </dgm:presLayoutVars>
      </dgm:prSet>
      <dgm:spPr/>
      <dgm:t>
        <a:bodyPr/>
        <a:lstStyle/>
        <a:p>
          <a:endParaRPr lang="nl-NL"/>
        </a:p>
      </dgm:t>
    </dgm:pt>
    <dgm:pt modelId="{A2600D16-E8C0-8147-B4A0-50B2741FD32E}" type="pres">
      <dgm:prSet presAssocID="{477B1CAF-95FB-FD44-85F4-6E8A1DFBA620}" presName="hierChild3" presStyleCnt="0"/>
      <dgm:spPr/>
    </dgm:pt>
    <dgm:pt modelId="{0A5D555D-6CF3-D941-A42B-98D9CB6AFCE7}" type="pres">
      <dgm:prSet presAssocID="{B190FFFD-68C2-ED4E-8D2E-96D68D65FA03}" presName="Name17" presStyleLbl="parChTrans1D3" presStyleIdx="0" presStyleCnt="4"/>
      <dgm:spPr/>
      <dgm:t>
        <a:bodyPr/>
        <a:lstStyle/>
        <a:p>
          <a:endParaRPr lang="nl-NL"/>
        </a:p>
      </dgm:t>
    </dgm:pt>
    <dgm:pt modelId="{C1DC4F9F-F122-8345-9D1F-C0B845E4E792}" type="pres">
      <dgm:prSet presAssocID="{1BE4F773-C088-1349-8153-A7C944352761}" presName="hierRoot3" presStyleCnt="0"/>
      <dgm:spPr/>
    </dgm:pt>
    <dgm:pt modelId="{A6D81139-904E-2347-BD7C-8CE233FF932A}" type="pres">
      <dgm:prSet presAssocID="{1BE4F773-C088-1349-8153-A7C944352761}" presName="composite3" presStyleCnt="0"/>
      <dgm:spPr/>
    </dgm:pt>
    <dgm:pt modelId="{95110E71-7C75-B040-BF8F-F7742DA9643A}" type="pres">
      <dgm:prSet presAssocID="{1BE4F773-C088-1349-8153-A7C944352761}" presName="background3" presStyleLbl="node3" presStyleIdx="0" presStyleCnt="4"/>
      <dgm:spPr/>
    </dgm:pt>
    <dgm:pt modelId="{8CC36815-1176-384B-9D0E-BFD9406815EE}" type="pres">
      <dgm:prSet presAssocID="{1BE4F773-C088-1349-8153-A7C944352761}" presName="text3" presStyleLbl="fgAcc3" presStyleIdx="0" presStyleCnt="4">
        <dgm:presLayoutVars>
          <dgm:chPref val="3"/>
        </dgm:presLayoutVars>
      </dgm:prSet>
      <dgm:spPr/>
      <dgm:t>
        <a:bodyPr/>
        <a:lstStyle/>
        <a:p>
          <a:endParaRPr lang="nl-NL"/>
        </a:p>
      </dgm:t>
    </dgm:pt>
    <dgm:pt modelId="{8237D303-235F-614F-8033-450962A17178}" type="pres">
      <dgm:prSet presAssocID="{1BE4F773-C088-1349-8153-A7C944352761}" presName="hierChild4" presStyleCnt="0"/>
      <dgm:spPr/>
    </dgm:pt>
    <dgm:pt modelId="{6F184AD5-114C-F446-A246-D0565AB126FD}" type="pres">
      <dgm:prSet presAssocID="{C78C2852-61E3-4B45-A09D-9A685219F4BF}" presName="Name10" presStyleLbl="parChTrans1D2" presStyleIdx="1" presStyleCnt="3"/>
      <dgm:spPr/>
      <dgm:t>
        <a:bodyPr/>
        <a:lstStyle/>
        <a:p>
          <a:endParaRPr lang="nl-NL"/>
        </a:p>
      </dgm:t>
    </dgm:pt>
    <dgm:pt modelId="{B8EC892F-990F-694A-A5C7-0D9D13CD2CD5}" type="pres">
      <dgm:prSet presAssocID="{815342D2-9037-9E44-A52F-D6CE391A9084}" presName="hierRoot2" presStyleCnt="0"/>
      <dgm:spPr/>
    </dgm:pt>
    <dgm:pt modelId="{40C79072-67C7-3546-A3E6-E74607C573F1}" type="pres">
      <dgm:prSet presAssocID="{815342D2-9037-9E44-A52F-D6CE391A9084}" presName="composite2" presStyleCnt="0"/>
      <dgm:spPr/>
    </dgm:pt>
    <dgm:pt modelId="{1EE27EBA-2506-104E-9A2D-5E459F8057F8}" type="pres">
      <dgm:prSet presAssocID="{815342D2-9037-9E44-A52F-D6CE391A9084}" presName="background2" presStyleLbl="node2" presStyleIdx="1" presStyleCnt="3"/>
      <dgm:spPr/>
    </dgm:pt>
    <dgm:pt modelId="{9A5F2289-F616-4D41-87BD-E469FC36FE94}" type="pres">
      <dgm:prSet presAssocID="{815342D2-9037-9E44-A52F-D6CE391A9084}" presName="text2" presStyleLbl="fgAcc2" presStyleIdx="1" presStyleCnt="3">
        <dgm:presLayoutVars>
          <dgm:chPref val="3"/>
        </dgm:presLayoutVars>
      </dgm:prSet>
      <dgm:spPr/>
      <dgm:t>
        <a:bodyPr/>
        <a:lstStyle/>
        <a:p>
          <a:endParaRPr lang="nl-NL"/>
        </a:p>
      </dgm:t>
    </dgm:pt>
    <dgm:pt modelId="{59D91C0C-FA27-3941-9934-F23DEACF742C}" type="pres">
      <dgm:prSet presAssocID="{815342D2-9037-9E44-A52F-D6CE391A9084}" presName="hierChild3" presStyleCnt="0"/>
      <dgm:spPr/>
    </dgm:pt>
    <dgm:pt modelId="{B4C881F6-B064-B54B-8BE3-621CC77BF147}" type="pres">
      <dgm:prSet presAssocID="{06C0802A-2F2A-1F48-9720-70F913BA6B15}" presName="Name17" presStyleLbl="parChTrans1D3" presStyleIdx="1" presStyleCnt="4"/>
      <dgm:spPr/>
      <dgm:t>
        <a:bodyPr/>
        <a:lstStyle/>
        <a:p>
          <a:endParaRPr lang="nl-NL"/>
        </a:p>
      </dgm:t>
    </dgm:pt>
    <dgm:pt modelId="{DBAB25B9-4104-754C-A75E-00FE826A84A0}" type="pres">
      <dgm:prSet presAssocID="{D35C096E-42B1-E04A-BDF8-AED0C8E5CE71}" presName="hierRoot3" presStyleCnt="0"/>
      <dgm:spPr/>
    </dgm:pt>
    <dgm:pt modelId="{7EA5B4FE-780D-B24F-9BC3-93BE625704D9}" type="pres">
      <dgm:prSet presAssocID="{D35C096E-42B1-E04A-BDF8-AED0C8E5CE71}" presName="composite3" presStyleCnt="0"/>
      <dgm:spPr/>
    </dgm:pt>
    <dgm:pt modelId="{65186360-00CB-8847-8B81-3FA5ED78CC73}" type="pres">
      <dgm:prSet presAssocID="{D35C096E-42B1-E04A-BDF8-AED0C8E5CE71}" presName="background3" presStyleLbl="node3" presStyleIdx="1" presStyleCnt="4"/>
      <dgm:spPr/>
    </dgm:pt>
    <dgm:pt modelId="{744515E5-1C6D-4F41-B02E-0DD73754C139}" type="pres">
      <dgm:prSet presAssocID="{D35C096E-42B1-E04A-BDF8-AED0C8E5CE71}" presName="text3" presStyleLbl="fgAcc3" presStyleIdx="1" presStyleCnt="4">
        <dgm:presLayoutVars>
          <dgm:chPref val="3"/>
        </dgm:presLayoutVars>
      </dgm:prSet>
      <dgm:spPr/>
      <dgm:t>
        <a:bodyPr/>
        <a:lstStyle/>
        <a:p>
          <a:endParaRPr lang="nl-NL"/>
        </a:p>
      </dgm:t>
    </dgm:pt>
    <dgm:pt modelId="{5DB13754-611F-3047-8E90-4FD5A29B161C}" type="pres">
      <dgm:prSet presAssocID="{D35C096E-42B1-E04A-BDF8-AED0C8E5CE71}" presName="hierChild4" presStyleCnt="0"/>
      <dgm:spPr/>
    </dgm:pt>
    <dgm:pt modelId="{2770567A-D065-EC4E-BDA4-657E6282776D}" type="pres">
      <dgm:prSet presAssocID="{8C7AF617-9E03-3F4C-89A9-01C1AC52F54B}" presName="Name10" presStyleLbl="parChTrans1D2" presStyleIdx="2" presStyleCnt="3"/>
      <dgm:spPr/>
      <dgm:t>
        <a:bodyPr/>
        <a:lstStyle/>
        <a:p>
          <a:endParaRPr lang="nl-NL"/>
        </a:p>
      </dgm:t>
    </dgm:pt>
    <dgm:pt modelId="{A2B20E48-F338-A145-9AC3-843FFD98C893}" type="pres">
      <dgm:prSet presAssocID="{564257CD-0D12-ED4A-A826-D4BF4D25D0C8}" presName="hierRoot2" presStyleCnt="0"/>
      <dgm:spPr/>
    </dgm:pt>
    <dgm:pt modelId="{76D4C9A6-13F7-9540-8C01-E85A92ECCD7A}" type="pres">
      <dgm:prSet presAssocID="{564257CD-0D12-ED4A-A826-D4BF4D25D0C8}" presName="composite2" presStyleCnt="0"/>
      <dgm:spPr/>
    </dgm:pt>
    <dgm:pt modelId="{A20898CF-991D-0C49-8D98-D09A0EC1A57F}" type="pres">
      <dgm:prSet presAssocID="{564257CD-0D12-ED4A-A826-D4BF4D25D0C8}" presName="background2" presStyleLbl="node2" presStyleIdx="2" presStyleCnt="3"/>
      <dgm:spPr/>
    </dgm:pt>
    <dgm:pt modelId="{2C481E8E-A554-B04B-9223-7948F9894505}" type="pres">
      <dgm:prSet presAssocID="{564257CD-0D12-ED4A-A826-D4BF4D25D0C8}" presName="text2" presStyleLbl="fgAcc2" presStyleIdx="2" presStyleCnt="3">
        <dgm:presLayoutVars>
          <dgm:chPref val="3"/>
        </dgm:presLayoutVars>
      </dgm:prSet>
      <dgm:spPr/>
      <dgm:t>
        <a:bodyPr/>
        <a:lstStyle/>
        <a:p>
          <a:endParaRPr lang="nl-NL"/>
        </a:p>
      </dgm:t>
    </dgm:pt>
    <dgm:pt modelId="{4CAD8255-AD0A-5E40-8D47-55C941C864B9}" type="pres">
      <dgm:prSet presAssocID="{564257CD-0D12-ED4A-A826-D4BF4D25D0C8}" presName="hierChild3" presStyleCnt="0"/>
      <dgm:spPr/>
    </dgm:pt>
    <dgm:pt modelId="{08E2D480-9F94-234D-A9D3-FBB8940D1E0A}" type="pres">
      <dgm:prSet presAssocID="{8D8C87D3-A192-3245-B762-71B4FEDB5A21}" presName="Name17" presStyleLbl="parChTrans1D3" presStyleIdx="2" presStyleCnt="4"/>
      <dgm:spPr/>
      <dgm:t>
        <a:bodyPr/>
        <a:lstStyle/>
        <a:p>
          <a:endParaRPr lang="nl-NL"/>
        </a:p>
      </dgm:t>
    </dgm:pt>
    <dgm:pt modelId="{07FECF81-8674-DA47-9B80-9FCBBB0B67DA}" type="pres">
      <dgm:prSet presAssocID="{A4DC3F53-D8AA-9E41-ADE3-049DF29653D4}" presName="hierRoot3" presStyleCnt="0"/>
      <dgm:spPr/>
    </dgm:pt>
    <dgm:pt modelId="{34883ED1-1EF8-954C-B078-E1B8819E920C}" type="pres">
      <dgm:prSet presAssocID="{A4DC3F53-D8AA-9E41-ADE3-049DF29653D4}" presName="composite3" presStyleCnt="0"/>
      <dgm:spPr/>
    </dgm:pt>
    <dgm:pt modelId="{0D89BB92-197A-6A4C-82D9-5EC583EB1DF4}" type="pres">
      <dgm:prSet presAssocID="{A4DC3F53-D8AA-9E41-ADE3-049DF29653D4}" presName="background3" presStyleLbl="node3" presStyleIdx="2" presStyleCnt="4"/>
      <dgm:spPr/>
    </dgm:pt>
    <dgm:pt modelId="{A7482F96-01D5-6245-BB8A-4C3737AEB2C4}" type="pres">
      <dgm:prSet presAssocID="{A4DC3F53-D8AA-9E41-ADE3-049DF29653D4}" presName="text3" presStyleLbl="fgAcc3" presStyleIdx="2" presStyleCnt="4">
        <dgm:presLayoutVars>
          <dgm:chPref val="3"/>
        </dgm:presLayoutVars>
      </dgm:prSet>
      <dgm:spPr/>
      <dgm:t>
        <a:bodyPr/>
        <a:lstStyle/>
        <a:p>
          <a:endParaRPr lang="nl-NL"/>
        </a:p>
      </dgm:t>
    </dgm:pt>
    <dgm:pt modelId="{A345A9C8-5E4B-D247-B9AF-B2448BF2D896}" type="pres">
      <dgm:prSet presAssocID="{A4DC3F53-D8AA-9E41-ADE3-049DF29653D4}" presName="hierChild4" presStyleCnt="0"/>
      <dgm:spPr/>
    </dgm:pt>
    <dgm:pt modelId="{1390928D-6755-024A-AD4B-9DBB4A323747}" type="pres">
      <dgm:prSet presAssocID="{CFF1F1FC-1BA1-AC42-83DD-5C70B030ED2D}" presName="Name17" presStyleLbl="parChTrans1D3" presStyleIdx="3" presStyleCnt="4"/>
      <dgm:spPr/>
      <dgm:t>
        <a:bodyPr/>
        <a:lstStyle/>
        <a:p>
          <a:endParaRPr lang="nl-NL"/>
        </a:p>
      </dgm:t>
    </dgm:pt>
    <dgm:pt modelId="{5C43431C-22A2-3143-90F9-97D47A60261D}" type="pres">
      <dgm:prSet presAssocID="{3BDC614E-1367-804F-A9F8-6A7C03DB9DC3}" presName="hierRoot3" presStyleCnt="0"/>
      <dgm:spPr/>
    </dgm:pt>
    <dgm:pt modelId="{E4F07BC4-5A4B-444B-AAB6-F0EDB7E1F260}" type="pres">
      <dgm:prSet presAssocID="{3BDC614E-1367-804F-A9F8-6A7C03DB9DC3}" presName="composite3" presStyleCnt="0"/>
      <dgm:spPr/>
    </dgm:pt>
    <dgm:pt modelId="{38CE009E-B163-F143-B4E6-27744F16EC88}" type="pres">
      <dgm:prSet presAssocID="{3BDC614E-1367-804F-A9F8-6A7C03DB9DC3}" presName="background3" presStyleLbl="node3" presStyleIdx="3" presStyleCnt="4"/>
      <dgm:spPr/>
    </dgm:pt>
    <dgm:pt modelId="{425A7CA1-0D5B-5E41-847F-269A1845E18A}" type="pres">
      <dgm:prSet presAssocID="{3BDC614E-1367-804F-A9F8-6A7C03DB9DC3}" presName="text3" presStyleLbl="fgAcc3" presStyleIdx="3" presStyleCnt="4">
        <dgm:presLayoutVars>
          <dgm:chPref val="3"/>
        </dgm:presLayoutVars>
      </dgm:prSet>
      <dgm:spPr/>
      <dgm:t>
        <a:bodyPr/>
        <a:lstStyle/>
        <a:p>
          <a:endParaRPr lang="nl-NL"/>
        </a:p>
      </dgm:t>
    </dgm:pt>
    <dgm:pt modelId="{0DC2645E-C411-F34B-A08F-706F81A6DD62}" type="pres">
      <dgm:prSet presAssocID="{3BDC614E-1367-804F-A9F8-6A7C03DB9DC3}" presName="hierChild4" presStyleCnt="0"/>
      <dgm:spPr/>
    </dgm:pt>
  </dgm:ptLst>
  <dgm:cxnLst>
    <dgm:cxn modelId="{A23BAE1F-2838-421E-8672-E9D5C8C968E0}" type="presOf" srcId="{3BDC614E-1367-804F-A9F8-6A7C03DB9DC3}" destId="{425A7CA1-0D5B-5E41-847F-269A1845E18A}" srcOrd="0" destOrd="0" presId="urn:microsoft.com/office/officeart/2005/8/layout/hierarchy1"/>
    <dgm:cxn modelId="{C7173EC0-EF55-4D0E-850E-EE2396F4D409}" type="presOf" srcId="{477B1CAF-95FB-FD44-85F4-6E8A1DFBA620}" destId="{ABF8EC42-C1E4-A443-8D3B-40CE92CD93BD}" srcOrd="0" destOrd="0" presId="urn:microsoft.com/office/officeart/2005/8/layout/hierarchy1"/>
    <dgm:cxn modelId="{8A4A8350-4528-9040-8308-4D3D188AF3B8}" srcId="{564257CD-0D12-ED4A-A826-D4BF4D25D0C8}" destId="{3BDC614E-1367-804F-A9F8-6A7C03DB9DC3}" srcOrd="1" destOrd="0" parTransId="{CFF1F1FC-1BA1-AC42-83DD-5C70B030ED2D}" sibTransId="{B3A15EB3-2B50-4543-B467-8D79864094D7}"/>
    <dgm:cxn modelId="{24794DAA-EA3D-6042-9D29-F737EAECA65C}" srcId="{564257CD-0D12-ED4A-A826-D4BF4D25D0C8}" destId="{A4DC3F53-D8AA-9E41-ADE3-049DF29653D4}" srcOrd="0" destOrd="0" parTransId="{8D8C87D3-A192-3245-B762-71B4FEDB5A21}" sibTransId="{CF0FA01E-0BEB-6A40-B0F2-AB7B37085FE4}"/>
    <dgm:cxn modelId="{CDC0B670-ECDB-4FD2-B29C-979C69D9FD76}" type="presOf" srcId="{B190FFFD-68C2-ED4E-8D2E-96D68D65FA03}" destId="{0A5D555D-6CF3-D941-A42B-98D9CB6AFCE7}" srcOrd="0" destOrd="0" presId="urn:microsoft.com/office/officeart/2005/8/layout/hierarchy1"/>
    <dgm:cxn modelId="{FAC77418-39E7-4519-99AA-E3AA45F3ED3A}" type="presOf" srcId="{C78C2852-61E3-4B45-A09D-9A685219F4BF}" destId="{6F184AD5-114C-F446-A246-D0565AB126FD}" srcOrd="0" destOrd="0" presId="urn:microsoft.com/office/officeart/2005/8/layout/hierarchy1"/>
    <dgm:cxn modelId="{A1FBD130-9489-40CE-84C5-94C6DEED916D}" type="presOf" srcId="{62552E0A-EB58-CB41-95D1-2AA6B91CB663}" destId="{926CEBB9-6100-FF4E-A173-E5A4C991D273}" srcOrd="0" destOrd="0" presId="urn:microsoft.com/office/officeart/2005/8/layout/hierarchy1"/>
    <dgm:cxn modelId="{4D424D97-4311-6948-87CE-FE34E9646688}" srcId="{2CCA0E45-5328-2844-91E1-AD043D7E5E59}" destId="{815342D2-9037-9E44-A52F-D6CE391A9084}" srcOrd="1" destOrd="0" parTransId="{C78C2852-61E3-4B45-A09D-9A685219F4BF}" sibTransId="{073358B7-894C-D54B-A990-A4DC97ECF370}"/>
    <dgm:cxn modelId="{96F2C98D-0E5D-0343-B9A8-9F38E21BC1D1}" srcId="{F5E8EF14-03A4-774B-AF59-1EF06242D27D}" destId="{2CCA0E45-5328-2844-91E1-AD043D7E5E59}" srcOrd="0" destOrd="0" parTransId="{7034EC51-5D12-7042-91AE-B3ACBF1B5E47}" sibTransId="{034C337D-A13F-BC45-B641-00482C35AD9F}"/>
    <dgm:cxn modelId="{070A6F65-5E4C-455D-88BC-25599B955B86}" type="presOf" srcId="{06C0802A-2F2A-1F48-9720-70F913BA6B15}" destId="{B4C881F6-B064-B54B-8BE3-621CC77BF147}" srcOrd="0" destOrd="0" presId="urn:microsoft.com/office/officeart/2005/8/layout/hierarchy1"/>
    <dgm:cxn modelId="{97760FBF-4F9E-43DF-AE20-842CEB5E07C9}" type="presOf" srcId="{815342D2-9037-9E44-A52F-D6CE391A9084}" destId="{9A5F2289-F616-4D41-87BD-E469FC36FE94}" srcOrd="0" destOrd="0" presId="urn:microsoft.com/office/officeart/2005/8/layout/hierarchy1"/>
    <dgm:cxn modelId="{F5DFDF16-AF0F-4D9A-9A4E-EFE17B7BA28D}" type="presOf" srcId="{A4DC3F53-D8AA-9E41-ADE3-049DF29653D4}" destId="{A7482F96-01D5-6245-BB8A-4C3737AEB2C4}" srcOrd="0" destOrd="0" presId="urn:microsoft.com/office/officeart/2005/8/layout/hierarchy1"/>
    <dgm:cxn modelId="{AA2BEB39-3F17-3242-83B9-6F249256DDB6}" srcId="{477B1CAF-95FB-FD44-85F4-6E8A1DFBA620}" destId="{1BE4F773-C088-1349-8153-A7C944352761}" srcOrd="0" destOrd="0" parTransId="{B190FFFD-68C2-ED4E-8D2E-96D68D65FA03}" sibTransId="{BE2C8F62-7B26-234C-8B23-AC138B45E97A}"/>
    <dgm:cxn modelId="{D33B572D-28C0-424D-ABFD-5325CFCAAD2A}" type="presOf" srcId="{8D8C87D3-A192-3245-B762-71B4FEDB5A21}" destId="{08E2D480-9F94-234D-A9D3-FBB8940D1E0A}" srcOrd="0" destOrd="0" presId="urn:microsoft.com/office/officeart/2005/8/layout/hierarchy1"/>
    <dgm:cxn modelId="{4F30E47B-B2FA-734A-AD3F-015D309589C4}" srcId="{815342D2-9037-9E44-A52F-D6CE391A9084}" destId="{D35C096E-42B1-E04A-BDF8-AED0C8E5CE71}" srcOrd="0" destOrd="0" parTransId="{06C0802A-2F2A-1F48-9720-70F913BA6B15}" sibTransId="{DA0936D9-F539-B147-8DC7-2B7AD02156B3}"/>
    <dgm:cxn modelId="{CAFFE8C8-47DC-4E15-ABCF-B17E929D3FC2}" type="presOf" srcId="{8C7AF617-9E03-3F4C-89A9-01C1AC52F54B}" destId="{2770567A-D065-EC4E-BDA4-657E6282776D}" srcOrd="0" destOrd="0" presId="urn:microsoft.com/office/officeart/2005/8/layout/hierarchy1"/>
    <dgm:cxn modelId="{1ACD19D0-B3F6-45DF-87AA-D215B345444D}" type="presOf" srcId="{D35C096E-42B1-E04A-BDF8-AED0C8E5CE71}" destId="{744515E5-1C6D-4F41-B02E-0DD73754C139}" srcOrd="0" destOrd="0" presId="urn:microsoft.com/office/officeart/2005/8/layout/hierarchy1"/>
    <dgm:cxn modelId="{14A9E379-C8E2-4D59-BD96-1792F2E5DFBF}" type="presOf" srcId="{F5E8EF14-03A4-774B-AF59-1EF06242D27D}" destId="{18E2D81F-D102-1349-95FD-16C5274148D0}" srcOrd="0" destOrd="0" presId="urn:microsoft.com/office/officeart/2005/8/layout/hierarchy1"/>
    <dgm:cxn modelId="{3DF8C061-A23A-443B-80F8-F21169EE6295}" type="presOf" srcId="{564257CD-0D12-ED4A-A826-D4BF4D25D0C8}" destId="{2C481E8E-A554-B04B-9223-7948F9894505}" srcOrd="0" destOrd="0" presId="urn:microsoft.com/office/officeart/2005/8/layout/hierarchy1"/>
    <dgm:cxn modelId="{D4E31243-FD6B-445D-93B1-39D43D7F61CC}" type="presOf" srcId="{CFF1F1FC-1BA1-AC42-83DD-5C70B030ED2D}" destId="{1390928D-6755-024A-AD4B-9DBB4A323747}" srcOrd="0" destOrd="0" presId="urn:microsoft.com/office/officeart/2005/8/layout/hierarchy1"/>
    <dgm:cxn modelId="{86C00644-0441-684E-9947-DD58A4F0AA8B}" srcId="{2CCA0E45-5328-2844-91E1-AD043D7E5E59}" destId="{477B1CAF-95FB-FD44-85F4-6E8A1DFBA620}" srcOrd="0" destOrd="0" parTransId="{62552E0A-EB58-CB41-95D1-2AA6B91CB663}" sibTransId="{7692A578-A4C6-4043-8CE8-D05C45EF7AA9}"/>
    <dgm:cxn modelId="{1A7A391C-A53B-4C1F-BE05-23BAA056E279}" type="presOf" srcId="{1BE4F773-C088-1349-8153-A7C944352761}" destId="{8CC36815-1176-384B-9D0E-BFD9406815EE}" srcOrd="0" destOrd="0" presId="urn:microsoft.com/office/officeart/2005/8/layout/hierarchy1"/>
    <dgm:cxn modelId="{13E240FD-ED13-4276-BF98-EB20E06965BF}" type="presOf" srcId="{2CCA0E45-5328-2844-91E1-AD043D7E5E59}" destId="{40D87CF9-1C20-3446-AF8F-277D6EF0893E}" srcOrd="0" destOrd="0" presId="urn:microsoft.com/office/officeart/2005/8/layout/hierarchy1"/>
    <dgm:cxn modelId="{AD2730E4-3147-2840-88A3-692EC0CBCAB4}" srcId="{2CCA0E45-5328-2844-91E1-AD043D7E5E59}" destId="{564257CD-0D12-ED4A-A826-D4BF4D25D0C8}" srcOrd="2" destOrd="0" parTransId="{8C7AF617-9E03-3F4C-89A9-01C1AC52F54B}" sibTransId="{1A5CC940-BBE5-7A4D-A206-A5A52B094163}"/>
    <dgm:cxn modelId="{FC2B491D-0047-4CC4-B5A7-D7C3A940B10E}" type="presParOf" srcId="{18E2D81F-D102-1349-95FD-16C5274148D0}" destId="{B80225A3-7C54-2248-80A6-0851726BB214}" srcOrd="0" destOrd="0" presId="urn:microsoft.com/office/officeart/2005/8/layout/hierarchy1"/>
    <dgm:cxn modelId="{2793957B-C990-403D-AB82-F1D52932D6AC}" type="presParOf" srcId="{B80225A3-7C54-2248-80A6-0851726BB214}" destId="{A99D977A-56D8-A947-AFD2-E35F3EA5FE04}" srcOrd="0" destOrd="0" presId="urn:microsoft.com/office/officeart/2005/8/layout/hierarchy1"/>
    <dgm:cxn modelId="{D9D5D976-33AB-41EF-B777-D916966132F8}" type="presParOf" srcId="{A99D977A-56D8-A947-AFD2-E35F3EA5FE04}" destId="{1A6C6F62-300A-0944-AFE1-1B9426A9EC15}" srcOrd="0" destOrd="0" presId="urn:microsoft.com/office/officeart/2005/8/layout/hierarchy1"/>
    <dgm:cxn modelId="{B6BCFE41-BC37-4603-A228-822B8DBD7C0C}" type="presParOf" srcId="{A99D977A-56D8-A947-AFD2-E35F3EA5FE04}" destId="{40D87CF9-1C20-3446-AF8F-277D6EF0893E}" srcOrd="1" destOrd="0" presId="urn:microsoft.com/office/officeart/2005/8/layout/hierarchy1"/>
    <dgm:cxn modelId="{35213341-245D-4BE5-A798-8E2F674F156C}" type="presParOf" srcId="{B80225A3-7C54-2248-80A6-0851726BB214}" destId="{DC86BB26-602C-3D4D-8AC0-4EFA42B8E380}" srcOrd="1" destOrd="0" presId="urn:microsoft.com/office/officeart/2005/8/layout/hierarchy1"/>
    <dgm:cxn modelId="{CF197EB9-A263-41CD-982B-7F69FC737484}" type="presParOf" srcId="{DC86BB26-602C-3D4D-8AC0-4EFA42B8E380}" destId="{926CEBB9-6100-FF4E-A173-E5A4C991D273}" srcOrd="0" destOrd="0" presId="urn:microsoft.com/office/officeart/2005/8/layout/hierarchy1"/>
    <dgm:cxn modelId="{6A940A8F-CB2A-4C43-B502-1E54D63BC9F1}" type="presParOf" srcId="{DC86BB26-602C-3D4D-8AC0-4EFA42B8E380}" destId="{3DB5A194-839E-E646-B2BB-203AE63010AA}" srcOrd="1" destOrd="0" presId="urn:microsoft.com/office/officeart/2005/8/layout/hierarchy1"/>
    <dgm:cxn modelId="{4C48648B-6B1F-41F1-B0A6-BA3AE7366663}" type="presParOf" srcId="{3DB5A194-839E-E646-B2BB-203AE63010AA}" destId="{397436EA-618C-7540-88C8-85C9679A890C}" srcOrd="0" destOrd="0" presId="urn:microsoft.com/office/officeart/2005/8/layout/hierarchy1"/>
    <dgm:cxn modelId="{3D623393-1881-460E-9B21-4BD2EB724DBE}" type="presParOf" srcId="{397436EA-618C-7540-88C8-85C9679A890C}" destId="{B9B0F8A6-203B-7747-9971-F1624CFD1CFB}" srcOrd="0" destOrd="0" presId="urn:microsoft.com/office/officeart/2005/8/layout/hierarchy1"/>
    <dgm:cxn modelId="{F991683C-C3E0-41DA-9272-8914F50F2D99}" type="presParOf" srcId="{397436EA-618C-7540-88C8-85C9679A890C}" destId="{ABF8EC42-C1E4-A443-8D3B-40CE92CD93BD}" srcOrd="1" destOrd="0" presId="urn:microsoft.com/office/officeart/2005/8/layout/hierarchy1"/>
    <dgm:cxn modelId="{C5A64473-85FE-4730-B211-2A029BA45D2E}" type="presParOf" srcId="{3DB5A194-839E-E646-B2BB-203AE63010AA}" destId="{A2600D16-E8C0-8147-B4A0-50B2741FD32E}" srcOrd="1" destOrd="0" presId="urn:microsoft.com/office/officeart/2005/8/layout/hierarchy1"/>
    <dgm:cxn modelId="{40398861-40AB-4DBE-8746-27F2DFE099E3}" type="presParOf" srcId="{A2600D16-E8C0-8147-B4A0-50B2741FD32E}" destId="{0A5D555D-6CF3-D941-A42B-98D9CB6AFCE7}" srcOrd="0" destOrd="0" presId="urn:microsoft.com/office/officeart/2005/8/layout/hierarchy1"/>
    <dgm:cxn modelId="{6ABEC322-CEAE-4349-9F14-735D8DDD217E}" type="presParOf" srcId="{A2600D16-E8C0-8147-B4A0-50B2741FD32E}" destId="{C1DC4F9F-F122-8345-9D1F-C0B845E4E792}" srcOrd="1" destOrd="0" presId="urn:microsoft.com/office/officeart/2005/8/layout/hierarchy1"/>
    <dgm:cxn modelId="{5A953C81-509C-49D7-9311-9F8020373162}" type="presParOf" srcId="{C1DC4F9F-F122-8345-9D1F-C0B845E4E792}" destId="{A6D81139-904E-2347-BD7C-8CE233FF932A}" srcOrd="0" destOrd="0" presId="urn:microsoft.com/office/officeart/2005/8/layout/hierarchy1"/>
    <dgm:cxn modelId="{516C08AD-9584-499D-958E-1200775B4258}" type="presParOf" srcId="{A6D81139-904E-2347-BD7C-8CE233FF932A}" destId="{95110E71-7C75-B040-BF8F-F7742DA9643A}" srcOrd="0" destOrd="0" presId="urn:microsoft.com/office/officeart/2005/8/layout/hierarchy1"/>
    <dgm:cxn modelId="{994CB718-6751-47B8-A83A-E92DC30EECCF}" type="presParOf" srcId="{A6D81139-904E-2347-BD7C-8CE233FF932A}" destId="{8CC36815-1176-384B-9D0E-BFD9406815EE}" srcOrd="1" destOrd="0" presId="urn:microsoft.com/office/officeart/2005/8/layout/hierarchy1"/>
    <dgm:cxn modelId="{F55504C1-3CDD-4558-A5F7-1ACF987E2821}" type="presParOf" srcId="{C1DC4F9F-F122-8345-9D1F-C0B845E4E792}" destId="{8237D303-235F-614F-8033-450962A17178}" srcOrd="1" destOrd="0" presId="urn:microsoft.com/office/officeart/2005/8/layout/hierarchy1"/>
    <dgm:cxn modelId="{5B9F3C74-3DFA-48EF-99B6-9686492E2875}" type="presParOf" srcId="{DC86BB26-602C-3D4D-8AC0-4EFA42B8E380}" destId="{6F184AD5-114C-F446-A246-D0565AB126FD}" srcOrd="2" destOrd="0" presId="urn:microsoft.com/office/officeart/2005/8/layout/hierarchy1"/>
    <dgm:cxn modelId="{F37238C2-6383-44CC-8484-1275A03E3777}" type="presParOf" srcId="{DC86BB26-602C-3D4D-8AC0-4EFA42B8E380}" destId="{B8EC892F-990F-694A-A5C7-0D9D13CD2CD5}" srcOrd="3" destOrd="0" presId="urn:microsoft.com/office/officeart/2005/8/layout/hierarchy1"/>
    <dgm:cxn modelId="{F899200C-D97B-49AB-BEB2-D6E7AF6C1FFA}" type="presParOf" srcId="{B8EC892F-990F-694A-A5C7-0D9D13CD2CD5}" destId="{40C79072-67C7-3546-A3E6-E74607C573F1}" srcOrd="0" destOrd="0" presId="urn:microsoft.com/office/officeart/2005/8/layout/hierarchy1"/>
    <dgm:cxn modelId="{AD9B1603-14F1-4347-8462-E3F87CA743CF}" type="presParOf" srcId="{40C79072-67C7-3546-A3E6-E74607C573F1}" destId="{1EE27EBA-2506-104E-9A2D-5E459F8057F8}" srcOrd="0" destOrd="0" presId="urn:microsoft.com/office/officeart/2005/8/layout/hierarchy1"/>
    <dgm:cxn modelId="{D11E9FE2-1EFC-41EE-AD27-D67DE5D9C9F3}" type="presParOf" srcId="{40C79072-67C7-3546-A3E6-E74607C573F1}" destId="{9A5F2289-F616-4D41-87BD-E469FC36FE94}" srcOrd="1" destOrd="0" presId="urn:microsoft.com/office/officeart/2005/8/layout/hierarchy1"/>
    <dgm:cxn modelId="{BFBF7CD5-8F49-43BC-9114-A96045D65D6E}" type="presParOf" srcId="{B8EC892F-990F-694A-A5C7-0D9D13CD2CD5}" destId="{59D91C0C-FA27-3941-9934-F23DEACF742C}" srcOrd="1" destOrd="0" presId="urn:microsoft.com/office/officeart/2005/8/layout/hierarchy1"/>
    <dgm:cxn modelId="{8BFB30FD-3972-4D5C-9793-6005F2DFFB0D}" type="presParOf" srcId="{59D91C0C-FA27-3941-9934-F23DEACF742C}" destId="{B4C881F6-B064-B54B-8BE3-621CC77BF147}" srcOrd="0" destOrd="0" presId="urn:microsoft.com/office/officeart/2005/8/layout/hierarchy1"/>
    <dgm:cxn modelId="{AB8AD93D-E87F-4345-A89D-9F1E6856C81E}" type="presParOf" srcId="{59D91C0C-FA27-3941-9934-F23DEACF742C}" destId="{DBAB25B9-4104-754C-A75E-00FE826A84A0}" srcOrd="1" destOrd="0" presId="urn:microsoft.com/office/officeart/2005/8/layout/hierarchy1"/>
    <dgm:cxn modelId="{B888405A-2066-4816-888B-7AE7D255AD33}" type="presParOf" srcId="{DBAB25B9-4104-754C-A75E-00FE826A84A0}" destId="{7EA5B4FE-780D-B24F-9BC3-93BE625704D9}" srcOrd="0" destOrd="0" presId="urn:microsoft.com/office/officeart/2005/8/layout/hierarchy1"/>
    <dgm:cxn modelId="{E259E8CC-0A15-4C73-8454-2E98873B1184}" type="presParOf" srcId="{7EA5B4FE-780D-B24F-9BC3-93BE625704D9}" destId="{65186360-00CB-8847-8B81-3FA5ED78CC73}" srcOrd="0" destOrd="0" presId="urn:microsoft.com/office/officeart/2005/8/layout/hierarchy1"/>
    <dgm:cxn modelId="{2CFDD9AB-0893-4147-92FE-4863A7A40079}" type="presParOf" srcId="{7EA5B4FE-780D-B24F-9BC3-93BE625704D9}" destId="{744515E5-1C6D-4F41-B02E-0DD73754C139}" srcOrd="1" destOrd="0" presId="urn:microsoft.com/office/officeart/2005/8/layout/hierarchy1"/>
    <dgm:cxn modelId="{45542D81-F456-4ECE-9861-9711FEAD40D2}" type="presParOf" srcId="{DBAB25B9-4104-754C-A75E-00FE826A84A0}" destId="{5DB13754-611F-3047-8E90-4FD5A29B161C}" srcOrd="1" destOrd="0" presId="urn:microsoft.com/office/officeart/2005/8/layout/hierarchy1"/>
    <dgm:cxn modelId="{F5ABE6BB-472E-40DB-BBDB-7AA512736495}" type="presParOf" srcId="{DC86BB26-602C-3D4D-8AC0-4EFA42B8E380}" destId="{2770567A-D065-EC4E-BDA4-657E6282776D}" srcOrd="4" destOrd="0" presId="urn:microsoft.com/office/officeart/2005/8/layout/hierarchy1"/>
    <dgm:cxn modelId="{578EBF89-599E-400D-846D-BEA853D3E788}" type="presParOf" srcId="{DC86BB26-602C-3D4D-8AC0-4EFA42B8E380}" destId="{A2B20E48-F338-A145-9AC3-843FFD98C893}" srcOrd="5" destOrd="0" presId="urn:microsoft.com/office/officeart/2005/8/layout/hierarchy1"/>
    <dgm:cxn modelId="{852C20FD-CB97-42CE-8FEC-53A5D060CEB6}" type="presParOf" srcId="{A2B20E48-F338-A145-9AC3-843FFD98C893}" destId="{76D4C9A6-13F7-9540-8C01-E85A92ECCD7A}" srcOrd="0" destOrd="0" presId="urn:microsoft.com/office/officeart/2005/8/layout/hierarchy1"/>
    <dgm:cxn modelId="{AEDD125C-C00E-41FF-BF94-B690470EA893}" type="presParOf" srcId="{76D4C9A6-13F7-9540-8C01-E85A92ECCD7A}" destId="{A20898CF-991D-0C49-8D98-D09A0EC1A57F}" srcOrd="0" destOrd="0" presId="urn:microsoft.com/office/officeart/2005/8/layout/hierarchy1"/>
    <dgm:cxn modelId="{3D741C43-0092-4D4E-BB53-74BAD26CF232}" type="presParOf" srcId="{76D4C9A6-13F7-9540-8C01-E85A92ECCD7A}" destId="{2C481E8E-A554-B04B-9223-7948F9894505}" srcOrd="1" destOrd="0" presId="urn:microsoft.com/office/officeart/2005/8/layout/hierarchy1"/>
    <dgm:cxn modelId="{42E0FDC3-5B4B-435C-90CA-44199564FB7B}" type="presParOf" srcId="{A2B20E48-F338-A145-9AC3-843FFD98C893}" destId="{4CAD8255-AD0A-5E40-8D47-55C941C864B9}" srcOrd="1" destOrd="0" presId="urn:microsoft.com/office/officeart/2005/8/layout/hierarchy1"/>
    <dgm:cxn modelId="{BA9E7994-5139-4D42-B576-504D01FBC634}" type="presParOf" srcId="{4CAD8255-AD0A-5E40-8D47-55C941C864B9}" destId="{08E2D480-9F94-234D-A9D3-FBB8940D1E0A}" srcOrd="0" destOrd="0" presId="urn:microsoft.com/office/officeart/2005/8/layout/hierarchy1"/>
    <dgm:cxn modelId="{EACAFD43-09F9-422A-852B-BD16777F717E}" type="presParOf" srcId="{4CAD8255-AD0A-5E40-8D47-55C941C864B9}" destId="{07FECF81-8674-DA47-9B80-9FCBBB0B67DA}" srcOrd="1" destOrd="0" presId="urn:microsoft.com/office/officeart/2005/8/layout/hierarchy1"/>
    <dgm:cxn modelId="{238949F8-D5AC-4D46-A99C-39E2757B4025}" type="presParOf" srcId="{07FECF81-8674-DA47-9B80-9FCBBB0B67DA}" destId="{34883ED1-1EF8-954C-B078-E1B8819E920C}" srcOrd="0" destOrd="0" presId="urn:microsoft.com/office/officeart/2005/8/layout/hierarchy1"/>
    <dgm:cxn modelId="{3C113F1E-9380-443A-B349-5D9D7E34E9FC}" type="presParOf" srcId="{34883ED1-1EF8-954C-B078-E1B8819E920C}" destId="{0D89BB92-197A-6A4C-82D9-5EC583EB1DF4}" srcOrd="0" destOrd="0" presId="urn:microsoft.com/office/officeart/2005/8/layout/hierarchy1"/>
    <dgm:cxn modelId="{5FADE90D-B3E7-4099-AA78-FEE84FF352B6}" type="presParOf" srcId="{34883ED1-1EF8-954C-B078-E1B8819E920C}" destId="{A7482F96-01D5-6245-BB8A-4C3737AEB2C4}" srcOrd="1" destOrd="0" presId="urn:microsoft.com/office/officeart/2005/8/layout/hierarchy1"/>
    <dgm:cxn modelId="{F4EEEA91-87F7-473D-B2CD-104317CD933B}" type="presParOf" srcId="{07FECF81-8674-DA47-9B80-9FCBBB0B67DA}" destId="{A345A9C8-5E4B-D247-B9AF-B2448BF2D896}" srcOrd="1" destOrd="0" presId="urn:microsoft.com/office/officeart/2005/8/layout/hierarchy1"/>
    <dgm:cxn modelId="{7FAFB91C-2D12-4827-A534-A4BD0377F0E3}" type="presParOf" srcId="{4CAD8255-AD0A-5E40-8D47-55C941C864B9}" destId="{1390928D-6755-024A-AD4B-9DBB4A323747}" srcOrd="2" destOrd="0" presId="urn:microsoft.com/office/officeart/2005/8/layout/hierarchy1"/>
    <dgm:cxn modelId="{51F6626F-E11F-49F1-9A53-EC8D03F72CE7}" type="presParOf" srcId="{4CAD8255-AD0A-5E40-8D47-55C941C864B9}" destId="{5C43431C-22A2-3143-90F9-97D47A60261D}" srcOrd="3" destOrd="0" presId="urn:microsoft.com/office/officeart/2005/8/layout/hierarchy1"/>
    <dgm:cxn modelId="{1EAF0D30-D900-45B6-8183-1A8AF6DAB656}" type="presParOf" srcId="{5C43431C-22A2-3143-90F9-97D47A60261D}" destId="{E4F07BC4-5A4B-444B-AAB6-F0EDB7E1F260}" srcOrd="0" destOrd="0" presId="urn:microsoft.com/office/officeart/2005/8/layout/hierarchy1"/>
    <dgm:cxn modelId="{3526C841-2BBF-41E0-BEDA-0A0744966625}" type="presParOf" srcId="{E4F07BC4-5A4B-444B-AAB6-F0EDB7E1F260}" destId="{38CE009E-B163-F143-B4E6-27744F16EC88}" srcOrd="0" destOrd="0" presId="urn:microsoft.com/office/officeart/2005/8/layout/hierarchy1"/>
    <dgm:cxn modelId="{C2267510-7223-43EA-9F06-821902DEAE33}" type="presParOf" srcId="{E4F07BC4-5A4B-444B-AAB6-F0EDB7E1F260}" destId="{425A7CA1-0D5B-5E41-847F-269A1845E18A}" srcOrd="1" destOrd="0" presId="urn:microsoft.com/office/officeart/2005/8/layout/hierarchy1"/>
    <dgm:cxn modelId="{A1224B2E-367D-4013-85D3-76E769EA3AED}" type="presParOf" srcId="{5C43431C-22A2-3143-90F9-97D47A60261D}" destId="{0DC2645E-C411-F34B-A08F-706F81A6DD62}" srcOrd="1" destOrd="0" presId="urn:microsoft.com/office/officeart/2005/8/layout/hierarchy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E2D480-9F94-234D-A9D3-FBB8940D1E0A}">
      <dsp:nvSpPr>
        <dsp:cNvPr id="0" name=""/>
        <dsp:cNvSpPr/>
      </dsp:nvSpPr>
      <dsp:spPr>
        <a:xfrm>
          <a:off x="3973036" y="1851259"/>
          <a:ext cx="91440" cy="344888"/>
        </a:xfrm>
        <a:custGeom>
          <a:avLst/>
          <a:gdLst/>
          <a:ahLst/>
          <a:cxnLst/>
          <a:rect l="0" t="0" r="0" b="0"/>
          <a:pathLst>
            <a:path>
              <a:moveTo>
                <a:pt x="45720" y="0"/>
              </a:moveTo>
              <a:lnTo>
                <a:pt x="45720" y="344888"/>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770567A-D065-EC4E-BDA4-657E6282776D}">
      <dsp:nvSpPr>
        <dsp:cNvPr id="0" name=""/>
        <dsp:cNvSpPr/>
      </dsp:nvSpPr>
      <dsp:spPr>
        <a:xfrm>
          <a:off x="2569368" y="753348"/>
          <a:ext cx="1449387" cy="344888"/>
        </a:xfrm>
        <a:custGeom>
          <a:avLst/>
          <a:gdLst/>
          <a:ahLst/>
          <a:cxnLst/>
          <a:rect l="0" t="0" r="0" b="0"/>
          <a:pathLst>
            <a:path>
              <a:moveTo>
                <a:pt x="0" y="0"/>
              </a:moveTo>
              <a:lnTo>
                <a:pt x="0" y="235031"/>
              </a:lnTo>
              <a:lnTo>
                <a:pt x="1449387" y="235031"/>
              </a:lnTo>
              <a:lnTo>
                <a:pt x="1449387" y="344888"/>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4C881F6-B064-B54B-8BE3-621CC77BF147}">
      <dsp:nvSpPr>
        <dsp:cNvPr id="0" name=""/>
        <dsp:cNvSpPr/>
      </dsp:nvSpPr>
      <dsp:spPr>
        <a:xfrm>
          <a:off x="2523648" y="1851259"/>
          <a:ext cx="91440" cy="344888"/>
        </a:xfrm>
        <a:custGeom>
          <a:avLst/>
          <a:gdLst/>
          <a:ahLst/>
          <a:cxnLst/>
          <a:rect l="0" t="0" r="0" b="0"/>
          <a:pathLst>
            <a:path>
              <a:moveTo>
                <a:pt x="45720" y="0"/>
              </a:moveTo>
              <a:lnTo>
                <a:pt x="45720" y="344888"/>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F184AD5-114C-F446-A246-D0565AB126FD}">
      <dsp:nvSpPr>
        <dsp:cNvPr id="0" name=""/>
        <dsp:cNvSpPr/>
      </dsp:nvSpPr>
      <dsp:spPr>
        <a:xfrm>
          <a:off x="2523648" y="753348"/>
          <a:ext cx="91440" cy="344888"/>
        </a:xfrm>
        <a:custGeom>
          <a:avLst/>
          <a:gdLst/>
          <a:ahLst/>
          <a:cxnLst/>
          <a:rect l="0" t="0" r="0" b="0"/>
          <a:pathLst>
            <a:path>
              <a:moveTo>
                <a:pt x="45720" y="0"/>
              </a:moveTo>
              <a:lnTo>
                <a:pt x="45720" y="344888"/>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A5D555D-6CF3-D941-A42B-98D9CB6AFCE7}">
      <dsp:nvSpPr>
        <dsp:cNvPr id="0" name=""/>
        <dsp:cNvSpPr/>
      </dsp:nvSpPr>
      <dsp:spPr>
        <a:xfrm>
          <a:off x="1074261" y="1851259"/>
          <a:ext cx="91440" cy="344888"/>
        </a:xfrm>
        <a:custGeom>
          <a:avLst/>
          <a:gdLst/>
          <a:ahLst/>
          <a:cxnLst/>
          <a:rect l="0" t="0" r="0" b="0"/>
          <a:pathLst>
            <a:path>
              <a:moveTo>
                <a:pt x="45720" y="0"/>
              </a:moveTo>
              <a:lnTo>
                <a:pt x="45720" y="344888"/>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26CEBB9-6100-FF4E-A173-E5A4C991D273}">
      <dsp:nvSpPr>
        <dsp:cNvPr id="0" name=""/>
        <dsp:cNvSpPr/>
      </dsp:nvSpPr>
      <dsp:spPr>
        <a:xfrm>
          <a:off x="1119981" y="753348"/>
          <a:ext cx="1449387" cy="344888"/>
        </a:xfrm>
        <a:custGeom>
          <a:avLst/>
          <a:gdLst/>
          <a:ahLst/>
          <a:cxnLst/>
          <a:rect l="0" t="0" r="0" b="0"/>
          <a:pathLst>
            <a:path>
              <a:moveTo>
                <a:pt x="1449387" y="0"/>
              </a:moveTo>
              <a:lnTo>
                <a:pt x="1449387" y="235031"/>
              </a:lnTo>
              <a:lnTo>
                <a:pt x="0" y="235031"/>
              </a:lnTo>
              <a:lnTo>
                <a:pt x="0" y="344888"/>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A6C6F62-300A-0944-AFE1-1B9426A9EC15}">
      <dsp:nvSpPr>
        <dsp:cNvPr id="0" name=""/>
        <dsp:cNvSpPr/>
      </dsp:nvSpPr>
      <dsp:spPr>
        <a:xfrm>
          <a:off x="1976437" y="325"/>
          <a:ext cx="1185862" cy="753022"/>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0D87CF9-1C20-3446-AF8F-277D6EF0893E}">
      <dsp:nvSpPr>
        <dsp:cNvPr id="0" name=""/>
        <dsp:cNvSpPr/>
      </dsp:nvSpPr>
      <dsp:spPr>
        <a:xfrm>
          <a:off x="2108199" y="125499"/>
          <a:ext cx="1185862" cy="75302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t>Article 288 TFEU instruments -&gt; hierarchy of norms -&gt; </a:t>
          </a:r>
        </a:p>
      </dsp:txBody>
      <dsp:txXfrm>
        <a:off x="2130254" y="147554"/>
        <a:ext cx="1141752" cy="708912"/>
      </dsp:txXfrm>
    </dsp:sp>
    <dsp:sp modelId="{B9B0F8A6-203B-7747-9971-F1624CFD1CFB}">
      <dsp:nvSpPr>
        <dsp:cNvPr id="0" name=""/>
        <dsp:cNvSpPr/>
      </dsp:nvSpPr>
      <dsp:spPr>
        <a:xfrm>
          <a:off x="527049" y="1098236"/>
          <a:ext cx="1185862" cy="753022"/>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ABF8EC42-C1E4-A443-8D3B-40CE92CD93BD}">
      <dsp:nvSpPr>
        <dsp:cNvPr id="0" name=""/>
        <dsp:cNvSpPr/>
      </dsp:nvSpPr>
      <dsp:spPr>
        <a:xfrm>
          <a:off x="658812" y="1223410"/>
          <a:ext cx="1185862" cy="75302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t>Legislative act (art. 289 TFEU)</a:t>
          </a:r>
        </a:p>
      </dsp:txBody>
      <dsp:txXfrm>
        <a:off x="680867" y="1245465"/>
        <a:ext cx="1141752" cy="708912"/>
      </dsp:txXfrm>
    </dsp:sp>
    <dsp:sp modelId="{95110E71-7C75-B040-BF8F-F7742DA9643A}">
      <dsp:nvSpPr>
        <dsp:cNvPr id="0" name=""/>
        <dsp:cNvSpPr/>
      </dsp:nvSpPr>
      <dsp:spPr>
        <a:xfrm>
          <a:off x="527049" y="2196147"/>
          <a:ext cx="1185862" cy="753022"/>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8CC36815-1176-384B-9D0E-BFD9406815EE}">
      <dsp:nvSpPr>
        <dsp:cNvPr id="0" name=""/>
        <dsp:cNvSpPr/>
      </dsp:nvSpPr>
      <dsp:spPr>
        <a:xfrm>
          <a:off x="658812" y="2321321"/>
          <a:ext cx="1185862" cy="75302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t>Regulation, Directive, Decision</a:t>
          </a:r>
        </a:p>
      </dsp:txBody>
      <dsp:txXfrm>
        <a:off x="680867" y="2343376"/>
        <a:ext cx="1141752" cy="708912"/>
      </dsp:txXfrm>
    </dsp:sp>
    <dsp:sp modelId="{1EE27EBA-2506-104E-9A2D-5E459F8057F8}">
      <dsp:nvSpPr>
        <dsp:cNvPr id="0" name=""/>
        <dsp:cNvSpPr/>
      </dsp:nvSpPr>
      <dsp:spPr>
        <a:xfrm>
          <a:off x="1976437" y="1098236"/>
          <a:ext cx="1185862" cy="753022"/>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9A5F2289-F616-4D41-87BD-E469FC36FE94}">
      <dsp:nvSpPr>
        <dsp:cNvPr id="0" name=""/>
        <dsp:cNvSpPr/>
      </dsp:nvSpPr>
      <dsp:spPr>
        <a:xfrm>
          <a:off x="2108199" y="1223410"/>
          <a:ext cx="1185862" cy="75302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t>Delegated act (art. 290 TFEU)</a:t>
          </a:r>
        </a:p>
      </dsp:txBody>
      <dsp:txXfrm>
        <a:off x="2130254" y="1245465"/>
        <a:ext cx="1141752" cy="708912"/>
      </dsp:txXfrm>
    </dsp:sp>
    <dsp:sp modelId="{65186360-00CB-8847-8B81-3FA5ED78CC73}">
      <dsp:nvSpPr>
        <dsp:cNvPr id="0" name=""/>
        <dsp:cNvSpPr/>
      </dsp:nvSpPr>
      <dsp:spPr>
        <a:xfrm>
          <a:off x="1976437" y="2196147"/>
          <a:ext cx="1185862" cy="753022"/>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744515E5-1C6D-4F41-B02E-0DD73754C139}">
      <dsp:nvSpPr>
        <dsp:cNvPr id="0" name=""/>
        <dsp:cNvSpPr/>
      </dsp:nvSpPr>
      <dsp:spPr>
        <a:xfrm>
          <a:off x="2108199" y="2321321"/>
          <a:ext cx="1185862" cy="75302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t>Regulation, Directive, Decision</a:t>
          </a:r>
        </a:p>
      </dsp:txBody>
      <dsp:txXfrm>
        <a:off x="2130254" y="2343376"/>
        <a:ext cx="1141752" cy="708912"/>
      </dsp:txXfrm>
    </dsp:sp>
    <dsp:sp modelId="{A20898CF-991D-0C49-8D98-D09A0EC1A57F}">
      <dsp:nvSpPr>
        <dsp:cNvPr id="0" name=""/>
        <dsp:cNvSpPr/>
      </dsp:nvSpPr>
      <dsp:spPr>
        <a:xfrm>
          <a:off x="3425825" y="1098236"/>
          <a:ext cx="1185862" cy="753022"/>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2C481E8E-A554-B04B-9223-7948F9894505}">
      <dsp:nvSpPr>
        <dsp:cNvPr id="0" name=""/>
        <dsp:cNvSpPr/>
      </dsp:nvSpPr>
      <dsp:spPr>
        <a:xfrm>
          <a:off x="3557587" y="1223410"/>
          <a:ext cx="1185862" cy="75302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t>Implementing act (291 TFEU)</a:t>
          </a:r>
        </a:p>
      </dsp:txBody>
      <dsp:txXfrm>
        <a:off x="3579642" y="1245465"/>
        <a:ext cx="1141752" cy="708912"/>
      </dsp:txXfrm>
    </dsp:sp>
    <dsp:sp modelId="{0D89BB92-197A-6A4C-82D9-5EC583EB1DF4}">
      <dsp:nvSpPr>
        <dsp:cNvPr id="0" name=""/>
        <dsp:cNvSpPr/>
      </dsp:nvSpPr>
      <dsp:spPr>
        <a:xfrm>
          <a:off x="3425825" y="2196147"/>
          <a:ext cx="1185862" cy="753022"/>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A7482F96-01D5-6245-BB8A-4C3737AEB2C4}">
      <dsp:nvSpPr>
        <dsp:cNvPr id="0" name=""/>
        <dsp:cNvSpPr/>
      </dsp:nvSpPr>
      <dsp:spPr>
        <a:xfrm>
          <a:off x="3557587" y="2321321"/>
          <a:ext cx="1185862" cy="75302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t>Regulation, Directive, Decision</a:t>
          </a:r>
        </a:p>
      </dsp:txBody>
      <dsp:txXfrm>
        <a:off x="3579642" y="2343376"/>
        <a:ext cx="1141752" cy="70891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90928D-6755-024A-AD4B-9DBB4A323747}">
      <dsp:nvSpPr>
        <dsp:cNvPr id="0" name=""/>
        <dsp:cNvSpPr/>
      </dsp:nvSpPr>
      <dsp:spPr>
        <a:xfrm>
          <a:off x="3921478" y="1829186"/>
          <a:ext cx="673738" cy="320638"/>
        </a:xfrm>
        <a:custGeom>
          <a:avLst/>
          <a:gdLst/>
          <a:ahLst/>
          <a:cxnLst/>
          <a:rect l="0" t="0" r="0" b="0"/>
          <a:pathLst>
            <a:path>
              <a:moveTo>
                <a:pt x="0" y="0"/>
              </a:moveTo>
              <a:lnTo>
                <a:pt x="0" y="218505"/>
              </a:lnTo>
              <a:lnTo>
                <a:pt x="673738" y="218505"/>
              </a:lnTo>
              <a:lnTo>
                <a:pt x="673738" y="320638"/>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8E2D480-9F94-234D-A9D3-FBB8940D1E0A}">
      <dsp:nvSpPr>
        <dsp:cNvPr id="0" name=""/>
        <dsp:cNvSpPr/>
      </dsp:nvSpPr>
      <dsp:spPr>
        <a:xfrm>
          <a:off x="3247739" y="1829186"/>
          <a:ext cx="673738" cy="320638"/>
        </a:xfrm>
        <a:custGeom>
          <a:avLst/>
          <a:gdLst/>
          <a:ahLst/>
          <a:cxnLst/>
          <a:rect l="0" t="0" r="0" b="0"/>
          <a:pathLst>
            <a:path>
              <a:moveTo>
                <a:pt x="673738" y="0"/>
              </a:moveTo>
              <a:lnTo>
                <a:pt x="673738" y="218505"/>
              </a:lnTo>
              <a:lnTo>
                <a:pt x="0" y="218505"/>
              </a:lnTo>
              <a:lnTo>
                <a:pt x="0" y="320638"/>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770567A-D065-EC4E-BDA4-657E6282776D}">
      <dsp:nvSpPr>
        <dsp:cNvPr id="0" name=""/>
        <dsp:cNvSpPr/>
      </dsp:nvSpPr>
      <dsp:spPr>
        <a:xfrm>
          <a:off x="2237131" y="808472"/>
          <a:ext cx="1684346" cy="320638"/>
        </a:xfrm>
        <a:custGeom>
          <a:avLst/>
          <a:gdLst/>
          <a:ahLst/>
          <a:cxnLst/>
          <a:rect l="0" t="0" r="0" b="0"/>
          <a:pathLst>
            <a:path>
              <a:moveTo>
                <a:pt x="0" y="0"/>
              </a:moveTo>
              <a:lnTo>
                <a:pt x="0" y="218505"/>
              </a:lnTo>
              <a:lnTo>
                <a:pt x="1684346" y="218505"/>
              </a:lnTo>
              <a:lnTo>
                <a:pt x="1684346" y="320638"/>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4C881F6-B064-B54B-8BE3-621CC77BF147}">
      <dsp:nvSpPr>
        <dsp:cNvPr id="0" name=""/>
        <dsp:cNvSpPr/>
      </dsp:nvSpPr>
      <dsp:spPr>
        <a:xfrm>
          <a:off x="1854542" y="1829186"/>
          <a:ext cx="91440" cy="320638"/>
        </a:xfrm>
        <a:custGeom>
          <a:avLst/>
          <a:gdLst/>
          <a:ahLst/>
          <a:cxnLst/>
          <a:rect l="0" t="0" r="0" b="0"/>
          <a:pathLst>
            <a:path>
              <a:moveTo>
                <a:pt x="45720" y="0"/>
              </a:moveTo>
              <a:lnTo>
                <a:pt x="45720" y="320638"/>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F184AD5-114C-F446-A246-D0565AB126FD}">
      <dsp:nvSpPr>
        <dsp:cNvPr id="0" name=""/>
        <dsp:cNvSpPr/>
      </dsp:nvSpPr>
      <dsp:spPr>
        <a:xfrm>
          <a:off x="1900262" y="808472"/>
          <a:ext cx="336869" cy="320638"/>
        </a:xfrm>
        <a:custGeom>
          <a:avLst/>
          <a:gdLst/>
          <a:ahLst/>
          <a:cxnLst/>
          <a:rect l="0" t="0" r="0" b="0"/>
          <a:pathLst>
            <a:path>
              <a:moveTo>
                <a:pt x="336869" y="0"/>
              </a:moveTo>
              <a:lnTo>
                <a:pt x="336869" y="218505"/>
              </a:lnTo>
              <a:lnTo>
                <a:pt x="0" y="218505"/>
              </a:lnTo>
              <a:lnTo>
                <a:pt x="0" y="320638"/>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A5D555D-6CF3-D941-A42B-98D9CB6AFCE7}">
      <dsp:nvSpPr>
        <dsp:cNvPr id="0" name=""/>
        <dsp:cNvSpPr/>
      </dsp:nvSpPr>
      <dsp:spPr>
        <a:xfrm>
          <a:off x="507064" y="1829186"/>
          <a:ext cx="91440" cy="320638"/>
        </a:xfrm>
        <a:custGeom>
          <a:avLst/>
          <a:gdLst/>
          <a:ahLst/>
          <a:cxnLst/>
          <a:rect l="0" t="0" r="0" b="0"/>
          <a:pathLst>
            <a:path>
              <a:moveTo>
                <a:pt x="45720" y="0"/>
              </a:moveTo>
              <a:lnTo>
                <a:pt x="45720" y="320638"/>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26CEBB9-6100-FF4E-A173-E5A4C991D273}">
      <dsp:nvSpPr>
        <dsp:cNvPr id="0" name=""/>
        <dsp:cNvSpPr/>
      </dsp:nvSpPr>
      <dsp:spPr>
        <a:xfrm>
          <a:off x="552784" y="808472"/>
          <a:ext cx="1684346" cy="320638"/>
        </a:xfrm>
        <a:custGeom>
          <a:avLst/>
          <a:gdLst/>
          <a:ahLst/>
          <a:cxnLst/>
          <a:rect l="0" t="0" r="0" b="0"/>
          <a:pathLst>
            <a:path>
              <a:moveTo>
                <a:pt x="1684346" y="0"/>
              </a:moveTo>
              <a:lnTo>
                <a:pt x="1684346" y="218505"/>
              </a:lnTo>
              <a:lnTo>
                <a:pt x="0" y="218505"/>
              </a:lnTo>
              <a:lnTo>
                <a:pt x="0" y="320638"/>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A6C6F62-300A-0944-AFE1-1B9426A9EC15}">
      <dsp:nvSpPr>
        <dsp:cNvPr id="0" name=""/>
        <dsp:cNvSpPr/>
      </dsp:nvSpPr>
      <dsp:spPr>
        <a:xfrm>
          <a:off x="1685890" y="108396"/>
          <a:ext cx="1102481" cy="700075"/>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0D87CF9-1C20-3446-AF8F-277D6EF0893E}">
      <dsp:nvSpPr>
        <dsp:cNvPr id="0" name=""/>
        <dsp:cNvSpPr/>
      </dsp:nvSpPr>
      <dsp:spPr>
        <a:xfrm>
          <a:off x="1808388" y="224769"/>
          <a:ext cx="1102481" cy="70007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nl-NL" sz="700" kern="1200"/>
            <a:t>Article 288 TFEU instruments -&gt; hierarchy of norms -&gt; </a:t>
          </a:r>
        </a:p>
      </dsp:txBody>
      <dsp:txXfrm>
        <a:off x="1828892" y="245273"/>
        <a:ext cx="1061473" cy="659067"/>
      </dsp:txXfrm>
    </dsp:sp>
    <dsp:sp modelId="{B9B0F8A6-203B-7747-9971-F1624CFD1CFB}">
      <dsp:nvSpPr>
        <dsp:cNvPr id="0" name=""/>
        <dsp:cNvSpPr/>
      </dsp:nvSpPr>
      <dsp:spPr>
        <a:xfrm>
          <a:off x="1544" y="1129110"/>
          <a:ext cx="1102481" cy="700075"/>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ABF8EC42-C1E4-A443-8D3B-40CE92CD93BD}">
      <dsp:nvSpPr>
        <dsp:cNvPr id="0" name=""/>
        <dsp:cNvSpPr/>
      </dsp:nvSpPr>
      <dsp:spPr>
        <a:xfrm>
          <a:off x="124042" y="1245483"/>
          <a:ext cx="1102481" cy="70007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nl-NL" sz="700" kern="1200"/>
            <a:t>Legislative act (art. 289 TFEU)</a:t>
          </a:r>
        </a:p>
      </dsp:txBody>
      <dsp:txXfrm>
        <a:off x="144546" y="1265987"/>
        <a:ext cx="1061473" cy="659067"/>
      </dsp:txXfrm>
    </dsp:sp>
    <dsp:sp modelId="{95110E71-7C75-B040-BF8F-F7742DA9643A}">
      <dsp:nvSpPr>
        <dsp:cNvPr id="0" name=""/>
        <dsp:cNvSpPr/>
      </dsp:nvSpPr>
      <dsp:spPr>
        <a:xfrm>
          <a:off x="1544" y="2149824"/>
          <a:ext cx="1102481" cy="700075"/>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8CC36815-1176-384B-9D0E-BFD9406815EE}">
      <dsp:nvSpPr>
        <dsp:cNvPr id="0" name=""/>
        <dsp:cNvSpPr/>
      </dsp:nvSpPr>
      <dsp:spPr>
        <a:xfrm>
          <a:off x="124042" y="2266197"/>
          <a:ext cx="1102481" cy="70007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nl-NL" sz="700" kern="1200"/>
            <a:t>Regulation, Directive, Decision (</a:t>
          </a:r>
          <a:r>
            <a:rPr lang="nl-NL" sz="700" i="1" kern="1200"/>
            <a:t>EP, Council</a:t>
          </a:r>
          <a:r>
            <a:rPr lang="nl-NL" sz="700" kern="1200"/>
            <a:t>)</a:t>
          </a:r>
        </a:p>
      </dsp:txBody>
      <dsp:txXfrm>
        <a:off x="144546" y="2286701"/>
        <a:ext cx="1061473" cy="659067"/>
      </dsp:txXfrm>
    </dsp:sp>
    <dsp:sp modelId="{1EE27EBA-2506-104E-9A2D-5E459F8057F8}">
      <dsp:nvSpPr>
        <dsp:cNvPr id="0" name=""/>
        <dsp:cNvSpPr/>
      </dsp:nvSpPr>
      <dsp:spPr>
        <a:xfrm>
          <a:off x="1349021" y="1129110"/>
          <a:ext cx="1102481" cy="700075"/>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9A5F2289-F616-4D41-87BD-E469FC36FE94}">
      <dsp:nvSpPr>
        <dsp:cNvPr id="0" name=""/>
        <dsp:cNvSpPr/>
      </dsp:nvSpPr>
      <dsp:spPr>
        <a:xfrm>
          <a:off x="1471519" y="1245483"/>
          <a:ext cx="1102481" cy="70007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nl-NL" sz="700" kern="1200"/>
            <a:t>Delegated act (art. 290 TFEU)</a:t>
          </a:r>
        </a:p>
      </dsp:txBody>
      <dsp:txXfrm>
        <a:off x="1492023" y="1265987"/>
        <a:ext cx="1061473" cy="659067"/>
      </dsp:txXfrm>
    </dsp:sp>
    <dsp:sp modelId="{65186360-00CB-8847-8B81-3FA5ED78CC73}">
      <dsp:nvSpPr>
        <dsp:cNvPr id="0" name=""/>
        <dsp:cNvSpPr/>
      </dsp:nvSpPr>
      <dsp:spPr>
        <a:xfrm>
          <a:off x="1349021" y="2149824"/>
          <a:ext cx="1102481" cy="700075"/>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744515E5-1C6D-4F41-B02E-0DD73754C139}">
      <dsp:nvSpPr>
        <dsp:cNvPr id="0" name=""/>
        <dsp:cNvSpPr/>
      </dsp:nvSpPr>
      <dsp:spPr>
        <a:xfrm>
          <a:off x="1471519" y="2266197"/>
          <a:ext cx="1102481" cy="70007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nl-NL" sz="700" kern="1200"/>
            <a:t>Regulation, Directive, Decision (</a:t>
          </a:r>
          <a:r>
            <a:rPr lang="nl-NL" sz="700" i="1" kern="1200"/>
            <a:t>Commission</a:t>
          </a:r>
          <a:r>
            <a:rPr lang="nl-NL" sz="700" kern="1200"/>
            <a:t>)</a:t>
          </a:r>
        </a:p>
      </dsp:txBody>
      <dsp:txXfrm>
        <a:off x="1492023" y="2286701"/>
        <a:ext cx="1061473" cy="659067"/>
      </dsp:txXfrm>
    </dsp:sp>
    <dsp:sp modelId="{A20898CF-991D-0C49-8D98-D09A0EC1A57F}">
      <dsp:nvSpPr>
        <dsp:cNvPr id="0" name=""/>
        <dsp:cNvSpPr/>
      </dsp:nvSpPr>
      <dsp:spPr>
        <a:xfrm>
          <a:off x="3370237" y="1129110"/>
          <a:ext cx="1102481" cy="700075"/>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2C481E8E-A554-B04B-9223-7948F9894505}">
      <dsp:nvSpPr>
        <dsp:cNvPr id="0" name=""/>
        <dsp:cNvSpPr/>
      </dsp:nvSpPr>
      <dsp:spPr>
        <a:xfrm>
          <a:off x="3492735" y="1245483"/>
          <a:ext cx="1102481" cy="70007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nl-NL" sz="700" kern="1200"/>
            <a:t>Implementing act (291 TFEU)</a:t>
          </a:r>
        </a:p>
      </dsp:txBody>
      <dsp:txXfrm>
        <a:off x="3513239" y="1265987"/>
        <a:ext cx="1061473" cy="659067"/>
      </dsp:txXfrm>
    </dsp:sp>
    <dsp:sp modelId="{0D89BB92-197A-6A4C-82D9-5EC583EB1DF4}">
      <dsp:nvSpPr>
        <dsp:cNvPr id="0" name=""/>
        <dsp:cNvSpPr/>
      </dsp:nvSpPr>
      <dsp:spPr>
        <a:xfrm>
          <a:off x="2696498" y="2149824"/>
          <a:ext cx="1102481" cy="700075"/>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A7482F96-01D5-6245-BB8A-4C3737AEB2C4}">
      <dsp:nvSpPr>
        <dsp:cNvPr id="0" name=""/>
        <dsp:cNvSpPr/>
      </dsp:nvSpPr>
      <dsp:spPr>
        <a:xfrm>
          <a:off x="2818996" y="2266197"/>
          <a:ext cx="1102481" cy="70007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nl-NL" sz="700" kern="1200"/>
            <a:t>Regulation, Directive, Decision (</a:t>
          </a:r>
          <a:r>
            <a:rPr lang="nl-NL" sz="700" i="1" kern="1200"/>
            <a:t>Commission, Council by exception</a:t>
          </a:r>
          <a:r>
            <a:rPr lang="nl-NL" sz="700" kern="1200"/>
            <a:t>)</a:t>
          </a:r>
        </a:p>
      </dsp:txBody>
      <dsp:txXfrm>
        <a:off x="2839500" y="2286701"/>
        <a:ext cx="1061473" cy="659067"/>
      </dsp:txXfrm>
    </dsp:sp>
    <dsp:sp modelId="{38CE009E-B163-F143-B4E6-27744F16EC88}">
      <dsp:nvSpPr>
        <dsp:cNvPr id="0" name=""/>
        <dsp:cNvSpPr/>
      </dsp:nvSpPr>
      <dsp:spPr>
        <a:xfrm>
          <a:off x="4043976" y="2149824"/>
          <a:ext cx="1102481" cy="700075"/>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25A7CA1-0D5B-5E41-847F-269A1845E18A}">
      <dsp:nvSpPr>
        <dsp:cNvPr id="0" name=""/>
        <dsp:cNvSpPr/>
      </dsp:nvSpPr>
      <dsp:spPr>
        <a:xfrm>
          <a:off x="4166474" y="2266197"/>
          <a:ext cx="1102481" cy="70007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nl-NL" sz="700" b="1" kern="1200" cap="none" spc="0">
              <a:ln w="1905"/>
              <a:gradFill>
                <a:gsLst>
                  <a:gs pos="0">
                    <a:schemeClr val="accent6">
                      <a:shade val="20000"/>
                      <a:satMod val="200000"/>
                    </a:schemeClr>
                  </a:gs>
                  <a:gs pos="78000">
                    <a:schemeClr val="accent6">
                      <a:tint val="90000"/>
                      <a:shade val="89000"/>
                      <a:satMod val="220000"/>
                    </a:schemeClr>
                  </a:gs>
                  <a:gs pos="100000">
                    <a:schemeClr val="accent6">
                      <a:tint val="12000"/>
                      <a:satMod val="255000"/>
                    </a:schemeClr>
                  </a:gs>
                </a:gsLst>
                <a:lin ang="5400000"/>
              </a:gradFill>
              <a:effectLst>
                <a:innerShdw blurRad="69850" dist="43180" dir="5400000">
                  <a:srgbClr val="000000">
                    <a:alpha val="65000"/>
                  </a:srgbClr>
                </a:innerShdw>
              </a:effectLst>
            </a:rPr>
            <a:t>but also: recommendations, guidelines, codes, etc. (</a:t>
          </a:r>
          <a:r>
            <a:rPr lang="nl-NL" sz="700" b="1" i="1" kern="1200" cap="none" spc="0">
              <a:ln w="1905"/>
              <a:gradFill>
                <a:gsLst>
                  <a:gs pos="0">
                    <a:schemeClr val="accent6">
                      <a:shade val="20000"/>
                      <a:satMod val="200000"/>
                    </a:schemeClr>
                  </a:gs>
                  <a:gs pos="78000">
                    <a:schemeClr val="accent6">
                      <a:tint val="90000"/>
                      <a:shade val="89000"/>
                      <a:satMod val="220000"/>
                    </a:schemeClr>
                  </a:gs>
                  <a:gs pos="100000">
                    <a:schemeClr val="accent6">
                      <a:tint val="12000"/>
                      <a:satMod val="255000"/>
                    </a:schemeClr>
                  </a:gs>
                </a:gsLst>
                <a:lin ang="5400000"/>
              </a:gradFill>
              <a:effectLst>
                <a:innerShdw blurRad="69850" dist="43180" dir="5400000">
                  <a:srgbClr val="000000">
                    <a:alpha val="65000"/>
                  </a:srgbClr>
                </a:innerShdw>
              </a:effectLst>
            </a:rPr>
            <a:t>Commission, but also agencies and networks</a:t>
          </a:r>
          <a:r>
            <a:rPr lang="nl-NL" sz="700" b="1" kern="1200" cap="none" spc="0">
              <a:ln w="1905"/>
              <a:gradFill>
                <a:gsLst>
                  <a:gs pos="0">
                    <a:schemeClr val="accent6">
                      <a:shade val="20000"/>
                      <a:satMod val="200000"/>
                    </a:schemeClr>
                  </a:gs>
                  <a:gs pos="78000">
                    <a:schemeClr val="accent6">
                      <a:tint val="90000"/>
                      <a:shade val="89000"/>
                      <a:satMod val="220000"/>
                    </a:schemeClr>
                  </a:gs>
                  <a:gs pos="100000">
                    <a:schemeClr val="accent6">
                      <a:tint val="12000"/>
                      <a:satMod val="255000"/>
                    </a:schemeClr>
                  </a:gs>
                </a:gsLst>
                <a:lin ang="5400000"/>
              </a:gradFill>
              <a:effectLst>
                <a:innerShdw blurRad="69850" dist="43180" dir="5400000">
                  <a:srgbClr val="000000">
                    <a:alpha val="65000"/>
                  </a:srgbClr>
                </a:innerShdw>
              </a:effectLst>
            </a:rPr>
            <a:t>) </a:t>
          </a:r>
        </a:p>
      </dsp:txBody>
      <dsp:txXfrm>
        <a:off x="4186978" y="2286701"/>
        <a:ext cx="1061473" cy="65906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81602B1-F966-2043-8D20-3212EF4AD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8186</Words>
  <Characters>45023</Characters>
  <Application>Microsoft Macintosh Word</Application>
  <DocSecurity>0</DocSecurity>
  <Lines>375</Lines>
  <Paragraphs>106</Paragraphs>
  <ScaleCrop>false</ScaleCrop>
  <HeadingPairs>
    <vt:vector size="2" baseType="variant">
      <vt:variant>
        <vt:lpstr>Title</vt:lpstr>
      </vt:variant>
      <vt:variant>
        <vt:i4>1</vt:i4>
      </vt:variant>
    </vt:vector>
  </HeadingPairs>
  <TitlesOfParts>
    <vt:vector size="1" baseType="lpstr">
      <vt:lpstr/>
    </vt:vector>
  </TitlesOfParts>
  <Company>University College Dublin</Company>
  <LinksUpToDate>false</LinksUpToDate>
  <CharactersWithSpaces>53103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senden</dc:creator>
  <cp:lastModifiedBy>linda senden</cp:lastModifiedBy>
  <cp:revision>2</cp:revision>
  <dcterms:created xsi:type="dcterms:W3CDTF">2015-03-01T20:58:00Z</dcterms:created>
  <dcterms:modified xsi:type="dcterms:W3CDTF">2015-03-01T20:58:00Z</dcterms:modified>
</cp:coreProperties>
</file>