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6DACAE" w14:textId="77777777" w:rsidR="00BD1E16" w:rsidRPr="00C76C0F" w:rsidRDefault="00043735">
      <w:pPr>
        <w:pStyle w:val="normal0"/>
        <w:jc w:val="center"/>
        <w:rPr>
          <w:lang w:val="en-GB"/>
        </w:rPr>
      </w:pPr>
      <w:r w:rsidRPr="00C76C0F">
        <w:rPr>
          <w:rFonts w:ascii="Times New Roman" w:eastAsia="Times New Roman" w:hAnsi="Times New Roman" w:cs="Times New Roman"/>
          <w:b/>
          <w:color w:val="1F2326"/>
          <w:u w:val="single"/>
          <w:lang w:val="en-GB"/>
        </w:rPr>
        <w:t>The European Border and Coast Guard:</w:t>
      </w:r>
    </w:p>
    <w:p w14:paraId="1686775E" w14:textId="1A3C4A8D" w:rsidR="00BD1E16" w:rsidRPr="00C76C0F" w:rsidRDefault="00D70A29">
      <w:pPr>
        <w:pStyle w:val="normal0"/>
        <w:jc w:val="center"/>
        <w:rPr>
          <w:lang w:val="en-GB"/>
        </w:rPr>
      </w:pPr>
      <w:r>
        <w:rPr>
          <w:rFonts w:ascii="Times New Roman" w:eastAsia="Times New Roman" w:hAnsi="Times New Roman" w:cs="Times New Roman"/>
          <w:b/>
          <w:color w:val="1F2326"/>
          <w:u w:val="single"/>
          <w:lang w:val="en-GB"/>
        </w:rPr>
        <w:t>A new model built</w:t>
      </w:r>
      <w:r w:rsidR="00043735" w:rsidRPr="00C76C0F">
        <w:rPr>
          <w:rFonts w:ascii="Times New Roman" w:eastAsia="Times New Roman" w:hAnsi="Times New Roman" w:cs="Times New Roman"/>
          <w:b/>
          <w:color w:val="1F2326"/>
          <w:u w:val="single"/>
          <w:lang w:val="en-GB"/>
        </w:rPr>
        <w:t xml:space="preserve"> on an old logic</w:t>
      </w:r>
    </w:p>
    <w:p w14:paraId="3F9DFC3C" w14:textId="77777777" w:rsidR="00BD1E16" w:rsidRPr="00C76C0F" w:rsidRDefault="00BD1E16">
      <w:pPr>
        <w:pStyle w:val="normal0"/>
        <w:jc w:val="both"/>
        <w:rPr>
          <w:lang w:val="en-GB"/>
        </w:rPr>
      </w:pPr>
    </w:p>
    <w:p w14:paraId="2AE24E48" w14:textId="77777777" w:rsidR="00BD1E16" w:rsidRPr="00C76C0F" w:rsidRDefault="00043735">
      <w:pPr>
        <w:pStyle w:val="normal0"/>
        <w:jc w:val="center"/>
        <w:rPr>
          <w:lang w:val="en-GB"/>
        </w:rPr>
      </w:pPr>
      <w:r w:rsidRPr="00C76C0F">
        <w:rPr>
          <w:rFonts w:ascii="Times New Roman" w:eastAsia="Times New Roman" w:hAnsi="Times New Roman" w:cs="Times New Roman"/>
          <w:b/>
          <w:i/>
          <w:lang w:val="en-GB"/>
        </w:rPr>
        <w:t>Philippe DE BRUYCKER</w:t>
      </w:r>
    </w:p>
    <w:p w14:paraId="46E1FABF" w14:textId="77777777" w:rsidR="00E71EC4" w:rsidRPr="00C76C0F" w:rsidRDefault="00E71EC4">
      <w:pPr>
        <w:pStyle w:val="normal0"/>
        <w:jc w:val="center"/>
        <w:rPr>
          <w:rFonts w:ascii="Times New Roman" w:eastAsia="Times New Roman" w:hAnsi="Times New Roman" w:cs="Times New Roman"/>
          <w:i/>
          <w:lang w:val="en-GB"/>
        </w:rPr>
      </w:pPr>
    </w:p>
    <w:p w14:paraId="21D43BFF" w14:textId="1604CE87" w:rsidR="00BD1E16" w:rsidRPr="00C76C0F" w:rsidRDefault="00043735" w:rsidP="00D70A29">
      <w:pPr>
        <w:pStyle w:val="normal0"/>
        <w:jc w:val="center"/>
        <w:rPr>
          <w:lang w:val="en-GB"/>
        </w:rPr>
      </w:pPr>
      <w:r w:rsidRPr="00C76C0F">
        <w:rPr>
          <w:rFonts w:ascii="Times New Roman" w:eastAsia="Times New Roman" w:hAnsi="Times New Roman" w:cs="Times New Roman"/>
          <w:i/>
          <w:lang w:val="en-GB"/>
        </w:rPr>
        <w:t>Professor at the Migration Policy Centre of the European University Institute (EUI)</w:t>
      </w:r>
    </w:p>
    <w:p w14:paraId="660E779B" w14:textId="77777777" w:rsidR="00BD1E16" w:rsidRPr="00C76C0F" w:rsidRDefault="00043735">
      <w:pPr>
        <w:pStyle w:val="normal0"/>
        <w:jc w:val="center"/>
        <w:rPr>
          <w:lang w:val="en-GB"/>
        </w:rPr>
      </w:pPr>
      <w:r w:rsidRPr="00C76C0F">
        <w:rPr>
          <w:rFonts w:ascii="Times New Roman" w:eastAsia="Times New Roman" w:hAnsi="Times New Roman" w:cs="Times New Roman"/>
          <w:i/>
          <w:lang w:val="en-GB"/>
        </w:rPr>
        <w:t xml:space="preserve">&amp; </w:t>
      </w:r>
      <w:proofErr w:type="gramStart"/>
      <w:r w:rsidRPr="00C76C0F">
        <w:rPr>
          <w:rFonts w:ascii="Times New Roman" w:eastAsia="Times New Roman" w:hAnsi="Times New Roman" w:cs="Times New Roman"/>
          <w:i/>
          <w:lang w:val="en-GB"/>
        </w:rPr>
        <w:t>the</w:t>
      </w:r>
      <w:proofErr w:type="gramEnd"/>
      <w:r w:rsidRPr="00C76C0F">
        <w:rPr>
          <w:rFonts w:ascii="Times New Roman" w:eastAsia="Times New Roman" w:hAnsi="Times New Roman" w:cs="Times New Roman"/>
          <w:i/>
          <w:lang w:val="en-GB"/>
        </w:rPr>
        <w:t xml:space="preserve"> Institute for European Studies of the </w:t>
      </w:r>
      <w:proofErr w:type="spellStart"/>
      <w:r w:rsidRPr="00C76C0F">
        <w:rPr>
          <w:rFonts w:ascii="Times New Roman" w:eastAsia="Times New Roman" w:hAnsi="Times New Roman" w:cs="Times New Roman"/>
          <w:i/>
          <w:lang w:val="en-GB"/>
        </w:rPr>
        <w:t>Université</w:t>
      </w:r>
      <w:proofErr w:type="spellEnd"/>
      <w:r w:rsidRPr="00C76C0F">
        <w:rPr>
          <w:rFonts w:ascii="Times New Roman" w:eastAsia="Times New Roman" w:hAnsi="Times New Roman" w:cs="Times New Roman"/>
          <w:i/>
          <w:lang w:val="en-GB"/>
        </w:rPr>
        <w:t xml:space="preserve"> </w:t>
      </w:r>
      <w:proofErr w:type="spellStart"/>
      <w:r w:rsidRPr="00C76C0F">
        <w:rPr>
          <w:rFonts w:ascii="Times New Roman" w:eastAsia="Times New Roman" w:hAnsi="Times New Roman" w:cs="Times New Roman"/>
          <w:i/>
          <w:lang w:val="en-GB"/>
        </w:rPr>
        <w:t>libre</w:t>
      </w:r>
      <w:proofErr w:type="spellEnd"/>
      <w:r w:rsidRPr="00C76C0F">
        <w:rPr>
          <w:rFonts w:ascii="Times New Roman" w:eastAsia="Times New Roman" w:hAnsi="Times New Roman" w:cs="Times New Roman"/>
          <w:i/>
          <w:lang w:val="en-GB"/>
        </w:rPr>
        <w:t xml:space="preserve"> de </w:t>
      </w:r>
      <w:proofErr w:type="spellStart"/>
      <w:r w:rsidRPr="00C76C0F">
        <w:rPr>
          <w:rFonts w:ascii="Times New Roman" w:eastAsia="Times New Roman" w:hAnsi="Times New Roman" w:cs="Times New Roman"/>
          <w:i/>
          <w:lang w:val="en-GB"/>
        </w:rPr>
        <w:t>Bruxelles</w:t>
      </w:r>
      <w:proofErr w:type="spellEnd"/>
      <w:r w:rsidRPr="00C76C0F">
        <w:rPr>
          <w:rFonts w:ascii="Times New Roman" w:eastAsia="Times New Roman" w:hAnsi="Times New Roman" w:cs="Times New Roman"/>
          <w:i/>
          <w:lang w:val="en-GB"/>
        </w:rPr>
        <w:t xml:space="preserve"> (ULB)</w:t>
      </w:r>
    </w:p>
    <w:p w14:paraId="540F6A92" w14:textId="77777777" w:rsidR="00BD1E16" w:rsidRPr="00C76C0F" w:rsidRDefault="002A1C7B">
      <w:pPr>
        <w:pStyle w:val="normal0"/>
        <w:jc w:val="center"/>
        <w:rPr>
          <w:lang w:val="en-GB"/>
        </w:rPr>
      </w:pPr>
      <w:hyperlink r:id="rId8">
        <w:r w:rsidR="00043735" w:rsidRPr="00C76C0F">
          <w:rPr>
            <w:rFonts w:ascii="Times New Roman" w:eastAsia="Times New Roman" w:hAnsi="Times New Roman" w:cs="Times New Roman"/>
            <w:color w:val="0000FF"/>
            <w:u w:val="single"/>
            <w:lang w:val="en-GB"/>
          </w:rPr>
          <w:t>debruyck@ulb.ac.be</w:t>
        </w:r>
      </w:hyperlink>
      <w:r w:rsidR="00043735" w:rsidRPr="00C76C0F">
        <w:rPr>
          <w:rFonts w:ascii="Times New Roman" w:eastAsia="Times New Roman" w:hAnsi="Times New Roman" w:cs="Times New Roman"/>
          <w:lang w:val="en-GB"/>
        </w:rPr>
        <w:t xml:space="preserve"> </w:t>
      </w:r>
    </w:p>
    <w:p w14:paraId="6E784724" w14:textId="77777777" w:rsidR="00BD1E16" w:rsidRPr="00C76C0F" w:rsidRDefault="00BD1E16">
      <w:pPr>
        <w:pStyle w:val="normal0"/>
        <w:jc w:val="both"/>
        <w:rPr>
          <w:lang w:val="en-GB"/>
        </w:rPr>
      </w:pPr>
    </w:p>
    <w:p w14:paraId="174E23B2" w14:textId="77777777" w:rsidR="00B63DDA" w:rsidRPr="00C76C0F" w:rsidRDefault="00B63DDA" w:rsidP="00B63DDA">
      <w:pPr>
        <w:pStyle w:val="normal0"/>
        <w:spacing w:line="360" w:lineRule="auto"/>
        <w:jc w:val="both"/>
        <w:rPr>
          <w:rFonts w:ascii="Times New Roman" w:eastAsia="Times New Roman" w:hAnsi="Times New Roman" w:cs="Times New Roman"/>
          <w:lang w:val="en-GB"/>
        </w:rPr>
      </w:pPr>
    </w:p>
    <w:p w14:paraId="63567219" w14:textId="48249942" w:rsidR="00C76C0F" w:rsidRPr="00C76C0F" w:rsidRDefault="00C76C0F" w:rsidP="00C76C0F">
      <w:pPr>
        <w:pStyle w:val="normal0"/>
        <w:spacing w:line="360" w:lineRule="auto"/>
        <w:jc w:val="both"/>
        <w:rPr>
          <w:lang w:val="en-GB"/>
        </w:rPr>
      </w:pPr>
      <w:r w:rsidRPr="00C76C0F">
        <w:rPr>
          <w:rFonts w:ascii="Times New Roman" w:eastAsia="Times New Roman" w:hAnsi="Times New Roman" w:cs="Times New Roman"/>
          <w:b/>
          <w:lang w:val="en-GB"/>
        </w:rPr>
        <w:t xml:space="preserve">I. A new </w:t>
      </w:r>
      <w:r w:rsidR="00D70A29">
        <w:rPr>
          <w:rFonts w:ascii="Times New Roman" w:eastAsia="Times New Roman" w:hAnsi="Times New Roman" w:cs="Times New Roman"/>
          <w:b/>
          <w:lang w:val="en-GB"/>
        </w:rPr>
        <w:t>model?</w:t>
      </w:r>
      <w:r w:rsidRPr="00C76C0F">
        <w:rPr>
          <w:rFonts w:ascii="Times New Roman" w:eastAsia="Times New Roman" w:hAnsi="Times New Roman" w:cs="Times New Roman"/>
          <w:b/>
          <w:lang w:val="en-GB"/>
        </w:rPr>
        <w:t xml:space="preserve"> Hierarchy within an intergovernmental network</w:t>
      </w:r>
    </w:p>
    <w:p w14:paraId="6B62FFA4" w14:textId="24673F81" w:rsidR="00B63DDA" w:rsidRPr="00C76C0F" w:rsidRDefault="00D70A29" w:rsidP="00B63DDA">
      <w:pPr>
        <w:pStyle w:val="normal0"/>
        <w:tabs>
          <w:tab w:val="left" w:pos="2290"/>
        </w:tabs>
        <w:spacing w:line="360" w:lineRule="auto"/>
        <w:jc w:val="both"/>
        <w:rPr>
          <w:b/>
          <w:lang w:val="en-GB"/>
        </w:rPr>
      </w:pPr>
      <w:r>
        <w:rPr>
          <w:rFonts w:ascii="Times New Roman" w:eastAsia="Times New Roman" w:hAnsi="Times New Roman" w:cs="Times New Roman"/>
          <w:b/>
          <w:lang w:val="en-GB"/>
        </w:rPr>
        <w:t>II. An old logic!</w:t>
      </w:r>
      <w:r w:rsidR="00B63DDA" w:rsidRPr="00C76C0F">
        <w:rPr>
          <w:rFonts w:ascii="Times New Roman" w:eastAsia="Times New Roman" w:hAnsi="Times New Roman" w:cs="Times New Roman"/>
          <w:b/>
          <w:lang w:val="en-GB"/>
        </w:rPr>
        <w:t xml:space="preserve"> </w:t>
      </w:r>
      <w:r w:rsidR="00C76C0F" w:rsidRPr="00C76C0F">
        <w:rPr>
          <w:rFonts w:ascii="Times New Roman" w:eastAsia="Times New Roman" w:hAnsi="Times New Roman" w:cs="Times New Roman"/>
          <w:b/>
          <w:lang w:val="en-GB"/>
        </w:rPr>
        <w:t>Pr</w:t>
      </w:r>
      <w:r w:rsidR="00C76C0F">
        <w:rPr>
          <w:rFonts w:ascii="Times New Roman" w:eastAsia="Times New Roman" w:hAnsi="Times New Roman" w:cs="Times New Roman"/>
          <w:b/>
          <w:lang w:val="en-GB"/>
        </w:rPr>
        <w:t>i</w:t>
      </w:r>
      <w:r w:rsidR="00C76C0F" w:rsidRPr="00C76C0F">
        <w:rPr>
          <w:rFonts w:ascii="Times New Roman" w:eastAsia="Times New Roman" w:hAnsi="Times New Roman" w:cs="Times New Roman"/>
          <w:b/>
          <w:lang w:val="en-GB"/>
        </w:rPr>
        <w:t>orit</w:t>
      </w:r>
      <w:r>
        <w:rPr>
          <w:rFonts w:ascii="Times New Roman" w:eastAsia="Times New Roman" w:hAnsi="Times New Roman" w:cs="Times New Roman"/>
          <w:b/>
          <w:lang w:val="en-GB"/>
        </w:rPr>
        <w:t xml:space="preserve">ising </w:t>
      </w:r>
      <w:r w:rsidR="00C76C0F" w:rsidRPr="00C76C0F">
        <w:rPr>
          <w:rFonts w:ascii="Times New Roman" w:eastAsia="Times New Roman" w:hAnsi="Times New Roman" w:cs="Times New Roman"/>
          <w:b/>
          <w:lang w:val="en-GB"/>
        </w:rPr>
        <w:t>r</w:t>
      </w:r>
      <w:r w:rsidR="00B63DDA" w:rsidRPr="00C76C0F">
        <w:rPr>
          <w:rFonts w:ascii="Times New Roman" w:eastAsia="Times New Roman" w:hAnsi="Times New Roman" w:cs="Times New Roman"/>
          <w:b/>
          <w:lang w:val="en-GB"/>
        </w:rPr>
        <w:t>esponsibility over solidarity</w:t>
      </w:r>
    </w:p>
    <w:p w14:paraId="4FF634D5" w14:textId="77777777" w:rsidR="00B63DDA" w:rsidRPr="00C76C0F" w:rsidRDefault="00B63DDA" w:rsidP="00B63DDA">
      <w:pPr>
        <w:pStyle w:val="normal0"/>
        <w:spacing w:line="360" w:lineRule="auto"/>
        <w:jc w:val="both"/>
        <w:rPr>
          <w:rFonts w:ascii="Times New Roman" w:eastAsia="Times New Roman" w:hAnsi="Times New Roman" w:cs="Times New Roman"/>
          <w:lang w:val="en-GB"/>
        </w:rPr>
      </w:pPr>
    </w:p>
    <w:p w14:paraId="3355ABC4" w14:textId="645820D5" w:rsidR="00B63DDA" w:rsidRPr="00C76C0F" w:rsidRDefault="00B63DDA" w:rsidP="00B63DDA">
      <w:pPr>
        <w:pStyle w:val="normal0"/>
        <w:spacing w:line="360" w:lineRule="auto"/>
        <w:jc w:val="both"/>
        <w:rPr>
          <w:rFonts w:ascii="Times New Roman" w:eastAsia="Times New Roman" w:hAnsi="Times New Roman" w:cs="Times New Roman"/>
          <w:lang w:val="en-GB"/>
        </w:rPr>
      </w:pPr>
      <w:r w:rsidRPr="00C76C0F">
        <w:rPr>
          <w:rFonts w:ascii="Times New Roman" w:eastAsia="Times New Roman" w:hAnsi="Times New Roman" w:cs="Times New Roman"/>
          <w:b/>
          <w:lang w:val="en-GB"/>
        </w:rPr>
        <w:t>Abstract</w:t>
      </w:r>
      <w:r w:rsidRPr="00C76C0F">
        <w:rPr>
          <w:rFonts w:ascii="Times New Roman" w:eastAsia="Times New Roman" w:hAnsi="Times New Roman" w:cs="Times New Roman"/>
          <w:lang w:val="en-GB"/>
        </w:rPr>
        <w:t>:</w:t>
      </w:r>
    </w:p>
    <w:p w14:paraId="78AB569E" w14:textId="46D4CC0E" w:rsidR="00B63DDA" w:rsidRPr="00C76C0F" w:rsidRDefault="00B63DDA" w:rsidP="00B63DDA">
      <w:pPr>
        <w:pStyle w:val="normal0"/>
        <w:spacing w:line="360" w:lineRule="auto"/>
        <w:jc w:val="both"/>
        <w:rPr>
          <w:rFonts w:ascii="Times New Roman" w:eastAsia="Times New Roman" w:hAnsi="Times New Roman" w:cs="Times New Roman"/>
          <w:lang w:val="en-GB"/>
        </w:rPr>
      </w:pPr>
      <w:r w:rsidRPr="00C76C0F">
        <w:rPr>
          <w:rFonts w:ascii="Times New Roman" w:eastAsia="Times New Roman" w:hAnsi="Times New Roman" w:cs="Times New Roman"/>
          <w:lang w:val="en-GB"/>
        </w:rPr>
        <w:t xml:space="preserve">Due to the refugee crisis, the </w:t>
      </w:r>
      <w:r w:rsidR="00306C42">
        <w:rPr>
          <w:rFonts w:ascii="Times New Roman" w:eastAsia="Times New Roman" w:hAnsi="Times New Roman" w:cs="Times New Roman"/>
          <w:lang w:val="en-GB"/>
        </w:rPr>
        <w:t xml:space="preserve">proposal made by the Commission </w:t>
      </w:r>
      <w:r w:rsidRPr="00C76C0F">
        <w:rPr>
          <w:rFonts w:ascii="Times New Roman" w:eastAsia="Times New Roman" w:hAnsi="Times New Roman" w:cs="Times New Roman"/>
          <w:lang w:val="en-GB"/>
        </w:rPr>
        <w:t xml:space="preserve">in </w:t>
      </w:r>
      <w:r w:rsidR="00306C42">
        <w:rPr>
          <w:rFonts w:ascii="Times New Roman" w:eastAsia="Times New Roman" w:hAnsi="Times New Roman" w:cs="Times New Roman"/>
          <w:lang w:val="en-GB"/>
        </w:rPr>
        <w:t xml:space="preserve">December </w:t>
      </w:r>
      <w:r w:rsidRPr="00C76C0F">
        <w:rPr>
          <w:rFonts w:ascii="Times New Roman" w:eastAsia="Times New Roman" w:hAnsi="Times New Roman" w:cs="Times New Roman"/>
          <w:lang w:val="en-GB"/>
        </w:rPr>
        <w:t xml:space="preserve">2015 to create a European Border and Coast Guard (EBCG) </w:t>
      </w:r>
      <w:r w:rsidR="00306C42">
        <w:rPr>
          <w:rFonts w:ascii="Times New Roman" w:eastAsia="Times New Roman" w:hAnsi="Times New Roman" w:cs="Times New Roman"/>
          <w:lang w:val="en-GB"/>
        </w:rPr>
        <w:t>w</w:t>
      </w:r>
      <w:r w:rsidR="00CF74AE">
        <w:rPr>
          <w:rFonts w:ascii="Times New Roman" w:eastAsia="Times New Roman" w:hAnsi="Times New Roman" w:cs="Times New Roman"/>
          <w:lang w:val="en-GB"/>
        </w:rPr>
        <w:t xml:space="preserve">ill soon become legislation </w:t>
      </w:r>
      <w:r w:rsidR="00684F15">
        <w:rPr>
          <w:rFonts w:ascii="Times New Roman" w:eastAsia="Times New Roman" w:hAnsi="Times New Roman" w:cs="Times New Roman"/>
          <w:lang w:val="en-GB"/>
        </w:rPr>
        <w:t xml:space="preserve">adopted </w:t>
      </w:r>
      <w:r w:rsidR="00CF74AE">
        <w:rPr>
          <w:rFonts w:ascii="Times New Roman" w:eastAsia="Times New Roman" w:hAnsi="Times New Roman" w:cs="Times New Roman"/>
          <w:lang w:val="en-GB"/>
        </w:rPr>
        <w:t xml:space="preserve">in </w:t>
      </w:r>
      <w:r w:rsidR="00306C42">
        <w:rPr>
          <w:rFonts w:ascii="Times New Roman" w:eastAsia="Times New Roman" w:hAnsi="Times New Roman" w:cs="Times New Roman"/>
          <w:lang w:val="en-GB"/>
        </w:rPr>
        <w:t>record time</w:t>
      </w:r>
      <w:r w:rsidR="00684F15">
        <w:rPr>
          <w:rFonts w:ascii="Times New Roman" w:eastAsia="Times New Roman" w:hAnsi="Times New Roman" w:cs="Times New Roman"/>
          <w:lang w:val="en-GB"/>
        </w:rPr>
        <w:t xml:space="preserve"> with a large consensus</w:t>
      </w:r>
      <w:r w:rsidR="00306C42">
        <w:rPr>
          <w:rFonts w:ascii="Times New Roman" w:eastAsia="Times New Roman" w:hAnsi="Times New Roman" w:cs="Times New Roman"/>
          <w:lang w:val="en-GB"/>
        </w:rPr>
        <w:t>. W</w:t>
      </w:r>
      <w:r w:rsidR="00BA1653" w:rsidRPr="00C76C0F">
        <w:rPr>
          <w:rFonts w:ascii="Times New Roman" w:eastAsia="Times New Roman" w:hAnsi="Times New Roman" w:cs="Times New Roman"/>
          <w:lang w:val="en-GB"/>
        </w:rPr>
        <w:t>rongly considered as an ambitious solution</w:t>
      </w:r>
      <w:r w:rsidR="00306C42">
        <w:rPr>
          <w:rFonts w:ascii="Times New Roman" w:eastAsia="Times New Roman" w:hAnsi="Times New Roman" w:cs="Times New Roman"/>
          <w:lang w:val="en-GB"/>
        </w:rPr>
        <w:t xml:space="preserve">, </w:t>
      </w:r>
      <w:r w:rsidR="00BA1653" w:rsidRPr="00C76C0F">
        <w:rPr>
          <w:rFonts w:ascii="Times New Roman" w:eastAsia="Times New Roman" w:hAnsi="Times New Roman" w:cs="Times New Roman"/>
          <w:lang w:val="en-GB"/>
        </w:rPr>
        <w:t xml:space="preserve">it is </w:t>
      </w:r>
      <w:r w:rsidRPr="00C76C0F">
        <w:rPr>
          <w:rFonts w:ascii="Times New Roman" w:eastAsia="Times New Roman" w:hAnsi="Times New Roman" w:cs="Times New Roman"/>
          <w:lang w:val="en-GB"/>
        </w:rPr>
        <w:t>bas</w:t>
      </w:r>
      <w:r w:rsidR="00BA1653" w:rsidRPr="00C76C0F">
        <w:rPr>
          <w:rFonts w:ascii="Times New Roman" w:eastAsia="Times New Roman" w:hAnsi="Times New Roman" w:cs="Times New Roman"/>
          <w:lang w:val="en-GB"/>
        </w:rPr>
        <w:t xml:space="preserve">ed on </w:t>
      </w:r>
      <w:r w:rsidR="001F38A3" w:rsidRPr="00C76C0F">
        <w:rPr>
          <w:rFonts w:ascii="Times New Roman" w:eastAsia="Times New Roman" w:hAnsi="Times New Roman" w:cs="Times New Roman"/>
          <w:lang w:val="en-GB"/>
        </w:rPr>
        <w:t>highly questionable principles</w:t>
      </w:r>
      <w:r w:rsidR="00E71EC4" w:rsidRPr="00C76C0F">
        <w:rPr>
          <w:rFonts w:ascii="Times New Roman" w:eastAsia="Times New Roman" w:hAnsi="Times New Roman" w:cs="Times New Roman"/>
          <w:lang w:val="en-GB"/>
        </w:rPr>
        <w:t>. Firstly, i</w:t>
      </w:r>
      <w:r w:rsidRPr="00C76C0F">
        <w:rPr>
          <w:rFonts w:ascii="Times New Roman" w:eastAsia="Times New Roman" w:hAnsi="Times New Roman" w:cs="Times New Roman"/>
          <w:lang w:val="en-GB"/>
        </w:rPr>
        <w:t>t transforms the EBCG Agency into the Chief Executive Officer of the Member States authorities in charge of border controls</w:t>
      </w:r>
      <w:r w:rsidR="00C76C0F">
        <w:rPr>
          <w:rFonts w:ascii="Times New Roman" w:eastAsia="Times New Roman" w:hAnsi="Times New Roman" w:cs="Times New Roman"/>
          <w:lang w:val="en-GB"/>
        </w:rPr>
        <w:t xml:space="preserve">. This </w:t>
      </w:r>
      <w:r w:rsidRPr="00C76C0F">
        <w:rPr>
          <w:rFonts w:ascii="Times New Roman" w:eastAsia="Times New Roman" w:hAnsi="Times New Roman" w:cs="Times New Roman"/>
          <w:lang w:val="en-GB"/>
        </w:rPr>
        <w:t xml:space="preserve">is </w:t>
      </w:r>
      <w:r w:rsidR="00BA1653" w:rsidRPr="00C76C0F">
        <w:rPr>
          <w:rFonts w:ascii="Times New Roman" w:eastAsia="Times New Roman" w:hAnsi="Times New Roman" w:cs="Times New Roman"/>
          <w:lang w:val="en-GB"/>
        </w:rPr>
        <w:t xml:space="preserve">a </w:t>
      </w:r>
      <w:r w:rsidRPr="00C76C0F">
        <w:rPr>
          <w:rFonts w:ascii="Times New Roman" w:eastAsia="Times New Roman" w:hAnsi="Times New Roman" w:cs="Times New Roman"/>
          <w:lang w:val="en-GB"/>
        </w:rPr>
        <w:t xml:space="preserve">welcome new model </w:t>
      </w:r>
      <w:r w:rsidR="00C76C0F">
        <w:rPr>
          <w:rFonts w:ascii="Times New Roman" w:eastAsia="Times New Roman" w:hAnsi="Times New Roman" w:cs="Times New Roman"/>
          <w:lang w:val="en-GB"/>
        </w:rPr>
        <w:t>because of the current powerlessness of</w:t>
      </w:r>
      <w:r w:rsidRPr="00C76C0F">
        <w:rPr>
          <w:rFonts w:ascii="Times New Roman" w:eastAsia="Times New Roman" w:hAnsi="Times New Roman" w:cs="Times New Roman"/>
          <w:lang w:val="en-GB"/>
        </w:rPr>
        <w:t xml:space="preserv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but it does not guarantee the independe</w:t>
      </w:r>
      <w:r w:rsidR="00BA1653" w:rsidRPr="00C76C0F">
        <w:rPr>
          <w:rFonts w:ascii="Times New Roman" w:eastAsia="Times New Roman" w:hAnsi="Times New Roman" w:cs="Times New Roman"/>
          <w:lang w:val="en-GB"/>
        </w:rPr>
        <w:t>nce towards Member States of this</w:t>
      </w:r>
      <w:r w:rsidRPr="00C76C0F">
        <w:rPr>
          <w:rFonts w:ascii="Times New Roman" w:eastAsia="Times New Roman" w:hAnsi="Times New Roman" w:cs="Times New Roman"/>
          <w:lang w:val="en-GB"/>
        </w:rPr>
        <w:t xml:space="preserve"> new Agency that will remain intergovernmental. </w:t>
      </w:r>
      <w:r w:rsidR="00A00341" w:rsidRPr="00C76C0F">
        <w:rPr>
          <w:rFonts w:ascii="Times New Roman" w:eastAsia="Times New Roman" w:hAnsi="Times New Roman" w:cs="Times New Roman"/>
          <w:lang w:val="en-GB"/>
        </w:rPr>
        <w:t>In reality</w:t>
      </w:r>
      <w:r w:rsidR="00E71EC4" w:rsidRPr="00C76C0F">
        <w:rPr>
          <w:rFonts w:ascii="Times New Roman" w:eastAsia="Times New Roman" w:hAnsi="Times New Roman" w:cs="Times New Roman"/>
          <w:lang w:val="en-GB"/>
        </w:rPr>
        <w:t xml:space="preserve">, the proposal </w:t>
      </w:r>
      <w:r w:rsidRPr="00C76C0F">
        <w:rPr>
          <w:rFonts w:ascii="Times New Roman" w:eastAsia="Times New Roman" w:hAnsi="Times New Roman" w:cs="Times New Roman"/>
          <w:lang w:val="en-GB"/>
        </w:rPr>
        <w:t xml:space="preserve">does not create </w:t>
      </w:r>
      <w:r w:rsidR="00A00341" w:rsidRPr="00C76C0F">
        <w:rPr>
          <w:rFonts w:ascii="Times New Roman" w:eastAsia="Times New Roman" w:hAnsi="Times New Roman" w:cs="Times New Roman"/>
          <w:lang w:val="en-GB"/>
        </w:rPr>
        <w:t xml:space="preserve">in the true sense </w:t>
      </w:r>
      <w:r w:rsidRPr="00C76C0F">
        <w:rPr>
          <w:rFonts w:ascii="Times New Roman" w:eastAsia="Times New Roman" w:hAnsi="Times New Roman" w:cs="Times New Roman"/>
          <w:lang w:val="en-GB"/>
        </w:rPr>
        <w:t>a</w:t>
      </w:r>
      <w:r w:rsidR="00684F15">
        <w:rPr>
          <w:rFonts w:ascii="Times New Roman" w:eastAsia="Times New Roman" w:hAnsi="Times New Roman" w:cs="Times New Roman"/>
          <w:lang w:val="en-GB"/>
        </w:rPr>
        <w:t>n</w:t>
      </w:r>
      <w:r w:rsidRPr="00C76C0F">
        <w:rPr>
          <w:rFonts w:ascii="Times New Roman" w:eastAsia="Times New Roman" w:hAnsi="Times New Roman" w:cs="Times New Roman"/>
          <w:lang w:val="en-GB"/>
        </w:rPr>
        <w:t xml:space="preserve"> EBGC that </w:t>
      </w:r>
      <w:r w:rsidR="001F38A3" w:rsidRPr="00C76C0F">
        <w:rPr>
          <w:rFonts w:ascii="Times New Roman" w:eastAsia="Times New Roman" w:hAnsi="Times New Roman" w:cs="Times New Roman"/>
          <w:lang w:val="en-GB"/>
        </w:rPr>
        <w:t>will be nothing more</w:t>
      </w:r>
      <w:r w:rsidRPr="00C76C0F">
        <w:rPr>
          <w:rFonts w:ascii="Times New Roman" w:eastAsia="Times New Roman" w:hAnsi="Times New Roman" w:cs="Times New Roman"/>
          <w:lang w:val="en-GB"/>
        </w:rPr>
        <w:t xml:space="preserve"> </w:t>
      </w:r>
      <w:r w:rsidR="001F38A3" w:rsidRPr="00C76C0F">
        <w:rPr>
          <w:rFonts w:ascii="Times New Roman" w:eastAsia="Times New Roman" w:hAnsi="Times New Roman" w:cs="Times New Roman"/>
          <w:lang w:val="en-GB"/>
        </w:rPr>
        <w:t xml:space="preserve">than </w:t>
      </w:r>
      <w:r w:rsidRPr="00C76C0F">
        <w:rPr>
          <w:rFonts w:ascii="Times New Roman" w:eastAsia="Times New Roman" w:hAnsi="Times New Roman" w:cs="Times New Roman"/>
          <w:lang w:val="en-GB"/>
        </w:rPr>
        <w:t>a legal fiction</w:t>
      </w:r>
      <w:r w:rsidR="00E71EC4" w:rsidRPr="00C76C0F">
        <w:rPr>
          <w:rFonts w:ascii="Times New Roman" w:eastAsia="Times New Roman" w:hAnsi="Times New Roman" w:cs="Times New Roman"/>
          <w:lang w:val="en-GB"/>
        </w:rPr>
        <w:t xml:space="preserve"> while its m</w:t>
      </w:r>
      <w:r w:rsidRPr="00C76C0F">
        <w:rPr>
          <w:rFonts w:ascii="Times New Roman" w:eastAsia="Times New Roman" w:hAnsi="Times New Roman" w:cs="Times New Roman"/>
          <w:lang w:val="en-GB"/>
        </w:rPr>
        <w:t>isleading</w:t>
      </w:r>
      <w:r w:rsidR="00E71EC4" w:rsidRPr="00C76C0F">
        <w:rPr>
          <w:rFonts w:ascii="Times New Roman" w:eastAsia="Times New Roman" w:hAnsi="Times New Roman" w:cs="Times New Roman"/>
          <w:lang w:val="en-GB"/>
        </w:rPr>
        <w:t xml:space="preserve"> title </w:t>
      </w:r>
      <w:r w:rsidR="00BA1653" w:rsidRPr="00C76C0F">
        <w:rPr>
          <w:rFonts w:ascii="Times New Roman" w:eastAsia="Times New Roman" w:hAnsi="Times New Roman" w:cs="Times New Roman"/>
          <w:lang w:val="en-GB"/>
        </w:rPr>
        <w:t xml:space="preserve">will </w:t>
      </w:r>
      <w:r w:rsidR="001F38A3" w:rsidRPr="00C76C0F">
        <w:rPr>
          <w:rFonts w:ascii="Times New Roman" w:eastAsia="Times New Roman" w:hAnsi="Times New Roman" w:cs="Times New Roman"/>
          <w:lang w:val="en-GB"/>
        </w:rPr>
        <w:t>keep going the confusion between the numerous concepts used in the European borders policy. Secondly, despite the Commission</w:t>
      </w:r>
      <w:r w:rsidRPr="00C76C0F">
        <w:rPr>
          <w:rFonts w:ascii="Times New Roman" w:eastAsia="Times New Roman" w:hAnsi="Times New Roman" w:cs="Times New Roman"/>
          <w:lang w:val="en-GB"/>
        </w:rPr>
        <w:t xml:space="preserve"> pretends to share border controls between the EU and its Member States, the latter </w:t>
      </w:r>
      <w:r w:rsidR="00BA1653" w:rsidRPr="00C76C0F">
        <w:rPr>
          <w:rFonts w:ascii="Times New Roman" w:eastAsia="Times New Roman" w:hAnsi="Times New Roman" w:cs="Times New Roman"/>
          <w:lang w:val="en-GB"/>
        </w:rPr>
        <w:t xml:space="preserve">will </w:t>
      </w:r>
      <w:r w:rsidRPr="00C76C0F">
        <w:rPr>
          <w:rFonts w:ascii="Times New Roman" w:eastAsia="Times New Roman" w:hAnsi="Times New Roman" w:cs="Times New Roman"/>
          <w:lang w:val="en-GB"/>
        </w:rPr>
        <w:t>remain responsible for their implementation</w:t>
      </w:r>
      <w:r w:rsidR="00431DFC" w:rsidRPr="00C76C0F">
        <w:rPr>
          <w:rFonts w:ascii="Times New Roman" w:eastAsia="Times New Roman" w:hAnsi="Times New Roman" w:cs="Times New Roman"/>
          <w:lang w:val="en-GB"/>
        </w:rPr>
        <w:t xml:space="preserve"> </w:t>
      </w:r>
      <w:r w:rsidR="00A00341" w:rsidRPr="00C76C0F">
        <w:rPr>
          <w:rFonts w:ascii="Times New Roman" w:eastAsia="Times New Roman" w:hAnsi="Times New Roman" w:cs="Times New Roman"/>
          <w:lang w:val="en-GB"/>
        </w:rPr>
        <w:t>which is in contradiction wit</w:t>
      </w:r>
      <w:r w:rsidR="001F38A3" w:rsidRPr="00C76C0F">
        <w:rPr>
          <w:rFonts w:ascii="Times New Roman" w:eastAsia="Times New Roman" w:hAnsi="Times New Roman" w:cs="Times New Roman"/>
          <w:lang w:val="en-GB"/>
        </w:rPr>
        <w:t>h the princip</w:t>
      </w:r>
      <w:r w:rsidR="00E71EC4" w:rsidRPr="00C76C0F">
        <w:rPr>
          <w:rFonts w:ascii="Times New Roman" w:eastAsia="Times New Roman" w:hAnsi="Times New Roman" w:cs="Times New Roman"/>
          <w:lang w:val="en-GB"/>
        </w:rPr>
        <w:t>l</w:t>
      </w:r>
      <w:r w:rsidR="001F38A3" w:rsidRPr="00C76C0F">
        <w:rPr>
          <w:rFonts w:ascii="Times New Roman" w:eastAsia="Times New Roman" w:hAnsi="Times New Roman" w:cs="Times New Roman"/>
          <w:lang w:val="en-GB"/>
        </w:rPr>
        <w:t>e of solidarity</w:t>
      </w:r>
      <w:r w:rsidR="00431DFC" w:rsidRPr="00C76C0F">
        <w:rPr>
          <w:rFonts w:ascii="Times New Roman" w:eastAsia="Times New Roman" w:hAnsi="Times New Roman" w:cs="Times New Roman"/>
          <w:lang w:val="en-GB"/>
        </w:rPr>
        <w:t>, with the consequence that the funding of the European borders policy will remain an unsolved problem</w:t>
      </w:r>
      <w:r w:rsidRPr="00C76C0F">
        <w:rPr>
          <w:rFonts w:ascii="Times New Roman" w:eastAsia="Times New Roman" w:hAnsi="Times New Roman" w:cs="Times New Roman"/>
          <w:lang w:val="en-GB"/>
        </w:rPr>
        <w:t xml:space="preserve">. </w:t>
      </w:r>
      <w:r w:rsidR="00E71EC4" w:rsidRPr="00C76C0F">
        <w:rPr>
          <w:rFonts w:ascii="Times New Roman" w:eastAsia="Times New Roman" w:hAnsi="Times New Roman" w:cs="Times New Roman"/>
          <w:lang w:val="en-GB"/>
        </w:rPr>
        <w:t>Actually, the proposal</w:t>
      </w:r>
      <w:r w:rsidRPr="00C76C0F">
        <w:rPr>
          <w:rFonts w:ascii="Times New Roman" w:eastAsia="Times New Roman" w:hAnsi="Times New Roman" w:cs="Times New Roman"/>
          <w:lang w:val="en-GB"/>
        </w:rPr>
        <w:t xml:space="preserve"> </w:t>
      </w:r>
      <w:r w:rsidR="00A00341" w:rsidRPr="00C76C0F">
        <w:rPr>
          <w:rFonts w:ascii="Times New Roman" w:eastAsia="Times New Roman" w:hAnsi="Times New Roman" w:cs="Times New Roman"/>
          <w:lang w:val="en-GB"/>
        </w:rPr>
        <w:t>follows the old logic of</w:t>
      </w:r>
      <w:r w:rsidRPr="00C76C0F">
        <w:rPr>
          <w:rFonts w:ascii="Times New Roman" w:eastAsia="Times New Roman" w:hAnsi="Times New Roman" w:cs="Times New Roman"/>
          <w:lang w:val="en-GB"/>
        </w:rPr>
        <w:t xml:space="preserve"> a supposed principle of responsibility </w:t>
      </w:r>
      <w:r w:rsidR="00A00341" w:rsidRPr="00C76C0F">
        <w:rPr>
          <w:rFonts w:ascii="Times New Roman" w:eastAsia="Times New Roman" w:hAnsi="Times New Roman" w:cs="Times New Roman"/>
          <w:lang w:val="en-GB"/>
        </w:rPr>
        <w:t xml:space="preserve">and gives it the priority </w:t>
      </w:r>
      <w:r w:rsidRPr="00C76C0F">
        <w:rPr>
          <w:rFonts w:ascii="Times New Roman" w:eastAsia="Times New Roman" w:hAnsi="Times New Roman" w:cs="Times New Roman"/>
          <w:lang w:val="en-GB"/>
        </w:rPr>
        <w:t>over the necessary solida</w:t>
      </w:r>
      <w:r w:rsidR="00BA1653" w:rsidRPr="00C76C0F">
        <w:rPr>
          <w:rFonts w:ascii="Times New Roman" w:eastAsia="Times New Roman" w:hAnsi="Times New Roman" w:cs="Times New Roman"/>
          <w:lang w:val="en-GB"/>
        </w:rPr>
        <w:t xml:space="preserve">rity in violation of the Treaty and in contradiction with the new </w:t>
      </w:r>
      <w:r w:rsidR="00A00341" w:rsidRPr="00C76C0F">
        <w:rPr>
          <w:rFonts w:ascii="Times New Roman" w:eastAsia="Times New Roman" w:hAnsi="Times New Roman" w:cs="Times New Roman"/>
          <w:lang w:val="en-GB"/>
        </w:rPr>
        <w:t xml:space="preserve">orientation given </w:t>
      </w:r>
      <w:r w:rsidR="00BA1653" w:rsidRPr="00C76C0F">
        <w:rPr>
          <w:rFonts w:ascii="Times New Roman" w:eastAsia="Times New Roman" w:hAnsi="Times New Roman" w:cs="Times New Roman"/>
          <w:lang w:val="en-GB"/>
        </w:rPr>
        <w:t xml:space="preserve">by the Commission </w:t>
      </w:r>
      <w:r w:rsidR="00A00341" w:rsidRPr="00C76C0F">
        <w:rPr>
          <w:rFonts w:ascii="Times New Roman" w:eastAsia="Times New Roman" w:hAnsi="Times New Roman" w:cs="Times New Roman"/>
          <w:lang w:val="en-GB"/>
        </w:rPr>
        <w:t>to the asylum policy</w:t>
      </w:r>
      <w:r w:rsidR="001F38A3" w:rsidRPr="00C76C0F">
        <w:rPr>
          <w:rFonts w:ascii="Times New Roman" w:eastAsia="Times New Roman" w:hAnsi="Times New Roman" w:cs="Times New Roman"/>
          <w:lang w:val="en-GB"/>
        </w:rPr>
        <w:t xml:space="preserve">. The EBGC </w:t>
      </w:r>
      <w:r w:rsidR="00A00341" w:rsidRPr="00C76C0F">
        <w:rPr>
          <w:rFonts w:ascii="Times New Roman" w:eastAsia="Times New Roman" w:hAnsi="Times New Roman" w:cs="Times New Roman"/>
          <w:lang w:val="en-GB"/>
        </w:rPr>
        <w:t xml:space="preserve">could be </w:t>
      </w:r>
      <w:r w:rsidR="00BA1653" w:rsidRPr="00C76C0F">
        <w:rPr>
          <w:rFonts w:ascii="Times New Roman" w:eastAsia="Times New Roman" w:hAnsi="Times New Roman" w:cs="Times New Roman"/>
          <w:lang w:val="en-GB"/>
        </w:rPr>
        <w:t xml:space="preserve">a </w:t>
      </w:r>
      <w:r w:rsidR="00C76C0F">
        <w:rPr>
          <w:rFonts w:ascii="Times New Roman" w:eastAsia="Times New Roman" w:hAnsi="Times New Roman" w:cs="Times New Roman"/>
          <w:lang w:val="en-GB"/>
        </w:rPr>
        <w:t>short-</w:t>
      </w:r>
      <w:r w:rsidR="00BA1653" w:rsidRPr="00C76C0F">
        <w:rPr>
          <w:rFonts w:ascii="Times New Roman" w:eastAsia="Times New Roman" w:hAnsi="Times New Roman" w:cs="Times New Roman"/>
          <w:lang w:val="en-GB"/>
        </w:rPr>
        <w:t xml:space="preserve">term solution to the situation </w:t>
      </w:r>
      <w:r w:rsidR="00A00341" w:rsidRPr="00C76C0F">
        <w:rPr>
          <w:rFonts w:ascii="Times New Roman" w:eastAsia="Times New Roman" w:hAnsi="Times New Roman" w:cs="Times New Roman"/>
          <w:lang w:val="en-GB"/>
        </w:rPr>
        <w:t>at the Greek borders</w:t>
      </w:r>
      <w:r w:rsidR="00431DFC" w:rsidRPr="00C76C0F">
        <w:rPr>
          <w:rFonts w:ascii="Times New Roman" w:eastAsia="Times New Roman" w:hAnsi="Times New Roman" w:cs="Times New Roman"/>
          <w:lang w:val="en-GB"/>
        </w:rPr>
        <w:t>,</w:t>
      </w:r>
      <w:r w:rsidR="00A00341" w:rsidRPr="00C76C0F">
        <w:rPr>
          <w:rFonts w:ascii="Times New Roman" w:eastAsia="Times New Roman" w:hAnsi="Times New Roman" w:cs="Times New Roman"/>
          <w:lang w:val="en-GB"/>
        </w:rPr>
        <w:t xml:space="preserve"> </w:t>
      </w:r>
      <w:r w:rsidR="00BA1653" w:rsidRPr="00C76C0F">
        <w:rPr>
          <w:rFonts w:ascii="Times New Roman" w:eastAsia="Times New Roman" w:hAnsi="Times New Roman" w:cs="Times New Roman"/>
          <w:lang w:val="en-GB"/>
        </w:rPr>
        <w:t xml:space="preserve">but </w:t>
      </w:r>
      <w:r w:rsidR="00E71EC4" w:rsidRPr="00C76C0F">
        <w:rPr>
          <w:rFonts w:ascii="Times New Roman" w:eastAsia="Times New Roman" w:hAnsi="Times New Roman" w:cs="Times New Roman"/>
          <w:lang w:val="en-GB"/>
        </w:rPr>
        <w:t xml:space="preserve">it will not solve </w:t>
      </w:r>
      <w:r w:rsidR="00BA1653" w:rsidRPr="00C76C0F">
        <w:rPr>
          <w:rFonts w:ascii="Times New Roman" w:eastAsia="Times New Roman" w:hAnsi="Times New Roman" w:cs="Times New Roman"/>
          <w:lang w:val="en-GB"/>
        </w:rPr>
        <w:t xml:space="preserve">the structural </w:t>
      </w:r>
      <w:r w:rsidR="00BA1653" w:rsidRPr="00C76C0F">
        <w:rPr>
          <w:rFonts w:ascii="Times New Roman" w:eastAsia="Times New Roman" w:hAnsi="Times New Roman" w:cs="Times New Roman"/>
          <w:lang w:val="en-GB"/>
        </w:rPr>
        <w:lastRenderedPageBreak/>
        <w:t xml:space="preserve">problem of border controls in the EU that </w:t>
      </w:r>
      <w:r w:rsidR="00A00341" w:rsidRPr="00C76C0F">
        <w:rPr>
          <w:rFonts w:ascii="Times New Roman" w:eastAsia="Times New Roman" w:hAnsi="Times New Roman" w:cs="Times New Roman"/>
          <w:lang w:val="en-GB"/>
        </w:rPr>
        <w:t>requires</w:t>
      </w:r>
      <w:r w:rsidR="00BA1653" w:rsidRPr="00C76C0F">
        <w:rPr>
          <w:rFonts w:ascii="Times New Roman" w:eastAsia="Times New Roman" w:hAnsi="Times New Roman" w:cs="Times New Roman"/>
          <w:lang w:val="en-GB"/>
        </w:rPr>
        <w:t xml:space="preserve"> a centralis</w:t>
      </w:r>
      <w:r w:rsidR="001F38A3" w:rsidRPr="00C76C0F">
        <w:rPr>
          <w:rFonts w:ascii="Times New Roman" w:eastAsia="Times New Roman" w:hAnsi="Times New Roman" w:cs="Times New Roman"/>
          <w:lang w:val="en-GB"/>
        </w:rPr>
        <w:t>ed agency for which there is no</w:t>
      </w:r>
      <w:r w:rsidR="00BA1653" w:rsidRPr="00C76C0F">
        <w:rPr>
          <w:rFonts w:ascii="Times New Roman" w:eastAsia="Times New Roman" w:hAnsi="Times New Roman" w:cs="Times New Roman"/>
          <w:lang w:val="en-GB"/>
        </w:rPr>
        <w:t xml:space="preserve"> legal basis in the Treaty.</w:t>
      </w:r>
    </w:p>
    <w:p w14:paraId="6026D220" w14:textId="77777777" w:rsidR="00B63DDA" w:rsidRPr="00C76C0F" w:rsidRDefault="00B63DDA" w:rsidP="00B63DDA">
      <w:pPr>
        <w:pStyle w:val="normal0"/>
        <w:spacing w:line="360" w:lineRule="auto"/>
        <w:jc w:val="both"/>
        <w:rPr>
          <w:rFonts w:ascii="Times New Roman" w:eastAsia="Times New Roman" w:hAnsi="Times New Roman" w:cs="Times New Roman"/>
          <w:lang w:val="en-GB"/>
        </w:rPr>
      </w:pPr>
    </w:p>
    <w:p w14:paraId="4C57F0AA" w14:textId="2F77864D" w:rsidR="00B63DDA" w:rsidRPr="00C76C0F" w:rsidRDefault="00E71EC4" w:rsidP="00C76C0F">
      <w:pPr>
        <w:pStyle w:val="normal0"/>
        <w:spacing w:line="360" w:lineRule="auto"/>
        <w:ind w:left="1440" w:hanging="1440"/>
        <w:jc w:val="both"/>
        <w:rPr>
          <w:rFonts w:ascii="Times New Roman" w:eastAsia="Times New Roman" w:hAnsi="Times New Roman" w:cs="Times New Roman"/>
          <w:lang w:val="en-GB"/>
        </w:rPr>
      </w:pPr>
      <w:r w:rsidRPr="00C76C0F">
        <w:rPr>
          <w:rFonts w:ascii="Times New Roman" w:eastAsia="Times New Roman" w:hAnsi="Times New Roman" w:cs="Times New Roman"/>
          <w:b/>
          <w:lang w:val="en-GB"/>
        </w:rPr>
        <w:t>Keywords</w:t>
      </w:r>
      <w:r w:rsidR="00B63DDA" w:rsidRPr="00C76C0F">
        <w:rPr>
          <w:rFonts w:ascii="Times New Roman" w:eastAsia="Times New Roman" w:hAnsi="Times New Roman" w:cs="Times New Roman"/>
          <w:b/>
          <w:lang w:val="en-GB"/>
        </w:rPr>
        <w:t>:</w:t>
      </w:r>
      <w:r w:rsidR="00C76C0F">
        <w:rPr>
          <w:rFonts w:ascii="Times New Roman" w:eastAsia="Times New Roman" w:hAnsi="Times New Roman" w:cs="Times New Roman"/>
          <w:b/>
          <w:lang w:val="en-GB"/>
        </w:rPr>
        <w:tab/>
      </w:r>
      <w:r w:rsidRPr="00C76C0F">
        <w:rPr>
          <w:rFonts w:ascii="Times New Roman" w:eastAsia="Times New Roman" w:hAnsi="Times New Roman" w:cs="Times New Roman"/>
          <w:lang w:val="en-GB"/>
        </w:rPr>
        <w:t>border controls,</w:t>
      </w:r>
      <w:r w:rsidR="000574D6" w:rsidRPr="00C76C0F">
        <w:rPr>
          <w:rFonts w:ascii="Times New Roman" w:eastAsia="Times New Roman" w:hAnsi="Times New Roman" w:cs="Times New Roman"/>
          <w:lang w:val="en-GB"/>
        </w:rPr>
        <w:t xml:space="preserve"> European ag</w:t>
      </w:r>
      <w:r w:rsidR="00C76C0F">
        <w:rPr>
          <w:rFonts w:ascii="Times New Roman" w:eastAsia="Times New Roman" w:hAnsi="Times New Roman" w:cs="Times New Roman"/>
          <w:lang w:val="en-GB"/>
        </w:rPr>
        <w:t xml:space="preserve">encies, </w:t>
      </w:r>
      <w:proofErr w:type="spellStart"/>
      <w:r w:rsidR="00DF740F">
        <w:rPr>
          <w:rFonts w:ascii="Times New Roman" w:eastAsia="Times New Roman" w:hAnsi="Times New Roman" w:cs="Times New Roman"/>
          <w:lang w:val="en-GB"/>
        </w:rPr>
        <w:t>Frontex</w:t>
      </w:r>
      <w:proofErr w:type="spellEnd"/>
      <w:r w:rsidR="00DF740F">
        <w:rPr>
          <w:rFonts w:ascii="Times New Roman" w:eastAsia="Times New Roman" w:hAnsi="Times New Roman" w:cs="Times New Roman"/>
          <w:lang w:val="en-GB"/>
        </w:rPr>
        <w:t xml:space="preserve">, </w:t>
      </w:r>
      <w:r w:rsidR="00C76C0F">
        <w:rPr>
          <w:rFonts w:ascii="Times New Roman" w:eastAsia="Times New Roman" w:hAnsi="Times New Roman" w:cs="Times New Roman"/>
          <w:lang w:val="en-GB"/>
        </w:rPr>
        <w:t xml:space="preserve">European Border </w:t>
      </w:r>
      <w:r w:rsidR="000574D6" w:rsidRPr="00C76C0F">
        <w:rPr>
          <w:rFonts w:ascii="Times New Roman" w:eastAsia="Times New Roman" w:hAnsi="Times New Roman" w:cs="Times New Roman"/>
          <w:lang w:val="en-GB"/>
        </w:rPr>
        <w:t>Guard, responsibility, solidarity</w:t>
      </w:r>
    </w:p>
    <w:p w14:paraId="64B877D5" w14:textId="77777777" w:rsidR="00B63DDA" w:rsidRPr="00C76C0F" w:rsidRDefault="00B63DDA" w:rsidP="00B63DDA">
      <w:pPr>
        <w:pStyle w:val="normal0"/>
        <w:spacing w:line="360" w:lineRule="auto"/>
        <w:jc w:val="both"/>
        <w:rPr>
          <w:rFonts w:ascii="Times New Roman" w:eastAsia="Times New Roman" w:hAnsi="Times New Roman" w:cs="Times New Roman"/>
          <w:lang w:val="en-GB"/>
        </w:rPr>
      </w:pPr>
    </w:p>
    <w:p w14:paraId="13DA0A90" w14:textId="77777777" w:rsidR="00B63DDA" w:rsidRPr="00C76C0F" w:rsidRDefault="00B63DDA" w:rsidP="00B63DDA">
      <w:pPr>
        <w:pStyle w:val="normal0"/>
        <w:spacing w:line="360" w:lineRule="auto"/>
        <w:jc w:val="both"/>
        <w:rPr>
          <w:rFonts w:ascii="Times New Roman" w:eastAsia="Times New Roman" w:hAnsi="Times New Roman" w:cs="Times New Roman"/>
          <w:lang w:val="en-GB"/>
        </w:rPr>
      </w:pPr>
    </w:p>
    <w:p w14:paraId="2ED3E42C" w14:textId="6786BDEC"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The crisis that the European Union faced in 2015 with the massive arrival of asylum seekers and migrants through the Western Balkans route is closely linked to the issue of controlling the external borders of the European Union. This is not the only issue related to the crisis: the unfair “Dublin” rules on allocating responsibility for asylum seekers are also an important factor, and the crisis can in no way be reduced to border controls despite efforts by some political leaders (particularly those in Central Europe) to do so. However, it is clear that borders are</w:t>
      </w:r>
      <w:r w:rsidR="002A1C7B">
        <w:rPr>
          <w:rFonts w:ascii="Times New Roman" w:eastAsia="Times New Roman" w:hAnsi="Times New Roman" w:cs="Times New Roman"/>
          <w:lang w:val="en-GB"/>
        </w:rPr>
        <w:t xml:space="preserve"> a key issue, </w:t>
      </w:r>
      <w:r w:rsidRPr="00C76C0F">
        <w:rPr>
          <w:rFonts w:ascii="Times New Roman" w:eastAsia="Times New Roman" w:hAnsi="Times New Roman" w:cs="Times New Roman"/>
          <w:lang w:val="en-GB"/>
        </w:rPr>
        <w:t>as Greece’s loss of control over its external borders had repercussions on the entire Schengen Area. The security concerns linked to the recent terrorist attacks only increased the relevance of this issue.</w:t>
      </w:r>
    </w:p>
    <w:p w14:paraId="11E525C2" w14:textId="77777777" w:rsidR="00BD1E16" w:rsidRPr="00C76C0F" w:rsidRDefault="00BD1E16" w:rsidP="00B63DDA">
      <w:pPr>
        <w:pStyle w:val="normal0"/>
        <w:spacing w:line="360" w:lineRule="auto"/>
        <w:jc w:val="both"/>
        <w:rPr>
          <w:lang w:val="en-GB"/>
        </w:rPr>
      </w:pPr>
    </w:p>
    <w:p w14:paraId="1EE638AE" w14:textId="5ACF95A4" w:rsidR="00BD1E16" w:rsidRPr="00CD09A1" w:rsidRDefault="00043735" w:rsidP="00B63DDA">
      <w:pPr>
        <w:pStyle w:val="normal0"/>
        <w:spacing w:line="360" w:lineRule="auto"/>
        <w:jc w:val="both"/>
        <w:rPr>
          <w:rFonts w:ascii="Times New Roman" w:eastAsia="Times New Roman" w:hAnsi="Times New Roman" w:cs="Times New Roman"/>
          <w:lang w:val="en-GB"/>
        </w:rPr>
      </w:pPr>
      <w:r w:rsidRPr="00C76C0F">
        <w:rPr>
          <w:rFonts w:ascii="Times New Roman" w:eastAsia="Times New Roman" w:hAnsi="Times New Roman" w:cs="Times New Roman"/>
          <w:lang w:val="en-GB"/>
        </w:rPr>
        <w:t>One can therefore understand why on 15 Decem</w:t>
      </w:r>
      <w:r w:rsidR="00C76C0F">
        <w:rPr>
          <w:rFonts w:ascii="Times New Roman" w:eastAsia="Times New Roman" w:hAnsi="Times New Roman" w:cs="Times New Roman"/>
          <w:lang w:val="en-GB"/>
        </w:rPr>
        <w:t xml:space="preserve">ber 2015 the Commission tabled </w:t>
      </w:r>
      <w:r w:rsidRPr="00C76C0F">
        <w:rPr>
          <w:rFonts w:ascii="Times New Roman" w:eastAsia="Times New Roman" w:hAnsi="Times New Roman" w:cs="Times New Roman"/>
          <w:lang w:val="en-GB"/>
        </w:rPr>
        <w:t xml:space="preserve">a proposal for a Regulation on the European Border and Coast Guard (EBCG) “in order to ensure a European integrated border management” by bringing it “to a qualitatively different level”, in particular by expanding substantially the competences of the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Agency by transforming it into a EBCG Agency. Having “identified the need to move to a shared management of external borders”, the Commission also intends “to render border management more effective and reliable by bringing it to a new level of responsibility and solidarity”</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1"/>
      </w:r>
      <w:r w:rsidRPr="00C76C0F">
        <w:rPr>
          <w:rFonts w:ascii="Times New Roman" w:eastAsia="Times New Roman" w:hAnsi="Times New Roman" w:cs="Times New Roman"/>
          <w:lang w:val="en-GB"/>
        </w:rPr>
        <w:t xml:space="preserve"> Thus, the EBCG proposal presented by the Commission </w:t>
      </w:r>
      <w:r w:rsidR="002F2DCD">
        <w:rPr>
          <w:rFonts w:ascii="Times New Roman" w:eastAsia="Times New Roman" w:hAnsi="Times New Roman" w:cs="Times New Roman"/>
          <w:lang w:val="en-GB"/>
        </w:rPr>
        <w:t>seemed to be</w:t>
      </w:r>
      <w:r w:rsidRPr="00C76C0F">
        <w:rPr>
          <w:rFonts w:ascii="Times New Roman" w:eastAsia="Times New Roman" w:hAnsi="Times New Roman" w:cs="Times New Roman"/>
          <w:lang w:val="en-GB"/>
        </w:rPr>
        <w:t xml:space="preserve"> an ambitious one. This impression was reinforced by the political controversy that followed the proposal, which centred on the possibility for the new Agency to substitute itself for Member States not controlling their own </w:t>
      </w:r>
      <w:r w:rsidRPr="00C76C0F">
        <w:rPr>
          <w:rFonts w:ascii="Times New Roman" w:eastAsia="Times New Roman" w:hAnsi="Times New Roman" w:cs="Times New Roman"/>
          <w:lang w:val="en-GB"/>
        </w:rPr>
        <w:lastRenderedPageBreak/>
        <w:t xml:space="preserve">external borders. If Member States oppose it in the name of their sovereignty, could it be that it is not really a powerful new European tool? </w:t>
      </w:r>
    </w:p>
    <w:p w14:paraId="01191D58" w14:textId="77777777" w:rsidR="00BD1E16" w:rsidRPr="00C76C0F" w:rsidRDefault="00BD1E16" w:rsidP="00B63DDA">
      <w:pPr>
        <w:pStyle w:val="normal0"/>
        <w:spacing w:line="360" w:lineRule="auto"/>
        <w:jc w:val="both"/>
        <w:rPr>
          <w:lang w:val="en-GB"/>
        </w:rPr>
      </w:pPr>
    </w:p>
    <w:p w14:paraId="3B8759F0" w14:textId="4E467E91"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On the basis of the idea that the EBCG is needed as soon as possible, the EU institutions are advancing through the legislative process at full speed in order to adopt the proposal by the summer of 2016. </w:t>
      </w:r>
      <w:r w:rsidR="00AC5FBD">
        <w:rPr>
          <w:rFonts w:ascii="Times New Roman" w:eastAsia="Times New Roman" w:hAnsi="Times New Roman" w:cs="Times New Roman"/>
          <w:lang w:val="en-GB"/>
        </w:rPr>
        <w:t>As t</w:t>
      </w:r>
      <w:r w:rsidRPr="00C76C0F">
        <w:rPr>
          <w:rFonts w:ascii="Times New Roman" w:eastAsia="Times New Roman" w:hAnsi="Times New Roman" w:cs="Times New Roman"/>
          <w:lang w:val="en-GB"/>
        </w:rPr>
        <w:t>he legislature</w:t>
      </w:r>
      <w:r w:rsidR="008E3232">
        <w:rPr>
          <w:rStyle w:val="FootnoteReference"/>
          <w:rFonts w:ascii="Times New Roman" w:eastAsia="Times New Roman" w:hAnsi="Times New Roman" w:cs="Times New Roman"/>
          <w:lang w:val="en-GB"/>
        </w:rPr>
        <w:footnoteReference w:id="2"/>
      </w:r>
      <w:r w:rsidRPr="00C76C0F">
        <w:rPr>
          <w:rFonts w:ascii="Times New Roman" w:eastAsia="Times New Roman" w:hAnsi="Times New Roman" w:cs="Times New Roman"/>
          <w:lang w:val="en-GB"/>
        </w:rPr>
        <w:t xml:space="preserve"> is in line w</w:t>
      </w:r>
      <w:r w:rsidR="00AC5FBD">
        <w:rPr>
          <w:rFonts w:ascii="Times New Roman" w:eastAsia="Times New Roman" w:hAnsi="Times New Roman" w:cs="Times New Roman"/>
          <w:lang w:val="en-GB"/>
        </w:rPr>
        <w:t xml:space="preserve">ith the Commission proposal, </w:t>
      </w:r>
      <w:r w:rsidRPr="00C76C0F">
        <w:rPr>
          <w:rFonts w:ascii="Times New Roman" w:eastAsia="Times New Roman" w:hAnsi="Times New Roman" w:cs="Times New Roman"/>
          <w:lang w:val="en-GB"/>
        </w:rPr>
        <w:t>this extremel</w:t>
      </w:r>
      <w:r w:rsidR="00CF74AE">
        <w:rPr>
          <w:rFonts w:ascii="Times New Roman" w:eastAsia="Times New Roman" w:hAnsi="Times New Roman" w:cs="Times New Roman"/>
          <w:lang w:val="en-GB"/>
        </w:rPr>
        <w:t>y tight calendar (7</w:t>
      </w:r>
      <w:r w:rsidRPr="00C76C0F">
        <w:rPr>
          <w:rFonts w:ascii="Times New Roman" w:eastAsia="Times New Roman" w:hAnsi="Times New Roman" w:cs="Times New Roman"/>
          <w:lang w:val="en-GB"/>
        </w:rPr>
        <w:t xml:space="preserve"> months for the Council and the Parliament to adopt a</w:t>
      </w:r>
      <w:r w:rsidR="002F2DCD">
        <w:rPr>
          <w:rFonts w:ascii="Times New Roman" w:eastAsia="Times New Roman" w:hAnsi="Times New Roman" w:cs="Times New Roman"/>
          <w:lang w:val="en-GB"/>
        </w:rPr>
        <w:t>n important</w:t>
      </w:r>
      <w:r w:rsidRPr="00C76C0F">
        <w:rPr>
          <w:rFonts w:ascii="Times New Roman" w:eastAsia="Times New Roman" w:hAnsi="Times New Roman" w:cs="Times New Roman"/>
          <w:lang w:val="en-GB"/>
        </w:rPr>
        <w:t xml:space="preserve"> proposal in co-decision</w:t>
      </w:r>
      <w:r w:rsidR="002F2DCD">
        <w:rPr>
          <w:rFonts w:ascii="Times New Roman" w:eastAsia="Times New Roman" w:hAnsi="Times New Roman" w:cs="Times New Roman"/>
          <w:lang w:val="en-GB"/>
        </w:rPr>
        <w:t>!</w:t>
      </w:r>
      <w:r w:rsidRPr="00C76C0F">
        <w:rPr>
          <w:rFonts w:ascii="Times New Roman" w:eastAsia="Times New Roman" w:hAnsi="Times New Roman" w:cs="Times New Roman"/>
          <w:lang w:val="en-GB"/>
        </w:rPr>
        <w:t xml:space="preserve">) </w:t>
      </w:r>
      <w:r w:rsidR="00AC5FBD">
        <w:rPr>
          <w:rFonts w:ascii="Times New Roman" w:eastAsia="Times New Roman" w:hAnsi="Times New Roman" w:cs="Times New Roman"/>
          <w:lang w:val="en-GB"/>
        </w:rPr>
        <w:t xml:space="preserve">will be </w:t>
      </w:r>
      <w:r w:rsidRPr="00C76C0F">
        <w:rPr>
          <w:rFonts w:ascii="Times New Roman" w:eastAsia="Times New Roman" w:hAnsi="Times New Roman" w:cs="Times New Roman"/>
          <w:lang w:val="en-GB"/>
        </w:rPr>
        <w:t xml:space="preserve">respected, although one may wonder </w:t>
      </w:r>
      <w:r w:rsidR="002F2DCD">
        <w:rPr>
          <w:rFonts w:ascii="Times New Roman" w:eastAsia="Times New Roman" w:hAnsi="Times New Roman" w:cs="Times New Roman"/>
          <w:lang w:val="en-GB"/>
        </w:rPr>
        <w:t>if it</w:t>
      </w:r>
      <w:bookmarkStart w:id="0" w:name="_GoBack"/>
      <w:bookmarkEnd w:id="0"/>
      <w:r w:rsidRPr="00C76C0F">
        <w:rPr>
          <w:rFonts w:ascii="Times New Roman" w:eastAsia="Times New Roman" w:hAnsi="Times New Roman" w:cs="Times New Roman"/>
          <w:lang w:val="en-GB"/>
        </w:rPr>
        <w:t xml:space="preserve"> will be possible to implement the new regulation by l</w:t>
      </w:r>
      <w:r w:rsidR="00CF74AE">
        <w:rPr>
          <w:rFonts w:ascii="Times New Roman" w:eastAsia="Times New Roman" w:hAnsi="Times New Roman" w:cs="Times New Roman"/>
          <w:lang w:val="en-GB"/>
        </w:rPr>
        <w:t xml:space="preserve">aunching the EBCG Agency </w:t>
      </w:r>
      <w:r w:rsidR="00AC5FBD">
        <w:rPr>
          <w:rFonts w:ascii="Times New Roman" w:eastAsia="Times New Roman" w:hAnsi="Times New Roman" w:cs="Times New Roman"/>
          <w:lang w:val="en-GB"/>
        </w:rPr>
        <w:t xml:space="preserve">within </w:t>
      </w:r>
      <w:r w:rsidRPr="00C76C0F">
        <w:rPr>
          <w:rFonts w:ascii="Times New Roman" w:eastAsia="Times New Roman" w:hAnsi="Times New Roman" w:cs="Times New Roman"/>
          <w:lang w:val="en-GB"/>
        </w:rPr>
        <w:t xml:space="preserve">a few </w:t>
      </w:r>
      <w:r w:rsidR="00AC5FBD">
        <w:rPr>
          <w:rFonts w:ascii="Times New Roman" w:eastAsia="Times New Roman" w:hAnsi="Times New Roman" w:cs="Times New Roman"/>
          <w:lang w:val="en-GB"/>
        </w:rPr>
        <w:t>months</w:t>
      </w:r>
      <w:r w:rsidRPr="00C76C0F">
        <w:rPr>
          <w:rFonts w:ascii="Times New Roman" w:eastAsia="Times New Roman" w:hAnsi="Times New Roman" w:cs="Times New Roman"/>
          <w:lang w:val="en-GB"/>
        </w:rPr>
        <w:t xml:space="preserve"> as intended.</w:t>
      </w:r>
    </w:p>
    <w:p w14:paraId="52922308" w14:textId="77777777" w:rsidR="00BD1E16" w:rsidRPr="00C76C0F" w:rsidRDefault="00BD1E16" w:rsidP="00B63DDA">
      <w:pPr>
        <w:pStyle w:val="normal0"/>
        <w:spacing w:line="360" w:lineRule="auto"/>
        <w:jc w:val="both"/>
        <w:rPr>
          <w:lang w:val="en-GB"/>
        </w:rPr>
      </w:pPr>
    </w:p>
    <w:p w14:paraId="4B56BCDA" w14:textId="75ED4795"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However, the principles on which the Commission proposal is based are questionable. Firstly, even if it represents an important change towards</w:t>
      </w:r>
      <w:r w:rsidR="00C76C0F">
        <w:rPr>
          <w:rFonts w:ascii="Times New Roman" w:eastAsia="Times New Roman" w:hAnsi="Times New Roman" w:cs="Times New Roman"/>
          <w:lang w:val="en-GB"/>
        </w:rPr>
        <w:t xml:space="preserve"> a new, but problematic, model </w:t>
      </w:r>
      <w:r w:rsidRPr="00C76C0F">
        <w:rPr>
          <w:rFonts w:ascii="Times New Roman" w:eastAsia="Times New Roman" w:hAnsi="Times New Roman" w:cs="Times New Roman"/>
          <w:lang w:val="en-GB"/>
        </w:rPr>
        <w:t>of the new Agency’s role in relation to the Member States, it maintains a level of confusion surrounding the different concepts related to border controls by wrongly claiming to create a European Border and Coast Guard. Secondly, it pretends to change the way responsibilities are shared between the EU and its Member States while it preserves the old logic of implementing border controls by emphasising a supposed principle of responsibility as superior to the principle of solidarity, in contravention to the Treaty.</w:t>
      </w:r>
    </w:p>
    <w:p w14:paraId="30AB32E6" w14:textId="77777777" w:rsidR="00BD1E16" w:rsidRPr="00C76C0F" w:rsidRDefault="00BD1E16" w:rsidP="00B63DDA">
      <w:pPr>
        <w:pStyle w:val="normal0"/>
        <w:spacing w:line="360" w:lineRule="auto"/>
        <w:jc w:val="both"/>
        <w:rPr>
          <w:lang w:val="en-GB"/>
        </w:rPr>
      </w:pPr>
    </w:p>
    <w:p w14:paraId="32CC73AD" w14:textId="199DB58D" w:rsidR="00BD1E16" w:rsidRPr="00C76C0F" w:rsidRDefault="00B63DDA" w:rsidP="00B63DDA">
      <w:pPr>
        <w:pStyle w:val="normal0"/>
        <w:spacing w:line="360" w:lineRule="auto"/>
        <w:jc w:val="both"/>
        <w:rPr>
          <w:lang w:val="en-GB"/>
        </w:rPr>
      </w:pPr>
      <w:r w:rsidRPr="00C76C0F">
        <w:rPr>
          <w:rFonts w:ascii="Times New Roman" w:eastAsia="Times New Roman" w:hAnsi="Times New Roman" w:cs="Times New Roman"/>
          <w:b/>
          <w:u w:val="single"/>
          <w:lang w:val="en-GB"/>
        </w:rPr>
        <w:t>I</w:t>
      </w:r>
      <w:r w:rsidR="00C76C0F" w:rsidRPr="00C76C0F">
        <w:rPr>
          <w:rFonts w:ascii="Times New Roman" w:eastAsia="Times New Roman" w:hAnsi="Times New Roman" w:cs="Times New Roman"/>
          <w:b/>
          <w:u w:val="single"/>
          <w:lang w:val="en-GB"/>
        </w:rPr>
        <w:t xml:space="preserve">. A new </w:t>
      </w:r>
      <w:r w:rsidR="00D70A29">
        <w:rPr>
          <w:rFonts w:ascii="Times New Roman" w:eastAsia="Times New Roman" w:hAnsi="Times New Roman" w:cs="Times New Roman"/>
          <w:b/>
          <w:u w:val="single"/>
          <w:lang w:val="en-GB"/>
        </w:rPr>
        <w:t>model?</w:t>
      </w:r>
      <w:r w:rsidR="00C76C0F" w:rsidRPr="00C76C0F">
        <w:rPr>
          <w:rFonts w:ascii="Times New Roman" w:eastAsia="Times New Roman" w:hAnsi="Times New Roman" w:cs="Times New Roman"/>
          <w:b/>
          <w:u w:val="single"/>
          <w:lang w:val="en-GB"/>
        </w:rPr>
        <w:t xml:space="preserve"> H</w:t>
      </w:r>
      <w:r w:rsidR="00043735" w:rsidRPr="00C76C0F">
        <w:rPr>
          <w:rFonts w:ascii="Times New Roman" w:eastAsia="Times New Roman" w:hAnsi="Times New Roman" w:cs="Times New Roman"/>
          <w:b/>
          <w:u w:val="single"/>
          <w:lang w:val="en-GB"/>
        </w:rPr>
        <w:t xml:space="preserve">ierarchy within </w:t>
      </w:r>
      <w:r w:rsidR="00C76C0F" w:rsidRPr="00C76C0F">
        <w:rPr>
          <w:rFonts w:ascii="Times New Roman" w:eastAsia="Times New Roman" w:hAnsi="Times New Roman" w:cs="Times New Roman"/>
          <w:b/>
          <w:u w:val="single"/>
          <w:lang w:val="en-GB"/>
        </w:rPr>
        <w:t>an intergovernmental</w:t>
      </w:r>
      <w:r w:rsidR="00043735" w:rsidRPr="00C76C0F">
        <w:rPr>
          <w:rFonts w:ascii="Times New Roman" w:eastAsia="Times New Roman" w:hAnsi="Times New Roman" w:cs="Times New Roman"/>
          <w:b/>
          <w:u w:val="single"/>
          <w:lang w:val="en-GB"/>
        </w:rPr>
        <w:t xml:space="preserve"> network</w:t>
      </w:r>
    </w:p>
    <w:p w14:paraId="5A81656F" w14:textId="17790442"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T</w:t>
      </w:r>
      <w:r w:rsidR="008E3232">
        <w:rPr>
          <w:rFonts w:ascii="Times New Roman" w:eastAsia="Times New Roman" w:hAnsi="Times New Roman" w:cs="Times New Roman"/>
          <w:lang w:val="en-GB"/>
        </w:rPr>
        <w:t xml:space="preserve">he </w:t>
      </w:r>
      <w:proofErr w:type="spellStart"/>
      <w:r w:rsidR="008E3232">
        <w:rPr>
          <w:rFonts w:ascii="Times New Roman" w:eastAsia="Times New Roman" w:hAnsi="Times New Roman" w:cs="Times New Roman"/>
          <w:lang w:val="en-GB"/>
        </w:rPr>
        <w:t>Frontex</w:t>
      </w:r>
      <w:proofErr w:type="spellEnd"/>
      <w:r w:rsidR="008E3232">
        <w:rPr>
          <w:rFonts w:ascii="Times New Roman" w:eastAsia="Times New Roman" w:hAnsi="Times New Roman" w:cs="Times New Roman"/>
          <w:lang w:val="en-GB"/>
        </w:rPr>
        <w:t xml:space="preserve"> Agency was built by Regulation 2007</w:t>
      </w:r>
      <w:r w:rsidRPr="00C76C0F">
        <w:rPr>
          <w:rFonts w:ascii="Times New Roman" w:eastAsia="Times New Roman" w:hAnsi="Times New Roman" w:cs="Times New Roman"/>
          <w:lang w:val="en-GB"/>
        </w:rPr>
        <w:t xml:space="preserve">/2004 as the core of a network made of the national authorities in charge of border controls. Despite the Commission proposal’s intention to considerably enlarge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competences, the biggest envisaged change concerns the nature of the Agency: if the proposal is adopted without fundamental changes, </w:t>
      </w:r>
      <w:r w:rsidR="00DF740F">
        <w:rPr>
          <w:rFonts w:ascii="Times New Roman" w:eastAsia="Times New Roman" w:hAnsi="Times New Roman" w:cs="Times New Roman"/>
          <w:lang w:val="en-GB"/>
        </w:rPr>
        <w:t xml:space="preserve">the new European borders agency </w:t>
      </w:r>
      <w:r w:rsidRPr="00C76C0F">
        <w:rPr>
          <w:rFonts w:ascii="Times New Roman" w:eastAsia="Times New Roman" w:hAnsi="Times New Roman" w:cs="Times New Roman"/>
          <w:lang w:val="en-GB"/>
        </w:rPr>
        <w:t xml:space="preserve">will become the line </w:t>
      </w:r>
      <w:r w:rsidRPr="00C76C0F">
        <w:rPr>
          <w:rFonts w:ascii="Times New Roman" w:eastAsia="Times New Roman" w:hAnsi="Times New Roman" w:cs="Times New Roman"/>
          <w:lang w:val="en-GB"/>
        </w:rPr>
        <w:lastRenderedPageBreak/>
        <w:t>manager or even the Chief Executive Officer (CEO)</w:t>
      </w:r>
      <w:r w:rsidRPr="00C76C0F">
        <w:rPr>
          <w:rFonts w:ascii="Times New Roman" w:eastAsia="Times New Roman" w:hAnsi="Times New Roman" w:cs="Times New Roman"/>
          <w:vertAlign w:val="superscript"/>
          <w:lang w:val="en-GB"/>
        </w:rPr>
        <w:footnoteReference w:id="3"/>
      </w:r>
      <w:r w:rsidRPr="00C76C0F">
        <w:rPr>
          <w:rFonts w:ascii="Times New Roman" w:eastAsia="Times New Roman" w:hAnsi="Times New Roman" w:cs="Times New Roman"/>
          <w:lang w:val="en-GB"/>
        </w:rPr>
        <w:t xml:space="preserve"> of Member States’ authorities in charge of external border control. The goal of the proposal is to prevent future crises and to remedy the insufficient power of the agency over Member States.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desperately needs Member States’ cooperation, however, they do not always collaborate fully, and the Agency has neither the necessary information to act nor the power to force the Member States to do so. </w:t>
      </w:r>
    </w:p>
    <w:p w14:paraId="311D47B0" w14:textId="77777777" w:rsidR="00BD1E16" w:rsidRPr="00C76C0F" w:rsidRDefault="00BD1E16" w:rsidP="00B63DDA">
      <w:pPr>
        <w:pStyle w:val="normal0"/>
        <w:spacing w:line="360" w:lineRule="auto"/>
        <w:jc w:val="both"/>
        <w:rPr>
          <w:lang w:val="en-GB"/>
        </w:rPr>
      </w:pPr>
    </w:p>
    <w:p w14:paraId="4B540826"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In that sense, the EBCG proposal is a crucial step in the evolution of the Agency. The proposal gives it progressively more and more power over the Member States, as demonstrated by several provisions: </w:t>
      </w:r>
    </w:p>
    <w:p w14:paraId="71C97224" w14:textId="77777777" w:rsidR="00BD1E16" w:rsidRPr="00C76C0F" w:rsidRDefault="00043735" w:rsidP="00B63DDA">
      <w:pPr>
        <w:pStyle w:val="normal0"/>
        <w:numPr>
          <w:ilvl w:val="0"/>
          <w:numId w:val="1"/>
        </w:numPr>
        <w:spacing w:line="360" w:lineRule="auto"/>
        <w:ind w:hanging="360"/>
        <w:contextualSpacing/>
        <w:jc w:val="both"/>
        <w:rPr>
          <w:lang w:val="en-GB"/>
        </w:rPr>
      </w:pPr>
      <w:r w:rsidRPr="00C76C0F">
        <w:rPr>
          <w:rFonts w:ascii="Times New Roman" w:eastAsia="Times New Roman" w:hAnsi="Times New Roman" w:cs="Times New Roman"/>
          <w:lang w:val="en-GB"/>
        </w:rPr>
        <w:t>The Agency will adopt a European “operational and technical strategy” with which the “national strategies” of Member States will have to be “</w:t>
      </w:r>
      <w:r w:rsidRPr="00C76C0F">
        <w:rPr>
          <w:rFonts w:ascii="Times New Roman" w:eastAsia="Times New Roman" w:hAnsi="Times New Roman" w:cs="Times New Roman"/>
          <w:i/>
          <w:lang w:val="en-GB"/>
        </w:rPr>
        <w:t>coherent</w:t>
      </w:r>
      <w:r w:rsidRPr="00C76C0F">
        <w:rPr>
          <w:rFonts w:ascii="Times New Roman" w:eastAsia="Times New Roman" w:hAnsi="Times New Roman" w:cs="Times New Roman"/>
          <w:lang w:val="en-GB"/>
        </w:rPr>
        <w:t>” (article 3);</w:t>
      </w:r>
    </w:p>
    <w:p w14:paraId="582CD533" w14:textId="77777777" w:rsidR="00BD1E16" w:rsidRPr="00C76C0F" w:rsidRDefault="00043735" w:rsidP="00B63DDA">
      <w:pPr>
        <w:pStyle w:val="normal0"/>
        <w:numPr>
          <w:ilvl w:val="0"/>
          <w:numId w:val="1"/>
        </w:numPr>
        <w:spacing w:line="360" w:lineRule="auto"/>
        <w:ind w:hanging="360"/>
        <w:contextualSpacing/>
        <w:jc w:val="both"/>
        <w:rPr>
          <w:lang w:val="en-GB"/>
        </w:rPr>
      </w:pPr>
      <w:r w:rsidRPr="00C76C0F">
        <w:rPr>
          <w:rFonts w:ascii="Times New Roman" w:eastAsia="Times New Roman" w:hAnsi="Times New Roman" w:cs="Times New Roman"/>
          <w:lang w:val="en-GB"/>
        </w:rPr>
        <w:t xml:space="preserve">Member States shall “take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risk analysis </w:t>
      </w:r>
      <w:r w:rsidRPr="00C76C0F">
        <w:rPr>
          <w:rFonts w:ascii="Times New Roman" w:eastAsia="Times New Roman" w:hAnsi="Times New Roman" w:cs="Times New Roman"/>
          <w:i/>
          <w:lang w:val="en-GB"/>
        </w:rPr>
        <w:t>into account</w:t>
      </w:r>
      <w:r w:rsidRPr="00C76C0F">
        <w:rPr>
          <w:rFonts w:ascii="Times New Roman" w:eastAsia="Times New Roman" w:hAnsi="Times New Roman" w:cs="Times New Roman"/>
          <w:lang w:val="en-GB"/>
        </w:rPr>
        <w:t xml:space="preserve"> when planning their activities” (article 10, §6); </w:t>
      </w:r>
    </w:p>
    <w:p w14:paraId="4AFBE4C3" w14:textId="77777777" w:rsidR="00BD1E16" w:rsidRPr="00C76C0F" w:rsidRDefault="00043735" w:rsidP="00B63DDA">
      <w:pPr>
        <w:pStyle w:val="normal0"/>
        <w:numPr>
          <w:ilvl w:val="0"/>
          <w:numId w:val="1"/>
        </w:numPr>
        <w:spacing w:line="360" w:lineRule="auto"/>
        <w:ind w:hanging="360"/>
        <w:contextualSpacing/>
        <w:jc w:val="both"/>
        <w:rPr>
          <w:lang w:val="en-GB"/>
        </w:rPr>
      </w:pPr>
      <w:r w:rsidRPr="00C76C0F">
        <w:rPr>
          <w:rFonts w:ascii="Times New Roman" w:eastAsia="Times New Roman" w:hAnsi="Times New Roman" w:cs="Times New Roman"/>
          <w:lang w:val="en-GB"/>
        </w:rPr>
        <w:t>Member States have a general obligation to provide timely and accurate information to the Agency (article 9);</w:t>
      </w:r>
    </w:p>
    <w:p w14:paraId="3C83E182" w14:textId="77777777" w:rsidR="00BD1E16" w:rsidRPr="00C76C0F" w:rsidRDefault="00043735" w:rsidP="00B63DDA">
      <w:pPr>
        <w:pStyle w:val="normal0"/>
        <w:numPr>
          <w:ilvl w:val="0"/>
          <w:numId w:val="1"/>
        </w:numPr>
        <w:spacing w:line="360" w:lineRule="auto"/>
        <w:ind w:hanging="360"/>
        <w:contextualSpacing/>
        <w:jc w:val="both"/>
        <w:rPr>
          <w:lang w:val="en-GB"/>
        </w:rPr>
      </w:pPr>
      <w:r w:rsidRPr="00C76C0F">
        <w:rPr>
          <w:rFonts w:ascii="Times New Roman" w:eastAsia="Times New Roman" w:hAnsi="Times New Roman" w:cs="Times New Roman"/>
          <w:lang w:val="en-GB"/>
        </w:rPr>
        <w:t>The Agency will deploy its own Liaison Officers to Member States. These officers will report regularly to the Executive Director of the Agency on the capacity of Member States to deal with the situation at their external borders (article 11, §3, e)</w:t>
      </w:r>
    </w:p>
    <w:p w14:paraId="2A6F1BCF" w14:textId="0E0996E1" w:rsidR="00BD1E16" w:rsidRPr="00C76C0F" w:rsidRDefault="00043735" w:rsidP="00B63DDA">
      <w:pPr>
        <w:pStyle w:val="normal0"/>
        <w:numPr>
          <w:ilvl w:val="0"/>
          <w:numId w:val="1"/>
        </w:numPr>
        <w:spacing w:line="360" w:lineRule="auto"/>
        <w:ind w:hanging="360"/>
        <w:contextualSpacing/>
        <w:jc w:val="both"/>
        <w:rPr>
          <w:lang w:val="en-GB"/>
        </w:rPr>
      </w:pPr>
      <w:r w:rsidRPr="00C76C0F">
        <w:rPr>
          <w:rFonts w:ascii="Times New Roman" w:eastAsia="Times New Roman" w:hAnsi="Times New Roman" w:cs="Times New Roman"/>
          <w:lang w:val="en-GB"/>
        </w:rPr>
        <w:t xml:space="preserve">The Agency shall evaluate Member States’ “capacity” to control their section of the external borders by a “vulnerability assessment” (article 12); previously “capacity assessment” was a task that the Agency was authorized to undertake on the basis of article 4, second indent of the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Regulation as amended in 2011, however, it was a possibility - not an obligation for the Agency - and it has not been implemented due to a lack of resources and resistance from </w:t>
      </w:r>
      <w:r w:rsidRPr="00C76C0F">
        <w:rPr>
          <w:rFonts w:ascii="Times New Roman" w:eastAsia="Times New Roman" w:hAnsi="Times New Roman" w:cs="Times New Roman"/>
          <w:lang w:val="en-GB"/>
        </w:rPr>
        <w:lastRenderedPageBreak/>
        <w:t xml:space="preserve">Member States following the evaluation of the Agency’s activities carried out in 2015 by </w:t>
      </w:r>
      <w:proofErr w:type="spellStart"/>
      <w:r w:rsidRPr="00C76C0F">
        <w:rPr>
          <w:rFonts w:ascii="Times New Roman" w:eastAsia="Times New Roman" w:hAnsi="Times New Roman" w:cs="Times New Roman"/>
          <w:lang w:val="en-GB"/>
        </w:rPr>
        <w:t>Ramboll</w:t>
      </w:r>
      <w:proofErr w:type="spellEnd"/>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4"/>
      </w:r>
    </w:p>
    <w:p w14:paraId="038A970A" w14:textId="77777777" w:rsidR="00BD1E16" w:rsidRPr="00C76C0F" w:rsidRDefault="00043735" w:rsidP="00B63DDA">
      <w:pPr>
        <w:pStyle w:val="normal0"/>
        <w:numPr>
          <w:ilvl w:val="0"/>
          <w:numId w:val="1"/>
        </w:numPr>
        <w:spacing w:line="360" w:lineRule="auto"/>
        <w:ind w:hanging="360"/>
        <w:contextualSpacing/>
        <w:jc w:val="both"/>
        <w:rPr>
          <w:lang w:val="en-GB"/>
        </w:rPr>
      </w:pPr>
      <w:r w:rsidRPr="00C76C0F">
        <w:rPr>
          <w:rFonts w:ascii="Times New Roman" w:eastAsia="Times New Roman" w:hAnsi="Times New Roman" w:cs="Times New Roman"/>
          <w:lang w:val="en-GB"/>
        </w:rPr>
        <w:t>If this “vulnerability assessment” concludes that their capacity is insufficient, a sanction is foreseen: the Executive Director can take a “binding decision imposing corrective measures” on the Member State, and if this decision is not implemented, the Management board of the Agency and the European Commission may intervene (article 12);</w:t>
      </w:r>
    </w:p>
    <w:p w14:paraId="76D10F01" w14:textId="64B396A6" w:rsidR="00BD1E16" w:rsidRPr="00C76C0F" w:rsidRDefault="00043735" w:rsidP="00B63DDA">
      <w:pPr>
        <w:pStyle w:val="normal0"/>
        <w:numPr>
          <w:ilvl w:val="0"/>
          <w:numId w:val="1"/>
        </w:numPr>
        <w:spacing w:line="360" w:lineRule="auto"/>
        <w:ind w:hanging="360"/>
        <w:contextualSpacing/>
        <w:jc w:val="both"/>
        <w:rPr>
          <w:lang w:val="en-GB"/>
        </w:rPr>
      </w:pPr>
      <w:r w:rsidRPr="00C76C0F">
        <w:rPr>
          <w:rFonts w:ascii="Times New Roman" w:eastAsia="Times New Roman" w:hAnsi="Times New Roman" w:cs="Times New Roman"/>
          <w:lang w:val="en-GB"/>
        </w:rPr>
        <w:t xml:space="preserve">Finally, the proposal contains a provision which gives the Agency the power to substitute itself for a Member State in the case of failure to implement the corrective measures following a vulnerability assessment or in the case of “disproportionate migratory pressure at the external border, which risks putting </w:t>
      </w:r>
      <w:r w:rsidR="00DF740F">
        <w:rPr>
          <w:rFonts w:ascii="Times New Roman" w:eastAsia="Times New Roman" w:hAnsi="Times New Roman" w:cs="Times New Roman"/>
          <w:lang w:val="en-GB"/>
        </w:rPr>
        <w:t xml:space="preserve">in jeopardy the functioning of </w:t>
      </w:r>
      <w:r w:rsidRPr="00C76C0F">
        <w:rPr>
          <w:rFonts w:ascii="Times New Roman" w:eastAsia="Times New Roman" w:hAnsi="Times New Roman" w:cs="Times New Roman"/>
          <w:lang w:val="en-GB"/>
        </w:rPr>
        <w:t>the Schengen Area”. In such case, the Member State will be obliged to cooperate with the Agency, which will apply the measures identified by the Commission. This mechanism, foreseen by article 18 of the proposal, became famous immediately after the presentation of the Commission proposal, as several Member States expressed their opposition to what they considered a violation of their sovereignty. Following this political positioning, Member States in the Council do not currently oppose the substitution mechanism as such, but propose instead to give the power to act against a Member State to the Council rather than the Commission. It is not certain that such a change constitutes an adequate answer to the constitutional problem that has been raised. Some experts consider indeed that “The right to intervene under the Commission’s proposal raises serious concerns as regards articles 4(2) TEU and 72 TFEU”</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5"/>
      </w:r>
      <w:r w:rsidRPr="00C76C0F">
        <w:rPr>
          <w:rFonts w:ascii="Times New Roman" w:eastAsia="Times New Roman" w:hAnsi="Times New Roman" w:cs="Times New Roman"/>
          <w:lang w:val="en-GB"/>
        </w:rPr>
        <w:t xml:space="preserve"> The same seems to be true for the Council amendment as what is at stake is not the horizontal division of powers between the EU institutions but the vertical </w:t>
      </w:r>
      <w:r w:rsidRPr="00C76C0F">
        <w:rPr>
          <w:rFonts w:ascii="Times New Roman" w:eastAsia="Times New Roman" w:hAnsi="Times New Roman" w:cs="Times New Roman"/>
          <w:lang w:val="en-GB"/>
        </w:rPr>
        <w:lastRenderedPageBreak/>
        <w:t xml:space="preserve">distribution of competences between the EU and the Member States. The Treaty provisions indeed preserve the power of each Member State to act for the maintenance of law and order. </w:t>
      </w:r>
    </w:p>
    <w:p w14:paraId="4D39984B" w14:textId="77777777" w:rsidR="00BD1E16" w:rsidRPr="00C76C0F" w:rsidRDefault="00BD1E16" w:rsidP="00B63DDA">
      <w:pPr>
        <w:pStyle w:val="normal0"/>
        <w:spacing w:line="360" w:lineRule="auto"/>
        <w:jc w:val="both"/>
        <w:rPr>
          <w:lang w:val="en-GB"/>
        </w:rPr>
      </w:pPr>
    </w:p>
    <w:p w14:paraId="359443B2" w14:textId="228370B8"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This change of model from a flat network to a kind of hierarchy also raises the problem of the institutional configuration of the Agency. One may wonder if it will benefit from enough independence from the Member States to carry out authentic vulnerability assessments, in particular if the Executive Director will be “completely (sic) independent” (article 67 (1) of the proposal) to make the necessary recommendations, and if the management board will able to adopt the necessary decisions on this basis in order to eliminate the identified vulnerabilities. These questions are relevant, as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is (and the EBCG will remain) an agency of intergovernmental nature, where most of the power belongs to the Member States through the Management board and to the Executive Director appointed by the Management Board and accountable to him. The Commission proposed the creation of a new supervisory board made of the Deputy Executive Director, four senior officials of the Agency and one representative of the Commission in order to advise him, in other words, not to leave him to decide on such important and delicate issues alone. The Council and the Parliament seem willing to delete this provision, but do not seek to address the issue otherwise. It is true that the issue is new, as most of the literature on agencies to date has focused on the issue of accountability of the agencies rather than their independence</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6"/>
      </w:r>
      <w:r w:rsidRPr="00C76C0F">
        <w:rPr>
          <w:rFonts w:ascii="Times New Roman" w:eastAsia="Times New Roman" w:hAnsi="Times New Roman" w:cs="Times New Roman"/>
          <w:lang w:val="en-GB"/>
        </w:rPr>
        <w:t xml:space="preserve"> but independence must also be addressed, as the agencies in the area of freedom, security and justice are confronted more often than the others with highly political and even politicised issues.</w:t>
      </w:r>
    </w:p>
    <w:p w14:paraId="13F5E453" w14:textId="77777777" w:rsidR="00BD1E16" w:rsidRPr="00C76C0F" w:rsidRDefault="00BD1E16" w:rsidP="00B63DDA">
      <w:pPr>
        <w:pStyle w:val="normal0"/>
        <w:spacing w:line="360" w:lineRule="auto"/>
        <w:jc w:val="both"/>
        <w:rPr>
          <w:lang w:val="en-GB"/>
        </w:rPr>
      </w:pPr>
    </w:p>
    <w:p w14:paraId="5B4503C4" w14:textId="27EFE338"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Finally, contrary to what it pretends, the proposal does not create a European Border and Coast Guard (EBCG). It is important to understand the meaning of this notion and </w:t>
      </w:r>
      <w:r w:rsidRPr="00C76C0F">
        <w:rPr>
          <w:rFonts w:ascii="Times New Roman" w:eastAsia="Times New Roman" w:hAnsi="Times New Roman" w:cs="Times New Roman"/>
          <w:lang w:val="en-GB"/>
        </w:rPr>
        <w:lastRenderedPageBreak/>
        <w:t>differentiate it from integrated border management</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7"/>
      </w:r>
      <w:r w:rsidRPr="00C76C0F">
        <w:rPr>
          <w:rFonts w:ascii="Times New Roman" w:eastAsia="Times New Roman" w:hAnsi="Times New Roman" w:cs="Times New Roman"/>
          <w:lang w:val="en-GB"/>
        </w:rPr>
        <w:t xml:space="preserve"> which is not easy due to the proliferation of notions lacking a precise meaning.</w:t>
      </w:r>
    </w:p>
    <w:p w14:paraId="01AE5837" w14:textId="77777777" w:rsidR="00BD1E16" w:rsidRPr="00C76C0F" w:rsidRDefault="00BD1E16" w:rsidP="00B63DDA">
      <w:pPr>
        <w:pStyle w:val="normal0"/>
        <w:spacing w:line="360" w:lineRule="auto"/>
        <w:jc w:val="both"/>
        <w:rPr>
          <w:lang w:val="en-GB"/>
        </w:rPr>
      </w:pPr>
    </w:p>
    <w:p w14:paraId="187AD993" w14:textId="2B9C8EEB"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European integrated border management (generally abbreviated IBM) refers to the material dimension of border policy. It was defined in Council conclusions of 4-5 December 2006 a</w:t>
      </w:r>
      <w:r w:rsidR="00306C42">
        <w:rPr>
          <w:rFonts w:ascii="Times New Roman" w:eastAsia="Times New Roman" w:hAnsi="Times New Roman" w:cs="Times New Roman"/>
          <w:lang w:val="en-GB"/>
        </w:rPr>
        <w:t xml:space="preserve">nd for the first time </w:t>
      </w:r>
      <w:r w:rsidR="00DF740F">
        <w:rPr>
          <w:rFonts w:ascii="Times New Roman" w:eastAsia="Times New Roman" w:hAnsi="Times New Roman" w:cs="Times New Roman"/>
          <w:lang w:val="en-GB"/>
        </w:rPr>
        <w:t xml:space="preserve">it will </w:t>
      </w:r>
      <w:r w:rsidRPr="00C76C0F">
        <w:rPr>
          <w:rFonts w:ascii="Times New Roman" w:eastAsia="Times New Roman" w:hAnsi="Times New Roman" w:cs="Times New Roman"/>
          <w:lang w:val="en-GB"/>
        </w:rPr>
        <w:t xml:space="preserve">be introduced into hard law by the proposal. It is often presented as a four-tier model comprising measures in third countries (like the visa policy), measures with </w:t>
      </w:r>
      <w:proofErr w:type="spellStart"/>
      <w:r w:rsidRPr="00C76C0F">
        <w:rPr>
          <w:rFonts w:ascii="Times New Roman" w:eastAsia="Times New Roman" w:hAnsi="Times New Roman" w:cs="Times New Roman"/>
          <w:lang w:val="en-GB"/>
        </w:rPr>
        <w:t>neighboring</w:t>
      </w:r>
      <w:proofErr w:type="spellEnd"/>
      <w:r w:rsidRPr="00C76C0F">
        <w:rPr>
          <w:rFonts w:ascii="Times New Roman" w:eastAsia="Times New Roman" w:hAnsi="Times New Roman" w:cs="Times New Roman"/>
          <w:lang w:val="en-GB"/>
        </w:rPr>
        <w:t xml:space="preserve"> countries, border control measures and measures within the Schengen area (in particular return). However, IBM is not only about where border controls take place, but also about the function and scope of those controls. Article 4 of the proposal lists not less than ten elements, in particular the prevention and detection of illegal border crossings, analysis of the risks for internal security, cooperation between Member States, cooperation between the different agencies responsible for border control or other tasks carried out at the border, cooperation with third and particularly neighbo</w:t>
      </w:r>
      <w:r w:rsidR="00DF740F">
        <w:rPr>
          <w:rFonts w:ascii="Times New Roman" w:eastAsia="Times New Roman" w:hAnsi="Times New Roman" w:cs="Times New Roman"/>
          <w:lang w:val="en-GB"/>
        </w:rPr>
        <w:t>u</w:t>
      </w:r>
      <w:r w:rsidRPr="00C76C0F">
        <w:rPr>
          <w:rFonts w:ascii="Times New Roman" w:eastAsia="Times New Roman" w:hAnsi="Times New Roman" w:cs="Times New Roman"/>
          <w:lang w:val="en-GB"/>
        </w:rPr>
        <w:t xml:space="preserve">ring countries, measures to counter cross-border crime, return of third-country nationals staying illegally, use of large scale information systems like the Schengen Information System (SIS), quality control and even solidarity mechanisms. This long list reflects the tasks </w:t>
      </w:r>
      <w:r w:rsidR="00DF740F">
        <w:rPr>
          <w:rFonts w:ascii="Times New Roman" w:eastAsia="Times New Roman" w:hAnsi="Times New Roman" w:cs="Times New Roman"/>
          <w:lang w:val="en-GB"/>
        </w:rPr>
        <w:t>that</w:t>
      </w:r>
      <w:r w:rsidRPr="00C76C0F">
        <w:rPr>
          <w:rFonts w:ascii="Times New Roman" w:eastAsia="Times New Roman" w:hAnsi="Times New Roman" w:cs="Times New Roman"/>
          <w:lang w:val="en-GB"/>
        </w:rPr>
        <w:t xml:space="preserve"> the legislator would like to be managed in an integrated way, with the notable exception of customs, as the Council would like to underline in the preamble. </w:t>
      </w:r>
    </w:p>
    <w:p w14:paraId="3BF99A99" w14:textId="77777777" w:rsidR="00BD1E16" w:rsidRPr="00C76C0F" w:rsidRDefault="00BD1E16" w:rsidP="00B63DDA">
      <w:pPr>
        <w:pStyle w:val="normal0"/>
        <w:spacing w:line="360" w:lineRule="auto"/>
        <w:jc w:val="both"/>
        <w:rPr>
          <w:lang w:val="en-GB"/>
        </w:rPr>
      </w:pPr>
    </w:p>
    <w:p w14:paraId="71ACA0EB" w14:textId="18A51439"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The EBCG refers to the institutional dimension of border policy and deals with the place assigned to the European and national levels in the area of border controls. One does not understand immediately article 1 of the proposal following which “A European Border and Coast Guard is hereby set up to ensure a European integrated border management…” An institutional operation like the creation of the EBCG does </w:t>
      </w:r>
      <w:r w:rsidR="008E3232">
        <w:rPr>
          <w:rFonts w:ascii="Times New Roman" w:eastAsia="Times New Roman" w:hAnsi="Times New Roman" w:cs="Times New Roman"/>
          <w:lang w:val="en-GB"/>
        </w:rPr>
        <w:t xml:space="preserve">indeed </w:t>
      </w:r>
      <w:r w:rsidRPr="00C76C0F">
        <w:rPr>
          <w:rFonts w:ascii="Times New Roman" w:eastAsia="Times New Roman" w:hAnsi="Times New Roman" w:cs="Times New Roman"/>
          <w:lang w:val="en-GB"/>
        </w:rPr>
        <w:t xml:space="preserve">not automatically have an effect on the tasks of border guards. </w:t>
      </w:r>
      <w:proofErr w:type="spellStart"/>
      <w:r w:rsidRPr="00C76C0F">
        <w:rPr>
          <w:rFonts w:ascii="Times New Roman" w:eastAsia="Times New Roman" w:hAnsi="Times New Roman" w:cs="Times New Roman"/>
          <w:lang w:val="en-GB"/>
        </w:rPr>
        <w:t>Jorrit</w:t>
      </w:r>
      <w:proofErr w:type="spellEnd"/>
      <w:r w:rsidRPr="00C76C0F">
        <w:rPr>
          <w:rFonts w:ascii="Times New Roman" w:eastAsia="Times New Roman" w:hAnsi="Times New Roman" w:cs="Times New Roman"/>
          <w:lang w:val="en-GB"/>
        </w:rPr>
        <w:t xml:space="preserve"> </w:t>
      </w:r>
      <w:proofErr w:type="spellStart"/>
      <w:r w:rsidRPr="00C76C0F">
        <w:rPr>
          <w:rFonts w:ascii="Times New Roman" w:eastAsia="Times New Roman" w:hAnsi="Times New Roman" w:cs="Times New Roman"/>
          <w:lang w:val="en-GB"/>
        </w:rPr>
        <w:t>Rijpma</w:t>
      </w:r>
      <w:proofErr w:type="spellEnd"/>
      <w:r w:rsidRPr="00C76C0F">
        <w:rPr>
          <w:rFonts w:ascii="Times New Roman" w:eastAsia="Times New Roman" w:hAnsi="Times New Roman" w:cs="Times New Roman"/>
          <w:lang w:val="en-GB"/>
        </w:rPr>
        <w:t xml:space="preserve"> accurately notes that the Agency’s tasks listed in article 7 of the proposal do not reflect all the elements of IBM listed under article 4 and are silent regarding internal </w:t>
      </w:r>
      <w:r w:rsidRPr="00C76C0F">
        <w:rPr>
          <w:rFonts w:ascii="Times New Roman" w:eastAsia="Times New Roman" w:hAnsi="Times New Roman" w:cs="Times New Roman"/>
          <w:lang w:val="en-GB"/>
        </w:rPr>
        <w:lastRenderedPageBreak/>
        <w:t>security in particular,</w:t>
      </w:r>
      <w:r w:rsidRPr="00C76C0F">
        <w:rPr>
          <w:rFonts w:ascii="Times New Roman" w:eastAsia="Times New Roman" w:hAnsi="Times New Roman" w:cs="Times New Roman"/>
          <w:vertAlign w:val="superscript"/>
          <w:lang w:val="en-GB"/>
        </w:rPr>
        <w:footnoteReference w:id="8"/>
      </w:r>
      <w:r w:rsidRPr="00C76C0F">
        <w:rPr>
          <w:rFonts w:ascii="Times New Roman" w:eastAsia="Times New Roman" w:hAnsi="Times New Roman" w:cs="Times New Roman"/>
          <w:lang w:val="en-GB"/>
        </w:rPr>
        <w:t xml:space="preserve"> which is rather strange at a moment when security is one of the EU’s top priorities. </w:t>
      </w:r>
    </w:p>
    <w:p w14:paraId="06A64033" w14:textId="77777777" w:rsidR="00BD1E16" w:rsidRPr="00C76C0F" w:rsidRDefault="00BD1E16" w:rsidP="00B63DDA">
      <w:pPr>
        <w:pStyle w:val="normal0"/>
        <w:spacing w:line="360" w:lineRule="auto"/>
        <w:jc w:val="both"/>
        <w:rPr>
          <w:lang w:val="en-GB"/>
        </w:rPr>
      </w:pPr>
    </w:p>
    <w:p w14:paraId="32F99C80" w14:textId="5EC7C2D8"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But there is more. Article 3(1) of the proposal, following which “the EBCG Agency and the national authorities of Member States which are responsible for border management shall constitute the EBCG” is a rather strange and complicated provision. The EBCG appears to be a legal fiction composed of the new European Agency </w:t>
      </w:r>
      <w:r w:rsidR="00306C42">
        <w:rPr>
          <w:rFonts w:ascii="Times New Roman" w:eastAsia="Times New Roman" w:hAnsi="Times New Roman" w:cs="Times New Roman"/>
          <w:lang w:val="en-GB"/>
        </w:rPr>
        <w:t>that</w:t>
      </w:r>
      <w:r w:rsidRPr="00C76C0F">
        <w:rPr>
          <w:rFonts w:ascii="Times New Roman" w:eastAsia="Times New Roman" w:hAnsi="Times New Roman" w:cs="Times New Roman"/>
          <w:lang w:val="en-GB"/>
        </w:rPr>
        <w:t xml:space="preserve"> will replace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and the national border guards. As explained by </w:t>
      </w:r>
      <w:proofErr w:type="spellStart"/>
      <w:r w:rsidRPr="00C76C0F">
        <w:rPr>
          <w:rFonts w:ascii="Times New Roman" w:eastAsia="Times New Roman" w:hAnsi="Times New Roman" w:cs="Times New Roman"/>
          <w:lang w:val="en-GB"/>
        </w:rPr>
        <w:t>Jorg</w:t>
      </w:r>
      <w:proofErr w:type="spellEnd"/>
      <w:r w:rsidRPr="00C76C0F">
        <w:rPr>
          <w:rFonts w:ascii="Times New Roman" w:eastAsia="Times New Roman" w:hAnsi="Times New Roman" w:cs="Times New Roman"/>
          <w:lang w:val="en-GB"/>
        </w:rPr>
        <w:t xml:space="preserve"> </w:t>
      </w:r>
      <w:proofErr w:type="spellStart"/>
      <w:r w:rsidRPr="00C76C0F">
        <w:rPr>
          <w:rFonts w:ascii="Times New Roman" w:eastAsia="Times New Roman" w:hAnsi="Times New Roman" w:cs="Times New Roman"/>
          <w:lang w:val="en-GB"/>
        </w:rPr>
        <w:t>Monar</w:t>
      </w:r>
      <w:proofErr w:type="spellEnd"/>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9"/>
      </w:r>
      <w:r w:rsidRPr="00C76C0F">
        <w:rPr>
          <w:rFonts w:ascii="Times New Roman" w:eastAsia="Times New Roman" w:hAnsi="Times New Roman" w:cs="Times New Roman"/>
          <w:lang w:val="en-GB"/>
        </w:rPr>
        <w:t xml:space="preserve"> the idea of creating a European Border Guard was launched by Italy and Germany in 2001, but it lost momentum with the feasibility study for the setting up of a “European Border Police”</w:t>
      </w:r>
      <w:r w:rsidRPr="00C76C0F">
        <w:rPr>
          <w:rFonts w:ascii="Times New Roman" w:eastAsia="Times New Roman" w:hAnsi="Times New Roman" w:cs="Times New Roman"/>
          <w:vertAlign w:val="superscript"/>
          <w:lang w:val="en-GB"/>
        </w:rPr>
        <w:footnoteReference w:id="10"/>
      </w:r>
      <w:r w:rsidRPr="00C76C0F">
        <w:rPr>
          <w:rFonts w:ascii="Times New Roman" w:eastAsia="Times New Roman" w:hAnsi="Times New Roman" w:cs="Times New Roman"/>
          <w:lang w:val="en-GB"/>
        </w:rPr>
        <w:t xml:space="preserve"> carried out by some Member States which advocated, despite its title, for a network model prefiguring the creation of the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Agency in 2004. One should note that following article 33(2a) introduced in the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Regulation in 2011, “The first evaluation following the entry into force of Regulation (EU) No 1168/2011 shall also analyse the needs for further increased coordination of the management of the external borders of the Member States, including the feasibility of the creation of a </w:t>
      </w:r>
      <w:r w:rsidRPr="00C76C0F">
        <w:rPr>
          <w:rFonts w:ascii="Times New Roman" w:eastAsia="Times New Roman" w:hAnsi="Times New Roman" w:cs="Times New Roman"/>
          <w:i/>
          <w:lang w:val="en-GB"/>
        </w:rPr>
        <w:t>European system of border guards</w:t>
      </w:r>
      <w:r w:rsidRPr="00C76C0F">
        <w:rPr>
          <w:rFonts w:ascii="Times New Roman" w:eastAsia="Times New Roman" w:hAnsi="Times New Roman" w:cs="Times New Roman"/>
          <w:lang w:val="en-GB"/>
        </w:rPr>
        <w:t xml:space="preserve">”. This last notion – one more! – </w:t>
      </w:r>
      <w:proofErr w:type="gramStart"/>
      <w:r w:rsidRPr="00C76C0F">
        <w:rPr>
          <w:rFonts w:ascii="Times New Roman" w:eastAsia="Times New Roman" w:hAnsi="Times New Roman" w:cs="Times New Roman"/>
          <w:lang w:val="en-GB"/>
        </w:rPr>
        <w:t>appeared</w:t>
      </w:r>
      <w:proofErr w:type="gramEnd"/>
      <w:r w:rsidRPr="00C76C0F">
        <w:rPr>
          <w:rFonts w:ascii="Times New Roman" w:eastAsia="Times New Roman" w:hAnsi="Times New Roman" w:cs="Times New Roman"/>
          <w:lang w:val="en-GB"/>
        </w:rPr>
        <w:t xml:space="preserve"> with the Hague and Stockholm programmes adopted by the Europ</w:t>
      </w:r>
      <w:r w:rsidR="008E3232">
        <w:rPr>
          <w:rFonts w:ascii="Times New Roman" w:eastAsia="Times New Roman" w:hAnsi="Times New Roman" w:cs="Times New Roman"/>
          <w:lang w:val="en-GB"/>
        </w:rPr>
        <w:t>ean Council respectively in 2004</w:t>
      </w:r>
      <w:r w:rsidRPr="00C76C0F">
        <w:rPr>
          <w:rFonts w:ascii="Times New Roman" w:eastAsia="Times New Roman" w:hAnsi="Times New Roman" w:cs="Times New Roman"/>
          <w:lang w:val="en-GB"/>
        </w:rPr>
        <w:t xml:space="preserve"> and 200</w:t>
      </w:r>
      <w:r w:rsidR="008E3232">
        <w:rPr>
          <w:rFonts w:ascii="Times New Roman" w:eastAsia="Times New Roman" w:hAnsi="Times New Roman" w:cs="Times New Roman"/>
          <w:lang w:val="en-GB"/>
        </w:rPr>
        <w:t>9</w:t>
      </w:r>
      <w:r w:rsidRPr="00C76C0F">
        <w:rPr>
          <w:rFonts w:ascii="Times New Roman" w:eastAsia="Times New Roman" w:hAnsi="Times New Roman" w:cs="Times New Roman"/>
          <w:lang w:val="en-GB"/>
        </w:rPr>
        <w:t xml:space="preserve"> for the programming of the development of the Area of Freedom, Security and Justice</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11"/>
      </w:r>
      <w:r w:rsidRPr="00C76C0F">
        <w:rPr>
          <w:rFonts w:ascii="Times New Roman" w:eastAsia="Times New Roman" w:hAnsi="Times New Roman" w:cs="Times New Roman"/>
          <w:lang w:val="en-GB"/>
        </w:rPr>
        <w:t xml:space="preserve"> The consultancy company in charge of this study proposed an approach in 3 phases. Under the last one, called “full integration at EU level”, a “European Border Corps” similar to the European Border Police initially envisaged would be created. </w:t>
      </w:r>
    </w:p>
    <w:p w14:paraId="2CF5A847" w14:textId="77777777" w:rsidR="00BD1E16" w:rsidRPr="00C76C0F" w:rsidRDefault="00BD1E16" w:rsidP="00B63DDA">
      <w:pPr>
        <w:pStyle w:val="normal0"/>
        <w:spacing w:line="360" w:lineRule="auto"/>
        <w:jc w:val="both"/>
        <w:rPr>
          <w:lang w:val="en-GB"/>
        </w:rPr>
      </w:pPr>
    </w:p>
    <w:p w14:paraId="67457419" w14:textId="714E4339"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lastRenderedPageBreak/>
        <w:t>Trying to find a way through all the notions that are used leads us to realise that the proposal, despite its misleading title, does not create a true “European Border Guard” understood as a European body made of borders guards replacing national border guards but rather a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 Agency following the expression of Sergio Carrera and Leonhard den </w:t>
      </w:r>
      <w:proofErr w:type="spellStart"/>
      <w:r w:rsidRPr="00C76C0F">
        <w:rPr>
          <w:rFonts w:ascii="Times New Roman" w:eastAsia="Times New Roman" w:hAnsi="Times New Roman" w:cs="Times New Roman"/>
          <w:lang w:val="en-GB"/>
        </w:rPr>
        <w:t>Hertog</w:t>
      </w:r>
      <w:proofErr w:type="spellEnd"/>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12"/>
      </w:r>
      <w:r w:rsidRPr="00C76C0F">
        <w:rPr>
          <w:rFonts w:ascii="Times New Roman" w:eastAsia="Times New Roman" w:hAnsi="Times New Roman" w:cs="Times New Roman"/>
          <w:lang w:val="en-GB"/>
        </w:rPr>
        <w:t xml:space="preserve"> The fact that national border guards will remain almost untouched proves this. This is not only an institutional discussion. It also has important consequences for the issue of solidarity inside the EU, which must considered in liaison with the allocation of responsibilities between the EU and its Member States.</w:t>
      </w:r>
    </w:p>
    <w:p w14:paraId="6E83C7C8" w14:textId="77777777" w:rsidR="00BD1E16" w:rsidRPr="00C76C0F" w:rsidRDefault="00BD1E16" w:rsidP="00B63DDA">
      <w:pPr>
        <w:pStyle w:val="normal0"/>
        <w:spacing w:line="360" w:lineRule="auto"/>
        <w:jc w:val="both"/>
        <w:rPr>
          <w:lang w:val="en-GB"/>
        </w:rPr>
      </w:pPr>
    </w:p>
    <w:p w14:paraId="6655037D" w14:textId="66E8084B" w:rsidR="00C76C0F" w:rsidRPr="00C76C0F" w:rsidRDefault="00D70A29" w:rsidP="00C76C0F">
      <w:pPr>
        <w:pStyle w:val="normal0"/>
        <w:tabs>
          <w:tab w:val="left" w:pos="2290"/>
        </w:tabs>
        <w:spacing w:line="360" w:lineRule="auto"/>
        <w:jc w:val="both"/>
        <w:rPr>
          <w:b/>
          <w:u w:val="single"/>
          <w:lang w:val="en-GB"/>
        </w:rPr>
      </w:pPr>
      <w:r>
        <w:rPr>
          <w:rFonts w:ascii="Times New Roman" w:eastAsia="Times New Roman" w:hAnsi="Times New Roman" w:cs="Times New Roman"/>
          <w:b/>
          <w:u w:val="single"/>
          <w:lang w:val="en-GB"/>
        </w:rPr>
        <w:t xml:space="preserve">II. An old logic! Prioritising </w:t>
      </w:r>
      <w:r w:rsidR="00C76C0F" w:rsidRPr="00C76C0F">
        <w:rPr>
          <w:rFonts w:ascii="Times New Roman" w:eastAsia="Times New Roman" w:hAnsi="Times New Roman" w:cs="Times New Roman"/>
          <w:b/>
          <w:u w:val="single"/>
          <w:lang w:val="en-GB"/>
        </w:rPr>
        <w:t>responsibility over solidarity</w:t>
      </w:r>
    </w:p>
    <w:p w14:paraId="0F18997C" w14:textId="308ACBA3" w:rsidR="00BD1E16" w:rsidRPr="00C76C0F" w:rsidRDefault="00C76C0F" w:rsidP="00B63DDA">
      <w:pPr>
        <w:pStyle w:val="normal0"/>
        <w:spacing w:line="360" w:lineRule="auto"/>
        <w:jc w:val="both"/>
        <w:rPr>
          <w:lang w:val="en-GB"/>
        </w:rPr>
      </w:pPr>
      <w:r w:rsidRPr="00C76C0F">
        <w:rPr>
          <w:rFonts w:ascii="Times New Roman" w:eastAsia="Times New Roman" w:hAnsi="Times New Roman" w:cs="Times New Roman"/>
          <w:lang w:val="en-GB"/>
        </w:rPr>
        <w:t>W</w:t>
      </w:r>
      <w:r w:rsidR="00043735" w:rsidRPr="00C76C0F">
        <w:rPr>
          <w:rFonts w:ascii="Times New Roman" w:eastAsia="Times New Roman" w:hAnsi="Times New Roman" w:cs="Times New Roman"/>
          <w:lang w:val="en-GB"/>
        </w:rPr>
        <w:t xml:space="preserve">hile the competence to legislate on borders is a shared one, article 1(2) of the </w:t>
      </w:r>
      <w:proofErr w:type="spellStart"/>
      <w:r w:rsidR="00043735" w:rsidRPr="00C76C0F">
        <w:rPr>
          <w:rFonts w:ascii="Times New Roman" w:eastAsia="Times New Roman" w:hAnsi="Times New Roman" w:cs="Times New Roman"/>
          <w:lang w:val="en-GB"/>
        </w:rPr>
        <w:t>Frontex</w:t>
      </w:r>
      <w:proofErr w:type="spellEnd"/>
      <w:r w:rsidR="00043735" w:rsidRPr="00C76C0F">
        <w:rPr>
          <w:rFonts w:ascii="Times New Roman" w:eastAsia="Times New Roman" w:hAnsi="Times New Roman" w:cs="Times New Roman"/>
          <w:lang w:val="en-GB"/>
        </w:rPr>
        <w:t xml:space="preserve"> regulation states clearly that “the responsibility for the control and surveillance of external borders lies with the Member States”. The Commission proposal pretends to share this responsibility between the new Agency and the national authorities in charge of border management (article 5(1)). However, the preamble of the proposal is clear on the way this responsibility will be shared by saying that</w:t>
      </w:r>
      <w:r w:rsidR="00043735" w:rsidRPr="00C76C0F">
        <w:rPr>
          <w:rFonts w:ascii="Times New Roman" w:eastAsia="Times New Roman" w:hAnsi="Times New Roman" w:cs="Times New Roman"/>
          <w:i/>
          <w:lang w:val="en-GB"/>
        </w:rPr>
        <w:t xml:space="preserve"> “Member States retain the primary responsibility for the management of their section of the external borders in their interest and in the interest of all Member States”</w:t>
      </w:r>
      <w:r w:rsidR="00043735" w:rsidRPr="00C76C0F">
        <w:rPr>
          <w:rFonts w:ascii="Times New Roman" w:eastAsia="Times New Roman" w:hAnsi="Times New Roman" w:cs="Times New Roman"/>
          <w:lang w:val="en-GB"/>
        </w:rPr>
        <w:t xml:space="preserve"> (point 5). This is actually an under</w:t>
      </w:r>
      <w:r w:rsidR="00306C42">
        <w:rPr>
          <w:rFonts w:ascii="Times New Roman" w:eastAsia="Times New Roman" w:hAnsi="Times New Roman" w:cs="Times New Roman"/>
          <w:lang w:val="en-GB"/>
        </w:rPr>
        <w:t>-</w:t>
      </w:r>
      <w:proofErr w:type="gramStart"/>
      <w:r w:rsidR="00043735" w:rsidRPr="00C76C0F">
        <w:rPr>
          <w:rFonts w:ascii="Times New Roman" w:eastAsia="Times New Roman" w:hAnsi="Times New Roman" w:cs="Times New Roman"/>
          <w:lang w:val="en-GB"/>
        </w:rPr>
        <w:t>statement</w:t>
      </w:r>
      <w:proofErr w:type="gramEnd"/>
      <w:r w:rsidR="00043735" w:rsidRPr="00C76C0F">
        <w:rPr>
          <w:rFonts w:ascii="Times New Roman" w:eastAsia="Times New Roman" w:hAnsi="Times New Roman" w:cs="Times New Roman"/>
          <w:lang w:val="en-GB"/>
        </w:rPr>
        <w:t xml:space="preserve"> as, despite the strengthening of the prerogatives of the agency, border controls will in principle still be implemented by each Member State. This is confirmed by article 5(1a) of the proposal, which the Council wishes to amend to </w:t>
      </w:r>
      <w:proofErr w:type="gramStart"/>
      <w:r w:rsidR="00043735" w:rsidRPr="00C76C0F">
        <w:rPr>
          <w:rFonts w:ascii="Times New Roman" w:eastAsia="Times New Roman" w:hAnsi="Times New Roman" w:cs="Times New Roman"/>
          <w:lang w:val="en-GB"/>
        </w:rPr>
        <w:t>read</w:t>
      </w:r>
      <w:proofErr w:type="gramEnd"/>
      <w:r w:rsidR="00043735" w:rsidRPr="00C76C0F">
        <w:rPr>
          <w:rFonts w:ascii="Times New Roman" w:eastAsia="Times New Roman" w:hAnsi="Times New Roman" w:cs="Times New Roman"/>
          <w:lang w:val="en-GB"/>
        </w:rPr>
        <w:t xml:space="preserve"> “Member States shall ensure the management of </w:t>
      </w:r>
      <w:r w:rsidR="00043735" w:rsidRPr="00C76C0F">
        <w:rPr>
          <w:rFonts w:ascii="Times New Roman" w:eastAsia="Times New Roman" w:hAnsi="Times New Roman" w:cs="Times New Roman"/>
          <w:i/>
          <w:lang w:val="en-GB"/>
        </w:rPr>
        <w:t>their</w:t>
      </w:r>
      <w:r w:rsidR="00043735" w:rsidRPr="00C76C0F">
        <w:rPr>
          <w:rFonts w:ascii="Times New Roman" w:eastAsia="Times New Roman" w:hAnsi="Times New Roman" w:cs="Times New Roman"/>
          <w:lang w:val="en-GB"/>
        </w:rPr>
        <w:t xml:space="preserve"> external borders”. This indicates clearly that there are no European borders that would be controlled by the Agency.</w:t>
      </w:r>
    </w:p>
    <w:p w14:paraId="3DC4E5C4" w14:textId="77777777" w:rsidR="00BD1E16" w:rsidRPr="00C76C0F" w:rsidRDefault="00BD1E16" w:rsidP="00B63DDA">
      <w:pPr>
        <w:pStyle w:val="normal0"/>
        <w:spacing w:line="360" w:lineRule="auto"/>
        <w:jc w:val="both"/>
        <w:rPr>
          <w:lang w:val="en-GB"/>
        </w:rPr>
      </w:pPr>
    </w:p>
    <w:p w14:paraId="45AF6120" w14:textId="45306ED4"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However, Member States do not control their external borders only in their own interests but also in the interest of the Schengen Area (and even the Northern States like UK and Ireland which do not participate in it). If bord</w:t>
      </w:r>
      <w:r w:rsidR="00DF740F">
        <w:rPr>
          <w:rFonts w:ascii="Times New Roman" w:eastAsia="Times New Roman" w:hAnsi="Times New Roman" w:cs="Times New Roman"/>
          <w:lang w:val="en-GB"/>
        </w:rPr>
        <w:t xml:space="preserve">er guards simultaneously </w:t>
      </w:r>
      <w:r w:rsidR="00DF740F">
        <w:rPr>
          <w:rFonts w:ascii="Times New Roman" w:eastAsia="Times New Roman" w:hAnsi="Times New Roman" w:cs="Times New Roman"/>
          <w:lang w:val="en-GB"/>
        </w:rPr>
        <w:lastRenderedPageBreak/>
        <w:t>fulfil</w:t>
      </w:r>
      <w:r w:rsidRPr="00C76C0F">
        <w:rPr>
          <w:rFonts w:ascii="Times New Roman" w:eastAsia="Times New Roman" w:hAnsi="Times New Roman" w:cs="Times New Roman"/>
          <w:lang w:val="en-GB"/>
        </w:rPr>
        <w:t xml:space="preserve"> a double function at national and European level, they remain organically national as their appointment, salary and equipment correspond to a responsibility of each of the Member States. The longer a Member States’ external border, the more they are supposed to contribute to the Schengen Area by implementing controls. It is easy to understand that burdens generated by border controls are unequally distributed between Member States when we compare Luxembourg, which only has a small airport with Greece with its many islands or Italy with its long coast. This is what is called asymmetric burdens between the EU Member States. </w:t>
      </w:r>
    </w:p>
    <w:p w14:paraId="742DE90E" w14:textId="77777777" w:rsidR="00BD1E16" w:rsidRPr="00C76C0F" w:rsidRDefault="00BD1E16" w:rsidP="00B63DDA">
      <w:pPr>
        <w:pStyle w:val="normal0"/>
        <w:spacing w:line="360" w:lineRule="auto"/>
        <w:jc w:val="both"/>
        <w:rPr>
          <w:lang w:val="en-GB"/>
        </w:rPr>
      </w:pPr>
    </w:p>
    <w:p w14:paraId="2052B586"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Strong solidarity is therefore needed in the area of borders if their control is left to Member States, as it is still the case in the Commission proposal on the EBCG. There is actually an inversely proportional relationship between responsibility and solidarity: the more responsibility given to the EU, the less there is a need for solidarity between Member States; the less responsibility the EU has, the more there is a need for solidarity between Member States. This has been recognised by article 80 TFEU following which ‘</w:t>
      </w:r>
      <w:r w:rsidRPr="00C76C0F">
        <w:rPr>
          <w:rFonts w:ascii="Times New Roman" w:eastAsia="Times New Roman" w:hAnsi="Times New Roman" w:cs="Times New Roman"/>
          <w:i/>
          <w:lang w:val="en-GB"/>
        </w:rPr>
        <w:t>The policies of the Union set out in this Chapter (including external borders) and their implementation shall be governed by the principle of solidarity and fair sharing of responsibility, including its financial implications, between the Member States. Whenever necessary, the Union acts adopted pursuant to this chapter shall contain appropriate measures to give effect to this principle</w:t>
      </w:r>
      <w:r w:rsidRPr="00C76C0F">
        <w:rPr>
          <w:rFonts w:ascii="Times New Roman" w:eastAsia="Times New Roman" w:hAnsi="Times New Roman" w:cs="Times New Roman"/>
          <w:lang w:val="en-GB"/>
        </w:rPr>
        <w:t xml:space="preserve">”. This provision, however, is disregarded by the EU institutions and poorly applied. </w:t>
      </w:r>
    </w:p>
    <w:p w14:paraId="200A9DD7" w14:textId="77777777" w:rsidR="00BD1E16" w:rsidRPr="00C76C0F" w:rsidRDefault="00BD1E16" w:rsidP="00B63DDA">
      <w:pPr>
        <w:pStyle w:val="normal0"/>
        <w:spacing w:line="360" w:lineRule="auto"/>
        <w:jc w:val="both"/>
        <w:rPr>
          <w:lang w:val="en-GB"/>
        </w:rPr>
      </w:pPr>
    </w:p>
    <w:p w14:paraId="5255F182" w14:textId="2D42E4B8" w:rsidR="00BD1E16" w:rsidRPr="00C76C0F" w:rsidRDefault="00043735" w:rsidP="00B63DDA">
      <w:pPr>
        <w:pStyle w:val="normal0"/>
        <w:spacing w:line="360" w:lineRule="auto"/>
        <w:jc w:val="both"/>
        <w:rPr>
          <w:lang w:val="en-GB"/>
        </w:rPr>
      </w:pPr>
      <w:proofErr w:type="spellStart"/>
      <w:r w:rsidRPr="00C76C0F">
        <w:rPr>
          <w:rFonts w:ascii="Times New Roman" w:eastAsia="Times New Roman" w:hAnsi="Times New Roman" w:cs="Times New Roman"/>
          <w:lang w:val="en-GB"/>
        </w:rPr>
        <w:t>Jorg</w:t>
      </w:r>
      <w:proofErr w:type="spellEnd"/>
      <w:r w:rsidRPr="00C76C0F">
        <w:rPr>
          <w:rFonts w:ascii="Times New Roman" w:eastAsia="Times New Roman" w:hAnsi="Times New Roman" w:cs="Times New Roman"/>
          <w:lang w:val="en-GB"/>
        </w:rPr>
        <w:t xml:space="preserve"> </w:t>
      </w:r>
      <w:proofErr w:type="spellStart"/>
      <w:r w:rsidRPr="00C76C0F">
        <w:rPr>
          <w:rFonts w:ascii="Times New Roman" w:eastAsia="Times New Roman" w:hAnsi="Times New Roman" w:cs="Times New Roman"/>
          <w:lang w:val="en-GB"/>
        </w:rPr>
        <w:t>Monar</w:t>
      </w:r>
      <w:proofErr w:type="spellEnd"/>
      <w:r w:rsidRPr="00C76C0F">
        <w:rPr>
          <w:rFonts w:ascii="Times New Roman" w:eastAsia="Times New Roman" w:hAnsi="Times New Roman" w:cs="Times New Roman"/>
          <w:lang w:val="en-GB"/>
        </w:rPr>
        <w:t xml:space="preserve"> has clearly shown this by analysing the EU funding which is the main tool for implementing solidarity in border policy. While acknowledging that financial solidarity has been expanded for the period 2014/20 compared to the previous financial perspectives and that the amounts are distributed between Member States on the basis of burden indicators</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13"/>
      </w:r>
      <w:r w:rsidRPr="00C76C0F">
        <w:rPr>
          <w:rFonts w:ascii="Times New Roman" w:eastAsia="Times New Roman" w:hAnsi="Times New Roman" w:cs="Times New Roman"/>
          <w:lang w:val="en-GB"/>
        </w:rPr>
        <w:t xml:space="preserve"> he considers that “the financial envelope must be </w:t>
      </w:r>
      <w:r w:rsidRPr="00C76C0F">
        <w:rPr>
          <w:rFonts w:ascii="Times New Roman" w:eastAsia="Times New Roman" w:hAnsi="Times New Roman" w:cs="Times New Roman"/>
          <w:lang w:val="en-GB"/>
        </w:rPr>
        <w:lastRenderedPageBreak/>
        <w:t>regarded as very modest” in comparison with the costs faced by the Member States and that “it may even be regarded as verging on the purely symbolic” in comparison with other European policies</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14"/>
      </w:r>
      <w:r w:rsidRPr="00C76C0F">
        <w:rPr>
          <w:rFonts w:ascii="Times New Roman" w:eastAsia="Times New Roman" w:hAnsi="Times New Roman" w:cs="Times New Roman"/>
          <w:lang w:val="en-GB"/>
        </w:rPr>
        <w:t xml:space="preserve"> If adopted, the proposal on the EBCG would do little to change this. The level of solidarity will of course improve with the increase of the prerogatives, budget and human resources of the new Agency in comparison with the means</w:t>
      </w:r>
      <w:r w:rsidR="00DF740F">
        <w:rPr>
          <w:rFonts w:ascii="Times New Roman" w:eastAsia="Times New Roman" w:hAnsi="Times New Roman" w:cs="Times New Roman"/>
          <w:lang w:val="en-GB"/>
        </w:rPr>
        <w:t xml:space="preserve"> currently allocated to </w:t>
      </w:r>
      <w:proofErr w:type="spellStart"/>
      <w:r w:rsidR="00DF740F">
        <w:rPr>
          <w:rFonts w:ascii="Times New Roman" w:eastAsia="Times New Roman" w:hAnsi="Times New Roman" w:cs="Times New Roman"/>
          <w:lang w:val="en-GB"/>
        </w:rPr>
        <w:t>Frontex</w:t>
      </w:r>
      <w:proofErr w:type="spellEnd"/>
      <w:r w:rsidR="00DF740F">
        <w:rPr>
          <w:rFonts w:ascii="Times New Roman" w:eastAsia="Times New Roman" w:hAnsi="Times New Roman" w:cs="Times New Roman"/>
          <w:lang w:val="en-GB"/>
        </w:rPr>
        <w:t>,</w:t>
      </w:r>
      <w:r w:rsidRPr="00C76C0F">
        <w:rPr>
          <w:rFonts w:ascii="Times New Roman" w:eastAsia="Times New Roman" w:hAnsi="Times New Roman" w:cs="Times New Roman"/>
          <w:lang w:val="en-GB"/>
        </w:rPr>
        <w:t xml:space="preserve"> but only in a limited way.</w:t>
      </w:r>
    </w:p>
    <w:p w14:paraId="461EEF1A" w14:textId="77777777" w:rsidR="00BD1E16" w:rsidRPr="00C76C0F" w:rsidRDefault="00BD1E16" w:rsidP="00B63DDA">
      <w:pPr>
        <w:pStyle w:val="normal0"/>
        <w:spacing w:line="360" w:lineRule="auto"/>
        <w:jc w:val="both"/>
        <w:rPr>
          <w:lang w:val="en-GB"/>
        </w:rPr>
      </w:pPr>
    </w:p>
    <w:p w14:paraId="2BC7A159"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This does not mean that the proposal will not contribute to solving the crisis at the Greek external borders. On the contrary, the substitution mechanism described above presenting solidarity as a sanction with the diminishing of the sovereignty of an irresponsible Member State, can make it more acceptable. Instead of being unwilling to acknowledge the help provided to Greece, which is sometimes considered a reward for an irresponsible Member State, political leaders will have the possibility to claim they are sanctioning Greece by depriving it of part of its sovereignty with the EBCG Agency taking over the control of its external borders.  </w:t>
      </w:r>
    </w:p>
    <w:p w14:paraId="24859233" w14:textId="77777777" w:rsidR="00BD1E16" w:rsidRPr="00C76C0F" w:rsidRDefault="00BD1E16" w:rsidP="00B63DDA">
      <w:pPr>
        <w:pStyle w:val="normal0"/>
        <w:spacing w:line="360" w:lineRule="auto"/>
        <w:jc w:val="both"/>
        <w:rPr>
          <w:lang w:val="en-GB"/>
        </w:rPr>
      </w:pPr>
    </w:p>
    <w:p w14:paraId="33467137"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The new mechanism envisaged to deploy Border Guards in a Rapid Border Intervention should also be more efficient than the current one used in Greece. The proposal envisages the creation of a “Rapid Reserve Pool” (RRP) as a “</w:t>
      </w:r>
      <w:r w:rsidRPr="00C76C0F">
        <w:rPr>
          <w:rFonts w:ascii="Times New Roman" w:eastAsia="Times New Roman" w:hAnsi="Times New Roman" w:cs="Times New Roman"/>
          <w:i/>
          <w:lang w:val="en-GB"/>
        </w:rPr>
        <w:t xml:space="preserve">standing corps placed at the immediate disposal of the Agency and which can be deployed from each Member State within three working days from when the operational plan is agreed by </w:t>
      </w:r>
      <w:proofErr w:type="spellStart"/>
      <w:r w:rsidRPr="00C76C0F">
        <w:rPr>
          <w:rFonts w:ascii="Times New Roman" w:eastAsia="Times New Roman" w:hAnsi="Times New Roman" w:cs="Times New Roman"/>
          <w:i/>
          <w:lang w:val="en-GB"/>
        </w:rPr>
        <w:t>Frontex</w:t>
      </w:r>
      <w:proofErr w:type="spellEnd"/>
      <w:r w:rsidRPr="00C76C0F">
        <w:rPr>
          <w:rFonts w:ascii="Times New Roman" w:eastAsia="Times New Roman" w:hAnsi="Times New Roman" w:cs="Times New Roman"/>
          <w:i/>
          <w:lang w:val="en-GB"/>
        </w:rPr>
        <w:t xml:space="preserve"> Executive Director and the Host Member States</w:t>
      </w:r>
      <w:r w:rsidRPr="00C76C0F">
        <w:rPr>
          <w:rFonts w:ascii="Times New Roman" w:eastAsia="Times New Roman" w:hAnsi="Times New Roman" w:cs="Times New Roman"/>
          <w:lang w:val="en-GB"/>
        </w:rPr>
        <w:t>” (article 19, §5). This RRP should be made of a minimum of 1500 national border guards that Member States would have to deploy without having the possibility to argue that they are “faced with an exceptional situation substantially affecting the discharge of national tasks” as they can do when it is about complementing the RRP with extra border guards (article 19, §6).</w:t>
      </w:r>
    </w:p>
    <w:p w14:paraId="307217C9" w14:textId="77777777" w:rsidR="00BD1E16" w:rsidRPr="00C76C0F" w:rsidRDefault="00BD1E16" w:rsidP="00B63DDA">
      <w:pPr>
        <w:pStyle w:val="normal0"/>
        <w:spacing w:line="360" w:lineRule="auto"/>
        <w:jc w:val="both"/>
        <w:rPr>
          <w:lang w:val="en-GB"/>
        </w:rPr>
      </w:pPr>
    </w:p>
    <w:p w14:paraId="24073477"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lastRenderedPageBreak/>
        <w:t>If the proposal on the EBCG can be considered a concrete sign of solidarity towards Greece by contributing to a solution to the crisis at its external borders in the short term, it still raises serious questions in the long term regarding the balance established between responsibility and solidarity.</w:t>
      </w:r>
    </w:p>
    <w:p w14:paraId="437486C8" w14:textId="77777777" w:rsidR="00BD1E16" w:rsidRPr="00C76C0F" w:rsidRDefault="00BD1E16" w:rsidP="00B63DDA">
      <w:pPr>
        <w:pStyle w:val="normal0"/>
        <w:spacing w:line="360" w:lineRule="auto"/>
        <w:jc w:val="both"/>
        <w:rPr>
          <w:lang w:val="en-GB"/>
        </w:rPr>
      </w:pPr>
    </w:p>
    <w:p w14:paraId="6863806B" w14:textId="55DA97A3"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Firstly, the RRP looks extremely modest as it corresponds only to 2 or 3% of the total number of national border guards. One can of course argue that, apart from the RRP, Member States also have the obligation to provide supplementary border guards to the Agency, the total number of staff necessary for European Border Guards Team being determined by its management board. However, such a mechanism already exists in the current </w:t>
      </w:r>
      <w:proofErr w:type="spellStart"/>
      <w:r w:rsidRPr="00C76C0F">
        <w:rPr>
          <w:rFonts w:ascii="Times New Roman" w:eastAsia="Times New Roman" w:hAnsi="Times New Roman" w:cs="Times New Roman"/>
          <w:lang w:val="en-GB"/>
        </w:rPr>
        <w:t>Frontex</w:t>
      </w:r>
      <w:proofErr w:type="spellEnd"/>
      <w:r w:rsidRPr="00C76C0F">
        <w:rPr>
          <w:rFonts w:ascii="Times New Roman" w:eastAsia="Times New Roman" w:hAnsi="Times New Roman" w:cs="Times New Roman"/>
          <w:lang w:val="en-GB"/>
        </w:rPr>
        <w:t xml:space="preserve"> Regulation (article 3b) and does not </w:t>
      </w:r>
      <w:proofErr w:type="gramStart"/>
      <w:r w:rsidR="00DF740F">
        <w:rPr>
          <w:rFonts w:ascii="Times New Roman" w:eastAsia="Times New Roman" w:hAnsi="Times New Roman" w:cs="Times New Roman"/>
          <w:lang w:val="en-GB"/>
        </w:rPr>
        <w:t>work</w:t>
      </w:r>
      <w:proofErr w:type="gramEnd"/>
      <w:r w:rsidRPr="00C76C0F">
        <w:rPr>
          <w:rFonts w:ascii="Times New Roman" w:eastAsia="Times New Roman" w:hAnsi="Times New Roman" w:cs="Times New Roman"/>
          <w:lang w:val="en-GB"/>
        </w:rPr>
        <w:t xml:space="preserve"> as it should due to the resistance of Member States to provide the necessary staff. One may wonder if there is a reason why it would improve once the EBCG is adopted. Let us hope that the creation of the RRP will not have the perverse consequence of allowing Member States to consider that they have done their duty by contributing to it and have no further duty to provide human resources to the rest of the European Border Guard teams, knowing that they will in that case still be authorised to invoke an “exceptional situation substantially affecting the discharge of national tasks” (article 19, §§ 3 and 6).</w:t>
      </w:r>
    </w:p>
    <w:p w14:paraId="4C4279F0" w14:textId="77777777" w:rsidR="00BD1E16" w:rsidRPr="00C76C0F" w:rsidRDefault="00BD1E16" w:rsidP="00B63DDA">
      <w:pPr>
        <w:pStyle w:val="normal0"/>
        <w:spacing w:line="360" w:lineRule="auto"/>
        <w:jc w:val="both"/>
        <w:rPr>
          <w:lang w:val="en-GB"/>
        </w:rPr>
      </w:pPr>
    </w:p>
    <w:p w14:paraId="2D4CC9B3" w14:textId="0035F112"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Secondly, the EBCG provides only a temporary solution to a structural problem as the envisaged tools are conceived as temporary</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15"/>
      </w:r>
      <w:r w:rsidRPr="00C76C0F">
        <w:rPr>
          <w:rFonts w:ascii="Times New Roman" w:eastAsia="Times New Roman" w:hAnsi="Times New Roman" w:cs="Times New Roman"/>
          <w:lang w:val="en-GB"/>
        </w:rPr>
        <w:t xml:space="preserve"> Such an ambiguity raises the question of whether the EU expects one Member State facing a disproportionate pressure at its external borders due to its geographical location to take the measures necessary to regain control of the situation with its own means in the future. This would mean that responsibility would override solidarity as time goes by.</w:t>
      </w:r>
    </w:p>
    <w:p w14:paraId="75E2A5E0" w14:textId="77777777" w:rsidR="00BD1E16" w:rsidRPr="00C76C0F" w:rsidRDefault="00BD1E16" w:rsidP="00B63DDA">
      <w:pPr>
        <w:pStyle w:val="normal0"/>
        <w:spacing w:line="360" w:lineRule="auto"/>
        <w:jc w:val="both"/>
        <w:rPr>
          <w:lang w:val="en-GB"/>
        </w:rPr>
      </w:pPr>
    </w:p>
    <w:p w14:paraId="60C2EBD2" w14:textId="3E4C9AAE"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The current level of solidarity seems to be in contradiction with the Treaty. Contrary to what is often said, article 80 TFEU does not put the principle of responsibility - </w:t>
      </w:r>
      <w:r w:rsidRPr="00C76C0F">
        <w:rPr>
          <w:rFonts w:ascii="Times New Roman" w:eastAsia="Times New Roman" w:hAnsi="Times New Roman" w:cs="Times New Roman"/>
          <w:lang w:val="en-GB"/>
        </w:rPr>
        <w:lastRenderedPageBreak/>
        <w:t>following which Member States should control their section of the external borders themselves - in opposition to the principle of solidarity - following which overburdened Member States should get help from the EU. On the contrary, article 80 TFEU is about “</w:t>
      </w:r>
      <w:r w:rsidRPr="00C76C0F">
        <w:rPr>
          <w:rFonts w:ascii="Times New Roman" w:eastAsia="Times New Roman" w:hAnsi="Times New Roman" w:cs="Times New Roman"/>
          <w:i/>
          <w:lang w:val="en-GB"/>
        </w:rPr>
        <w:t xml:space="preserve">the principle of solidarity </w:t>
      </w:r>
      <w:r w:rsidRPr="00C76C0F">
        <w:rPr>
          <w:rFonts w:ascii="Times New Roman" w:eastAsia="Times New Roman" w:hAnsi="Times New Roman" w:cs="Times New Roman"/>
          <w:i/>
          <w:u w:val="single"/>
          <w:lang w:val="en-GB"/>
        </w:rPr>
        <w:t>and</w:t>
      </w:r>
      <w:r w:rsidRPr="00C76C0F">
        <w:rPr>
          <w:rFonts w:ascii="Times New Roman" w:eastAsia="Times New Roman" w:hAnsi="Times New Roman" w:cs="Times New Roman"/>
          <w:i/>
          <w:lang w:val="en-GB"/>
        </w:rPr>
        <w:t xml:space="preserve"> fair sharing of responsibility”. </w:t>
      </w:r>
      <w:r w:rsidRPr="00C76C0F">
        <w:rPr>
          <w:rFonts w:ascii="Times New Roman" w:eastAsia="Times New Roman" w:hAnsi="Times New Roman" w:cs="Times New Roman"/>
          <w:lang w:val="en-GB"/>
        </w:rPr>
        <w:t xml:space="preserve">Instead of an opposition between two principles, this provision - which itself deserves an in-depth analysis that cannot be developed in the present publication - can be considered to complete the rather large idea of solidarity with a more precise and demanding idea of </w:t>
      </w:r>
      <w:r w:rsidRPr="00C76C0F">
        <w:rPr>
          <w:rFonts w:ascii="Times New Roman" w:eastAsia="Times New Roman" w:hAnsi="Times New Roman" w:cs="Times New Roman"/>
          <w:i/>
          <w:lang w:val="en-GB"/>
        </w:rPr>
        <w:t>fair</w:t>
      </w:r>
      <w:r w:rsidRPr="00C76C0F">
        <w:rPr>
          <w:rFonts w:ascii="Times New Roman" w:eastAsia="Times New Roman" w:hAnsi="Times New Roman" w:cs="Times New Roman"/>
          <w:lang w:val="en-GB"/>
        </w:rPr>
        <w:t xml:space="preserve"> sharing of responsibility.</w:t>
      </w:r>
    </w:p>
    <w:p w14:paraId="30DDC43C" w14:textId="77777777" w:rsidR="00BD1E16" w:rsidRPr="00C76C0F" w:rsidRDefault="00BD1E16" w:rsidP="00B63DDA">
      <w:pPr>
        <w:pStyle w:val="normal0"/>
        <w:spacing w:line="360" w:lineRule="auto"/>
        <w:jc w:val="both"/>
        <w:rPr>
          <w:lang w:val="en-GB"/>
        </w:rPr>
      </w:pPr>
    </w:p>
    <w:p w14:paraId="46BE0FAF"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b/>
          <w:u w:val="single"/>
          <w:lang w:val="en-GB"/>
        </w:rPr>
        <w:t>Conclusions</w:t>
      </w:r>
    </w:p>
    <w:p w14:paraId="501A5CF3"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Our analysis leads to the conclusion that the EBCG proposal is not an ambitious proposal. It envisages a short-term solution to the structural problem of the crisis at the Greek borders, which instead requires a fundamental change. In order to understand the level of ambition of the Commission proposal, it is important to avoid any misunderstanding regarding what the proposed “European Border and Coast Guard” is, as one can easily get lost in the different concepts that have been proposed over time regarding the institutionalisation of the common border policy. Actually, the name “EBCG” proposed by the European Commission is a flag of convenience that is misleading. It is only a legal fiction made of the addition of the new Agency to the national authorities of Member States that remain mainly responsible for border management. It has nothing to do with the European Corp, Guard or Police imagined before, including by the Commission, to replace the national border guards. </w:t>
      </w:r>
    </w:p>
    <w:p w14:paraId="1E6CB8BC" w14:textId="77777777" w:rsidR="00BD1E16" w:rsidRPr="00C76C0F" w:rsidRDefault="00BD1E16" w:rsidP="00B63DDA">
      <w:pPr>
        <w:pStyle w:val="normal0"/>
        <w:spacing w:line="360" w:lineRule="auto"/>
        <w:jc w:val="both"/>
        <w:rPr>
          <w:lang w:val="en-GB"/>
        </w:rPr>
      </w:pPr>
    </w:p>
    <w:p w14:paraId="4BF7D1B3"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The proposal is therefore not the end of the evolution of the institutional organisation of border controls in the EU. Unless the Rapid Reserve Pool and the European Border and Coast Guard Teams grow to the point that they will almost replace the border guards of some Member States unable to face disproportionate pressures, the need for more solidarity will increase. The case of Italy, which is beginning to face an increasing number of arrivals, shows, if it was necessary, that the Greek case is not the only one. It is good to remember that the previous idea of creating a European </w:t>
      </w:r>
      <w:r w:rsidRPr="00C76C0F">
        <w:rPr>
          <w:rFonts w:ascii="Times New Roman" w:eastAsia="Times New Roman" w:hAnsi="Times New Roman" w:cs="Times New Roman"/>
          <w:lang w:val="en-GB"/>
        </w:rPr>
        <w:lastRenderedPageBreak/>
        <w:t xml:space="preserve">body for guarding the external borders was supposed to answer to the need for more </w:t>
      </w:r>
      <w:proofErr w:type="gramStart"/>
      <w:r w:rsidRPr="00C76C0F">
        <w:rPr>
          <w:rFonts w:ascii="Times New Roman" w:eastAsia="Times New Roman" w:hAnsi="Times New Roman" w:cs="Times New Roman"/>
          <w:lang w:val="en-GB"/>
        </w:rPr>
        <w:t>burden</w:t>
      </w:r>
      <w:proofErr w:type="gramEnd"/>
      <w:r w:rsidRPr="00C76C0F">
        <w:rPr>
          <w:rFonts w:ascii="Times New Roman" w:eastAsia="Times New Roman" w:hAnsi="Times New Roman" w:cs="Times New Roman"/>
          <w:lang w:val="en-GB"/>
        </w:rPr>
        <w:t xml:space="preserve"> sharing between the Member States. </w:t>
      </w:r>
    </w:p>
    <w:p w14:paraId="7D348BDA" w14:textId="77777777" w:rsidR="00BD1E16" w:rsidRPr="00C76C0F" w:rsidRDefault="00BD1E16" w:rsidP="00B63DDA">
      <w:pPr>
        <w:pStyle w:val="normal0"/>
        <w:spacing w:line="360" w:lineRule="auto"/>
        <w:jc w:val="both"/>
        <w:rPr>
          <w:lang w:val="en-GB"/>
        </w:rPr>
      </w:pPr>
    </w:p>
    <w:p w14:paraId="63E62381" w14:textId="77777777"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 xml:space="preserve">One could be tempted to conclude that more financial solidarity between Member States in the border policy is the solution or, from a Euro-careful point of view, the remedy to avoid the creation of a true EBCG replacing the national border guards. However, the Member States that would be requested to contribute more and more financially will understandably argue that they want to decide about how their money is used, in particular if they do not trust, as it is the case for the moment, the Member States in charge of the Southern external borders. Therefore, a real solution seems to require progress towards a model where the responsibility for the control of the external borders would no longer be shared with Member States, but rather would become extremely centralised into a European agency, a real and not a fictive European Border and Coast Guard. The Commission proposal so appears as a typical example of another EU attempt to transform a crisis into an opportunity in order to progress a bit more in the process of European integration. </w:t>
      </w:r>
    </w:p>
    <w:p w14:paraId="0EECE8B4" w14:textId="77777777" w:rsidR="00BD1E16" w:rsidRPr="00C76C0F" w:rsidRDefault="00BD1E16" w:rsidP="00B63DDA">
      <w:pPr>
        <w:pStyle w:val="normal0"/>
        <w:spacing w:line="360" w:lineRule="auto"/>
        <w:jc w:val="both"/>
        <w:rPr>
          <w:lang w:val="en-GB"/>
        </w:rPr>
      </w:pPr>
    </w:p>
    <w:p w14:paraId="31A7F6E4" w14:textId="040DFDC5" w:rsidR="00BD1E16" w:rsidRPr="00C76C0F" w:rsidRDefault="00043735" w:rsidP="00B63DDA">
      <w:pPr>
        <w:pStyle w:val="normal0"/>
        <w:spacing w:line="360" w:lineRule="auto"/>
        <w:jc w:val="both"/>
        <w:rPr>
          <w:lang w:val="en-GB"/>
        </w:rPr>
      </w:pPr>
      <w:r w:rsidRPr="00C76C0F">
        <w:rPr>
          <w:rFonts w:ascii="Times New Roman" w:eastAsia="Times New Roman" w:hAnsi="Times New Roman" w:cs="Times New Roman"/>
          <w:lang w:val="en-GB"/>
        </w:rPr>
        <w:t>This may be the right strategy as it would be better to have the EBCG as proposed rather than nothing due to the fact that a fully-fledged European Agency would be politically unacceptable, and even legally impossible in the absence of a sufficient legal basis in the Treaty</w:t>
      </w:r>
      <w:r w:rsidR="008E3232">
        <w:rPr>
          <w:rFonts w:ascii="Times New Roman" w:eastAsia="Times New Roman" w:hAnsi="Times New Roman" w:cs="Times New Roman"/>
          <w:lang w:val="en-GB"/>
        </w:rPr>
        <w:t>.</w:t>
      </w:r>
      <w:r w:rsidRPr="00C76C0F">
        <w:rPr>
          <w:rFonts w:ascii="Times New Roman" w:eastAsia="Times New Roman" w:hAnsi="Times New Roman" w:cs="Times New Roman"/>
          <w:vertAlign w:val="superscript"/>
          <w:lang w:val="en-GB"/>
        </w:rPr>
        <w:footnoteReference w:id="16"/>
      </w:r>
      <w:r w:rsidRPr="00C76C0F">
        <w:rPr>
          <w:rFonts w:ascii="Times New Roman" w:eastAsia="Times New Roman" w:hAnsi="Times New Roman" w:cs="Times New Roman"/>
          <w:lang w:val="en-GB"/>
        </w:rPr>
        <w:t xml:space="preserve"> This may be true, but it means that we are just waiting to accomplish the enormous but necessary step towards a kind of federal integration in the common border policy by creating a centralised agency for borders. It would also mean that we risk creating false expectations in the future by proposing a fake ECBG. In the meantime, it is contradictory that the Commission sticks to the old logic of responsibility when proposing a reform of the common border policy, when at the same time, it accepts a new logic of solidarity in the common asylum policy in its proposal to reform the “Dublin” mechanism of determining the Member State </w:t>
      </w:r>
      <w:r w:rsidRPr="00C76C0F">
        <w:rPr>
          <w:rFonts w:ascii="Times New Roman" w:eastAsia="Times New Roman" w:hAnsi="Times New Roman" w:cs="Times New Roman"/>
          <w:lang w:val="en-GB"/>
        </w:rPr>
        <w:lastRenderedPageBreak/>
        <w:t>responsible for examining an asylum application</w:t>
      </w:r>
      <w:r w:rsidRPr="00C76C0F">
        <w:rPr>
          <w:rFonts w:ascii="Times New Roman" w:eastAsia="Times New Roman" w:hAnsi="Times New Roman" w:cs="Times New Roman"/>
          <w:vertAlign w:val="superscript"/>
          <w:lang w:val="en-GB"/>
        </w:rPr>
        <w:footnoteReference w:id="17"/>
      </w:r>
      <w:r w:rsidR="00DF740F">
        <w:rPr>
          <w:rFonts w:ascii="Times New Roman" w:eastAsia="Times New Roman" w:hAnsi="Times New Roman" w:cs="Times New Roman"/>
          <w:lang w:val="en-GB"/>
        </w:rPr>
        <w:t xml:space="preserve"> </w:t>
      </w:r>
      <w:r w:rsidRPr="00C76C0F">
        <w:rPr>
          <w:rFonts w:ascii="Times New Roman" w:eastAsia="Times New Roman" w:hAnsi="Times New Roman" w:cs="Times New Roman"/>
          <w:lang w:val="en-GB"/>
        </w:rPr>
        <w:t>which includes a distribution key reflecting the population and GDP of each Member State in the European Union.</w:t>
      </w:r>
    </w:p>
    <w:sectPr w:rsidR="00BD1E16" w:rsidRPr="00C76C0F">
      <w:footerReference w:type="default" r:id="rId9"/>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9CE0" w14:textId="77777777" w:rsidR="00306C42" w:rsidRDefault="00306C42">
      <w:r>
        <w:separator/>
      </w:r>
    </w:p>
  </w:endnote>
  <w:endnote w:type="continuationSeparator" w:id="0">
    <w:p w14:paraId="2C3B52BF" w14:textId="77777777" w:rsidR="00306C42" w:rsidRDefault="0030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88D1" w14:textId="77777777" w:rsidR="00306C42" w:rsidRDefault="00306C42">
    <w:pPr>
      <w:pStyle w:val="normal0"/>
      <w:tabs>
        <w:tab w:val="center" w:pos="4153"/>
        <w:tab w:val="right" w:pos="8306"/>
      </w:tabs>
      <w:jc w:val="right"/>
    </w:pPr>
    <w:r>
      <w:fldChar w:fldCharType="begin"/>
    </w:r>
    <w:r>
      <w:instrText>PAGE</w:instrText>
    </w:r>
    <w:r>
      <w:fldChar w:fldCharType="separate"/>
    </w:r>
    <w:r w:rsidR="002F2DCD">
      <w:rPr>
        <w:noProof/>
      </w:rPr>
      <w:t>3</w:t>
    </w:r>
    <w:r>
      <w:fldChar w:fldCharType="end"/>
    </w:r>
  </w:p>
  <w:p w14:paraId="5B44975C" w14:textId="77777777" w:rsidR="00306C42" w:rsidRDefault="00306C42">
    <w:pPr>
      <w:pStyle w:val="normal0"/>
      <w:tabs>
        <w:tab w:val="center" w:pos="4153"/>
        <w:tab w:val="right" w:pos="8306"/>
      </w:tabs>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756D5" w14:textId="77777777" w:rsidR="00306C42" w:rsidRDefault="00306C42">
      <w:r>
        <w:separator/>
      </w:r>
    </w:p>
  </w:footnote>
  <w:footnote w:type="continuationSeparator" w:id="0">
    <w:p w14:paraId="19C8E96A" w14:textId="77777777" w:rsidR="00306C42" w:rsidRDefault="00306C42">
      <w:r>
        <w:continuationSeparator/>
      </w:r>
    </w:p>
  </w:footnote>
  <w:footnote w:id="1">
    <w:p w14:paraId="4AD0483C" w14:textId="77777777"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See the explanatory memorandum of the proposal (COM(2015)67). See also the Commission communication of 15 December 2015 entitled “A European Border and Coast Guard and effective management of Europe’s external borders” (COM(2015)673) that summarises the goals of the borders policy.</w:t>
      </w:r>
    </w:p>
  </w:footnote>
  <w:footnote w:id="2">
    <w:p w14:paraId="0B064830" w14:textId="1883DAA2" w:rsidR="00306C42" w:rsidRPr="008E3232" w:rsidRDefault="00306C42" w:rsidP="008E3232">
      <w:pPr>
        <w:pStyle w:val="FootnoteText"/>
        <w:jc w:val="both"/>
        <w:rPr>
          <w:rFonts w:ascii="Times New Roman" w:hAnsi="Times New Roman" w:cs="Times New Roman"/>
          <w:sz w:val="20"/>
          <w:szCs w:val="20"/>
          <w:lang w:val="en-GB"/>
        </w:rPr>
      </w:pPr>
      <w:r w:rsidRPr="008E3232">
        <w:rPr>
          <w:rStyle w:val="FootnoteReference"/>
          <w:rFonts w:ascii="Times New Roman" w:hAnsi="Times New Roman" w:cs="Times New Roman"/>
          <w:sz w:val="20"/>
          <w:szCs w:val="20"/>
          <w:lang w:val="en-GB"/>
        </w:rPr>
        <w:footnoteRef/>
      </w:r>
      <w:r w:rsidRPr="008E3232">
        <w:rPr>
          <w:rFonts w:ascii="Times New Roman" w:hAnsi="Times New Roman" w:cs="Times New Roman"/>
          <w:sz w:val="20"/>
          <w:szCs w:val="20"/>
          <w:lang w:val="en-GB"/>
        </w:rPr>
        <w:t xml:space="preserve"> See for the Council the mandate of negotiations with the European Parliament of 8 April 2016 (Document 7649/16) and for the European Parliament the draft report of </w:t>
      </w:r>
      <w:proofErr w:type="spellStart"/>
      <w:r w:rsidRPr="008E3232">
        <w:rPr>
          <w:rFonts w:ascii="Times New Roman" w:hAnsi="Times New Roman" w:cs="Times New Roman"/>
          <w:sz w:val="20"/>
          <w:szCs w:val="20"/>
          <w:lang w:val="en-GB"/>
        </w:rPr>
        <w:t>Artis</w:t>
      </w:r>
      <w:proofErr w:type="spellEnd"/>
      <w:r w:rsidRPr="008E3232">
        <w:rPr>
          <w:rFonts w:ascii="Times New Roman" w:hAnsi="Times New Roman" w:cs="Times New Roman"/>
          <w:sz w:val="20"/>
          <w:szCs w:val="20"/>
          <w:lang w:val="en-GB"/>
        </w:rPr>
        <w:t xml:space="preserve"> </w:t>
      </w:r>
      <w:proofErr w:type="spellStart"/>
      <w:r w:rsidRPr="008E3232">
        <w:rPr>
          <w:rFonts w:ascii="Times New Roman" w:hAnsi="Times New Roman" w:cs="Times New Roman"/>
          <w:sz w:val="20"/>
          <w:szCs w:val="20"/>
          <w:lang w:val="en-GB"/>
        </w:rPr>
        <w:t>Pabricks</w:t>
      </w:r>
      <w:proofErr w:type="spellEnd"/>
      <w:r w:rsidRPr="008E3232">
        <w:rPr>
          <w:rFonts w:ascii="Times New Roman" w:hAnsi="Times New Roman" w:cs="Times New Roman"/>
          <w:sz w:val="20"/>
          <w:szCs w:val="20"/>
          <w:lang w:val="en-GB"/>
        </w:rPr>
        <w:t xml:space="preserve"> for the </w:t>
      </w:r>
      <w:proofErr w:type="spellStart"/>
      <w:r w:rsidRPr="008E3232">
        <w:rPr>
          <w:rFonts w:ascii="Times New Roman" w:hAnsi="Times New Roman" w:cs="Times New Roman"/>
          <w:sz w:val="20"/>
          <w:szCs w:val="20"/>
          <w:lang w:val="en-GB"/>
        </w:rPr>
        <w:t>Libe</w:t>
      </w:r>
      <w:proofErr w:type="spellEnd"/>
      <w:r w:rsidRPr="008E3232">
        <w:rPr>
          <w:rFonts w:ascii="Times New Roman" w:hAnsi="Times New Roman" w:cs="Times New Roman"/>
          <w:sz w:val="20"/>
          <w:szCs w:val="20"/>
          <w:lang w:val="en-GB"/>
        </w:rPr>
        <w:t xml:space="preserve"> Committe</w:t>
      </w:r>
      <w:r>
        <w:rPr>
          <w:rFonts w:ascii="Times New Roman" w:hAnsi="Times New Roman" w:cs="Times New Roman"/>
          <w:sz w:val="20"/>
          <w:szCs w:val="20"/>
          <w:lang w:val="en-GB"/>
        </w:rPr>
        <w:t>e</w:t>
      </w:r>
      <w:r w:rsidRPr="008E3232">
        <w:rPr>
          <w:rFonts w:ascii="Times New Roman" w:hAnsi="Times New Roman" w:cs="Times New Roman"/>
          <w:sz w:val="20"/>
          <w:szCs w:val="20"/>
          <w:lang w:val="en-GB"/>
        </w:rPr>
        <w:t xml:space="preserve"> of 23 March 2016</w:t>
      </w:r>
      <w:r>
        <w:rPr>
          <w:rFonts w:ascii="Times New Roman" w:hAnsi="Times New Roman" w:cs="Times New Roman"/>
          <w:sz w:val="20"/>
          <w:szCs w:val="20"/>
          <w:lang w:val="en-GB"/>
        </w:rPr>
        <w:t>.</w:t>
      </w:r>
      <w:r w:rsidR="00CF74AE">
        <w:rPr>
          <w:rFonts w:ascii="Times New Roman" w:hAnsi="Times New Roman" w:cs="Times New Roman"/>
          <w:sz w:val="20"/>
          <w:szCs w:val="20"/>
          <w:lang w:val="en-GB"/>
        </w:rPr>
        <w:t xml:space="preserve"> The European Parliament approved the text in plenary on 6 July and the legislative procedure will end soon with the approval by the Council.</w:t>
      </w:r>
    </w:p>
  </w:footnote>
  <w:footnote w:id="3">
    <w:p w14:paraId="33700F4C" w14:textId="16F47B1F" w:rsidR="00306C42" w:rsidRDefault="00306C42">
      <w:pPr>
        <w:pStyle w:val="normal0"/>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Following the words of Steve Peers in its blog The reform of Frontex: saving Schengen at refugee’s expense? published on EU Law Analysis, </w:t>
      </w:r>
      <w:hyperlink r:id="rId1">
        <w:r>
          <w:rPr>
            <w:rFonts w:ascii="Times New Roman" w:eastAsia="Times New Roman" w:hAnsi="Times New Roman" w:cs="Times New Roman"/>
            <w:color w:val="0000FF"/>
            <w:sz w:val="20"/>
            <w:szCs w:val="20"/>
            <w:u w:val="single"/>
          </w:rPr>
          <w:t>http://eulawanalysis.blogspot.it/2015/12/the-reform-of-frontex-saving-schengen.html</w:t>
        </w:r>
      </w:hyperlink>
      <w:r>
        <w:rPr>
          <w:rFonts w:ascii="Times New Roman" w:eastAsia="Times New Roman" w:hAnsi="Times New Roman" w:cs="Times New Roman"/>
          <w:sz w:val="20"/>
          <w:szCs w:val="20"/>
        </w:rPr>
        <w:t xml:space="preserve"> </w:t>
      </w:r>
    </w:p>
  </w:footnote>
  <w:footnote w:id="4">
    <w:p w14:paraId="6D07A6DB" w14:textId="6D23FEFA"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External evaluation of the Agency under article 33 of the Frontex Regulation, 2015, p.35, </w:t>
      </w:r>
      <w:hyperlink r:id="rId2">
        <w:r>
          <w:rPr>
            <w:rFonts w:ascii="Times New Roman" w:eastAsia="Times New Roman" w:hAnsi="Times New Roman" w:cs="Times New Roman"/>
            <w:color w:val="0000FF"/>
            <w:sz w:val="20"/>
            <w:szCs w:val="20"/>
            <w:u w:val="single"/>
          </w:rPr>
          <w:t>http://frontex.europa.eu/assets/Publications/General/Final_Report_on_External_Evaluation_of_Frontex.pdf</w:t>
        </w:r>
      </w:hyperlink>
      <w:r>
        <w:rPr>
          <w:rFonts w:ascii="Times New Roman" w:eastAsia="Times New Roman" w:hAnsi="Times New Roman" w:cs="Times New Roman"/>
          <w:sz w:val="20"/>
          <w:szCs w:val="20"/>
        </w:rPr>
        <w:t xml:space="preserve"> </w:t>
      </w:r>
    </w:p>
  </w:footnote>
  <w:footnote w:id="5">
    <w:p w14:paraId="59990E00" w14:textId="1143DE5F"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RIJPMA, J., </w:t>
      </w:r>
      <w:r w:rsidRPr="00CD09A1">
        <w:rPr>
          <w:rFonts w:ascii="Times New Roman" w:eastAsia="Times New Roman" w:hAnsi="Times New Roman" w:cs="Times New Roman"/>
          <w:i/>
          <w:sz w:val="20"/>
          <w:szCs w:val="20"/>
        </w:rPr>
        <w:t>The proposal for a European Border and Coast Guard: evolution or revolution in external border management</w:t>
      </w:r>
      <w:r>
        <w:rPr>
          <w:rFonts w:ascii="Times New Roman" w:eastAsia="Times New Roman" w:hAnsi="Times New Roman" w:cs="Times New Roman"/>
          <w:sz w:val="20"/>
          <w:szCs w:val="20"/>
        </w:rPr>
        <w:t xml:space="preserve">, study for the Libe Committee of the European Parliament, 2016, p.18, </w:t>
      </w:r>
      <w:hyperlink r:id="rId3">
        <w:r>
          <w:rPr>
            <w:rFonts w:ascii="Times New Roman" w:eastAsia="Times New Roman" w:hAnsi="Times New Roman" w:cs="Times New Roman"/>
            <w:color w:val="0000FF"/>
            <w:sz w:val="20"/>
            <w:szCs w:val="20"/>
            <w:u w:val="single"/>
          </w:rPr>
          <w:t>http://www.europarl.europa.eu/RegData/etudes/STUD/2016/556934/IPOL_STU(2016)556934_EN.pdf</w:t>
        </w:r>
      </w:hyperlink>
      <w:r>
        <w:rPr>
          <w:rFonts w:ascii="Times New Roman" w:eastAsia="Times New Roman" w:hAnsi="Times New Roman" w:cs="Times New Roman"/>
          <w:sz w:val="20"/>
          <w:szCs w:val="20"/>
        </w:rPr>
        <w:t xml:space="preserve"> </w:t>
      </w:r>
    </w:p>
  </w:footnote>
  <w:footnote w:id="6">
    <w:p w14:paraId="5FBB0C4F" w14:textId="618E738D"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See for instance M. BUSUIOC, </w:t>
      </w:r>
      <w:r w:rsidRPr="00CD09A1">
        <w:rPr>
          <w:rFonts w:ascii="Times New Roman" w:eastAsia="Times New Roman" w:hAnsi="Times New Roman" w:cs="Times New Roman"/>
          <w:i/>
          <w:sz w:val="20"/>
          <w:szCs w:val="20"/>
        </w:rPr>
        <w:t>European Agencies: Law and Practice of Accountability</w:t>
      </w:r>
      <w:r>
        <w:rPr>
          <w:rFonts w:ascii="Times New Roman" w:eastAsia="Times New Roman" w:hAnsi="Times New Roman" w:cs="Times New Roman"/>
          <w:sz w:val="20"/>
          <w:szCs w:val="20"/>
        </w:rPr>
        <w:t>, Oxford: OUP, 2013 who however mentions the issue of double hats when the members of the Board’s agency are also the heads of the national agencies in the same area.</w:t>
      </w:r>
    </w:p>
  </w:footnote>
  <w:footnote w:id="7">
    <w:p w14:paraId="25D42BA3" w14:textId="77777777"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One should keep in mind that the legal basis of the European borders policy (article 77 TFEU) uses the different notion of an “integrated management system” as the ultimate objective.</w:t>
      </w:r>
    </w:p>
  </w:footnote>
  <w:footnote w:id="8">
    <w:p w14:paraId="579AC622" w14:textId="77777777"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Cit, p. 14.</w:t>
      </w:r>
    </w:p>
  </w:footnote>
  <w:footnote w:id="9">
    <w:p w14:paraId="67AFEFD9" w14:textId="34A3DC54" w:rsidR="00306C42" w:rsidRDefault="00306C42">
      <w:pPr>
        <w:pStyle w:val="normal0"/>
        <w:widowControl w:val="0"/>
      </w:pPr>
      <w:r>
        <w:rPr>
          <w:vertAlign w:val="superscript"/>
        </w:rPr>
        <w:footnoteRef/>
      </w:r>
      <w:r>
        <w:rPr>
          <w:rFonts w:ascii="Times New Roman" w:eastAsia="Times New Roman" w:hAnsi="Times New Roman" w:cs="Times New Roman"/>
          <w:sz w:val="20"/>
          <w:szCs w:val="20"/>
        </w:rPr>
        <w:t xml:space="preserve"> J. MONAR, The Project of a European Border Guard: Origins, Models and Prospects in the Context of the EU’s Integrated External Border Management, in M. Caparini and O. Marenin, </w:t>
      </w:r>
      <w:r w:rsidRPr="00CD09A1">
        <w:rPr>
          <w:rFonts w:ascii="Times New Roman" w:eastAsia="Times New Roman" w:hAnsi="Times New Roman" w:cs="Times New Roman"/>
          <w:i/>
          <w:sz w:val="20"/>
          <w:szCs w:val="20"/>
        </w:rPr>
        <w:t>Borders and Security Governance</w:t>
      </w:r>
      <w:r>
        <w:rPr>
          <w:rFonts w:ascii="Times New Roman" w:eastAsia="Times New Roman" w:hAnsi="Times New Roman" w:cs="Times New Roman"/>
          <w:sz w:val="20"/>
          <w:szCs w:val="20"/>
        </w:rPr>
        <w:t xml:space="preserve">, LIT verlag, 2006, </w:t>
      </w:r>
      <w:hyperlink r:id="rId4">
        <w:r>
          <w:rPr>
            <w:rFonts w:ascii="Times New Roman" w:eastAsia="Times New Roman" w:hAnsi="Times New Roman" w:cs="Times New Roman"/>
            <w:color w:val="0000FF"/>
            <w:sz w:val="20"/>
            <w:szCs w:val="20"/>
            <w:u w:val="single"/>
          </w:rPr>
          <w:t>http://www.dcaf.ch/Publications/Borders-and-Security-Governance</w:t>
        </w:r>
      </w:hyperlink>
      <w:r>
        <w:rPr>
          <w:rFonts w:ascii="Times New Roman" w:eastAsia="Times New Roman" w:hAnsi="Times New Roman" w:cs="Times New Roman"/>
          <w:sz w:val="20"/>
          <w:szCs w:val="20"/>
        </w:rPr>
        <w:t xml:space="preserve"> </w:t>
      </w:r>
    </w:p>
  </w:footnote>
  <w:footnote w:id="10">
    <w:p w14:paraId="63914E71" w14:textId="504A443B"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0000FF"/>
            <w:sz w:val="20"/>
            <w:szCs w:val="20"/>
            <w:u w:val="single"/>
          </w:rPr>
          <w:t>http://www.statewatch.org/news/2005/may/eba-feasibility-study.pdf</w:t>
        </w:r>
      </w:hyperlink>
      <w:r>
        <w:rPr>
          <w:rFonts w:ascii="Times New Roman" w:eastAsia="Times New Roman" w:hAnsi="Times New Roman" w:cs="Times New Roman"/>
          <w:sz w:val="20"/>
          <w:szCs w:val="20"/>
        </w:rPr>
        <w:t xml:space="preserve"> </w:t>
      </w:r>
    </w:p>
  </w:footnote>
  <w:footnote w:id="11">
    <w:p w14:paraId="587B337E" w14:textId="2FBD9D9E" w:rsidR="00306C42" w:rsidRDefault="00306C42">
      <w:pPr>
        <w:pStyle w:val="normal0"/>
        <w:jc w:val="both"/>
      </w:pPr>
      <w:r>
        <w:rPr>
          <w:vertAlign w:val="superscript"/>
        </w:rPr>
        <w:footnoteRef/>
      </w:r>
      <w:r>
        <w:rPr>
          <w:rFonts w:ascii="Times New Roman" w:eastAsia="Times New Roman" w:hAnsi="Times New Roman" w:cs="Times New Roman"/>
          <w:sz w:val="20"/>
          <w:szCs w:val="20"/>
        </w:rPr>
        <w:t xml:space="preserve"> See about this S. CARRERA, </w:t>
      </w:r>
      <w:r w:rsidRPr="00CD09A1">
        <w:rPr>
          <w:rFonts w:ascii="Times New Roman" w:eastAsia="Times New Roman" w:hAnsi="Times New Roman" w:cs="Times New Roman"/>
          <w:i/>
          <w:sz w:val="20"/>
          <w:szCs w:val="20"/>
        </w:rPr>
        <w:t>Towards a Common European Border Service</w:t>
      </w:r>
      <w:r>
        <w:rPr>
          <w:rFonts w:ascii="Times New Roman" w:eastAsia="Times New Roman" w:hAnsi="Times New Roman" w:cs="Times New Roman"/>
          <w:sz w:val="20"/>
          <w:szCs w:val="20"/>
        </w:rPr>
        <w:t xml:space="preserve">, Ceps Working Document n° 331 of June 2010, </w:t>
      </w:r>
      <w:hyperlink r:id="rId6">
        <w:r>
          <w:rPr>
            <w:rFonts w:ascii="Times New Roman" w:eastAsia="Times New Roman" w:hAnsi="Times New Roman" w:cs="Times New Roman"/>
            <w:color w:val="0000FF"/>
            <w:sz w:val="20"/>
            <w:szCs w:val="20"/>
            <w:u w:val="single"/>
          </w:rPr>
          <w:t>https://www.ceps.eu/system/files/book/2010/06/Towards%20a%20Common%20European%20Border%20Service%20by%20Carrera%20edited%20final.pdf</w:t>
        </w:r>
      </w:hyperlink>
      <w:r>
        <w:rPr>
          <w:rFonts w:ascii="Times New Roman" w:eastAsia="Times New Roman" w:hAnsi="Times New Roman" w:cs="Times New Roman"/>
          <w:sz w:val="20"/>
          <w:szCs w:val="20"/>
        </w:rPr>
        <w:t xml:space="preserve"> </w:t>
      </w:r>
    </w:p>
  </w:footnote>
  <w:footnote w:id="12">
    <w:p w14:paraId="09735EF0" w14:textId="783C88D4" w:rsidR="00306C42" w:rsidRDefault="00306C42">
      <w:pPr>
        <w:pStyle w:val="normal0"/>
      </w:pPr>
      <w:r>
        <w:rPr>
          <w:vertAlign w:val="superscript"/>
        </w:rPr>
        <w:footnoteRef/>
      </w:r>
      <w:r>
        <w:rPr>
          <w:rFonts w:ascii="Times New Roman" w:eastAsia="Times New Roman" w:hAnsi="Times New Roman" w:cs="Times New Roman"/>
          <w:sz w:val="20"/>
          <w:szCs w:val="20"/>
        </w:rPr>
        <w:t xml:space="preserve"> CEPS Paper in Liberty and Security in Europe, n°88, March 2016, </w:t>
      </w:r>
      <w:hyperlink r:id="rId7">
        <w:r>
          <w:rPr>
            <w:rFonts w:ascii="Times New Roman" w:eastAsia="Times New Roman" w:hAnsi="Times New Roman" w:cs="Times New Roman"/>
            <w:color w:val="0000FF"/>
            <w:sz w:val="20"/>
            <w:szCs w:val="20"/>
            <w:u w:val="single"/>
          </w:rPr>
          <w:t>https://www.ceps.eu/system/files/LSE%20No%2088%20SC%20and%20LdH%20EBCG.pdf</w:t>
        </w:r>
      </w:hyperlink>
      <w:r>
        <w:rPr>
          <w:rFonts w:ascii="Times New Roman" w:eastAsia="Times New Roman" w:hAnsi="Times New Roman" w:cs="Times New Roman"/>
          <w:sz w:val="20"/>
          <w:szCs w:val="20"/>
        </w:rPr>
        <w:t xml:space="preserve"> </w:t>
      </w:r>
    </w:p>
  </w:footnote>
  <w:footnote w:id="13">
    <w:p w14:paraId="2A0DE1D3" w14:textId="5FFEC40F" w:rsidR="00306C42" w:rsidRDefault="00306C42">
      <w:pPr>
        <w:pStyle w:val="normal0"/>
      </w:pPr>
      <w:r>
        <w:rPr>
          <w:vertAlign w:val="superscript"/>
        </w:rPr>
        <w:footnoteRef/>
      </w:r>
      <w:r>
        <w:rPr>
          <w:rFonts w:ascii="Times New Roman" w:eastAsia="Times New Roman" w:hAnsi="Times New Roman" w:cs="Times New Roman"/>
          <w:sz w:val="20"/>
          <w:szCs w:val="20"/>
        </w:rPr>
        <w:t xml:space="preserve"> See also on this point the special report n°15/2014 of the European Court of Auditors entitled </w:t>
      </w:r>
      <w:r w:rsidRPr="00CD09A1">
        <w:rPr>
          <w:rFonts w:ascii="Times New Roman" w:eastAsia="Times New Roman" w:hAnsi="Times New Roman" w:cs="Times New Roman"/>
          <w:i/>
          <w:sz w:val="20"/>
          <w:szCs w:val="20"/>
        </w:rPr>
        <w:t>The external borders fund has fostered financial solidarity but requires better measurement of results and needs to provide further EU added value</w:t>
      </w:r>
      <w:r>
        <w:rPr>
          <w:rFonts w:ascii="Times New Roman" w:eastAsia="Times New Roman" w:hAnsi="Times New Roman" w:cs="Times New Roman"/>
          <w:sz w:val="20"/>
          <w:szCs w:val="20"/>
        </w:rPr>
        <w:t>, point 31 at page 21.</w:t>
      </w:r>
    </w:p>
  </w:footnote>
  <w:footnote w:id="14">
    <w:p w14:paraId="719D1DD0" w14:textId="77777777" w:rsidR="00306C42" w:rsidRDefault="00306C42">
      <w:pPr>
        <w:pStyle w:val="normal0"/>
      </w:pPr>
      <w:bookmarkStart w:id="1" w:name="h.gjdgxs" w:colFirst="0" w:colLast="0"/>
      <w:bookmarkEnd w:id="1"/>
      <w:r>
        <w:rPr>
          <w:vertAlign w:val="superscript"/>
        </w:rPr>
        <w:footnoteRef/>
      </w:r>
      <w:r>
        <w:rPr>
          <w:rFonts w:ascii="Times New Roman" w:eastAsia="Times New Roman" w:hAnsi="Times New Roman" w:cs="Times New Roman"/>
          <w:sz w:val="20"/>
          <w:szCs w:val="20"/>
        </w:rPr>
        <w:t xml:space="preserve"> Solidarity as a challenge for the EU: the case of justice and home affairs, in </w:t>
      </w:r>
      <w:r w:rsidRPr="00CD09A1">
        <w:rPr>
          <w:rFonts w:ascii="Times New Roman" w:eastAsia="Arial Unicode MS" w:hAnsi="Times New Roman" w:cs="Times New Roman"/>
          <w:i/>
          <w:color w:val="232323"/>
          <w:sz w:val="20"/>
          <w:szCs w:val="20"/>
        </w:rPr>
        <w:t>EU</w:t>
      </w:r>
      <w:r w:rsidRPr="00CD09A1">
        <w:rPr>
          <w:rFonts w:ascii="Arial Unicode MS" w:eastAsia="Arial Unicode MS" w:hAnsi="Arial Unicode MS" w:cs="Arial Unicode MS"/>
          <w:i/>
          <w:color w:val="232323"/>
          <w:sz w:val="20"/>
          <w:szCs w:val="20"/>
        </w:rPr>
        <w:t>の連帯</w:t>
      </w:r>
      <w:r>
        <w:rPr>
          <w:rFonts w:ascii="Arial Unicode MS" w:eastAsia="Arial Unicode MS" w:hAnsi="Arial Unicode MS" w:cs="Arial Unicode MS"/>
          <w:color w:val="232323"/>
          <w:sz w:val="20"/>
          <w:szCs w:val="20"/>
        </w:rPr>
        <w:t xml:space="preserve">, </w:t>
      </w:r>
      <w:r w:rsidRPr="008E3232">
        <w:rPr>
          <w:rFonts w:ascii="Times New Roman" w:eastAsia="Arial Unicode MS" w:hAnsi="Times New Roman" w:cs="Times New Roman"/>
          <w:color w:val="232323"/>
          <w:sz w:val="20"/>
          <w:szCs w:val="20"/>
        </w:rPr>
        <w:t>2015</w:t>
      </w:r>
      <w:r>
        <w:rPr>
          <w:rFonts w:ascii="Arial Unicode MS" w:eastAsia="Arial Unicode MS" w:hAnsi="Arial Unicode MS" w:cs="Arial Unicode MS"/>
          <w:color w:val="232323"/>
          <w:sz w:val="20"/>
          <w:szCs w:val="20"/>
        </w:rPr>
        <w:t xml:space="preserve">, </w:t>
      </w:r>
      <w:r w:rsidRPr="008E3232">
        <w:rPr>
          <w:rFonts w:ascii="Times New Roman" w:eastAsia="Arial Unicode MS" w:hAnsi="Times New Roman" w:cs="Times New Roman"/>
          <w:color w:val="232323"/>
          <w:sz w:val="20"/>
          <w:szCs w:val="20"/>
        </w:rPr>
        <w:t>pp.14.</w:t>
      </w:r>
    </w:p>
  </w:footnote>
  <w:footnote w:id="15">
    <w:p w14:paraId="338D9D50" w14:textId="77777777" w:rsidR="00306C42" w:rsidRDefault="00306C42">
      <w:pPr>
        <w:pStyle w:val="normal0"/>
      </w:pPr>
      <w:r>
        <w:rPr>
          <w:vertAlign w:val="superscript"/>
        </w:rPr>
        <w:footnoteRef/>
      </w:r>
      <w:r>
        <w:rPr>
          <w:rFonts w:ascii="Times New Roman" w:eastAsia="Times New Roman" w:hAnsi="Times New Roman" w:cs="Times New Roman"/>
          <w:sz w:val="20"/>
          <w:szCs w:val="20"/>
        </w:rPr>
        <w:t xml:space="preserve"> See articles 14(2) regarding Rapid Border Interventions and 15(3)(b) regarding Joint Operations.</w:t>
      </w:r>
    </w:p>
  </w:footnote>
  <w:footnote w:id="16">
    <w:p w14:paraId="5AD8DD81" w14:textId="77777777" w:rsidR="00306C42" w:rsidRDefault="00306C42">
      <w:pPr>
        <w:pStyle w:val="normal0"/>
      </w:pPr>
      <w:r>
        <w:rPr>
          <w:vertAlign w:val="superscript"/>
        </w:rPr>
        <w:footnoteRef/>
      </w:r>
      <w:r>
        <w:rPr>
          <w:rFonts w:ascii="Times New Roman" w:eastAsia="Times New Roman" w:hAnsi="Times New Roman" w:cs="Times New Roman"/>
          <w:sz w:val="20"/>
          <w:szCs w:val="20"/>
        </w:rPr>
        <w:t xml:space="preserve"> RIJPMA, cit, p.26.</w:t>
      </w:r>
    </w:p>
  </w:footnote>
  <w:footnote w:id="17">
    <w:p w14:paraId="4CB676BA" w14:textId="27CD233E" w:rsidR="00306C42" w:rsidRDefault="00306C42">
      <w:pPr>
        <w:pStyle w:val="normal0"/>
      </w:pPr>
      <w:r>
        <w:rPr>
          <w:vertAlign w:val="superscript"/>
        </w:rPr>
        <w:footnoteRef/>
      </w:r>
      <w:r>
        <w:rPr>
          <w:rFonts w:ascii="Times New Roman" w:eastAsia="Times New Roman" w:hAnsi="Times New Roman" w:cs="Times New Roman"/>
          <w:sz w:val="20"/>
          <w:szCs w:val="20"/>
        </w:rPr>
        <w:t xml:space="preserve"> COM(2016)270 of 4 may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A8F"/>
    <w:multiLevelType w:val="multilevel"/>
    <w:tmpl w:val="396EC1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1E16"/>
    <w:rsid w:val="0000161F"/>
    <w:rsid w:val="00043735"/>
    <w:rsid w:val="000574D6"/>
    <w:rsid w:val="00143A21"/>
    <w:rsid w:val="001F38A3"/>
    <w:rsid w:val="002A1C7B"/>
    <w:rsid w:val="002F2DCD"/>
    <w:rsid w:val="00306C42"/>
    <w:rsid w:val="00431DFC"/>
    <w:rsid w:val="00684F15"/>
    <w:rsid w:val="008E3232"/>
    <w:rsid w:val="0097166B"/>
    <w:rsid w:val="00A00341"/>
    <w:rsid w:val="00A35828"/>
    <w:rsid w:val="00AC5FBD"/>
    <w:rsid w:val="00B63DDA"/>
    <w:rsid w:val="00B72FAE"/>
    <w:rsid w:val="00BA1653"/>
    <w:rsid w:val="00BD1E16"/>
    <w:rsid w:val="00C76C0F"/>
    <w:rsid w:val="00CD09A1"/>
    <w:rsid w:val="00CF74AE"/>
    <w:rsid w:val="00D70A29"/>
    <w:rsid w:val="00DF740F"/>
    <w:rsid w:val="00E71EC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E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3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735"/>
    <w:rPr>
      <w:rFonts w:ascii="Lucida Grande" w:hAnsi="Lucida Grande" w:cs="Lucida Grande"/>
      <w:sz w:val="18"/>
      <w:szCs w:val="18"/>
    </w:rPr>
  </w:style>
  <w:style w:type="paragraph" w:styleId="FootnoteText">
    <w:name w:val="footnote text"/>
    <w:basedOn w:val="Normal"/>
    <w:link w:val="FootnoteTextChar"/>
    <w:uiPriority w:val="99"/>
    <w:unhideWhenUsed/>
    <w:rsid w:val="008E3232"/>
  </w:style>
  <w:style w:type="character" w:customStyle="1" w:styleId="FootnoteTextChar">
    <w:name w:val="Footnote Text Char"/>
    <w:basedOn w:val="DefaultParagraphFont"/>
    <w:link w:val="FootnoteText"/>
    <w:uiPriority w:val="99"/>
    <w:rsid w:val="008E3232"/>
  </w:style>
  <w:style w:type="character" w:styleId="FootnoteReference">
    <w:name w:val="footnote reference"/>
    <w:basedOn w:val="DefaultParagraphFont"/>
    <w:uiPriority w:val="99"/>
    <w:unhideWhenUsed/>
    <w:rsid w:val="008E32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3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735"/>
    <w:rPr>
      <w:rFonts w:ascii="Lucida Grande" w:hAnsi="Lucida Grande" w:cs="Lucida Grande"/>
      <w:sz w:val="18"/>
      <w:szCs w:val="18"/>
    </w:rPr>
  </w:style>
  <w:style w:type="paragraph" w:styleId="FootnoteText">
    <w:name w:val="footnote text"/>
    <w:basedOn w:val="Normal"/>
    <w:link w:val="FootnoteTextChar"/>
    <w:uiPriority w:val="99"/>
    <w:unhideWhenUsed/>
    <w:rsid w:val="008E3232"/>
  </w:style>
  <w:style w:type="character" w:customStyle="1" w:styleId="FootnoteTextChar">
    <w:name w:val="Footnote Text Char"/>
    <w:basedOn w:val="DefaultParagraphFont"/>
    <w:link w:val="FootnoteText"/>
    <w:uiPriority w:val="99"/>
    <w:rsid w:val="008E3232"/>
  </w:style>
  <w:style w:type="character" w:styleId="FootnoteReference">
    <w:name w:val="footnote reference"/>
    <w:basedOn w:val="DefaultParagraphFont"/>
    <w:uiPriority w:val="99"/>
    <w:unhideWhenUsed/>
    <w:rsid w:val="008E3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ruyck@ulb.ac.b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STUD/2016/556934/IPOL_STU(2016)556934_EN.pdf" TargetMode="External"/><Relationship Id="rId4" Type="http://schemas.openxmlformats.org/officeDocument/2006/relationships/hyperlink" Target="http://www.dcaf.ch/Publications/Borders-and-Security-Governance" TargetMode="External"/><Relationship Id="rId5" Type="http://schemas.openxmlformats.org/officeDocument/2006/relationships/hyperlink" Target="http://www.statewatch.org/news/2005/may/eba-feasibility-study.pdf" TargetMode="External"/><Relationship Id="rId6" Type="http://schemas.openxmlformats.org/officeDocument/2006/relationships/hyperlink" Target="https://www.ceps.eu/system/files/book/2010/06/Towards%20a%20Common%20European%20Border%20Service%20by%20Carrera%20edited%20final.pdf" TargetMode="External"/><Relationship Id="rId7" Type="http://schemas.openxmlformats.org/officeDocument/2006/relationships/hyperlink" Target="https://www.ceps.eu/system/files/LSE%20No%2088%20SC%20and%20LdH%20EBCG.pdf" TargetMode="External"/><Relationship Id="rId1" Type="http://schemas.openxmlformats.org/officeDocument/2006/relationships/hyperlink" Target="http://eulawanalysis.blogspot.it/2015/12/the-reform-of-frontex-saving-schengen.html" TargetMode="External"/><Relationship Id="rId2" Type="http://schemas.openxmlformats.org/officeDocument/2006/relationships/hyperlink" Target="http://frontex.europa.eu/assets/Publications/General/Final_Report_on_External_Evaluation_of_Front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15</Pages>
  <Words>4176</Words>
  <Characters>23805</Characters>
  <Application>Microsoft Macintosh Word</Application>
  <DocSecurity>0</DocSecurity>
  <Lines>198</Lines>
  <Paragraphs>55</Paragraphs>
  <ScaleCrop>false</ScaleCrop>
  <Company>EUI</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DE BRUYCKER</cp:lastModifiedBy>
  <cp:revision>14</cp:revision>
  <dcterms:created xsi:type="dcterms:W3CDTF">2016-06-21T16:43:00Z</dcterms:created>
  <dcterms:modified xsi:type="dcterms:W3CDTF">2016-07-06T14:19:00Z</dcterms:modified>
</cp:coreProperties>
</file>