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3436" w14:textId="0AE2FE46" w:rsidR="00E307A3" w:rsidRPr="000A3ABE" w:rsidRDefault="001F121D" w:rsidP="006740FC">
      <w:pPr>
        <w:spacing w:line="480" w:lineRule="auto"/>
        <w:jc w:val="center"/>
        <w:rPr>
          <w:b/>
          <w:sz w:val="28"/>
          <w:szCs w:val="28"/>
          <w:lang w:val="en-GB"/>
        </w:rPr>
      </w:pPr>
      <w:r>
        <w:rPr>
          <w:b/>
          <w:sz w:val="28"/>
          <w:szCs w:val="28"/>
          <w:lang w:val="en-GB"/>
        </w:rPr>
        <w:t>The Organizational Dimension of</w:t>
      </w:r>
      <w:r w:rsidR="0047758F" w:rsidRPr="000A3ABE">
        <w:rPr>
          <w:b/>
          <w:sz w:val="28"/>
          <w:szCs w:val="28"/>
          <w:lang w:val="en-GB"/>
        </w:rPr>
        <w:t xml:space="preserve"> D</w:t>
      </w:r>
      <w:r w:rsidR="00841D30" w:rsidRPr="000A3ABE">
        <w:rPr>
          <w:b/>
          <w:sz w:val="28"/>
          <w:szCs w:val="28"/>
          <w:lang w:val="en-GB"/>
        </w:rPr>
        <w:t xml:space="preserve">ifferentiated </w:t>
      </w:r>
      <w:r w:rsidR="007F1D75" w:rsidRPr="000A3ABE">
        <w:rPr>
          <w:b/>
          <w:sz w:val="28"/>
          <w:szCs w:val="28"/>
          <w:lang w:val="en-GB"/>
        </w:rPr>
        <w:t>Europeanization</w:t>
      </w:r>
      <w:r w:rsidR="00E307A3" w:rsidRPr="000A3ABE">
        <w:rPr>
          <w:b/>
          <w:sz w:val="28"/>
          <w:szCs w:val="28"/>
          <w:lang w:val="en-GB"/>
        </w:rPr>
        <w:t xml:space="preserve"> </w:t>
      </w:r>
    </w:p>
    <w:p w14:paraId="7E99079E" w14:textId="7A5D464A" w:rsidR="00841D30" w:rsidRPr="00442096" w:rsidRDefault="000005AE" w:rsidP="006740FC">
      <w:pPr>
        <w:spacing w:line="480" w:lineRule="auto"/>
        <w:jc w:val="center"/>
        <w:rPr>
          <w:sz w:val="28"/>
          <w:szCs w:val="28"/>
          <w:lang w:val="en-GB"/>
        </w:rPr>
      </w:pPr>
      <w:r w:rsidRPr="00442096">
        <w:rPr>
          <w:sz w:val="28"/>
          <w:szCs w:val="28"/>
          <w:lang w:val="en-GB"/>
        </w:rPr>
        <w:t>C</w:t>
      </w:r>
      <w:r w:rsidR="00E83841" w:rsidRPr="00442096">
        <w:rPr>
          <w:sz w:val="28"/>
          <w:szCs w:val="28"/>
          <w:lang w:val="en-GB"/>
        </w:rPr>
        <w:t>ontinuity</w:t>
      </w:r>
      <w:r w:rsidRPr="00442096">
        <w:rPr>
          <w:sz w:val="28"/>
          <w:szCs w:val="28"/>
          <w:lang w:val="en-GB"/>
        </w:rPr>
        <w:t xml:space="preserve"> and change</w:t>
      </w:r>
      <w:r w:rsidR="00E83841" w:rsidRPr="00442096">
        <w:rPr>
          <w:sz w:val="28"/>
          <w:szCs w:val="28"/>
          <w:lang w:val="en-GB"/>
        </w:rPr>
        <w:t xml:space="preserve"> </w:t>
      </w:r>
      <w:r w:rsidR="00F70D94" w:rsidRPr="00442096">
        <w:rPr>
          <w:sz w:val="28"/>
          <w:szCs w:val="28"/>
          <w:lang w:val="en-GB"/>
        </w:rPr>
        <w:t>in</w:t>
      </w:r>
      <w:r w:rsidR="00E83841" w:rsidRPr="00442096">
        <w:rPr>
          <w:sz w:val="28"/>
          <w:szCs w:val="28"/>
          <w:lang w:val="en-GB"/>
        </w:rPr>
        <w:t xml:space="preserve"> an affiliated state</w:t>
      </w:r>
      <w:r w:rsidR="00F70D94" w:rsidRPr="00442096">
        <w:rPr>
          <w:sz w:val="28"/>
          <w:szCs w:val="28"/>
          <w:lang w:val="en-GB"/>
        </w:rPr>
        <w:t xml:space="preserve"> administration</w:t>
      </w:r>
    </w:p>
    <w:p w14:paraId="103B8A57" w14:textId="7B9FE02D" w:rsidR="006740FC" w:rsidRDefault="006740FC" w:rsidP="006740FC">
      <w:pPr>
        <w:spacing w:line="480" w:lineRule="auto"/>
        <w:jc w:val="center"/>
        <w:rPr>
          <w:lang w:val="en-GB"/>
        </w:rPr>
      </w:pPr>
      <w:r>
        <w:rPr>
          <w:lang w:val="en-GB"/>
        </w:rPr>
        <w:t>Nadja Sophia B. Kühn</w:t>
      </w:r>
      <w:r w:rsidR="000A3ABE">
        <w:rPr>
          <w:lang w:val="en-GB"/>
        </w:rPr>
        <w:t xml:space="preserve"> and Jarle Trondal</w:t>
      </w:r>
    </w:p>
    <w:p w14:paraId="1728FD3E" w14:textId="77777777" w:rsidR="00052BC5" w:rsidRDefault="00052BC5" w:rsidP="00442096">
      <w:pPr>
        <w:spacing w:line="480" w:lineRule="auto"/>
        <w:jc w:val="center"/>
        <w:rPr>
          <w:i/>
          <w:lang w:val="en-GB"/>
        </w:rPr>
      </w:pPr>
    </w:p>
    <w:p w14:paraId="215B69C4" w14:textId="5EC71978" w:rsidR="000A3ABE" w:rsidRPr="00442096" w:rsidRDefault="006C710D" w:rsidP="00442096">
      <w:pPr>
        <w:spacing w:line="480" w:lineRule="auto"/>
        <w:jc w:val="center"/>
        <w:rPr>
          <w:i/>
          <w:lang w:val="en-GB"/>
        </w:rPr>
      </w:pPr>
      <w:r w:rsidRPr="00442096">
        <w:rPr>
          <w:i/>
          <w:lang w:val="en-GB"/>
        </w:rPr>
        <w:t>First draft, please do not quote</w:t>
      </w:r>
    </w:p>
    <w:p w14:paraId="61433D51" w14:textId="37640DF6" w:rsidR="006C710D" w:rsidRPr="00442096" w:rsidRDefault="006C710D" w:rsidP="00442096">
      <w:pPr>
        <w:pBdr>
          <w:bottom w:val="single" w:sz="4" w:space="1" w:color="auto"/>
        </w:pBdr>
        <w:jc w:val="center"/>
        <w:rPr>
          <w:i/>
          <w:lang w:val="en-GB"/>
        </w:rPr>
      </w:pPr>
      <w:r w:rsidRPr="00442096">
        <w:rPr>
          <w:i/>
          <w:lang w:val="en-GB"/>
        </w:rPr>
        <w:t xml:space="preserve">Paper prepared for the EUSA Fifteenth Biennial Conference, </w:t>
      </w:r>
      <w:r w:rsidR="00052BC5">
        <w:rPr>
          <w:i/>
          <w:lang w:val="en-GB"/>
        </w:rPr>
        <w:t>May 4-6, 2017, Miami Florida</w:t>
      </w:r>
    </w:p>
    <w:p w14:paraId="5708C455" w14:textId="77777777" w:rsidR="00442096" w:rsidRPr="006C710D" w:rsidRDefault="00442096" w:rsidP="00442096">
      <w:pPr>
        <w:pBdr>
          <w:bottom w:val="single" w:sz="4" w:space="1" w:color="auto"/>
        </w:pBdr>
        <w:jc w:val="center"/>
        <w:rPr>
          <w:rFonts w:ascii="Times New Roman" w:eastAsia="Times New Roman" w:hAnsi="Times New Roman" w:cs="Times New Roman"/>
        </w:rPr>
      </w:pPr>
    </w:p>
    <w:p w14:paraId="7FBBCA1D" w14:textId="3526CC11" w:rsidR="006C710D" w:rsidRPr="008D1B41" w:rsidRDefault="006C710D" w:rsidP="006C710D">
      <w:pPr>
        <w:tabs>
          <w:tab w:val="left" w:pos="2848"/>
        </w:tabs>
        <w:spacing w:line="480" w:lineRule="auto"/>
        <w:rPr>
          <w:lang w:val="en-GB"/>
        </w:rPr>
      </w:pPr>
    </w:p>
    <w:p w14:paraId="4A573FE8" w14:textId="21296A78" w:rsidR="006740FC" w:rsidRPr="00AF472C" w:rsidRDefault="006740FC" w:rsidP="00AF472C">
      <w:pPr>
        <w:rPr>
          <w:b/>
          <w:sz w:val="28"/>
          <w:szCs w:val="28"/>
          <w:lang w:val="en-GB"/>
        </w:rPr>
      </w:pPr>
      <w:r w:rsidRPr="00AF472C">
        <w:rPr>
          <w:b/>
          <w:sz w:val="28"/>
          <w:szCs w:val="28"/>
          <w:lang w:val="en-GB"/>
        </w:rPr>
        <w:t>Abstract</w:t>
      </w:r>
    </w:p>
    <w:p w14:paraId="2C529077" w14:textId="05174463" w:rsidR="00840F58" w:rsidRDefault="001E7C2F" w:rsidP="00AB7BE3">
      <w:pPr>
        <w:rPr>
          <w:lang w:val="en-GB"/>
        </w:rPr>
      </w:pPr>
      <w:r>
        <w:rPr>
          <w:lang w:val="en-GB"/>
        </w:rPr>
        <w:t>This</w:t>
      </w:r>
      <w:r w:rsidR="003201C0">
        <w:rPr>
          <w:lang w:val="en-GB"/>
        </w:rPr>
        <w:t xml:space="preserve"> </w:t>
      </w:r>
      <w:r w:rsidR="00A84CB9">
        <w:rPr>
          <w:lang w:val="en-GB"/>
        </w:rPr>
        <w:t>paper</w:t>
      </w:r>
      <w:r w:rsidR="003201C0">
        <w:rPr>
          <w:lang w:val="en-GB"/>
        </w:rPr>
        <w:t xml:space="preserve"> is premised on the assumption that organizational characteristics </w:t>
      </w:r>
      <w:r w:rsidR="00F76D4E">
        <w:rPr>
          <w:lang w:val="en-GB"/>
        </w:rPr>
        <w:t xml:space="preserve">constitute </w:t>
      </w:r>
      <w:r w:rsidR="003201C0">
        <w:rPr>
          <w:lang w:val="en-GB"/>
        </w:rPr>
        <w:t xml:space="preserve">a decisive </w:t>
      </w:r>
      <w:r w:rsidR="006C710D">
        <w:rPr>
          <w:lang w:val="en-GB"/>
        </w:rPr>
        <w:t>factor</w:t>
      </w:r>
      <w:r w:rsidR="003201C0">
        <w:rPr>
          <w:lang w:val="en-GB"/>
        </w:rPr>
        <w:t xml:space="preserve"> in</w:t>
      </w:r>
      <w:r w:rsidR="00FA08C2">
        <w:rPr>
          <w:lang w:val="en-GB"/>
        </w:rPr>
        <w:t xml:space="preserve"> </w:t>
      </w:r>
      <w:r w:rsidR="00ED29F4">
        <w:rPr>
          <w:lang w:val="en-GB"/>
        </w:rPr>
        <w:t>public governance</w:t>
      </w:r>
      <w:r w:rsidR="003201C0">
        <w:rPr>
          <w:lang w:val="en-GB"/>
        </w:rPr>
        <w:t xml:space="preserve">. </w:t>
      </w:r>
      <w:r w:rsidR="00042CFF">
        <w:rPr>
          <w:lang w:val="en-GB"/>
        </w:rPr>
        <w:t>Th</w:t>
      </w:r>
      <w:r w:rsidR="00442096">
        <w:rPr>
          <w:lang w:val="en-GB"/>
        </w:rPr>
        <w:t>e</w:t>
      </w:r>
      <w:r w:rsidR="00042CFF">
        <w:rPr>
          <w:lang w:val="en-GB"/>
        </w:rPr>
        <w:t xml:space="preserve"> assumption is </w:t>
      </w:r>
      <w:r w:rsidR="00D849D9">
        <w:rPr>
          <w:lang w:val="en-GB"/>
        </w:rPr>
        <w:t xml:space="preserve">illuminated </w:t>
      </w:r>
      <w:r w:rsidR="00042CFF">
        <w:rPr>
          <w:lang w:val="en-GB"/>
        </w:rPr>
        <w:t>by examining</w:t>
      </w:r>
      <w:r w:rsidR="00A743A9">
        <w:rPr>
          <w:lang w:val="en-GB"/>
        </w:rPr>
        <w:t xml:space="preserve"> </w:t>
      </w:r>
      <w:r w:rsidR="00F76D4E">
        <w:rPr>
          <w:lang w:val="en-GB"/>
        </w:rPr>
        <w:t xml:space="preserve">in what ways </w:t>
      </w:r>
      <w:r>
        <w:rPr>
          <w:lang w:val="en-GB"/>
        </w:rPr>
        <w:t xml:space="preserve">organizational </w:t>
      </w:r>
      <w:r w:rsidR="000A3ABE">
        <w:rPr>
          <w:lang w:val="en-GB"/>
        </w:rPr>
        <w:t>factors</w:t>
      </w:r>
      <w:r w:rsidR="009D1E9E">
        <w:rPr>
          <w:lang w:val="en-GB"/>
        </w:rPr>
        <w:t xml:space="preserve"> </w:t>
      </w:r>
      <w:r w:rsidR="00042CFF">
        <w:rPr>
          <w:lang w:val="en-GB"/>
        </w:rPr>
        <w:t>affect</w:t>
      </w:r>
      <w:r w:rsidR="000A3ABE">
        <w:rPr>
          <w:lang w:val="en-GB"/>
        </w:rPr>
        <w:t xml:space="preserve"> how the E</w:t>
      </w:r>
      <w:r w:rsidR="00F76D4E">
        <w:rPr>
          <w:lang w:val="en-GB"/>
        </w:rPr>
        <w:t xml:space="preserve">uropean </w:t>
      </w:r>
      <w:r w:rsidR="000A3ABE">
        <w:rPr>
          <w:lang w:val="en-GB"/>
        </w:rPr>
        <w:t>U</w:t>
      </w:r>
      <w:r w:rsidR="00F76D4E">
        <w:rPr>
          <w:lang w:val="en-GB"/>
        </w:rPr>
        <w:t>nion (EU)</w:t>
      </w:r>
      <w:r w:rsidR="000A3ABE">
        <w:rPr>
          <w:lang w:val="en-GB"/>
        </w:rPr>
        <w:t xml:space="preserve"> </w:t>
      </w:r>
      <w:r w:rsidR="00047328">
        <w:rPr>
          <w:lang w:val="en-GB"/>
        </w:rPr>
        <w:t>“</w:t>
      </w:r>
      <w:r w:rsidR="000A3ABE">
        <w:rPr>
          <w:lang w:val="en-GB"/>
        </w:rPr>
        <w:t>hits</w:t>
      </w:r>
      <w:r w:rsidR="00047328">
        <w:rPr>
          <w:lang w:val="en-GB"/>
        </w:rPr>
        <w:t>”</w:t>
      </w:r>
      <w:r w:rsidR="00042CFF">
        <w:rPr>
          <w:lang w:val="en-GB"/>
        </w:rPr>
        <w:t xml:space="preserve"> public governance inside</w:t>
      </w:r>
      <w:r w:rsidR="00C8140F">
        <w:rPr>
          <w:lang w:val="en-GB"/>
        </w:rPr>
        <w:t xml:space="preserve"> government ministries</w:t>
      </w:r>
      <w:r w:rsidR="00A84CB9">
        <w:rPr>
          <w:lang w:val="en-GB"/>
        </w:rPr>
        <w:t>.</w:t>
      </w:r>
      <w:r w:rsidR="009D1E9E">
        <w:rPr>
          <w:lang w:val="en-GB"/>
        </w:rPr>
        <w:t xml:space="preserve"> </w:t>
      </w:r>
      <w:r w:rsidR="00042CFF">
        <w:rPr>
          <w:lang w:val="en-GB"/>
        </w:rPr>
        <w:t xml:space="preserve">Acknowledging that </w:t>
      </w:r>
      <w:r w:rsidR="009D1E9E">
        <w:rPr>
          <w:lang w:val="en-GB"/>
        </w:rPr>
        <w:t xml:space="preserve">most studies </w:t>
      </w:r>
      <w:r w:rsidR="00042CFF">
        <w:rPr>
          <w:lang w:val="en-GB"/>
        </w:rPr>
        <w:t xml:space="preserve">have </w:t>
      </w:r>
      <w:r w:rsidR="009D1E9E">
        <w:rPr>
          <w:lang w:val="en-GB"/>
        </w:rPr>
        <w:t>focus</w:t>
      </w:r>
      <w:r w:rsidR="00042CFF">
        <w:rPr>
          <w:lang w:val="en-GB"/>
        </w:rPr>
        <w:t>ed</w:t>
      </w:r>
      <w:r w:rsidR="009D1E9E">
        <w:rPr>
          <w:lang w:val="en-GB"/>
        </w:rPr>
        <w:t xml:space="preserve"> on</w:t>
      </w:r>
      <w:r w:rsidR="00042CFF">
        <w:rPr>
          <w:lang w:val="en-GB"/>
        </w:rPr>
        <w:t xml:space="preserve"> the effect of EU-level</w:t>
      </w:r>
      <w:r w:rsidR="009D1E9E">
        <w:rPr>
          <w:lang w:val="en-GB"/>
        </w:rPr>
        <w:t xml:space="preserve"> </w:t>
      </w:r>
      <w:r w:rsidR="00042CFF">
        <w:rPr>
          <w:lang w:val="en-GB"/>
        </w:rPr>
        <w:t>variables</w:t>
      </w:r>
      <w:r w:rsidR="009D1E9E">
        <w:rPr>
          <w:i/>
          <w:lang w:val="en-GB"/>
        </w:rPr>
        <w:t xml:space="preserve">, </w:t>
      </w:r>
      <w:r w:rsidR="009D1E9E">
        <w:rPr>
          <w:lang w:val="en-GB"/>
        </w:rPr>
        <w:t xml:space="preserve">this paper </w:t>
      </w:r>
      <w:r w:rsidR="00042CFF">
        <w:rPr>
          <w:lang w:val="en-GB"/>
        </w:rPr>
        <w:t>analyses</w:t>
      </w:r>
      <w:r w:rsidR="009D1E9E">
        <w:rPr>
          <w:lang w:val="en-GB"/>
        </w:rPr>
        <w:t xml:space="preserve"> how </w:t>
      </w:r>
      <w:r w:rsidR="00042CFF">
        <w:rPr>
          <w:lang w:val="en-GB"/>
        </w:rPr>
        <w:t xml:space="preserve">domestic-level </w:t>
      </w:r>
      <w:r w:rsidR="00442096">
        <w:rPr>
          <w:lang w:val="en-GB"/>
        </w:rPr>
        <w:t>variables</w:t>
      </w:r>
      <w:r w:rsidR="00042CFF">
        <w:rPr>
          <w:lang w:val="en-GB"/>
        </w:rPr>
        <w:t xml:space="preserve"> affect ministr</w:t>
      </w:r>
      <w:r w:rsidR="00442096">
        <w:rPr>
          <w:lang w:val="en-GB"/>
        </w:rPr>
        <w:t>y officials´</w:t>
      </w:r>
      <w:r w:rsidR="00042CFF">
        <w:rPr>
          <w:lang w:val="en-GB"/>
        </w:rPr>
        <w:t xml:space="preserve"> handling </w:t>
      </w:r>
      <w:r w:rsidR="009D1E9E">
        <w:rPr>
          <w:lang w:val="en-GB"/>
        </w:rPr>
        <w:t xml:space="preserve">of EU-related work. </w:t>
      </w:r>
      <w:r w:rsidR="00442096">
        <w:rPr>
          <w:lang w:val="en-GB"/>
        </w:rPr>
        <w:t>In doing so</w:t>
      </w:r>
      <w:r w:rsidR="00042CFF">
        <w:rPr>
          <w:lang w:val="en-GB"/>
        </w:rPr>
        <w:t>, the paper contributes to a growing literature on differentiated</w:t>
      </w:r>
      <w:r w:rsidR="00442096">
        <w:rPr>
          <w:lang w:val="en-GB"/>
        </w:rPr>
        <w:t xml:space="preserve"> </w:t>
      </w:r>
      <w:r w:rsidR="00D849D9">
        <w:rPr>
          <w:lang w:val="en-GB"/>
        </w:rPr>
        <w:t xml:space="preserve">European </w:t>
      </w:r>
      <w:r w:rsidR="00442096">
        <w:rPr>
          <w:lang w:val="en-GB"/>
        </w:rPr>
        <w:t>integration by presenting findings from</w:t>
      </w:r>
      <w:r w:rsidR="00042CFF">
        <w:rPr>
          <w:lang w:val="en-GB"/>
        </w:rPr>
        <w:t xml:space="preserve"> a study</w:t>
      </w:r>
      <w:r w:rsidR="00442096">
        <w:rPr>
          <w:lang w:val="en-GB"/>
        </w:rPr>
        <w:t xml:space="preserve"> </w:t>
      </w:r>
      <w:r w:rsidR="00042CFF">
        <w:rPr>
          <w:lang w:val="en-GB"/>
        </w:rPr>
        <w:t>o</w:t>
      </w:r>
      <w:r w:rsidR="00442096">
        <w:rPr>
          <w:lang w:val="en-GB"/>
        </w:rPr>
        <w:t>n</w:t>
      </w:r>
      <w:r w:rsidR="00F70D94">
        <w:rPr>
          <w:lang w:val="en-GB"/>
        </w:rPr>
        <w:t xml:space="preserve"> ministerial officials in an affiliated state - Norway</w:t>
      </w:r>
      <w:r w:rsidR="00047328">
        <w:rPr>
          <w:lang w:val="en-GB"/>
        </w:rPr>
        <w:t xml:space="preserve">. </w:t>
      </w:r>
      <w:r w:rsidR="00442096">
        <w:rPr>
          <w:lang w:val="en-GB"/>
        </w:rPr>
        <w:t>Benefiting from three large-N surveys</w:t>
      </w:r>
      <w:r w:rsidR="00442096" w:rsidRPr="00442096">
        <w:rPr>
          <w:lang w:val="en-GB"/>
        </w:rPr>
        <w:t xml:space="preserve"> </w:t>
      </w:r>
      <w:r w:rsidR="00442096">
        <w:rPr>
          <w:lang w:val="en-GB"/>
        </w:rPr>
        <w:t>(total N=5693), t</w:t>
      </w:r>
      <w:r w:rsidR="00047328">
        <w:rPr>
          <w:lang w:val="en-GB"/>
        </w:rPr>
        <w:t>he</w:t>
      </w:r>
      <w:r w:rsidR="003201C0">
        <w:rPr>
          <w:lang w:val="en-GB"/>
        </w:rPr>
        <w:t xml:space="preserve"> </w:t>
      </w:r>
      <w:r w:rsidR="005C11A3">
        <w:rPr>
          <w:lang w:val="en-GB"/>
        </w:rPr>
        <w:t>paper</w:t>
      </w:r>
      <w:r w:rsidR="00042CFF">
        <w:rPr>
          <w:lang w:val="en-GB"/>
        </w:rPr>
        <w:t xml:space="preserve"> </w:t>
      </w:r>
      <w:r w:rsidR="00442096">
        <w:rPr>
          <w:lang w:val="en-GB"/>
        </w:rPr>
        <w:t>examines</w:t>
      </w:r>
      <w:r w:rsidR="00042CFF">
        <w:rPr>
          <w:lang w:val="en-GB"/>
        </w:rPr>
        <w:t xml:space="preserve"> continuity and change in how the EU ‘hits’ ministerial governance </w:t>
      </w:r>
      <w:r w:rsidR="00442096">
        <w:rPr>
          <w:lang w:val="en-GB"/>
        </w:rPr>
        <w:t>across two decades (1996-2016)</w:t>
      </w:r>
      <w:r w:rsidR="00042CFF">
        <w:rPr>
          <w:lang w:val="en-GB"/>
        </w:rPr>
        <w:t xml:space="preserve">. </w:t>
      </w:r>
      <w:r w:rsidR="00D849D9">
        <w:rPr>
          <w:lang w:val="en-GB"/>
        </w:rPr>
        <w:t>The paper shows that even in formally non-member states ministerial officials have become tightly interwoven and affected by EU’s multi-level administrative system.</w:t>
      </w:r>
    </w:p>
    <w:p w14:paraId="767CF999" w14:textId="77777777" w:rsidR="00840F58" w:rsidRDefault="00840F58" w:rsidP="00840F58">
      <w:pPr>
        <w:rPr>
          <w:b/>
          <w:lang w:val="en-GB"/>
        </w:rPr>
      </w:pPr>
    </w:p>
    <w:p w14:paraId="7961BB98" w14:textId="2FC84268" w:rsidR="00EC5F78" w:rsidRPr="00AF472C" w:rsidRDefault="0080132F" w:rsidP="00AF472C">
      <w:pPr>
        <w:rPr>
          <w:b/>
          <w:sz w:val="28"/>
          <w:szCs w:val="28"/>
          <w:lang w:val="en-GB"/>
        </w:rPr>
      </w:pPr>
      <w:r w:rsidRPr="00AF472C">
        <w:rPr>
          <w:b/>
          <w:sz w:val="28"/>
          <w:szCs w:val="28"/>
          <w:lang w:val="en-GB"/>
        </w:rPr>
        <w:t>Introduction</w:t>
      </w:r>
      <w:r w:rsidR="00262AD7" w:rsidRPr="00AF472C">
        <w:rPr>
          <w:b/>
          <w:sz w:val="28"/>
          <w:szCs w:val="28"/>
          <w:lang w:val="en-GB"/>
        </w:rPr>
        <w:t xml:space="preserve"> </w:t>
      </w:r>
    </w:p>
    <w:p w14:paraId="4A826E60" w14:textId="2E170AC7" w:rsidR="00AA3B1E" w:rsidRDefault="00605DF7" w:rsidP="00AF472C">
      <w:pPr>
        <w:rPr>
          <w:lang w:val="en-GB"/>
        </w:rPr>
      </w:pPr>
      <w:r>
        <w:rPr>
          <w:lang w:val="en-GB"/>
        </w:rPr>
        <w:t>Two decades of EU integration research have documented a densely interlocked European executive order</w:t>
      </w:r>
      <w:r w:rsidR="003471C3">
        <w:rPr>
          <w:lang w:val="en-GB"/>
        </w:rPr>
        <w:t xml:space="preserve"> (</w:t>
      </w:r>
      <w:r w:rsidR="00EE759C">
        <w:rPr>
          <w:lang w:val="en-GB"/>
        </w:rPr>
        <w:t xml:space="preserve">e.g. Bauer and Trondal 2015; </w:t>
      </w:r>
      <w:r w:rsidR="00544680">
        <w:rPr>
          <w:lang w:val="en-GB"/>
        </w:rPr>
        <w:t xml:space="preserve">Beyer 2017; </w:t>
      </w:r>
      <w:r w:rsidR="00544680">
        <w:rPr>
          <w:lang w:val="en-GB"/>
        </w:rPr>
        <w:t xml:space="preserve">Graziano and Vink 2007; Hanf and Soetendorp 1998; Hèretier et al. 2001; Knill 2001; Kassim et al. 2000; </w:t>
      </w:r>
      <w:r w:rsidR="00D849D9">
        <w:rPr>
          <w:lang w:val="en-GB"/>
        </w:rPr>
        <w:t xml:space="preserve">Laffan 2016; </w:t>
      </w:r>
      <w:r w:rsidR="00544680">
        <w:rPr>
          <w:lang w:val="en-GB"/>
        </w:rPr>
        <w:t xml:space="preserve">Olsen 2010; </w:t>
      </w:r>
      <w:r w:rsidR="00EE759C">
        <w:rPr>
          <w:lang w:val="en-GB"/>
        </w:rPr>
        <w:t>Trondal 2010</w:t>
      </w:r>
      <w:r w:rsidR="003471C3">
        <w:rPr>
          <w:lang w:val="en-GB"/>
        </w:rPr>
        <w:t>)</w:t>
      </w:r>
      <w:r>
        <w:rPr>
          <w:lang w:val="en-GB"/>
        </w:rPr>
        <w:t>. Processes of European integration and national adaptation have be</w:t>
      </w:r>
      <w:r w:rsidR="00544680">
        <w:rPr>
          <w:lang w:val="en-GB"/>
        </w:rPr>
        <w:t>come two sides of the same coin</w:t>
      </w:r>
      <w:r>
        <w:rPr>
          <w:lang w:val="en-GB"/>
        </w:rPr>
        <w:t xml:space="preserve"> </w:t>
      </w:r>
      <w:r w:rsidR="003471C3">
        <w:rPr>
          <w:lang w:val="en-GB"/>
        </w:rPr>
        <w:t xml:space="preserve">and </w:t>
      </w:r>
      <w:r>
        <w:rPr>
          <w:lang w:val="en-GB"/>
        </w:rPr>
        <w:t>rendered the EU membership vs. non-membership dichotomy increasingly obsolete.</w:t>
      </w:r>
      <w:r w:rsidR="00E859E2">
        <w:rPr>
          <w:lang w:val="en-GB"/>
        </w:rPr>
        <w:t xml:space="preserve"> </w:t>
      </w:r>
      <w:r w:rsidR="00A72A49">
        <w:rPr>
          <w:lang w:val="en-GB"/>
        </w:rPr>
        <w:t>S</w:t>
      </w:r>
      <w:r w:rsidR="00E859E2">
        <w:rPr>
          <w:lang w:val="en-GB"/>
        </w:rPr>
        <w:t>tates, inst</w:t>
      </w:r>
      <w:r w:rsidR="00544680">
        <w:rPr>
          <w:lang w:val="en-GB"/>
        </w:rPr>
        <w:t>itutions and decision-makers have become</w:t>
      </w:r>
      <w:r w:rsidR="00E859E2">
        <w:rPr>
          <w:lang w:val="en-GB"/>
        </w:rPr>
        <w:t xml:space="preserve"> embedded in</w:t>
      </w:r>
      <w:r w:rsidR="00C12E69">
        <w:rPr>
          <w:lang w:val="en-GB"/>
        </w:rPr>
        <w:t xml:space="preserve"> a differentiated</w:t>
      </w:r>
      <w:r w:rsidR="00E859E2">
        <w:rPr>
          <w:lang w:val="en-GB"/>
        </w:rPr>
        <w:t xml:space="preserve"> institutional </w:t>
      </w:r>
      <w:r w:rsidR="00C12E69">
        <w:rPr>
          <w:lang w:val="en-GB"/>
        </w:rPr>
        <w:t>architecture</w:t>
      </w:r>
      <w:r w:rsidR="00E859E2">
        <w:rPr>
          <w:lang w:val="en-GB"/>
        </w:rPr>
        <w:t>.</w:t>
      </w:r>
      <w:r>
        <w:rPr>
          <w:lang w:val="en-GB"/>
        </w:rPr>
        <w:t xml:space="preserve"> </w:t>
      </w:r>
      <w:r w:rsidR="00EE6D6F">
        <w:rPr>
          <w:lang w:val="en-GB"/>
        </w:rPr>
        <w:t>In effect,</w:t>
      </w:r>
      <w:r w:rsidR="00EE6D6F" w:rsidRPr="008B095C">
        <w:rPr>
          <w:lang w:val="en-GB"/>
        </w:rPr>
        <w:t xml:space="preserve"> </w:t>
      </w:r>
      <w:r w:rsidR="00EE6D6F">
        <w:rPr>
          <w:lang w:val="en-GB"/>
        </w:rPr>
        <w:t>e</w:t>
      </w:r>
      <w:r w:rsidR="003471C3">
        <w:rPr>
          <w:lang w:val="en-GB"/>
        </w:rPr>
        <w:t>ssential</w:t>
      </w:r>
      <w:r>
        <w:rPr>
          <w:lang w:val="en-GB"/>
        </w:rPr>
        <w:t xml:space="preserve"> parameters of</w:t>
      </w:r>
      <w:r w:rsidR="003471C3">
        <w:rPr>
          <w:lang w:val="en-GB"/>
        </w:rPr>
        <w:t xml:space="preserve"> public</w:t>
      </w:r>
      <w:r>
        <w:rPr>
          <w:lang w:val="en-GB"/>
        </w:rPr>
        <w:t xml:space="preserve"> governance</w:t>
      </w:r>
      <w:r w:rsidR="00F76D4E">
        <w:rPr>
          <w:lang w:val="en-GB"/>
        </w:rPr>
        <w:t xml:space="preserve"> -</w:t>
      </w:r>
      <w:r>
        <w:rPr>
          <w:lang w:val="en-GB"/>
        </w:rPr>
        <w:t xml:space="preserve"> </w:t>
      </w:r>
      <w:r w:rsidR="00EE6D6F">
        <w:rPr>
          <w:lang w:val="en-GB"/>
        </w:rPr>
        <w:t xml:space="preserve">also </w:t>
      </w:r>
      <w:r>
        <w:rPr>
          <w:lang w:val="en-GB"/>
        </w:rPr>
        <w:t>inside formally non-member states</w:t>
      </w:r>
      <w:r w:rsidR="00EE6D6F">
        <w:rPr>
          <w:lang w:val="en-GB"/>
        </w:rPr>
        <w:t xml:space="preserve"> of the EU</w:t>
      </w:r>
      <w:r>
        <w:rPr>
          <w:lang w:val="en-GB"/>
        </w:rPr>
        <w:t xml:space="preserve"> </w:t>
      </w:r>
      <w:r w:rsidR="00F76D4E">
        <w:rPr>
          <w:lang w:val="en-GB"/>
        </w:rPr>
        <w:t xml:space="preserve">- </w:t>
      </w:r>
      <w:r w:rsidR="003471C3">
        <w:rPr>
          <w:lang w:val="en-GB"/>
        </w:rPr>
        <w:t>have become both</w:t>
      </w:r>
      <w:r>
        <w:rPr>
          <w:lang w:val="en-GB"/>
        </w:rPr>
        <w:t xml:space="preserve"> tightly interconnected with EU institutions and governance </w:t>
      </w:r>
      <w:r w:rsidR="00522DEF">
        <w:rPr>
          <w:lang w:val="en-GB"/>
        </w:rPr>
        <w:t>processes</w:t>
      </w:r>
      <w:r w:rsidR="00A72A49">
        <w:rPr>
          <w:lang w:val="en-GB"/>
        </w:rPr>
        <w:t>,</w:t>
      </w:r>
      <w:r w:rsidR="00522DEF">
        <w:rPr>
          <w:lang w:val="en-GB"/>
        </w:rPr>
        <w:t xml:space="preserve"> a</w:t>
      </w:r>
      <w:r w:rsidR="00F0298A">
        <w:rPr>
          <w:lang w:val="en-GB"/>
        </w:rPr>
        <w:t xml:space="preserve">s well as </w:t>
      </w:r>
      <w:r w:rsidR="003471C3">
        <w:rPr>
          <w:lang w:val="en-GB"/>
        </w:rPr>
        <w:t>profoundly transformed by this</w:t>
      </w:r>
      <w:r>
        <w:rPr>
          <w:lang w:val="en-GB"/>
        </w:rPr>
        <w:t xml:space="preserve">. </w:t>
      </w:r>
      <w:r w:rsidR="00C12E69">
        <w:rPr>
          <w:lang w:val="en-GB"/>
        </w:rPr>
        <w:t>Moreover,</w:t>
      </w:r>
      <w:r w:rsidR="00C12E69" w:rsidRPr="008B095C">
        <w:rPr>
          <w:lang w:val="en-GB"/>
        </w:rPr>
        <w:t xml:space="preserve"> “Brexit” </w:t>
      </w:r>
      <w:r w:rsidR="00C12E69">
        <w:rPr>
          <w:lang w:val="en-GB"/>
        </w:rPr>
        <w:t>has reminded practitioners and observers that</w:t>
      </w:r>
      <w:r w:rsidR="00C12E69" w:rsidRPr="008B095C">
        <w:rPr>
          <w:lang w:val="en-GB"/>
        </w:rPr>
        <w:t xml:space="preserve"> </w:t>
      </w:r>
      <w:r w:rsidR="00C12E69">
        <w:rPr>
          <w:lang w:val="en-GB"/>
        </w:rPr>
        <w:t xml:space="preserve">an EU characterized by </w:t>
      </w:r>
      <w:r w:rsidR="00C12E69" w:rsidRPr="008B095C">
        <w:rPr>
          <w:lang w:val="en-GB"/>
        </w:rPr>
        <w:t xml:space="preserve">differentiated </w:t>
      </w:r>
      <w:r w:rsidR="00C12E69">
        <w:rPr>
          <w:lang w:val="en-GB"/>
        </w:rPr>
        <w:t>forms of association is likely to</w:t>
      </w:r>
      <w:r w:rsidR="00C12E69" w:rsidRPr="008B095C">
        <w:rPr>
          <w:lang w:val="en-GB"/>
        </w:rPr>
        <w:t xml:space="preserve"> </w:t>
      </w:r>
      <w:r w:rsidR="00C12E69">
        <w:rPr>
          <w:lang w:val="en-GB"/>
        </w:rPr>
        <w:t>remain</w:t>
      </w:r>
      <w:r w:rsidR="00C12E69" w:rsidRPr="008B095C">
        <w:rPr>
          <w:lang w:val="en-GB"/>
        </w:rPr>
        <w:t xml:space="preserve"> </w:t>
      </w:r>
      <w:r w:rsidR="00C12E69">
        <w:rPr>
          <w:lang w:val="en-GB"/>
        </w:rPr>
        <w:t xml:space="preserve">a core feature of European integration </w:t>
      </w:r>
      <w:r w:rsidR="00C12E69" w:rsidRPr="008B095C">
        <w:rPr>
          <w:lang w:val="en-GB"/>
        </w:rPr>
        <w:t>in the years to come</w:t>
      </w:r>
      <w:r w:rsidR="00C12E69">
        <w:rPr>
          <w:lang w:val="en-GB"/>
        </w:rPr>
        <w:t xml:space="preserve">. </w:t>
      </w:r>
      <w:r>
        <w:rPr>
          <w:lang w:val="en-GB"/>
        </w:rPr>
        <w:t xml:space="preserve">This study contributes to </w:t>
      </w:r>
      <w:r w:rsidR="003471C3">
        <w:rPr>
          <w:lang w:val="en-GB"/>
        </w:rPr>
        <w:t>this research</w:t>
      </w:r>
      <w:r>
        <w:rPr>
          <w:lang w:val="en-GB"/>
        </w:rPr>
        <w:t xml:space="preserve"> with a comprehensive survey </w:t>
      </w:r>
      <w:r w:rsidR="003471C3">
        <w:rPr>
          <w:lang w:val="en-GB"/>
        </w:rPr>
        <w:t>on</w:t>
      </w:r>
      <w:r>
        <w:rPr>
          <w:lang w:val="en-GB"/>
        </w:rPr>
        <w:t xml:space="preserve"> how EU</w:t>
      </w:r>
      <w:r w:rsidR="003471C3">
        <w:rPr>
          <w:lang w:val="en-GB"/>
        </w:rPr>
        <w:t xml:space="preserve"> institutions and </w:t>
      </w:r>
      <w:r w:rsidR="00E859E2">
        <w:rPr>
          <w:lang w:val="en-GB"/>
        </w:rPr>
        <w:t>governance processes</w:t>
      </w:r>
      <w:r>
        <w:rPr>
          <w:lang w:val="en-GB"/>
        </w:rPr>
        <w:t xml:space="preserve"> ‘hi</w:t>
      </w:r>
      <w:r w:rsidR="00E859E2">
        <w:rPr>
          <w:lang w:val="en-GB"/>
        </w:rPr>
        <w:t>t</w:t>
      </w:r>
      <w:r>
        <w:rPr>
          <w:lang w:val="en-GB"/>
        </w:rPr>
        <w:t>’ public governance within the core-executive branch of</w:t>
      </w:r>
      <w:r w:rsidR="00A72A49">
        <w:rPr>
          <w:lang w:val="en-GB"/>
        </w:rPr>
        <w:t xml:space="preserve"> a state closely affiliated to the EU -</w:t>
      </w:r>
      <w:r>
        <w:rPr>
          <w:lang w:val="en-GB"/>
        </w:rPr>
        <w:t xml:space="preserve"> Norway. The paper shows that even</w:t>
      </w:r>
      <w:r w:rsidR="00E859E2">
        <w:rPr>
          <w:lang w:val="en-GB"/>
        </w:rPr>
        <w:t xml:space="preserve"> in </w:t>
      </w:r>
      <w:r w:rsidR="00A72A49">
        <w:rPr>
          <w:lang w:val="en-GB"/>
        </w:rPr>
        <w:t xml:space="preserve">formally </w:t>
      </w:r>
      <w:r w:rsidR="00E859E2">
        <w:rPr>
          <w:lang w:val="en-GB"/>
        </w:rPr>
        <w:t>non-member states</w:t>
      </w:r>
      <w:r>
        <w:rPr>
          <w:lang w:val="en-GB"/>
        </w:rPr>
        <w:t xml:space="preserve"> </w:t>
      </w:r>
      <w:r w:rsidR="00E859E2">
        <w:rPr>
          <w:lang w:val="en-GB"/>
        </w:rPr>
        <w:t>minist</w:t>
      </w:r>
      <w:r w:rsidR="00A72A49">
        <w:rPr>
          <w:lang w:val="en-GB"/>
        </w:rPr>
        <w:t>erial</w:t>
      </w:r>
      <w:r w:rsidR="00E859E2">
        <w:rPr>
          <w:lang w:val="en-GB"/>
        </w:rPr>
        <w:t xml:space="preserve"> officials</w:t>
      </w:r>
      <w:r>
        <w:rPr>
          <w:lang w:val="en-GB"/>
        </w:rPr>
        <w:t xml:space="preserve"> </w:t>
      </w:r>
      <w:r w:rsidR="00E859E2">
        <w:rPr>
          <w:lang w:val="en-GB"/>
        </w:rPr>
        <w:t>have become</w:t>
      </w:r>
      <w:r>
        <w:rPr>
          <w:lang w:val="en-GB"/>
        </w:rPr>
        <w:t xml:space="preserve"> </w:t>
      </w:r>
      <w:r w:rsidR="00E859E2">
        <w:rPr>
          <w:lang w:val="en-GB"/>
        </w:rPr>
        <w:t>tightly interwoven</w:t>
      </w:r>
      <w:r>
        <w:rPr>
          <w:lang w:val="en-GB"/>
        </w:rPr>
        <w:t xml:space="preserve"> and affected by </w:t>
      </w:r>
      <w:r w:rsidR="00E859E2">
        <w:rPr>
          <w:lang w:val="en-GB"/>
        </w:rPr>
        <w:t>EU’s</w:t>
      </w:r>
      <w:r>
        <w:rPr>
          <w:lang w:val="en-GB"/>
        </w:rPr>
        <w:t xml:space="preserve"> multi-level administrative system</w:t>
      </w:r>
      <w:r w:rsidR="00AA3B1E">
        <w:rPr>
          <w:lang w:val="en-GB"/>
        </w:rPr>
        <w:t xml:space="preserve"> over two decades</w:t>
      </w:r>
      <w:r w:rsidR="00E859E2">
        <w:rPr>
          <w:lang w:val="en-GB"/>
        </w:rPr>
        <w:t xml:space="preserve"> (1996-2016).</w:t>
      </w:r>
      <w:r w:rsidR="00AA3B1E" w:rsidRPr="00AA3B1E">
        <w:rPr>
          <w:lang w:val="en-GB"/>
        </w:rPr>
        <w:t xml:space="preserve"> </w:t>
      </w:r>
    </w:p>
    <w:p w14:paraId="530CB6C5" w14:textId="77777777" w:rsidR="00605DF7" w:rsidRDefault="00605DF7" w:rsidP="00AF472C">
      <w:pPr>
        <w:rPr>
          <w:lang w:val="en-GB"/>
        </w:rPr>
      </w:pPr>
    </w:p>
    <w:p w14:paraId="538519AD" w14:textId="09C408E6" w:rsidR="00C12E69" w:rsidRDefault="00C12E69" w:rsidP="00AF472C">
      <w:pPr>
        <w:rPr>
          <w:lang w:val="en-GB"/>
        </w:rPr>
      </w:pPr>
      <w:r>
        <w:rPr>
          <w:lang w:val="en-GB"/>
        </w:rPr>
        <w:t xml:space="preserve">Studies of </w:t>
      </w:r>
      <w:r w:rsidR="00AC1AB7">
        <w:rPr>
          <w:lang w:val="en-GB"/>
        </w:rPr>
        <w:t>multilevel administrati</w:t>
      </w:r>
      <w:r>
        <w:rPr>
          <w:lang w:val="en-GB"/>
        </w:rPr>
        <w:t>ve systems</w:t>
      </w:r>
      <w:r w:rsidR="00AC1AB7">
        <w:rPr>
          <w:lang w:val="en-GB"/>
        </w:rPr>
        <w:t xml:space="preserve"> (MLA) </w:t>
      </w:r>
      <w:r w:rsidR="00544680">
        <w:rPr>
          <w:lang w:val="en-GB"/>
        </w:rPr>
        <w:t>show that</w:t>
      </w:r>
      <w:r w:rsidR="00AC1AB7">
        <w:rPr>
          <w:lang w:val="en-GB"/>
        </w:rPr>
        <w:t xml:space="preserve"> </w:t>
      </w:r>
      <w:r>
        <w:rPr>
          <w:lang w:val="en-GB"/>
        </w:rPr>
        <w:t>the multilevel</w:t>
      </w:r>
      <w:r w:rsidR="00AC1AB7">
        <w:rPr>
          <w:lang w:val="en-GB"/>
        </w:rPr>
        <w:t xml:space="preserve"> administrative system</w:t>
      </w:r>
      <w:r>
        <w:rPr>
          <w:lang w:val="en-GB"/>
        </w:rPr>
        <w:t xml:space="preserve"> of the EU</w:t>
      </w:r>
      <w:r w:rsidR="00AC1AB7">
        <w:rPr>
          <w:lang w:val="en-GB"/>
        </w:rPr>
        <w:t xml:space="preserve"> </w:t>
      </w:r>
      <w:r w:rsidR="00544680">
        <w:rPr>
          <w:lang w:val="en-GB"/>
        </w:rPr>
        <w:t>reorganizes</w:t>
      </w:r>
      <w:r w:rsidR="00AC1AB7">
        <w:rPr>
          <w:lang w:val="en-GB"/>
        </w:rPr>
        <w:t xml:space="preserve"> and re-arrange </w:t>
      </w:r>
      <w:r w:rsidR="00F70D94">
        <w:rPr>
          <w:lang w:val="en-GB"/>
        </w:rPr>
        <w:t xml:space="preserve">power </w:t>
      </w:r>
      <w:r w:rsidR="00AC1AB7">
        <w:rPr>
          <w:lang w:val="en-GB"/>
        </w:rPr>
        <w:t xml:space="preserve">across levels of governance and territorial boundaries (Bauer and Trondal 2015). </w:t>
      </w:r>
      <w:r w:rsidR="000A26B5">
        <w:rPr>
          <w:lang w:val="en-GB"/>
        </w:rPr>
        <w:t>On</w:t>
      </w:r>
      <w:r>
        <w:rPr>
          <w:lang w:val="en-GB"/>
        </w:rPr>
        <w:t xml:space="preserve"> the</w:t>
      </w:r>
      <w:r w:rsidR="000A26B5">
        <w:rPr>
          <w:lang w:val="en-GB"/>
        </w:rPr>
        <w:t xml:space="preserve"> one hand, supranational institutions are the primary platform for European policies, and on the other hand, national institutions operate at the intersection between European and national concerns and agendas.</w:t>
      </w:r>
      <w:r w:rsidR="00544680">
        <w:rPr>
          <w:lang w:val="en-GB"/>
        </w:rPr>
        <w:t xml:space="preserve"> Studies also suggest that</w:t>
      </w:r>
      <w:r w:rsidR="000A26B5">
        <w:rPr>
          <w:lang w:val="en-GB"/>
        </w:rPr>
        <w:t xml:space="preserve"> </w:t>
      </w:r>
      <w:r w:rsidR="00544680">
        <w:rPr>
          <w:lang w:val="en-GB"/>
        </w:rPr>
        <w:t>t</w:t>
      </w:r>
      <w:r w:rsidR="00AC1AB7">
        <w:rPr>
          <w:lang w:val="en-GB"/>
        </w:rPr>
        <w:t xml:space="preserve">he integrated European administrative system is conditioned by certain organizational traits, such as the emancipation of a strong European executive </w:t>
      </w:r>
      <w:r w:rsidR="00D459A1">
        <w:rPr>
          <w:lang w:val="en-GB"/>
        </w:rPr>
        <w:t>centre</w:t>
      </w:r>
      <w:r w:rsidR="00AC1AB7">
        <w:rPr>
          <w:lang w:val="en-GB"/>
        </w:rPr>
        <w:t xml:space="preserve"> (the </w:t>
      </w:r>
      <w:r w:rsidR="00F70D94">
        <w:rPr>
          <w:lang w:val="en-GB"/>
        </w:rPr>
        <w:t xml:space="preserve">European </w:t>
      </w:r>
      <w:r w:rsidR="00AC1AB7">
        <w:rPr>
          <w:lang w:val="en-GB"/>
        </w:rPr>
        <w:t>Commission</w:t>
      </w:r>
      <w:r w:rsidR="00E85DEC">
        <w:rPr>
          <w:lang w:val="en-GB"/>
        </w:rPr>
        <w:t xml:space="preserve">) </w:t>
      </w:r>
      <w:r w:rsidR="00AC1AB7">
        <w:rPr>
          <w:lang w:val="en-GB"/>
        </w:rPr>
        <w:t xml:space="preserve">and domestic fragmentation of </w:t>
      </w:r>
      <w:r w:rsidR="00F70D94">
        <w:rPr>
          <w:lang w:val="en-GB"/>
        </w:rPr>
        <w:t xml:space="preserve">state administrations </w:t>
      </w:r>
      <w:r w:rsidR="00AC1AB7">
        <w:rPr>
          <w:lang w:val="en-GB"/>
        </w:rPr>
        <w:t xml:space="preserve">(Egeberg 2012). </w:t>
      </w:r>
      <w:r w:rsidR="00D459A1">
        <w:rPr>
          <w:lang w:val="en-GB"/>
        </w:rPr>
        <w:t xml:space="preserve">Entangling administrative interdependencies and interaction </w:t>
      </w:r>
      <w:r w:rsidR="00F70D94">
        <w:rPr>
          <w:lang w:val="en-GB"/>
        </w:rPr>
        <w:t xml:space="preserve">has </w:t>
      </w:r>
      <w:r w:rsidR="00D459A1">
        <w:rPr>
          <w:lang w:val="en-GB"/>
        </w:rPr>
        <w:t>contribute</w:t>
      </w:r>
      <w:r w:rsidR="00F70D94">
        <w:rPr>
          <w:lang w:val="en-GB"/>
        </w:rPr>
        <w:t>d</w:t>
      </w:r>
      <w:r w:rsidR="00D459A1">
        <w:rPr>
          <w:lang w:val="en-GB"/>
        </w:rPr>
        <w:t xml:space="preserve"> to </w:t>
      </w:r>
      <w:r w:rsidR="00544680">
        <w:rPr>
          <w:lang w:val="en-GB"/>
        </w:rPr>
        <w:t>an</w:t>
      </w:r>
      <w:r w:rsidR="00D459A1">
        <w:rPr>
          <w:lang w:val="en-GB"/>
        </w:rPr>
        <w:t xml:space="preserve"> understanding of how and under what conditions</w:t>
      </w:r>
      <w:r w:rsidR="00D07547">
        <w:rPr>
          <w:lang w:val="en-GB"/>
        </w:rPr>
        <w:t xml:space="preserve"> interests and agendas are forg</w:t>
      </w:r>
      <w:r w:rsidR="00D459A1">
        <w:rPr>
          <w:lang w:val="en-GB"/>
        </w:rPr>
        <w:t>ed and materialized at the Europ</w:t>
      </w:r>
      <w:r w:rsidR="00EE6D6F">
        <w:rPr>
          <w:lang w:val="en-GB"/>
        </w:rPr>
        <w:t xml:space="preserve">ean and at the national level. </w:t>
      </w:r>
      <w:r>
        <w:rPr>
          <w:lang w:val="en-GB"/>
        </w:rPr>
        <w:t xml:space="preserve">This has added new </w:t>
      </w:r>
      <w:r>
        <w:rPr>
          <w:lang w:val="en-GB"/>
        </w:rPr>
        <w:t>insights</w:t>
      </w:r>
      <w:r>
        <w:rPr>
          <w:lang w:val="en-GB"/>
        </w:rPr>
        <w:t xml:space="preserve"> to the question of political control on national administrations </w:t>
      </w:r>
      <w:r>
        <w:rPr>
          <w:lang w:val="en-GB"/>
        </w:rPr>
        <w:t>and</w:t>
      </w:r>
      <w:r>
        <w:rPr>
          <w:lang w:val="en-GB"/>
        </w:rPr>
        <w:t xml:space="preserve"> the inherent balance of power within state administrations. </w:t>
      </w:r>
    </w:p>
    <w:p w14:paraId="25C0D03C" w14:textId="77777777" w:rsidR="00C12E69" w:rsidRDefault="00C12E69" w:rsidP="00AF472C">
      <w:pPr>
        <w:rPr>
          <w:lang w:val="en-GB"/>
        </w:rPr>
      </w:pPr>
    </w:p>
    <w:p w14:paraId="5D5C688F" w14:textId="77777777" w:rsidR="00544680" w:rsidRDefault="005624AE" w:rsidP="00AF472C">
      <w:pPr>
        <w:rPr>
          <w:lang w:val="en-GB"/>
        </w:rPr>
      </w:pPr>
      <w:r>
        <w:rPr>
          <w:lang w:val="en-GB"/>
        </w:rPr>
        <w:t xml:space="preserve">Central to this paper are the </w:t>
      </w:r>
      <w:r w:rsidR="007F2262">
        <w:rPr>
          <w:lang w:val="en-GB"/>
        </w:rPr>
        <w:t xml:space="preserve">enduring </w:t>
      </w:r>
      <w:r>
        <w:rPr>
          <w:lang w:val="en-GB"/>
        </w:rPr>
        <w:t xml:space="preserve">implications of organization on </w:t>
      </w:r>
      <w:r w:rsidR="00F70D94">
        <w:rPr>
          <w:lang w:val="en-GB"/>
        </w:rPr>
        <w:t>public governance processes</w:t>
      </w:r>
      <w:r>
        <w:rPr>
          <w:lang w:val="en-GB"/>
        </w:rPr>
        <w:t xml:space="preserve">. </w:t>
      </w:r>
      <w:r w:rsidR="0080132F">
        <w:rPr>
          <w:lang w:val="en-GB"/>
        </w:rPr>
        <w:t>The paper analyse</w:t>
      </w:r>
      <w:r w:rsidR="00C12E69">
        <w:rPr>
          <w:lang w:val="en-GB"/>
        </w:rPr>
        <w:t>s</w:t>
      </w:r>
      <w:r w:rsidR="0080132F">
        <w:rPr>
          <w:lang w:val="en-GB"/>
        </w:rPr>
        <w:t xml:space="preserve"> the filtering effect of organizational va</w:t>
      </w:r>
      <w:r w:rsidR="00C53121">
        <w:rPr>
          <w:lang w:val="en-GB"/>
        </w:rPr>
        <w:t>riables a</w:t>
      </w:r>
      <w:r w:rsidR="007F2262">
        <w:rPr>
          <w:lang w:val="en-GB"/>
        </w:rPr>
        <w:t>t the domestic level, more specifically, how organizational factors within central administrations bias how the EU is ‘received’</w:t>
      </w:r>
      <w:r w:rsidR="00624C25">
        <w:rPr>
          <w:lang w:val="en-GB"/>
        </w:rPr>
        <w:t xml:space="preserve"> within nation states</w:t>
      </w:r>
      <w:r w:rsidR="007F2262">
        <w:rPr>
          <w:lang w:val="en-GB"/>
        </w:rPr>
        <w:t xml:space="preserve">. </w:t>
      </w:r>
      <w:r w:rsidR="00624C25">
        <w:rPr>
          <w:lang w:val="en-GB"/>
        </w:rPr>
        <w:t xml:space="preserve">The paper also </w:t>
      </w:r>
      <w:r w:rsidR="004134F4">
        <w:rPr>
          <w:lang w:val="en-GB"/>
        </w:rPr>
        <w:t xml:space="preserve">contributes to </w:t>
      </w:r>
      <w:r w:rsidR="00AA3B1E">
        <w:rPr>
          <w:lang w:val="en-GB"/>
        </w:rPr>
        <w:t>research</w:t>
      </w:r>
      <w:r w:rsidR="004134F4">
        <w:rPr>
          <w:lang w:val="en-GB"/>
        </w:rPr>
        <w:t xml:space="preserve"> on differentiated integration by </w:t>
      </w:r>
      <w:r w:rsidR="00AA3B1E">
        <w:rPr>
          <w:lang w:val="en-GB"/>
        </w:rPr>
        <w:t xml:space="preserve">gauging </w:t>
      </w:r>
      <w:r w:rsidR="004134F4">
        <w:rPr>
          <w:lang w:val="en-GB"/>
        </w:rPr>
        <w:t xml:space="preserve">how EU </w:t>
      </w:r>
      <w:r w:rsidR="00AA3B1E">
        <w:rPr>
          <w:lang w:val="en-GB"/>
        </w:rPr>
        <w:t xml:space="preserve">institutions </w:t>
      </w:r>
      <w:r w:rsidR="004134F4">
        <w:rPr>
          <w:lang w:val="en-GB"/>
        </w:rPr>
        <w:t>affect public go</w:t>
      </w:r>
      <w:r w:rsidR="007C7D37">
        <w:rPr>
          <w:lang w:val="en-GB"/>
        </w:rPr>
        <w:t>vernance in a</w:t>
      </w:r>
      <w:r w:rsidR="00D459A1">
        <w:rPr>
          <w:lang w:val="en-GB"/>
        </w:rPr>
        <w:t>n</w:t>
      </w:r>
      <w:r w:rsidR="007C7D37">
        <w:rPr>
          <w:lang w:val="en-GB"/>
        </w:rPr>
        <w:t xml:space="preserve"> </w:t>
      </w:r>
      <w:r w:rsidR="00624C25">
        <w:rPr>
          <w:lang w:val="en-GB"/>
        </w:rPr>
        <w:t>affiliated</w:t>
      </w:r>
      <w:r w:rsidR="007C7D37">
        <w:rPr>
          <w:lang w:val="en-GB"/>
        </w:rPr>
        <w:t xml:space="preserve"> state</w:t>
      </w:r>
      <w:r w:rsidR="008B095C">
        <w:rPr>
          <w:lang w:val="en-GB"/>
        </w:rPr>
        <w:t xml:space="preserve"> (Norway)</w:t>
      </w:r>
      <w:r w:rsidR="00AA5E0B">
        <w:rPr>
          <w:lang w:val="en-GB"/>
        </w:rPr>
        <w:t xml:space="preserve"> </w:t>
      </w:r>
      <w:r w:rsidR="00AA5E0B" w:rsidRPr="00624C25">
        <w:rPr>
          <w:i/>
          <w:lang w:val="en-GB"/>
        </w:rPr>
        <w:t>over time</w:t>
      </w:r>
      <w:r w:rsidR="007C7D37">
        <w:rPr>
          <w:lang w:val="en-GB"/>
        </w:rPr>
        <w:t xml:space="preserve">. </w:t>
      </w:r>
      <w:r w:rsidR="00544680">
        <w:rPr>
          <w:lang w:val="en-GB"/>
        </w:rPr>
        <w:t xml:space="preserve">Norway’s close ties to the EU imply constant supranational pressures on public governance inside the Norwegian central administration. Studies have found that although formal political representation and influence remain at a minimum given the context of Norway’s affiliated status to the EU, the nature of the multilevel administrative system does however significantly challenge conventional patterns of state-centric control also of the Norwegian central administration (e.g. Egeberg and Trondal 2015) and thus impels the question of the EU’s role in the national politico-administrative nexus. </w:t>
      </w:r>
      <w:r w:rsidR="00C12E69" w:rsidRPr="008B095C">
        <w:rPr>
          <w:lang w:val="en-GB"/>
        </w:rPr>
        <w:t>Considering</w:t>
      </w:r>
      <w:r w:rsidR="00AA3B1E" w:rsidRPr="008B095C">
        <w:rPr>
          <w:lang w:val="en-GB"/>
        </w:rPr>
        <w:t xml:space="preserve"> Norway as a least-likely case of </w:t>
      </w:r>
      <w:r w:rsidR="00AA3B1E">
        <w:rPr>
          <w:lang w:val="en-GB"/>
        </w:rPr>
        <w:t>how the EU ‘hits’ domestic public governance</w:t>
      </w:r>
      <w:r w:rsidR="00AA3B1E" w:rsidRPr="008B095C">
        <w:rPr>
          <w:lang w:val="en-GB"/>
        </w:rPr>
        <w:t>,</w:t>
      </w:r>
      <w:r w:rsidR="00AA3B1E">
        <w:rPr>
          <w:lang w:val="en-GB"/>
        </w:rPr>
        <w:t xml:space="preserve"> t</w:t>
      </w:r>
      <w:r w:rsidR="00F70D94">
        <w:rPr>
          <w:lang w:val="en-GB"/>
        </w:rPr>
        <w:t>h</w:t>
      </w:r>
      <w:r w:rsidR="00EE6D6F">
        <w:rPr>
          <w:lang w:val="en-GB"/>
        </w:rPr>
        <w:t>e</w:t>
      </w:r>
      <w:r w:rsidR="00F70D94">
        <w:rPr>
          <w:lang w:val="en-GB"/>
        </w:rPr>
        <w:t xml:space="preserve"> paper </w:t>
      </w:r>
      <w:r w:rsidR="00AA3B1E">
        <w:rPr>
          <w:lang w:val="en-GB"/>
        </w:rPr>
        <w:t>offers</w:t>
      </w:r>
      <w:r w:rsidR="00F70D94">
        <w:rPr>
          <w:lang w:val="en-GB"/>
        </w:rPr>
        <w:t xml:space="preserve"> </w:t>
      </w:r>
      <w:r w:rsidR="00AA3B1E">
        <w:rPr>
          <w:lang w:val="en-GB"/>
        </w:rPr>
        <w:t>novel</w:t>
      </w:r>
      <w:r w:rsidR="00F70D94">
        <w:rPr>
          <w:lang w:val="en-GB"/>
        </w:rPr>
        <w:t xml:space="preserve"> and comprehensive data </w:t>
      </w:r>
      <w:r w:rsidR="00AA3B1E">
        <w:rPr>
          <w:lang w:val="en-GB"/>
        </w:rPr>
        <w:t>and</w:t>
      </w:r>
      <w:r w:rsidR="00F70D94">
        <w:rPr>
          <w:lang w:val="en-GB"/>
        </w:rPr>
        <w:t xml:space="preserve"> robust </w:t>
      </w:r>
      <w:r w:rsidR="008B095C">
        <w:rPr>
          <w:lang w:val="en-GB"/>
        </w:rPr>
        <w:t>probes</w:t>
      </w:r>
      <w:r w:rsidR="00AA3B1E">
        <w:rPr>
          <w:lang w:val="en-GB"/>
        </w:rPr>
        <w:t xml:space="preserve"> o</w:t>
      </w:r>
      <w:r w:rsidR="00EE6D6F">
        <w:rPr>
          <w:lang w:val="en-GB"/>
        </w:rPr>
        <w:t>n</w:t>
      </w:r>
      <w:r w:rsidR="00AA3B1E">
        <w:rPr>
          <w:lang w:val="en-GB"/>
        </w:rPr>
        <w:t xml:space="preserve"> the EU-effect over time and </w:t>
      </w:r>
      <w:r w:rsidR="00F0298A">
        <w:rPr>
          <w:lang w:val="en-GB"/>
        </w:rPr>
        <w:t xml:space="preserve">also on </w:t>
      </w:r>
      <w:r w:rsidR="00AA3B1E">
        <w:rPr>
          <w:lang w:val="en-GB"/>
        </w:rPr>
        <w:t>how it is organizationally conditioned at domestic level</w:t>
      </w:r>
      <w:r w:rsidR="008B095C">
        <w:rPr>
          <w:lang w:val="en-GB"/>
        </w:rPr>
        <w:t>.</w:t>
      </w:r>
      <w:r w:rsidR="00F70D94">
        <w:rPr>
          <w:lang w:val="en-GB"/>
        </w:rPr>
        <w:t xml:space="preserve"> </w:t>
      </w:r>
      <w:r w:rsidR="008B095C">
        <w:rPr>
          <w:lang w:val="en-GB"/>
        </w:rPr>
        <w:t>The data</w:t>
      </w:r>
      <w:r w:rsidR="00EE6D6F">
        <w:rPr>
          <w:lang w:val="en-GB"/>
        </w:rPr>
        <w:t xml:space="preserve"> consists of</w:t>
      </w:r>
      <w:r w:rsidR="00F70D94">
        <w:rPr>
          <w:lang w:val="en-GB"/>
        </w:rPr>
        <w:t xml:space="preserve"> </w:t>
      </w:r>
      <w:r w:rsidR="008B095C">
        <w:rPr>
          <w:lang w:val="en-GB"/>
        </w:rPr>
        <w:t xml:space="preserve">questionnaire </w:t>
      </w:r>
      <w:r w:rsidR="00F70D94">
        <w:rPr>
          <w:lang w:val="en-GB"/>
        </w:rPr>
        <w:t>survey</w:t>
      </w:r>
      <w:r w:rsidR="008B095C">
        <w:rPr>
          <w:lang w:val="en-GB"/>
        </w:rPr>
        <w:t>s</w:t>
      </w:r>
      <w:r w:rsidR="00F70D94">
        <w:rPr>
          <w:lang w:val="en-GB"/>
        </w:rPr>
        <w:t xml:space="preserve"> among ministerial officials</w:t>
      </w:r>
      <w:r w:rsidR="008B095C">
        <w:rPr>
          <w:lang w:val="en-GB"/>
        </w:rPr>
        <w:t xml:space="preserve"> (</w:t>
      </w:r>
      <w:r w:rsidR="00EE6D6F">
        <w:rPr>
          <w:lang w:val="en-GB"/>
        </w:rPr>
        <w:t>N=5693</w:t>
      </w:r>
      <w:r w:rsidR="008B095C">
        <w:rPr>
          <w:lang w:val="en-GB"/>
        </w:rPr>
        <w:t>)</w:t>
      </w:r>
      <w:r w:rsidR="00F70D94">
        <w:rPr>
          <w:lang w:val="en-GB"/>
        </w:rPr>
        <w:t xml:space="preserve"> from all </w:t>
      </w:r>
      <w:r w:rsidR="00EE6D6F">
        <w:rPr>
          <w:lang w:val="en-GB"/>
        </w:rPr>
        <w:t xml:space="preserve">Norwegian </w:t>
      </w:r>
      <w:r w:rsidR="00F70D94">
        <w:rPr>
          <w:lang w:val="en-GB"/>
        </w:rPr>
        <w:t>ministries at three points in time (1996, 2006, 2016)</w:t>
      </w:r>
      <w:r w:rsidR="008B095C">
        <w:rPr>
          <w:lang w:val="en-GB"/>
        </w:rPr>
        <w:t>.</w:t>
      </w:r>
      <w:r w:rsidR="00AA3B1E">
        <w:rPr>
          <w:lang w:val="en-GB"/>
        </w:rPr>
        <w:t xml:space="preserve"> </w:t>
      </w:r>
    </w:p>
    <w:p w14:paraId="282CC787" w14:textId="77777777" w:rsidR="00544680" w:rsidRDefault="00544680" w:rsidP="00AF472C">
      <w:pPr>
        <w:rPr>
          <w:lang w:val="en-GB"/>
        </w:rPr>
      </w:pPr>
    </w:p>
    <w:p w14:paraId="5539FF0E" w14:textId="7EE32BD3" w:rsidR="00B75323" w:rsidRDefault="003D5893" w:rsidP="00AF472C">
      <w:pPr>
        <w:rPr>
          <w:lang w:val="en-GB"/>
        </w:rPr>
      </w:pPr>
      <w:r>
        <w:rPr>
          <w:lang w:val="en-GB"/>
        </w:rPr>
        <w:t xml:space="preserve">The ambitions </w:t>
      </w:r>
      <w:r w:rsidR="00D7020D">
        <w:rPr>
          <w:lang w:val="en-GB"/>
        </w:rPr>
        <w:t xml:space="preserve">of the study </w:t>
      </w:r>
      <w:r>
        <w:rPr>
          <w:lang w:val="en-GB"/>
        </w:rPr>
        <w:t>are threefold</w:t>
      </w:r>
      <w:r w:rsidR="00A0306C">
        <w:rPr>
          <w:lang w:val="en-GB"/>
        </w:rPr>
        <w:t>: F</w:t>
      </w:r>
      <w:r w:rsidR="0080132F">
        <w:rPr>
          <w:lang w:val="en-GB"/>
        </w:rPr>
        <w:t xml:space="preserve">irstly, it seeks to outline an organizational explanation </w:t>
      </w:r>
      <w:r w:rsidR="00A0306C">
        <w:rPr>
          <w:lang w:val="en-GB"/>
        </w:rPr>
        <w:t>to account for</w:t>
      </w:r>
      <w:r w:rsidR="0080132F">
        <w:rPr>
          <w:lang w:val="en-GB"/>
        </w:rPr>
        <w:t xml:space="preserve"> </w:t>
      </w:r>
      <w:r w:rsidR="00D7020D">
        <w:rPr>
          <w:lang w:val="en-GB"/>
        </w:rPr>
        <w:t>how public governance is biased by domestic-level organizational factors</w:t>
      </w:r>
      <w:r w:rsidR="005204A6">
        <w:rPr>
          <w:lang w:val="en-GB"/>
        </w:rPr>
        <w:t xml:space="preserve"> in general and more specifically how ministerial officials´ handling of EU-related work is organizationally contingent</w:t>
      </w:r>
      <w:r w:rsidR="00AA5E0B">
        <w:rPr>
          <w:lang w:val="en-GB"/>
        </w:rPr>
        <w:t xml:space="preserve">. Secondly, it offers </w:t>
      </w:r>
      <w:r w:rsidR="005204A6">
        <w:rPr>
          <w:lang w:val="en-GB"/>
        </w:rPr>
        <w:t xml:space="preserve">it offers a study </w:t>
      </w:r>
      <w:r w:rsidR="0080132F">
        <w:rPr>
          <w:lang w:val="en-GB"/>
        </w:rPr>
        <w:t>amongst national civil servants</w:t>
      </w:r>
      <w:r w:rsidR="00A0306C">
        <w:rPr>
          <w:lang w:val="en-GB"/>
        </w:rPr>
        <w:t xml:space="preserve"> in a </w:t>
      </w:r>
      <w:r w:rsidR="005204A6">
        <w:rPr>
          <w:lang w:val="en-GB"/>
        </w:rPr>
        <w:t xml:space="preserve">formally </w:t>
      </w:r>
      <w:r w:rsidR="00A0306C">
        <w:rPr>
          <w:lang w:val="en-GB"/>
        </w:rPr>
        <w:t>non-member state</w:t>
      </w:r>
      <w:r w:rsidR="0080132F">
        <w:rPr>
          <w:lang w:val="en-GB"/>
        </w:rPr>
        <w:t xml:space="preserve">. Finally, it aims at drawing some conclusions on the effects </w:t>
      </w:r>
      <w:r w:rsidR="0080132F" w:rsidRPr="005876F7">
        <w:rPr>
          <w:i/>
          <w:lang w:val="en-GB"/>
        </w:rPr>
        <w:t>over time</w:t>
      </w:r>
      <w:r w:rsidR="0080132F">
        <w:rPr>
          <w:lang w:val="en-GB"/>
        </w:rPr>
        <w:t xml:space="preserve">. </w:t>
      </w:r>
      <w:r w:rsidR="00C12E69" w:rsidRPr="006E3D5E">
        <w:rPr>
          <w:lang w:val="en-GB"/>
        </w:rPr>
        <w:t>It is assumed that if organizational structures remain relatively constant so would decision-making behaviour and processes.</w:t>
      </w:r>
      <w:r w:rsidR="00FB262F">
        <w:rPr>
          <w:lang w:val="en-GB"/>
        </w:rPr>
        <w:t xml:space="preserve"> </w:t>
      </w:r>
      <w:r w:rsidR="00E468EF">
        <w:rPr>
          <w:lang w:val="en-GB"/>
        </w:rPr>
        <w:t xml:space="preserve">The paper is presented as follows: </w:t>
      </w:r>
      <w:r w:rsidR="00B75323">
        <w:rPr>
          <w:lang w:val="en-GB"/>
        </w:rPr>
        <w:t xml:space="preserve">The next section </w:t>
      </w:r>
      <w:r w:rsidR="00774A56">
        <w:rPr>
          <w:lang w:val="en-GB"/>
        </w:rPr>
        <w:t>outlines</w:t>
      </w:r>
      <w:r w:rsidR="00B75323">
        <w:rPr>
          <w:lang w:val="en-GB"/>
        </w:rPr>
        <w:t xml:space="preserve"> how an organizational perspective may account for variations in domestic adaption to the EU. This section </w:t>
      </w:r>
      <w:r w:rsidR="00C12E69">
        <w:rPr>
          <w:lang w:val="en-GB"/>
        </w:rPr>
        <w:t>offers</w:t>
      </w:r>
      <w:r w:rsidR="00C12E69">
        <w:rPr>
          <w:lang w:val="en-GB"/>
        </w:rPr>
        <w:t xml:space="preserve"> </w:t>
      </w:r>
      <w:r w:rsidR="00B75323">
        <w:rPr>
          <w:lang w:val="en-GB"/>
        </w:rPr>
        <w:t xml:space="preserve">the core idea of organizational theory </w:t>
      </w:r>
      <w:r w:rsidR="00E468EF">
        <w:rPr>
          <w:lang w:val="en-GB"/>
        </w:rPr>
        <w:t>and outlines</w:t>
      </w:r>
      <w:r w:rsidR="00C12E69">
        <w:rPr>
          <w:lang w:val="en-GB"/>
        </w:rPr>
        <w:t xml:space="preserve"> seven propositions for study</w:t>
      </w:r>
      <w:r w:rsidR="00B75323">
        <w:rPr>
          <w:lang w:val="en-GB"/>
        </w:rPr>
        <w:t xml:space="preserve">. </w:t>
      </w:r>
      <w:r w:rsidR="00E468EF">
        <w:rPr>
          <w:lang w:val="en-GB"/>
        </w:rPr>
        <w:t xml:space="preserve">The next section </w:t>
      </w:r>
      <w:r w:rsidR="00C12E69">
        <w:rPr>
          <w:lang w:val="en-GB"/>
        </w:rPr>
        <w:t>presents</w:t>
      </w:r>
      <w:r w:rsidR="00C12E69">
        <w:rPr>
          <w:lang w:val="en-GB"/>
        </w:rPr>
        <w:t xml:space="preserve"> </w:t>
      </w:r>
      <w:r w:rsidR="00E468EF">
        <w:rPr>
          <w:lang w:val="en-GB"/>
        </w:rPr>
        <w:t xml:space="preserve">the data and methodology </w:t>
      </w:r>
      <w:r w:rsidR="00774A56">
        <w:rPr>
          <w:lang w:val="en-GB"/>
        </w:rPr>
        <w:t>succeeded by a presentation and discussion of empirical findings. This latter section</w:t>
      </w:r>
      <w:r w:rsidR="00012C58">
        <w:rPr>
          <w:lang w:val="en-GB"/>
        </w:rPr>
        <w:t xml:space="preserve"> </w:t>
      </w:r>
      <w:r w:rsidR="00E468EF">
        <w:rPr>
          <w:lang w:val="en-GB"/>
        </w:rPr>
        <w:t xml:space="preserve">proceeds in two steps. The first step </w:t>
      </w:r>
      <w:r w:rsidR="00774A56">
        <w:rPr>
          <w:lang w:val="en-GB"/>
        </w:rPr>
        <w:t>outlines</w:t>
      </w:r>
      <w:r w:rsidR="00E468EF">
        <w:rPr>
          <w:lang w:val="en-GB"/>
        </w:rPr>
        <w:t xml:space="preserve"> the Norwegian ministerial apparatus and Norway’s </w:t>
      </w:r>
      <w:r w:rsidR="00774A56">
        <w:rPr>
          <w:lang w:val="en-GB"/>
        </w:rPr>
        <w:t>form of affiliation</w:t>
      </w:r>
      <w:r w:rsidR="00E468EF">
        <w:rPr>
          <w:lang w:val="en-GB"/>
        </w:rPr>
        <w:t xml:space="preserve"> with the EU. The second step presents and analyses how this </w:t>
      </w:r>
      <w:r w:rsidR="00E468EF">
        <w:rPr>
          <w:lang w:val="en-GB"/>
        </w:rPr>
        <w:lastRenderedPageBreak/>
        <w:t>associated status affects governance processes among ministerial officials.</w:t>
      </w:r>
      <w:r w:rsidR="00532029">
        <w:rPr>
          <w:lang w:val="en-GB"/>
        </w:rPr>
        <w:t xml:space="preserve"> </w:t>
      </w:r>
      <w:r w:rsidR="00E468EF">
        <w:rPr>
          <w:lang w:val="en-GB"/>
        </w:rPr>
        <w:t>The paper concludes with key findings</w:t>
      </w:r>
      <w:r w:rsidR="00012C58">
        <w:rPr>
          <w:lang w:val="en-GB"/>
        </w:rPr>
        <w:t xml:space="preserve"> as well</w:t>
      </w:r>
      <w:r w:rsidR="00B75323">
        <w:rPr>
          <w:lang w:val="en-GB"/>
        </w:rPr>
        <w:t xml:space="preserve"> as suggestions for future </w:t>
      </w:r>
      <w:r w:rsidR="00012C58">
        <w:rPr>
          <w:lang w:val="en-GB"/>
        </w:rPr>
        <w:t>research</w:t>
      </w:r>
      <w:r w:rsidR="00B75323">
        <w:rPr>
          <w:lang w:val="en-GB"/>
        </w:rPr>
        <w:t>.</w:t>
      </w:r>
    </w:p>
    <w:p w14:paraId="10FB9111" w14:textId="77777777" w:rsidR="00AB7BE3" w:rsidRDefault="00AB7BE3" w:rsidP="00AF472C">
      <w:pPr>
        <w:rPr>
          <w:lang w:val="en-GB"/>
        </w:rPr>
      </w:pPr>
    </w:p>
    <w:p w14:paraId="45737952" w14:textId="6F464B0B" w:rsidR="007B1FD3" w:rsidRPr="006E3D5E" w:rsidRDefault="007B1FD3" w:rsidP="006E3D5E">
      <w:pPr>
        <w:tabs>
          <w:tab w:val="center" w:pos="4533"/>
        </w:tabs>
        <w:rPr>
          <w:b/>
          <w:sz w:val="28"/>
          <w:szCs w:val="28"/>
          <w:lang w:val="en-GB"/>
        </w:rPr>
      </w:pPr>
      <w:r w:rsidRPr="006E3D5E">
        <w:rPr>
          <w:b/>
          <w:sz w:val="28"/>
          <w:szCs w:val="28"/>
          <w:lang w:val="en-GB"/>
        </w:rPr>
        <w:t>Theoreti</w:t>
      </w:r>
      <w:r w:rsidR="00AF472C" w:rsidRPr="006E3D5E">
        <w:rPr>
          <w:b/>
          <w:sz w:val="28"/>
          <w:szCs w:val="28"/>
          <w:lang w:val="en-GB"/>
        </w:rPr>
        <w:t>cal framework: Implications of o</w:t>
      </w:r>
      <w:r w:rsidR="00012C58" w:rsidRPr="006E3D5E">
        <w:rPr>
          <w:b/>
          <w:sz w:val="28"/>
          <w:szCs w:val="28"/>
          <w:lang w:val="en-GB"/>
        </w:rPr>
        <w:t>rganization</w:t>
      </w:r>
      <w:r w:rsidR="00AF472C" w:rsidRPr="006E3D5E">
        <w:rPr>
          <w:b/>
          <w:sz w:val="28"/>
          <w:szCs w:val="28"/>
          <w:lang w:val="en-GB"/>
        </w:rPr>
        <w:t>al factors</w:t>
      </w:r>
    </w:p>
    <w:p w14:paraId="2A7FF483" w14:textId="0104BFBC" w:rsidR="00012C58" w:rsidRPr="006E3D5E" w:rsidRDefault="00012C58" w:rsidP="006E3D5E">
      <w:pPr>
        <w:tabs>
          <w:tab w:val="center" w:pos="4533"/>
        </w:tabs>
        <w:rPr>
          <w:lang w:val="en-GB"/>
        </w:rPr>
      </w:pPr>
      <w:r w:rsidRPr="006E3D5E">
        <w:rPr>
          <w:lang w:val="en-GB"/>
        </w:rPr>
        <w:t>This section firstly outlines core assumptions of an organizational approach and secondly</w:t>
      </w:r>
      <w:r w:rsidR="007E6A31" w:rsidRPr="006E3D5E">
        <w:rPr>
          <w:lang w:val="en-GB"/>
        </w:rPr>
        <w:t xml:space="preserve"> specif</w:t>
      </w:r>
      <w:r w:rsidR="000954F9">
        <w:rPr>
          <w:lang w:val="en-GB"/>
        </w:rPr>
        <w:t>ies</w:t>
      </w:r>
      <w:r w:rsidRPr="006E3D5E">
        <w:rPr>
          <w:lang w:val="en-GB"/>
        </w:rPr>
        <w:t xml:space="preserve"> </w:t>
      </w:r>
      <w:r w:rsidR="00C12E69">
        <w:rPr>
          <w:lang w:val="en-GB"/>
        </w:rPr>
        <w:t>propositions for study</w:t>
      </w:r>
      <w:r w:rsidRPr="006E3D5E">
        <w:rPr>
          <w:lang w:val="en-GB"/>
        </w:rPr>
        <w:t xml:space="preserve">. The theoretical framework is grounded on the assumption that organizational characteristics may explain </w:t>
      </w:r>
      <w:r w:rsidRPr="006E3D5E">
        <w:rPr>
          <w:i/>
          <w:lang w:val="en-GB"/>
        </w:rPr>
        <w:t xml:space="preserve">how </w:t>
      </w:r>
      <w:r w:rsidRPr="006E3D5E">
        <w:rPr>
          <w:lang w:val="en-GB"/>
        </w:rPr>
        <w:t>the domestic level ‘adopts’ the EU</w:t>
      </w:r>
      <w:r w:rsidR="005503F6" w:rsidRPr="006E3D5E">
        <w:rPr>
          <w:lang w:val="en-GB"/>
        </w:rPr>
        <w:t xml:space="preserve"> (Egeberg et al. 2016)</w:t>
      </w:r>
      <w:r w:rsidRPr="006E3D5E">
        <w:rPr>
          <w:lang w:val="en-GB"/>
        </w:rPr>
        <w:t>.</w:t>
      </w:r>
      <w:r w:rsidR="008B4FBF" w:rsidRPr="006E3D5E">
        <w:rPr>
          <w:lang w:val="en-GB"/>
        </w:rPr>
        <w:t xml:space="preserve"> </w:t>
      </w:r>
      <w:r w:rsidR="00BA7C15" w:rsidRPr="006E3D5E">
        <w:rPr>
          <w:lang w:val="en-GB"/>
        </w:rPr>
        <w:t>P</w:t>
      </w:r>
      <w:r w:rsidR="008B4FBF" w:rsidRPr="006E3D5E">
        <w:rPr>
          <w:lang w:val="en-GB"/>
        </w:rPr>
        <w:t>ublic administration literature has</w:t>
      </w:r>
      <w:r w:rsidR="005503F6" w:rsidRPr="006E3D5E">
        <w:rPr>
          <w:lang w:val="en-GB"/>
        </w:rPr>
        <w:t>, however,</w:t>
      </w:r>
      <w:r w:rsidR="008B4FBF" w:rsidRPr="006E3D5E">
        <w:rPr>
          <w:lang w:val="en-GB"/>
        </w:rPr>
        <w:t xml:space="preserve"> largely neglected </w:t>
      </w:r>
      <w:r w:rsidR="00A338FC" w:rsidRPr="006E3D5E">
        <w:rPr>
          <w:lang w:val="en-GB"/>
        </w:rPr>
        <w:t xml:space="preserve">how </w:t>
      </w:r>
      <w:r w:rsidR="008B4FBF" w:rsidRPr="006E3D5E">
        <w:rPr>
          <w:lang w:val="en-GB"/>
        </w:rPr>
        <w:t xml:space="preserve">organization at one level of governance may </w:t>
      </w:r>
      <w:r w:rsidR="008B4FBF" w:rsidRPr="006E3D5E">
        <w:rPr>
          <w:i/>
          <w:lang w:val="en-GB"/>
        </w:rPr>
        <w:t xml:space="preserve">bias or </w:t>
      </w:r>
      <w:r w:rsidR="008B4FBF" w:rsidRPr="006E3D5E">
        <w:rPr>
          <w:lang w:val="en-GB"/>
        </w:rPr>
        <w:t xml:space="preserve">‘lock in’ how public policy is produced </w:t>
      </w:r>
      <w:r w:rsidR="00A338FC" w:rsidRPr="006E3D5E">
        <w:rPr>
          <w:lang w:val="en-GB"/>
        </w:rPr>
        <w:t xml:space="preserve">at another level and/or </w:t>
      </w:r>
      <w:r w:rsidR="008B4FBF" w:rsidRPr="006E3D5E">
        <w:rPr>
          <w:i/>
          <w:lang w:val="en-GB"/>
        </w:rPr>
        <w:t>across</w:t>
      </w:r>
      <w:r w:rsidR="008B4FBF" w:rsidRPr="006E3D5E">
        <w:rPr>
          <w:lang w:val="en-GB"/>
        </w:rPr>
        <w:t xml:space="preserve"> l</w:t>
      </w:r>
      <w:r w:rsidR="00B361DD" w:rsidRPr="006E3D5E">
        <w:rPr>
          <w:lang w:val="en-GB"/>
        </w:rPr>
        <w:t>evels (</w:t>
      </w:r>
      <w:r w:rsidR="005503F6" w:rsidRPr="006E3D5E">
        <w:rPr>
          <w:lang w:val="en-GB"/>
        </w:rPr>
        <w:t xml:space="preserve">Egeberg and Trondal 2015; </w:t>
      </w:r>
      <w:r w:rsidR="00B361DD" w:rsidRPr="006E3D5E">
        <w:rPr>
          <w:lang w:val="en-GB"/>
        </w:rPr>
        <w:t>Trondal and Bauer 2017).</w:t>
      </w:r>
      <w:r w:rsidR="00D722CB" w:rsidRPr="006E3D5E">
        <w:rPr>
          <w:lang w:val="en-GB"/>
        </w:rPr>
        <w:t xml:space="preserve"> </w:t>
      </w:r>
      <w:r w:rsidR="009D0DBB" w:rsidRPr="006E3D5E">
        <w:rPr>
          <w:lang w:val="en-GB"/>
        </w:rPr>
        <w:t>This suggests that</w:t>
      </w:r>
      <w:r w:rsidR="0077014C" w:rsidRPr="006E3D5E">
        <w:rPr>
          <w:lang w:val="en-GB"/>
        </w:rPr>
        <w:t xml:space="preserve"> in</w:t>
      </w:r>
      <w:r w:rsidR="00D722CB" w:rsidRPr="006E3D5E">
        <w:rPr>
          <w:lang w:val="en-GB"/>
        </w:rPr>
        <w:t xml:space="preserve"> order to understand </w:t>
      </w:r>
      <w:r w:rsidR="00A338FC" w:rsidRPr="006E3D5E">
        <w:rPr>
          <w:lang w:val="en-GB"/>
        </w:rPr>
        <w:t>public governance</w:t>
      </w:r>
      <w:r w:rsidR="00D722CB" w:rsidRPr="006E3D5E">
        <w:rPr>
          <w:lang w:val="en-GB"/>
        </w:rPr>
        <w:t xml:space="preserve">, one must also understand how </w:t>
      </w:r>
      <w:r w:rsidR="00A338FC" w:rsidRPr="006E3D5E">
        <w:rPr>
          <w:lang w:val="en-GB"/>
        </w:rPr>
        <w:t xml:space="preserve">organizations at </w:t>
      </w:r>
      <w:r w:rsidR="00D722CB" w:rsidRPr="006E3D5E">
        <w:rPr>
          <w:lang w:val="en-GB"/>
        </w:rPr>
        <w:t>different</w:t>
      </w:r>
      <w:r w:rsidR="00A338FC" w:rsidRPr="006E3D5E">
        <w:rPr>
          <w:lang w:val="en-GB"/>
        </w:rPr>
        <w:t xml:space="preserve"> levels</w:t>
      </w:r>
      <w:r w:rsidR="00D722CB" w:rsidRPr="006E3D5E">
        <w:rPr>
          <w:lang w:val="en-GB"/>
        </w:rPr>
        <w:t xml:space="preserve"> fit together and how change in one institution is linked to change in others (Olsen 2009:</w:t>
      </w:r>
      <w:r w:rsidR="00A338FC" w:rsidRPr="006E3D5E">
        <w:rPr>
          <w:lang w:val="en-GB"/>
        </w:rPr>
        <w:t xml:space="preserve"> </w:t>
      </w:r>
      <w:r w:rsidR="00D722CB" w:rsidRPr="006E3D5E">
        <w:rPr>
          <w:lang w:val="en-GB"/>
        </w:rPr>
        <w:t xml:space="preserve">24). </w:t>
      </w:r>
      <w:r w:rsidRPr="006E3D5E">
        <w:rPr>
          <w:lang w:val="en-GB"/>
        </w:rPr>
        <w:t xml:space="preserve">As regards time it </w:t>
      </w:r>
      <w:r w:rsidR="009D0DBB" w:rsidRPr="006E3D5E">
        <w:rPr>
          <w:lang w:val="en-GB"/>
        </w:rPr>
        <w:t xml:space="preserve">may thus </w:t>
      </w:r>
      <w:r w:rsidRPr="006E3D5E">
        <w:rPr>
          <w:lang w:val="en-GB"/>
        </w:rPr>
        <w:t xml:space="preserve">be inferred that variation in </w:t>
      </w:r>
      <w:r w:rsidR="001D6977" w:rsidRPr="006E3D5E">
        <w:rPr>
          <w:lang w:val="en-GB"/>
        </w:rPr>
        <w:t>organizational</w:t>
      </w:r>
      <w:r w:rsidRPr="006E3D5E">
        <w:rPr>
          <w:lang w:val="en-GB"/>
        </w:rPr>
        <w:t xml:space="preserve"> variables over time may </w:t>
      </w:r>
      <w:r w:rsidR="009D0DBB" w:rsidRPr="006E3D5E">
        <w:rPr>
          <w:lang w:val="en-GB"/>
        </w:rPr>
        <w:t>induce interrelated changes in</w:t>
      </w:r>
      <w:r w:rsidRPr="006E3D5E">
        <w:rPr>
          <w:lang w:val="en-GB"/>
        </w:rPr>
        <w:t xml:space="preserve"> how the EU affects governance process in national central administration</w:t>
      </w:r>
      <w:r w:rsidR="009D0DBB" w:rsidRPr="006E3D5E">
        <w:rPr>
          <w:lang w:val="en-GB"/>
        </w:rPr>
        <w:t>s</w:t>
      </w:r>
      <w:r w:rsidRPr="006E3D5E">
        <w:rPr>
          <w:lang w:val="en-GB"/>
        </w:rPr>
        <w:t xml:space="preserve">. </w:t>
      </w:r>
    </w:p>
    <w:p w14:paraId="56CED94F" w14:textId="77777777" w:rsidR="00EC4CCB" w:rsidRPr="006E3D5E" w:rsidRDefault="00EC4CCB" w:rsidP="006E3D5E">
      <w:pPr>
        <w:tabs>
          <w:tab w:val="center" w:pos="4533"/>
        </w:tabs>
        <w:rPr>
          <w:lang w:val="en-GB"/>
        </w:rPr>
      </w:pPr>
    </w:p>
    <w:p w14:paraId="0B36D7F8" w14:textId="2E3C4C11" w:rsidR="00D51EE0" w:rsidRPr="006E3D5E" w:rsidRDefault="00EC4CCB" w:rsidP="006E3D5E">
      <w:pPr>
        <w:tabs>
          <w:tab w:val="center" w:pos="4533"/>
        </w:tabs>
        <w:rPr>
          <w:lang w:val="en-GB"/>
        </w:rPr>
      </w:pPr>
      <w:r w:rsidRPr="006E3D5E">
        <w:rPr>
          <w:lang w:val="en-GB"/>
        </w:rPr>
        <w:t xml:space="preserve">An organizational approach </w:t>
      </w:r>
      <w:r w:rsidR="00903DBE" w:rsidRPr="006E3D5E">
        <w:rPr>
          <w:lang w:val="en-GB"/>
        </w:rPr>
        <w:t>posits</w:t>
      </w:r>
      <w:r w:rsidRPr="006E3D5E">
        <w:rPr>
          <w:lang w:val="en-GB"/>
        </w:rPr>
        <w:t xml:space="preserve"> that organizational factors create systematic bias</w:t>
      </w:r>
      <w:r w:rsidR="00413AED" w:rsidRPr="006E3D5E">
        <w:rPr>
          <w:lang w:val="en-GB"/>
        </w:rPr>
        <w:t xml:space="preserve"> in human behaviour and organizational patterns by</w:t>
      </w:r>
      <w:r w:rsidRPr="006E3D5E">
        <w:rPr>
          <w:lang w:val="en-GB"/>
        </w:rPr>
        <w:t xml:space="preserve"> direct</w:t>
      </w:r>
      <w:r w:rsidR="00413AED" w:rsidRPr="006E3D5E">
        <w:rPr>
          <w:lang w:val="en-GB"/>
        </w:rPr>
        <w:t>ing</w:t>
      </w:r>
      <w:r w:rsidRPr="006E3D5E">
        <w:rPr>
          <w:lang w:val="en-GB"/>
        </w:rPr>
        <w:t xml:space="preserve"> attention</w:t>
      </w:r>
      <w:r w:rsidR="00413AED" w:rsidRPr="006E3D5E">
        <w:rPr>
          <w:lang w:val="en-GB"/>
        </w:rPr>
        <w:t xml:space="preserve"> locally and thus</w:t>
      </w:r>
      <w:r w:rsidRPr="006E3D5E">
        <w:rPr>
          <w:lang w:val="en-GB"/>
        </w:rPr>
        <w:t xml:space="preserve"> towards </w:t>
      </w:r>
      <w:r w:rsidR="00413AED" w:rsidRPr="006E3D5E">
        <w:rPr>
          <w:lang w:val="en-GB"/>
        </w:rPr>
        <w:t>certain</w:t>
      </w:r>
      <w:r w:rsidRPr="006E3D5E">
        <w:rPr>
          <w:lang w:val="en-GB"/>
        </w:rPr>
        <w:t xml:space="preserve"> </w:t>
      </w:r>
      <w:r w:rsidR="00413AED" w:rsidRPr="006E3D5E">
        <w:rPr>
          <w:lang w:val="en-GB"/>
        </w:rPr>
        <w:t>problems and solutions</w:t>
      </w:r>
      <w:r w:rsidRPr="006E3D5E">
        <w:rPr>
          <w:lang w:val="en-GB"/>
        </w:rPr>
        <w:t xml:space="preserve">, i.e. make </w:t>
      </w:r>
      <w:r w:rsidR="00413AED" w:rsidRPr="006E3D5E">
        <w:rPr>
          <w:lang w:val="en-GB"/>
        </w:rPr>
        <w:t xml:space="preserve">certain </w:t>
      </w:r>
      <w:r w:rsidRPr="006E3D5E">
        <w:rPr>
          <w:lang w:val="en-GB"/>
        </w:rPr>
        <w:t>outcome</w:t>
      </w:r>
      <w:r w:rsidR="00413AED" w:rsidRPr="006E3D5E">
        <w:rPr>
          <w:lang w:val="en-GB"/>
        </w:rPr>
        <w:t>s</w:t>
      </w:r>
      <w:r w:rsidRPr="006E3D5E">
        <w:rPr>
          <w:lang w:val="en-GB"/>
        </w:rPr>
        <w:t xml:space="preserve"> more likely than another (e.g. Gulick 1937). Organizational factors include structure, demography and locus</w:t>
      </w:r>
      <w:r w:rsidR="000F4B76" w:rsidRPr="006E3D5E">
        <w:rPr>
          <w:lang w:val="en-GB"/>
        </w:rPr>
        <w:t xml:space="preserve"> (Egeberg 2012)</w:t>
      </w:r>
      <w:r w:rsidRPr="006E3D5E">
        <w:rPr>
          <w:lang w:val="en-GB"/>
        </w:rPr>
        <w:t>. This study focuses on the implications of organi</w:t>
      </w:r>
      <w:r w:rsidR="00B6683F" w:rsidRPr="006E3D5E">
        <w:rPr>
          <w:lang w:val="en-GB"/>
        </w:rPr>
        <w:t>zational structure</w:t>
      </w:r>
      <w:r w:rsidR="000F4B76" w:rsidRPr="006E3D5E">
        <w:rPr>
          <w:lang w:val="en-GB"/>
        </w:rPr>
        <w:t>.</w:t>
      </w:r>
      <w:r w:rsidR="00B6683F" w:rsidRPr="006E3D5E">
        <w:rPr>
          <w:lang w:val="en-GB"/>
        </w:rPr>
        <w:t xml:space="preserve"> </w:t>
      </w:r>
      <w:r w:rsidR="00D51EE0" w:rsidRPr="006E3D5E">
        <w:rPr>
          <w:lang w:val="en-GB"/>
        </w:rPr>
        <w:t xml:space="preserve">There are </w:t>
      </w:r>
      <w:r w:rsidR="00BE7463" w:rsidRPr="006E3D5E">
        <w:rPr>
          <w:lang w:val="en-GB"/>
        </w:rPr>
        <w:t xml:space="preserve">two </w:t>
      </w:r>
      <w:r w:rsidR="00D51EE0" w:rsidRPr="006E3D5E">
        <w:rPr>
          <w:lang w:val="en-GB"/>
        </w:rPr>
        <w:t xml:space="preserve">main reasons for choosing organizational </w:t>
      </w:r>
      <w:r w:rsidR="00D51EE0" w:rsidRPr="006E3D5E">
        <w:rPr>
          <w:i/>
          <w:lang w:val="en-GB"/>
        </w:rPr>
        <w:t>structure</w:t>
      </w:r>
      <w:r w:rsidR="00D51EE0" w:rsidRPr="006E3D5E">
        <w:rPr>
          <w:lang w:val="en-GB"/>
        </w:rPr>
        <w:t xml:space="preserve">: </w:t>
      </w:r>
    </w:p>
    <w:p w14:paraId="1567DB44" w14:textId="3F46BC41" w:rsidR="00D51EE0" w:rsidRPr="006E3D5E" w:rsidRDefault="00D51EE0" w:rsidP="006E3D5E">
      <w:pPr>
        <w:pStyle w:val="Listeavsnitt"/>
        <w:numPr>
          <w:ilvl w:val="0"/>
          <w:numId w:val="1"/>
        </w:numPr>
        <w:tabs>
          <w:tab w:val="center" w:pos="4533"/>
        </w:tabs>
        <w:rPr>
          <w:lang w:val="en-GB"/>
        </w:rPr>
      </w:pPr>
      <w:r w:rsidRPr="006E3D5E">
        <w:rPr>
          <w:lang w:val="en-GB"/>
        </w:rPr>
        <w:t xml:space="preserve">A profuse amount of empirical studies demonstrates the strong impact of organization structure on decision-making behaviour (e.g. Lægreid and Christensen 2006; Trondal 2006; Egeberg et </w:t>
      </w:r>
      <w:r w:rsidR="000954F9">
        <w:rPr>
          <w:lang w:val="en-GB"/>
        </w:rPr>
        <w:t>a</w:t>
      </w:r>
      <w:r w:rsidRPr="006E3D5E">
        <w:rPr>
          <w:lang w:val="en-GB"/>
        </w:rPr>
        <w:t xml:space="preserve">l. 2016). </w:t>
      </w:r>
      <w:r w:rsidR="00BE7463" w:rsidRPr="006E3D5E">
        <w:rPr>
          <w:lang w:val="en-GB"/>
        </w:rPr>
        <w:t xml:space="preserve"> </w:t>
      </w:r>
    </w:p>
    <w:p w14:paraId="4C538F80" w14:textId="34675D3D" w:rsidR="00D51EE0" w:rsidRPr="006E3D5E" w:rsidRDefault="00D51EE0" w:rsidP="006E3D5E">
      <w:pPr>
        <w:pStyle w:val="Listeavsnitt"/>
        <w:numPr>
          <w:ilvl w:val="0"/>
          <w:numId w:val="1"/>
        </w:numPr>
        <w:tabs>
          <w:tab w:val="center" w:pos="4533"/>
        </w:tabs>
        <w:rPr>
          <w:lang w:val="en-GB"/>
        </w:rPr>
      </w:pPr>
      <w:r w:rsidRPr="006E3D5E">
        <w:rPr>
          <w:lang w:val="en-GB"/>
        </w:rPr>
        <w:t>Organization structure, compared to other factors that might intervene in the policy process, is likely to be more amendable to deliberate change and may</w:t>
      </w:r>
      <w:r w:rsidR="00BC1F35">
        <w:rPr>
          <w:lang w:val="en-GB"/>
        </w:rPr>
        <w:t xml:space="preserve"> thus</w:t>
      </w:r>
      <w:r w:rsidRPr="006E3D5E">
        <w:rPr>
          <w:lang w:val="en-GB"/>
        </w:rPr>
        <w:t xml:space="preserve"> be</w:t>
      </w:r>
      <w:r w:rsidR="00BC1F35">
        <w:rPr>
          <w:lang w:val="en-GB"/>
        </w:rPr>
        <w:t xml:space="preserve"> </w:t>
      </w:r>
      <w:r w:rsidRPr="006E3D5E">
        <w:rPr>
          <w:lang w:val="en-GB"/>
        </w:rPr>
        <w:t xml:space="preserve">an important design instrument in the policy process (Egeberg et. al 2016).  </w:t>
      </w:r>
    </w:p>
    <w:p w14:paraId="56A96AE2" w14:textId="77777777" w:rsidR="00D51EE0" w:rsidRPr="006E3D5E" w:rsidRDefault="00D51EE0" w:rsidP="006E3D5E">
      <w:pPr>
        <w:tabs>
          <w:tab w:val="center" w:pos="4533"/>
        </w:tabs>
        <w:rPr>
          <w:lang w:val="en-GB"/>
        </w:rPr>
      </w:pPr>
    </w:p>
    <w:p w14:paraId="3C246C7D" w14:textId="1ACA67BB" w:rsidR="0021781E" w:rsidRDefault="000F6946" w:rsidP="0021781E">
      <w:pPr>
        <w:tabs>
          <w:tab w:val="center" w:pos="4533"/>
        </w:tabs>
        <w:rPr>
          <w:lang w:val="en-GB"/>
        </w:rPr>
      </w:pPr>
      <w:r w:rsidRPr="006E3D5E">
        <w:rPr>
          <w:lang w:val="en-GB"/>
        </w:rPr>
        <w:t>An organization structure is a normative structure composed of rules and roles specifying who is expected to what,</w:t>
      </w:r>
      <w:r w:rsidR="00413AED" w:rsidRPr="006E3D5E">
        <w:rPr>
          <w:lang w:val="en-GB"/>
        </w:rPr>
        <w:t xml:space="preserve"> when,</w:t>
      </w:r>
      <w:r w:rsidRPr="006E3D5E">
        <w:rPr>
          <w:lang w:val="en-GB"/>
        </w:rPr>
        <w:t xml:space="preserve"> and how (Scott 1981). It </w:t>
      </w:r>
      <w:r w:rsidR="00BC1F35">
        <w:rPr>
          <w:lang w:val="en-GB"/>
        </w:rPr>
        <w:t>suggests</w:t>
      </w:r>
      <w:r w:rsidR="00BC1F35" w:rsidRPr="006E3D5E">
        <w:rPr>
          <w:lang w:val="en-GB"/>
        </w:rPr>
        <w:t xml:space="preserve"> </w:t>
      </w:r>
      <w:r w:rsidRPr="006E3D5E">
        <w:rPr>
          <w:lang w:val="en-GB"/>
        </w:rPr>
        <w:t xml:space="preserve">how roles, power and responsibilities are distributed, controlled and coordinated. </w:t>
      </w:r>
      <w:r w:rsidR="0021781E">
        <w:rPr>
          <w:lang w:val="en-GB"/>
        </w:rPr>
        <w:t>It</w:t>
      </w:r>
      <w:r w:rsidR="0021781E" w:rsidRPr="006E3D5E">
        <w:rPr>
          <w:lang w:val="en-GB"/>
        </w:rPr>
        <w:t xml:space="preserve"> </w:t>
      </w:r>
      <w:r w:rsidR="0021781E">
        <w:rPr>
          <w:lang w:val="en-GB"/>
        </w:rPr>
        <w:t>influences</w:t>
      </w:r>
      <w:r w:rsidR="0021781E" w:rsidRPr="006E3D5E">
        <w:rPr>
          <w:lang w:val="en-GB"/>
        </w:rPr>
        <w:t xml:space="preserve"> decision-making behaviour by providing individuals with ‘a systematic and predictable selection of problems, solutions and choice opportunities’ (March and Olsen 1976). </w:t>
      </w:r>
      <w:r w:rsidRPr="006E3D5E">
        <w:rPr>
          <w:lang w:val="en-GB"/>
        </w:rPr>
        <w:t xml:space="preserve">Whilst formal structure does not necessarily predict nor determine actual decision-making behaviour, it does however make some choices become more </w:t>
      </w:r>
      <w:r w:rsidRPr="006E3D5E">
        <w:rPr>
          <w:i/>
          <w:lang w:val="en-GB"/>
        </w:rPr>
        <w:t>likely</w:t>
      </w:r>
      <w:r w:rsidRPr="006E3D5E">
        <w:rPr>
          <w:lang w:val="en-GB"/>
        </w:rPr>
        <w:t xml:space="preserve"> than others (e.g. Egeberg and Trondal 2016). This entails that organizational factors do not impact </w:t>
      </w:r>
      <w:r w:rsidRPr="006E3D5E">
        <w:rPr>
          <w:i/>
          <w:lang w:val="en-GB"/>
        </w:rPr>
        <w:t>directly</w:t>
      </w:r>
      <w:r w:rsidRPr="006E3D5E">
        <w:rPr>
          <w:lang w:val="en-GB"/>
        </w:rPr>
        <w:t xml:space="preserve"> on society; rather, the</w:t>
      </w:r>
      <w:r w:rsidR="00413AED" w:rsidRPr="006E3D5E">
        <w:rPr>
          <w:lang w:val="en-GB"/>
        </w:rPr>
        <w:t>y</w:t>
      </w:r>
      <w:r w:rsidRPr="006E3D5E">
        <w:rPr>
          <w:lang w:val="en-GB"/>
        </w:rPr>
        <w:t xml:space="preserve"> have an indirect effect by influencing the policy process. Bounded rationality </w:t>
      </w:r>
      <w:r w:rsidR="000F4B76" w:rsidRPr="006E3D5E">
        <w:rPr>
          <w:lang w:val="en-GB"/>
        </w:rPr>
        <w:t xml:space="preserve">(Simon 1958) </w:t>
      </w:r>
      <w:r w:rsidRPr="006E3D5E">
        <w:rPr>
          <w:lang w:val="en-GB"/>
        </w:rPr>
        <w:t xml:space="preserve">is one of three key mechanisms that connect role expectations to actual behaviour; the organizational structure helps simply </w:t>
      </w:r>
      <w:r w:rsidR="00413AED" w:rsidRPr="006E3D5E">
        <w:rPr>
          <w:lang w:val="en-GB"/>
        </w:rPr>
        <w:t xml:space="preserve">actors’ cognitive </w:t>
      </w:r>
      <w:r w:rsidRPr="006E3D5E">
        <w:rPr>
          <w:lang w:val="en-GB"/>
        </w:rPr>
        <w:t>world</w:t>
      </w:r>
      <w:r w:rsidR="00413AED" w:rsidRPr="006E3D5E">
        <w:rPr>
          <w:lang w:val="en-GB"/>
        </w:rPr>
        <w:t>s</w:t>
      </w:r>
      <w:r w:rsidRPr="006E3D5E">
        <w:rPr>
          <w:lang w:val="en-GB"/>
        </w:rPr>
        <w:t xml:space="preserve"> by directing attention towards a selection of possible</w:t>
      </w:r>
      <w:r w:rsidR="00413AED" w:rsidRPr="006E3D5E">
        <w:rPr>
          <w:lang w:val="en-GB"/>
        </w:rPr>
        <w:t xml:space="preserve"> problems and</w:t>
      </w:r>
      <w:r w:rsidRPr="006E3D5E">
        <w:rPr>
          <w:lang w:val="en-GB"/>
        </w:rPr>
        <w:t xml:space="preserve"> solutions</w:t>
      </w:r>
      <w:r w:rsidR="00413AED" w:rsidRPr="006E3D5E">
        <w:rPr>
          <w:lang w:val="en-GB"/>
        </w:rPr>
        <w:t xml:space="preserve"> and ways to connect them</w:t>
      </w:r>
      <w:r w:rsidRPr="006E3D5E">
        <w:rPr>
          <w:lang w:val="en-GB"/>
        </w:rPr>
        <w:t xml:space="preserve">. </w:t>
      </w:r>
      <w:r w:rsidR="00B6683F" w:rsidRPr="006E3D5E">
        <w:rPr>
          <w:lang w:val="en-GB"/>
        </w:rPr>
        <w:t>This concept holds that decision-makers operate under three inescapable limitations: (i) limited information in regards to possible solutions and alternatives</w:t>
      </w:r>
      <w:r w:rsidR="001D6977" w:rsidRPr="006E3D5E">
        <w:rPr>
          <w:lang w:val="en-GB"/>
        </w:rPr>
        <w:t>,</w:t>
      </w:r>
      <w:r w:rsidR="00B6683F" w:rsidRPr="006E3D5E">
        <w:rPr>
          <w:lang w:val="en-GB"/>
        </w:rPr>
        <w:t xml:space="preserve"> (ii) limited cognitive capacity to evaluate and process information</w:t>
      </w:r>
      <w:r w:rsidR="001D6977" w:rsidRPr="006E3D5E">
        <w:rPr>
          <w:lang w:val="en-GB"/>
        </w:rPr>
        <w:t>,</w:t>
      </w:r>
      <w:r w:rsidR="00B6683F" w:rsidRPr="006E3D5E">
        <w:rPr>
          <w:lang w:val="en-GB"/>
        </w:rPr>
        <w:t xml:space="preserve"> and (iii) limited time to make decision. Consequently, </w:t>
      </w:r>
      <w:r w:rsidR="00413AED" w:rsidRPr="006E3D5E">
        <w:rPr>
          <w:lang w:val="en-GB"/>
        </w:rPr>
        <w:t>actors</w:t>
      </w:r>
      <w:r w:rsidR="00B6683F" w:rsidRPr="006E3D5E">
        <w:rPr>
          <w:lang w:val="en-GB"/>
        </w:rPr>
        <w:t xml:space="preserve"> opt for a selection of satisfactory alternatives instead of an optimal one and often turn to their immediate surroundings and readily available data and knowledge to find suitable solutions. </w:t>
      </w:r>
      <w:r w:rsidRPr="006E3D5E">
        <w:rPr>
          <w:lang w:val="en-GB"/>
        </w:rPr>
        <w:t xml:space="preserve">The second mechanism, </w:t>
      </w:r>
      <w:r w:rsidR="00413AED" w:rsidRPr="006E3D5E">
        <w:rPr>
          <w:lang w:val="en-GB"/>
        </w:rPr>
        <w:t xml:space="preserve">the </w:t>
      </w:r>
      <w:r w:rsidRPr="006E3D5E">
        <w:rPr>
          <w:lang w:val="en-GB"/>
        </w:rPr>
        <w:t xml:space="preserve">logic of appropriateness, views human action as driven by </w:t>
      </w:r>
      <w:r w:rsidRPr="006E3D5E">
        <w:rPr>
          <w:lang w:val="en-GB"/>
        </w:rPr>
        <w:lastRenderedPageBreak/>
        <w:t xml:space="preserve">internalized perceptions of what is socially defined as appropriate (March and Olsen 1989). Lastly, actors may find that </w:t>
      </w:r>
      <w:r w:rsidR="00413AED" w:rsidRPr="006E3D5E">
        <w:rPr>
          <w:lang w:val="en-GB"/>
        </w:rPr>
        <w:t xml:space="preserve">rule and role </w:t>
      </w:r>
      <w:r w:rsidRPr="006E3D5E">
        <w:rPr>
          <w:lang w:val="en-GB"/>
        </w:rPr>
        <w:t>compliance is in accordance with their own self-interest</w:t>
      </w:r>
      <w:r w:rsidR="00413AED" w:rsidRPr="006E3D5E">
        <w:rPr>
          <w:lang w:val="en-GB"/>
        </w:rPr>
        <w:t>.</w:t>
      </w:r>
      <w:r w:rsidRPr="006E3D5E">
        <w:rPr>
          <w:lang w:val="en-GB"/>
        </w:rPr>
        <w:t xml:space="preserve"> </w:t>
      </w:r>
      <w:r w:rsidR="00413AED" w:rsidRPr="006E3D5E">
        <w:rPr>
          <w:lang w:val="en-GB"/>
        </w:rPr>
        <w:t>O</w:t>
      </w:r>
      <w:r w:rsidRPr="006E3D5E">
        <w:rPr>
          <w:lang w:val="en-GB"/>
        </w:rPr>
        <w:t>rganizations are</w:t>
      </w:r>
      <w:r w:rsidR="00413AED" w:rsidRPr="006E3D5E">
        <w:rPr>
          <w:lang w:val="en-GB"/>
        </w:rPr>
        <w:t xml:space="preserve"> seen as</w:t>
      </w:r>
      <w:r w:rsidRPr="006E3D5E">
        <w:rPr>
          <w:lang w:val="en-GB"/>
        </w:rPr>
        <w:t xml:space="preserve"> incentive systems that administer rewards and punishments (</w:t>
      </w:r>
      <w:r w:rsidR="00D51EE0" w:rsidRPr="006E3D5E">
        <w:rPr>
          <w:lang w:val="en-GB"/>
        </w:rPr>
        <w:t>e.g. Ostrom and Ostrom 2015</w:t>
      </w:r>
      <w:r w:rsidRPr="006E3D5E">
        <w:rPr>
          <w:lang w:val="en-GB"/>
        </w:rPr>
        <w:t xml:space="preserve">).  </w:t>
      </w:r>
    </w:p>
    <w:p w14:paraId="0F5D3B21" w14:textId="77777777" w:rsidR="0021781E" w:rsidRDefault="0021781E" w:rsidP="00E82D36">
      <w:pPr>
        <w:tabs>
          <w:tab w:val="center" w:pos="4533"/>
        </w:tabs>
        <w:rPr>
          <w:lang w:val="en-GB"/>
        </w:rPr>
      </w:pPr>
    </w:p>
    <w:p w14:paraId="1883F7A2" w14:textId="5933AC95" w:rsidR="000F6946" w:rsidRPr="006E3D5E" w:rsidRDefault="0057056C" w:rsidP="006E3D5E">
      <w:pPr>
        <w:tabs>
          <w:tab w:val="center" w:pos="4533"/>
        </w:tabs>
        <w:rPr>
          <w:lang w:val="en-GB"/>
        </w:rPr>
      </w:pPr>
      <w:r w:rsidRPr="006E3D5E">
        <w:rPr>
          <w:lang w:val="en-GB"/>
        </w:rPr>
        <w:t xml:space="preserve">Though the majority </w:t>
      </w:r>
      <w:r w:rsidR="00021908" w:rsidRPr="006E3D5E">
        <w:rPr>
          <w:lang w:val="en-GB"/>
        </w:rPr>
        <w:t>o</w:t>
      </w:r>
      <w:r w:rsidRPr="006E3D5E">
        <w:rPr>
          <w:lang w:val="en-GB"/>
        </w:rPr>
        <w:t xml:space="preserve">f literature has emphasized how EU-level variables systematically affect national administrations, </w:t>
      </w:r>
      <w:r w:rsidR="0083588D" w:rsidRPr="006E3D5E">
        <w:rPr>
          <w:lang w:val="en-GB"/>
        </w:rPr>
        <w:t xml:space="preserve">the </w:t>
      </w:r>
      <w:r w:rsidRPr="006E3D5E">
        <w:rPr>
          <w:lang w:val="en-GB"/>
        </w:rPr>
        <w:t>line of reasoning</w:t>
      </w:r>
      <w:r w:rsidR="0083588D" w:rsidRPr="006E3D5E">
        <w:rPr>
          <w:lang w:val="en-GB"/>
        </w:rPr>
        <w:t xml:space="preserve"> outlined above </w:t>
      </w:r>
      <w:r w:rsidRPr="006E3D5E">
        <w:rPr>
          <w:lang w:val="en-GB"/>
        </w:rPr>
        <w:t>also suggests</w:t>
      </w:r>
      <w:r w:rsidR="00EC4CCB" w:rsidRPr="006E3D5E">
        <w:rPr>
          <w:lang w:val="en-GB"/>
        </w:rPr>
        <w:t xml:space="preserve"> that structural characteristics </w:t>
      </w:r>
      <w:r w:rsidRPr="006E3D5E">
        <w:rPr>
          <w:i/>
          <w:lang w:val="en-GB"/>
        </w:rPr>
        <w:t>within</w:t>
      </w:r>
      <w:r w:rsidR="00EC4CCB" w:rsidRPr="006E3D5E">
        <w:rPr>
          <w:lang w:val="en-GB"/>
        </w:rPr>
        <w:t xml:space="preserve"> central administration</w:t>
      </w:r>
      <w:r w:rsidR="00021908" w:rsidRPr="006E3D5E">
        <w:rPr>
          <w:lang w:val="en-GB"/>
        </w:rPr>
        <w:t>s</w:t>
      </w:r>
      <w:r w:rsidR="00EC4CCB" w:rsidRPr="006E3D5E">
        <w:rPr>
          <w:lang w:val="en-GB"/>
        </w:rPr>
        <w:t xml:space="preserve"> </w:t>
      </w:r>
      <w:r w:rsidR="001D6977" w:rsidRPr="006E3D5E">
        <w:rPr>
          <w:lang w:val="en-GB"/>
        </w:rPr>
        <w:t>bias</w:t>
      </w:r>
      <w:r w:rsidR="00EC4CCB" w:rsidRPr="006E3D5E">
        <w:rPr>
          <w:lang w:val="en-GB"/>
        </w:rPr>
        <w:t xml:space="preserve"> </w:t>
      </w:r>
      <w:r w:rsidR="00AF472C" w:rsidRPr="006E3D5E">
        <w:rPr>
          <w:lang w:val="en-GB"/>
        </w:rPr>
        <w:t>how the EU ´hits´ domestic government institutions</w:t>
      </w:r>
      <w:r w:rsidR="00EC4CCB" w:rsidRPr="006E3D5E">
        <w:rPr>
          <w:lang w:val="en-GB"/>
        </w:rPr>
        <w:t xml:space="preserve">. </w:t>
      </w:r>
      <w:r w:rsidR="000F6946" w:rsidRPr="006E3D5E">
        <w:rPr>
          <w:lang w:val="en-GB"/>
        </w:rPr>
        <w:t xml:space="preserve">This </w:t>
      </w:r>
      <w:r w:rsidR="00FF3B28" w:rsidRPr="006E3D5E">
        <w:rPr>
          <w:lang w:val="en-GB"/>
        </w:rPr>
        <w:t xml:space="preserve">section </w:t>
      </w:r>
      <w:r w:rsidR="000F6946" w:rsidRPr="006E3D5E">
        <w:rPr>
          <w:lang w:val="en-GB"/>
        </w:rPr>
        <w:t xml:space="preserve">focuses on the following </w:t>
      </w:r>
      <w:r w:rsidR="00807D9E" w:rsidRPr="006E3D5E">
        <w:rPr>
          <w:lang w:val="en-GB"/>
        </w:rPr>
        <w:t>three</w:t>
      </w:r>
      <w:r w:rsidR="000F6946" w:rsidRPr="006E3D5E">
        <w:rPr>
          <w:lang w:val="en-GB"/>
        </w:rPr>
        <w:t xml:space="preserve"> structural variables: horizontal specialization, vertical specialization and organizational affiliations. </w:t>
      </w:r>
    </w:p>
    <w:p w14:paraId="364235F4" w14:textId="77777777" w:rsidR="00A7034E" w:rsidRPr="006E3D5E" w:rsidRDefault="00A7034E" w:rsidP="006E3D5E">
      <w:pPr>
        <w:rPr>
          <w:lang w:val="en-GB"/>
        </w:rPr>
      </w:pPr>
    </w:p>
    <w:p w14:paraId="6A6CEC75" w14:textId="09EEB3EA" w:rsidR="00C66D71" w:rsidRPr="006E3D5E" w:rsidRDefault="00C66D71" w:rsidP="006E3D5E">
      <w:pPr>
        <w:rPr>
          <w:i/>
          <w:lang w:val="en-GB"/>
        </w:rPr>
      </w:pPr>
      <w:r w:rsidRPr="006E3D5E">
        <w:rPr>
          <w:i/>
          <w:lang w:val="en-GB"/>
        </w:rPr>
        <w:t>Horizontal specialization</w:t>
      </w:r>
    </w:p>
    <w:p w14:paraId="308875D2" w14:textId="3EA3B067" w:rsidR="00455A98" w:rsidRPr="006E3D5E" w:rsidRDefault="00C66D71" w:rsidP="006E3D5E">
      <w:pPr>
        <w:tabs>
          <w:tab w:val="center" w:pos="4533"/>
        </w:tabs>
        <w:rPr>
          <w:lang w:val="en-GB"/>
        </w:rPr>
      </w:pPr>
      <w:r w:rsidRPr="006E3D5E">
        <w:rPr>
          <w:lang w:val="en-GB"/>
        </w:rPr>
        <w:t xml:space="preserve">Horizontal specialization refers to how tasks are divided horizontally </w:t>
      </w:r>
      <w:r w:rsidRPr="006E3D5E">
        <w:rPr>
          <w:i/>
          <w:lang w:val="en-GB"/>
        </w:rPr>
        <w:t xml:space="preserve">within </w:t>
      </w:r>
      <w:r w:rsidR="005A0974" w:rsidRPr="006E3D5E">
        <w:rPr>
          <w:i/>
          <w:lang w:val="en-GB"/>
        </w:rPr>
        <w:t xml:space="preserve">and </w:t>
      </w:r>
      <w:r w:rsidRPr="006E3D5E">
        <w:rPr>
          <w:i/>
          <w:lang w:val="en-GB"/>
        </w:rPr>
        <w:t>between</w:t>
      </w:r>
      <w:r w:rsidRPr="006E3D5E">
        <w:rPr>
          <w:lang w:val="en-GB"/>
        </w:rPr>
        <w:t xml:space="preserve"> organizations. In </w:t>
      </w:r>
      <w:r w:rsidRPr="006E3D5E">
        <w:rPr>
          <w:i/>
          <w:lang w:val="en-GB"/>
        </w:rPr>
        <w:t xml:space="preserve">Notes on the Theory of Organization </w:t>
      </w:r>
      <w:r w:rsidRPr="006E3D5E">
        <w:rPr>
          <w:lang w:val="en-GB"/>
        </w:rPr>
        <w:t>(1937)</w:t>
      </w:r>
      <w:r w:rsidRPr="006E3D5E">
        <w:rPr>
          <w:i/>
          <w:lang w:val="en-GB"/>
        </w:rPr>
        <w:t xml:space="preserve"> </w:t>
      </w:r>
      <w:r w:rsidRPr="006E3D5E">
        <w:rPr>
          <w:lang w:val="en-GB"/>
        </w:rPr>
        <w:t xml:space="preserve">Luther Gulick contemplated four fundamental principles of horizontal specialization, namely specialization according to (i) territory, (ii) sector/purpose, (iii) function/process </w:t>
      </w:r>
      <w:r w:rsidR="005A0974" w:rsidRPr="006E3D5E">
        <w:rPr>
          <w:lang w:val="en-GB"/>
        </w:rPr>
        <w:t xml:space="preserve">and </w:t>
      </w:r>
      <w:r w:rsidRPr="006E3D5E">
        <w:rPr>
          <w:lang w:val="en-GB"/>
        </w:rPr>
        <w:t>(iv) clientele. Gulick</w:t>
      </w:r>
      <w:r w:rsidR="00BC1F35">
        <w:rPr>
          <w:lang w:val="en-GB"/>
        </w:rPr>
        <w:t xml:space="preserve"> also</w:t>
      </w:r>
      <w:r w:rsidRPr="006E3D5E">
        <w:rPr>
          <w:lang w:val="en-GB"/>
        </w:rPr>
        <w:t xml:space="preserve"> emphasized the dynamic relationship between specialization and coordination; areas that are encompassed by the same organizational unit are more likely to be coordinated than those belonging to different units. In the same vein, cleavages of conflict </w:t>
      </w:r>
      <w:r w:rsidR="005A0974" w:rsidRPr="006E3D5E">
        <w:rPr>
          <w:lang w:val="en-GB"/>
        </w:rPr>
        <w:t>w</w:t>
      </w:r>
      <w:r w:rsidR="00021908" w:rsidRPr="006E3D5E">
        <w:rPr>
          <w:lang w:val="en-GB"/>
        </w:rPr>
        <w:t xml:space="preserve">ere </w:t>
      </w:r>
      <w:r w:rsidR="005A0974" w:rsidRPr="006E3D5E">
        <w:rPr>
          <w:lang w:val="en-GB"/>
        </w:rPr>
        <w:t xml:space="preserve">assumed to </w:t>
      </w:r>
      <w:r w:rsidRPr="006E3D5E">
        <w:rPr>
          <w:lang w:val="en-GB"/>
        </w:rPr>
        <w:t xml:space="preserve">reflect organizational </w:t>
      </w:r>
      <w:r w:rsidR="005A0974" w:rsidRPr="006E3D5E">
        <w:rPr>
          <w:lang w:val="en-GB"/>
        </w:rPr>
        <w:t>specialization</w:t>
      </w:r>
      <w:r w:rsidRPr="006E3D5E">
        <w:rPr>
          <w:lang w:val="en-GB"/>
        </w:rPr>
        <w:t xml:space="preserve">. For example, </w:t>
      </w:r>
      <w:r w:rsidR="005A0974" w:rsidRPr="006E3D5E">
        <w:rPr>
          <w:lang w:val="en-GB"/>
        </w:rPr>
        <w:t xml:space="preserve">specialization </w:t>
      </w:r>
      <w:r w:rsidRPr="006E3D5E">
        <w:rPr>
          <w:lang w:val="en-GB"/>
        </w:rPr>
        <w:t xml:space="preserve">according to purpose is likely to focus attention along sectoral lines of cooperation and conflict, as well as foster policy consistency within its respected field. </w:t>
      </w:r>
      <w:r w:rsidR="008347A8" w:rsidRPr="006E3D5E">
        <w:rPr>
          <w:lang w:val="en-GB"/>
        </w:rPr>
        <w:t xml:space="preserve">We might thus expect that officials that are embedded in organizations that are primarily specialized by purpose would coordinate more strongly within their respective policy domains than across these domains. In the case of government ministries, </w:t>
      </w:r>
      <w:r w:rsidR="00E8419A">
        <w:rPr>
          <w:lang w:val="en-GB"/>
        </w:rPr>
        <w:t>it</w:t>
      </w:r>
      <w:r w:rsidR="008347A8" w:rsidRPr="006E3D5E">
        <w:rPr>
          <w:lang w:val="en-GB"/>
        </w:rPr>
        <w:t xml:space="preserve"> might thus</w:t>
      </w:r>
      <w:r w:rsidR="00E8419A">
        <w:rPr>
          <w:lang w:val="en-GB"/>
        </w:rPr>
        <w:t xml:space="preserve"> be</w:t>
      </w:r>
      <w:r w:rsidR="008347A8" w:rsidRPr="006E3D5E">
        <w:rPr>
          <w:lang w:val="en-GB"/>
        </w:rPr>
        <w:t xml:space="preserve"> expect</w:t>
      </w:r>
      <w:r w:rsidR="00E8419A">
        <w:rPr>
          <w:lang w:val="en-GB"/>
        </w:rPr>
        <w:t>ed</w:t>
      </w:r>
      <w:r w:rsidR="008347A8" w:rsidRPr="006E3D5E">
        <w:rPr>
          <w:lang w:val="en-GB"/>
        </w:rPr>
        <w:t xml:space="preserve"> that officials in sector ministries report stronger intra-ministerial coordination than inter-ministerial coordination.</w:t>
      </w:r>
    </w:p>
    <w:p w14:paraId="2E071B60" w14:textId="77777777" w:rsidR="00C63E59" w:rsidRPr="006E3D5E" w:rsidRDefault="00C63E59" w:rsidP="006E3D5E">
      <w:pPr>
        <w:tabs>
          <w:tab w:val="center" w:pos="4533"/>
        </w:tabs>
        <w:rPr>
          <w:lang w:val="en-GB"/>
        </w:rPr>
      </w:pPr>
    </w:p>
    <w:p w14:paraId="2A16D4E2" w14:textId="08A6F8DA" w:rsidR="00C63E59" w:rsidRPr="006E3D5E" w:rsidRDefault="00C63E59" w:rsidP="006E3D5E">
      <w:pPr>
        <w:tabs>
          <w:tab w:val="center" w:pos="4533"/>
        </w:tabs>
        <w:rPr>
          <w:lang w:val="en-GB"/>
        </w:rPr>
      </w:pPr>
      <w:r w:rsidRPr="006E3D5E">
        <w:rPr>
          <w:lang w:val="en-GB"/>
        </w:rPr>
        <w:t>Though transnational cooperation on issue-specific tasks and practices has existed for</w:t>
      </w:r>
      <w:r w:rsidR="005A0974" w:rsidRPr="006E3D5E">
        <w:rPr>
          <w:lang w:val="en-GB"/>
        </w:rPr>
        <w:t xml:space="preserve"> decades</w:t>
      </w:r>
      <w:r w:rsidRPr="006E3D5E">
        <w:rPr>
          <w:lang w:val="en-GB"/>
        </w:rPr>
        <w:t xml:space="preserve">, the EU executive centre has </w:t>
      </w:r>
      <w:r w:rsidR="005A0974" w:rsidRPr="006E3D5E">
        <w:rPr>
          <w:lang w:val="en-GB"/>
        </w:rPr>
        <w:t>emerged as</w:t>
      </w:r>
      <w:r w:rsidRPr="006E3D5E">
        <w:rPr>
          <w:lang w:val="en-GB"/>
        </w:rPr>
        <w:t xml:space="preserve"> a more </w:t>
      </w:r>
      <w:r w:rsidR="005A0974" w:rsidRPr="006E3D5E">
        <w:rPr>
          <w:lang w:val="en-GB"/>
        </w:rPr>
        <w:t xml:space="preserve">demanding </w:t>
      </w:r>
      <w:r w:rsidRPr="006E3D5E">
        <w:rPr>
          <w:lang w:val="en-GB"/>
        </w:rPr>
        <w:t>player within regulatory networking over the past decades (e.g. Majone 1996; Dehousse 1997; Levi-Faur 2011; Egeberg and Trondal 2015</w:t>
      </w:r>
      <w:r w:rsidR="005A0974" w:rsidRPr="006E3D5E">
        <w:rPr>
          <w:lang w:val="en-GB"/>
        </w:rPr>
        <w:t>; Joosen and Brandsma 2017</w:t>
      </w:r>
      <w:r w:rsidRPr="006E3D5E">
        <w:rPr>
          <w:lang w:val="en-GB"/>
        </w:rPr>
        <w:t xml:space="preserve">). </w:t>
      </w:r>
      <w:r w:rsidR="00407118" w:rsidRPr="006E3D5E">
        <w:rPr>
          <w:lang w:val="en-GB"/>
        </w:rPr>
        <w:t xml:space="preserve">Essentially, the executive centre at EU-level (concentrated at the Commission and EU agencies (e.g. Bauer and Trondal 2015; Egeberg 2006)) – is largely specialized according to purpose (sector) and function (process), largely similarly to </w:t>
      </w:r>
      <w:r w:rsidR="00C66D71" w:rsidRPr="006E3D5E">
        <w:rPr>
          <w:lang w:val="en-GB"/>
        </w:rPr>
        <w:t xml:space="preserve">national administrations. </w:t>
      </w:r>
      <w:r w:rsidR="006338E3" w:rsidRPr="006E3D5E">
        <w:rPr>
          <w:lang w:val="en-GB"/>
        </w:rPr>
        <w:t xml:space="preserve">This type of organizational </w:t>
      </w:r>
      <w:r w:rsidR="005A0974" w:rsidRPr="006E3D5E">
        <w:rPr>
          <w:lang w:val="en-GB"/>
        </w:rPr>
        <w:t xml:space="preserve">compatibility </w:t>
      </w:r>
      <w:r w:rsidR="00407118" w:rsidRPr="006E3D5E">
        <w:rPr>
          <w:lang w:val="en-GB"/>
        </w:rPr>
        <w:t>is expected to</w:t>
      </w:r>
      <w:r w:rsidR="00C66D71" w:rsidRPr="006E3D5E">
        <w:rPr>
          <w:lang w:val="en-GB"/>
        </w:rPr>
        <w:t xml:space="preserve"> facilitate sectoral allegiances and cooperation </w:t>
      </w:r>
      <w:r w:rsidR="00C66D71" w:rsidRPr="006E3D5E">
        <w:rPr>
          <w:i/>
          <w:lang w:val="en-GB"/>
        </w:rPr>
        <w:t>across</w:t>
      </w:r>
      <w:r w:rsidR="00602413" w:rsidRPr="006E3D5E">
        <w:rPr>
          <w:lang w:val="en-GB"/>
        </w:rPr>
        <w:t xml:space="preserve"> levels of governance.</w:t>
      </w:r>
      <w:r w:rsidR="006338E3" w:rsidRPr="006E3D5E">
        <w:rPr>
          <w:lang w:val="en-GB"/>
        </w:rPr>
        <w:t xml:space="preserve"> </w:t>
      </w:r>
      <w:r w:rsidR="00063EDE" w:rsidRPr="006E3D5E">
        <w:rPr>
          <w:lang w:val="en-GB"/>
        </w:rPr>
        <w:t xml:space="preserve">Organizations that are specialized according to </w:t>
      </w:r>
      <w:r w:rsidR="00407118" w:rsidRPr="006E3D5E">
        <w:rPr>
          <w:lang w:val="en-GB"/>
        </w:rPr>
        <w:t>similar organizational</w:t>
      </w:r>
      <w:r w:rsidR="00063EDE" w:rsidRPr="006E3D5E">
        <w:rPr>
          <w:lang w:val="en-GB"/>
        </w:rPr>
        <w:t xml:space="preserve"> principles may align more easily ac</w:t>
      </w:r>
      <w:r w:rsidR="00E73688" w:rsidRPr="006E3D5E">
        <w:rPr>
          <w:lang w:val="en-GB"/>
        </w:rPr>
        <w:t>ross levels of governance than t</w:t>
      </w:r>
      <w:r w:rsidR="00063EDE" w:rsidRPr="006E3D5E">
        <w:rPr>
          <w:lang w:val="en-GB"/>
        </w:rPr>
        <w:t>hose institutions that are organized according to different principles (</w:t>
      </w:r>
      <w:r w:rsidR="005A0974" w:rsidRPr="006E3D5E">
        <w:rPr>
          <w:lang w:val="en-GB"/>
        </w:rPr>
        <w:t xml:space="preserve">e.g. </w:t>
      </w:r>
      <w:r w:rsidR="00063EDE" w:rsidRPr="006E3D5E">
        <w:rPr>
          <w:lang w:val="en-GB"/>
        </w:rPr>
        <w:t>Martens 2010:</w:t>
      </w:r>
      <w:r w:rsidR="005A0974" w:rsidRPr="006E3D5E">
        <w:rPr>
          <w:lang w:val="en-GB"/>
        </w:rPr>
        <w:t xml:space="preserve"> </w:t>
      </w:r>
      <w:r w:rsidR="00063EDE" w:rsidRPr="006E3D5E">
        <w:rPr>
          <w:lang w:val="en-GB"/>
        </w:rPr>
        <w:t xml:space="preserve">13). </w:t>
      </w:r>
      <w:r w:rsidR="00E73688" w:rsidRPr="006E3D5E">
        <w:rPr>
          <w:lang w:val="en-GB"/>
        </w:rPr>
        <w:t xml:space="preserve">Hence, the impact arising from organizational principles at one level of governance may be conditioned by the degree of </w:t>
      </w:r>
      <w:r w:rsidR="005A0974" w:rsidRPr="006E3D5E">
        <w:rPr>
          <w:lang w:val="en-GB"/>
        </w:rPr>
        <w:t xml:space="preserve">organizational </w:t>
      </w:r>
      <w:r w:rsidR="00E73688" w:rsidRPr="006E3D5E">
        <w:rPr>
          <w:lang w:val="en-GB"/>
        </w:rPr>
        <w:t>compatibility across levels (</w:t>
      </w:r>
      <w:r w:rsidR="00765324" w:rsidRPr="006E3D5E">
        <w:rPr>
          <w:lang w:val="en-GB"/>
        </w:rPr>
        <w:t>e.g. Cowles et. al 2001; Knill and Lehmkuhl 1999; March and Olsen 1995</w:t>
      </w:r>
      <w:r w:rsidR="00E73688" w:rsidRPr="006E3D5E">
        <w:rPr>
          <w:lang w:val="en-GB"/>
        </w:rPr>
        <w:t>)</w:t>
      </w:r>
      <w:r w:rsidR="005A0974" w:rsidRPr="006E3D5E">
        <w:rPr>
          <w:lang w:val="en-GB"/>
        </w:rPr>
        <w:t>.</w:t>
      </w:r>
      <w:r w:rsidR="00E73688" w:rsidRPr="006E3D5E">
        <w:rPr>
          <w:lang w:val="en-GB"/>
        </w:rPr>
        <w:t xml:space="preserve"> </w:t>
      </w:r>
      <w:r w:rsidR="00407118" w:rsidRPr="006E3D5E">
        <w:rPr>
          <w:lang w:val="en-GB"/>
        </w:rPr>
        <w:t>´</w:t>
      </w:r>
      <w:r w:rsidR="005A0974" w:rsidRPr="006E3D5E">
        <w:rPr>
          <w:lang w:val="en-GB"/>
        </w:rPr>
        <w:t>T</w:t>
      </w:r>
      <w:r w:rsidR="003D3D54" w:rsidRPr="006E3D5E">
        <w:rPr>
          <w:lang w:val="en-GB"/>
        </w:rPr>
        <w:t>he underlying assumption is that actors are more likely to integrate and play speci</w:t>
      </w:r>
      <w:r w:rsidR="00407118" w:rsidRPr="006E3D5E">
        <w:rPr>
          <w:lang w:val="en-GB"/>
        </w:rPr>
        <w:t>fic roles when these roles are “</w:t>
      </w:r>
      <w:r w:rsidR="003D3D54" w:rsidRPr="006E3D5E">
        <w:rPr>
          <w:lang w:val="en-GB"/>
        </w:rPr>
        <w:t>compatible with their s</w:t>
      </w:r>
      <w:r w:rsidR="00407118" w:rsidRPr="006E3D5E">
        <w:rPr>
          <w:lang w:val="en-GB"/>
        </w:rPr>
        <w:t>ocial conceptions of themselves”</w:t>
      </w:r>
      <w:r w:rsidR="003D3D54" w:rsidRPr="006E3D5E">
        <w:rPr>
          <w:lang w:val="en-GB"/>
        </w:rPr>
        <w:t>, and that roles and modes of behaviour may be streng</w:t>
      </w:r>
      <w:r w:rsidR="00407118" w:rsidRPr="006E3D5E">
        <w:rPr>
          <w:lang w:val="en-GB"/>
        </w:rPr>
        <w:t>thened and mutually reinforced “</w:t>
      </w:r>
      <w:r w:rsidR="003D3D54" w:rsidRPr="006E3D5E">
        <w:rPr>
          <w:lang w:val="en-GB"/>
        </w:rPr>
        <w:t>as a result of having compati</w:t>
      </w:r>
      <w:r w:rsidR="00E73688" w:rsidRPr="006E3D5E">
        <w:rPr>
          <w:lang w:val="en-GB"/>
        </w:rPr>
        <w:t>ble institutional arrangements</w:t>
      </w:r>
      <w:r w:rsidR="00407118" w:rsidRPr="006E3D5E">
        <w:rPr>
          <w:lang w:val="en-GB"/>
        </w:rPr>
        <w:t>”´</w:t>
      </w:r>
      <w:r w:rsidR="00AB7BE3">
        <w:rPr>
          <w:lang w:val="en-GB"/>
        </w:rPr>
        <w:t xml:space="preserve"> </w:t>
      </w:r>
      <w:r w:rsidR="00C15ED6" w:rsidRPr="006E3D5E">
        <w:rPr>
          <w:lang w:val="en-GB"/>
        </w:rPr>
        <w:t xml:space="preserve">(Martens 2010: </w:t>
      </w:r>
      <w:r w:rsidR="00FA1E7B" w:rsidRPr="006E3D5E">
        <w:rPr>
          <w:lang w:val="en-GB"/>
        </w:rPr>
        <w:t>13)</w:t>
      </w:r>
      <w:r w:rsidR="00E82D36">
        <w:rPr>
          <w:lang w:val="en-GB"/>
        </w:rPr>
        <w:t>.</w:t>
      </w:r>
    </w:p>
    <w:p w14:paraId="7CEC1C69" w14:textId="77777777" w:rsidR="00C63E59" w:rsidRPr="006E3D5E" w:rsidRDefault="00C63E59" w:rsidP="006E3D5E">
      <w:pPr>
        <w:tabs>
          <w:tab w:val="center" w:pos="4533"/>
        </w:tabs>
        <w:rPr>
          <w:lang w:val="en-GB"/>
        </w:rPr>
      </w:pPr>
    </w:p>
    <w:p w14:paraId="18575CBF" w14:textId="0398CB2F" w:rsidR="00127E58" w:rsidRPr="006E3D5E" w:rsidRDefault="00C04C34" w:rsidP="006E3D5E">
      <w:pPr>
        <w:tabs>
          <w:tab w:val="center" w:pos="4533"/>
        </w:tabs>
        <w:rPr>
          <w:lang w:val="en-GB"/>
        </w:rPr>
      </w:pPr>
      <w:r w:rsidRPr="006E3D5E">
        <w:rPr>
          <w:lang w:val="en-GB"/>
        </w:rPr>
        <w:lastRenderedPageBreak/>
        <w:t>Commission DGs</w:t>
      </w:r>
      <w:r w:rsidR="005A0974" w:rsidRPr="006E3D5E">
        <w:rPr>
          <w:lang w:val="en-GB"/>
        </w:rPr>
        <w:t xml:space="preserve"> and their system of</w:t>
      </w:r>
      <w:r w:rsidR="00455A98" w:rsidRPr="006E3D5E">
        <w:rPr>
          <w:lang w:val="en-GB"/>
        </w:rPr>
        <w:t xml:space="preserve"> expert committees</w:t>
      </w:r>
      <w:r w:rsidR="005A0974" w:rsidRPr="006E3D5E">
        <w:rPr>
          <w:lang w:val="en-GB"/>
        </w:rPr>
        <w:t xml:space="preserve"> are largely organized similarly (by purpose) as</w:t>
      </w:r>
      <w:r w:rsidRPr="006E3D5E">
        <w:rPr>
          <w:lang w:val="en-GB"/>
        </w:rPr>
        <w:t xml:space="preserve"> </w:t>
      </w:r>
      <w:r w:rsidR="00455A98" w:rsidRPr="006E3D5E">
        <w:rPr>
          <w:lang w:val="en-GB"/>
        </w:rPr>
        <w:t>domestic sector</w:t>
      </w:r>
      <w:r w:rsidRPr="006E3D5E">
        <w:rPr>
          <w:lang w:val="en-GB"/>
        </w:rPr>
        <w:t xml:space="preserve"> ministries</w:t>
      </w:r>
      <w:r w:rsidR="005A0974" w:rsidRPr="006E3D5E">
        <w:rPr>
          <w:lang w:val="en-GB"/>
        </w:rPr>
        <w:t>. By contrast</w:t>
      </w:r>
      <w:r w:rsidR="00455A98" w:rsidRPr="006E3D5E">
        <w:rPr>
          <w:lang w:val="en-GB"/>
        </w:rPr>
        <w:t xml:space="preserve"> domestic </w:t>
      </w:r>
      <w:r w:rsidR="00107B03" w:rsidRPr="006E3D5E">
        <w:rPr>
          <w:lang w:val="en-GB"/>
        </w:rPr>
        <w:t>ministries of foreign affairs</w:t>
      </w:r>
      <w:r w:rsidR="00E82D36">
        <w:rPr>
          <w:lang w:val="en-GB"/>
        </w:rPr>
        <w:t xml:space="preserve"> (MFA)</w:t>
      </w:r>
      <w:r w:rsidR="005A0974" w:rsidRPr="006E3D5E">
        <w:rPr>
          <w:lang w:val="en-GB"/>
        </w:rPr>
        <w:t xml:space="preserve"> are </w:t>
      </w:r>
      <w:r w:rsidR="00A93FF1" w:rsidRPr="006E3D5E">
        <w:rPr>
          <w:lang w:val="en-GB"/>
        </w:rPr>
        <w:t xml:space="preserve">mainly </w:t>
      </w:r>
      <w:r w:rsidR="005A0974" w:rsidRPr="006E3D5E">
        <w:rPr>
          <w:lang w:val="en-GB"/>
        </w:rPr>
        <w:t xml:space="preserve">specialized </w:t>
      </w:r>
      <w:r w:rsidR="00A93FF1" w:rsidRPr="006E3D5E">
        <w:rPr>
          <w:lang w:val="en-GB"/>
        </w:rPr>
        <w:t>according to</w:t>
      </w:r>
      <w:r w:rsidR="005A0974" w:rsidRPr="006E3D5E">
        <w:rPr>
          <w:lang w:val="en-GB"/>
        </w:rPr>
        <w:t xml:space="preserve"> territory</w:t>
      </w:r>
      <w:r w:rsidR="00455A98" w:rsidRPr="006E3D5E">
        <w:rPr>
          <w:lang w:val="en-GB"/>
        </w:rPr>
        <w:t xml:space="preserve"> and</w:t>
      </w:r>
      <w:r w:rsidR="005A0974" w:rsidRPr="006E3D5E">
        <w:rPr>
          <w:lang w:val="en-GB"/>
        </w:rPr>
        <w:t xml:space="preserve"> thus </w:t>
      </w:r>
      <w:r w:rsidR="00A93FF1" w:rsidRPr="006E3D5E">
        <w:rPr>
          <w:lang w:val="en-GB"/>
        </w:rPr>
        <w:t xml:space="preserve">organizationally </w:t>
      </w:r>
      <w:r w:rsidR="005A0974" w:rsidRPr="006E3D5E">
        <w:rPr>
          <w:lang w:val="en-GB"/>
        </w:rPr>
        <w:t>compatible to the</w:t>
      </w:r>
      <w:r w:rsidR="00A93FF1" w:rsidRPr="006E3D5E">
        <w:rPr>
          <w:lang w:val="en-GB"/>
        </w:rPr>
        <w:t xml:space="preserve"> core structure of the</w:t>
      </w:r>
      <w:r w:rsidR="005A0974" w:rsidRPr="006E3D5E">
        <w:rPr>
          <w:lang w:val="en-GB"/>
        </w:rPr>
        <w:t xml:space="preserve"> Council of Ministers and </w:t>
      </w:r>
      <w:r w:rsidR="00BC1F35">
        <w:rPr>
          <w:lang w:val="en-GB"/>
        </w:rPr>
        <w:t>the</w:t>
      </w:r>
      <w:r w:rsidR="00455A98" w:rsidRPr="006E3D5E">
        <w:rPr>
          <w:lang w:val="en-GB"/>
        </w:rPr>
        <w:t xml:space="preserve"> working</w:t>
      </w:r>
      <w:r w:rsidR="005A0974" w:rsidRPr="006E3D5E">
        <w:rPr>
          <w:lang w:val="en-GB"/>
        </w:rPr>
        <w:t xml:space="preserve"> groups</w:t>
      </w:r>
      <w:r w:rsidR="00455A98" w:rsidRPr="006E3D5E">
        <w:rPr>
          <w:lang w:val="en-GB"/>
        </w:rPr>
        <w:t>. Following the abovementioned line of reasoning, this</w:t>
      </w:r>
      <w:r w:rsidR="00127E58" w:rsidRPr="006E3D5E">
        <w:rPr>
          <w:lang w:val="en-GB"/>
        </w:rPr>
        <w:t xml:space="preserve"> observation</w:t>
      </w:r>
      <w:r w:rsidR="00455A98" w:rsidRPr="006E3D5E">
        <w:rPr>
          <w:lang w:val="en-GB"/>
        </w:rPr>
        <w:t xml:space="preserve"> </w:t>
      </w:r>
      <w:r w:rsidR="00127E58" w:rsidRPr="006E3D5E">
        <w:rPr>
          <w:lang w:val="en-GB"/>
        </w:rPr>
        <w:t xml:space="preserve">suggests </w:t>
      </w:r>
      <w:r w:rsidR="00455A98" w:rsidRPr="006E3D5E">
        <w:rPr>
          <w:lang w:val="en-GB"/>
        </w:rPr>
        <w:t xml:space="preserve">that domestic sector ministries are </w:t>
      </w:r>
      <w:r w:rsidR="00127E58" w:rsidRPr="006E3D5E">
        <w:rPr>
          <w:lang w:val="en-GB"/>
        </w:rPr>
        <w:t xml:space="preserve">likely to alliance and interact </w:t>
      </w:r>
      <w:r w:rsidR="00E82D36">
        <w:rPr>
          <w:lang w:val="en-GB"/>
        </w:rPr>
        <w:t xml:space="preserve">more </w:t>
      </w:r>
      <w:r w:rsidR="00127E58" w:rsidRPr="006E3D5E">
        <w:rPr>
          <w:lang w:val="en-GB"/>
        </w:rPr>
        <w:t>with</w:t>
      </w:r>
      <w:r w:rsidR="00455A98" w:rsidRPr="006E3D5E">
        <w:rPr>
          <w:lang w:val="en-GB"/>
        </w:rPr>
        <w:t xml:space="preserve"> the Commission DG</w:t>
      </w:r>
      <w:r w:rsidR="0083588D" w:rsidRPr="006E3D5E">
        <w:rPr>
          <w:lang w:val="en-GB"/>
        </w:rPr>
        <w:t>s</w:t>
      </w:r>
      <w:r w:rsidR="00455A98" w:rsidRPr="006E3D5E">
        <w:rPr>
          <w:lang w:val="en-GB"/>
        </w:rPr>
        <w:t xml:space="preserve"> </w:t>
      </w:r>
      <w:r w:rsidR="00127E58" w:rsidRPr="006E3D5E">
        <w:rPr>
          <w:lang w:val="en-GB"/>
        </w:rPr>
        <w:t>than with the Council</w:t>
      </w:r>
      <w:r w:rsidR="00A93FF1" w:rsidRPr="006E3D5E">
        <w:rPr>
          <w:lang w:val="en-GB"/>
        </w:rPr>
        <w:t xml:space="preserve"> structure</w:t>
      </w:r>
      <w:r w:rsidRPr="006E3D5E">
        <w:rPr>
          <w:lang w:val="en-GB"/>
        </w:rPr>
        <w:t xml:space="preserve">. </w:t>
      </w:r>
      <w:r w:rsidR="00D722CB" w:rsidRPr="006E3D5E">
        <w:rPr>
          <w:lang w:val="en-GB"/>
        </w:rPr>
        <w:t>Additionally, t</w:t>
      </w:r>
      <w:r w:rsidR="000650C1" w:rsidRPr="006E3D5E">
        <w:rPr>
          <w:lang w:val="en-GB"/>
        </w:rPr>
        <w:t>he continuous expansion of scope and content in the EEA agreement</w:t>
      </w:r>
      <w:r w:rsidR="00127E58" w:rsidRPr="006E3D5E">
        <w:rPr>
          <w:lang w:val="en-GB"/>
        </w:rPr>
        <w:t xml:space="preserve"> (from 1994 onwards)</w:t>
      </w:r>
      <w:r w:rsidR="000650C1" w:rsidRPr="006E3D5E">
        <w:rPr>
          <w:lang w:val="en-GB"/>
        </w:rPr>
        <w:t xml:space="preserve"> gives reasons to believe </w:t>
      </w:r>
      <w:r w:rsidR="00127E58" w:rsidRPr="006E3D5E">
        <w:rPr>
          <w:lang w:val="en-GB"/>
        </w:rPr>
        <w:t>this pattern of interaction has</w:t>
      </w:r>
      <w:r w:rsidR="008347A8" w:rsidRPr="006E3D5E">
        <w:rPr>
          <w:lang w:val="en-GB"/>
        </w:rPr>
        <w:t>, if anything,</w:t>
      </w:r>
      <w:r w:rsidR="00127E58" w:rsidRPr="006E3D5E">
        <w:rPr>
          <w:lang w:val="en-GB"/>
        </w:rPr>
        <w:t xml:space="preserve"> expanded in parallel</w:t>
      </w:r>
      <w:r w:rsidR="000650C1" w:rsidRPr="006E3D5E">
        <w:rPr>
          <w:lang w:val="en-GB"/>
        </w:rPr>
        <w:t xml:space="preserve">. </w:t>
      </w:r>
    </w:p>
    <w:p w14:paraId="08C24431" w14:textId="77777777" w:rsidR="00127E58" w:rsidRPr="006E3D5E" w:rsidRDefault="00127E58" w:rsidP="006E3D5E">
      <w:pPr>
        <w:tabs>
          <w:tab w:val="center" w:pos="4533"/>
        </w:tabs>
        <w:rPr>
          <w:lang w:val="en-GB"/>
        </w:rPr>
      </w:pPr>
    </w:p>
    <w:p w14:paraId="2645A42B" w14:textId="17B787AB" w:rsidR="00C66D71" w:rsidRPr="006E3D5E" w:rsidRDefault="00127E58" w:rsidP="006E3D5E">
      <w:pPr>
        <w:tabs>
          <w:tab w:val="center" w:pos="4533"/>
        </w:tabs>
        <w:rPr>
          <w:lang w:val="en-GB"/>
        </w:rPr>
      </w:pPr>
      <w:r w:rsidRPr="006E3D5E">
        <w:rPr>
          <w:lang w:val="en-GB"/>
        </w:rPr>
        <w:t>Moreover, horizontal specialization</w:t>
      </w:r>
      <w:r w:rsidR="008347A8" w:rsidRPr="006E3D5E">
        <w:rPr>
          <w:lang w:val="en-GB"/>
        </w:rPr>
        <w:t xml:space="preserve"> of organization</w:t>
      </w:r>
      <w:r w:rsidRPr="006E3D5E">
        <w:rPr>
          <w:lang w:val="en-GB"/>
        </w:rPr>
        <w:t xml:space="preserve"> influences the task profile of</w:t>
      </w:r>
      <w:r w:rsidR="006E3D5E">
        <w:rPr>
          <w:lang w:val="en-GB"/>
        </w:rPr>
        <w:t xml:space="preserve"> organizations and their staff.</w:t>
      </w:r>
      <w:r w:rsidRPr="006E3D5E">
        <w:rPr>
          <w:lang w:val="en-GB"/>
        </w:rPr>
        <w:t xml:space="preserve"> We may </w:t>
      </w:r>
      <w:r w:rsidR="008347A8" w:rsidRPr="006E3D5E">
        <w:rPr>
          <w:lang w:val="en-GB"/>
        </w:rPr>
        <w:t>predict</w:t>
      </w:r>
      <w:r w:rsidRPr="006E3D5E">
        <w:rPr>
          <w:lang w:val="en-GB"/>
        </w:rPr>
        <w:t xml:space="preserve"> that national civil servants that ha</w:t>
      </w:r>
      <w:r w:rsidR="00FA1E7B" w:rsidRPr="006E3D5E">
        <w:rPr>
          <w:lang w:val="en-GB"/>
        </w:rPr>
        <w:t>ve</w:t>
      </w:r>
      <w:r w:rsidRPr="006E3D5E">
        <w:rPr>
          <w:lang w:val="en-GB"/>
        </w:rPr>
        <w:t xml:space="preserve"> a task profile that parallels that of Commission DGs are likely to be more affected and involved </w:t>
      </w:r>
      <w:r w:rsidR="008347A8" w:rsidRPr="006E3D5E">
        <w:rPr>
          <w:lang w:val="en-GB"/>
        </w:rPr>
        <w:t xml:space="preserve">in EU-related work generally </w:t>
      </w:r>
      <w:r w:rsidRPr="006E3D5E">
        <w:rPr>
          <w:lang w:val="en-GB"/>
        </w:rPr>
        <w:t>than national civil servants with an incompatible task profile. Noticing that the task profile of Commission DGs is largely</w:t>
      </w:r>
      <w:r w:rsidR="000650C1" w:rsidRPr="006E3D5E">
        <w:rPr>
          <w:lang w:val="en-GB"/>
        </w:rPr>
        <w:t xml:space="preserve"> regulatory</w:t>
      </w:r>
      <w:r w:rsidRPr="006E3D5E">
        <w:rPr>
          <w:lang w:val="en-GB"/>
        </w:rPr>
        <w:t xml:space="preserve">, we may assume that national civil servants with a similar task profile </w:t>
      </w:r>
      <w:r w:rsidR="00FA1E7B" w:rsidRPr="006E3D5E">
        <w:rPr>
          <w:lang w:val="en-GB"/>
        </w:rPr>
        <w:t>are</w:t>
      </w:r>
      <w:r w:rsidRPr="006E3D5E">
        <w:rPr>
          <w:lang w:val="en-GB"/>
        </w:rPr>
        <w:t xml:space="preserve"> likely to </w:t>
      </w:r>
      <w:r w:rsidR="00BB6558">
        <w:rPr>
          <w:lang w:val="en-GB"/>
        </w:rPr>
        <w:t xml:space="preserve">be </w:t>
      </w:r>
      <w:r w:rsidRPr="006E3D5E">
        <w:rPr>
          <w:lang w:val="en-GB"/>
        </w:rPr>
        <w:t xml:space="preserve">more strongly affected by </w:t>
      </w:r>
      <w:r w:rsidR="008347A8" w:rsidRPr="006E3D5E">
        <w:rPr>
          <w:lang w:val="en-GB"/>
        </w:rPr>
        <w:t xml:space="preserve">EU institutions and processes </w:t>
      </w:r>
      <w:r w:rsidRPr="006E3D5E">
        <w:rPr>
          <w:lang w:val="en-GB"/>
        </w:rPr>
        <w:t>than officials with tasks such as budgeting, administration, and the like.</w:t>
      </w:r>
      <w:r w:rsidR="000650C1" w:rsidRPr="006E3D5E">
        <w:rPr>
          <w:lang w:val="en-GB"/>
        </w:rPr>
        <w:t xml:space="preserve"> </w:t>
      </w:r>
      <w:r w:rsidR="006C453C" w:rsidRPr="006E3D5E">
        <w:rPr>
          <w:lang w:val="en-GB"/>
        </w:rPr>
        <w:t xml:space="preserve">The following </w:t>
      </w:r>
      <w:r w:rsidR="00CC3E20" w:rsidRPr="006E3D5E">
        <w:rPr>
          <w:lang w:val="en-GB"/>
        </w:rPr>
        <w:t xml:space="preserve">propositions </w:t>
      </w:r>
      <w:r w:rsidR="006C453C" w:rsidRPr="006E3D5E">
        <w:rPr>
          <w:lang w:val="en-GB"/>
        </w:rPr>
        <w:t xml:space="preserve">may be derived: </w:t>
      </w:r>
    </w:p>
    <w:p w14:paraId="7F89BFE6" w14:textId="77777777" w:rsidR="006C453C" w:rsidRPr="006E3D5E" w:rsidRDefault="006C453C" w:rsidP="006E3D5E">
      <w:pPr>
        <w:rPr>
          <w:b/>
          <w:lang w:val="en-GB"/>
        </w:rPr>
      </w:pPr>
    </w:p>
    <w:p w14:paraId="005F9753" w14:textId="44DBECC5" w:rsidR="00E44982" w:rsidRPr="006E3D5E" w:rsidRDefault="008347A8" w:rsidP="006E3D5E">
      <w:pPr>
        <w:rPr>
          <w:lang w:val="en-GB"/>
        </w:rPr>
      </w:pPr>
      <w:r w:rsidRPr="006E3D5E">
        <w:rPr>
          <w:i/>
          <w:lang w:val="en-GB"/>
        </w:rPr>
        <w:t>P</w:t>
      </w:r>
      <w:r w:rsidR="00E44982" w:rsidRPr="006E3D5E">
        <w:rPr>
          <w:i/>
          <w:lang w:val="en-GB"/>
        </w:rPr>
        <w:t>1</w:t>
      </w:r>
      <w:r w:rsidR="00E44982" w:rsidRPr="006E3D5E">
        <w:rPr>
          <w:lang w:val="en-GB"/>
        </w:rPr>
        <w:t xml:space="preserve">: Ministry officials in sector ministries (as compared to officials from </w:t>
      </w:r>
      <w:r w:rsidRPr="006E3D5E">
        <w:rPr>
          <w:lang w:val="en-GB"/>
        </w:rPr>
        <w:t>ministries of foreign affairs</w:t>
      </w:r>
      <w:r w:rsidR="00E44982" w:rsidRPr="006E3D5E">
        <w:rPr>
          <w:lang w:val="en-GB"/>
        </w:rPr>
        <w:t>) are more likely to interact with the Commission than with other EU institutions.</w:t>
      </w:r>
    </w:p>
    <w:p w14:paraId="211F8F89" w14:textId="77777777" w:rsidR="006E3D5E" w:rsidRDefault="006E3D5E" w:rsidP="006E3D5E">
      <w:pPr>
        <w:rPr>
          <w:lang w:val="en-GB"/>
        </w:rPr>
      </w:pPr>
    </w:p>
    <w:p w14:paraId="6222860E" w14:textId="3576CBDD" w:rsidR="00E44982" w:rsidRPr="006E3D5E" w:rsidRDefault="008347A8" w:rsidP="006E3D5E">
      <w:pPr>
        <w:rPr>
          <w:lang w:val="en-GB"/>
        </w:rPr>
      </w:pPr>
      <w:r w:rsidRPr="006E3D5E">
        <w:rPr>
          <w:i/>
          <w:lang w:val="en-GB"/>
        </w:rPr>
        <w:t>P</w:t>
      </w:r>
      <w:r w:rsidR="00E44982" w:rsidRPr="006E3D5E">
        <w:rPr>
          <w:i/>
          <w:lang w:val="en-GB"/>
        </w:rPr>
        <w:t>2</w:t>
      </w:r>
      <w:r w:rsidR="00E44982" w:rsidRPr="006E3D5E">
        <w:rPr>
          <w:lang w:val="en-GB"/>
        </w:rPr>
        <w:t xml:space="preserve">: Ministry officials involved in regulatory tasks are more likely to have frequent interaction with the EU institutions than ministry officials </w:t>
      </w:r>
      <w:r w:rsidRPr="006E3D5E">
        <w:rPr>
          <w:lang w:val="en-GB"/>
        </w:rPr>
        <w:t>with different task profiles</w:t>
      </w:r>
      <w:r w:rsidR="00E44982" w:rsidRPr="006E3D5E">
        <w:rPr>
          <w:lang w:val="en-GB"/>
        </w:rPr>
        <w:t>.</w:t>
      </w:r>
    </w:p>
    <w:p w14:paraId="287E041C" w14:textId="77777777" w:rsidR="00E44982" w:rsidRPr="006E3D5E" w:rsidRDefault="00E44982" w:rsidP="006E3D5E">
      <w:pPr>
        <w:rPr>
          <w:lang w:val="en-GB"/>
        </w:rPr>
      </w:pPr>
    </w:p>
    <w:p w14:paraId="2B905B37" w14:textId="77B8E42C" w:rsidR="006C453C" w:rsidRPr="006E3D5E" w:rsidRDefault="008347A8" w:rsidP="006E3D5E">
      <w:pPr>
        <w:rPr>
          <w:lang w:val="en-GB"/>
        </w:rPr>
      </w:pPr>
      <w:r w:rsidRPr="006E3D5E">
        <w:rPr>
          <w:i/>
          <w:lang w:val="en-GB"/>
        </w:rPr>
        <w:t>P</w:t>
      </w:r>
      <w:r w:rsidR="00E44982" w:rsidRPr="006E3D5E">
        <w:rPr>
          <w:i/>
          <w:lang w:val="en-GB"/>
        </w:rPr>
        <w:t>3</w:t>
      </w:r>
      <w:r w:rsidR="00627CD7" w:rsidRPr="006E3D5E">
        <w:rPr>
          <w:lang w:val="en-GB"/>
        </w:rPr>
        <w:t xml:space="preserve">: </w:t>
      </w:r>
      <w:r w:rsidR="00AF7BFC" w:rsidRPr="006E3D5E">
        <w:rPr>
          <w:lang w:val="en-GB"/>
        </w:rPr>
        <w:t>Coordination of EU-related work is relatively low</w:t>
      </w:r>
      <w:r w:rsidR="00127E58" w:rsidRPr="006E3D5E">
        <w:rPr>
          <w:lang w:val="en-GB"/>
        </w:rPr>
        <w:t>er</w:t>
      </w:r>
      <w:r w:rsidR="00AF7BFC" w:rsidRPr="006E3D5E">
        <w:rPr>
          <w:lang w:val="en-GB"/>
        </w:rPr>
        <w:t xml:space="preserve"> </w:t>
      </w:r>
      <w:r w:rsidR="00425769" w:rsidRPr="006E3D5E">
        <w:rPr>
          <w:i/>
          <w:lang w:val="en-GB"/>
        </w:rPr>
        <w:t>between</w:t>
      </w:r>
      <w:r w:rsidR="00425769" w:rsidRPr="006E3D5E">
        <w:rPr>
          <w:lang w:val="en-GB"/>
        </w:rPr>
        <w:t xml:space="preserve"> </w:t>
      </w:r>
      <w:r w:rsidR="00127E58" w:rsidRPr="006E3D5E">
        <w:rPr>
          <w:lang w:val="en-GB"/>
        </w:rPr>
        <w:t xml:space="preserve">than </w:t>
      </w:r>
      <w:r w:rsidR="00425769" w:rsidRPr="006E3D5E">
        <w:rPr>
          <w:i/>
          <w:lang w:val="en-GB"/>
        </w:rPr>
        <w:t>within</w:t>
      </w:r>
      <w:r w:rsidR="00425769" w:rsidRPr="006E3D5E">
        <w:rPr>
          <w:lang w:val="en-GB"/>
        </w:rPr>
        <w:t xml:space="preserve"> </w:t>
      </w:r>
      <w:r w:rsidR="00AF7BFC" w:rsidRPr="006E3D5E">
        <w:rPr>
          <w:lang w:val="en-GB"/>
        </w:rPr>
        <w:t>ministries.</w:t>
      </w:r>
    </w:p>
    <w:p w14:paraId="7FA0D0E4" w14:textId="77777777" w:rsidR="0079516D" w:rsidRPr="006E3D5E" w:rsidRDefault="0079516D" w:rsidP="006E3D5E">
      <w:pPr>
        <w:rPr>
          <w:i/>
          <w:lang w:val="en-GB"/>
        </w:rPr>
      </w:pPr>
    </w:p>
    <w:p w14:paraId="00F3DE0F" w14:textId="269A9A33" w:rsidR="0079516D" w:rsidRPr="006E3D5E" w:rsidRDefault="0079516D" w:rsidP="006E3D5E">
      <w:pPr>
        <w:tabs>
          <w:tab w:val="center" w:pos="4533"/>
        </w:tabs>
        <w:rPr>
          <w:i/>
          <w:lang w:val="en-GB"/>
        </w:rPr>
      </w:pPr>
      <w:r w:rsidRPr="006E3D5E">
        <w:rPr>
          <w:i/>
          <w:lang w:val="en-GB"/>
        </w:rPr>
        <w:t>Vertical specialization</w:t>
      </w:r>
    </w:p>
    <w:p w14:paraId="0678C44B" w14:textId="5050FA9C" w:rsidR="00C04C34" w:rsidRPr="006E3D5E" w:rsidRDefault="0079516D" w:rsidP="006E3D5E">
      <w:pPr>
        <w:tabs>
          <w:tab w:val="center" w:pos="4533"/>
        </w:tabs>
        <w:rPr>
          <w:lang w:val="en-GB"/>
        </w:rPr>
      </w:pPr>
      <w:r w:rsidRPr="006E3D5E">
        <w:rPr>
          <w:lang w:val="en-GB"/>
        </w:rPr>
        <w:t xml:space="preserve">Vertical specialization denotes division of </w:t>
      </w:r>
      <w:r w:rsidR="004C1A41" w:rsidRPr="006E3D5E">
        <w:rPr>
          <w:lang w:val="en-GB"/>
        </w:rPr>
        <w:t xml:space="preserve">responsibility and </w:t>
      </w:r>
      <w:r w:rsidRPr="006E3D5E">
        <w:rPr>
          <w:lang w:val="en-GB"/>
        </w:rPr>
        <w:t xml:space="preserve">labour </w:t>
      </w:r>
      <w:r w:rsidRPr="006E3D5E">
        <w:rPr>
          <w:i/>
          <w:lang w:val="en-GB"/>
        </w:rPr>
        <w:t xml:space="preserve">within </w:t>
      </w:r>
      <w:r w:rsidR="004C1A41" w:rsidRPr="006E3D5E">
        <w:rPr>
          <w:i/>
          <w:lang w:val="en-GB"/>
        </w:rPr>
        <w:t>and</w:t>
      </w:r>
      <w:r w:rsidRPr="006E3D5E">
        <w:rPr>
          <w:i/>
          <w:lang w:val="en-GB"/>
        </w:rPr>
        <w:t xml:space="preserve"> between</w:t>
      </w:r>
      <w:r w:rsidRPr="006E3D5E">
        <w:rPr>
          <w:lang w:val="en-GB"/>
        </w:rPr>
        <w:t xml:space="preserve"> levels of </w:t>
      </w:r>
      <w:r w:rsidR="00BC1F35">
        <w:rPr>
          <w:lang w:val="en-GB"/>
        </w:rPr>
        <w:t>authority</w:t>
      </w:r>
      <w:r w:rsidRPr="006E3D5E">
        <w:rPr>
          <w:lang w:val="en-GB"/>
        </w:rPr>
        <w:t>.</w:t>
      </w:r>
      <w:r w:rsidR="00004A65" w:rsidRPr="006E3D5E">
        <w:rPr>
          <w:lang w:val="en-GB"/>
        </w:rPr>
        <w:t xml:space="preserve"> </w:t>
      </w:r>
      <w:r w:rsidR="00B1232D" w:rsidRPr="006E3D5E">
        <w:rPr>
          <w:lang w:val="en-GB"/>
        </w:rPr>
        <w:t>Recent decades have witnessed extensive reform efforts within both domestic and Euro</w:t>
      </w:r>
      <w:r w:rsidR="002E4B04" w:rsidRPr="006E3D5E">
        <w:rPr>
          <w:lang w:val="en-GB"/>
        </w:rPr>
        <w:t xml:space="preserve">pean administrative apparatus. </w:t>
      </w:r>
      <w:r w:rsidR="00B1232D" w:rsidRPr="006E3D5E">
        <w:rPr>
          <w:lang w:val="en-GB"/>
        </w:rPr>
        <w:t xml:space="preserve">The New Public Management (NPM) wave that swept across OECD states during the </w:t>
      </w:r>
      <w:r w:rsidR="004C1A41" w:rsidRPr="006E3D5E">
        <w:rPr>
          <w:lang w:val="en-GB"/>
        </w:rPr>
        <w:t>19</w:t>
      </w:r>
      <w:r w:rsidR="00B1232D" w:rsidRPr="006E3D5E">
        <w:rPr>
          <w:lang w:val="en-GB"/>
        </w:rPr>
        <w:t xml:space="preserve">80s </w:t>
      </w:r>
      <w:r w:rsidR="00FA1E7B" w:rsidRPr="006E3D5E">
        <w:rPr>
          <w:lang w:val="en-GB"/>
        </w:rPr>
        <w:t xml:space="preserve">- </w:t>
      </w:r>
      <w:r w:rsidR="00B1232D" w:rsidRPr="006E3D5E">
        <w:rPr>
          <w:lang w:val="en-GB"/>
        </w:rPr>
        <w:t>and 90s made plea</w:t>
      </w:r>
      <w:r w:rsidR="004C1A41" w:rsidRPr="006E3D5E">
        <w:rPr>
          <w:lang w:val="en-GB"/>
        </w:rPr>
        <w:t>s</w:t>
      </w:r>
      <w:r w:rsidR="00B1232D" w:rsidRPr="006E3D5E">
        <w:rPr>
          <w:lang w:val="en-GB"/>
        </w:rPr>
        <w:t xml:space="preserve"> for greater autonomy, fragmentation and proliferation of public administration. </w:t>
      </w:r>
      <w:r w:rsidR="0060159D" w:rsidRPr="006E3D5E">
        <w:rPr>
          <w:lang w:val="en-GB"/>
        </w:rPr>
        <w:t>As a result, vertical specialization in the form of structural devolution became a major reform trend across Europe</w:t>
      </w:r>
      <w:r w:rsidR="006C3C7F" w:rsidRPr="006E3D5E">
        <w:rPr>
          <w:lang w:val="en-GB"/>
        </w:rPr>
        <w:t xml:space="preserve"> (</w:t>
      </w:r>
      <w:r w:rsidR="004C1A41" w:rsidRPr="006E3D5E">
        <w:rPr>
          <w:lang w:val="en-GB"/>
        </w:rPr>
        <w:t xml:space="preserve">in organizational terms: </w:t>
      </w:r>
      <w:r w:rsidR="006C3C7F" w:rsidRPr="006E3D5E">
        <w:rPr>
          <w:lang w:val="en-GB"/>
        </w:rPr>
        <w:t>inter-organizational vertical specialization)</w:t>
      </w:r>
      <w:r w:rsidR="0060159D" w:rsidRPr="006E3D5E">
        <w:rPr>
          <w:lang w:val="en-GB"/>
        </w:rPr>
        <w:t>. This led to greater degree</w:t>
      </w:r>
      <w:r w:rsidR="004C1A41" w:rsidRPr="006E3D5E">
        <w:rPr>
          <w:lang w:val="en-GB"/>
        </w:rPr>
        <w:t>s</w:t>
      </w:r>
      <w:r w:rsidR="0060159D" w:rsidRPr="006E3D5E">
        <w:rPr>
          <w:lang w:val="en-GB"/>
        </w:rPr>
        <w:t xml:space="preserve"> of autonomy for agencies as well as the establishment of severa</w:t>
      </w:r>
      <w:r w:rsidR="00AA4549" w:rsidRPr="006E3D5E">
        <w:rPr>
          <w:lang w:val="en-GB"/>
        </w:rPr>
        <w:t>l new independent agencies at both the national and the European level</w:t>
      </w:r>
      <w:r w:rsidR="0060159D" w:rsidRPr="006E3D5E">
        <w:rPr>
          <w:lang w:val="en-GB"/>
        </w:rPr>
        <w:t xml:space="preserve"> (</w:t>
      </w:r>
      <w:r w:rsidR="00FA1E7B" w:rsidRPr="006E3D5E">
        <w:rPr>
          <w:lang w:val="en-GB"/>
        </w:rPr>
        <w:t xml:space="preserve">e.g. </w:t>
      </w:r>
      <w:r w:rsidR="0060159D" w:rsidRPr="006E3D5E">
        <w:rPr>
          <w:lang w:val="en-GB"/>
        </w:rPr>
        <w:t xml:space="preserve">Lægreid et </w:t>
      </w:r>
      <w:r w:rsidR="00FA1E7B" w:rsidRPr="006E3D5E">
        <w:rPr>
          <w:lang w:val="en-GB"/>
        </w:rPr>
        <w:t>a</w:t>
      </w:r>
      <w:r w:rsidR="0060159D" w:rsidRPr="006E3D5E">
        <w:rPr>
          <w:lang w:val="en-GB"/>
        </w:rPr>
        <w:t>l</w:t>
      </w:r>
      <w:r w:rsidR="004C1A41" w:rsidRPr="006E3D5E">
        <w:rPr>
          <w:lang w:val="en-GB"/>
        </w:rPr>
        <w:t>.</w:t>
      </w:r>
      <w:r w:rsidR="0060159D" w:rsidRPr="006E3D5E">
        <w:rPr>
          <w:lang w:val="en-GB"/>
        </w:rPr>
        <w:t xml:space="preserve"> 2010; Bezes et </w:t>
      </w:r>
      <w:r w:rsidR="00142135" w:rsidRPr="006E3D5E">
        <w:rPr>
          <w:lang w:val="en-GB"/>
        </w:rPr>
        <w:t>a</w:t>
      </w:r>
      <w:r w:rsidR="0060159D" w:rsidRPr="006E3D5E">
        <w:rPr>
          <w:lang w:val="en-GB"/>
        </w:rPr>
        <w:t>l</w:t>
      </w:r>
      <w:r w:rsidR="004C1A41" w:rsidRPr="006E3D5E">
        <w:rPr>
          <w:lang w:val="en-GB"/>
        </w:rPr>
        <w:t>.</w:t>
      </w:r>
      <w:r w:rsidR="0060159D" w:rsidRPr="006E3D5E">
        <w:rPr>
          <w:lang w:val="en-GB"/>
        </w:rPr>
        <w:t xml:space="preserve"> 2013).</w:t>
      </w:r>
      <w:r w:rsidR="00AA4549" w:rsidRPr="006E3D5E">
        <w:rPr>
          <w:lang w:val="en-GB"/>
        </w:rPr>
        <w:t xml:space="preserve"> A decisive feature in the organizational constellation of government agencies is the establishment at </w:t>
      </w:r>
      <w:r w:rsidR="004C1A41" w:rsidRPr="006E3D5E">
        <w:rPr>
          <w:lang w:val="en-GB"/>
        </w:rPr>
        <w:t>arm’s length</w:t>
      </w:r>
      <w:r w:rsidR="00AA4549" w:rsidRPr="006E3D5E">
        <w:rPr>
          <w:i/>
          <w:lang w:val="en-GB"/>
        </w:rPr>
        <w:t xml:space="preserve"> </w:t>
      </w:r>
      <w:r w:rsidR="00AA4549" w:rsidRPr="006E3D5E">
        <w:rPr>
          <w:lang w:val="en-GB"/>
        </w:rPr>
        <w:t>from their parent ministries/DGs. This ensures that agencies</w:t>
      </w:r>
      <w:r w:rsidR="004C1A41" w:rsidRPr="006E3D5E">
        <w:rPr>
          <w:lang w:val="en-GB"/>
        </w:rPr>
        <w:t xml:space="preserve"> are able to</w:t>
      </w:r>
      <w:r w:rsidR="00AA4549" w:rsidRPr="006E3D5E">
        <w:rPr>
          <w:lang w:val="en-GB"/>
        </w:rPr>
        <w:t xml:space="preserve"> operate relatively insulted from political steering, </w:t>
      </w:r>
      <w:r w:rsidR="00E13A9F" w:rsidRPr="006E3D5E">
        <w:rPr>
          <w:lang w:val="en-GB"/>
        </w:rPr>
        <w:t xml:space="preserve">thereby </w:t>
      </w:r>
      <w:r w:rsidR="00AA4549" w:rsidRPr="006E3D5E">
        <w:rPr>
          <w:lang w:val="en-GB"/>
        </w:rPr>
        <w:t>underpinning the importance of expertise and professional concerns.</w:t>
      </w:r>
      <w:r w:rsidR="004C1A41" w:rsidRPr="006E3D5E">
        <w:rPr>
          <w:lang w:val="en-GB"/>
        </w:rPr>
        <w:t xml:space="preserve"> Yet, for national agencies this</w:t>
      </w:r>
      <w:r w:rsidR="006A0F94" w:rsidRPr="006E3D5E">
        <w:rPr>
          <w:lang w:val="en-GB"/>
        </w:rPr>
        <w:t xml:space="preserve"> also makes </w:t>
      </w:r>
      <w:r w:rsidR="004C1A41" w:rsidRPr="006E3D5E">
        <w:rPr>
          <w:lang w:val="en-GB"/>
        </w:rPr>
        <w:t>them organizationally exposed</w:t>
      </w:r>
      <w:r w:rsidR="006A0F94" w:rsidRPr="006E3D5E">
        <w:rPr>
          <w:lang w:val="en-GB"/>
        </w:rPr>
        <w:t xml:space="preserve"> to ‘capture’ from </w:t>
      </w:r>
      <w:r w:rsidR="00CC3E20" w:rsidRPr="006E3D5E">
        <w:rPr>
          <w:lang w:val="en-GB"/>
        </w:rPr>
        <w:t>EU-</w:t>
      </w:r>
      <w:r w:rsidR="006A0F94" w:rsidRPr="006E3D5E">
        <w:rPr>
          <w:lang w:val="en-GB"/>
        </w:rPr>
        <w:t>level</w:t>
      </w:r>
      <w:r w:rsidR="00CC3E20" w:rsidRPr="006E3D5E">
        <w:rPr>
          <w:lang w:val="en-GB"/>
        </w:rPr>
        <w:t xml:space="preserve"> institutions and processes</w:t>
      </w:r>
      <w:r w:rsidR="006A0F94" w:rsidRPr="006E3D5E">
        <w:rPr>
          <w:lang w:val="en-GB"/>
        </w:rPr>
        <w:t xml:space="preserve"> (Egeberg and Trondal 2015). </w:t>
      </w:r>
      <w:r w:rsidR="00C17D68" w:rsidRPr="006E3D5E">
        <w:rPr>
          <w:lang w:val="en-GB"/>
        </w:rPr>
        <w:t>Contrary to national agencies,</w:t>
      </w:r>
      <w:r w:rsidR="008347A8" w:rsidRPr="006E3D5E">
        <w:rPr>
          <w:lang w:val="en-GB"/>
        </w:rPr>
        <w:t xml:space="preserve"> ministries</w:t>
      </w:r>
      <w:r w:rsidR="00AA4549" w:rsidRPr="006E3D5E">
        <w:rPr>
          <w:lang w:val="en-GB"/>
        </w:rPr>
        <w:t xml:space="preserve"> </w:t>
      </w:r>
      <w:r w:rsidR="00C17D68" w:rsidRPr="006E3D5E">
        <w:rPr>
          <w:lang w:val="en-GB"/>
        </w:rPr>
        <w:t>are</w:t>
      </w:r>
      <w:r w:rsidR="008347A8" w:rsidRPr="006E3D5E">
        <w:rPr>
          <w:lang w:val="en-GB"/>
        </w:rPr>
        <w:t xml:space="preserve"> </w:t>
      </w:r>
      <w:r w:rsidR="006E3D5E">
        <w:rPr>
          <w:lang w:val="en-GB"/>
        </w:rPr>
        <w:t>organizationally</w:t>
      </w:r>
      <w:r w:rsidR="008347A8" w:rsidRPr="006E3D5E">
        <w:rPr>
          <w:lang w:val="en-GB"/>
        </w:rPr>
        <w:t xml:space="preserve"> more exposed</w:t>
      </w:r>
      <w:r w:rsidR="00C17D68" w:rsidRPr="006E3D5E">
        <w:rPr>
          <w:lang w:val="en-GB"/>
        </w:rPr>
        <w:t xml:space="preserve"> </w:t>
      </w:r>
      <w:r w:rsidR="006A0F94" w:rsidRPr="006E3D5E">
        <w:rPr>
          <w:lang w:val="en-GB"/>
        </w:rPr>
        <w:t xml:space="preserve">to </w:t>
      </w:r>
      <w:r w:rsidR="008347A8" w:rsidRPr="006E3D5E">
        <w:rPr>
          <w:lang w:val="en-GB"/>
        </w:rPr>
        <w:t xml:space="preserve">direct </w:t>
      </w:r>
      <w:r w:rsidR="006A0F94" w:rsidRPr="006E3D5E">
        <w:rPr>
          <w:lang w:val="en-GB"/>
        </w:rPr>
        <w:t xml:space="preserve">political </w:t>
      </w:r>
      <w:r w:rsidR="008347A8" w:rsidRPr="006E3D5E">
        <w:rPr>
          <w:lang w:val="en-GB"/>
        </w:rPr>
        <w:t>guidance and control</w:t>
      </w:r>
      <w:r w:rsidR="006A0F94" w:rsidRPr="006E3D5E">
        <w:rPr>
          <w:lang w:val="en-GB"/>
        </w:rPr>
        <w:t>.</w:t>
      </w:r>
      <w:r w:rsidR="000C37EA" w:rsidRPr="006E3D5E">
        <w:rPr>
          <w:lang w:val="en-GB"/>
        </w:rPr>
        <w:t xml:space="preserve"> </w:t>
      </w:r>
      <w:r w:rsidR="002E2996" w:rsidRPr="006E3D5E">
        <w:rPr>
          <w:lang w:val="en-GB"/>
        </w:rPr>
        <w:t xml:space="preserve">Proximity to political </w:t>
      </w:r>
      <w:r w:rsidR="008347A8" w:rsidRPr="006E3D5E">
        <w:rPr>
          <w:lang w:val="en-GB"/>
        </w:rPr>
        <w:t>leadership</w:t>
      </w:r>
      <w:r w:rsidR="002E2996" w:rsidRPr="006E3D5E">
        <w:rPr>
          <w:lang w:val="en-GB"/>
        </w:rPr>
        <w:t xml:space="preserve"> significantly reduces </w:t>
      </w:r>
      <w:r w:rsidR="00364FC3" w:rsidRPr="006E3D5E">
        <w:rPr>
          <w:lang w:val="en-GB"/>
        </w:rPr>
        <w:t xml:space="preserve">ambiguities stemming from interpretive leeway </w:t>
      </w:r>
      <w:r w:rsidR="00967059" w:rsidRPr="006E3D5E">
        <w:rPr>
          <w:lang w:val="en-GB"/>
        </w:rPr>
        <w:t>in task execution (Egeberg and Trondal 2009</w:t>
      </w:r>
      <w:r w:rsidR="00434F6B">
        <w:rPr>
          <w:lang w:val="en-GB"/>
        </w:rPr>
        <w:t>b</w:t>
      </w:r>
      <w:r w:rsidR="00AF30DB" w:rsidRPr="006E3D5E">
        <w:rPr>
          <w:lang w:val="en-GB"/>
        </w:rPr>
        <w:t xml:space="preserve">) </w:t>
      </w:r>
      <w:r w:rsidR="006C3C7F" w:rsidRPr="006E3D5E">
        <w:rPr>
          <w:lang w:val="en-GB"/>
        </w:rPr>
        <w:t>and</w:t>
      </w:r>
      <w:r w:rsidR="00AF30DB" w:rsidRPr="006E3D5E">
        <w:rPr>
          <w:lang w:val="en-GB"/>
        </w:rPr>
        <w:t xml:space="preserve"> organizationally ‘blocks’ them from </w:t>
      </w:r>
      <w:r w:rsidR="006C3C7F" w:rsidRPr="006E3D5E">
        <w:rPr>
          <w:lang w:val="en-GB"/>
        </w:rPr>
        <w:t xml:space="preserve">‘capture’ from </w:t>
      </w:r>
      <w:r w:rsidR="00CC3E20" w:rsidRPr="006E3D5E">
        <w:rPr>
          <w:lang w:val="en-GB"/>
        </w:rPr>
        <w:t>EU-</w:t>
      </w:r>
      <w:r w:rsidR="006C3C7F" w:rsidRPr="006E3D5E">
        <w:rPr>
          <w:lang w:val="en-GB"/>
        </w:rPr>
        <w:t>level</w:t>
      </w:r>
      <w:r w:rsidR="00CC3E20" w:rsidRPr="006E3D5E">
        <w:rPr>
          <w:lang w:val="en-GB"/>
        </w:rPr>
        <w:t xml:space="preserve"> institutions and processe</w:t>
      </w:r>
      <w:r w:rsidR="008347A8" w:rsidRPr="006E3D5E">
        <w:rPr>
          <w:lang w:val="en-GB"/>
        </w:rPr>
        <w:t>s</w:t>
      </w:r>
      <w:r w:rsidR="006C3C7F" w:rsidRPr="006E3D5E">
        <w:rPr>
          <w:lang w:val="en-GB"/>
        </w:rPr>
        <w:t xml:space="preserve">. </w:t>
      </w:r>
    </w:p>
    <w:p w14:paraId="3FAC59F0" w14:textId="77777777" w:rsidR="006C3C7F" w:rsidRPr="006E3D5E" w:rsidRDefault="006C3C7F" w:rsidP="006E3D5E">
      <w:pPr>
        <w:tabs>
          <w:tab w:val="center" w:pos="4533"/>
        </w:tabs>
        <w:rPr>
          <w:lang w:val="en-GB"/>
        </w:rPr>
      </w:pPr>
    </w:p>
    <w:p w14:paraId="3C4C090A" w14:textId="12ADDC07" w:rsidR="00DB03E5" w:rsidRPr="006E3D5E" w:rsidRDefault="006C3C7F" w:rsidP="006E3D5E">
      <w:pPr>
        <w:tabs>
          <w:tab w:val="center" w:pos="4533"/>
        </w:tabs>
        <w:rPr>
          <w:lang w:val="en-GB"/>
        </w:rPr>
      </w:pPr>
      <w:r w:rsidRPr="006E3D5E">
        <w:rPr>
          <w:lang w:val="en-GB"/>
        </w:rPr>
        <w:t xml:space="preserve">Intra-organizational vertical specialization may be measured by official’s rank within their respective </w:t>
      </w:r>
      <w:r w:rsidR="00CC3E20" w:rsidRPr="006E3D5E">
        <w:rPr>
          <w:lang w:val="en-GB"/>
        </w:rPr>
        <w:t>ministry</w:t>
      </w:r>
      <w:r w:rsidRPr="006E3D5E">
        <w:rPr>
          <w:lang w:val="en-GB"/>
        </w:rPr>
        <w:t xml:space="preserve">. Various studies show that position matter, for example that </w:t>
      </w:r>
      <w:r w:rsidR="008347A8" w:rsidRPr="006E3D5E">
        <w:rPr>
          <w:lang w:val="en-GB"/>
        </w:rPr>
        <w:t>top-ranked staff</w:t>
      </w:r>
      <w:r w:rsidRPr="006E3D5E">
        <w:rPr>
          <w:lang w:val="en-GB"/>
        </w:rPr>
        <w:t xml:space="preserve"> identify more broadly with organization</w:t>
      </w:r>
      <w:r w:rsidR="00BC1F35">
        <w:rPr>
          <w:lang w:val="en-GB"/>
        </w:rPr>
        <w:t>s</w:t>
      </w:r>
      <w:r w:rsidRPr="006E3D5E">
        <w:rPr>
          <w:lang w:val="en-GB"/>
        </w:rPr>
        <w:t xml:space="preserve"> as whole</w:t>
      </w:r>
      <w:r w:rsidR="00CC3E20" w:rsidRPr="006E3D5E">
        <w:rPr>
          <w:lang w:val="en-GB"/>
        </w:rPr>
        <w:t xml:space="preserve"> than staff located at lower echelons</w:t>
      </w:r>
      <w:r w:rsidRPr="006E3D5E">
        <w:rPr>
          <w:lang w:val="en-GB"/>
        </w:rPr>
        <w:t xml:space="preserve">. Additionally, these officials are exposed to </w:t>
      </w:r>
      <w:r w:rsidR="008347A8" w:rsidRPr="006E3D5E">
        <w:rPr>
          <w:lang w:val="en-GB"/>
        </w:rPr>
        <w:t>a broader range of</w:t>
      </w:r>
      <w:r w:rsidRPr="006E3D5E">
        <w:rPr>
          <w:lang w:val="en-GB"/>
        </w:rPr>
        <w:t xml:space="preserve"> information than </w:t>
      </w:r>
      <w:r w:rsidR="00D0688A" w:rsidRPr="006E3D5E">
        <w:rPr>
          <w:lang w:val="en-GB"/>
        </w:rPr>
        <w:t xml:space="preserve">lower level </w:t>
      </w:r>
      <w:r w:rsidR="00CC3E20" w:rsidRPr="006E3D5E">
        <w:rPr>
          <w:lang w:val="en-GB"/>
        </w:rPr>
        <w:t xml:space="preserve">staff </w:t>
      </w:r>
      <w:r w:rsidRPr="006E3D5E">
        <w:rPr>
          <w:lang w:val="en-GB"/>
        </w:rPr>
        <w:t xml:space="preserve">and thus may </w:t>
      </w:r>
      <w:r w:rsidR="00CC3E20" w:rsidRPr="006E3D5E">
        <w:rPr>
          <w:lang w:val="en-GB"/>
        </w:rPr>
        <w:t xml:space="preserve">be </w:t>
      </w:r>
      <w:r w:rsidR="00BB6558">
        <w:rPr>
          <w:lang w:val="en-GB"/>
        </w:rPr>
        <w:t xml:space="preserve">more </w:t>
      </w:r>
      <w:r w:rsidR="00CC3E20" w:rsidRPr="006E3D5E">
        <w:rPr>
          <w:lang w:val="en-GB"/>
        </w:rPr>
        <w:t xml:space="preserve">attentive to a broader </w:t>
      </w:r>
      <w:r w:rsidR="008347A8" w:rsidRPr="006E3D5E">
        <w:rPr>
          <w:lang w:val="en-GB"/>
        </w:rPr>
        <w:t>organizational ´</w:t>
      </w:r>
      <w:r w:rsidR="00CC3E20" w:rsidRPr="006E3D5E">
        <w:rPr>
          <w:lang w:val="en-GB"/>
        </w:rPr>
        <w:t>perspective</w:t>
      </w:r>
      <w:r w:rsidR="008347A8" w:rsidRPr="006E3D5E">
        <w:rPr>
          <w:lang w:val="en-GB"/>
        </w:rPr>
        <w:t>´</w:t>
      </w:r>
      <w:r w:rsidR="00BC1F35">
        <w:rPr>
          <w:lang w:val="en-GB"/>
        </w:rPr>
        <w:t xml:space="preserve"> than lower ranked personnel</w:t>
      </w:r>
      <w:r w:rsidR="008347A8" w:rsidRPr="006E3D5E">
        <w:rPr>
          <w:lang w:val="en-GB"/>
        </w:rPr>
        <w:t xml:space="preserve">. </w:t>
      </w:r>
      <w:r w:rsidR="00D23249" w:rsidRPr="006E3D5E">
        <w:rPr>
          <w:lang w:val="en-GB"/>
        </w:rPr>
        <w:t xml:space="preserve">Higher ranked </w:t>
      </w:r>
      <w:r w:rsidR="00BB6558" w:rsidRPr="006E3D5E">
        <w:rPr>
          <w:lang w:val="en-GB"/>
        </w:rPr>
        <w:t>staff in both ministries and subordinated agencies is</w:t>
      </w:r>
      <w:r w:rsidR="008347A8" w:rsidRPr="006E3D5E">
        <w:rPr>
          <w:lang w:val="en-GB"/>
        </w:rPr>
        <w:t xml:space="preserve"> also shown to be</w:t>
      </w:r>
      <w:r w:rsidR="00CC3E20" w:rsidRPr="006E3D5E">
        <w:rPr>
          <w:lang w:val="en-GB"/>
        </w:rPr>
        <w:t xml:space="preserve"> more attentive to political signals</w:t>
      </w:r>
      <w:r w:rsidR="00D23249" w:rsidRPr="006E3D5E">
        <w:rPr>
          <w:lang w:val="en-GB"/>
        </w:rPr>
        <w:t xml:space="preserve"> than lower ranked personnel</w:t>
      </w:r>
      <w:r w:rsidRPr="006E3D5E">
        <w:rPr>
          <w:lang w:val="en-GB"/>
        </w:rPr>
        <w:t xml:space="preserve"> </w:t>
      </w:r>
      <w:r w:rsidR="00EF69FA" w:rsidRPr="006E3D5E">
        <w:rPr>
          <w:lang w:val="en-GB"/>
        </w:rPr>
        <w:t>(</w:t>
      </w:r>
      <w:r w:rsidR="00D23249" w:rsidRPr="006E3D5E">
        <w:rPr>
          <w:lang w:val="en-GB"/>
        </w:rPr>
        <w:t xml:space="preserve">e.g. </w:t>
      </w:r>
      <w:r w:rsidR="00EF69FA" w:rsidRPr="006E3D5E">
        <w:rPr>
          <w:lang w:val="en-GB"/>
        </w:rPr>
        <w:t>Egeberg and Sætren 1999; Christensen and Lægreid 2009).</w:t>
      </w:r>
      <w:r w:rsidR="003074CC" w:rsidRPr="006E3D5E">
        <w:rPr>
          <w:lang w:val="en-GB"/>
        </w:rPr>
        <w:t xml:space="preserve"> </w:t>
      </w:r>
      <w:r w:rsidR="00C8776F" w:rsidRPr="006E3D5E">
        <w:rPr>
          <w:lang w:val="en-GB"/>
        </w:rPr>
        <w:t xml:space="preserve">It follows that </w:t>
      </w:r>
      <w:r w:rsidR="00D23249" w:rsidRPr="006E3D5E">
        <w:rPr>
          <w:lang w:val="en-GB"/>
        </w:rPr>
        <w:t>government</w:t>
      </w:r>
      <w:r w:rsidR="003074CC" w:rsidRPr="006E3D5E">
        <w:rPr>
          <w:lang w:val="en-GB"/>
        </w:rPr>
        <w:t xml:space="preserve"> </w:t>
      </w:r>
      <w:r w:rsidR="00D23249" w:rsidRPr="006E3D5E">
        <w:rPr>
          <w:lang w:val="en-GB"/>
        </w:rPr>
        <w:t>officials</w:t>
      </w:r>
      <w:r w:rsidR="003074CC" w:rsidRPr="006E3D5E">
        <w:rPr>
          <w:lang w:val="en-GB"/>
        </w:rPr>
        <w:t xml:space="preserve"> </w:t>
      </w:r>
      <w:r w:rsidR="00D23249" w:rsidRPr="006E3D5E">
        <w:rPr>
          <w:lang w:val="en-GB"/>
        </w:rPr>
        <w:t>with</w:t>
      </w:r>
      <w:r w:rsidR="003074CC" w:rsidRPr="006E3D5E">
        <w:rPr>
          <w:lang w:val="en-GB"/>
        </w:rPr>
        <w:t xml:space="preserve"> </w:t>
      </w:r>
      <w:r w:rsidR="00CC3E20" w:rsidRPr="006E3D5E">
        <w:rPr>
          <w:lang w:val="en-GB"/>
        </w:rPr>
        <w:t xml:space="preserve">lower </w:t>
      </w:r>
      <w:r w:rsidR="00D23249" w:rsidRPr="006E3D5E">
        <w:rPr>
          <w:lang w:val="en-GB"/>
        </w:rPr>
        <w:t>ranks</w:t>
      </w:r>
      <w:r w:rsidR="00A72CAC" w:rsidRPr="006E3D5E">
        <w:rPr>
          <w:lang w:val="en-GB"/>
        </w:rPr>
        <w:t xml:space="preserve"> are</w:t>
      </w:r>
      <w:r w:rsidR="00C8776F" w:rsidRPr="006E3D5E">
        <w:rPr>
          <w:lang w:val="en-GB"/>
        </w:rPr>
        <w:t xml:space="preserve"> more loosely coupled to the political leadership</w:t>
      </w:r>
      <w:r w:rsidR="00A72CAC" w:rsidRPr="006E3D5E">
        <w:rPr>
          <w:lang w:val="en-GB"/>
        </w:rPr>
        <w:t xml:space="preserve"> and </w:t>
      </w:r>
      <w:r w:rsidR="00DB03E5" w:rsidRPr="006E3D5E">
        <w:rPr>
          <w:lang w:val="en-GB"/>
        </w:rPr>
        <w:t xml:space="preserve">have a </w:t>
      </w:r>
      <w:r w:rsidR="00CC3E20" w:rsidRPr="006E3D5E">
        <w:rPr>
          <w:lang w:val="en-GB"/>
        </w:rPr>
        <w:t>local perspective on</w:t>
      </w:r>
      <w:r w:rsidR="00D23249" w:rsidRPr="006E3D5E">
        <w:rPr>
          <w:lang w:val="en-GB"/>
        </w:rPr>
        <w:t xml:space="preserve"> task execution</w:t>
      </w:r>
      <w:r w:rsidR="00DB03E5" w:rsidRPr="006E3D5E">
        <w:rPr>
          <w:lang w:val="en-GB"/>
        </w:rPr>
        <w:t xml:space="preserve"> compared to </w:t>
      </w:r>
      <w:r w:rsidR="00CC3E20" w:rsidRPr="006E3D5E">
        <w:rPr>
          <w:lang w:val="en-GB"/>
        </w:rPr>
        <w:t xml:space="preserve">higher ranked </w:t>
      </w:r>
      <w:r w:rsidR="00D23249" w:rsidRPr="006E3D5E">
        <w:rPr>
          <w:lang w:val="en-GB"/>
        </w:rPr>
        <w:t>staff</w:t>
      </w:r>
      <w:r w:rsidR="00DB03E5" w:rsidRPr="006E3D5E">
        <w:rPr>
          <w:lang w:val="en-GB"/>
        </w:rPr>
        <w:t xml:space="preserve">. </w:t>
      </w:r>
      <w:r w:rsidR="006302F7" w:rsidRPr="006E3D5E">
        <w:rPr>
          <w:lang w:val="en-GB"/>
        </w:rPr>
        <w:t xml:space="preserve">This has </w:t>
      </w:r>
      <w:r w:rsidR="00D23249" w:rsidRPr="006E3D5E">
        <w:rPr>
          <w:lang w:val="en-GB"/>
        </w:rPr>
        <w:t>one</w:t>
      </w:r>
      <w:r w:rsidR="006302F7" w:rsidRPr="006E3D5E">
        <w:rPr>
          <w:lang w:val="en-GB"/>
        </w:rPr>
        <w:t xml:space="preserve"> i</w:t>
      </w:r>
      <w:r w:rsidR="00D23249" w:rsidRPr="006E3D5E">
        <w:rPr>
          <w:lang w:val="en-GB"/>
        </w:rPr>
        <w:t>mportant contiguous implication</w:t>
      </w:r>
      <w:r w:rsidR="006302F7" w:rsidRPr="006E3D5E">
        <w:rPr>
          <w:lang w:val="en-GB"/>
        </w:rPr>
        <w:t xml:space="preserve">: </w:t>
      </w:r>
      <w:r w:rsidR="00BB6558">
        <w:rPr>
          <w:lang w:val="en-GB"/>
        </w:rPr>
        <w:t>a</w:t>
      </w:r>
      <w:r w:rsidR="00D23249" w:rsidRPr="006E3D5E">
        <w:rPr>
          <w:lang w:val="en-GB"/>
        </w:rPr>
        <w:t xml:space="preserve"> relative</w:t>
      </w:r>
      <w:r w:rsidR="006302F7" w:rsidRPr="006E3D5E">
        <w:rPr>
          <w:lang w:val="en-GB"/>
        </w:rPr>
        <w:t xml:space="preserve"> degree of insulation from political lead</w:t>
      </w:r>
      <w:r w:rsidR="00D23249" w:rsidRPr="006E3D5E">
        <w:rPr>
          <w:lang w:val="en-GB"/>
        </w:rPr>
        <w:t>ership</w:t>
      </w:r>
      <w:r w:rsidR="006302F7" w:rsidRPr="006E3D5E">
        <w:rPr>
          <w:lang w:val="en-GB"/>
        </w:rPr>
        <w:t xml:space="preserve"> </w:t>
      </w:r>
      <w:r w:rsidR="003808E6" w:rsidRPr="006E3D5E">
        <w:rPr>
          <w:lang w:val="en-GB"/>
        </w:rPr>
        <w:t>makes</w:t>
      </w:r>
      <w:r w:rsidR="00DE57ED" w:rsidRPr="006E3D5E">
        <w:rPr>
          <w:lang w:val="en-GB"/>
        </w:rPr>
        <w:t xml:space="preserve"> lower-</w:t>
      </w:r>
      <w:r w:rsidR="00D23249" w:rsidRPr="006E3D5E">
        <w:rPr>
          <w:lang w:val="en-GB"/>
        </w:rPr>
        <w:t>ranked</w:t>
      </w:r>
      <w:r w:rsidR="00DE57ED" w:rsidRPr="006E3D5E">
        <w:rPr>
          <w:lang w:val="en-GB"/>
        </w:rPr>
        <w:t xml:space="preserve"> officials more eligible receivers of impulses from </w:t>
      </w:r>
      <w:r w:rsidR="00CC3E20" w:rsidRPr="006E3D5E">
        <w:rPr>
          <w:lang w:val="en-GB"/>
        </w:rPr>
        <w:t>EU-level institutions and processes</w:t>
      </w:r>
      <w:r w:rsidR="003808E6" w:rsidRPr="006E3D5E">
        <w:rPr>
          <w:lang w:val="en-GB"/>
        </w:rPr>
        <w:t xml:space="preserve">. The following </w:t>
      </w:r>
      <w:r w:rsidR="00CC3E20" w:rsidRPr="006E3D5E">
        <w:rPr>
          <w:lang w:val="en-GB"/>
        </w:rPr>
        <w:t xml:space="preserve">propositions </w:t>
      </w:r>
      <w:r w:rsidR="003808E6" w:rsidRPr="006E3D5E">
        <w:rPr>
          <w:lang w:val="en-GB"/>
        </w:rPr>
        <w:t>may be derived:</w:t>
      </w:r>
    </w:p>
    <w:p w14:paraId="7AE57776" w14:textId="77777777" w:rsidR="003808E6" w:rsidRPr="006E3D5E" w:rsidRDefault="003808E6" w:rsidP="006E3D5E">
      <w:pPr>
        <w:rPr>
          <w:b/>
          <w:lang w:val="en-GB"/>
        </w:rPr>
      </w:pPr>
    </w:p>
    <w:p w14:paraId="0CCBE703" w14:textId="28E0323C" w:rsidR="003808E6" w:rsidRPr="006E3D5E" w:rsidRDefault="00D23249" w:rsidP="006E3D5E">
      <w:pPr>
        <w:rPr>
          <w:lang w:val="en-GB"/>
        </w:rPr>
      </w:pPr>
      <w:r w:rsidRPr="006E3D5E">
        <w:rPr>
          <w:i/>
          <w:lang w:val="en-GB"/>
        </w:rPr>
        <w:t>P</w:t>
      </w:r>
      <w:r w:rsidR="003808E6" w:rsidRPr="006E3D5E">
        <w:rPr>
          <w:i/>
          <w:lang w:val="en-GB"/>
        </w:rPr>
        <w:t>4</w:t>
      </w:r>
      <w:r w:rsidR="003808E6" w:rsidRPr="006E3D5E">
        <w:rPr>
          <w:lang w:val="en-GB"/>
        </w:rPr>
        <w:t xml:space="preserve">: </w:t>
      </w:r>
      <w:r w:rsidR="00CC3E20" w:rsidRPr="006E3D5E">
        <w:rPr>
          <w:lang w:val="en-GB"/>
        </w:rPr>
        <w:t>Ministerial o</w:t>
      </w:r>
      <w:r w:rsidR="003808E6" w:rsidRPr="006E3D5E">
        <w:rPr>
          <w:lang w:val="en-GB"/>
        </w:rPr>
        <w:t xml:space="preserve">fficials </w:t>
      </w:r>
      <w:r w:rsidR="00CC3E20" w:rsidRPr="006E3D5E">
        <w:rPr>
          <w:lang w:val="en-GB"/>
        </w:rPr>
        <w:t xml:space="preserve">at </w:t>
      </w:r>
      <w:r w:rsidR="003808E6" w:rsidRPr="006E3D5E">
        <w:rPr>
          <w:lang w:val="en-GB"/>
        </w:rPr>
        <w:t xml:space="preserve">higher ranks are </w:t>
      </w:r>
      <w:r w:rsidRPr="006E3D5E">
        <w:rPr>
          <w:lang w:val="en-GB"/>
        </w:rPr>
        <w:t>less likely to interact with EU</w:t>
      </w:r>
      <w:r w:rsidR="003808E6" w:rsidRPr="006E3D5E">
        <w:rPr>
          <w:lang w:val="en-GB"/>
        </w:rPr>
        <w:t xml:space="preserve"> </w:t>
      </w:r>
      <w:r w:rsidR="00CC3E20" w:rsidRPr="006E3D5E">
        <w:rPr>
          <w:lang w:val="en-GB"/>
        </w:rPr>
        <w:t xml:space="preserve">institutions </w:t>
      </w:r>
      <w:r w:rsidR="003808E6" w:rsidRPr="006E3D5E">
        <w:rPr>
          <w:lang w:val="en-GB"/>
        </w:rPr>
        <w:t xml:space="preserve">than </w:t>
      </w:r>
      <w:r w:rsidR="00CC3E20" w:rsidRPr="006E3D5E">
        <w:rPr>
          <w:lang w:val="en-GB"/>
        </w:rPr>
        <w:t xml:space="preserve">ministerial </w:t>
      </w:r>
      <w:r w:rsidR="003808E6" w:rsidRPr="006E3D5E">
        <w:rPr>
          <w:lang w:val="en-GB"/>
        </w:rPr>
        <w:t xml:space="preserve">officials </w:t>
      </w:r>
      <w:r w:rsidR="00CC3E20" w:rsidRPr="006E3D5E">
        <w:rPr>
          <w:lang w:val="en-GB"/>
        </w:rPr>
        <w:t xml:space="preserve">at </w:t>
      </w:r>
      <w:r w:rsidR="003808E6" w:rsidRPr="006E3D5E">
        <w:rPr>
          <w:lang w:val="en-GB"/>
        </w:rPr>
        <w:t>lower ranks.</w:t>
      </w:r>
    </w:p>
    <w:p w14:paraId="056A1AC9" w14:textId="77777777" w:rsidR="003808E6" w:rsidRPr="006E3D5E" w:rsidRDefault="003808E6" w:rsidP="006E3D5E">
      <w:pPr>
        <w:rPr>
          <w:lang w:val="en-GB"/>
        </w:rPr>
      </w:pPr>
    </w:p>
    <w:p w14:paraId="52924971" w14:textId="1AE41C68" w:rsidR="003808E6" w:rsidRPr="006E3D5E" w:rsidRDefault="00D23249" w:rsidP="006E3D5E">
      <w:pPr>
        <w:rPr>
          <w:lang w:val="en-GB"/>
        </w:rPr>
      </w:pPr>
      <w:r w:rsidRPr="006E3D5E">
        <w:rPr>
          <w:i/>
          <w:lang w:val="en-GB"/>
        </w:rPr>
        <w:t>P</w:t>
      </w:r>
      <w:r w:rsidR="003808E6" w:rsidRPr="006E3D5E">
        <w:rPr>
          <w:i/>
          <w:lang w:val="en-GB"/>
        </w:rPr>
        <w:t>5</w:t>
      </w:r>
      <w:r w:rsidR="003808E6" w:rsidRPr="006E3D5E">
        <w:rPr>
          <w:lang w:val="en-GB"/>
        </w:rPr>
        <w:t xml:space="preserve">: Lower </w:t>
      </w:r>
      <w:r w:rsidR="00CC3E20" w:rsidRPr="006E3D5E">
        <w:rPr>
          <w:lang w:val="en-GB"/>
        </w:rPr>
        <w:t xml:space="preserve">ranked ministerial </w:t>
      </w:r>
      <w:r w:rsidR="003808E6" w:rsidRPr="006E3D5E">
        <w:rPr>
          <w:lang w:val="en-GB"/>
        </w:rPr>
        <w:t>officials are less likely to be coordinated and mandated in their EU work</w:t>
      </w:r>
      <w:r w:rsidR="00CC3E20" w:rsidRPr="006E3D5E">
        <w:rPr>
          <w:lang w:val="en-GB"/>
        </w:rPr>
        <w:t xml:space="preserve"> than higher ranked ministerial officials</w:t>
      </w:r>
      <w:r w:rsidR="003808E6" w:rsidRPr="006E3D5E">
        <w:rPr>
          <w:lang w:val="en-GB"/>
        </w:rPr>
        <w:t>.</w:t>
      </w:r>
    </w:p>
    <w:p w14:paraId="50596F27" w14:textId="77777777" w:rsidR="00C04C34" w:rsidRPr="006E3D5E" w:rsidRDefault="00C04C34" w:rsidP="006E3D5E">
      <w:pPr>
        <w:tabs>
          <w:tab w:val="center" w:pos="4533"/>
        </w:tabs>
        <w:rPr>
          <w:lang w:val="en-GB"/>
        </w:rPr>
      </w:pPr>
    </w:p>
    <w:p w14:paraId="4BEE6DCD" w14:textId="77777777" w:rsidR="003808E6" w:rsidRPr="006E3D5E" w:rsidRDefault="003808E6" w:rsidP="006E3D5E">
      <w:pPr>
        <w:rPr>
          <w:i/>
          <w:lang w:val="en-GB"/>
        </w:rPr>
      </w:pPr>
      <w:r w:rsidRPr="006E3D5E">
        <w:rPr>
          <w:i/>
          <w:lang w:val="en-GB"/>
        </w:rPr>
        <w:t>Organizational affiliation</w:t>
      </w:r>
    </w:p>
    <w:p w14:paraId="6896159F" w14:textId="32DEC0A0" w:rsidR="003808E6" w:rsidRPr="006E3D5E" w:rsidRDefault="00F41FB8" w:rsidP="006E3D5E">
      <w:pPr>
        <w:tabs>
          <w:tab w:val="center" w:pos="4533"/>
        </w:tabs>
        <w:rPr>
          <w:lang w:val="en-GB"/>
        </w:rPr>
      </w:pPr>
      <w:r w:rsidRPr="006E3D5E">
        <w:rPr>
          <w:lang w:val="en-GB"/>
        </w:rPr>
        <w:t>The final</w:t>
      </w:r>
      <w:r w:rsidR="003808E6" w:rsidRPr="006E3D5E">
        <w:rPr>
          <w:lang w:val="en-GB"/>
        </w:rPr>
        <w:t xml:space="preserve"> </w:t>
      </w:r>
      <w:r w:rsidR="00CC3E20" w:rsidRPr="006E3D5E">
        <w:rPr>
          <w:lang w:val="en-GB"/>
        </w:rPr>
        <w:t xml:space="preserve">organizational factor </w:t>
      </w:r>
      <w:r w:rsidRPr="006E3D5E">
        <w:rPr>
          <w:lang w:val="en-GB"/>
        </w:rPr>
        <w:t>considered is</w:t>
      </w:r>
      <w:r w:rsidR="003808E6" w:rsidRPr="006E3D5E">
        <w:rPr>
          <w:lang w:val="en-GB"/>
        </w:rPr>
        <w:t xml:space="preserve"> organizational affiliation. </w:t>
      </w:r>
      <w:r w:rsidR="00BC1F35">
        <w:rPr>
          <w:rFonts w:ascii="Calibri" w:hAnsi="Calibri"/>
          <w:lang w:val="en-GB"/>
        </w:rPr>
        <w:t>A</w:t>
      </w:r>
      <w:r w:rsidR="00BC1F35" w:rsidRPr="006E3D5E">
        <w:rPr>
          <w:rFonts w:ascii="Calibri" w:hAnsi="Calibri"/>
          <w:lang w:val="en-GB"/>
        </w:rPr>
        <w:t xml:space="preserve"> </w:t>
      </w:r>
      <w:r w:rsidR="000856C3" w:rsidRPr="006E3D5E">
        <w:rPr>
          <w:rFonts w:ascii="Calibri" w:hAnsi="Calibri"/>
          <w:lang w:val="en-GB"/>
        </w:rPr>
        <w:t xml:space="preserve">‘primary structure’ can be defined as the structure to which participants are expected to devote most of their loyalty, time and energy. A typical example would be a bureaucratic unit like a ministry. A ‘secondary structure’ can be defined as the structure to which participants are expected to be part-timers. It follows that secondary structures cannot be expected to shape actors’ decision behaviour to the same extent as primary structures do. Secondary structures include collegial bodies, committees and networks, and also EU-level institutions for national ministerial officials. </w:t>
      </w:r>
      <w:r w:rsidR="00A51F2F" w:rsidRPr="006E3D5E">
        <w:rPr>
          <w:lang w:val="en-GB"/>
        </w:rPr>
        <w:t xml:space="preserve">The </w:t>
      </w:r>
      <w:r w:rsidR="00CC3E20" w:rsidRPr="006E3D5E">
        <w:rPr>
          <w:lang w:val="en-GB"/>
        </w:rPr>
        <w:t xml:space="preserve">European </w:t>
      </w:r>
      <w:r w:rsidR="00A51F2F" w:rsidRPr="006E3D5E">
        <w:rPr>
          <w:lang w:val="en-GB"/>
        </w:rPr>
        <w:t xml:space="preserve">multilevel administrative system is comprised of a set of </w:t>
      </w:r>
      <w:r w:rsidR="00CC3E20" w:rsidRPr="006E3D5E">
        <w:rPr>
          <w:lang w:val="en-GB"/>
        </w:rPr>
        <w:t xml:space="preserve">inter-connected </w:t>
      </w:r>
      <w:r w:rsidR="00A51F2F" w:rsidRPr="006E3D5E">
        <w:rPr>
          <w:lang w:val="en-GB"/>
        </w:rPr>
        <w:t>organizations</w:t>
      </w:r>
      <w:r w:rsidR="00CC3E20" w:rsidRPr="006E3D5E">
        <w:rPr>
          <w:lang w:val="en-GB"/>
        </w:rPr>
        <w:t xml:space="preserve"> at different levels of authority. Ministerial officials that</w:t>
      </w:r>
      <w:r w:rsidR="00A51F2F" w:rsidRPr="006E3D5E">
        <w:rPr>
          <w:lang w:val="en-GB"/>
        </w:rPr>
        <w:t xml:space="preserve"> operat</w:t>
      </w:r>
      <w:r w:rsidR="00CC3E20" w:rsidRPr="006E3D5E">
        <w:rPr>
          <w:lang w:val="en-GB"/>
        </w:rPr>
        <w:t>e</w:t>
      </w:r>
      <w:r w:rsidR="00A51F2F" w:rsidRPr="006E3D5E">
        <w:rPr>
          <w:lang w:val="en-GB"/>
        </w:rPr>
        <w:t xml:space="preserve"> within this frame will be exposed to several behavioural premises</w:t>
      </w:r>
      <w:r w:rsidR="000856C3" w:rsidRPr="006E3D5E">
        <w:rPr>
          <w:lang w:val="en-GB"/>
        </w:rPr>
        <w:t xml:space="preserve"> from their primary and secondary affiliations</w:t>
      </w:r>
      <w:r w:rsidRPr="006E3D5E">
        <w:rPr>
          <w:lang w:val="en-GB"/>
        </w:rPr>
        <w:t>.</w:t>
      </w:r>
      <w:r w:rsidR="000856C3" w:rsidRPr="006E3D5E">
        <w:rPr>
          <w:lang w:val="en-GB"/>
        </w:rPr>
        <w:t xml:space="preserve"> </w:t>
      </w:r>
      <w:r w:rsidR="003808E6" w:rsidRPr="006E3D5E">
        <w:rPr>
          <w:lang w:val="en-GB"/>
        </w:rPr>
        <w:t xml:space="preserve">Although it is assumed that decision-making behaviour is a result of both primary </w:t>
      </w:r>
      <w:r w:rsidR="003808E6" w:rsidRPr="006E3D5E">
        <w:rPr>
          <w:i/>
          <w:lang w:val="en-GB"/>
        </w:rPr>
        <w:t>and</w:t>
      </w:r>
      <w:r w:rsidR="003808E6" w:rsidRPr="006E3D5E">
        <w:rPr>
          <w:lang w:val="en-GB"/>
        </w:rPr>
        <w:t xml:space="preserve"> secondary affiliations (</w:t>
      </w:r>
      <w:r w:rsidRPr="006E3D5E">
        <w:rPr>
          <w:lang w:val="en-GB"/>
        </w:rPr>
        <w:t>Egeberg and Trondal 2015</w:t>
      </w:r>
      <w:r w:rsidR="003808E6" w:rsidRPr="006E3D5E">
        <w:rPr>
          <w:lang w:val="en-GB"/>
        </w:rPr>
        <w:t xml:space="preserve">), </w:t>
      </w:r>
      <w:r w:rsidRPr="006E3D5E">
        <w:rPr>
          <w:lang w:val="en-GB"/>
        </w:rPr>
        <w:t>a</w:t>
      </w:r>
      <w:r w:rsidR="003808E6" w:rsidRPr="006E3D5E">
        <w:rPr>
          <w:lang w:val="en-GB"/>
        </w:rPr>
        <w:t xml:space="preserve"> </w:t>
      </w:r>
      <w:r w:rsidR="003808E6" w:rsidRPr="006E3D5E">
        <w:rPr>
          <w:i/>
          <w:lang w:val="en-GB"/>
        </w:rPr>
        <w:t>logic of primacy</w:t>
      </w:r>
      <w:r w:rsidR="003808E6" w:rsidRPr="006E3D5E">
        <w:rPr>
          <w:lang w:val="en-GB"/>
        </w:rPr>
        <w:t xml:space="preserve"> suggests that the primary affiliation is likely to affect behaviour more extensively than the secondary (</w:t>
      </w:r>
      <w:r w:rsidRPr="006E3D5E">
        <w:rPr>
          <w:lang w:val="en-GB"/>
        </w:rPr>
        <w:t>March 1994</w:t>
      </w:r>
      <w:r w:rsidR="003808E6" w:rsidRPr="006E3D5E">
        <w:rPr>
          <w:lang w:val="en-GB"/>
        </w:rPr>
        <w:t>).</w:t>
      </w:r>
      <w:r w:rsidR="00BC1F35">
        <w:rPr>
          <w:lang w:val="en-GB"/>
        </w:rPr>
        <w:t xml:space="preserve"> ‘The organizing principle of a political system is the allocation of scarce resources in the face of conflict of interest’ (March and Olsen 1984: 741).</w:t>
      </w:r>
      <w:r w:rsidR="003808E6" w:rsidRPr="006E3D5E">
        <w:rPr>
          <w:lang w:val="en-GB"/>
        </w:rPr>
        <w:t xml:space="preserve"> The following </w:t>
      </w:r>
      <w:r w:rsidR="00CC3E20" w:rsidRPr="006E3D5E">
        <w:rPr>
          <w:lang w:val="en-GB"/>
        </w:rPr>
        <w:t xml:space="preserve">propositions </w:t>
      </w:r>
      <w:r w:rsidR="003808E6" w:rsidRPr="006E3D5E">
        <w:rPr>
          <w:lang w:val="en-GB"/>
        </w:rPr>
        <w:t>may be derived:</w:t>
      </w:r>
    </w:p>
    <w:p w14:paraId="43AA9E15" w14:textId="77777777" w:rsidR="00C47149" w:rsidRPr="006E3D5E" w:rsidRDefault="00C47149" w:rsidP="006E3D5E">
      <w:pPr>
        <w:rPr>
          <w:b/>
          <w:lang w:val="en-GB"/>
        </w:rPr>
      </w:pPr>
    </w:p>
    <w:p w14:paraId="240A8B22" w14:textId="66EBD1AE" w:rsidR="00C47149" w:rsidRPr="006E3D5E" w:rsidRDefault="00F41FB8" w:rsidP="006E3D5E">
      <w:pPr>
        <w:rPr>
          <w:lang w:val="en-GB"/>
        </w:rPr>
      </w:pPr>
      <w:r w:rsidRPr="006E3D5E">
        <w:rPr>
          <w:i/>
          <w:lang w:val="en-GB"/>
        </w:rPr>
        <w:t>P</w:t>
      </w:r>
      <w:r w:rsidR="00C47149" w:rsidRPr="006E3D5E">
        <w:rPr>
          <w:i/>
          <w:lang w:val="en-GB"/>
        </w:rPr>
        <w:t>6</w:t>
      </w:r>
      <w:r w:rsidR="00C47149" w:rsidRPr="006E3D5E">
        <w:rPr>
          <w:lang w:val="en-GB"/>
        </w:rPr>
        <w:t xml:space="preserve">: When </w:t>
      </w:r>
      <w:r w:rsidR="000856C3" w:rsidRPr="006E3D5E">
        <w:rPr>
          <w:lang w:val="en-GB"/>
        </w:rPr>
        <w:t xml:space="preserve">taking </w:t>
      </w:r>
      <w:r w:rsidR="00C47149" w:rsidRPr="006E3D5E">
        <w:rPr>
          <w:lang w:val="en-GB"/>
        </w:rPr>
        <w:t xml:space="preserve">part of </w:t>
      </w:r>
      <w:r w:rsidR="000856C3" w:rsidRPr="006E3D5E">
        <w:rPr>
          <w:lang w:val="en-GB"/>
        </w:rPr>
        <w:t>both primary and secondary structures,</w:t>
      </w:r>
      <w:r w:rsidR="00C47149" w:rsidRPr="006E3D5E">
        <w:rPr>
          <w:lang w:val="en-GB"/>
        </w:rPr>
        <w:t xml:space="preserve"> </w:t>
      </w:r>
      <w:r w:rsidR="000856C3" w:rsidRPr="006E3D5E">
        <w:rPr>
          <w:lang w:val="en-GB"/>
        </w:rPr>
        <w:t xml:space="preserve">ministerial </w:t>
      </w:r>
      <w:r w:rsidR="00C47149" w:rsidRPr="006E3D5E">
        <w:rPr>
          <w:lang w:val="en-GB"/>
        </w:rPr>
        <w:t>officials are likely to consider signals from both</w:t>
      </w:r>
      <w:r w:rsidRPr="006E3D5E">
        <w:rPr>
          <w:lang w:val="en-GB"/>
        </w:rPr>
        <w:t xml:space="preserve"> structures</w:t>
      </w:r>
      <w:r w:rsidR="000856C3" w:rsidRPr="006E3D5E">
        <w:rPr>
          <w:lang w:val="en-GB"/>
        </w:rPr>
        <w:t>, but most strongly from primary structure</w:t>
      </w:r>
      <w:r w:rsidRPr="006E3D5E">
        <w:rPr>
          <w:lang w:val="en-GB"/>
        </w:rPr>
        <w:t>s</w:t>
      </w:r>
      <w:r w:rsidR="00C47149" w:rsidRPr="006E3D5E">
        <w:rPr>
          <w:lang w:val="en-GB"/>
        </w:rPr>
        <w:t xml:space="preserve">. </w:t>
      </w:r>
    </w:p>
    <w:p w14:paraId="43885804" w14:textId="77777777" w:rsidR="00C47149" w:rsidRPr="006E3D5E" w:rsidRDefault="00C47149" w:rsidP="006E3D5E">
      <w:pPr>
        <w:rPr>
          <w:i/>
          <w:lang w:val="en-GB"/>
        </w:rPr>
      </w:pPr>
    </w:p>
    <w:p w14:paraId="60A561ED" w14:textId="1972B844" w:rsidR="00C47149" w:rsidRPr="006E3D5E" w:rsidRDefault="00F41FB8" w:rsidP="006E3D5E">
      <w:pPr>
        <w:rPr>
          <w:lang w:val="en-GB"/>
        </w:rPr>
      </w:pPr>
      <w:r w:rsidRPr="006E3D5E">
        <w:rPr>
          <w:i/>
          <w:lang w:val="en-GB"/>
        </w:rPr>
        <w:t>P</w:t>
      </w:r>
      <w:r w:rsidR="00C47149" w:rsidRPr="006E3D5E">
        <w:rPr>
          <w:i/>
          <w:lang w:val="en-GB"/>
        </w:rPr>
        <w:t>7</w:t>
      </w:r>
      <w:r w:rsidR="00C47149" w:rsidRPr="006E3D5E">
        <w:rPr>
          <w:lang w:val="en-GB"/>
        </w:rPr>
        <w:t xml:space="preserve">: When in conflict, </w:t>
      </w:r>
      <w:r w:rsidR="000856C3" w:rsidRPr="006E3D5E">
        <w:rPr>
          <w:lang w:val="en-GB"/>
        </w:rPr>
        <w:t xml:space="preserve">ministerial </w:t>
      </w:r>
      <w:r w:rsidR="00C47149" w:rsidRPr="006E3D5E">
        <w:rPr>
          <w:lang w:val="en-GB"/>
        </w:rPr>
        <w:t xml:space="preserve">officials are more likely to </w:t>
      </w:r>
      <w:r w:rsidR="000856C3" w:rsidRPr="006E3D5E">
        <w:rPr>
          <w:lang w:val="en-GB"/>
        </w:rPr>
        <w:t>emphasise</w:t>
      </w:r>
      <w:r w:rsidR="00C47149" w:rsidRPr="006E3D5E">
        <w:rPr>
          <w:lang w:val="en-GB"/>
        </w:rPr>
        <w:t xml:space="preserve"> signals from their primary </w:t>
      </w:r>
      <w:r w:rsidR="000856C3" w:rsidRPr="006E3D5E">
        <w:rPr>
          <w:lang w:val="en-GB"/>
        </w:rPr>
        <w:t xml:space="preserve">affiliation </w:t>
      </w:r>
      <w:r w:rsidR="00C47149" w:rsidRPr="006E3D5E">
        <w:rPr>
          <w:lang w:val="en-GB"/>
        </w:rPr>
        <w:t xml:space="preserve">than from secondary </w:t>
      </w:r>
      <w:r w:rsidRPr="006E3D5E">
        <w:rPr>
          <w:lang w:val="en-GB"/>
        </w:rPr>
        <w:t>affiliations</w:t>
      </w:r>
      <w:r w:rsidR="00C47149" w:rsidRPr="006E3D5E">
        <w:rPr>
          <w:lang w:val="en-GB"/>
        </w:rPr>
        <w:t>.</w:t>
      </w:r>
    </w:p>
    <w:p w14:paraId="2CD4A3FE" w14:textId="74979192" w:rsidR="007A4519" w:rsidRDefault="007A4519" w:rsidP="006E3D5E">
      <w:pPr>
        <w:rPr>
          <w:b/>
          <w:lang w:val="en-GB"/>
        </w:rPr>
      </w:pPr>
    </w:p>
    <w:p w14:paraId="75B88672" w14:textId="33BABF49" w:rsidR="00AB7BE3" w:rsidRDefault="00AB7BE3" w:rsidP="006E3D5E">
      <w:pPr>
        <w:rPr>
          <w:b/>
          <w:lang w:val="en-GB"/>
        </w:rPr>
      </w:pPr>
    </w:p>
    <w:p w14:paraId="1E491AB4" w14:textId="77777777" w:rsidR="00AB7BE3" w:rsidRDefault="00AB7BE3" w:rsidP="006E3D5E">
      <w:pPr>
        <w:rPr>
          <w:b/>
          <w:lang w:val="en-GB"/>
        </w:rPr>
      </w:pPr>
    </w:p>
    <w:p w14:paraId="74A40503" w14:textId="269089ED" w:rsidR="007A4519" w:rsidRPr="00F41FB8" w:rsidRDefault="00F41FB8" w:rsidP="006E3D5E">
      <w:pPr>
        <w:rPr>
          <w:b/>
          <w:lang w:val="en-GB"/>
        </w:rPr>
      </w:pPr>
      <w:r w:rsidRPr="00F41FB8">
        <w:rPr>
          <w:b/>
          <w:lang w:val="en-GB"/>
        </w:rPr>
        <w:lastRenderedPageBreak/>
        <w:t>Table 1</w:t>
      </w:r>
      <w:r w:rsidR="007A4519" w:rsidRPr="00F41FB8">
        <w:rPr>
          <w:b/>
          <w:lang w:val="en-GB"/>
        </w:rPr>
        <w:t xml:space="preserve"> </w:t>
      </w:r>
      <w:r w:rsidR="00ED3EA7">
        <w:rPr>
          <w:b/>
          <w:lang w:val="en-GB"/>
        </w:rPr>
        <w:t>Summary</w:t>
      </w:r>
      <w:r w:rsidRPr="00F41FB8">
        <w:rPr>
          <w:b/>
          <w:lang w:val="en-GB"/>
        </w:rPr>
        <w:t xml:space="preserve"> of propositions</w:t>
      </w:r>
      <w:r w:rsidR="007A4519" w:rsidRPr="00F41FB8">
        <w:rPr>
          <w:b/>
          <w:lang w:val="en-GB"/>
        </w:rPr>
        <w:t xml:space="preserve"> </w:t>
      </w:r>
    </w:p>
    <w:tbl>
      <w:tblPr>
        <w:tblStyle w:val="Tabellrutenett"/>
        <w:tblW w:w="9072" w:type="dxa"/>
        <w:tblInd w:w="108" w:type="dxa"/>
        <w:tblLayout w:type="fixed"/>
        <w:tblLook w:val="04A0" w:firstRow="1" w:lastRow="0" w:firstColumn="1" w:lastColumn="0" w:noHBand="0" w:noVBand="1"/>
      </w:tblPr>
      <w:tblGrid>
        <w:gridCol w:w="2272"/>
        <w:gridCol w:w="6800"/>
      </w:tblGrid>
      <w:tr w:rsidR="007A4519" w:rsidRPr="00D515BC" w14:paraId="463D0E58" w14:textId="77777777" w:rsidTr="00BA1C4B">
        <w:trPr>
          <w:trHeight w:val="626"/>
        </w:trPr>
        <w:tc>
          <w:tcPr>
            <w:tcW w:w="2272" w:type="dxa"/>
            <w:vMerge w:val="restart"/>
          </w:tcPr>
          <w:p w14:paraId="1CBD7821" w14:textId="77777777" w:rsidR="007A4519" w:rsidRPr="006C453C" w:rsidRDefault="007A4519" w:rsidP="006E3D5E">
            <w:pPr>
              <w:rPr>
                <w:sz w:val="22"/>
                <w:szCs w:val="22"/>
                <w:lang w:val="en-GB"/>
              </w:rPr>
            </w:pPr>
            <w:r>
              <w:rPr>
                <w:sz w:val="22"/>
                <w:szCs w:val="22"/>
                <w:lang w:val="en-GB"/>
              </w:rPr>
              <w:t xml:space="preserve"> Horizontal specialization </w:t>
            </w:r>
          </w:p>
          <w:p w14:paraId="2BB64868" w14:textId="77777777" w:rsidR="007A4519" w:rsidRPr="006C453C" w:rsidRDefault="007A4519" w:rsidP="006E3D5E">
            <w:pPr>
              <w:rPr>
                <w:sz w:val="22"/>
                <w:szCs w:val="22"/>
                <w:lang w:val="en-GB"/>
              </w:rPr>
            </w:pPr>
          </w:p>
        </w:tc>
        <w:tc>
          <w:tcPr>
            <w:tcW w:w="6800" w:type="dxa"/>
          </w:tcPr>
          <w:p w14:paraId="0B047D06" w14:textId="35B343A8" w:rsidR="007A4519" w:rsidRPr="006E3D5E" w:rsidRDefault="006E3D5E" w:rsidP="006E3D5E">
            <w:pPr>
              <w:rPr>
                <w:lang w:val="en-GB"/>
              </w:rPr>
            </w:pPr>
            <w:r w:rsidRPr="006E3D5E">
              <w:rPr>
                <w:i/>
                <w:lang w:val="en-GB"/>
              </w:rPr>
              <w:t>P1</w:t>
            </w:r>
            <w:r w:rsidRPr="008347A8">
              <w:rPr>
                <w:lang w:val="en-GB"/>
              </w:rPr>
              <w:t>: Ministry officials in sector ministries (as compared to officials from ministries of foreign affairs) are more likely to interact with the Commission than with other EU institutions.</w:t>
            </w:r>
          </w:p>
        </w:tc>
      </w:tr>
      <w:tr w:rsidR="007A4519" w:rsidRPr="00D515BC" w14:paraId="726A6883" w14:textId="77777777" w:rsidTr="00BA1C4B">
        <w:trPr>
          <w:trHeight w:val="612"/>
        </w:trPr>
        <w:tc>
          <w:tcPr>
            <w:tcW w:w="2272" w:type="dxa"/>
            <w:vMerge/>
          </w:tcPr>
          <w:p w14:paraId="2F5C2488" w14:textId="77777777" w:rsidR="007A4519" w:rsidRPr="006C453C" w:rsidRDefault="007A4519" w:rsidP="006E3D5E">
            <w:pPr>
              <w:rPr>
                <w:sz w:val="22"/>
                <w:szCs w:val="22"/>
                <w:lang w:val="en-GB"/>
              </w:rPr>
            </w:pPr>
          </w:p>
        </w:tc>
        <w:tc>
          <w:tcPr>
            <w:tcW w:w="6800" w:type="dxa"/>
          </w:tcPr>
          <w:p w14:paraId="7CF231B8" w14:textId="65367D63" w:rsidR="007A4519" w:rsidRPr="006C453C" w:rsidRDefault="006E3D5E" w:rsidP="006E3D5E">
            <w:pPr>
              <w:rPr>
                <w:sz w:val="22"/>
                <w:szCs w:val="22"/>
                <w:lang w:val="en-GB"/>
              </w:rPr>
            </w:pPr>
            <w:r w:rsidRPr="006E3D5E">
              <w:rPr>
                <w:i/>
                <w:lang w:val="en-GB"/>
              </w:rPr>
              <w:t>P2</w:t>
            </w:r>
            <w:r w:rsidRPr="008347A8">
              <w:rPr>
                <w:lang w:val="en-GB"/>
              </w:rPr>
              <w:t>: Ministry officials involved in regulatory tasks are more likely to have frequent interaction with the EU institutions than ministry officials with different task profiles.</w:t>
            </w:r>
          </w:p>
        </w:tc>
      </w:tr>
      <w:tr w:rsidR="007A4519" w:rsidRPr="00D515BC" w14:paraId="5BE0C2B1" w14:textId="77777777" w:rsidTr="00BA1C4B">
        <w:trPr>
          <w:trHeight w:val="705"/>
        </w:trPr>
        <w:tc>
          <w:tcPr>
            <w:tcW w:w="2272" w:type="dxa"/>
            <w:vMerge/>
          </w:tcPr>
          <w:p w14:paraId="77384F6A" w14:textId="77777777" w:rsidR="007A4519" w:rsidRPr="006C453C" w:rsidRDefault="007A4519" w:rsidP="006E3D5E">
            <w:pPr>
              <w:rPr>
                <w:sz w:val="22"/>
                <w:szCs w:val="22"/>
                <w:lang w:val="en-GB"/>
              </w:rPr>
            </w:pPr>
          </w:p>
        </w:tc>
        <w:tc>
          <w:tcPr>
            <w:tcW w:w="6800" w:type="dxa"/>
          </w:tcPr>
          <w:p w14:paraId="464B9004" w14:textId="63699999" w:rsidR="007A4519" w:rsidRPr="006E3D5E" w:rsidRDefault="006E3D5E" w:rsidP="006E3D5E">
            <w:pPr>
              <w:rPr>
                <w:lang w:val="en-GB"/>
              </w:rPr>
            </w:pPr>
            <w:r w:rsidRPr="006E3D5E">
              <w:rPr>
                <w:i/>
                <w:lang w:val="en-GB"/>
              </w:rPr>
              <w:t>P3</w:t>
            </w:r>
            <w:r w:rsidRPr="008347A8">
              <w:rPr>
                <w:lang w:val="en-GB"/>
              </w:rPr>
              <w:t xml:space="preserve">: Coordination of EU-related work is relatively lower </w:t>
            </w:r>
            <w:r w:rsidRPr="008347A8">
              <w:rPr>
                <w:i/>
                <w:lang w:val="en-GB"/>
              </w:rPr>
              <w:t>between</w:t>
            </w:r>
            <w:r w:rsidRPr="008347A8">
              <w:rPr>
                <w:lang w:val="en-GB"/>
              </w:rPr>
              <w:t xml:space="preserve"> than </w:t>
            </w:r>
            <w:r w:rsidRPr="008347A8">
              <w:rPr>
                <w:i/>
                <w:lang w:val="en-GB"/>
              </w:rPr>
              <w:t>within</w:t>
            </w:r>
            <w:r w:rsidRPr="008347A8">
              <w:rPr>
                <w:lang w:val="en-GB"/>
              </w:rPr>
              <w:t xml:space="preserve"> ministries.</w:t>
            </w:r>
          </w:p>
        </w:tc>
      </w:tr>
      <w:tr w:rsidR="007A4519" w:rsidRPr="00D515BC" w14:paraId="734030F9" w14:textId="77777777" w:rsidTr="00BA1C4B">
        <w:trPr>
          <w:trHeight w:val="740"/>
        </w:trPr>
        <w:tc>
          <w:tcPr>
            <w:tcW w:w="2272" w:type="dxa"/>
            <w:vMerge w:val="restart"/>
          </w:tcPr>
          <w:p w14:paraId="5899E6F4" w14:textId="3328252F" w:rsidR="007A4519" w:rsidRPr="00D515BC" w:rsidRDefault="007A4519" w:rsidP="006E3D5E">
            <w:pPr>
              <w:rPr>
                <w:sz w:val="22"/>
                <w:szCs w:val="22"/>
                <w:lang w:val="en-GB"/>
              </w:rPr>
            </w:pPr>
            <w:r>
              <w:rPr>
                <w:sz w:val="22"/>
                <w:szCs w:val="22"/>
                <w:lang w:val="en-GB"/>
              </w:rPr>
              <w:t xml:space="preserve">Vertical specialization </w:t>
            </w:r>
          </w:p>
          <w:p w14:paraId="233DF2A3" w14:textId="77777777" w:rsidR="007A4519" w:rsidRPr="00D515BC" w:rsidRDefault="007A4519" w:rsidP="006E3D5E">
            <w:pPr>
              <w:rPr>
                <w:sz w:val="22"/>
                <w:szCs w:val="22"/>
                <w:lang w:val="en-GB"/>
              </w:rPr>
            </w:pPr>
          </w:p>
        </w:tc>
        <w:tc>
          <w:tcPr>
            <w:tcW w:w="6800" w:type="dxa"/>
          </w:tcPr>
          <w:p w14:paraId="1A922272" w14:textId="3529A4DB" w:rsidR="007A4519" w:rsidRPr="006E3D5E" w:rsidRDefault="006E3D5E" w:rsidP="006E3D5E">
            <w:pPr>
              <w:rPr>
                <w:lang w:val="en-GB"/>
              </w:rPr>
            </w:pPr>
            <w:r w:rsidRPr="006E3D5E">
              <w:rPr>
                <w:i/>
                <w:lang w:val="en-GB"/>
              </w:rPr>
              <w:t>P4</w:t>
            </w:r>
            <w:r w:rsidRPr="00D23249">
              <w:rPr>
                <w:lang w:val="en-GB"/>
              </w:rPr>
              <w:t>: Ministerial officials at higher ranks are less likely to interact with EU institutions than ministerial officials at lower ranks.</w:t>
            </w:r>
          </w:p>
        </w:tc>
      </w:tr>
      <w:tr w:rsidR="007A4519" w:rsidRPr="00D515BC" w14:paraId="0FACAFEB" w14:textId="77777777" w:rsidTr="00BA1C4B">
        <w:trPr>
          <w:trHeight w:val="739"/>
        </w:trPr>
        <w:tc>
          <w:tcPr>
            <w:tcW w:w="2272" w:type="dxa"/>
            <w:vMerge/>
          </w:tcPr>
          <w:p w14:paraId="00A3BE31" w14:textId="77777777" w:rsidR="007A4519" w:rsidRPr="00D515BC" w:rsidRDefault="007A4519" w:rsidP="006E3D5E">
            <w:pPr>
              <w:rPr>
                <w:sz w:val="22"/>
                <w:szCs w:val="22"/>
                <w:lang w:val="en-GB"/>
              </w:rPr>
            </w:pPr>
          </w:p>
        </w:tc>
        <w:tc>
          <w:tcPr>
            <w:tcW w:w="6800" w:type="dxa"/>
          </w:tcPr>
          <w:p w14:paraId="24C4097C" w14:textId="743BCCB8" w:rsidR="007A4519" w:rsidRPr="006E3D5E" w:rsidRDefault="006E3D5E" w:rsidP="006E3D5E">
            <w:pPr>
              <w:rPr>
                <w:lang w:val="en-GB"/>
              </w:rPr>
            </w:pPr>
            <w:r w:rsidRPr="006E3D5E">
              <w:rPr>
                <w:i/>
                <w:lang w:val="en-GB"/>
              </w:rPr>
              <w:t>P5</w:t>
            </w:r>
            <w:r w:rsidRPr="00D23249">
              <w:rPr>
                <w:lang w:val="en-GB"/>
              </w:rPr>
              <w:t>: Lower ranked ministerial officials are less likely to be coordinated and mandated in their EU work than higher ranked ministerial officials.</w:t>
            </w:r>
          </w:p>
        </w:tc>
      </w:tr>
      <w:tr w:rsidR="007A4519" w:rsidRPr="00D515BC" w14:paraId="7CB9F15B" w14:textId="77777777" w:rsidTr="00BA1C4B">
        <w:trPr>
          <w:trHeight w:val="644"/>
        </w:trPr>
        <w:tc>
          <w:tcPr>
            <w:tcW w:w="2272" w:type="dxa"/>
            <w:vMerge w:val="restart"/>
          </w:tcPr>
          <w:p w14:paraId="798A7099" w14:textId="77777777" w:rsidR="007A4519" w:rsidRPr="00D515BC" w:rsidRDefault="007A4519" w:rsidP="006E3D5E">
            <w:pPr>
              <w:rPr>
                <w:sz w:val="22"/>
                <w:szCs w:val="22"/>
                <w:lang w:val="en-GB"/>
              </w:rPr>
            </w:pPr>
            <w:r w:rsidRPr="00D515BC">
              <w:rPr>
                <w:sz w:val="22"/>
                <w:szCs w:val="22"/>
                <w:lang w:val="en-GB"/>
              </w:rPr>
              <w:t>Organizational affiliat</w:t>
            </w:r>
            <w:r>
              <w:rPr>
                <w:sz w:val="22"/>
                <w:szCs w:val="22"/>
                <w:lang w:val="en-GB"/>
              </w:rPr>
              <w:t xml:space="preserve">ion </w:t>
            </w:r>
          </w:p>
        </w:tc>
        <w:tc>
          <w:tcPr>
            <w:tcW w:w="6800" w:type="dxa"/>
          </w:tcPr>
          <w:p w14:paraId="4F0E9012" w14:textId="682A8DD9" w:rsidR="007A4519" w:rsidRPr="006E3D5E" w:rsidRDefault="006E3D5E" w:rsidP="006E3D5E">
            <w:pPr>
              <w:rPr>
                <w:lang w:val="en-GB"/>
              </w:rPr>
            </w:pPr>
            <w:r w:rsidRPr="006E3D5E">
              <w:rPr>
                <w:i/>
                <w:lang w:val="en-GB"/>
              </w:rPr>
              <w:t>P6</w:t>
            </w:r>
            <w:r w:rsidRPr="00F41FB8">
              <w:rPr>
                <w:lang w:val="en-GB"/>
              </w:rPr>
              <w:t xml:space="preserve">: When taking part of both primary and secondary structures, ministerial officials are likely to consider signals from both structures, but most strongly from primary structures. </w:t>
            </w:r>
          </w:p>
        </w:tc>
      </w:tr>
      <w:tr w:rsidR="007A4519" w:rsidRPr="00D515BC" w14:paraId="456ACA03" w14:textId="77777777" w:rsidTr="00BA1C4B">
        <w:trPr>
          <w:trHeight w:val="709"/>
        </w:trPr>
        <w:tc>
          <w:tcPr>
            <w:tcW w:w="2272" w:type="dxa"/>
            <w:vMerge/>
          </w:tcPr>
          <w:p w14:paraId="046D22B4" w14:textId="77777777" w:rsidR="007A4519" w:rsidRPr="00D515BC" w:rsidRDefault="007A4519" w:rsidP="006E3D5E">
            <w:pPr>
              <w:rPr>
                <w:sz w:val="22"/>
                <w:szCs w:val="22"/>
                <w:lang w:val="en-GB"/>
              </w:rPr>
            </w:pPr>
          </w:p>
        </w:tc>
        <w:tc>
          <w:tcPr>
            <w:tcW w:w="6800" w:type="dxa"/>
          </w:tcPr>
          <w:p w14:paraId="69D90391" w14:textId="43909DE4" w:rsidR="007A4519" w:rsidRPr="006E3D5E" w:rsidRDefault="006E3D5E" w:rsidP="006E3D5E">
            <w:pPr>
              <w:rPr>
                <w:lang w:val="en-GB"/>
              </w:rPr>
            </w:pPr>
            <w:r w:rsidRPr="006E3D5E">
              <w:rPr>
                <w:i/>
                <w:lang w:val="en-GB"/>
              </w:rPr>
              <w:t>P7</w:t>
            </w:r>
            <w:r w:rsidRPr="00F41FB8">
              <w:rPr>
                <w:lang w:val="en-GB"/>
              </w:rPr>
              <w:t>: When in conflict, ministerial officials are more likely to emphasise signals from their primary affiliation than from secondary affiliations.</w:t>
            </w:r>
          </w:p>
        </w:tc>
      </w:tr>
    </w:tbl>
    <w:p w14:paraId="21E3FBA4" w14:textId="77777777" w:rsidR="003808E6" w:rsidRDefault="003808E6" w:rsidP="006E3D5E">
      <w:pPr>
        <w:tabs>
          <w:tab w:val="center" w:pos="4533"/>
        </w:tabs>
        <w:rPr>
          <w:lang w:val="en-GB"/>
        </w:rPr>
      </w:pPr>
    </w:p>
    <w:p w14:paraId="337947A5" w14:textId="77777777" w:rsidR="001A6883" w:rsidRDefault="001A6883" w:rsidP="00877974">
      <w:pPr>
        <w:tabs>
          <w:tab w:val="center" w:pos="4533"/>
        </w:tabs>
        <w:spacing w:line="480" w:lineRule="auto"/>
        <w:jc w:val="both"/>
        <w:rPr>
          <w:lang w:val="en-GB"/>
        </w:rPr>
      </w:pPr>
    </w:p>
    <w:p w14:paraId="518A3DA2" w14:textId="77777777" w:rsidR="007A4519" w:rsidRPr="00BA1C4B" w:rsidRDefault="007A4519" w:rsidP="007867A2">
      <w:pPr>
        <w:tabs>
          <w:tab w:val="center" w:pos="4533"/>
        </w:tabs>
        <w:rPr>
          <w:b/>
          <w:sz w:val="28"/>
          <w:szCs w:val="28"/>
          <w:lang w:val="en-GB"/>
        </w:rPr>
      </w:pPr>
      <w:r w:rsidRPr="00BA1C4B">
        <w:rPr>
          <w:b/>
          <w:sz w:val="28"/>
          <w:szCs w:val="28"/>
          <w:lang w:val="en-GB"/>
        </w:rPr>
        <w:t>Data and Methodology</w:t>
      </w:r>
    </w:p>
    <w:p w14:paraId="3F6B512F" w14:textId="7214C0E7" w:rsidR="007A4519" w:rsidRPr="00E97F1A" w:rsidRDefault="000856C3" w:rsidP="007867A2">
      <w:pPr>
        <w:tabs>
          <w:tab w:val="center" w:pos="4533"/>
        </w:tabs>
        <w:rPr>
          <w:lang w:val="en-GB"/>
        </w:rPr>
      </w:pPr>
      <w:r>
        <w:rPr>
          <w:lang w:val="en-GB"/>
        </w:rPr>
        <w:t>The analysis</w:t>
      </w:r>
      <w:r w:rsidR="007A4519" w:rsidRPr="00B66550">
        <w:rPr>
          <w:lang w:val="en-GB"/>
        </w:rPr>
        <w:t xml:space="preserve"> </w:t>
      </w:r>
      <w:r>
        <w:rPr>
          <w:lang w:val="en-GB"/>
        </w:rPr>
        <w:t>benefits from</w:t>
      </w:r>
      <w:r w:rsidR="007A4519" w:rsidRPr="00B66550">
        <w:rPr>
          <w:lang w:val="en-GB"/>
        </w:rPr>
        <w:t xml:space="preserve"> </w:t>
      </w:r>
      <w:r w:rsidR="007A4519">
        <w:rPr>
          <w:lang w:val="en-GB"/>
        </w:rPr>
        <w:t xml:space="preserve">three </w:t>
      </w:r>
      <w:r w:rsidR="007A4519" w:rsidRPr="00B66550">
        <w:rPr>
          <w:lang w:val="en-GB"/>
        </w:rPr>
        <w:t xml:space="preserve">large-N questionnaire surveys conducted at the ministry level in </w:t>
      </w:r>
      <w:r w:rsidR="007A4519">
        <w:rPr>
          <w:lang w:val="en-GB"/>
        </w:rPr>
        <w:t xml:space="preserve">the Norwegian central administration in </w:t>
      </w:r>
      <w:r w:rsidR="007A4519" w:rsidRPr="00B66550">
        <w:rPr>
          <w:lang w:val="en-GB"/>
        </w:rPr>
        <w:t>1996, 2006 and 2016</w:t>
      </w:r>
      <w:r>
        <w:rPr>
          <w:lang w:val="en-GB"/>
        </w:rPr>
        <w:t>,</w:t>
      </w:r>
      <w:r w:rsidR="007A4519" w:rsidRPr="00B66550">
        <w:rPr>
          <w:lang w:val="en-GB"/>
        </w:rPr>
        <w:t xml:space="preserve"> respectively</w:t>
      </w:r>
      <w:r w:rsidR="007A4519">
        <w:rPr>
          <w:lang w:val="en-GB"/>
        </w:rPr>
        <w:t xml:space="preserve"> (</w:t>
      </w:r>
      <w:r w:rsidR="00AA0768">
        <w:rPr>
          <w:lang w:val="en-GB"/>
        </w:rPr>
        <w:t>N = 5693</w:t>
      </w:r>
      <w:r w:rsidR="007A4519">
        <w:rPr>
          <w:lang w:val="en-GB"/>
        </w:rPr>
        <w:t>)</w:t>
      </w:r>
      <w:r w:rsidR="00442096">
        <w:rPr>
          <w:lang w:val="en-GB"/>
        </w:rPr>
        <w:t>.</w:t>
      </w:r>
      <w:r w:rsidR="007A4519" w:rsidRPr="00B66550">
        <w:rPr>
          <w:lang w:val="en-GB"/>
        </w:rPr>
        <w:t xml:space="preserve"> </w:t>
      </w:r>
      <w:r w:rsidR="007A4519">
        <w:rPr>
          <w:lang w:val="en-GB"/>
        </w:rPr>
        <w:t>The questionnaires address</w:t>
      </w:r>
      <w:r w:rsidR="007A4519" w:rsidRPr="00B66550">
        <w:rPr>
          <w:lang w:val="en-GB"/>
        </w:rPr>
        <w:t xml:space="preserve"> a variety of aspects relating to the role and function of</w:t>
      </w:r>
      <w:r w:rsidR="007A4519">
        <w:rPr>
          <w:lang w:val="en-GB"/>
        </w:rPr>
        <w:t xml:space="preserve"> civil servants</w:t>
      </w:r>
      <w:r w:rsidR="0086209E">
        <w:rPr>
          <w:lang w:val="en-GB"/>
        </w:rPr>
        <w:t>,</w:t>
      </w:r>
      <w:r w:rsidR="007A4519">
        <w:rPr>
          <w:lang w:val="en-GB"/>
        </w:rPr>
        <w:t xml:space="preserve"> </w:t>
      </w:r>
      <w:r w:rsidR="00A038F4">
        <w:rPr>
          <w:lang w:val="en-GB"/>
        </w:rPr>
        <w:t xml:space="preserve">distribution of power, </w:t>
      </w:r>
      <w:r w:rsidR="007A4519" w:rsidRPr="00B66550">
        <w:rPr>
          <w:lang w:val="en-GB"/>
        </w:rPr>
        <w:t>patterns of contact</w:t>
      </w:r>
      <w:r w:rsidR="0086209E">
        <w:rPr>
          <w:lang w:val="en-GB"/>
        </w:rPr>
        <w:t>, coordination</w:t>
      </w:r>
      <w:r w:rsidR="00A038F4">
        <w:rPr>
          <w:lang w:val="en-GB"/>
        </w:rPr>
        <w:t>,</w:t>
      </w:r>
      <w:r w:rsidR="0086209E">
        <w:rPr>
          <w:lang w:val="en-GB"/>
        </w:rPr>
        <w:t xml:space="preserve"> identification,</w:t>
      </w:r>
      <w:r w:rsidR="00A038F4">
        <w:rPr>
          <w:lang w:val="en-GB"/>
        </w:rPr>
        <w:t xml:space="preserve"> demographic backgrounds,</w:t>
      </w:r>
      <w:r w:rsidR="0086209E">
        <w:rPr>
          <w:lang w:val="en-GB"/>
        </w:rPr>
        <w:t xml:space="preserve"> etc</w:t>
      </w:r>
      <w:r w:rsidR="007A4519" w:rsidRPr="00B66550">
        <w:rPr>
          <w:lang w:val="en-GB"/>
        </w:rPr>
        <w:t xml:space="preserve">. </w:t>
      </w:r>
      <w:r w:rsidR="007A4519" w:rsidRPr="00E97F1A">
        <w:rPr>
          <w:lang w:val="en-GB"/>
        </w:rPr>
        <w:t xml:space="preserve">To allow for comparisons, the questionnaires have been kept nearly identical </w:t>
      </w:r>
      <w:r w:rsidR="007A4519">
        <w:rPr>
          <w:lang w:val="en-GB"/>
        </w:rPr>
        <w:t xml:space="preserve">over time </w:t>
      </w:r>
      <w:r w:rsidR="007A4519" w:rsidRPr="00E97F1A">
        <w:rPr>
          <w:lang w:val="en-GB"/>
        </w:rPr>
        <w:t>with just few necessary adjustments.</w:t>
      </w:r>
      <w:r w:rsidR="001A6883">
        <w:rPr>
          <w:lang w:val="en-GB"/>
        </w:rPr>
        <w:t xml:space="preserve"> The </w:t>
      </w:r>
      <w:r w:rsidR="00A038F4">
        <w:rPr>
          <w:lang w:val="en-GB"/>
        </w:rPr>
        <w:t xml:space="preserve">surveys </w:t>
      </w:r>
      <w:r w:rsidR="001A6883">
        <w:rPr>
          <w:lang w:val="en-GB"/>
        </w:rPr>
        <w:t>include only ‘</w:t>
      </w:r>
      <w:r w:rsidR="00FB2332">
        <w:rPr>
          <w:lang w:val="en-GB"/>
        </w:rPr>
        <w:t>A</w:t>
      </w:r>
      <w:r w:rsidR="001A6883">
        <w:rPr>
          <w:lang w:val="en-GB"/>
        </w:rPr>
        <w:t>-level’ officials with a minimu</w:t>
      </w:r>
      <w:r w:rsidR="00A038F4">
        <w:rPr>
          <w:lang w:val="en-GB"/>
        </w:rPr>
        <w:t>m of one year of</w:t>
      </w:r>
      <w:r w:rsidR="001A6883">
        <w:rPr>
          <w:lang w:val="en-GB"/>
        </w:rPr>
        <w:t xml:space="preserve"> </w:t>
      </w:r>
      <w:r w:rsidR="00A038F4">
        <w:rPr>
          <w:lang w:val="en-GB"/>
        </w:rPr>
        <w:t>seniority</w:t>
      </w:r>
      <w:r w:rsidR="001A6883">
        <w:rPr>
          <w:lang w:val="en-GB"/>
        </w:rPr>
        <w:t xml:space="preserve">. </w:t>
      </w:r>
      <w:r w:rsidR="004C04C1">
        <w:rPr>
          <w:lang w:val="en-GB"/>
        </w:rPr>
        <w:t>These</w:t>
      </w:r>
      <w:r w:rsidR="001A6883">
        <w:rPr>
          <w:lang w:val="en-GB"/>
        </w:rPr>
        <w:t xml:space="preserve"> survey</w:t>
      </w:r>
      <w:r w:rsidR="004C04C1">
        <w:rPr>
          <w:lang w:val="en-GB"/>
        </w:rPr>
        <w:t>s</w:t>
      </w:r>
      <w:r w:rsidR="001A6883">
        <w:rPr>
          <w:lang w:val="en-GB"/>
        </w:rPr>
        <w:t xml:space="preserve"> </w:t>
      </w:r>
      <w:r w:rsidR="004C04C1">
        <w:rPr>
          <w:lang w:val="en-GB"/>
        </w:rPr>
        <w:t>represent</w:t>
      </w:r>
      <w:r w:rsidR="007A4519">
        <w:rPr>
          <w:lang w:val="en-GB"/>
        </w:rPr>
        <w:t xml:space="preserve"> </w:t>
      </w:r>
      <w:r w:rsidR="007A4519" w:rsidRPr="004C04C1">
        <w:rPr>
          <w:i/>
          <w:lang w:val="en-GB"/>
        </w:rPr>
        <w:t>the</w:t>
      </w:r>
      <w:r w:rsidR="007A4519">
        <w:rPr>
          <w:lang w:val="en-GB"/>
        </w:rPr>
        <w:t xml:space="preserve"> </w:t>
      </w:r>
      <w:r w:rsidR="007A4519" w:rsidRPr="004C04C1">
        <w:rPr>
          <w:lang w:val="en-GB"/>
        </w:rPr>
        <w:t>‘most thorough screening’</w:t>
      </w:r>
      <w:r w:rsidR="007A4519">
        <w:rPr>
          <w:lang w:val="en-GB"/>
        </w:rPr>
        <w:t xml:space="preserve"> of the Norwegian central administration and among t</w:t>
      </w:r>
      <w:r w:rsidR="004C04C1">
        <w:rPr>
          <w:lang w:val="en-GB"/>
        </w:rPr>
        <w:t>he most comprehensive surveys of</w:t>
      </w:r>
      <w:r w:rsidR="007A4519">
        <w:rPr>
          <w:lang w:val="en-GB"/>
        </w:rPr>
        <w:t xml:space="preserve"> national administrations in international comparison (Egeberg and Trondal 2009). </w:t>
      </w:r>
    </w:p>
    <w:p w14:paraId="378A4856" w14:textId="77777777" w:rsidR="007A4519" w:rsidRDefault="007A4519" w:rsidP="007867A2">
      <w:pPr>
        <w:tabs>
          <w:tab w:val="center" w:pos="4533"/>
        </w:tabs>
        <w:rPr>
          <w:lang w:val="en-GB"/>
        </w:rPr>
      </w:pPr>
    </w:p>
    <w:p w14:paraId="4F05D01A" w14:textId="514E7801" w:rsidR="007A4519" w:rsidRDefault="007A4519" w:rsidP="007867A2">
      <w:pPr>
        <w:tabs>
          <w:tab w:val="center" w:pos="4533"/>
        </w:tabs>
        <w:rPr>
          <w:lang w:val="en-GB"/>
        </w:rPr>
      </w:pPr>
      <w:r>
        <w:rPr>
          <w:lang w:val="en-GB"/>
        </w:rPr>
        <w:t xml:space="preserve">Some potential </w:t>
      </w:r>
      <w:r w:rsidR="00FB2332">
        <w:rPr>
          <w:lang w:val="en-GB"/>
        </w:rPr>
        <w:t xml:space="preserve">caveats </w:t>
      </w:r>
      <w:r>
        <w:rPr>
          <w:lang w:val="en-GB"/>
        </w:rPr>
        <w:t xml:space="preserve">have to be taken into account: firstly, studies that rely on </w:t>
      </w:r>
      <w:r w:rsidR="00AB7BE3">
        <w:rPr>
          <w:lang w:val="en-GB"/>
        </w:rPr>
        <w:t>respondents</w:t>
      </w:r>
      <w:r>
        <w:rPr>
          <w:lang w:val="en-GB"/>
        </w:rPr>
        <w:t xml:space="preserve"> own </w:t>
      </w:r>
      <w:r w:rsidR="004C04C1">
        <w:rPr>
          <w:lang w:val="en-GB"/>
        </w:rPr>
        <w:t xml:space="preserve">behavioural </w:t>
      </w:r>
      <w:r>
        <w:rPr>
          <w:lang w:val="en-GB"/>
        </w:rPr>
        <w:t xml:space="preserve">perceptions do not </w:t>
      </w:r>
      <w:r w:rsidR="004C04C1">
        <w:rPr>
          <w:lang w:val="en-GB"/>
        </w:rPr>
        <w:t>observe directly the</w:t>
      </w:r>
      <w:r>
        <w:rPr>
          <w:lang w:val="en-GB"/>
        </w:rPr>
        <w:t xml:space="preserve"> occurrence of such. Respondents may often exaggerate or downplay </w:t>
      </w:r>
      <w:r w:rsidR="004C04C1">
        <w:rPr>
          <w:lang w:val="en-GB"/>
        </w:rPr>
        <w:t>own role or the role of others.</w:t>
      </w:r>
      <w:r>
        <w:rPr>
          <w:lang w:val="en-GB"/>
        </w:rPr>
        <w:t xml:space="preserve"> </w:t>
      </w:r>
      <w:r w:rsidR="00BC1F35">
        <w:rPr>
          <w:lang w:val="en-GB"/>
        </w:rPr>
        <w:t>Yet</w:t>
      </w:r>
      <w:r>
        <w:rPr>
          <w:lang w:val="en-GB"/>
        </w:rPr>
        <w:t>, the use of three large-N surveys does, however, substantially increase the likelihood of robustness in the conclusions. Secondly, the use of cross-sectional data may be biased by inter</w:t>
      </w:r>
      <w:r w:rsidR="00FB2332">
        <w:rPr>
          <w:lang w:val="en-GB"/>
        </w:rPr>
        <w:t>-</w:t>
      </w:r>
      <w:r>
        <w:rPr>
          <w:lang w:val="en-GB"/>
        </w:rPr>
        <w:t xml:space="preserve">individual variability in perceptions or that it fails to take into account concurring factors that may influence outcome. Ideally, in order to draw robust conclusions on causal effects, research on developments over time should </w:t>
      </w:r>
      <w:r w:rsidR="00BC1F35">
        <w:rPr>
          <w:lang w:val="en-GB"/>
        </w:rPr>
        <w:t>benefit from</w:t>
      </w:r>
      <w:r>
        <w:rPr>
          <w:lang w:val="en-GB"/>
        </w:rPr>
        <w:t xml:space="preserve"> longitudinal panel </w:t>
      </w:r>
      <w:r w:rsidR="00BC1F35">
        <w:rPr>
          <w:lang w:val="en-GB"/>
        </w:rPr>
        <w:t>data</w:t>
      </w:r>
      <w:r>
        <w:rPr>
          <w:lang w:val="en-GB"/>
        </w:rPr>
        <w:t xml:space="preserve">. Nonetheless, this does not mean that cross-sectional data cannot provide useful insights </w:t>
      </w:r>
      <w:r w:rsidR="00BC1F35">
        <w:rPr>
          <w:lang w:val="en-GB"/>
        </w:rPr>
        <w:t>on continuity and change</w:t>
      </w:r>
      <w:r>
        <w:rPr>
          <w:lang w:val="en-GB"/>
        </w:rPr>
        <w:t xml:space="preserve">. </w:t>
      </w:r>
    </w:p>
    <w:p w14:paraId="2C560F55" w14:textId="77777777" w:rsidR="007404B3" w:rsidRPr="007404B3" w:rsidRDefault="007404B3" w:rsidP="007867A2">
      <w:pPr>
        <w:tabs>
          <w:tab w:val="center" w:pos="4533"/>
        </w:tabs>
        <w:rPr>
          <w:lang w:val="en-GB"/>
        </w:rPr>
      </w:pPr>
    </w:p>
    <w:p w14:paraId="137C8DBC" w14:textId="4041AE58" w:rsidR="007404B3" w:rsidRPr="007404B3" w:rsidRDefault="007404B3" w:rsidP="007867A2">
      <w:pPr>
        <w:rPr>
          <w:rFonts w:ascii="Times" w:eastAsia="Times New Roman" w:hAnsi="Times" w:cs="Times New Roman"/>
          <w:sz w:val="20"/>
          <w:szCs w:val="20"/>
          <w:lang w:val="en-GB"/>
        </w:rPr>
      </w:pPr>
      <w:r w:rsidRPr="007404B3">
        <w:rPr>
          <w:rFonts w:ascii="Calibri" w:eastAsia="Times New Roman" w:hAnsi="Calibri" w:cs="Times New Roman"/>
          <w:color w:val="212121"/>
          <w:shd w:val="clear" w:color="auto" w:fill="FFFFFF"/>
          <w:lang w:val="en-GB"/>
        </w:rPr>
        <w:lastRenderedPageBreak/>
        <w:t>W</w:t>
      </w:r>
      <w:r>
        <w:rPr>
          <w:rFonts w:ascii="Calibri" w:eastAsia="Times New Roman" w:hAnsi="Calibri" w:cs="Times New Roman"/>
          <w:color w:val="212121"/>
          <w:shd w:val="clear" w:color="auto" w:fill="FFFFFF"/>
          <w:lang w:val="en-GB"/>
        </w:rPr>
        <w:t>hereas the survey from</w:t>
      </w:r>
      <w:r w:rsidRPr="007404B3">
        <w:rPr>
          <w:rFonts w:ascii="Calibri" w:eastAsia="Times New Roman" w:hAnsi="Calibri" w:cs="Times New Roman"/>
          <w:color w:val="212121"/>
          <w:shd w:val="clear" w:color="auto" w:fill="FFFFFF"/>
          <w:lang w:val="en-GB"/>
        </w:rPr>
        <w:t xml:space="preserve"> 1996 </w:t>
      </w:r>
      <w:r>
        <w:rPr>
          <w:rFonts w:ascii="Calibri" w:eastAsia="Times New Roman" w:hAnsi="Calibri" w:cs="Times New Roman"/>
          <w:color w:val="212121"/>
          <w:shd w:val="clear" w:color="auto" w:fill="FFFFFF"/>
          <w:lang w:val="en-GB"/>
        </w:rPr>
        <w:t>was</w:t>
      </w:r>
      <w:r w:rsidRPr="007404B3">
        <w:rPr>
          <w:rFonts w:ascii="Calibri" w:eastAsia="Times New Roman" w:hAnsi="Calibri" w:cs="Times New Roman"/>
          <w:color w:val="212121"/>
          <w:shd w:val="clear" w:color="auto" w:fill="FFFFFF"/>
          <w:lang w:val="en-GB"/>
        </w:rPr>
        <w:t xml:space="preserve"> distributed to the respondents by postal mail, the 2006 </w:t>
      </w:r>
      <w:r>
        <w:rPr>
          <w:rFonts w:ascii="Calibri" w:eastAsia="Times New Roman" w:hAnsi="Calibri" w:cs="Times New Roman"/>
          <w:color w:val="212121"/>
          <w:shd w:val="clear" w:color="auto" w:fill="FFFFFF"/>
          <w:lang w:val="en-GB"/>
        </w:rPr>
        <w:t xml:space="preserve">and 2016 </w:t>
      </w:r>
      <w:r w:rsidRPr="007404B3">
        <w:rPr>
          <w:rFonts w:ascii="Calibri" w:eastAsia="Times New Roman" w:hAnsi="Calibri" w:cs="Times New Roman"/>
          <w:color w:val="212121"/>
          <w:shd w:val="clear" w:color="auto" w:fill="FFFFFF"/>
          <w:lang w:val="en-GB"/>
        </w:rPr>
        <w:t>survey</w:t>
      </w:r>
      <w:r>
        <w:rPr>
          <w:rFonts w:ascii="Calibri" w:eastAsia="Times New Roman" w:hAnsi="Calibri" w:cs="Times New Roman"/>
          <w:color w:val="212121"/>
          <w:shd w:val="clear" w:color="auto" w:fill="FFFFFF"/>
          <w:lang w:val="en-GB"/>
        </w:rPr>
        <w:t>s were</w:t>
      </w:r>
      <w:r w:rsidRPr="007404B3">
        <w:rPr>
          <w:rFonts w:ascii="Calibri" w:eastAsia="Times New Roman" w:hAnsi="Calibri" w:cs="Times New Roman"/>
          <w:color w:val="212121"/>
          <w:shd w:val="clear" w:color="auto" w:fill="FFFFFF"/>
          <w:lang w:val="en-GB"/>
        </w:rPr>
        <w:t xml:space="preserve"> conducted as online survey</w:t>
      </w:r>
      <w:r>
        <w:rPr>
          <w:rFonts w:ascii="Calibri" w:eastAsia="Times New Roman" w:hAnsi="Calibri" w:cs="Times New Roman"/>
          <w:color w:val="212121"/>
          <w:shd w:val="clear" w:color="auto" w:fill="FFFFFF"/>
          <w:lang w:val="en-GB"/>
        </w:rPr>
        <w:t>s</w:t>
      </w:r>
      <w:r w:rsidRPr="007404B3">
        <w:rPr>
          <w:rFonts w:ascii="Calibri" w:eastAsia="Times New Roman" w:hAnsi="Calibri" w:cs="Times New Roman"/>
          <w:color w:val="212121"/>
          <w:shd w:val="clear" w:color="auto" w:fill="FFFFFF"/>
          <w:lang w:val="en-GB"/>
        </w:rPr>
        <w:t xml:space="preserve"> by the Norwegian Social Science Data Service</w:t>
      </w:r>
      <w:r>
        <w:rPr>
          <w:rFonts w:ascii="Calibri" w:eastAsia="Times New Roman" w:hAnsi="Calibri" w:cs="Times New Roman"/>
          <w:color w:val="212121"/>
          <w:shd w:val="clear" w:color="auto" w:fill="FFFFFF"/>
          <w:lang w:val="en-GB"/>
        </w:rPr>
        <w:t xml:space="preserve"> (NSD).</w:t>
      </w:r>
      <w:r w:rsidR="007867A2">
        <w:rPr>
          <w:rFonts w:ascii="Calibri" w:eastAsia="Times New Roman" w:hAnsi="Calibri" w:cs="Times New Roman"/>
          <w:color w:val="212121"/>
          <w:shd w:val="clear" w:color="auto" w:fill="FFFFFF"/>
          <w:lang w:val="en-GB"/>
        </w:rPr>
        <w:t xml:space="preserve"> The overall response rate is solid and</w:t>
      </w:r>
      <w:r w:rsidRPr="007404B3">
        <w:rPr>
          <w:rFonts w:ascii="Calibri" w:eastAsia="Times New Roman" w:hAnsi="Calibri" w:cs="Times New Roman"/>
          <w:color w:val="212121"/>
          <w:shd w:val="clear" w:color="auto" w:fill="FFFFFF"/>
          <w:lang w:val="en-GB"/>
        </w:rPr>
        <w:t xml:space="preserve"> the total response rates have decreased only marginally during this 20 years’ period. The drop in</w:t>
      </w:r>
      <w:r>
        <w:rPr>
          <w:rFonts w:ascii="Calibri" w:eastAsia="Times New Roman" w:hAnsi="Calibri" w:cs="Times New Roman"/>
          <w:color w:val="212121"/>
          <w:shd w:val="clear" w:color="auto" w:fill="FFFFFF"/>
          <w:lang w:val="en-GB"/>
        </w:rPr>
        <w:t xml:space="preserve"> response rates from 1996 to 201</w:t>
      </w:r>
      <w:r w:rsidRPr="007404B3">
        <w:rPr>
          <w:rFonts w:ascii="Calibri" w:eastAsia="Times New Roman" w:hAnsi="Calibri" w:cs="Times New Roman"/>
          <w:color w:val="212121"/>
          <w:shd w:val="clear" w:color="auto" w:fill="FFFFFF"/>
          <w:lang w:val="en-GB"/>
        </w:rPr>
        <w:t xml:space="preserve">6 may </w:t>
      </w:r>
      <w:r w:rsidR="000005AE">
        <w:rPr>
          <w:rFonts w:ascii="Calibri" w:eastAsia="Times New Roman" w:hAnsi="Calibri" w:cs="Times New Roman"/>
          <w:color w:val="212121"/>
          <w:shd w:val="clear" w:color="auto" w:fill="FFFFFF"/>
          <w:lang w:val="en-GB"/>
        </w:rPr>
        <w:t xml:space="preserve">only </w:t>
      </w:r>
      <w:r w:rsidRPr="007404B3">
        <w:rPr>
          <w:rFonts w:ascii="Calibri" w:eastAsia="Times New Roman" w:hAnsi="Calibri" w:cs="Times New Roman"/>
          <w:color w:val="212121"/>
          <w:shd w:val="clear" w:color="auto" w:fill="FFFFFF"/>
          <w:lang w:val="en-GB"/>
        </w:rPr>
        <w:t>partly stem from a change of survey technology from postal survey to online survey.</w:t>
      </w:r>
      <w:r w:rsidR="000005AE">
        <w:rPr>
          <w:rFonts w:ascii="Calibri" w:eastAsia="Times New Roman" w:hAnsi="Calibri" w:cs="Times New Roman"/>
          <w:color w:val="212121"/>
          <w:shd w:val="clear" w:color="auto" w:fill="FFFFFF"/>
          <w:lang w:val="en-GB"/>
        </w:rPr>
        <w:t xml:space="preserve"> </w:t>
      </w:r>
      <w:r w:rsidRPr="007404B3">
        <w:rPr>
          <w:rFonts w:ascii="Calibri" w:eastAsia="Times New Roman" w:hAnsi="Calibri" w:cs="Times New Roman"/>
          <w:color w:val="212121"/>
          <w:shd w:val="clear" w:color="auto" w:fill="FFFFFF"/>
          <w:lang w:val="en-GB"/>
        </w:rPr>
        <w:t xml:space="preserve"> </w:t>
      </w:r>
      <w:r w:rsidR="000005AE">
        <w:rPr>
          <w:rFonts w:ascii="Calibri" w:eastAsia="Times New Roman" w:hAnsi="Calibri" w:cs="Times New Roman"/>
          <w:color w:val="212121"/>
          <w:shd w:val="clear" w:color="auto" w:fill="FFFFFF"/>
          <w:lang w:val="en-GB"/>
        </w:rPr>
        <w:t>Perhaps the main</w:t>
      </w:r>
      <w:r w:rsidRPr="007404B3">
        <w:rPr>
          <w:rFonts w:ascii="Calibri" w:eastAsia="Times New Roman" w:hAnsi="Calibri" w:cs="Times New Roman"/>
          <w:color w:val="212121"/>
          <w:shd w:val="clear" w:color="auto" w:fill="FFFFFF"/>
          <w:lang w:val="en-GB"/>
        </w:rPr>
        <w:t xml:space="preserve"> explanation for decreasing response rates may be a general fatigue among respondents towards surveys more broadly. </w:t>
      </w:r>
    </w:p>
    <w:p w14:paraId="17DD81E9" w14:textId="3F708EF8" w:rsidR="00DA55CA" w:rsidRDefault="00DA55CA" w:rsidP="007867A2">
      <w:pPr>
        <w:tabs>
          <w:tab w:val="center" w:pos="4533"/>
        </w:tabs>
        <w:rPr>
          <w:b/>
          <w:lang w:val="en-GB"/>
        </w:rPr>
      </w:pPr>
    </w:p>
    <w:p w14:paraId="6B02478F" w14:textId="5359A1B7" w:rsidR="00DA55CA" w:rsidRPr="006E3D5E" w:rsidRDefault="006E3D5E" w:rsidP="007867A2">
      <w:pPr>
        <w:tabs>
          <w:tab w:val="center" w:pos="4533"/>
        </w:tabs>
        <w:rPr>
          <w:b/>
          <w:lang w:val="en-GB"/>
        </w:rPr>
      </w:pPr>
      <w:r w:rsidRPr="006E3D5E">
        <w:rPr>
          <w:b/>
          <w:lang w:val="en-GB"/>
        </w:rPr>
        <w:t>Table 2</w:t>
      </w:r>
      <w:r w:rsidR="00DA55CA" w:rsidRPr="006E3D5E">
        <w:rPr>
          <w:b/>
          <w:lang w:val="en-GB"/>
        </w:rPr>
        <w:t xml:space="preserve"> </w:t>
      </w:r>
      <w:r w:rsidR="006134C0" w:rsidRPr="006E3D5E">
        <w:rPr>
          <w:b/>
          <w:lang w:val="en-GB"/>
        </w:rPr>
        <w:t>Sample size</w:t>
      </w:r>
      <w:r w:rsidR="00DA55CA" w:rsidRPr="006E3D5E">
        <w:rPr>
          <w:b/>
          <w:lang w:val="en-GB"/>
        </w:rPr>
        <w:t xml:space="preserve"> and response rates in the ministry surveys</w:t>
      </w:r>
      <w:r w:rsidRPr="006E3D5E">
        <w:rPr>
          <w:b/>
          <w:lang w:val="en-GB"/>
        </w:rPr>
        <w:t>,</w:t>
      </w:r>
      <w:r w:rsidR="00DA55CA" w:rsidRPr="006E3D5E">
        <w:rPr>
          <w:b/>
          <w:lang w:val="en-GB"/>
        </w:rPr>
        <w:t xml:space="preserve"> </w:t>
      </w:r>
      <w:r w:rsidR="007867A2">
        <w:rPr>
          <w:b/>
          <w:lang w:val="en-GB"/>
        </w:rPr>
        <w:t>by year</w:t>
      </w:r>
      <w:r w:rsidR="00DA55CA" w:rsidRPr="006E3D5E">
        <w:rPr>
          <w:b/>
          <w:lang w:val="en-GB"/>
        </w:rPr>
        <w:t xml:space="preserve"> </w:t>
      </w:r>
    </w:p>
    <w:tbl>
      <w:tblPr>
        <w:tblStyle w:val="Tabellrutenett"/>
        <w:tblW w:w="0" w:type="auto"/>
        <w:tblInd w:w="108" w:type="dxa"/>
        <w:tblLook w:val="04A0" w:firstRow="1" w:lastRow="0" w:firstColumn="1" w:lastColumn="0" w:noHBand="0" w:noVBand="1"/>
      </w:tblPr>
      <w:tblGrid>
        <w:gridCol w:w="2810"/>
        <w:gridCol w:w="1896"/>
        <w:gridCol w:w="2196"/>
        <w:gridCol w:w="2046"/>
      </w:tblGrid>
      <w:tr w:rsidR="00DA55CA" w:rsidRPr="006E3D5E" w14:paraId="00FF43A2" w14:textId="77777777" w:rsidTr="00ED3EA7">
        <w:trPr>
          <w:trHeight w:val="614"/>
        </w:trPr>
        <w:tc>
          <w:tcPr>
            <w:tcW w:w="2810" w:type="dxa"/>
            <w:shd w:val="clear" w:color="auto" w:fill="auto"/>
          </w:tcPr>
          <w:p w14:paraId="5982DFA5" w14:textId="77777777" w:rsidR="00DA55CA" w:rsidRPr="006E3D5E" w:rsidRDefault="00DA55CA" w:rsidP="00BC1F35">
            <w:pPr>
              <w:tabs>
                <w:tab w:val="center" w:pos="4533"/>
              </w:tabs>
              <w:rPr>
                <w:b/>
                <w:lang w:val="en-GB"/>
              </w:rPr>
            </w:pPr>
          </w:p>
        </w:tc>
        <w:tc>
          <w:tcPr>
            <w:tcW w:w="1896" w:type="dxa"/>
            <w:shd w:val="clear" w:color="auto" w:fill="auto"/>
          </w:tcPr>
          <w:p w14:paraId="0CCA97AF" w14:textId="77777777" w:rsidR="00DA55CA" w:rsidRPr="006E3D5E" w:rsidRDefault="00DA55CA" w:rsidP="00BC1F35">
            <w:pPr>
              <w:tabs>
                <w:tab w:val="center" w:pos="4533"/>
              </w:tabs>
              <w:jc w:val="center"/>
              <w:rPr>
                <w:b/>
                <w:lang w:val="en-GB"/>
              </w:rPr>
            </w:pPr>
            <w:r w:rsidRPr="006E3D5E">
              <w:rPr>
                <w:b/>
                <w:lang w:val="en-GB"/>
              </w:rPr>
              <w:t>1996</w:t>
            </w:r>
          </w:p>
        </w:tc>
        <w:tc>
          <w:tcPr>
            <w:tcW w:w="2196" w:type="dxa"/>
            <w:shd w:val="clear" w:color="auto" w:fill="auto"/>
          </w:tcPr>
          <w:p w14:paraId="5329C6C6" w14:textId="77777777" w:rsidR="00DA55CA" w:rsidRPr="006E3D5E" w:rsidRDefault="00DA55CA" w:rsidP="00BC1F35">
            <w:pPr>
              <w:tabs>
                <w:tab w:val="center" w:pos="4533"/>
              </w:tabs>
              <w:jc w:val="center"/>
              <w:rPr>
                <w:b/>
                <w:lang w:val="en-GB"/>
              </w:rPr>
            </w:pPr>
            <w:r w:rsidRPr="006E3D5E">
              <w:rPr>
                <w:b/>
                <w:lang w:val="en-GB"/>
              </w:rPr>
              <w:t>2006</w:t>
            </w:r>
          </w:p>
        </w:tc>
        <w:tc>
          <w:tcPr>
            <w:tcW w:w="2046" w:type="dxa"/>
            <w:shd w:val="clear" w:color="auto" w:fill="auto"/>
          </w:tcPr>
          <w:p w14:paraId="04BB8E99" w14:textId="77777777" w:rsidR="00DA55CA" w:rsidRPr="006E3D5E" w:rsidRDefault="00DA55CA" w:rsidP="00BC1F35">
            <w:pPr>
              <w:tabs>
                <w:tab w:val="center" w:pos="4533"/>
              </w:tabs>
              <w:jc w:val="center"/>
              <w:rPr>
                <w:b/>
                <w:lang w:val="en-GB"/>
              </w:rPr>
            </w:pPr>
            <w:r w:rsidRPr="006E3D5E">
              <w:rPr>
                <w:b/>
                <w:lang w:val="en-GB"/>
              </w:rPr>
              <w:t>2016</w:t>
            </w:r>
          </w:p>
        </w:tc>
      </w:tr>
      <w:tr w:rsidR="00DA55CA" w:rsidRPr="006E3D5E" w14:paraId="4515BC79" w14:textId="77777777" w:rsidTr="00ED3EA7">
        <w:trPr>
          <w:trHeight w:val="614"/>
        </w:trPr>
        <w:tc>
          <w:tcPr>
            <w:tcW w:w="2810" w:type="dxa"/>
            <w:shd w:val="clear" w:color="auto" w:fill="auto"/>
          </w:tcPr>
          <w:p w14:paraId="5BD25EE3" w14:textId="77777777" w:rsidR="00DA55CA" w:rsidRPr="006E3D5E" w:rsidRDefault="00DA55CA" w:rsidP="00BC1F35">
            <w:pPr>
              <w:tabs>
                <w:tab w:val="center" w:pos="4533"/>
              </w:tabs>
              <w:rPr>
                <w:b/>
                <w:lang w:val="en-GB"/>
              </w:rPr>
            </w:pPr>
            <w:r w:rsidRPr="006E3D5E">
              <w:rPr>
                <w:b/>
                <w:lang w:val="en-GB"/>
              </w:rPr>
              <w:t>N</w:t>
            </w:r>
          </w:p>
        </w:tc>
        <w:tc>
          <w:tcPr>
            <w:tcW w:w="1896" w:type="dxa"/>
          </w:tcPr>
          <w:p w14:paraId="308F1DC8" w14:textId="77777777" w:rsidR="00DA55CA" w:rsidRPr="006E3D5E" w:rsidRDefault="00DA55CA" w:rsidP="00BC1F35">
            <w:pPr>
              <w:tabs>
                <w:tab w:val="center" w:pos="4533"/>
              </w:tabs>
              <w:jc w:val="center"/>
              <w:rPr>
                <w:lang w:val="en-GB"/>
              </w:rPr>
            </w:pPr>
            <w:r w:rsidRPr="006E3D5E">
              <w:rPr>
                <w:lang w:val="en-GB"/>
              </w:rPr>
              <w:t>1497</w:t>
            </w:r>
          </w:p>
        </w:tc>
        <w:tc>
          <w:tcPr>
            <w:tcW w:w="2196" w:type="dxa"/>
          </w:tcPr>
          <w:p w14:paraId="7D76557F" w14:textId="77777777" w:rsidR="00DA55CA" w:rsidRPr="006E3D5E" w:rsidRDefault="00DA55CA" w:rsidP="00BC1F35">
            <w:pPr>
              <w:tabs>
                <w:tab w:val="center" w:pos="4533"/>
              </w:tabs>
              <w:jc w:val="center"/>
              <w:rPr>
                <w:lang w:val="en-GB"/>
              </w:rPr>
            </w:pPr>
            <w:r w:rsidRPr="006E3D5E">
              <w:rPr>
                <w:lang w:val="en-GB"/>
              </w:rPr>
              <w:t>1874</w:t>
            </w:r>
          </w:p>
        </w:tc>
        <w:tc>
          <w:tcPr>
            <w:tcW w:w="2046" w:type="dxa"/>
          </w:tcPr>
          <w:p w14:paraId="3FBAF328" w14:textId="6A21C760" w:rsidR="00DA55CA" w:rsidRPr="006E3D5E" w:rsidRDefault="00AA0768" w:rsidP="00BC1F35">
            <w:pPr>
              <w:tabs>
                <w:tab w:val="center" w:pos="4533"/>
              </w:tabs>
              <w:jc w:val="center"/>
              <w:rPr>
                <w:lang w:val="en-GB"/>
              </w:rPr>
            </w:pPr>
            <w:r w:rsidRPr="006E3D5E">
              <w:rPr>
                <w:lang w:val="en-GB"/>
              </w:rPr>
              <w:t>2322</w:t>
            </w:r>
          </w:p>
        </w:tc>
      </w:tr>
      <w:tr w:rsidR="00DA55CA" w:rsidRPr="006E3D5E" w14:paraId="3B6DB867" w14:textId="77777777" w:rsidTr="00ED3EA7">
        <w:trPr>
          <w:trHeight w:val="614"/>
        </w:trPr>
        <w:tc>
          <w:tcPr>
            <w:tcW w:w="2810" w:type="dxa"/>
            <w:shd w:val="clear" w:color="auto" w:fill="auto"/>
          </w:tcPr>
          <w:p w14:paraId="6DEC4253" w14:textId="77777777" w:rsidR="00DA55CA" w:rsidRPr="006E3D5E" w:rsidRDefault="00DA55CA" w:rsidP="00BC1F35">
            <w:pPr>
              <w:tabs>
                <w:tab w:val="center" w:pos="4533"/>
              </w:tabs>
              <w:rPr>
                <w:b/>
                <w:lang w:val="en-GB"/>
              </w:rPr>
            </w:pPr>
            <w:r w:rsidRPr="006E3D5E">
              <w:rPr>
                <w:b/>
                <w:lang w:val="en-GB"/>
              </w:rPr>
              <w:t>Response rates</w:t>
            </w:r>
          </w:p>
        </w:tc>
        <w:tc>
          <w:tcPr>
            <w:tcW w:w="1896" w:type="dxa"/>
          </w:tcPr>
          <w:p w14:paraId="1BB95839" w14:textId="77777777" w:rsidR="00DA55CA" w:rsidRPr="006E3D5E" w:rsidRDefault="00DA55CA" w:rsidP="00BC1F35">
            <w:pPr>
              <w:tabs>
                <w:tab w:val="center" w:pos="4533"/>
              </w:tabs>
              <w:jc w:val="center"/>
              <w:rPr>
                <w:lang w:val="en-GB"/>
              </w:rPr>
            </w:pPr>
            <w:r w:rsidRPr="006E3D5E">
              <w:rPr>
                <w:lang w:val="en-GB"/>
              </w:rPr>
              <w:t>72%</w:t>
            </w:r>
          </w:p>
        </w:tc>
        <w:tc>
          <w:tcPr>
            <w:tcW w:w="2196" w:type="dxa"/>
          </w:tcPr>
          <w:p w14:paraId="307A561A" w14:textId="77777777" w:rsidR="00DA55CA" w:rsidRPr="006E3D5E" w:rsidRDefault="00DA55CA" w:rsidP="00BC1F35">
            <w:pPr>
              <w:tabs>
                <w:tab w:val="center" w:pos="4533"/>
              </w:tabs>
              <w:jc w:val="center"/>
              <w:rPr>
                <w:lang w:val="en-GB"/>
              </w:rPr>
            </w:pPr>
            <w:r w:rsidRPr="006E3D5E">
              <w:rPr>
                <w:lang w:val="en-GB"/>
              </w:rPr>
              <w:t>67%</w:t>
            </w:r>
          </w:p>
        </w:tc>
        <w:tc>
          <w:tcPr>
            <w:tcW w:w="2046" w:type="dxa"/>
          </w:tcPr>
          <w:p w14:paraId="604603A7" w14:textId="3D4B3ECF" w:rsidR="00DA55CA" w:rsidRPr="006E3D5E" w:rsidRDefault="00AA0768" w:rsidP="00BC1F35">
            <w:pPr>
              <w:tabs>
                <w:tab w:val="center" w:pos="4533"/>
              </w:tabs>
              <w:jc w:val="center"/>
              <w:rPr>
                <w:lang w:val="en-GB"/>
              </w:rPr>
            </w:pPr>
            <w:r w:rsidRPr="006E3D5E">
              <w:rPr>
                <w:lang w:val="en-GB"/>
              </w:rPr>
              <w:t>60%</w:t>
            </w:r>
          </w:p>
        </w:tc>
      </w:tr>
    </w:tbl>
    <w:p w14:paraId="68308162" w14:textId="77777777" w:rsidR="004D3B7D" w:rsidRDefault="004D3B7D" w:rsidP="00877974">
      <w:pPr>
        <w:tabs>
          <w:tab w:val="center" w:pos="4533"/>
        </w:tabs>
        <w:spacing w:line="480" w:lineRule="auto"/>
        <w:jc w:val="both"/>
        <w:rPr>
          <w:lang w:val="en-GB"/>
        </w:rPr>
      </w:pPr>
    </w:p>
    <w:p w14:paraId="77F54888" w14:textId="7BEACAA1" w:rsidR="004D3B7D" w:rsidRPr="001C7BA8" w:rsidRDefault="004D3B7D" w:rsidP="001E771E">
      <w:pPr>
        <w:tabs>
          <w:tab w:val="center" w:pos="4533"/>
        </w:tabs>
        <w:rPr>
          <w:b/>
          <w:sz w:val="28"/>
          <w:szCs w:val="28"/>
          <w:lang w:val="en-GB"/>
        </w:rPr>
      </w:pPr>
      <w:r w:rsidRPr="001C7BA8">
        <w:rPr>
          <w:b/>
          <w:sz w:val="28"/>
          <w:szCs w:val="28"/>
          <w:lang w:val="en-GB"/>
        </w:rPr>
        <w:t xml:space="preserve">Past and Present: </w:t>
      </w:r>
      <w:r w:rsidR="00FB2332" w:rsidRPr="001C7BA8">
        <w:rPr>
          <w:b/>
          <w:sz w:val="28"/>
          <w:szCs w:val="28"/>
          <w:lang w:val="en-GB"/>
        </w:rPr>
        <w:t xml:space="preserve">The Norwegian central administration and </w:t>
      </w:r>
      <w:r w:rsidRPr="001C7BA8">
        <w:rPr>
          <w:b/>
          <w:sz w:val="28"/>
          <w:szCs w:val="28"/>
          <w:lang w:val="en-GB"/>
        </w:rPr>
        <w:t>20 years of EU</w:t>
      </w:r>
      <w:r w:rsidR="00FB2332" w:rsidRPr="001C7BA8">
        <w:rPr>
          <w:b/>
          <w:sz w:val="28"/>
          <w:szCs w:val="28"/>
          <w:lang w:val="en-GB"/>
        </w:rPr>
        <w:t>-affiliation</w:t>
      </w:r>
    </w:p>
    <w:p w14:paraId="17EC6EB6" w14:textId="4012FAAE" w:rsidR="004D3B7D" w:rsidRPr="001E771E" w:rsidRDefault="004D3B7D" w:rsidP="001E771E">
      <w:pPr>
        <w:rPr>
          <w:lang w:val="en-GB"/>
        </w:rPr>
      </w:pPr>
      <w:r w:rsidRPr="001E771E">
        <w:rPr>
          <w:lang w:val="en-GB"/>
        </w:rPr>
        <w:t xml:space="preserve">This section is organized as follows: </w:t>
      </w:r>
      <w:r w:rsidR="00D2325E" w:rsidRPr="001E771E">
        <w:rPr>
          <w:lang w:val="en-GB"/>
        </w:rPr>
        <w:t>first, it briefly describes main characteristics of the Norwegian central administration. Secondly</w:t>
      </w:r>
      <w:r w:rsidRPr="001E771E">
        <w:rPr>
          <w:lang w:val="en-GB"/>
        </w:rPr>
        <w:t>, it presents the main elements of the relations</w:t>
      </w:r>
      <w:r w:rsidR="002E3B9C" w:rsidRPr="001E771E">
        <w:rPr>
          <w:lang w:val="en-GB"/>
        </w:rPr>
        <w:t>hip between Norway and the EU</w:t>
      </w:r>
      <w:r w:rsidR="00D2325E" w:rsidRPr="001E771E">
        <w:rPr>
          <w:lang w:val="en-GB"/>
        </w:rPr>
        <w:t xml:space="preserve">. Finally, </w:t>
      </w:r>
      <w:r w:rsidRPr="001E771E">
        <w:rPr>
          <w:lang w:val="en-GB"/>
        </w:rPr>
        <w:t xml:space="preserve">it presents and analyses key findings from the </w:t>
      </w:r>
      <w:r w:rsidR="00FB2332" w:rsidRPr="001E771E">
        <w:rPr>
          <w:lang w:val="en-GB"/>
        </w:rPr>
        <w:t>surveys</w:t>
      </w:r>
      <w:r w:rsidRPr="001E771E">
        <w:rPr>
          <w:lang w:val="en-GB"/>
        </w:rPr>
        <w:t xml:space="preserve">. </w:t>
      </w:r>
    </w:p>
    <w:p w14:paraId="337E987C" w14:textId="77777777" w:rsidR="00D2325E" w:rsidRPr="001E771E" w:rsidRDefault="00D2325E" w:rsidP="001E771E">
      <w:pPr>
        <w:rPr>
          <w:i/>
          <w:lang w:val="en-GB"/>
        </w:rPr>
      </w:pPr>
    </w:p>
    <w:p w14:paraId="22450611" w14:textId="44197C3A" w:rsidR="00D2325E" w:rsidRPr="001E771E" w:rsidRDefault="00D2325E" w:rsidP="001E771E">
      <w:pPr>
        <w:rPr>
          <w:lang w:val="en-GB"/>
        </w:rPr>
      </w:pPr>
      <w:r w:rsidRPr="001E771E">
        <w:rPr>
          <w:lang w:val="en-GB"/>
        </w:rPr>
        <w:t xml:space="preserve">The Norwegian central administration is organized into </w:t>
      </w:r>
      <w:r w:rsidR="00FB2332" w:rsidRPr="001E771E">
        <w:rPr>
          <w:lang w:val="en-GB"/>
        </w:rPr>
        <w:t xml:space="preserve">core-executive </w:t>
      </w:r>
      <w:r w:rsidRPr="001E771E">
        <w:rPr>
          <w:lang w:val="en-GB"/>
        </w:rPr>
        <w:t>ministries and</w:t>
      </w:r>
      <w:r w:rsidR="00FB2332" w:rsidRPr="001E771E">
        <w:rPr>
          <w:lang w:val="en-GB"/>
        </w:rPr>
        <w:t xml:space="preserve"> subordinated</w:t>
      </w:r>
      <w:r w:rsidRPr="001E771E">
        <w:rPr>
          <w:lang w:val="en-GB"/>
        </w:rPr>
        <w:t xml:space="preserve"> agencies</w:t>
      </w:r>
      <w:r w:rsidR="00FB2332" w:rsidRPr="001E771E">
        <w:rPr>
          <w:lang w:val="en-GB"/>
        </w:rPr>
        <w:t>. The system is characterized by</w:t>
      </w:r>
      <w:r w:rsidRPr="001E771E">
        <w:rPr>
          <w:lang w:val="en-GB"/>
        </w:rPr>
        <w:t xml:space="preserve"> a ministerial primacy</w:t>
      </w:r>
      <w:r w:rsidR="00FB2332" w:rsidRPr="001E771E">
        <w:rPr>
          <w:lang w:val="en-GB"/>
        </w:rPr>
        <w:t xml:space="preserve"> where </w:t>
      </w:r>
      <w:r w:rsidR="00D44A74" w:rsidRPr="001E771E">
        <w:rPr>
          <w:lang w:val="en-GB"/>
        </w:rPr>
        <w:t xml:space="preserve">subordinated agencies are under </w:t>
      </w:r>
      <w:r w:rsidR="002E3B9C" w:rsidRPr="001E771E">
        <w:rPr>
          <w:lang w:val="en-GB"/>
        </w:rPr>
        <w:t>political steering</w:t>
      </w:r>
      <w:r w:rsidR="00D44A74" w:rsidRPr="001E771E">
        <w:rPr>
          <w:lang w:val="en-GB"/>
        </w:rPr>
        <w:t xml:space="preserve"> of the responsible minister and not</w:t>
      </w:r>
      <w:r w:rsidR="002E3B9C" w:rsidRPr="001E771E">
        <w:rPr>
          <w:lang w:val="en-GB"/>
        </w:rPr>
        <w:t xml:space="preserve"> primarily from</w:t>
      </w:r>
      <w:r w:rsidR="00D44A74" w:rsidRPr="001E771E">
        <w:rPr>
          <w:lang w:val="en-GB"/>
        </w:rPr>
        <w:t xml:space="preserve"> the government collegium as a whole</w:t>
      </w:r>
      <w:r w:rsidRPr="001E771E">
        <w:rPr>
          <w:lang w:val="en-GB"/>
        </w:rPr>
        <w:t>. The total number of employees within the central administration</w:t>
      </w:r>
      <w:r w:rsidRPr="001E771E">
        <w:rPr>
          <w:rStyle w:val="Fotnotereferanse"/>
          <w:lang w:val="en-GB"/>
        </w:rPr>
        <w:footnoteReference w:id="1"/>
      </w:r>
      <w:r w:rsidRPr="001E771E">
        <w:rPr>
          <w:lang w:val="en-GB"/>
        </w:rPr>
        <w:t xml:space="preserve"> has increased from around 13000 in 1994 to 21000 in 2015 of which 4600 are employed in the ministries and the remaining 16400 are employed in subordinate agencies</w:t>
      </w:r>
      <w:r w:rsidR="009747D6" w:rsidRPr="001E771E">
        <w:rPr>
          <w:lang w:val="en-GB"/>
        </w:rPr>
        <w:t xml:space="preserve"> (DiFi 2015)</w:t>
      </w:r>
      <w:r w:rsidRPr="001E771E">
        <w:rPr>
          <w:lang w:val="en-GB"/>
        </w:rPr>
        <w:t xml:space="preserve">. Whilst </w:t>
      </w:r>
      <w:r w:rsidR="00D44A74" w:rsidRPr="001E771E">
        <w:rPr>
          <w:lang w:val="en-GB"/>
        </w:rPr>
        <w:t xml:space="preserve">Norwegian </w:t>
      </w:r>
      <w:r w:rsidRPr="001E771E">
        <w:rPr>
          <w:lang w:val="en-GB"/>
        </w:rPr>
        <w:t>ministries are more like secretariats for the political leadership</w:t>
      </w:r>
      <w:r w:rsidR="00BC1F35">
        <w:rPr>
          <w:lang w:val="en-GB"/>
        </w:rPr>
        <w:t xml:space="preserve"> with</w:t>
      </w:r>
      <w:r w:rsidRPr="001E771E">
        <w:rPr>
          <w:lang w:val="en-GB"/>
        </w:rPr>
        <w:t xml:space="preserve"> to planning and coordinating functions (Christensen and Lægreid 2009), agencies are </w:t>
      </w:r>
      <w:r w:rsidR="002E3B9C" w:rsidRPr="001E771E">
        <w:rPr>
          <w:lang w:val="en-GB"/>
        </w:rPr>
        <w:t>mainly</w:t>
      </w:r>
      <w:r w:rsidRPr="001E771E">
        <w:rPr>
          <w:lang w:val="en-GB"/>
        </w:rPr>
        <w:t xml:space="preserve"> responsible for </w:t>
      </w:r>
      <w:r w:rsidR="002E3B9C" w:rsidRPr="001E771E">
        <w:rPr>
          <w:lang w:val="en-GB"/>
        </w:rPr>
        <w:t>advising ministries and being technical helpers, but are also essential ingredients in the political processes of preparing policies and</w:t>
      </w:r>
      <w:r w:rsidRPr="001E771E">
        <w:rPr>
          <w:lang w:val="en-GB"/>
        </w:rPr>
        <w:t xml:space="preserve"> implementing and administering </w:t>
      </w:r>
      <w:r w:rsidR="002E3B9C" w:rsidRPr="001E771E">
        <w:rPr>
          <w:lang w:val="en-GB"/>
        </w:rPr>
        <w:t>policies</w:t>
      </w:r>
      <w:r w:rsidRPr="001E771E">
        <w:rPr>
          <w:lang w:val="en-GB"/>
        </w:rPr>
        <w:t xml:space="preserve">.  </w:t>
      </w:r>
    </w:p>
    <w:p w14:paraId="0065D374" w14:textId="77777777" w:rsidR="004411BD" w:rsidRPr="001E771E" w:rsidRDefault="004411BD" w:rsidP="001E771E">
      <w:pPr>
        <w:rPr>
          <w:lang w:val="en-GB"/>
        </w:rPr>
      </w:pPr>
    </w:p>
    <w:p w14:paraId="1FD02832" w14:textId="20BF9F27" w:rsidR="002E3B9C" w:rsidRPr="001E771E" w:rsidRDefault="004411BD" w:rsidP="001E771E">
      <w:pPr>
        <w:rPr>
          <w:lang w:val="en-GB"/>
        </w:rPr>
      </w:pPr>
      <w:r w:rsidRPr="001E771E">
        <w:rPr>
          <w:lang w:val="en-GB"/>
        </w:rPr>
        <w:t xml:space="preserve">Whilst the </w:t>
      </w:r>
      <w:r w:rsidR="00D44A74" w:rsidRPr="001E771E">
        <w:rPr>
          <w:lang w:val="en-GB"/>
        </w:rPr>
        <w:t>19</w:t>
      </w:r>
      <w:r w:rsidRPr="001E771E">
        <w:rPr>
          <w:lang w:val="en-GB"/>
        </w:rPr>
        <w:t xml:space="preserve">80s </w:t>
      </w:r>
      <w:r w:rsidR="009747D6" w:rsidRPr="001E771E">
        <w:rPr>
          <w:lang w:val="en-GB"/>
        </w:rPr>
        <w:t xml:space="preserve">- </w:t>
      </w:r>
      <w:r w:rsidRPr="001E771E">
        <w:rPr>
          <w:lang w:val="en-GB"/>
        </w:rPr>
        <w:t xml:space="preserve">and 90s embraced </w:t>
      </w:r>
      <w:r w:rsidR="002E3B9C" w:rsidRPr="001E771E">
        <w:rPr>
          <w:lang w:val="en-GB"/>
        </w:rPr>
        <w:t>the New Public Management (</w:t>
      </w:r>
      <w:r w:rsidRPr="001E771E">
        <w:rPr>
          <w:lang w:val="en-GB"/>
        </w:rPr>
        <w:t>NPM</w:t>
      </w:r>
      <w:r w:rsidR="002E3B9C" w:rsidRPr="001E771E">
        <w:rPr>
          <w:lang w:val="en-GB"/>
        </w:rPr>
        <w:t>)</w:t>
      </w:r>
      <w:r w:rsidRPr="001E771E">
        <w:rPr>
          <w:lang w:val="en-GB"/>
        </w:rPr>
        <w:t xml:space="preserve"> </w:t>
      </w:r>
      <w:r w:rsidR="006A615A" w:rsidRPr="001E771E">
        <w:rPr>
          <w:lang w:val="en-GB"/>
        </w:rPr>
        <w:t xml:space="preserve">doctrines </w:t>
      </w:r>
      <w:r w:rsidR="002E3B9C" w:rsidRPr="001E771E">
        <w:rPr>
          <w:lang w:val="en-GB"/>
        </w:rPr>
        <w:t>which</w:t>
      </w:r>
      <w:r w:rsidR="006A615A" w:rsidRPr="001E771E">
        <w:rPr>
          <w:lang w:val="en-GB"/>
        </w:rPr>
        <w:t xml:space="preserve"> resulted in extensive decentralization of tasks to semi-detached agencies, the past decade has witnessed a </w:t>
      </w:r>
      <w:r w:rsidR="002E3B9C" w:rsidRPr="001E771E">
        <w:rPr>
          <w:lang w:val="en-GB"/>
        </w:rPr>
        <w:t>shift towards ´joint-up government´</w:t>
      </w:r>
      <w:r w:rsidR="00D44A74" w:rsidRPr="001E771E">
        <w:rPr>
          <w:lang w:val="en-GB"/>
        </w:rPr>
        <w:t>/</w:t>
      </w:r>
      <w:r w:rsidR="002E3B9C" w:rsidRPr="001E771E">
        <w:rPr>
          <w:lang w:val="en-GB"/>
        </w:rPr>
        <w:t>´whole-of-government´</w:t>
      </w:r>
      <w:r w:rsidR="00D44A74" w:rsidRPr="001E771E">
        <w:rPr>
          <w:lang w:val="en-GB"/>
        </w:rPr>
        <w:t xml:space="preserve"> doctrines</w:t>
      </w:r>
      <w:r w:rsidR="00D2325E" w:rsidRPr="001E771E">
        <w:rPr>
          <w:lang w:val="en-GB"/>
        </w:rPr>
        <w:t xml:space="preserve"> (Christensen and Lægreid 2007). A core feature of </w:t>
      </w:r>
      <w:r w:rsidR="002E3B9C" w:rsidRPr="001E771E">
        <w:rPr>
          <w:lang w:val="en-GB"/>
        </w:rPr>
        <w:t>the latter reform wave</w:t>
      </w:r>
      <w:r w:rsidR="00D2325E" w:rsidRPr="001E771E">
        <w:rPr>
          <w:lang w:val="en-GB"/>
        </w:rPr>
        <w:t xml:space="preserve"> has been increased </w:t>
      </w:r>
      <w:r w:rsidR="002E3B9C" w:rsidRPr="001E771E">
        <w:rPr>
          <w:lang w:val="en-GB"/>
        </w:rPr>
        <w:t xml:space="preserve">focus on political and administrative </w:t>
      </w:r>
      <w:r w:rsidR="00D2325E" w:rsidRPr="001E771E">
        <w:rPr>
          <w:lang w:val="en-GB"/>
        </w:rPr>
        <w:t xml:space="preserve">coordination to counterbalance fragmentation caused by NPM initiatives (Christensen and Lægreid 2007). This denotes </w:t>
      </w:r>
      <w:r w:rsidR="00D44A74" w:rsidRPr="001E771E">
        <w:rPr>
          <w:lang w:val="en-GB"/>
        </w:rPr>
        <w:t xml:space="preserve">ambitions for </w:t>
      </w:r>
      <w:r w:rsidR="00D2325E" w:rsidRPr="001E771E">
        <w:rPr>
          <w:lang w:val="en-GB"/>
        </w:rPr>
        <w:t xml:space="preserve">increased political control over the </w:t>
      </w:r>
      <w:r w:rsidR="00D44A74" w:rsidRPr="001E771E">
        <w:rPr>
          <w:lang w:val="en-GB"/>
        </w:rPr>
        <w:t xml:space="preserve">central </w:t>
      </w:r>
      <w:r w:rsidR="00D2325E" w:rsidRPr="001E771E">
        <w:rPr>
          <w:lang w:val="en-GB"/>
        </w:rPr>
        <w:t>administration in an attempt to, amongst others, achieve horiz</w:t>
      </w:r>
      <w:r w:rsidR="002E3B9C" w:rsidRPr="001E771E">
        <w:rPr>
          <w:lang w:val="en-GB"/>
        </w:rPr>
        <w:t>ontal and vertical coordination of the core-executive apparatus</w:t>
      </w:r>
      <w:r w:rsidR="00D2325E" w:rsidRPr="001E771E">
        <w:rPr>
          <w:lang w:val="en-GB"/>
        </w:rPr>
        <w:t xml:space="preserve">. To a certain degree, </w:t>
      </w:r>
      <w:r w:rsidR="00D2325E" w:rsidRPr="001E771E">
        <w:rPr>
          <w:lang w:val="en-GB"/>
        </w:rPr>
        <w:lastRenderedPageBreak/>
        <w:t xml:space="preserve">such tendencies have arguably been mirrored in political initiatives in the field of EU policy and politics in the </w:t>
      </w:r>
      <w:r w:rsidR="00D44A74" w:rsidRPr="001E771E">
        <w:rPr>
          <w:lang w:val="en-GB"/>
        </w:rPr>
        <w:t xml:space="preserve">Norwegian </w:t>
      </w:r>
      <w:r w:rsidR="00D2325E" w:rsidRPr="001E771E">
        <w:rPr>
          <w:lang w:val="en-GB"/>
        </w:rPr>
        <w:t xml:space="preserve">central administration. </w:t>
      </w:r>
      <w:r w:rsidR="00051F35">
        <w:rPr>
          <w:lang w:val="en-GB"/>
        </w:rPr>
        <w:t>For example, t</w:t>
      </w:r>
      <w:r w:rsidR="00D2325E" w:rsidRPr="001E771E">
        <w:rPr>
          <w:lang w:val="en-GB"/>
        </w:rPr>
        <w:t xml:space="preserve">he establishment of a Norwegian minister of European Affairs in 2013 may be interpreted as a quest for increased political control and coordination </w:t>
      </w:r>
      <w:r w:rsidR="00D44A74" w:rsidRPr="001E771E">
        <w:rPr>
          <w:lang w:val="en-GB"/>
        </w:rPr>
        <w:t>of</w:t>
      </w:r>
      <w:r w:rsidR="00D2325E" w:rsidRPr="001E771E">
        <w:rPr>
          <w:lang w:val="en-GB"/>
        </w:rPr>
        <w:t xml:space="preserve"> EU related work</w:t>
      </w:r>
      <w:r w:rsidR="00D44A74" w:rsidRPr="001E771E">
        <w:rPr>
          <w:lang w:val="en-GB"/>
        </w:rPr>
        <w:t xml:space="preserve"> in the central administration</w:t>
      </w:r>
      <w:r w:rsidR="00C33D2A" w:rsidRPr="001E771E">
        <w:rPr>
          <w:lang w:val="en-GB"/>
        </w:rPr>
        <w:t xml:space="preserve"> (Trondal and Stie 2015)</w:t>
      </w:r>
      <w:r w:rsidR="00D2325E" w:rsidRPr="001E771E">
        <w:rPr>
          <w:lang w:val="en-GB"/>
        </w:rPr>
        <w:t>. It is commonly assumed, both</w:t>
      </w:r>
      <w:r w:rsidR="00D44A74" w:rsidRPr="001E771E">
        <w:rPr>
          <w:lang w:val="en-GB"/>
        </w:rPr>
        <w:t xml:space="preserve"> among</w:t>
      </w:r>
      <w:r w:rsidR="00D2325E" w:rsidRPr="001E771E">
        <w:rPr>
          <w:lang w:val="en-GB"/>
        </w:rPr>
        <w:t xml:space="preserve"> civil servants </w:t>
      </w:r>
      <w:r w:rsidR="00D44A74" w:rsidRPr="001E771E">
        <w:rPr>
          <w:lang w:val="en-GB"/>
        </w:rPr>
        <w:t>and in much</w:t>
      </w:r>
      <w:r w:rsidR="00D2325E" w:rsidRPr="001E771E">
        <w:rPr>
          <w:lang w:val="en-GB"/>
        </w:rPr>
        <w:t xml:space="preserve"> literature (</w:t>
      </w:r>
      <w:r w:rsidR="00D44A74" w:rsidRPr="001E771E">
        <w:rPr>
          <w:lang w:val="en-GB"/>
        </w:rPr>
        <w:t xml:space="preserve">e.g. </w:t>
      </w:r>
      <w:r w:rsidR="00D2325E" w:rsidRPr="001E771E">
        <w:rPr>
          <w:lang w:val="en-GB"/>
        </w:rPr>
        <w:t xml:space="preserve">Kassim et </w:t>
      </w:r>
      <w:r w:rsidR="0065415A" w:rsidRPr="001E771E">
        <w:rPr>
          <w:lang w:val="en-GB"/>
        </w:rPr>
        <w:t>a</w:t>
      </w:r>
      <w:r w:rsidR="00D2325E" w:rsidRPr="001E771E">
        <w:rPr>
          <w:lang w:val="en-GB"/>
        </w:rPr>
        <w:t>l</w:t>
      </w:r>
      <w:r w:rsidR="00D44A74" w:rsidRPr="001E771E">
        <w:rPr>
          <w:lang w:val="en-GB"/>
        </w:rPr>
        <w:t>.</w:t>
      </w:r>
      <w:r w:rsidR="00D2325E" w:rsidRPr="001E771E">
        <w:rPr>
          <w:lang w:val="en-GB"/>
        </w:rPr>
        <w:t xml:space="preserve"> 2000; St. mld nr. 23 </w:t>
      </w:r>
      <w:r w:rsidR="00D44A74" w:rsidRPr="001E771E">
        <w:rPr>
          <w:lang w:val="en-GB"/>
        </w:rPr>
        <w:t>(</w:t>
      </w:r>
      <w:r w:rsidR="00D2325E" w:rsidRPr="001E771E">
        <w:rPr>
          <w:lang w:val="en-GB"/>
        </w:rPr>
        <w:t>2005-06</w:t>
      </w:r>
      <w:r w:rsidR="00D44A74" w:rsidRPr="001E771E">
        <w:rPr>
          <w:lang w:val="en-GB"/>
        </w:rPr>
        <w:t>)</w:t>
      </w:r>
      <w:r w:rsidR="00D2325E" w:rsidRPr="001E771E">
        <w:rPr>
          <w:lang w:val="en-GB"/>
        </w:rPr>
        <w:t>),</w:t>
      </w:r>
      <w:r w:rsidR="00051F35">
        <w:rPr>
          <w:lang w:val="en-GB"/>
        </w:rPr>
        <w:t xml:space="preserve"> </w:t>
      </w:r>
      <w:r w:rsidR="00D2325E" w:rsidRPr="001E771E">
        <w:rPr>
          <w:lang w:val="en-GB"/>
        </w:rPr>
        <w:t xml:space="preserve">that coherency and coordination within the central administration as a whole increases likelihood of successfully influencing policy outcomes at the </w:t>
      </w:r>
      <w:r w:rsidR="00D44A74" w:rsidRPr="001E771E">
        <w:rPr>
          <w:lang w:val="en-GB"/>
        </w:rPr>
        <w:t xml:space="preserve">EU </w:t>
      </w:r>
      <w:r w:rsidR="00D2325E" w:rsidRPr="001E771E">
        <w:rPr>
          <w:lang w:val="en-GB"/>
        </w:rPr>
        <w:t xml:space="preserve">level. </w:t>
      </w:r>
    </w:p>
    <w:p w14:paraId="545CC0E0" w14:textId="77777777" w:rsidR="002E3B9C" w:rsidRPr="001E771E" w:rsidRDefault="002E3B9C" w:rsidP="001E771E">
      <w:pPr>
        <w:rPr>
          <w:lang w:val="en-GB"/>
        </w:rPr>
      </w:pPr>
    </w:p>
    <w:p w14:paraId="240E056A" w14:textId="2722F050" w:rsidR="004D3B7D" w:rsidRPr="001E771E" w:rsidRDefault="004D3B7D" w:rsidP="001E771E">
      <w:pPr>
        <w:rPr>
          <w:lang w:val="en-GB"/>
        </w:rPr>
      </w:pPr>
      <w:r w:rsidRPr="001E771E">
        <w:rPr>
          <w:lang w:val="en-GB"/>
        </w:rPr>
        <w:t>When the EEA agreement entered into force on January 1</w:t>
      </w:r>
      <w:r w:rsidRPr="001E771E">
        <w:rPr>
          <w:vertAlign w:val="superscript"/>
          <w:lang w:val="en-GB"/>
        </w:rPr>
        <w:t>st</w:t>
      </w:r>
      <w:r w:rsidRPr="001E771E">
        <w:rPr>
          <w:lang w:val="en-GB"/>
        </w:rPr>
        <w:t xml:space="preserve"> 1994 it marked the beginning of a new area of political and economic cooperation between the EU and Norway. At the time, the EEA agreement was viewed by many as a </w:t>
      </w:r>
      <w:r w:rsidRPr="001E771E">
        <w:rPr>
          <w:i/>
          <w:lang w:val="en-GB"/>
        </w:rPr>
        <w:t>prelude</w:t>
      </w:r>
      <w:r w:rsidRPr="001E771E">
        <w:rPr>
          <w:lang w:val="en-GB"/>
        </w:rPr>
        <w:t xml:space="preserve"> </w:t>
      </w:r>
      <w:r w:rsidR="002E3B9C" w:rsidRPr="001E771E">
        <w:rPr>
          <w:lang w:val="en-GB"/>
        </w:rPr>
        <w:t xml:space="preserve">and an </w:t>
      </w:r>
      <w:r w:rsidR="002E3B9C" w:rsidRPr="001E771E">
        <w:rPr>
          <w:i/>
          <w:lang w:val="en-GB"/>
        </w:rPr>
        <w:t>interim-period</w:t>
      </w:r>
      <w:r w:rsidR="002E3B9C" w:rsidRPr="001E771E">
        <w:rPr>
          <w:lang w:val="en-GB"/>
        </w:rPr>
        <w:t xml:space="preserve"> </w:t>
      </w:r>
      <w:r w:rsidRPr="001E771E">
        <w:rPr>
          <w:lang w:val="en-GB"/>
        </w:rPr>
        <w:t xml:space="preserve">to full </w:t>
      </w:r>
      <w:r w:rsidR="005625D9" w:rsidRPr="001E771E">
        <w:rPr>
          <w:lang w:val="en-GB"/>
        </w:rPr>
        <w:t xml:space="preserve">EU </w:t>
      </w:r>
      <w:r w:rsidRPr="001E771E">
        <w:rPr>
          <w:lang w:val="en-GB"/>
        </w:rPr>
        <w:t xml:space="preserve">membership as the prospects of such were both open as well as vigorously pursued by the then-government. However, the following November when Norway rejected EU membership in a heated </w:t>
      </w:r>
      <w:r w:rsidR="005625D9" w:rsidRPr="001E771E">
        <w:rPr>
          <w:lang w:val="en-GB"/>
        </w:rPr>
        <w:t xml:space="preserve">national </w:t>
      </w:r>
      <w:r w:rsidRPr="001E771E">
        <w:rPr>
          <w:lang w:val="en-GB"/>
        </w:rPr>
        <w:t xml:space="preserve">referendum, the EEA agreement </w:t>
      </w:r>
      <w:r w:rsidR="005625D9" w:rsidRPr="001E771E">
        <w:rPr>
          <w:lang w:val="en-GB"/>
        </w:rPr>
        <w:t>recurred as Norway´s</w:t>
      </w:r>
      <w:r w:rsidRPr="001E771E">
        <w:rPr>
          <w:lang w:val="en-GB"/>
        </w:rPr>
        <w:t xml:space="preserve"> </w:t>
      </w:r>
      <w:r w:rsidR="005625D9" w:rsidRPr="001E771E">
        <w:rPr>
          <w:lang w:val="en-GB"/>
        </w:rPr>
        <w:t>foundation</w:t>
      </w:r>
      <w:r w:rsidRPr="001E771E">
        <w:rPr>
          <w:lang w:val="en-GB"/>
        </w:rPr>
        <w:t xml:space="preserve"> </w:t>
      </w:r>
      <w:r w:rsidR="005625D9" w:rsidRPr="001E771E">
        <w:rPr>
          <w:lang w:val="en-GB"/>
        </w:rPr>
        <w:t>towards the EU</w:t>
      </w:r>
      <w:r w:rsidRPr="001E771E">
        <w:rPr>
          <w:lang w:val="en-GB"/>
        </w:rPr>
        <w:t xml:space="preserve"> and </w:t>
      </w:r>
      <w:r w:rsidR="005625D9" w:rsidRPr="001E771E">
        <w:rPr>
          <w:lang w:val="en-GB"/>
        </w:rPr>
        <w:t>set the parameters</w:t>
      </w:r>
      <w:r w:rsidRPr="001E771E">
        <w:rPr>
          <w:lang w:val="en-GB"/>
        </w:rPr>
        <w:t xml:space="preserve"> for Norway as an </w:t>
      </w:r>
      <w:r w:rsidR="005625D9" w:rsidRPr="001E771E">
        <w:rPr>
          <w:lang w:val="en-GB"/>
        </w:rPr>
        <w:t>´</w:t>
      </w:r>
      <w:r w:rsidRPr="001E771E">
        <w:rPr>
          <w:lang w:val="en-GB"/>
        </w:rPr>
        <w:t>active player</w:t>
      </w:r>
      <w:r w:rsidR="005625D9" w:rsidRPr="001E771E">
        <w:rPr>
          <w:lang w:val="en-GB"/>
        </w:rPr>
        <w:t>´</w:t>
      </w:r>
      <w:r w:rsidRPr="001E771E">
        <w:rPr>
          <w:lang w:val="en-GB"/>
        </w:rPr>
        <w:t xml:space="preserve"> on the </w:t>
      </w:r>
      <w:r w:rsidR="005625D9" w:rsidRPr="001E771E">
        <w:rPr>
          <w:lang w:val="en-GB"/>
        </w:rPr>
        <w:t>EU</w:t>
      </w:r>
      <w:r w:rsidRPr="001E771E">
        <w:rPr>
          <w:lang w:val="en-GB"/>
        </w:rPr>
        <w:t xml:space="preserve"> stage in the years to come. Additionally, close historical and cultural ties as well as common </w:t>
      </w:r>
      <w:r w:rsidR="00D44A74" w:rsidRPr="001E771E">
        <w:rPr>
          <w:lang w:val="en-GB"/>
        </w:rPr>
        <w:t>interests on a host of policy areas</w:t>
      </w:r>
      <w:r w:rsidRPr="001E771E">
        <w:rPr>
          <w:lang w:val="en-GB"/>
        </w:rPr>
        <w:t xml:space="preserve"> led to</w:t>
      </w:r>
      <w:r w:rsidR="008A1D00" w:rsidRPr="001E771E">
        <w:rPr>
          <w:lang w:val="en-GB"/>
        </w:rPr>
        <w:t xml:space="preserve"> subsequent</w:t>
      </w:r>
      <w:r w:rsidRPr="001E771E">
        <w:rPr>
          <w:lang w:val="en-GB"/>
        </w:rPr>
        <w:t xml:space="preserve"> cooperation and agreements in areas outside the framework of the EEA agreement (Meld.St 5 </w:t>
      </w:r>
      <w:r w:rsidR="008A1D00" w:rsidRPr="001E771E">
        <w:rPr>
          <w:lang w:val="en-GB"/>
        </w:rPr>
        <w:t>(</w:t>
      </w:r>
      <w:r w:rsidRPr="001E771E">
        <w:rPr>
          <w:lang w:val="en-GB"/>
        </w:rPr>
        <w:t>2012-13</w:t>
      </w:r>
      <w:r w:rsidR="008A1D00" w:rsidRPr="001E771E">
        <w:rPr>
          <w:lang w:val="en-GB"/>
        </w:rPr>
        <w:t>)</w:t>
      </w:r>
      <w:r w:rsidRPr="001E771E">
        <w:rPr>
          <w:lang w:val="en-GB"/>
        </w:rPr>
        <w:t xml:space="preserve">). </w:t>
      </w:r>
      <w:r w:rsidR="008A1D00" w:rsidRPr="001E771E">
        <w:rPr>
          <w:lang w:val="en-GB"/>
        </w:rPr>
        <w:t>At present</w:t>
      </w:r>
      <w:r w:rsidR="0065415A" w:rsidRPr="001E771E">
        <w:rPr>
          <w:lang w:val="en-GB"/>
        </w:rPr>
        <w:t xml:space="preserve"> there are</w:t>
      </w:r>
      <w:r w:rsidRPr="001E771E">
        <w:rPr>
          <w:lang w:val="en-GB"/>
        </w:rPr>
        <w:t xml:space="preserve"> </w:t>
      </w:r>
      <w:r w:rsidR="000005AE" w:rsidRPr="001E771E">
        <w:rPr>
          <w:lang w:val="en-GB"/>
        </w:rPr>
        <w:t>approximately</w:t>
      </w:r>
      <w:r w:rsidR="008A1D00" w:rsidRPr="001E771E">
        <w:rPr>
          <w:lang w:val="en-GB"/>
        </w:rPr>
        <w:t xml:space="preserve"> </w:t>
      </w:r>
      <w:r w:rsidRPr="001E771E">
        <w:rPr>
          <w:lang w:val="en-GB"/>
        </w:rPr>
        <w:t>70 agreements</w:t>
      </w:r>
      <w:r w:rsidR="008A1D00" w:rsidRPr="001E771E">
        <w:rPr>
          <w:lang w:val="en-GB"/>
        </w:rPr>
        <w:t xml:space="preserve"> </w:t>
      </w:r>
      <w:r w:rsidR="0065415A" w:rsidRPr="001E771E">
        <w:rPr>
          <w:lang w:val="en-GB"/>
        </w:rPr>
        <w:t>between the Norwegian government and</w:t>
      </w:r>
      <w:r w:rsidRPr="001E771E">
        <w:rPr>
          <w:lang w:val="en-GB"/>
        </w:rPr>
        <w:t xml:space="preserve"> the EU, with the EEA and Schengen being the most </w:t>
      </w:r>
      <w:r w:rsidR="008A1D00" w:rsidRPr="001E771E">
        <w:rPr>
          <w:lang w:val="en-GB"/>
        </w:rPr>
        <w:t>encompassing</w:t>
      </w:r>
      <w:r w:rsidRPr="001E771E">
        <w:rPr>
          <w:lang w:val="en-GB"/>
        </w:rPr>
        <w:t xml:space="preserve">. The </w:t>
      </w:r>
      <w:r w:rsidRPr="001E771E">
        <w:rPr>
          <w:i/>
          <w:lang w:val="en-GB"/>
        </w:rPr>
        <w:t>dynamic</w:t>
      </w:r>
      <w:r w:rsidRPr="001E771E">
        <w:rPr>
          <w:lang w:val="en-GB"/>
        </w:rPr>
        <w:t xml:space="preserve"> </w:t>
      </w:r>
      <w:r w:rsidR="008A1D00" w:rsidRPr="001E771E">
        <w:rPr>
          <w:lang w:val="en-GB"/>
        </w:rPr>
        <w:t xml:space="preserve">character of the </w:t>
      </w:r>
      <w:r w:rsidRPr="001E771E">
        <w:rPr>
          <w:lang w:val="en-GB"/>
        </w:rPr>
        <w:t xml:space="preserve">EEA agreement requires Norway to </w:t>
      </w:r>
      <w:r w:rsidR="008A1D00" w:rsidRPr="001E771E">
        <w:rPr>
          <w:lang w:val="en-GB"/>
        </w:rPr>
        <w:t xml:space="preserve">continuously </w:t>
      </w:r>
      <w:r w:rsidRPr="001E771E">
        <w:rPr>
          <w:lang w:val="en-GB"/>
        </w:rPr>
        <w:t>adjust to EU legislation</w:t>
      </w:r>
      <w:r w:rsidR="008A1D00" w:rsidRPr="001E771E">
        <w:rPr>
          <w:lang w:val="en-GB"/>
        </w:rPr>
        <w:t>.</w:t>
      </w:r>
      <w:r w:rsidRPr="001E771E">
        <w:rPr>
          <w:lang w:val="en-GB"/>
        </w:rPr>
        <w:t xml:space="preserve"> </w:t>
      </w:r>
      <w:r w:rsidR="008A1D00" w:rsidRPr="001E771E">
        <w:rPr>
          <w:lang w:val="en-GB"/>
        </w:rPr>
        <w:t>Y</w:t>
      </w:r>
      <w:r w:rsidRPr="001E771E">
        <w:rPr>
          <w:lang w:val="en-GB"/>
        </w:rPr>
        <w:t>et</w:t>
      </w:r>
      <w:r w:rsidR="008A1D00" w:rsidRPr="001E771E">
        <w:rPr>
          <w:lang w:val="en-GB"/>
        </w:rPr>
        <w:t>,</w:t>
      </w:r>
      <w:r w:rsidRPr="001E771E">
        <w:rPr>
          <w:lang w:val="en-GB"/>
        </w:rPr>
        <w:t xml:space="preserve"> at the same time</w:t>
      </w:r>
      <w:r w:rsidR="008A1D00" w:rsidRPr="001E771E">
        <w:rPr>
          <w:lang w:val="en-GB"/>
        </w:rPr>
        <w:t xml:space="preserve"> it</w:t>
      </w:r>
      <w:r w:rsidRPr="001E771E">
        <w:rPr>
          <w:lang w:val="en-GB"/>
        </w:rPr>
        <w:t xml:space="preserve"> politically blocks </w:t>
      </w:r>
      <w:r w:rsidR="008A1D00" w:rsidRPr="001E771E">
        <w:rPr>
          <w:lang w:val="en-GB"/>
        </w:rPr>
        <w:t xml:space="preserve">Norwegian governments </w:t>
      </w:r>
      <w:r w:rsidRPr="001E771E">
        <w:rPr>
          <w:lang w:val="en-GB"/>
        </w:rPr>
        <w:t xml:space="preserve">from </w:t>
      </w:r>
      <w:r w:rsidR="008A1D00" w:rsidRPr="001E771E">
        <w:rPr>
          <w:lang w:val="en-GB"/>
        </w:rPr>
        <w:t>being represented</w:t>
      </w:r>
      <w:r w:rsidRPr="001E771E">
        <w:rPr>
          <w:lang w:val="en-GB"/>
        </w:rPr>
        <w:t xml:space="preserve"> </w:t>
      </w:r>
      <w:r w:rsidR="008A1D00" w:rsidRPr="001E771E">
        <w:rPr>
          <w:lang w:val="en-GB"/>
        </w:rPr>
        <w:t>in the Council</w:t>
      </w:r>
      <w:r w:rsidR="005625D9" w:rsidRPr="001E771E">
        <w:rPr>
          <w:lang w:val="en-GB"/>
        </w:rPr>
        <w:t xml:space="preserve"> (and most other EU institutions)</w:t>
      </w:r>
      <w:r w:rsidRPr="001E771E">
        <w:rPr>
          <w:lang w:val="en-GB"/>
        </w:rPr>
        <w:t>. Nonetheless, whereas</w:t>
      </w:r>
      <w:r w:rsidR="008A1D00" w:rsidRPr="001E771E">
        <w:rPr>
          <w:lang w:val="en-GB"/>
        </w:rPr>
        <w:t xml:space="preserve"> Norway’s associated status does not grant Norway</w:t>
      </w:r>
      <w:r w:rsidRPr="001E771E">
        <w:rPr>
          <w:lang w:val="en-GB"/>
        </w:rPr>
        <w:t xml:space="preserve"> formal access to</w:t>
      </w:r>
      <w:r w:rsidR="008A1D00" w:rsidRPr="001E771E">
        <w:rPr>
          <w:lang w:val="en-GB"/>
        </w:rPr>
        <w:t xml:space="preserve"> EU’s</w:t>
      </w:r>
      <w:r w:rsidRPr="001E771E">
        <w:rPr>
          <w:lang w:val="en-GB"/>
        </w:rPr>
        <w:t xml:space="preserve"> decision-making institutions, the EEA agreement does provide for </w:t>
      </w:r>
      <w:r w:rsidRPr="001E771E">
        <w:rPr>
          <w:i/>
          <w:lang w:val="en-GB"/>
        </w:rPr>
        <w:t>administrative</w:t>
      </w:r>
      <w:r w:rsidRPr="001E771E">
        <w:rPr>
          <w:lang w:val="en-GB"/>
        </w:rPr>
        <w:t xml:space="preserve"> partici</w:t>
      </w:r>
      <w:r w:rsidR="005625D9" w:rsidRPr="001E771E">
        <w:rPr>
          <w:lang w:val="en-GB"/>
        </w:rPr>
        <w:t xml:space="preserve">pation at various stages of EU´s </w:t>
      </w:r>
      <w:r w:rsidRPr="001E771E">
        <w:rPr>
          <w:lang w:val="en-GB"/>
        </w:rPr>
        <w:t>legislative process.</w:t>
      </w:r>
      <w:r w:rsidR="005625D9" w:rsidRPr="001E771E">
        <w:rPr>
          <w:lang w:val="en-GB"/>
        </w:rPr>
        <w:t xml:space="preserve"> Norwegian ministries and agencies are represented in Commission expert committees and comitology committees, sit on most management boards of EU agencies, and are entitled to send national seconded </w:t>
      </w:r>
      <w:r w:rsidR="009604EE">
        <w:rPr>
          <w:lang w:val="en-GB"/>
        </w:rPr>
        <w:t>experts</w:t>
      </w:r>
      <w:r w:rsidR="009604EE" w:rsidRPr="001E771E">
        <w:rPr>
          <w:lang w:val="en-GB"/>
        </w:rPr>
        <w:t xml:space="preserve"> </w:t>
      </w:r>
      <w:r w:rsidR="005625D9" w:rsidRPr="001E771E">
        <w:rPr>
          <w:lang w:val="en-GB"/>
        </w:rPr>
        <w:t>to the Commission.</w:t>
      </w:r>
      <w:r w:rsidRPr="001E771E">
        <w:rPr>
          <w:lang w:val="en-GB"/>
        </w:rPr>
        <w:t xml:space="preserve"> It is </w:t>
      </w:r>
      <w:r w:rsidR="008A1D00" w:rsidRPr="001E771E">
        <w:rPr>
          <w:lang w:val="en-GB"/>
        </w:rPr>
        <w:t xml:space="preserve">thus </w:t>
      </w:r>
      <w:r w:rsidRPr="001E771E">
        <w:rPr>
          <w:lang w:val="en-GB"/>
        </w:rPr>
        <w:t xml:space="preserve">largely </w:t>
      </w:r>
      <w:r w:rsidR="008A1D00" w:rsidRPr="001E771E">
        <w:rPr>
          <w:lang w:val="en-GB"/>
        </w:rPr>
        <w:t>Norwegian</w:t>
      </w:r>
      <w:r w:rsidRPr="001E771E">
        <w:rPr>
          <w:lang w:val="en-GB"/>
        </w:rPr>
        <w:t xml:space="preserve"> civil </w:t>
      </w:r>
      <w:r w:rsidR="008A1D00" w:rsidRPr="001E771E">
        <w:rPr>
          <w:lang w:val="en-GB"/>
        </w:rPr>
        <w:t xml:space="preserve">servants </w:t>
      </w:r>
      <w:r w:rsidRPr="001E771E">
        <w:rPr>
          <w:lang w:val="en-GB"/>
        </w:rPr>
        <w:t>that</w:t>
      </w:r>
      <w:r w:rsidR="005625D9" w:rsidRPr="001E771E">
        <w:rPr>
          <w:lang w:val="en-GB"/>
        </w:rPr>
        <w:t xml:space="preserve"> are involved in EU-related work within the government apparatus and who</w:t>
      </w:r>
      <w:r w:rsidRPr="001E771E">
        <w:rPr>
          <w:lang w:val="en-GB"/>
        </w:rPr>
        <w:t xml:space="preserve"> </w:t>
      </w:r>
      <w:r w:rsidR="008A1D00" w:rsidRPr="001E771E">
        <w:rPr>
          <w:lang w:val="en-GB"/>
        </w:rPr>
        <w:t xml:space="preserve">remain </w:t>
      </w:r>
      <w:r w:rsidR="005625D9" w:rsidRPr="001E771E">
        <w:rPr>
          <w:lang w:val="en-GB"/>
        </w:rPr>
        <w:t xml:space="preserve">largely </w:t>
      </w:r>
      <w:r w:rsidRPr="001E771E">
        <w:rPr>
          <w:lang w:val="en-GB"/>
        </w:rPr>
        <w:t>responsible</w:t>
      </w:r>
      <w:r w:rsidR="005625D9" w:rsidRPr="001E771E">
        <w:rPr>
          <w:lang w:val="en-GB"/>
        </w:rPr>
        <w:t xml:space="preserve"> for</w:t>
      </w:r>
      <w:r w:rsidR="008A1D00" w:rsidRPr="001E771E">
        <w:rPr>
          <w:lang w:val="en-GB"/>
        </w:rPr>
        <w:t xml:space="preserve"> handling </w:t>
      </w:r>
      <w:r w:rsidR="005625D9" w:rsidRPr="001E771E">
        <w:rPr>
          <w:lang w:val="en-GB"/>
        </w:rPr>
        <w:t>everyday</w:t>
      </w:r>
      <w:r w:rsidR="008A1D00" w:rsidRPr="001E771E">
        <w:rPr>
          <w:lang w:val="en-GB"/>
        </w:rPr>
        <w:t xml:space="preserve"> relationships with EU institutions</w:t>
      </w:r>
      <w:r w:rsidR="005625D9" w:rsidRPr="001E771E">
        <w:rPr>
          <w:lang w:val="en-GB"/>
        </w:rPr>
        <w:t xml:space="preserve"> -</w:t>
      </w:r>
      <w:r w:rsidR="008A1D00" w:rsidRPr="001E771E">
        <w:rPr>
          <w:lang w:val="en-GB"/>
        </w:rPr>
        <w:t xml:space="preserve"> both in </w:t>
      </w:r>
      <w:r w:rsidR="005625D9" w:rsidRPr="001E771E">
        <w:rPr>
          <w:lang w:val="en-GB"/>
        </w:rPr>
        <w:t xml:space="preserve">the </w:t>
      </w:r>
      <w:r w:rsidR="008A1D00" w:rsidRPr="001E771E">
        <w:rPr>
          <w:lang w:val="en-GB"/>
        </w:rPr>
        <w:t>up-stream processes (</w:t>
      </w:r>
      <w:r w:rsidR="005625D9" w:rsidRPr="001E771E">
        <w:rPr>
          <w:lang w:val="en-GB"/>
        </w:rPr>
        <w:t xml:space="preserve">the </w:t>
      </w:r>
      <w:r w:rsidR="008A1D00" w:rsidRPr="001E771E">
        <w:rPr>
          <w:lang w:val="en-GB"/>
        </w:rPr>
        <w:t>agenda setting</w:t>
      </w:r>
      <w:r w:rsidR="005625D9" w:rsidRPr="001E771E">
        <w:rPr>
          <w:lang w:val="en-GB"/>
        </w:rPr>
        <w:t xml:space="preserve"> processes</w:t>
      </w:r>
      <w:r w:rsidR="008A1D00" w:rsidRPr="001E771E">
        <w:rPr>
          <w:lang w:val="en-GB"/>
        </w:rPr>
        <w:t>) and particularly in down-stream processes (</w:t>
      </w:r>
      <w:r w:rsidR="005625D9" w:rsidRPr="001E771E">
        <w:rPr>
          <w:lang w:val="en-GB"/>
        </w:rPr>
        <w:t xml:space="preserve">the </w:t>
      </w:r>
      <w:r w:rsidRPr="001E771E">
        <w:rPr>
          <w:lang w:val="en-GB"/>
        </w:rPr>
        <w:t>implement</w:t>
      </w:r>
      <w:r w:rsidR="008A1D00" w:rsidRPr="001E771E">
        <w:rPr>
          <w:lang w:val="en-GB"/>
        </w:rPr>
        <w:t>ation</w:t>
      </w:r>
      <w:r w:rsidRPr="001E771E">
        <w:rPr>
          <w:lang w:val="en-GB"/>
        </w:rPr>
        <w:t xml:space="preserve"> and</w:t>
      </w:r>
      <w:r w:rsidR="008A1D00" w:rsidRPr="001E771E">
        <w:rPr>
          <w:lang w:val="en-GB"/>
        </w:rPr>
        <w:t xml:space="preserve"> practising</w:t>
      </w:r>
      <w:r w:rsidRPr="001E771E">
        <w:rPr>
          <w:lang w:val="en-GB"/>
        </w:rPr>
        <w:t xml:space="preserve"> </w:t>
      </w:r>
      <w:r w:rsidR="005625D9" w:rsidRPr="001E771E">
        <w:rPr>
          <w:lang w:val="en-GB"/>
        </w:rPr>
        <w:t xml:space="preserve">of </w:t>
      </w:r>
      <w:r w:rsidRPr="001E771E">
        <w:rPr>
          <w:lang w:val="en-GB"/>
        </w:rPr>
        <w:t>EU law</w:t>
      </w:r>
      <w:r w:rsidR="008A1D00" w:rsidRPr="001E771E">
        <w:rPr>
          <w:lang w:val="en-GB"/>
        </w:rPr>
        <w:t>)</w:t>
      </w:r>
      <w:r w:rsidRPr="001E771E">
        <w:rPr>
          <w:lang w:val="en-GB"/>
        </w:rPr>
        <w:t xml:space="preserve">. Thus, whereas Norway is politically </w:t>
      </w:r>
      <w:r w:rsidR="008A1D00" w:rsidRPr="001E771E">
        <w:rPr>
          <w:lang w:val="en-GB"/>
        </w:rPr>
        <w:t>side-lined</w:t>
      </w:r>
      <w:r w:rsidRPr="001E771E">
        <w:rPr>
          <w:lang w:val="en-GB"/>
        </w:rPr>
        <w:t xml:space="preserve"> in </w:t>
      </w:r>
      <w:r w:rsidR="008A1D00" w:rsidRPr="001E771E">
        <w:rPr>
          <w:lang w:val="en-GB"/>
        </w:rPr>
        <w:t>EU decision-making processes</w:t>
      </w:r>
      <w:r w:rsidRPr="001E771E">
        <w:rPr>
          <w:lang w:val="en-GB"/>
        </w:rPr>
        <w:t xml:space="preserve">, the Norwegian national central administration </w:t>
      </w:r>
      <w:r w:rsidR="008A1D00" w:rsidRPr="001E771E">
        <w:rPr>
          <w:lang w:val="en-GB"/>
        </w:rPr>
        <w:t xml:space="preserve">is granted access particularly towards </w:t>
      </w:r>
      <w:r w:rsidR="005625D9" w:rsidRPr="001E771E">
        <w:rPr>
          <w:lang w:val="en-GB"/>
        </w:rPr>
        <w:t>EU´s bureaucratic apparatus</w:t>
      </w:r>
      <w:r w:rsidR="009604EE">
        <w:rPr>
          <w:lang w:val="en-GB"/>
        </w:rPr>
        <w:t xml:space="preserve"> (see below)</w:t>
      </w:r>
      <w:r w:rsidRPr="001E771E">
        <w:rPr>
          <w:lang w:val="en-GB"/>
        </w:rPr>
        <w:t>.</w:t>
      </w:r>
    </w:p>
    <w:p w14:paraId="0EB6062D" w14:textId="77777777" w:rsidR="003024F3" w:rsidRPr="001E771E" w:rsidRDefault="003024F3" w:rsidP="001E771E">
      <w:pPr>
        <w:rPr>
          <w:lang w:val="en-GB"/>
        </w:rPr>
      </w:pPr>
    </w:p>
    <w:p w14:paraId="79B986C0" w14:textId="0269F646" w:rsidR="00530515" w:rsidRPr="001E771E" w:rsidRDefault="003024F3" w:rsidP="001E771E">
      <w:pPr>
        <w:rPr>
          <w:lang w:val="en-GB"/>
        </w:rPr>
      </w:pPr>
      <w:r w:rsidRPr="001E771E">
        <w:rPr>
          <w:lang w:val="en-GB"/>
        </w:rPr>
        <w:t xml:space="preserve">Like the Norwegian central administration, the Commission and </w:t>
      </w:r>
      <w:r w:rsidR="0081720E" w:rsidRPr="001E771E">
        <w:rPr>
          <w:lang w:val="en-GB"/>
        </w:rPr>
        <w:t>EU</w:t>
      </w:r>
      <w:r w:rsidRPr="001E771E">
        <w:rPr>
          <w:lang w:val="en-GB"/>
        </w:rPr>
        <w:t xml:space="preserve"> agencies are organized according to the principles of purpose and function. From an organizational perspective, this has </w:t>
      </w:r>
      <w:r w:rsidR="0081720E" w:rsidRPr="001E771E">
        <w:rPr>
          <w:lang w:val="en-GB"/>
        </w:rPr>
        <w:t xml:space="preserve">two </w:t>
      </w:r>
      <w:r w:rsidRPr="001E771E">
        <w:rPr>
          <w:lang w:val="en-GB"/>
        </w:rPr>
        <w:t>substantial implication</w:t>
      </w:r>
      <w:r w:rsidR="0081720E" w:rsidRPr="001E771E">
        <w:rPr>
          <w:lang w:val="en-GB"/>
        </w:rPr>
        <w:t>s</w:t>
      </w:r>
      <w:r w:rsidRPr="001E771E">
        <w:rPr>
          <w:lang w:val="en-GB"/>
        </w:rPr>
        <w:t xml:space="preserve"> in</w:t>
      </w:r>
      <w:r w:rsidR="0081720E" w:rsidRPr="001E771E">
        <w:rPr>
          <w:lang w:val="en-GB"/>
        </w:rPr>
        <w:t xml:space="preserve"> </w:t>
      </w:r>
      <w:r w:rsidRPr="001E771E">
        <w:rPr>
          <w:lang w:val="en-GB"/>
        </w:rPr>
        <w:t>foster</w:t>
      </w:r>
      <w:r w:rsidR="0081720E" w:rsidRPr="001E771E">
        <w:rPr>
          <w:lang w:val="en-GB"/>
        </w:rPr>
        <w:t>ing</w:t>
      </w:r>
      <w:r w:rsidRPr="001E771E">
        <w:rPr>
          <w:lang w:val="en-GB"/>
        </w:rPr>
        <w:t xml:space="preserve"> sectoral allegiances across levels of governance and</w:t>
      </w:r>
      <w:r w:rsidR="0081720E" w:rsidRPr="001E771E">
        <w:rPr>
          <w:lang w:val="en-GB"/>
        </w:rPr>
        <w:t xml:space="preserve"> secondly</w:t>
      </w:r>
      <w:r w:rsidR="00051F35">
        <w:rPr>
          <w:lang w:val="en-GB"/>
        </w:rPr>
        <w:t>,</w:t>
      </w:r>
      <w:r w:rsidRPr="001E771E">
        <w:rPr>
          <w:lang w:val="en-GB"/>
        </w:rPr>
        <w:t xml:space="preserve"> underpin</w:t>
      </w:r>
      <w:r w:rsidR="0081720E" w:rsidRPr="001E771E">
        <w:rPr>
          <w:lang w:val="en-GB"/>
        </w:rPr>
        <w:t>ning</w:t>
      </w:r>
      <w:r w:rsidRPr="001E771E">
        <w:rPr>
          <w:lang w:val="en-GB"/>
        </w:rPr>
        <w:t xml:space="preserve"> tendencies of national </w:t>
      </w:r>
      <w:r w:rsidR="0081720E" w:rsidRPr="001E771E">
        <w:rPr>
          <w:lang w:val="en-GB"/>
        </w:rPr>
        <w:t xml:space="preserve">inter-ministerial </w:t>
      </w:r>
      <w:r w:rsidR="00530515" w:rsidRPr="001E771E">
        <w:rPr>
          <w:lang w:val="en-GB"/>
        </w:rPr>
        <w:t>fragmentation</w:t>
      </w:r>
      <w:r w:rsidRPr="001E771E">
        <w:rPr>
          <w:lang w:val="en-GB"/>
        </w:rPr>
        <w:t xml:space="preserve">. </w:t>
      </w:r>
      <w:r w:rsidR="00530515" w:rsidRPr="001E771E">
        <w:rPr>
          <w:lang w:val="en-GB"/>
        </w:rPr>
        <w:t>Moreover</w:t>
      </w:r>
      <w:r w:rsidRPr="001E771E">
        <w:rPr>
          <w:lang w:val="en-GB"/>
        </w:rPr>
        <w:t xml:space="preserve">, as far as policy harmonization is concerned, the </w:t>
      </w:r>
      <w:r w:rsidRPr="001E771E">
        <w:rPr>
          <w:i/>
          <w:lang w:val="en-GB"/>
        </w:rPr>
        <w:t>form</w:t>
      </w:r>
      <w:r w:rsidRPr="001E771E">
        <w:rPr>
          <w:lang w:val="en-GB"/>
        </w:rPr>
        <w:t xml:space="preserve"> of affiliation does in fact arguably warrant the EEA countries the same level of integration as full mem</w:t>
      </w:r>
      <w:r w:rsidR="00530515" w:rsidRPr="001E771E">
        <w:rPr>
          <w:lang w:val="en-GB"/>
        </w:rPr>
        <w:t>ber states (Egeberg and Trondal 1999</w:t>
      </w:r>
      <w:r w:rsidRPr="001E771E">
        <w:rPr>
          <w:lang w:val="en-GB"/>
        </w:rPr>
        <w:t xml:space="preserve">). One may even convincingly argue that because sectoral </w:t>
      </w:r>
      <w:r w:rsidR="00530515" w:rsidRPr="001E771E">
        <w:rPr>
          <w:lang w:val="en-GB"/>
        </w:rPr>
        <w:t>administrative EU integration</w:t>
      </w:r>
      <w:r w:rsidRPr="001E771E">
        <w:rPr>
          <w:lang w:val="en-GB"/>
        </w:rPr>
        <w:t xml:space="preserve"> in non-member states</w:t>
      </w:r>
      <w:r w:rsidR="00530515" w:rsidRPr="001E771E">
        <w:rPr>
          <w:lang w:val="en-GB"/>
        </w:rPr>
        <w:t xml:space="preserve"> such as Norway</w:t>
      </w:r>
      <w:r w:rsidRPr="001E771E">
        <w:rPr>
          <w:lang w:val="en-GB"/>
        </w:rPr>
        <w:t xml:space="preserve"> is not subjected to political </w:t>
      </w:r>
      <w:r w:rsidR="00530515" w:rsidRPr="001E771E">
        <w:rPr>
          <w:lang w:val="en-GB"/>
        </w:rPr>
        <w:t xml:space="preserve">representation in the Council and thus subsequent inter-ministerial </w:t>
      </w:r>
      <w:r w:rsidRPr="001E771E">
        <w:rPr>
          <w:lang w:val="en-GB"/>
        </w:rPr>
        <w:t xml:space="preserve">coordination, </w:t>
      </w:r>
      <w:r w:rsidR="00530515" w:rsidRPr="001E771E">
        <w:rPr>
          <w:lang w:val="en-GB"/>
        </w:rPr>
        <w:t>we</w:t>
      </w:r>
      <w:r w:rsidRPr="001E771E">
        <w:rPr>
          <w:lang w:val="en-GB"/>
        </w:rPr>
        <w:t xml:space="preserve"> may </w:t>
      </w:r>
      <w:r w:rsidR="0081720E" w:rsidRPr="001E771E">
        <w:rPr>
          <w:lang w:val="en-GB"/>
        </w:rPr>
        <w:t xml:space="preserve">expect </w:t>
      </w:r>
      <w:r w:rsidR="00530515" w:rsidRPr="001E771E">
        <w:rPr>
          <w:lang w:val="en-GB"/>
        </w:rPr>
        <w:t>Norwegian sector ministries to be</w:t>
      </w:r>
      <w:r w:rsidR="0081720E" w:rsidRPr="001E771E">
        <w:rPr>
          <w:lang w:val="en-GB"/>
        </w:rPr>
        <w:t xml:space="preserve"> </w:t>
      </w:r>
      <w:r w:rsidRPr="001E771E">
        <w:rPr>
          <w:lang w:val="en-GB"/>
        </w:rPr>
        <w:t xml:space="preserve">even more </w:t>
      </w:r>
      <w:r w:rsidR="00530515" w:rsidRPr="001E771E">
        <w:rPr>
          <w:lang w:val="en-GB"/>
        </w:rPr>
        <w:t>strongly ´hit´</w:t>
      </w:r>
      <w:r w:rsidR="0081720E" w:rsidRPr="001E771E">
        <w:rPr>
          <w:lang w:val="en-GB"/>
        </w:rPr>
        <w:t xml:space="preserve"> </w:t>
      </w:r>
      <w:r w:rsidRPr="001E771E">
        <w:rPr>
          <w:lang w:val="en-GB"/>
        </w:rPr>
        <w:t xml:space="preserve">by the </w:t>
      </w:r>
      <w:r w:rsidR="00530515" w:rsidRPr="001E771E">
        <w:rPr>
          <w:lang w:val="en-GB"/>
        </w:rPr>
        <w:lastRenderedPageBreak/>
        <w:t>Commission than member states</w:t>
      </w:r>
      <w:r w:rsidRPr="001E771E">
        <w:rPr>
          <w:lang w:val="en-GB"/>
        </w:rPr>
        <w:t xml:space="preserve"> (Trondal 2002)</w:t>
      </w:r>
      <w:r w:rsidR="00530515" w:rsidRPr="001E771E">
        <w:rPr>
          <w:lang w:val="en-GB"/>
        </w:rPr>
        <w:t xml:space="preserve">. This assumption, however, </w:t>
      </w:r>
      <w:r w:rsidR="001F3CF8" w:rsidRPr="001E771E">
        <w:rPr>
          <w:lang w:val="en-GB"/>
        </w:rPr>
        <w:t>lies</w:t>
      </w:r>
      <w:r w:rsidR="00530515" w:rsidRPr="001E771E">
        <w:rPr>
          <w:lang w:val="en-GB"/>
        </w:rPr>
        <w:t xml:space="preserve"> beyond the scope of this paper.</w:t>
      </w:r>
    </w:p>
    <w:p w14:paraId="3C48F203" w14:textId="77777777" w:rsidR="00CC662E" w:rsidRDefault="00CC662E" w:rsidP="001E771E">
      <w:pPr>
        <w:rPr>
          <w:lang w:val="en-GB"/>
        </w:rPr>
      </w:pPr>
    </w:p>
    <w:p w14:paraId="0594447D" w14:textId="3212BD7A" w:rsidR="009604EE" w:rsidRDefault="009604EE" w:rsidP="001E771E">
      <w:pPr>
        <w:rPr>
          <w:lang w:val="en-GB"/>
        </w:rPr>
      </w:pPr>
      <w:r>
        <w:rPr>
          <w:lang w:val="en-GB"/>
        </w:rPr>
        <w:t>T</w:t>
      </w:r>
      <w:r w:rsidR="003024F3" w:rsidRPr="001E771E">
        <w:rPr>
          <w:lang w:val="en-GB"/>
        </w:rPr>
        <w:t xml:space="preserve">he relationship between the EU and non-member states such as Norway may be analysed by examining both the form and the </w:t>
      </w:r>
      <w:r w:rsidR="003024F3" w:rsidRPr="001E771E">
        <w:rPr>
          <w:i/>
          <w:lang w:val="en-GB"/>
        </w:rPr>
        <w:t>degree</w:t>
      </w:r>
      <w:r w:rsidR="003024F3" w:rsidRPr="001E771E">
        <w:rPr>
          <w:lang w:val="en-GB"/>
        </w:rPr>
        <w:t xml:space="preserve"> of affiliation. Whereas the </w:t>
      </w:r>
      <w:r w:rsidR="003024F3" w:rsidRPr="001E771E">
        <w:rPr>
          <w:i/>
          <w:lang w:val="en-GB"/>
        </w:rPr>
        <w:t>form</w:t>
      </w:r>
      <w:r w:rsidR="003024F3" w:rsidRPr="001E771E">
        <w:rPr>
          <w:lang w:val="en-GB"/>
        </w:rPr>
        <w:t xml:space="preserve"> of affiliation has remained stable and robust during the past 20 years, the </w:t>
      </w:r>
      <w:r w:rsidR="003024F3" w:rsidRPr="001E771E">
        <w:rPr>
          <w:i/>
          <w:lang w:val="en-GB"/>
        </w:rPr>
        <w:t>scope and content</w:t>
      </w:r>
      <w:r w:rsidR="003024F3" w:rsidRPr="001E771E">
        <w:rPr>
          <w:lang w:val="en-GB"/>
        </w:rPr>
        <w:t xml:space="preserve"> of the </w:t>
      </w:r>
      <w:r w:rsidR="0081720E" w:rsidRPr="001E771E">
        <w:rPr>
          <w:lang w:val="en-GB"/>
        </w:rPr>
        <w:t>affiliation</w:t>
      </w:r>
      <w:r w:rsidR="003024F3" w:rsidRPr="001E771E">
        <w:rPr>
          <w:lang w:val="en-GB"/>
        </w:rPr>
        <w:t xml:space="preserve"> have undergone significant developments </w:t>
      </w:r>
      <w:r w:rsidR="0081720E" w:rsidRPr="001E771E">
        <w:rPr>
          <w:lang w:val="en-GB"/>
        </w:rPr>
        <w:t xml:space="preserve">both </w:t>
      </w:r>
      <w:r w:rsidR="003024F3" w:rsidRPr="001E771E">
        <w:rPr>
          <w:lang w:val="en-GB"/>
        </w:rPr>
        <w:t>in response to policy progressions in the EU</w:t>
      </w:r>
      <w:r w:rsidR="0081720E" w:rsidRPr="001E771E">
        <w:rPr>
          <w:lang w:val="en-GB"/>
        </w:rPr>
        <w:t>, in response to the dynamic character of the EEA agreement, and as a result of Norway signing ever-more sectoral agreements with the EU</w:t>
      </w:r>
      <w:r w:rsidR="001F3CF8">
        <w:rPr>
          <w:lang w:val="en-GB"/>
        </w:rPr>
        <w:t>.</w:t>
      </w:r>
      <w:r w:rsidR="0081720E" w:rsidRPr="001E771E">
        <w:rPr>
          <w:lang w:val="en-GB"/>
        </w:rPr>
        <w:t xml:space="preserve"> </w:t>
      </w:r>
      <w:r w:rsidR="00BC1F35" w:rsidRPr="006E3D5E">
        <w:rPr>
          <w:lang w:val="en-GB"/>
        </w:rPr>
        <w:t xml:space="preserve">Such an expansion increases the subsequent likelihood of pulling Norwegian government institutions and governance processes closer towards EU-level institutions and processes. </w:t>
      </w:r>
      <w:r w:rsidR="003024F3" w:rsidRPr="001E771E">
        <w:rPr>
          <w:lang w:val="en-GB"/>
        </w:rPr>
        <w:t xml:space="preserve">The 2012 Official Norwegian </w:t>
      </w:r>
      <w:r w:rsidR="0081720E" w:rsidRPr="001E771E">
        <w:rPr>
          <w:lang w:val="en-GB"/>
        </w:rPr>
        <w:t xml:space="preserve">evaluation of how the EU has affected Norway </w:t>
      </w:r>
      <w:r w:rsidR="003024F3" w:rsidRPr="001E771E">
        <w:rPr>
          <w:lang w:val="en-GB"/>
        </w:rPr>
        <w:t>(NOU 2012:2:</w:t>
      </w:r>
      <w:r w:rsidR="0081720E" w:rsidRPr="001E771E">
        <w:rPr>
          <w:lang w:val="en-GB"/>
        </w:rPr>
        <w:t xml:space="preserve"> </w:t>
      </w:r>
      <w:r w:rsidR="003024F3" w:rsidRPr="001E771E">
        <w:rPr>
          <w:lang w:val="en-GB"/>
        </w:rPr>
        <w:t xml:space="preserve">38-39) listed five main changes that have occurred since the EEA agreement entered into force: (i) enlargement and the subsequent expansion of agreements, (ii) additional agreements and inclusion of other policy fields, (iii) expansion of scope and content of existing agreements, (iv) expansion and developments of existing agreements by common practice and interpretations, (v) asymmetrical adaption and emulation beyond formalized agreements. All of these changes have, directly or indirectly, affected the Norwegian central administration. The expansion in scope and content of the agreements implicate </w:t>
      </w:r>
      <w:r w:rsidR="003024F3" w:rsidRPr="001E771E">
        <w:rPr>
          <w:i/>
          <w:lang w:val="en-GB"/>
        </w:rPr>
        <w:t>increased</w:t>
      </w:r>
      <w:r w:rsidR="003024F3" w:rsidRPr="001E771E">
        <w:rPr>
          <w:lang w:val="en-GB"/>
        </w:rPr>
        <w:t xml:space="preserve"> sectoral contact patterns between the national and the European level. </w:t>
      </w:r>
      <w:r w:rsidR="0081720E" w:rsidRPr="001E771E">
        <w:rPr>
          <w:lang w:val="en-GB"/>
        </w:rPr>
        <w:t xml:space="preserve">The question remains, however, how this has affected actual decision-making behaviour among ministerial officials. </w:t>
      </w:r>
    </w:p>
    <w:p w14:paraId="49A1F489" w14:textId="77777777" w:rsidR="009604EE" w:rsidRDefault="009604EE" w:rsidP="001E771E">
      <w:pPr>
        <w:rPr>
          <w:lang w:val="en-GB"/>
        </w:rPr>
      </w:pPr>
    </w:p>
    <w:p w14:paraId="6794686B" w14:textId="67203196" w:rsidR="009C5026" w:rsidRPr="003B4A2B" w:rsidRDefault="0081720E" w:rsidP="002A1BA6">
      <w:pPr>
        <w:rPr>
          <w:lang w:val="en-GB"/>
        </w:rPr>
      </w:pPr>
      <w:r w:rsidRPr="001E771E">
        <w:rPr>
          <w:lang w:val="en-GB"/>
        </w:rPr>
        <w:t xml:space="preserve">The </w:t>
      </w:r>
      <w:r w:rsidR="009604EE">
        <w:rPr>
          <w:lang w:val="en-GB"/>
        </w:rPr>
        <w:t>final part of this section examines</w:t>
      </w:r>
      <w:r w:rsidRPr="001E771E">
        <w:rPr>
          <w:lang w:val="en-GB"/>
        </w:rPr>
        <w:t xml:space="preserve"> continuity and change in how the EU has ‘hit’ Norwegian ministries.</w:t>
      </w:r>
      <w:r w:rsidR="009604EE">
        <w:rPr>
          <w:lang w:val="en-GB"/>
        </w:rPr>
        <w:t xml:space="preserve"> </w:t>
      </w:r>
      <w:r w:rsidR="00197BED" w:rsidRPr="003B4A2B">
        <w:rPr>
          <w:lang w:val="en-GB"/>
        </w:rPr>
        <w:t>First,</w:t>
      </w:r>
      <w:r w:rsidR="00ED3EA7">
        <w:rPr>
          <w:lang w:val="en-GB"/>
        </w:rPr>
        <w:t xml:space="preserve"> officials were asked how, in general, affected they are by the EU/EEA/Schengen in their daily work.</w:t>
      </w:r>
      <w:r w:rsidR="00197BED" w:rsidRPr="003B4A2B">
        <w:rPr>
          <w:lang w:val="en-GB"/>
        </w:rPr>
        <w:t xml:space="preserve"> </w:t>
      </w:r>
      <w:r w:rsidR="00ED3EA7">
        <w:rPr>
          <w:lang w:val="en-GB"/>
        </w:rPr>
        <w:t>T</w:t>
      </w:r>
      <w:r w:rsidR="003B4A2B">
        <w:rPr>
          <w:lang w:val="en-GB"/>
        </w:rPr>
        <w:t xml:space="preserve">able 3 </w:t>
      </w:r>
      <w:r w:rsidR="00ED3EA7">
        <w:rPr>
          <w:lang w:val="en-GB"/>
        </w:rPr>
        <w:t>displays</w:t>
      </w:r>
      <w:r w:rsidR="003B4A2B">
        <w:rPr>
          <w:lang w:val="en-GB"/>
        </w:rPr>
        <w:t xml:space="preserve"> </w:t>
      </w:r>
      <w:r w:rsidR="00A0465C">
        <w:rPr>
          <w:lang w:val="en-GB"/>
        </w:rPr>
        <w:t xml:space="preserve">an </w:t>
      </w:r>
      <w:r w:rsidR="003B4A2B">
        <w:rPr>
          <w:lang w:val="en-GB"/>
        </w:rPr>
        <w:t xml:space="preserve">overall stability in </w:t>
      </w:r>
      <w:r w:rsidR="00ED3EA7">
        <w:rPr>
          <w:lang w:val="en-GB"/>
        </w:rPr>
        <w:t>this regard</w:t>
      </w:r>
      <w:r w:rsidR="00810B79">
        <w:rPr>
          <w:lang w:val="en-GB"/>
        </w:rPr>
        <w:t>,</w:t>
      </w:r>
      <w:r w:rsidR="00ED3EA7">
        <w:rPr>
          <w:lang w:val="en-GB"/>
        </w:rPr>
        <w:t xml:space="preserve"> yet with a small increase during the last decade</w:t>
      </w:r>
      <w:r w:rsidR="00DD196E">
        <w:rPr>
          <w:lang w:val="en-GB"/>
        </w:rPr>
        <w:t xml:space="preserve">. </w:t>
      </w:r>
    </w:p>
    <w:p w14:paraId="4376B14E" w14:textId="77777777" w:rsidR="009C5026" w:rsidRDefault="009C5026" w:rsidP="005236C0">
      <w:pPr>
        <w:jc w:val="both"/>
      </w:pPr>
    </w:p>
    <w:p w14:paraId="1EFD6222" w14:textId="53EF2FCC" w:rsidR="00523776" w:rsidRPr="0075770C" w:rsidRDefault="00530515" w:rsidP="005236C0">
      <w:pPr>
        <w:jc w:val="both"/>
        <w:rPr>
          <w:b/>
          <w:lang w:val="en-GB"/>
        </w:rPr>
      </w:pPr>
      <w:r w:rsidRPr="0075770C">
        <w:rPr>
          <w:b/>
          <w:lang w:val="en-GB"/>
        </w:rPr>
        <w:t>Table</w:t>
      </w:r>
      <w:r w:rsidR="001C7BA8" w:rsidRPr="0075770C">
        <w:rPr>
          <w:b/>
          <w:lang w:val="en-GB"/>
        </w:rPr>
        <w:t xml:space="preserve"> 3</w:t>
      </w:r>
      <w:r w:rsidR="006134C0" w:rsidRPr="0075770C">
        <w:rPr>
          <w:b/>
          <w:lang w:val="en-GB"/>
        </w:rPr>
        <w:t xml:space="preserve"> </w:t>
      </w:r>
      <w:r w:rsidR="00D72124" w:rsidRPr="0075770C">
        <w:rPr>
          <w:b/>
          <w:lang w:val="en-GB"/>
        </w:rPr>
        <w:t>Percent</w:t>
      </w:r>
      <w:r w:rsidR="000005AE" w:rsidRPr="0075770C">
        <w:rPr>
          <w:b/>
          <w:lang w:val="en-GB"/>
        </w:rPr>
        <w:t>age</w:t>
      </w:r>
      <w:r w:rsidR="00D72124" w:rsidRPr="0075770C">
        <w:rPr>
          <w:b/>
          <w:lang w:val="en-GB"/>
        </w:rPr>
        <w:t xml:space="preserve"> of officials that are </w:t>
      </w:r>
      <w:r w:rsidR="00D72124" w:rsidRPr="009604EE">
        <w:rPr>
          <w:b/>
          <w:i/>
          <w:u w:val="single"/>
          <w:lang w:val="en-GB"/>
        </w:rPr>
        <w:t>affected</w:t>
      </w:r>
      <w:r w:rsidR="00D72124" w:rsidRPr="009604EE">
        <w:rPr>
          <w:b/>
          <w:i/>
          <w:lang w:val="en-GB"/>
        </w:rPr>
        <w:t xml:space="preserve"> </w:t>
      </w:r>
      <w:r w:rsidR="00D72124" w:rsidRPr="0075770C">
        <w:rPr>
          <w:b/>
          <w:lang w:val="en-GB"/>
        </w:rPr>
        <w:t>by</w:t>
      </w:r>
      <w:r w:rsidR="006134C0" w:rsidRPr="0075770C">
        <w:rPr>
          <w:b/>
          <w:lang w:val="en-GB"/>
        </w:rPr>
        <w:t xml:space="preserve"> the EU/EEA/Schengen</w:t>
      </w:r>
      <w:r w:rsidR="001C7BA8" w:rsidRPr="0075770C">
        <w:rPr>
          <w:b/>
          <w:lang w:val="en-GB"/>
        </w:rPr>
        <w:t>, by year</w:t>
      </w:r>
      <w:r w:rsidR="00532827" w:rsidRPr="0075770C">
        <w:rPr>
          <w:b/>
          <w:lang w:val="en-GB"/>
        </w:rPr>
        <w:t>.</w:t>
      </w:r>
    </w:p>
    <w:tbl>
      <w:tblPr>
        <w:tblStyle w:val="Tabellrutenett"/>
        <w:tblW w:w="9498" w:type="dxa"/>
        <w:tblInd w:w="108" w:type="dxa"/>
        <w:tblLook w:val="04A0" w:firstRow="1" w:lastRow="0" w:firstColumn="1" w:lastColumn="0" w:noHBand="0" w:noVBand="1"/>
      </w:tblPr>
      <w:tblGrid>
        <w:gridCol w:w="2977"/>
        <w:gridCol w:w="1985"/>
        <w:gridCol w:w="2126"/>
        <w:gridCol w:w="2410"/>
      </w:tblGrid>
      <w:tr w:rsidR="000F2A6F" w:rsidRPr="0075770C" w14:paraId="4DB5AE85" w14:textId="77777777" w:rsidTr="0075770C">
        <w:trPr>
          <w:trHeight w:val="411"/>
        </w:trPr>
        <w:tc>
          <w:tcPr>
            <w:tcW w:w="2977" w:type="dxa"/>
            <w:tcBorders>
              <w:bottom w:val="single" w:sz="4" w:space="0" w:color="auto"/>
            </w:tcBorders>
            <w:shd w:val="clear" w:color="auto" w:fill="auto"/>
          </w:tcPr>
          <w:p w14:paraId="15985E78" w14:textId="77777777" w:rsidR="000F2A6F" w:rsidRPr="0075770C" w:rsidRDefault="000F2A6F" w:rsidP="000F2A6F">
            <w:pPr>
              <w:rPr>
                <w:lang w:val="en-GB"/>
              </w:rPr>
            </w:pPr>
          </w:p>
        </w:tc>
        <w:tc>
          <w:tcPr>
            <w:tcW w:w="1985" w:type="dxa"/>
            <w:tcBorders>
              <w:bottom w:val="single" w:sz="4" w:space="0" w:color="auto"/>
            </w:tcBorders>
          </w:tcPr>
          <w:p w14:paraId="116CE46F" w14:textId="77777777" w:rsidR="000F2A6F" w:rsidRPr="0075770C" w:rsidRDefault="000F2A6F" w:rsidP="004E2464">
            <w:pPr>
              <w:jc w:val="center"/>
              <w:rPr>
                <w:b/>
                <w:lang w:val="en-GB"/>
              </w:rPr>
            </w:pPr>
            <w:r w:rsidRPr="0075770C">
              <w:rPr>
                <w:b/>
                <w:lang w:val="en-GB"/>
              </w:rPr>
              <w:t>1996</w:t>
            </w:r>
          </w:p>
        </w:tc>
        <w:tc>
          <w:tcPr>
            <w:tcW w:w="2126" w:type="dxa"/>
            <w:tcBorders>
              <w:bottom w:val="single" w:sz="4" w:space="0" w:color="auto"/>
            </w:tcBorders>
          </w:tcPr>
          <w:p w14:paraId="19842AB4" w14:textId="77777777" w:rsidR="000F2A6F" w:rsidRPr="0075770C" w:rsidRDefault="000F2A6F" w:rsidP="004E2464">
            <w:pPr>
              <w:jc w:val="center"/>
              <w:rPr>
                <w:b/>
                <w:lang w:val="en-GB"/>
              </w:rPr>
            </w:pPr>
            <w:r w:rsidRPr="0075770C">
              <w:rPr>
                <w:b/>
                <w:lang w:val="en-GB"/>
              </w:rPr>
              <w:t>2006</w:t>
            </w:r>
          </w:p>
        </w:tc>
        <w:tc>
          <w:tcPr>
            <w:tcW w:w="2410" w:type="dxa"/>
            <w:tcBorders>
              <w:bottom w:val="single" w:sz="4" w:space="0" w:color="auto"/>
            </w:tcBorders>
          </w:tcPr>
          <w:p w14:paraId="7E66ED97" w14:textId="77777777" w:rsidR="000F2A6F" w:rsidRPr="0075770C" w:rsidRDefault="000F2A6F" w:rsidP="004E2464">
            <w:pPr>
              <w:jc w:val="center"/>
              <w:rPr>
                <w:b/>
                <w:lang w:val="en-GB"/>
              </w:rPr>
            </w:pPr>
            <w:r w:rsidRPr="0075770C">
              <w:rPr>
                <w:b/>
                <w:lang w:val="en-GB"/>
              </w:rPr>
              <w:t>2016</w:t>
            </w:r>
          </w:p>
        </w:tc>
      </w:tr>
      <w:tr w:rsidR="000F2A6F" w:rsidRPr="0075770C" w14:paraId="018AD0AC" w14:textId="77777777" w:rsidTr="0075770C">
        <w:trPr>
          <w:trHeight w:val="342"/>
        </w:trPr>
        <w:tc>
          <w:tcPr>
            <w:tcW w:w="2977" w:type="dxa"/>
            <w:tcBorders>
              <w:top w:val="single" w:sz="4" w:space="0" w:color="auto"/>
              <w:bottom w:val="nil"/>
              <w:right w:val="single" w:sz="4" w:space="0" w:color="auto"/>
            </w:tcBorders>
          </w:tcPr>
          <w:p w14:paraId="4DF4F71D" w14:textId="70279FF0" w:rsidR="000F2A6F" w:rsidRPr="0075770C" w:rsidRDefault="006134C0" w:rsidP="001E771E">
            <w:pPr>
              <w:rPr>
                <w:lang w:val="en-GB"/>
              </w:rPr>
            </w:pPr>
            <w:r w:rsidRPr="0075770C">
              <w:rPr>
                <w:lang w:val="en-GB"/>
              </w:rPr>
              <w:t xml:space="preserve">To a very large </w:t>
            </w:r>
            <w:r w:rsidR="001E771E" w:rsidRPr="0075770C">
              <w:rPr>
                <w:lang w:val="en-GB"/>
              </w:rPr>
              <w:t>degree</w:t>
            </w:r>
          </w:p>
        </w:tc>
        <w:tc>
          <w:tcPr>
            <w:tcW w:w="1985" w:type="dxa"/>
            <w:tcBorders>
              <w:top w:val="single" w:sz="4" w:space="0" w:color="auto"/>
              <w:left w:val="single" w:sz="4" w:space="0" w:color="auto"/>
              <w:bottom w:val="nil"/>
              <w:right w:val="single" w:sz="4" w:space="0" w:color="auto"/>
            </w:tcBorders>
          </w:tcPr>
          <w:p w14:paraId="49B8E25C" w14:textId="1D737361" w:rsidR="000F2A6F" w:rsidRPr="0075770C" w:rsidRDefault="000F2A6F" w:rsidP="004E2464">
            <w:pPr>
              <w:jc w:val="center"/>
              <w:rPr>
                <w:lang w:val="en-GB"/>
              </w:rPr>
            </w:pPr>
            <w:r w:rsidRPr="0075770C">
              <w:rPr>
                <w:lang w:val="en-GB"/>
              </w:rPr>
              <w:t>11</w:t>
            </w:r>
          </w:p>
        </w:tc>
        <w:tc>
          <w:tcPr>
            <w:tcW w:w="2126" w:type="dxa"/>
            <w:tcBorders>
              <w:top w:val="single" w:sz="4" w:space="0" w:color="auto"/>
              <w:left w:val="single" w:sz="4" w:space="0" w:color="auto"/>
              <w:bottom w:val="nil"/>
              <w:right w:val="single" w:sz="4" w:space="0" w:color="auto"/>
            </w:tcBorders>
          </w:tcPr>
          <w:p w14:paraId="54D0C08F" w14:textId="5B9E4BAB" w:rsidR="000F2A6F" w:rsidRPr="0075770C" w:rsidRDefault="000F2A6F" w:rsidP="004E2464">
            <w:pPr>
              <w:jc w:val="center"/>
              <w:rPr>
                <w:lang w:val="en-GB"/>
              </w:rPr>
            </w:pPr>
            <w:r w:rsidRPr="0075770C">
              <w:rPr>
                <w:lang w:val="en-GB"/>
              </w:rPr>
              <w:t>13</w:t>
            </w:r>
          </w:p>
        </w:tc>
        <w:tc>
          <w:tcPr>
            <w:tcW w:w="2410" w:type="dxa"/>
            <w:tcBorders>
              <w:top w:val="single" w:sz="4" w:space="0" w:color="auto"/>
              <w:left w:val="single" w:sz="4" w:space="0" w:color="auto"/>
              <w:bottom w:val="nil"/>
            </w:tcBorders>
          </w:tcPr>
          <w:p w14:paraId="6777FF52" w14:textId="6C2E237B" w:rsidR="000F2A6F" w:rsidRPr="0075770C" w:rsidRDefault="000F2A6F" w:rsidP="004E2464">
            <w:pPr>
              <w:jc w:val="center"/>
              <w:rPr>
                <w:lang w:val="en-GB"/>
              </w:rPr>
            </w:pPr>
            <w:r w:rsidRPr="0075770C">
              <w:rPr>
                <w:lang w:val="en-GB"/>
              </w:rPr>
              <w:t>14</w:t>
            </w:r>
          </w:p>
        </w:tc>
      </w:tr>
      <w:tr w:rsidR="000F2A6F" w:rsidRPr="0075770C" w14:paraId="64BE62CA" w14:textId="77777777" w:rsidTr="0075770C">
        <w:trPr>
          <w:trHeight w:val="342"/>
        </w:trPr>
        <w:tc>
          <w:tcPr>
            <w:tcW w:w="2977" w:type="dxa"/>
            <w:tcBorders>
              <w:top w:val="nil"/>
              <w:bottom w:val="nil"/>
              <w:right w:val="single" w:sz="4" w:space="0" w:color="auto"/>
            </w:tcBorders>
          </w:tcPr>
          <w:p w14:paraId="45740ED5" w14:textId="322D808D" w:rsidR="000F2A6F" w:rsidRPr="0075770C" w:rsidRDefault="006134C0" w:rsidP="001E771E">
            <w:pPr>
              <w:rPr>
                <w:lang w:val="en-GB"/>
              </w:rPr>
            </w:pPr>
            <w:r w:rsidRPr="0075770C">
              <w:rPr>
                <w:lang w:val="en-GB"/>
              </w:rPr>
              <w:t xml:space="preserve">To a </w:t>
            </w:r>
            <w:r w:rsidR="001E771E" w:rsidRPr="0075770C">
              <w:rPr>
                <w:lang w:val="en-GB"/>
              </w:rPr>
              <w:t xml:space="preserve">fairly </w:t>
            </w:r>
            <w:r w:rsidRPr="0075770C">
              <w:rPr>
                <w:lang w:val="en-GB"/>
              </w:rPr>
              <w:t xml:space="preserve">large </w:t>
            </w:r>
            <w:r w:rsidR="0075770C" w:rsidRPr="0075770C">
              <w:rPr>
                <w:lang w:val="en-GB"/>
              </w:rPr>
              <w:t>degree</w:t>
            </w:r>
          </w:p>
        </w:tc>
        <w:tc>
          <w:tcPr>
            <w:tcW w:w="1985" w:type="dxa"/>
            <w:tcBorders>
              <w:top w:val="nil"/>
              <w:left w:val="single" w:sz="4" w:space="0" w:color="auto"/>
              <w:bottom w:val="nil"/>
              <w:right w:val="single" w:sz="4" w:space="0" w:color="auto"/>
            </w:tcBorders>
          </w:tcPr>
          <w:p w14:paraId="1069CBA3" w14:textId="0584B8F2" w:rsidR="000F2A6F" w:rsidRPr="0075770C" w:rsidRDefault="000F2A6F" w:rsidP="004E2464">
            <w:pPr>
              <w:jc w:val="center"/>
              <w:rPr>
                <w:lang w:val="en-GB"/>
              </w:rPr>
            </w:pPr>
            <w:r w:rsidRPr="0075770C">
              <w:rPr>
                <w:lang w:val="en-GB"/>
              </w:rPr>
              <w:t>12</w:t>
            </w:r>
          </w:p>
        </w:tc>
        <w:tc>
          <w:tcPr>
            <w:tcW w:w="2126" w:type="dxa"/>
            <w:tcBorders>
              <w:top w:val="nil"/>
              <w:left w:val="single" w:sz="4" w:space="0" w:color="auto"/>
              <w:bottom w:val="nil"/>
              <w:right w:val="single" w:sz="4" w:space="0" w:color="auto"/>
            </w:tcBorders>
          </w:tcPr>
          <w:p w14:paraId="45B5EB61" w14:textId="6144F903" w:rsidR="000F2A6F" w:rsidRPr="0075770C" w:rsidRDefault="000F2A6F" w:rsidP="004E2464">
            <w:pPr>
              <w:jc w:val="center"/>
              <w:rPr>
                <w:lang w:val="en-GB"/>
              </w:rPr>
            </w:pPr>
            <w:r w:rsidRPr="0075770C">
              <w:rPr>
                <w:lang w:val="en-GB"/>
              </w:rPr>
              <w:t>12</w:t>
            </w:r>
          </w:p>
        </w:tc>
        <w:tc>
          <w:tcPr>
            <w:tcW w:w="2410" w:type="dxa"/>
            <w:tcBorders>
              <w:top w:val="nil"/>
              <w:left w:val="single" w:sz="4" w:space="0" w:color="auto"/>
              <w:bottom w:val="nil"/>
            </w:tcBorders>
          </w:tcPr>
          <w:p w14:paraId="6F13C6CC" w14:textId="383F64FD" w:rsidR="000F2A6F" w:rsidRPr="0075770C" w:rsidRDefault="000F2A6F" w:rsidP="004E2464">
            <w:pPr>
              <w:jc w:val="center"/>
              <w:rPr>
                <w:lang w:val="en-GB"/>
              </w:rPr>
            </w:pPr>
            <w:r w:rsidRPr="0075770C">
              <w:rPr>
                <w:lang w:val="en-GB"/>
              </w:rPr>
              <w:t>12</w:t>
            </w:r>
          </w:p>
        </w:tc>
      </w:tr>
      <w:tr w:rsidR="000F2A6F" w:rsidRPr="0075770C" w14:paraId="27915D73" w14:textId="77777777" w:rsidTr="0075770C">
        <w:trPr>
          <w:trHeight w:val="342"/>
        </w:trPr>
        <w:tc>
          <w:tcPr>
            <w:tcW w:w="2977" w:type="dxa"/>
            <w:tcBorders>
              <w:top w:val="nil"/>
              <w:bottom w:val="nil"/>
              <w:right w:val="single" w:sz="4" w:space="0" w:color="auto"/>
            </w:tcBorders>
          </w:tcPr>
          <w:p w14:paraId="76E0C1C3" w14:textId="544DF028" w:rsidR="000F2A6F" w:rsidRPr="0075770C" w:rsidRDefault="006134C0" w:rsidP="001E771E">
            <w:pPr>
              <w:rPr>
                <w:lang w:val="en-GB"/>
              </w:rPr>
            </w:pPr>
            <w:r w:rsidRPr="0075770C">
              <w:rPr>
                <w:lang w:val="en-GB"/>
              </w:rPr>
              <w:t xml:space="preserve">To some </w:t>
            </w:r>
            <w:r w:rsidR="001E771E" w:rsidRPr="0075770C">
              <w:rPr>
                <w:lang w:val="en-GB"/>
              </w:rPr>
              <w:t>degree</w:t>
            </w:r>
          </w:p>
        </w:tc>
        <w:tc>
          <w:tcPr>
            <w:tcW w:w="1985" w:type="dxa"/>
            <w:tcBorders>
              <w:top w:val="nil"/>
              <w:left w:val="single" w:sz="4" w:space="0" w:color="auto"/>
              <w:bottom w:val="nil"/>
              <w:right w:val="single" w:sz="4" w:space="0" w:color="auto"/>
            </w:tcBorders>
          </w:tcPr>
          <w:p w14:paraId="277642A3" w14:textId="5C0BC4EF" w:rsidR="000F2A6F" w:rsidRPr="0075770C" w:rsidRDefault="000F2A6F" w:rsidP="004E2464">
            <w:pPr>
              <w:jc w:val="center"/>
              <w:rPr>
                <w:lang w:val="en-GB"/>
              </w:rPr>
            </w:pPr>
            <w:r w:rsidRPr="0075770C">
              <w:rPr>
                <w:lang w:val="en-GB"/>
              </w:rPr>
              <w:t>23</w:t>
            </w:r>
          </w:p>
        </w:tc>
        <w:tc>
          <w:tcPr>
            <w:tcW w:w="2126" w:type="dxa"/>
            <w:tcBorders>
              <w:top w:val="nil"/>
              <w:left w:val="single" w:sz="4" w:space="0" w:color="auto"/>
              <w:bottom w:val="nil"/>
              <w:right w:val="single" w:sz="4" w:space="0" w:color="auto"/>
            </w:tcBorders>
          </w:tcPr>
          <w:p w14:paraId="7EE73729" w14:textId="2F83C654" w:rsidR="000F2A6F" w:rsidRPr="0075770C" w:rsidRDefault="00F46FBB" w:rsidP="004E2464">
            <w:pPr>
              <w:jc w:val="center"/>
              <w:rPr>
                <w:lang w:val="en-GB"/>
              </w:rPr>
            </w:pPr>
            <w:r w:rsidRPr="0075770C">
              <w:rPr>
                <w:lang w:val="en-GB"/>
              </w:rPr>
              <w:t>18</w:t>
            </w:r>
          </w:p>
        </w:tc>
        <w:tc>
          <w:tcPr>
            <w:tcW w:w="2410" w:type="dxa"/>
            <w:tcBorders>
              <w:top w:val="nil"/>
              <w:left w:val="single" w:sz="4" w:space="0" w:color="auto"/>
              <w:bottom w:val="nil"/>
            </w:tcBorders>
          </w:tcPr>
          <w:p w14:paraId="073C18D5" w14:textId="1881EE49" w:rsidR="000F2A6F" w:rsidRPr="0075770C" w:rsidRDefault="000F2A6F" w:rsidP="004E2464">
            <w:pPr>
              <w:jc w:val="center"/>
              <w:rPr>
                <w:lang w:val="en-GB"/>
              </w:rPr>
            </w:pPr>
            <w:r w:rsidRPr="0075770C">
              <w:rPr>
                <w:lang w:val="en-GB"/>
              </w:rPr>
              <w:t>23</w:t>
            </w:r>
          </w:p>
        </w:tc>
      </w:tr>
      <w:tr w:rsidR="000F2A6F" w:rsidRPr="0075770C" w14:paraId="41B33185" w14:textId="77777777" w:rsidTr="0075770C">
        <w:trPr>
          <w:trHeight w:val="342"/>
        </w:trPr>
        <w:tc>
          <w:tcPr>
            <w:tcW w:w="2977" w:type="dxa"/>
            <w:tcBorders>
              <w:top w:val="nil"/>
              <w:bottom w:val="nil"/>
              <w:right w:val="single" w:sz="4" w:space="0" w:color="auto"/>
            </w:tcBorders>
          </w:tcPr>
          <w:p w14:paraId="0EBAD5DA" w14:textId="07DC7CA6" w:rsidR="000F2A6F" w:rsidRPr="0075770C" w:rsidRDefault="006134C0" w:rsidP="001E771E">
            <w:pPr>
              <w:rPr>
                <w:lang w:val="en-GB"/>
              </w:rPr>
            </w:pPr>
            <w:r w:rsidRPr="0075770C">
              <w:rPr>
                <w:lang w:val="en-GB"/>
              </w:rPr>
              <w:t xml:space="preserve">To a </w:t>
            </w:r>
            <w:r w:rsidR="001E771E" w:rsidRPr="0075770C">
              <w:rPr>
                <w:lang w:val="en-GB"/>
              </w:rPr>
              <w:t xml:space="preserve">fairly </w:t>
            </w:r>
            <w:r w:rsidRPr="0075770C">
              <w:rPr>
                <w:lang w:val="en-GB"/>
              </w:rPr>
              <w:t xml:space="preserve">small </w:t>
            </w:r>
            <w:r w:rsidR="001E771E" w:rsidRPr="0075770C">
              <w:rPr>
                <w:lang w:val="en-GB"/>
              </w:rPr>
              <w:t>degree</w:t>
            </w:r>
          </w:p>
        </w:tc>
        <w:tc>
          <w:tcPr>
            <w:tcW w:w="1985" w:type="dxa"/>
            <w:tcBorders>
              <w:top w:val="nil"/>
              <w:left w:val="single" w:sz="4" w:space="0" w:color="auto"/>
              <w:bottom w:val="nil"/>
              <w:right w:val="single" w:sz="4" w:space="0" w:color="auto"/>
            </w:tcBorders>
          </w:tcPr>
          <w:p w14:paraId="30AAD434" w14:textId="69E6648D" w:rsidR="000F2A6F" w:rsidRPr="0075770C" w:rsidRDefault="000F2A6F" w:rsidP="004E2464">
            <w:pPr>
              <w:jc w:val="center"/>
              <w:rPr>
                <w:lang w:val="en-GB"/>
              </w:rPr>
            </w:pPr>
            <w:r w:rsidRPr="0075770C">
              <w:rPr>
                <w:lang w:val="en-GB"/>
              </w:rPr>
              <w:t>27</w:t>
            </w:r>
          </w:p>
        </w:tc>
        <w:tc>
          <w:tcPr>
            <w:tcW w:w="2126" w:type="dxa"/>
            <w:tcBorders>
              <w:top w:val="nil"/>
              <w:left w:val="single" w:sz="4" w:space="0" w:color="auto"/>
              <w:bottom w:val="nil"/>
              <w:right w:val="single" w:sz="4" w:space="0" w:color="auto"/>
            </w:tcBorders>
          </w:tcPr>
          <w:p w14:paraId="249B97B9" w14:textId="0A99E660" w:rsidR="000F2A6F" w:rsidRPr="0075770C" w:rsidRDefault="00F46FBB" w:rsidP="004E2464">
            <w:pPr>
              <w:jc w:val="center"/>
              <w:rPr>
                <w:lang w:val="en-GB"/>
              </w:rPr>
            </w:pPr>
            <w:r w:rsidRPr="0075770C">
              <w:rPr>
                <w:lang w:val="en-GB"/>
              </w:rPr>
              <w:t>21</w:t>
            </w:r>
          </w:p>
        </w:tc>
        <w:tc>
          <w:tcPr>
            <w:tcW w:w="2410" w:type="dxa"/>
            <w:tcBorders>
              <w:top w:val="nil"/>
              <w:left w:val="single" w:sz="4" w:space="0" w:color="auto"/>
              <w:bottom w:val="nil"/>
            </w:tcBorders>
          </w:tcPr>
          <w:p w14:paraId="00185CF7" w14:textId="266DEF2B" w:rsidR="000F2A6F" w:rsidRPr="0075770C" w:rsidRDefault="000F2A6F" w:rsidP="004E2464">
            <w:pPr>
              <w:jc w:val="center"/>
              <w:rPr>
                <w:lang w:val="en-GB"/>
              </w:rPr>
            </w:pPr>
            <w:r w:rsidRPr="0075770C">
              <w:rPr>
                <w:lang w:val="en-GB"/>
              </w:rPr>
              <w:t>31</w:t>
            </w:r>
          </w:p>
        </w:tc>
      </w:tr>
      <w:tr w:rsidR="000F2A6F" w:rsidRPr="0075770C" w14:paraId="7DA1691A" w14:textId="77777777" w:rsidTr="0075770C">
        <w:trPr>
          <w:trHeight w:val="342"/>
        </w:trPr>
        <w:tc>
          <w:tcPr>
            <w:tcW w:w="2977" w:type="dxa"/>
            <w:tcBorders>
              <w:top w:val="nil"/>
              <w:right w:val="single" w:sz="4" w:space="0" w:color="auto"/>
            </w:tcBorders>
          </w:tcPr>
          <w:p w14:paraId="127F813B" w14:textId="0F85B372" w:rsidR="000F2A6F" w:rsidRPr="0075770C" w:rsidRDefault="006134C0" w:rsidP="000F2A6F">
            <w:pPr>
              <w:rPr>
                <w:lang w:val="en-GB"/>
              </w:rPr>
            </w:pPr>
            <w:r w:rsidRPr="0075770C">
              <w:rPr>
                <w:lang w:val="en-GB"/>
              </w:rPr>
              <w:t xml:space="preserve">Not affected </w:t>
            </w:r>
          </w:p>
        </w:tc>
        <w:tc>
          <w:tcPr>
            <w:tcW w:w="1985" w:type="dxa"/>
            <w:tcBorders>
              <w:top w:val="nil"/>
              <w:left w:val="single" w:sz="4" w:space="0" w:color="auto"/>
              <w:right w:val="single" w:sz="4" w:space="0" w:color="auto"/>
            </w:tcBorders>
          </w:tcPr>
          <w:p w14:paraId="408D613E" w14:textId="734DA0EB" w:rsidR="000F2A6F" w:rsidRPr="0075770C" w:rsidRDefault="000F2A6F" w:rsidP="004E2464">
            <w:pPr>
              <w:jc w:val="center"/>
              <w:rPr>
                <w:lang w:val="en-GB"/>
              </w:rPr>
            </w:pPr>
            <w:r w:rsidRPr="0075770C">
              <w:rPr>
                <w:lang w:val="en-GB"/>
              </w:rPr>
              <w:t>27</w:t>
            </w:r>
          </w:p>
        </w:tc>
        <w:tc>
          <w:tcPr>
            <w:tcW w:w="2126" w:type="dxa"/>
            <w:tcBorders>
              <w:top w:val="nil"/>
              <w:left w:val="single" w:sz="4" w:space="0" w:color="auto"/>
              <w:right w:val="single" w:sz="4" w:space="0" w:color="auto"/>
            </w:tcBorders>
          </w:tcPr>
          <w:p w14:paraId="0AD852D4" w14:textId="23DDA978" w:rsidR="000F2A6F" w:rsidRPr="0075770C" w:rsidRDefault="000F2A6F" w:rsidP="004E2464">
            <w:pPr>
              <w:jc w:val="center"/>
              <w:rPr>
                <w:lang w:val="en-GB"/>
              </w:rPr>
            </w:pPr>
            <w:r w:rsidRPr="0075770C">
              <w:rPr>
                <w:lang w:val="en-GB"/>
              </w:rPr>
              <w:t>37</w:t>
            </w:r>
          </w:p>
        </w:tc>
        <w:tc>
          <w:tcPr>
            <w:tcW w:w="2410" w:type="dxa"/>
            <w:tcBorders>
              <w:top w:val="nil"/>
              <w:left w:val="single" w:sz="4" w:space="0" w:color="auto"/>
            </w:tcBorders>
          </w:tcPr>
          <w:p w14:paraId="27EE578C" w14:textId="13FBEE04" w:rsidR="000F2A6F" w:rsidRPr="0075770C" w:rsidRDefault="000F2A6F" w:rsidP="004E2464">
            <w:pPr>
              <w:jc w:val="center"/>
              <w:rPr>
                <w:lang w:val="en-GB"/>
              </w:rPr>
            </w:pPr>
            <w:r w:rsidRPr="0075770C">
              <w:rPr>
                <w:lang w:val="en-GB"/>
              </w:rPr>
              <w:t>20</w:t>
            </w:r>
          </w:p>
        </w:tc>
      </w:tr>
      <w:tr w:rsidR="000F2A6F" w:rsidRPr="00ED3EA7" w14:paraId="057701E0" w14:textId="77777777" w:rsidTr="009C5026">
        <w:trPr>
          <w:trHeight w:val="386"/>
        </w:trPr>
        <w:tc>
          <w:tcPr>
            <w:tcW w:w="2977" w:type="dxa"/>
          </w:tcPr>
          <w:p w14:paraId="344A0315" w14:textId="3BE23F64" w:rsidR="000F2A6F" w:rsidRPr="00ED3EA7" w:rsidRDefault="000F2A6F" w:rsidP="006134C0">
            <w:pPr>
              <w:rPr>
                <w:lang w:val="en-GB"/>
              </w:rPr>
            </w:pPr>
            <w:r w:rsidRPr="00ED3EA7">
              <w:rPr>
                <w:lang w:val="en-GB"/>
              </w:rPr>
              <w:t xml:space="preserve">N </w:t>
            </w:r>
          </w:p>
        </w:tc>
        <w:tc>
          <w:tcPr>
            <w:tcW w:w="1985" w:type="dxa"/>
          </w:tcPr>
          <w:p w14:paraId="4570C618" w14:textId="2B21FD13" w:rsidR="004E2464" w:rsidRPr="00ED3EA7" w:rsidRDefault="000F2A6F" w:rsidP="004E2464">
            <w:pPr>
              <w:jc w:val="center"/>
              <w:rPr>
                <w:lang w:val="en-GB"/>
              </w:rPr>
            </w:pPr>
            <w:r w:rsidRPr="00ED3EA7">
              <w:rPr>
                <w:lang w:val="en-GB"/>
              </w:rPr>
              <w:t>100</w:t>
            </w:r>
          </w:p>
          <w:p w14:paraId="3BEB6FFF" w14:textId="1FD802DA" w:rsidR="000F2A6F" w:rsidRPr="00ED3EA7" w:rsidRDefault="000F2A6F" w:rsidP="00F46FBB">
            <w:pPr>
              <w:jc w:val="center"/>
              <w:rPr>
                <w:lang w:val="en-GB"/>
              </w:rPr>
            </w:pPr>
            <w:r w:rsidRPr="00ED3EA7">
              <w:rPr>
                <w:lang w:val="en-GB"/>
              </w:rPr>
              <w:t>(1463)</w:t>
            </w:r>
          </w:p>
        </w:tc>
        <w:tc>
          <w:tcPr>
            <w:tcW w:w="2126" w:type="dxa"/>
          </w:tcPr>
          <w:p w14:paraId="641CEFF9" w14:textId="51F678E6" w:rsidR="004E2464" w:rsidRPr="00ED3EA7" w:rsidRDefault="000F2A6F" w:rsidP="004E2464">
            <w:pPr>
              <w:jc w:val="center"/>
              <w:rPr>
                <w:lang w:val="en-GB"/>
              </w:rPr>
            </w:pPr>
            <w:r w:rsidRPr="00ED3EA7">
              <w:rPr>
                <w:lang w:val="en-GB"/>
              </w:rPr>
              <w:t>100</w:t>
            </w:r>
          </w:p>
          <w:p w14:paraId="52345025" w14:textId="452EFCEC" w:rsidR="000F2A6F" w:rsidRPr="00ED3EA7" w:rsidRDefault="000F2A6F" w:rsidP="004E2464">
            <w:pPr>
              <w:jc w:val="center"/>
              <w:rPr>
                <w:lang w:val="en-GB"/>
              </w:rPr>
            </w:pPr>
            <w:r w:rsidRPr="00ED3EA7">
              <w:rPr>
                <w:lang w:val="en-GB"/>
              </w:rPr>
              <w:t>(1704)</w:t>
            </w:r>
          </w:p>
        </w:tc>
        <w:tc>
          <w:tcPr>
            <w:tcW w:w="2410" w:type="dxa"/>
          </w:tcPr>
          <w:p w14:paraId="36A9BEEE" w14:textId="7788F5D4" w:rsidR="004E2464" w:rsidRPr="00ED3EA7" w:rsidRDefault="000F2A6F" w:rsidP="004E2464">
            <w:pPr>
              <w:jc w:val="center"/>
              <w:rPr>
                <w:lang w:val="en-GB"/>
              </w:rPr>
            </w:pPr>
            <w:r w:rsidRPr="00ED3EA7">
              <w:rPr>
                <w:lang w:val="en-GB"/>
              </w:rPr>
              <w:t>100</w:t>
            </w:r>
          </w:p>
          <w:p w14:paraId="3BF3725C" w14:textId="290E7818" w:rsidR="000F2A6F" w:rsidRPr="00ED3EA7" w:rsidRDefault="000F2A6F" w:rsidP="004E2464">
            <w:pPr>
              <w:jc w:val="center"/>
              <w:rPr>
                <w:lang w:val="en-GB"/>
              </w:rPr>
            </w:pPr>
            <w:r w:rsidRPr="00ED3EA7">
              <w:rPr>
                <w:lang w:val="en-GB"/>
              </w:rPr>
              <w:t>(1773)</w:t>
            </w:r>
          </w:p>
        </w:tc>
      </w:tr>
    </w:tbl>
    <w:p w14:paraId="4752C6DC" w14:textId="77777777" w:rsidR="00523776" w:rsidRDefault="00523776" w:rsidP="005236C0">
      <w:pPr>
        <w:jc w:val="both"/>
      </w:pPr>
    </w:p>
    <w:p w14:paraId="7E556113" w14:textId="77777777" w:rsidR="005236C0" w:rsidRPr="005236C0" w:rsidRDefault="005236C0" w:rsidP="005236C0">
      <w:pPr>
        <w:jc w:val="both"/>
      </w:pPr>
    </w:p>
    <w:p w14:paraId="2C7A22EB" w14:textId="612E880F" w:rsidR="005236C0" w:rsidRDefault="004A1F48" w:rsidP="00B770FF">
      <w:pPr>
        <w:rPr>
          <w:lang w:val="en-GB"/>
        </w:rPr>
      </w:pPr>
      <w:r>
        <w:rPr>
          <w:lang w:val="en-GB"/>
        </w:rPr>
        <w:t>In the remaining of the</w:t>
      </w:r>
      <w:r w:rsidR="00530515" w:rsidRPr="002557A3">
        <w:rPr>
          <w:lang w:val="en-GB"/>
        </w:rPr>
        <w:t xml:space="preserve"> analysis</w:t>
      </w:r>
      <w:r w:rsidR="00ED3EA7">
        <w:rPr>
          <w:lang w:val="en-GB"/>
        </w:rPr>
        <w:t xml:space="preserve"> </w:t>
      </w:r>
      <w:r>
        <w:rPr>
          <w:lang w:val="en-GB"/>
        </w:rPr>
        <w:t>only</w:t>
      </w:r>
      <w:r w:rsidR="00530515" w:rsidRPr="002557A3">
        <w:rPr>
          <w:lang w:val="en-GB"/>
        </w:rPr>
        <w:t xml:space="preserve"> thos</w:t>
      </w:r>
      <w:r w:rsidR="00197BED" w:rsidRPr="002557A3">
        <w:rPr>
          <w:lang w:val="en-GB"/>
        </w:rPr>
        <w:t>e</w:t>
      </w:r>
      <w:r w:rsidR="00530515" w:rsidRPr="002557A3">
        <w:rPr>
          <w:lang w:val="en-GB"/>
        </w:rPr>
        <w:t xml:space="preserve"> officials who report being affected (to a small </w:t>
      </w:r>
      <w:r w:rsidR="009604EE">
        <w:rPr>
          <w:lang w:val="en-GB"/>
        </w:rPr>
        <w:t>degree</w:t>
      </w:r>
      <w:r w:rsidR="009604EE" w:rsidRPr="002557A3">
        <w:rPr>
          <w:lang w:val="en-GB"/>
        </w:rPr>
        <w:t xml:space="preserve"> </w:t>
      </w:r>
      <w:r w:rsidR="00530515" w:rsidRPr="002557A3">
        <w:rPr>
          <w:lang w:val="en-GB"/>
        </w:rPr>
        <w:t>or more) by the EU/EEA/Schengen</w:t>
      </w:r>
      <w:r>
        <w:rPr>
          <w:lang w:val="en-GB"/>
        </w:rPr>
        <w:t xml:space="preserve"> are included</w:t>
      </w:r>
      <w:r w:rsidR="00530515" w:rsidRPr="002557A3">
        <w:rPr>
          <w:lang w:val="en-GB"/>
        </w:rPr>
        <w:t>.</w:t>
      </w:r>
      <w:r>
        <w:rPr>
          <w:lang w:val="en-GB"/>
        </w:rPr>
        <w:t xml:space="preserve"> </w:t>
      </w:r>
      <w:r w:rsidR="009604EE">
        <w:rPr>
          <w:lang w:val="en-GB"/>
        </w:rPr>
        <w:t>O</w:t>
      </w:r>
      <w:r>
        <w:rPr>
          <w:lang w:val="en-GB"/>
        </w:rPr>
        <w:t>fficials were asked about their contacts and participation in EU-level institutions.</w:t>
      </w:r>
      <w:r w:rsidR="00530515" w:rsidRPr="002557A3">
        <w:rPr>
          <w:lang w:val="en-GB"/>
        </w:rPr>
        <w:t xml:space="preserve"> </w:t>
      </w:r>
      <w:r w:rsidR="00546B17">
        <w:rPr>
          <w:lang w:val="en-GB"/>
        </w:rPr>
        <w:t xml:space="preserve">Table </w:t>
      </w:r>
      <w:r w:rsidR="00DD196E">
        <w:rPr>
          <w:lang w:val="en-GB"/>
        </w:rPr>
        <w:t>4</w:t>
      </w:r>
      <w:r w:rsidR="00CF7231">
        <w:rPr>
          <w:lang w:val="en-GB"/>
        </w:rPr>
        <w:t xml:space="preserve"> reveals two</w:t>
      </w:r>
      <w:r>
        <w:rPr>
          <w:lang w:val="en-GB"/>
        </w:rPr>
        <w:t xml:space="preserve"> </w:t>
      </w:r>
      <w:r w:rsidR="007825CC">
        <w:rPr>
          <w:lang w:val="en-GB"/>
        </w:rPr>
        <w:t xml:space="preserve">main </w:t>
      </w:r>
      <w:r>
        <w:rPr>
          <w:lang w:val="en-GB"/>
        </w:rPr>
        <w:t>findings: First,</w:t>
      </w:r>
      <w:r w:rsidR="00CF7231">
        <w:rPr>
          <w:lang w:val="en-GB"/>
        </w:rPr>
        <w:t xml:space="preserve"> </w:t>
      </w:r>
      <w:r>
        <w:rPr>
          <w:lang w:val="en-GB"/>
        </w:rPr>
        <w:t xml:space="preserve">stability over time in </w:t>
      </w:r>
      <w:r w:rsidR="009604EE">
        <w:rPr>
          <w:lang w:val="en-GB"/>
        </w:rPr>
        <w:t>both as regards</w:t>
      </w:r>
      <w:r w:rsidR="007825CC">
        <w:rPr>
          <w:lang w:val="en-GB"/>
        </w:rPr>
        <w:t xml:space="preserve"> </w:t>
      </w:r>
      <w:r>
        <w:rPr>
          <w:lang w:val="en-GB"/>
        </w:rPr>
        <w:t xml:space="preserve">degrees and patterns of multi-level participation. </w:t>
      </w:r>
      <w:r w:rsidR="00CF7231">
        <w:rPr>
          <w:lang w:val="en-GB"/>
        </w:rPr>
        <w:t>Whilst there was a</w:t>
      </w:r>
      <w:r w:rsidR="007825CC">
        <w:rPr>
          <w:lang w:val="en-GB"/>
        </w:rPr>
        <w:t xml:space="preserve">n </w:t>
      </w:r>
      <w:r w:rsidR="00CF7231">
        <w:rPr>
          <w:lang w:val="en-GB"/>
        </w:rPr>
        <w:t xml:space="preserve">increase in sector ministries’ contact towards the Commission as well as participation in expert </w:t>
      </w:r>
      <w:r w:rsidR="002332F7">
        <w:rPr>
          <w:lang w:val="en-GB"/>
        </w:rPr>
        <w:t xml:space="preserve">- </w:t>
      </w:r>
      <w:r w:rsidR="00CF7231">
        <w:rPr>
          <w:lang w:val="en-GB"/>
        </w:rPr>
        <w:t xml:space="preserve">and comitology committees between 1996 and 2006, these patterns have remained stable during the last decade. Correspondingly, the gap between the sector ministries and the MFA had a notable increase between 1996 and 2006, and then remained </w:t>
      </w:r>
      <w:r w:rsidR="00CF7231">
        <w:rPr>
          <w:lang w:val="en-GB"/>
        </w:rPr>
        <w:lastRenderedPageBreak/>
        <w:t xml:space="preserve">stable from 2006 to 2016. One explanation for this may be increased institutionalization of common administrative capacities across levels of governance during the past decade. This arguably may lead to more stable patterns of interaction. </w:t>
      </w:r>
      <w:r w:rsidR="00BB0F61">
        <w:rPr>
          <w:lang w:val="en-GB"/>
        </w:rPr>
        <w:t>Also worth noting is that whereas contact to the Commission has remained stable</w:t>
      </w:r>
      <w:r w:rsidR="009604EE">
        <w:rPr>
          <w:lang w:val="en-GB"/>
        </w:rPr>
        <w:t xml:space="preserve"> during</w:t>
      </w:r>
      <w:r w:rsidR="00BB0F61">
        <w:rPr>
          <w:lang w:val="en-GB"/>
        </w:rPr>
        <w:t xml:space="preserve"> the past decade, sector ministries’ contact to the EU agencies has decreased. This may also be a consequence of increased institutionalization of the MLA system in which</w:t>
      </w:r>
      <w:r w:rsidR="009604EE">
        <w:rPr>
          <w:lang w:val="en-GB"/>
        </w:rPr>
        <w:t xml:space="preserve"> </w:t>
      </w:r>
      <w:r w:rsidR="00BB0F61">
        <w:rPr>
          <w:lang w:val="en-GB"/>
        </w:rPr>
        <w:t xml:space="preserve">national agencies have acquired a larger position as access-points for EU agencies (e.g. Egeberg and Trondal 2015). </w:t>
      </w:r>
      <w:r>
        <w:rPr>
          <w:lang w:val="en-GB"/>
        </w:rPr>
        <w:t xml:space="preserve">Secondly, </w:t>
      </w:r>
      <w:r w:rsidR="007825CC">
        <w:rPr>
          <w:lang w:val="en-GB"/>
        </w:rPr>
        <w:t xml:space="preserve">the data shows that </w:t>
      </w:r>
      <w:r>
        <w:rPr>
          <w:lang w:val="en-GB"/>
        </w:rPr>
        <w:t>ministry affiliation matters</w:t>
      </w:r>
      <w:r w:rsidR="00CF7231">
        <w:rPr>
          <w:lang w:val="en-GB"/>
        </w:rPr>
        <w:t xml:space="preserve"> (P1)</w:t>
      </w:r>
      <w:r>
        <w:rPr>
          <w:lang w:val="en-GB"/>
        </w:rPr>
        <w:t xml:space="preserve">. Table 4 reveals a substantial difference between staff affiliated to sector ministries and staff </w:t>
      </w:r>
      <w:r w:rsidR="009604EE">
        <w:rPr>
          <w:lang w:val="en-GB"/>
        </w:rPr>
        <w:t>affiliated to</w:t>
      </w:r>
      <w:r w:rsidR="009604EE">
        <w:rPr>
          <w:lang w:val="en-GB"/>
        </w:rPr>
        <w:t xml:space="preserve"> </w:t>
      </w:r>
      <w:r>
        <w:rPr>
          <w:lang w:val="en-GB"/>
        </w:rPr>
        <w:t xml:space="preserve">the Ministry of Foreign Affairs (MFA). </w:t>
      </w:r>
      <w:r w:rsidR="00046B51">
        <w:rPr>
          <w:lang w:val="en-GB"/>
        </w:rPr>
        <w:t xml:space="preserve">With </w:t>
      </w:r>
      <w:r w:rsidR="003628B0">
        <w:rPr>
          <w:lang w:val="en-GB"/>
        </w:rPr>
        <w:t>the</w:t>
      </w:r>
      <w:r w:rsidR="00046B51">
        <w:rPr>
          <w:lang w:val="en-GB"/>
        </w:rPr>
        <w:t xml:space="preserve"> exception of the European Parliament (2016 data only), </w:t>
      </w:r>
      <w:r w:rsidR="00B770FF">
        <w:rPr>
          <w:lang w:val="en-GB"/>
        </w:rPr>
        <w:t>sector ministries</w:t>
      </w:r>
      <w:r>
        <w:rPr>
          <w:lang w:val="en-GB"/>
        </w:rPr>
        <w:t xml:space="preserve"> are consistently more involved</w:t>
      </w:r>
      <w:r w:rsidR="00CF7231">
        <w:rPr>
          <w:lang w:val="en-GB"/>
        </w:rPr>
        <w:t xml:space="preserve"> with EU-institutions, even the Council</w:t>
      </w:r>
      <w:r w:rsidR="00AE18B0">
        <w:rPr>
          <w:lang w:val="en-GB"/>
        </w:rPr>
        <w:t>.</w:t>
      </w:r>
      <w:r w:rsidR="00CF7231">
        <w:rPr>
          <w:lang w:val="en-GB"/>
        </w:rPr>
        <w:t xml:space="preserve"> </w:t>
      </w:r>
      <w:r w:rsidR="009604EE">
        <w:rPr>
          <w:lang w:val="en-GB"/>
        </w:rPr>
        <w:t>Moreover, r</w:t>
      </w:r>
      <w:r w:rsidR="009604EE">
        <w:rPr>
          <w:lang w:val="en-GB"/>
        </w:rPr>
        <w:t>eflecting compatible principles of organization</w:t>
      </w:r>
      <w:r w:rsidR="009604EE">
        <w:rPr>
          <w:lang w:val="en-GB"/>
        </w:rPr>
        <w:t xml:space="preserve">, </w:t>
      </w:r>
      <w:r w:rsidR="00CF7231">
        <w:rPr>
          <w:lang w:val="en-GB"/>
        </w:rPr>
        <w:t>officials</w:t>
      </w:r>
      <w:r w:rsidR="009604EE">
        <w:rPr>
          <w:lang w:val="en-GB"/>
        </w:rPr>
        <w:t xml:space="preserve"> from sector ministries</w:t>
      </w:r>
      <w:r w:rsidR="00CF7231">
        <w:rPr>
          <w:lang w:val="en-GB"/>
        </w:rPr>
        <w:t xml:space="preserve"> tend to concentrate attention towards the Commission, EU agencies and Commission expert committees</w:t>
      </w:r>
      <w:r w:rsidR="009604EE">
        <w:rPr>
          <w:lang w:val="en-GB"/>
        </w:rPr>
        <w:t>, whereas officials from the</w:t>
      </w:r>
      <w:r w:rsidR="007E64AC">
        <w:rPr>
          <w:lang w:val="en-GB"/>
        </w:rPr>
        <w:t xml:space="preserve"> MFA</w:t>
      </w:r>
      <w:r w:rsidR="009604EE">
        <w:rPr>
          <w:lang w:val="en-GB"/>
        </w:rPr>
        <w:t xml:space="preserve"> concentrate more attention to </w:t>
      </w:r>
      <w:r w:rsidR="007E64AC">
        <w:rPr>
          <w:lang w:val="en-GB"/>
        </w:rPr>
        <w:t>the Council</w:t>
      </w:r>
      <w:r w:rsidR="009604EE">
        <w:rPr>
          <w:lang w:val="en-GB"/>
        </w:rPr>
        <w:t>.</w:t>
      </w:r>
      <w:r w:rsidR="00AE18B0">
        <w:rPr>
          <w:lang w:val="en-GB"/>
        </w:rPr>
        <w:t xml:space="preserve"> </w:t>
      </w:r>
    </w:p>
    <w:p w14:paraId="524A2B02" w14:textId="77777777" w:rsidR="00AE18B0" w:rsidRPr="0075770C" w:rsidRDefault="00AE18B0" w:rsidP="005236C0">
      <w:pPr>
        <w:jc w:val="both"/>
        <w:rPr>
          <w:lang w:val="en-GB"/>
        </w:rPr>
      </w:pPr>
    </w:p>
    <w:p w14:paraId="7D048818" w14:textId="0A4FD54E" w:rsidR="00532827" w:rsidRPr="0075770C" w:rsidRDefault="00DD196E" w:rsidP="00AE18B0">
      <w:pPr>
        <w:rPr>
          <w:b/>
          <w:lang w:val="en-GB"/>
        </w:rPr>
      </w:pPr>
      <w:r>
        <w:rPr>
          <w:b/>
          <w:lang w:val="en-GB"/>
        </w:rPr>
        <w:t>Table 4</w:t>
      </w:r>
      <w:r w:rsidR="00532827" w:rsidRPr="0075770C">
        <w:rPr>
          <w:b/>
          <w:lang w:val="en-GB"/>
        </w:rPr>
        <w:t xml:space="preserve"> Percentage of officials that report </w:t>
      </w:r>
      <w:r w:rsidR="00532827" w:rsidRPr="00582B8A">
        <w:rPr>
          <w:b/>
          <w:i/>
          <w:u w:val="single"/>
          <w:lang w:val="en-GB"/>
        </w:rPr>
        <w:t>contact with*</w:t>
      </w:r>
      <w:r w:rsidR="00532827" w:rsidRPr="00582B8A">
        <w:rPr>
          <w:b/>
          <w:u w:val="single"/>
          <w:lang w:val="en-GB"/>
        </w:rPr>
        <w:t xml:space="preserve"> and/or </w:t>
      </w:r>
      <w:r w:rsidR="00532827" w:rsidRPr="00582B8A">
        <w:rPr>
          <w:b/>
          <w:i/>
          <w:u w:val="single"/>
          <w:lang w:val="en-GB"/>
        </w:rPr>
        <w:t>participation</w:t>
      </w:r>
      <w:r w:rsidR="00532827" w:rsidRPr="00582B8A">
        <w:rPr>
          <w:b/>
          <w:u w:val="single"/>
          <w:lang w:val="en-GB"/>
        </w:rPr>
        <w:t xml:space="preserve"> </w:t>
      </w:r>
      <w:r w:rsidR="00532827" w:rsidRPr="00582B8A">
        <w:rPr>
          <w:b/>
          <w:i/>
          <w:u w:val="single"/>
          <w:lang w:val="en-GB"/>
        </w:rPr>
        <w:t>in</w:t>
      </w:r>
      <w:r w:rsidR="00532827" w:rsidRPr="0075770C">
        <w:rPr>
          <w:b/>
          <w:i/>
          <w:lang w:val="en-GB"/>
        </w:rPr>
        <w:t>**</w:t>
      </w:r>
      <w:r w:rsidR="00532827" w:rsidRPr="0075770C">
        <w:rPr>
          <w:b/>
          <w:lang w:val="en-GB"/>
        </w:rPr>
        <w:t xml:space="preserve"> EU-level institutions, by year and ministerial affiliation (sector ministries (SM)/Ministry of Foreign Affairs (MFA))</w:t>
      </w:r>
    </w:p>
    <w:tbl>
      <w:tblPr>
        <w:tblStyle w:val="Tabellrutenett"/>
        <w:tblW w:w="9589" w:type="dxa"/>
        <w:tblInd w:w="108" w:type="dxa"/>
        <w:tblLook w:val="04A0" w:firstRow="1" w:lastRow="0" w:firstColumn="1" w:lastColumn="0" w:noHBand="0" w:noVBand="1"/>
      </w:tblPr>
      <w:tblGrid>
        <w:gridCol w:w="2876"/>
        <w:gridCol w:w="932"/>
        <w:gridCol w:w="870"/>
        <w:gridCol w:w="862"/>
        <w:gridCol w:w="823"/>
        <w:gridCol w:w="867"/>
        <w:gridCol w:w="850"/>
        <w:gridCol w:w="1509"/>
      </w:tblGrid>
      <w:tr w:rsidR="00532827" w:rsidRPr="00162A8C" w14:paraId="3999D6E3" w14:textId="77777777" w:rsidTr="00F00783">
        <w:trPr>
          <w:trHeight w:val="516"/>
        </w:trPr>
        <w:tc>
          <w:tcPr>
            <w:tcW w:w="2876" w:type="dxa"/>
          </w:tcPr>
          <w:p w14:paraId="31E5FD67" w14:textId="77777777" w:rsidR="00532827" w:rsidRPr="00162A8C" w:rsidRDefault="00532827" w:rsidP="008A1B77">
            <w:pPr>
              <w:rPr>
                <w:rFonts w:cstheme="majorHAnsi"/>
                <w:lang w:val="en-GB"/>
              </w:rPr>
            </w:pPr>
          </w:p>
        </w:tc>
        <w:tc>
          <w:tcPr>
            <w:tcW w:w="1802" w:type="dxa"/>
            <w:gridSpan w:val="2"/>
          </w:tcPr>
          <w:p w14:paraId="5F37157C" w14:textId="77777777" w:rsidR="00532827" w:rsidRPr="00162A8C" w:rsidRDefault="00532827" w:rsidP="00AE18B0">
            <w:pPr>
              <w:jc w:val="center"/>
              <w:rPr>
                <w:rFonts w:cstheme="majorHAnsi"/>
                <w:b/>
                <w:lang w:val="en-GB"/>
              </w:rPr>
            </w:pPr>
            <w:r w:rsidRPr="00162A8C">
              <w:rPr>
                <w:rFonts w:cstheme="majorHAnsi"/>
                <w:b/>
                <w:lang w:val="en-GB"/>
              </w:rPr>
              <w:t>1996</w:t>
            </w:r>
          </w:p>
        </w:tc>
        <w:tc>
          <w:tcPr>
            <w:tcW w:w="1685" w:type="dxa"/>
            <w:gridSpan w:val="2"/>
          </w:tcPr>
          <w:p w14:paraId="5F40114F" w14:textId="77777777" w:rsidR="00532827" w:rsidRPr="00162A8C" w:rsidRDefault="00532827" w:rsidP="00AE18B0">
            <w:pPr>
              <w:jc w:val="center"/>
              <w:rPr>
                <w:rFonts w:cstheme="majorHAnsi"/>
                <w:b/>
                <w:lang w:val="en-GB"/>
              </w:rPr>
            </w:pPr>
            <w:r w:rsidRPr="00162A8C">
              <w:rPr>
                <w:rFonts w:cstheme="majorHAnsi"/>
                <w:b/>
                <w:lang w:val="en-GB"/>
              </w:rPr>
              <w:t>2006</w:t>
            </w:r>
          </w:p>
        </w:tc>
        <w:tc>
          <w:tcPr>
            <w:tcW w:w="1717" w:type="dxa"/>
            <w:gridSpan w:val="2"/>
          </w:tcPr>
          <w:p w14:paraId="37E4E6AE" w14:textId="77777777" w:rsidR="00532827" w:rsidRPr="00162A8C" w:rsidRDefault="00532827" w:rsidP="00AE18B0">
            <w:pPr>
              <w:jc w:val="center"/>
              <w:rPr>
                <w:rFonts w:cstheme="majorHAnsi"/>
                <w:b/>
                <w:lang w:val="en-GB"/>
              </w:rPr>
            </w:pPr>
            <w:r w:rsidRPr="00162A8C">
              <w:rPr>
                <w:rFonts w:cstheme="majorHAnsi"/>
                <w:b/>
                <w:lang w:val="en-GB"/>
              </w:rPr>
              <w:t>2016</w:t>
            </w:r>
          </w:p>
        </w:tc>
        <w:tc>
          <w:tcPr>
            <w:tcW w:w="1509" w:type="dxa"/>
          </w:tcPr>
          <w:p w14:paraId="63727906" w14:textId="2BBC2FF8" w:rsidR="00532827" w:rsidRPr="00162A8C" w:rsidRDefault="00532827" w:rsidP="00AE18B0">
            <w:pPr>
              <w:jc w:val="center"/>
              <w:rPr>
                <w:rFonts w:cstheme="majorHAnsi"/>
                <w:lang w:val="en-GB"/>
              </w:rPr>
            </w:pPr>
          </w:p>
        </w:tc>
      </w:tr>
      <w:tr w:rsidR="00532827" w:rsidRPr="00162A8C" w14:paraId="28236FAA" w14:textId="77777777" w:rsidTr="00F00783">
        <w:trPr>
          <w:trHeight w:val="572"/>
        </w:trPr>
        <w:tc>
          <w:tcPr>
            <w:tcW w:w="2876" w:type="dxa"/>
          </w:tcPr>
          <w:p w14:paraId="5DD59808" w14:textId="77777777" w:rsidR="00532827" w:rsidRPr="00162A8C" w:rsidRDefault="00532827" w:rsidP="008A1B77">
            <w:pPr>
              <w:rPr>
                <w:rFonts w:cstheme="majorHAnsi"/>
                <w:lang w:val="en-GB"/>
              </w:rPr>
            </w:pPr>
          </w:p>
        </w:tc>
        <w:tc>
          <w:tcPr>
            <w:tcW w:w="932" w:type="dxa"/>
          </w:tcPr>
          <w:p w14:paraId="66365561" w14:textId="77777777" w:rsidR="00532827" w:rsidRPr="00162A8C" w:rsidRDefault="00532827" w:rsidP="00AE18B0">
            <w:pPr>
              <w:jc w:val="center"/>
              <w:rPr>
                <w:rFonts w:cstheme="majorHAnsi"/>
                <w:lang w:val="en-GB"/>
              </w:rPr>
            </w:pPr>
            <w:r w:rsidRPr="00162A8C">
              <w:rPr>
                <w:rFonts w:cstheme="majorHAnsi"/>
                <w:lang w:val="en-GB"/>
              </w:rPr>
              <w:t>SM</w:t>
            </w:r>
          </w:p>
        </w:tc>
        <w:tc>
          <w:tcPr>
            <w:tcW w:w="870" w:type="dxa"/>
          </w:tcPr>
          <w:p w14:paraId="4D764859" w14:textId="77777777" w:rsidR="00532827" w:rsidRPr="00162A8C" w:rsidRDefault="00532827" w:rsidP="00AE18B0">
            <w:pPr>
              <w:jc w:val="center"/>
              <w:rPr>
                <w:rFonts w:cstheme="majorHAnsi"/>
                <w:lang w:val="en-GB"/>
              </w:rPr>
            </w:pPr>
            <w:r w:rsidRPr="00162A8C">
              <w:rPr>
                <w:rFonts w:cstheme="majorHAnsi"/>
                <w:lang w:val="en-GB"/>
              </w:rPr>
              <w:t>MFA</w:t>
            </w:r>
          </w:p>
        </w:tc>
        <w:tc>
          <w:tcPr>
            <w:tcW w:w="862" w:type="dxa"/>
          </w:tcPr>
          <w:p w14:paraId="4DC25D91" w14:textId="77777777" w:rsidR="00532827" w:rsidRPr="00162A8C" w:rsidRDefault="00532827" w:rsidP="00AE18B0">
            <w:pPr>
              <w:jc w:val="center"/>
              <w:rPr>
                <w:rFonts w:cstheme="majorHAnsi"/>
                <w:lang w:val="en-GB"/>
              </w:rPr>
            </w:pPr>
            <w:r w:rsidRPr="00162A8C">
              <w:rPr>
                <w:rFonts w:cstheme="majorHAnsi"/>
                <w:lang w:val="en-GB"/>
              </w:rPr>
              <w:t>SM</w:t>
            </w:r>
          </w:p>
        </w:tc>
        <w:tc>
          <w:tcPr>
            <w:tcW w:w="823" w:type="dxa"/>
          </w:tcPr>
          <w:p w14:paraId="348C5859" w14:textId="77777777" w:rsidR="00532827" w:rsidRPr="00162A8C" w:rsidRDefault="00532827" w:rsidP="00AE18B0">
            <w:pPr>
              <w:jc w:val="center"/>
              <w:rPr>
                <w:rFonts w:cstheme="majorHAnsi"/>
                <w:lang w:val="en-GB"/>
              </w:rPr>
            </w:pPr>
            <w:r w:rsidRPr="00162A8C">
              <w:rPr>
                <w:rFonts w:cstheme="majorHAnsi"/>
                <w:lang w:val="en-GB"/>
              </w:rPr>
              <w:t>MFA</w:t>
            </w:r>
          </w:p>
        </w:tc>
        <w:tc>
          <w:tcPr>
            <w:tcW w:w="867" w:type="dxa"/>
          </w:tcPr>
          <w:p w14:paraId="07260B8D" w14:textId="77777777" w:rsidR="00532827" w:rsidRPr="00162A8C" w:rsidRDefault="00532827" w:rsidP="00AE18B0">
            <w:pPr>
              <w:jc w:val="center"/>
              <w:rPr>
                <w:rFonts w:cstheme="majorHAnsi"/>
                <w:lang w:val="en-GB"/>
              </w:rPr>
            </w:pPr>
            <w:r w:rsidRPr="00162A8C">
              <w:rPr>
                <w:rFonts w:cstheme="majorHAnsi"/>
                <w:lang w:val="en-GB"/>
              </w:rPr>
              <w:t>SM</w:t>
            </w:r>
          </w:p>
        </w:tc>
        <w:tc>
          <w:tcPr>
            <w:tcW w:w="850" w:type="dxa"/>
          </w:tcPr>
          <w:p w14:paraId="5995E30F" w14:textId="77777777" w:rsidR="00532827" w:rsidRPr="00162A8C" w:rsidRDefault="00532827" w:rsidP="00AE18B0">
            <w:pPr>
              <w:jc w:val="center"/>
              <w:rPr>
                <w:rFonts w:cstheme="majorHAnsi"/>
                <w:lang w:val="en-GB"/>
              </w:rPr>
            </w:pPr>
            <w:r w:rsidRPr="00162A8C">
              <w:rPr>
                <w:rFonts w:cstheme="majorHAnsi"/>
                <w:lang w:val="en-GB"/>
              </w:rPr>
              <w:t>MFA</w:t>
            </w:r>
          </w:p>
        </w:tc>
        <w:tc>
          <w:tcPr>
            <w:tcW w:w="1509" w:type="dxa"/>
          </w:tcPr>
          <w:p w14:paraId="09B2B702" w14:textId="113D5060" w:rsidR="00532827" w:rsidRPr="00162A8C" w:rsidRDefault="00162A8C" w:rsidP="00162A8C">
            <w:pPr>
              <w:jc w:val="center"/>
              <w:rPr>
                <w:rFonts w:cstheme="majorHAnsi"/>
                <w:lang w:val="en-GB"/>
              </w:rPr>
            </w:pPr>
            <w:r w:rsidRPr="00162A8C">
              <w:rPr>
                <w:rFonts w:cstheme="majorHAnsi"/>
                <w:lang w:val="en-GB"/>
              </w:rPr>
              <w:t>Mean N</w:t>
            </w:r>
          </w:p>
        </w:tc>
      </w:tr>
      <w:tr w:rsidR="00532827" w:rsidRPr="00162A8C" w14:paraId="3D4FCCBC" w14:textId="77777777" w:rsidTr="00B770FF">
        <w:trPr>
          <w:trHeight w:val="694"/>
        </w:trPr>
        <w:tc>
          <w:tcPr>
            <w:tcW w:w="2876" w:type="dxa"/>
          </w:tcPr>
          <w:p w14:paraId="727F9F7A" w14:textId="4AEFFF0F" w:rsidR="00532827" w:rsidRPr="00162A8C" w:rsidRDefault="00532827" w:rsidP="008A1B77">
            <w:pPr>
              <w:rPr>
                <w:rFonts w:cstheme="majorHAnsi"/>
                <w:lang w:val="en-GB"/>
              </w:rPr>
            </w:pPr>
            <w:r w:rsidRPr="00162A8C">
              <w:rPr>
                <w:rFonts w:cstheme="majorHAnsi"/>
                <w:lang w:val="en-GB"/>
              </w:rPr>
              <w:t>Contact with the Commission</w:t>
            </w:r>
          </w:p>
          <w:p w14:paraId="2515F98B" w14:textId="77777777" w:rsidR="00532827" w:rsidRPr="00162A8C" w:rsidRDefault="00532827" w:rsidP="008A1B77">
            <w:pPr>
              <w:rPr>
                <w:rFonts w:cstheme="majorHAnsi"/>
                <w:lang w:val="en-GB"/>
              </w:rPr>
            </w:pPr>
          </w:p>
          <w:p w14:paraId="31B739AB" w14:textId="2B30F133" w:rsidR="00CF7231" w:rsidRPr="00162A8C" w:rsidRDefault="00CF7231" w:rsidP="008A1B77">
            <w:pPr>
              <w:rPr>
                <w:rFonts w:cstheme="majorHAnsi"/>
                <w:lang w:val="en-GB"/>
              </w:rPr>
            </w:pPr>
            <w:r w:rsidRPr="00162A8C">
              <w:rPr>
                <w:rFonts w:cstheme="majorHAnsi"/>
                <w:lang w:val="en-GB"/>
              </w:rPr>
              <w:t>Contact with the Council</w:t>
            </w:r>
          </w:p>
          <w:p w14:paraId="66C95E71" w14:textId="77777777" w:rsidR="00532827" w:rsidRPr="00162A8C" w:rsidRDefault="00532827" w:rsidP="008A1B77">
            <w:pPr>
              <w:rPr>
                <w:rFonts w:cstheme="majorHAnsi"/>
                <w:lang w:val="en-GB"/>
              </w:rPr>
            </w:pPr>
          </w:p>
          <w:p w14:paraId="563908BD" w14:textId="77777777" w:rsidR="00532827" w:rsidRPr="00162A8C" w:rsidRDefault="00532827" w:rsidP="008A1B77">
            <w:pPr>
              <w:rPr>
                <w:rFonts w:cstheme="majorHAnsi"/>
                <w:lang w:val="en-GB"/>
              </w:rPr>
            </w:pPr>
            <w:r w:rsidRPr="00162A8C">
              <w:rPr>
                <w:rFonts w:cstheme="majorHAnsi"/>
                <w:lang w:val="en-GB"/>
              </w:rPr>
              <w:t>Contact with the European Parliament</w:t>
            </w:r>
          </w:p>
          <w:p w14:paraId="651125E1" w14:textId="77777777" w:rsidR="00532827" w:rsidRPr="00162A8C" w:rsidRDefault="00532827" w:rsidP="008A1B77">
            <w:pPr>
              <w:rPr>
                <w:rFonts w:cstheme="majorHAnsi"/>
                <w:lang w:val="en-GB"/>
              </w:rPr>
            </w:pPr>
          </w:p>
          <w:p w14:paraId="5DE7262B" w14:textId="77777777" w:rsidR="00532827" w:rsidRPr="00162A8C" w:rsidRDefault="00532827" w:rsidP="008A1B77">
            <w:pPr>
              <w:rPr>
                <w:rFonts w:cstheme="majorHAnsi"/>
                <w:lang w:val="en-GB"/>
              </w:rPr>
            </w:pPr>
            <w:r w:rsidRPr="00162A8C">
              <w:rPr>
                <w:rFonts w:cstheme="majorHAnsi"/>
                <w:lang w:val="en-GB"/>
              </w:rPr>
              <w:t>Contact with EU agencies</w:t>
            </w:r>
          </w:p>
          <w:p w14:paraId="0A2F5125" w14:textId="5B2FFC1F" w:rsidR="00532827" w:rsidRPr="00162A8C" w:rsidRDefault="00532827" w:rsidP="008A1B77">
            <w:pPr>
              <w:rPr>
                <w:rFonts w:cstheme="majorHAnsi"/>
                <w:lang w:val="en-GB"/>
              </w:rPr>
            </w:pPr>
          </w:p>
          <w:p w14:paraId="5448B8CE" w14:textId="54797F51" w:rsidR="00532827" w:rsidRPr="00162A8C" w:rsidRDefault="00532827" w:rsidP="008A1B77">
            <w:pPr>
              <w:rPr>
                <w:rFonts w:cstheme="majorHAnsi"/>
                <w:lang w:val="en-GB"/>
              </w:rPr>
            </w:pPr>
            <w:r w:rsidRPr="00162A8C">
              <w:rPr>
                <w:rFonts w:cstheme="majorHAnsi"/>
                <w:lang w:val="en-GB"/>
              </w:rPr>
              <w:t xml:space="preserve">Participation in expert </w:t>
            </w:r>
            <w:r w:rsidR="0075770C" w:rsidRPr="00162A8C">
              <w:rPr>
                <w:rFonts w:cstheme="majorHAnsi"/>
                <w:lang w:val="en-GB"/>
              </w:rPr>
              <w:t>committee</w:t>
            </w:r>
            <w:r w:rsidRPr="00162A8C">
              <w:rPr>
                <w:rFonts w:cstheme="majorHAnsi"/>
                <w:lang w:val="en-GB"/>
              </w:rPr>
              <w:t>(s)</w:t>
            </w:r>
          </w:p>
          <w:p w14:paraId="1C742C95" w14:textId="4411DAA8" w:rsidR="00532827" w:rsidRPr="00162A8C" w:rsidRDefault="00532827" w:rsidP="008A1B77">
            <w:pPr>
              <w:rPr>
                <w:rFonts w:cstheme="majorHAnsi"/>
                <w:lang w:val="en-GB"/>
              </w:rPr>
            </w:pPr>
          </w:p>
          <w:p w14:paraId="2FDF1211" w14:textId="4C6A4392" w:rsidR="00532827" w:rsidRPr="00162A8C" w:rsidRDefault="00532827" w:rsidP="008A1B77">
            <w:pPr>
              <w:rPr>
                <w:rFonts w:cstheme="majorHAnsi"/>
                <w:lang w:val="en-GB"/>
              </w:rPr>
            </w:pPr>
            <w:r w:rsidRPr="00162A8C">
              <w:rPr>
                <w:rFonts w:cstheme="majorHAnsi"/>
                <w:lang w:val="en-GB"/>
              </w:rPr>
              <w:t xml:space="preserve">Participation in comitology </w:t>
            </w:r>
            <w:r w:rsidR="0075770C" w:rsidRPr="00162A8C">
              <w:rPr>
                <w:rFonts w:cstheme="majorHAnsi"/>
                <w:lang w:val="en-GB"/>
              </w:rPr>
              <w:t>committee</w:t>
            </w:r>
            <w:r w:rsidRPr="00162A8C">
              <w:rPr>
                <w:rFonts w:cstheme="majorHAnsi"/>
                <w:lang w:val="en-GB"/>
              </w:rPr>
              <w:t>(s)</w:t>
            </w:r>
          </w:p>
          <w:p w14:paraId="6C52A578" w14:textId="3A64413B" w:rsidR="00532827" w:rsidRPr="00162A8C" w:rsidRDefault="00532827" w:rsidP="008A1B77">
            <w:pPr>
              <w:rPr>
                <w:rFonts w:cstheme="majorHAnsi"/>
                <w:lang w:val="en-GB"/>
              </w:rPr>
            </w:pPr>
          </w:p>
          <w:p w14:paraId="39A2DCC3" w14:textId="77777777" w:rsidR="00532827" w:rsidRPr="00162A8C" w:rsidRDefault="00532827" w:rsidP="008A1B77">
            <w:pPr>
              <w:rPr>
                <w:rFonts w:cstheme="majorHAnsi"/>
                <w:lang w:val="en-GB"/>
              </w:rPr>
            </w:pPr>
            <w:r w:rsidRPr="00162A8C">
              <w:rPr>
                <w:rFonts w:cstheme="majorHAnsi"/>
                <w:lang w:val="en-GB"/>
              </w:rPr>
              <w:t>Participation in the Council</w:t>
            </w:r>
          </w:p>
          <w:p w14:paraId="58ED7050" w14:textId="0C213096" w:rsidR="00532827" w:rsidRPr="00162A8C" w:rsidRDefault="00532827" w:rsidP="008A1B77">
            <w:pPr>
              <w:rPr>
                <w:rFonts w:cstheme="majorHAnsi"/>
                <w:lang w:val="en-GB"/>
              </w:rPr>
            </w:pPr>
          </w:p>
          <w:p w14:paraId="27FA9A16" w14:textId="0E3C7730" w:rsidR="00532827" w:rsidRPr="00162A8C" w:rsidRDefault="00532827" w:rsidP="008A1B77">
            <w:pPr>
              <w:rPr>
                <w:rFonts w:cstheme="majorHAnsi"/>
                <w:lang w:val="en-GB"/>
              </w:rPr>
            </w:pPr>
            <w:r w:rsidRPr="00162A8C">
              <w:rPr>
                <w:rFonts w:cstheme="majorHAnsi"/>
                <w:lang w:val="en-GB"/>
              </w:rPr>
              <w:t xml:space="preserve">Participation in </w:t>
            </w:r>
            <w:r w:rsidR="0075770C" w:rsidRPr="00162A8C">
              <w:rPr>
                <w:rFonts w:cstheme="majorHAnsi"/>
                <w:lang w:val="en-GB"/>
              </w:rPr>
              <w:t>committees</w:t>
            </w:r>
            <w:r w:rsidRPr="00162A8C">
              <w:rPr>
                <w:rFonts w:cstheme="majorHAnsi"/>
                <w:lang w:val="en-GB"/>
              </w:rPr>
              <w:t>, boards etc. in EU agencies</w:t>
            </w:r>
          </w:p>
        </w:tc>
        <w:tc>
          <w:tcPr>
            <w:tcW w:w="932" w:type="dxa"/>
          </w:tcPr>
          <w:p w14:paraId="53F5FC7B" w14:textId="77777777" w:rsidR="00532827" w:rsidRPr="00162A8C" w:rsidRDefault="00532827" w:rsidP="00AE18B0">
            <w:pPr>
              <w:jc w:val="center"/>
              <w:rPr>
                <w:rFonts w:cstheme="majorHAnsi"/>
                <w:lang w:val="en-GB"/>
              </w:rPr>
            </w:pPr>
            <w:r w:rsidRPr="00162A8C">
              <w:rPr>
                <w:rFonts w:cstheme="majorHAnsi"/>
                <w:lang w:val="en-GB"/>
              </w:rPr>
              <w:t>68</w:t>
            </w:r>
          </w:p>
          <w:p w14:paraId="1EE3E742" w14:textId="77777777" w:rsidR="00532827" w:rsidRPr="00162A8C" w:rsidRDefault="00532827" w:rsidP="00AE18B0">
            <w:pPr>
              <w:jc w:val="center"/>
              <w:rPr>
                <w:rFonts w:cstheme="majorHAnsi"/>
                <w:lang w:val="en-GB"/>
              </w:rPr>
            </w:pPr>
          </w:p>
          <w:p w14:paraId="282B8A06" w14:textId="77777777" w:rsidR="00532827" w:rsidRPr="00162A8C" w:rsidRDefault="00532827" w:rsidP="00AE18B0">
            <w:pPr>
              <w:jc w:val="center"/>
              <w:rPr>
                <w:rFonts w:cstheme="majorHAnsi"/>
                <w:lang w:val="en-GB"/>
              </w:rPr>
            </w:pPr>
          </w:p>
          <w:p w14:paraId="295AC0C1" w14:textId="77777777" w:rsidR="00532827" w:rsidRPr="00162A8C" w:rsidRDefault="00532827" w:rsidP="00AE18B0">
            <w:pPr>
              <w:jc w:val="center"/>
              <w:rPr>
                <w:rFonts w:cstheme="majorHAnsi"/>
                <w:lang w:val="en-GB"/>
              </w:rPr>
            </w:pPr>
            <w:r w:rsidRPr="00162A8C">
              <w:rPr>
                <w:rFonts w:cstheme="majorHAnsi"/>
                <w:lang w:val="en-GB"/>
              </w:rPr>
              <w:t>-</w:t>
            </w:r>
          </w:p>
          <w:p w14:paraId="5FA90C58" w14:textId="72C983C8" w:rsidR="00532827" w:rsidRPr="00162A8C" w:rsidRDefault="00532827" w:rsidP="00AB7BE3">
            <w:pPr>
              <w:rPr>
                <w:rFonts w:cstheme="majorHAnsi"/>
                <w:lang w:val="en-GB"/>
              </w:rPr>
            </w:pPr>
          </w:p>
          <w:p w14:paraId="734B73AB" w14:textId="77777777" w:rsidR="00532827" w:rsidRPr="00162A8C" w:rsidRDefault="00532827" w:rsidP="00AE18B0">
            <w:pPr>
              <w:jc w:val="center"/>
              <w:rPr>
                <w:rFonts w:cstheme="majorHAnsi"/>
                <w:lang w:val="en-GB"/>
              </w:rPr>
            </w:pPr>
            <w:r w:rsidRPr="00162A8C">
              <w:rPr>
                <w:rFonts w:cstheme="majorHAnsi"/>
                <w:lang w:val="en-GB"/>
              </w:rPr>
              <w:t>-</w:t>
            </w:r>
          </w:p>
          <w:p w14:paraId="30A14FF2" w14:textId="77777777" w:rsidR="00532827" w:rsidRPr="00162A8C" w:rsidRDefault="00532827" w:rsidP="00AE18B0">
            <w:pPr>
              <w:jc w:val="center"/>
              <w:rPr>
                <w:rFonts w:cstheme="majorHAnsi"/>
                <w:lang w:val="en-GB"/>
              </w:rPr>
            </w:pPr>
          </w:p>
          <w:p w14:paraId="3784D540" w14:textId="77777777" w:rsidR="00532827" w:rsidRPr="00162A8C" w:rsidRDefault="00532827" w:rsidP="00AE18B0">
            <w:pPr>
              <w:jc w:val="center"/>
              <w:rPr>
                <w:rFonts w:cstheme="majorHAnsi"/>
                <w:lang w:val="en-GB"/>
              </w:rPr>
            </w:pPr>
          </w:p>
          <w:p w14:paraId="7DF5C606" w14:textId="77777777" w:rsidR="00532827" w:rsidRPr="00162A8C" w:rsidRDefault="00532827" w:rsidP="00AE18B0">
            <w:pPr>
              <w:jc w:val="center"/>
              <w:rPr>
                <w:rFonts w:cstheme="majorHAnsi"/>
                <w:lang w:val="en-GB"/>
              </w:rPr>
            </w:pPr>
          </w:p>
          <w:p w14:paraId="0FD1E39D" w14:textId="3C1A8719" w:rsidR="00532827" w:rsidRPr="00162A8C" w:rsidRDefault="00532827" w:rsidP="00AB7BE3">
            <w:pPr>
              <w:rPr>
                <w:rFonts w:cstheme="majorHAnsi"/>
                <w:lang w:val="en-GB"/>
              </w:rPr>
            </w:pPr>
          </w:p>
          <w:p w14:paraId="0215BD47" w14:textId="77777777" w:rsidR="00532827" w:rsidRPr="00162A8C" w:rsidRDefault="00532827" w:rsidP="00AE18B0">
            <w:pPr>
              <w:jc w:val="center"/>
              <w:rPr>
                <w:rFonts w:cstheme="majorHAnsi"/>
                <w:lang w:val="en-GB"/>
              </w:rPr>
            </w:pPr>
            <w:r w:rsidRPr="00162A8C">
              <w:rPr>
                <w:rFonts w:cstheme="majorHAnsi"/>
                <w:lang w:val="en-GB"/>
              </w:rPr>
              <w:t>82</w:t>
            </w:r>
          </w:p>
          <w:p w14:paraId="1DD69491" w14:textId="04C0D9EC" w:rsidR="00532827" w:rsidRPr="00162A8C" w:rsidRDefault="00532827" w:rsidP="00AB7BE3">
            <w:pPr>
              <w:rPr>
                <w:rFonts w:cstheme="majorHAnsi"/>
                <w:lang w:val="en-GB"/>
              </w:rPr>
            </w:pPr>
          </w:p>
          <w:p w14:paraId="4C0E51FF" w14:textId="77777777" w:rsidR="00532827" w:rsidRPr="00162A8C" w:rsidRDefault="00532827" w:rsidP="00AE18B0">
            <w:pPr>
              <w:jc w:val="center"/>
              <w:rPr>
                <w:rFonts w:cstheme="majorHAnsi"/>
                <w:lang w:val="en-GB"/>
              </w:rPr>
            </w:pPr>
          </w:p>
          <w:p w14:paraId="5C6C7CE0" w14:textId="77777777" w:rsidR="00532827" w:rsidRPr="00162A8C" w:rsidRDefault="00532827" w:rsidP="00AE18B0">
            <w:pPr>
              <w:jc w:val="center"/>
              <w:rPr>
                <w:rFonts w:cstheme="majorHAnsi"/>
                <w:lang w:val="en-GB"/>
              </w:rPr>
            </w:pPr>
            <w:r w:rsidRPr="00162A8C">
              <w:rPr>
                <w:rFonts w:cstheme="majorHAnsi"/>
                <w:lang w:val="en-GB"/>
              </w:rPr>
              <w:t>86</w:t>
            </w:r>
          </w:p>
          <w:p w14:paraId="48FF8407" w14:textId="77777777" w:rsidR="00532827" w:rsidRPr="00162A8C" w:rsidRDefault="00532827" w:rsidP="00AE18B0">
            <w:pPr>
              <w:jc w:val="center"/>
              <w:rPr>
                <w:rFonts w:cstheme="majorHAnsi"/>
                <w:lang w:val="en-GB"/>
              </w:rPr>
            </w:pPr>
          </w:p>
          <w:p w14:paraId="6F7E7D5C" w14:textId="51E81072" w:rsidR="00532827" w:rsidRPr="00162A8C" w:rsidRDefault="00532827" w:rsidP="00AB7BE3">
            <w:pPr>
              <w:rPr>
                <w:rFonts w:cstheme="majorHAnsi"/>
                <w:lang w:val="en-GB"/>
              </w:rPr>
            </w:pPr>
          </w:p>
          <w:p w14:paraId="19AB9FC7" w14:textId="1AF755CC" w:rsidR="00532827" w:rsidRPr="00162A8C" w:rsidRDefault="00AB7BE3" w:rsidP="00AB7BE3">
            <w:pPr>
              <w:jc w:val="center"/>
              <w:rPr>
                <w:rFonts w:cstheme="majorHAnsi"/>
                <w:lang w:val="en-GB"/>
              </w:rPr>
            </w:pPr>
            <w:r>
              <w:rPr>
                <w:rFonts w:cstheme="majorHAnsi"/>
                <w:lang w:val="en-GB"/>
              </w:rPr>
              <w:t>-</w:t>
            </w:r>
          </w:p>
          <w:p w14:paraId="681D47CB" w14:textId="77777777" w:rsidR="00532827" w:rsidRPr="00162A8C" w:rsidRDefault="00532827" w:rsidP="00AE18B0">
            <w:pPr>
              <w:jc w:val="center"/>
              <w:rPr>
                <w:rFonts w:cstheme="majorHAnsi"/>
                <w:lang w:val="en-GB"/>
              </w:rPr>
            </w:pPr>
          </w:p>
          <w:p w14:paraId="3DF3BFF9" w14:textId="77777777" w:rsidR="00532827" w:rsidRPr="00162A8C" w:rsidRDefault="00532827" w:rsidP="00AE18B0">
            <w:pPr>
              <w:jc w:val="center"/>
              <w:rPr>
                <w:rFonts w:cstheme="majorHAnsi"/>
                <w:lang w:val="en-GB"/>
              </w:rPr>
            </w:pPr>
            <w:r w:rsidRPr="00162A8C">
              <w:rPr>
                <w:rFonts w:cstheme="majorHAnsi"/>
                <w:lang w:val="en-GB"/>
              </w:rPr>
              <w:t>-</w:t>
            </w:r>
          </w:p>
        </w:tc>
        <w:tc>
          <w:tcPr>
            <w:tcW w:w="870" w:type="dxa"/>
          </w:tcPr>
          <w:p w14:paraId="4B187CD0" w14:textId="77777777" w:rsidR="00532827" w:rsidRPr="00162A8C" w:rsidRDefault="00532827" w:rsidP="00AE18B0">
            <w:pPr>
              <w:jc w:val="center"/>
              <w:rPr>
                <w:rFonts w:cstheme="majorHAnsi"/>
                <w:lang w:val="en-GB"/>
              </w:rPr>
            </w:pPr>
            <w:r w:rsidRPr="00162A8C">
              <w:rPr>
                <w:rFonts w:cstheme="majorHAnsi"/>
                <w:lang w:val="en-GB"/>
              </w:rPr>
              <w:t>32</w:t>
            </w:r>
          </w:p>
          <w:p w14:paraId="05790ABD" w14:textId="77777777" w:rsidR="00532827" w:rsidRPr="00162A8C" w:rsidRDefault="00532827" w:rsidP="00AE18B0">
            <w:pPr>
              <w:jc w:val="center"/>
              <w:rPr>
                <w:rFonts w:cstheme="majorHAnsi"/>
                <w:lang w:val="en-GB"/>
              </w:rPr>
            </w:pPr>
          </w:p>
          <w:p w14:paraId="0F9D999A" w14:textId="77777777" w:rsidR="00532827" w:rsidRPr="00162A8C" w:rsidRDefault="00532827" w:rsidP="00AE18B0">
            <w:pPr>
              <w:jc w:val="center"/>
              <w:rPr>
                <w:rFonts w:cstheme="majorHAnsi"/>
                <w:lang w:val="en-GB"/>
              </w:rPr>
            </w:pPr>
          </w:p>
          <w:p w14:paraId="2C1A717A" w14:textId="77777777" w:rsidR="00532827" w:rsidRPr="00162A8C" w:rsidRDefault="00532827" w:rsidP="00AE18B0">
            <w:pPr>
              <w:jc w:val="center"/>
              <w:rPr>
                <w:rFonts w:cstheme="majorHAnsi"/>
                <w:lang w:val="en-GB"/>
              </w:rPr>
            </w:pPr>
            <w:r w:rsidRPr="00162A8C">
              <w:rPr>
                <w:rFonts w:cstheme="majorHAnsi"/>
                <w:lang w:val="en-GB"/>
              </w:rPr>
              <w:t>-</w:t>
            </w:r>
          </w:p>
          <w:p w14:paraId="08A114F3" w14:textId="41BADCA3" w:rsidR="00532827" w:rsidRPr="00162A8C" w:rsidRDefault="00532827" w:rsidP="00AB7BE3">
            <w:pPr>
              <w:rPr>
                <w:rFonts w:cstheme="majorHAnsi"/>
                <w:lang w:val="en-GB"/>
              </w:rPr>
            </w:pPr>
          </w:p>
          <w:p w14:paraId="26AD72B0" w14:textId="77777777" w:rsidR="00532827" w:rsidRPr="00162A8C" w:rsidRDefault="00532827" w:rsidP="00AE18B0">
            <w:pPr>
              <w:jc w:val="center"/>
              <w:rPr>
                <w:rFonts w:cstheme="majorHAnsi"/>
                <w:lang w:val="en-GB"/>
              </w:rPr>
            </w:pPr>
            <w:r w:rsidRPr="00162A8C">
              <w:rPr>
                <w:rFonts w:cstheme="majorHAnsi"/>
                <w:lang w:val="en-GB"/>
              </w:rPr>
              <w:t>-</w:t>
            </w:r>
          </w:p>
          <w:p w14:paraId="67159D8E" w14:textId="77777777" w:rsidR="00532827" w:rsidRPr="00162A8C" w:rsidRDefault="00532827" w:rsidP="00AE18B0">
            <w:pPr>
              <w:jc w:val="center"/>
              <w:rPr>
                <w:rFonts w:cstheme="majorHAnsi"/>
                <w:lang w:val="en-GB"/>
              </w:rPr>
            </w:pPr>
          </w:p>
          <w:p w14:paraId="434A45B3" w14:textId="77777777" w:rsidR="00532827" w:rsidRPr="00162A8C" w:rsidRDefault="00532827" w:rsidP="00AE18B0">
            <w:pPr>
              <w:jc w:val="center"/>
              <w:rPr>
                <w:rFonts w:cstheme="majorHAnsi"/>
                <w:lang w:val="en-GB"/>
              </w:rPr>
            </w:pPr>
          </w:p>
          <w:p w14:paraId="1360BA33" w14:textId="77777777" w:rsidR="00532827" w:rsidRPr="00162A8C" w:rsidRDefault="00532827" w:rsidP="00AE18B0">
            <w:pPr>
              <w:jc w:val="center"/>
              <w:rPr>
                <w:rFonts w:cstheme="majorHAnsi"/>
                <w:lang w:val="en-GB"/>
              </w:rPr>
            </w:pPr>
            <w:r w:rsidRPr="00162A8C">
              <w:rPr>
                <w:rFonts w:cstheme="majorHAnsi"/>
                <w:lang w:val="en-GB"/>
              </w:rPr>
              <w:t>-</w:t>
            </w:r>
          </w:p>
          <w:p w14:paraId="5C1E4189" w14:textId="39082FB7" w:rsidR="00532827" w:rsidRPr="00162A8C" w:rsidRDefault="00532827" w:rsidP="00AB7BE3">
            <w:pPr>
              <w:rPr>
                <w:rFonts w:cstheme="majorHAnsi"/>
                <w:lang w:val="en-GB"/>
              </w:rPr>
            </w:pPr>
          </w:p>
          <w:p w14:paraId="0FC50701" w14:textId="77777777" w:rsidR="00532827" w:rsidRPr="00162A8C" w:rsidRDefault="00532827" w:rsidP="00AE18B0">
            <w:pPr>
              <w:jc w:val="center"/>
              <w:rPr>
                <w:rFonts w:cstheme="majorHAnsi"/>
                <w:lang w:val="en-GB"/>
              </w:rPr>
            </w:pPr>
            <w:r w:rsidRPr="00162A8C">
              <w:rPr>
                <w:rFonts w:cstheme="majorHAnsi"/>
                <w:lang w:val="en-GB"/>
              </w:rPr>
              <w:t>18</w:t>
            </w:r>
          </w:p>
          <w:p w14:paraId="14AA7554" w14:textId="77777777" w:rsidR="00532827" w:rsidRPr="00162A8C" w:rsidRDefault="00532827" w:rsidP="00AE18B0">
            <w:pPr>
              <w:jc w:val="center"/>
              <w:rPr>
                <w:rFonts w:cstheme="majorHAnsi"/>
                <w:lang w:val="en-GB"/>
              </w:rPr>
            </w:pPr>
          </w:p>
          <w:p w14:paraId="0FFC74A2" w14:textId="1C5AA976" w:rsidR="00532827" w:rsidRPr="00162A8C" w:rsidRDefault="00532827" w:rsidP="00AB7BE3">
            <w:pPr>
              <w:rPr>
                <w:rFonts w:cstheme="majorHAnsi"/>
                <w:lang w:val="en-GB"/>
              </w:rPr>
            </w:pPr>
          </w:p>
          <w:p w14:paraId="63131868" w14:textId="77777777" w:rsidR="00532827" w:rsidRPr="00162A8C" w:rsidRDefault="00532827" w:rsidP="00AE18B0">
            <w:pPr>
              <w:jc w:val="center"/>
              <w:rPr>
                <w:rFonts w:cstheme="majorHAnsi"/>
                <w:lang w:val="en-GB"/>
              </w:rPr>
            </w:pPr>
            <w:r w:rsidRPr="00162A8C">
              <w:rPr>
                <w:rFonts w:cstheme="majorHAnsi"/>
                <w:lang w:val="en-GB"/>
              </w:rPr>
              <w:t>14</w:t>
            </w:r>
          </w:p>
          <w:p w14:paraId="7A2CB376" w14:textId="4051F653" w:rsidR="00532827" w:rsidRPr="00162A8C" w:rsidRDefault="00532827" w:rsidP="00AB7BE3">
            <w:pPr>
              <w:rPr>
                <w:rFonts w:cstheme="majorHAnsi"/>
                <w:lang w:val="en-GB"/>
              </w:rPr>
            </w:pPr>
          </w:p>
          <w:p w14:paraId="1FEDB360" w14:textId="77777777" w:rsidR="00532827" w:rsidRPr="00162A8C" w:rsidRDefault="00532827" w:rsidP="00AE18B0">
            <w:pPr>
              <w:jc w:val="center"/>
              <w:rPr>
                <w:rFonts w:cstheme="majorHAnsi"/>
                <w:lang w:val="en-GB"/>
              </w:rPr>
            </w:pPr>
          </w:p>
          <w:p w14:paraId="7D0726F0" w14:textId="77777777" w:rsidR="00532827" w:rsidRPr="00162A8C" w:rsidRDefault="00532827" w:rsidP="00AE18B0">
            <w:pPr>
              <w:jc w:val="center"/>
              <w:rPr>
                <w:rFonts w:cstheme="majorHAnsi"/>
                <w:lang w:val="en-GB"/>
              </w:rPr>
            </w:pPr>
            <w:r w:rsidRPr="00162A8C">
              <w:rPr>
                <w:rFonts w:cstheme="majorHAnsi"/>
                <w:lang w:val="en-GB"/>
              </w:rPr>
              <w:t>-</w:t>
            </w:r>
          </w:p>
          <w:p w14:paraId="0C70FCB2" w14:textId="273B9657" w:rsidR="00532827" w:rsidRPr="00162A8C" w:rsidRDefault="00532827" w:rsidP="00AB7BE3">
            <w:pPr>
              <w:rPr>
                <w:rFonts w:cstheme="majorHAnsi"/>
                <w:lang w:val="en-GB"/>
              </w:rPr>
            </w:pPr>
          </w:p>
          <w:p w14:paraId="052AFE31" w14:textId="77777777" w:rsidR="00532827" w:rsidRPr="00162A8C" w:rsidRDefault="00532827" w:rsidP="00AE18B0">
            <w:pPr>
              <w:jc w:val="center"/>
              <w:rPr>
                <w:rFonts w:cstheme="majorHAnsi"/>
                <w:lang w:val="en-GB"/>
              </w:rPr>
            </w:pPr>
            <w:r w:rsidRPr="00162A8C">
              <w:rPr>
                <w:rFonts w:cstheme="majorHAnsi"/>
                <w:lang w:val="en-GB"/>
              </w:rPr>
              <w:t>-</w:t>
            </w:r>
          </w:p>
        </w:tc>
        <w:tc>
          <w:tcPr>
            <w:tcW w:w="862" w:type="dxa"/>
          </w:tcPr>
          <w:p w14:paraId="5D664DC1" w14:textId="77777777" w:rsidR="00532827" w:rsidRPr="00162A8C" w:rsidRDefault="00532827" w:rsidP="00AE18B0">
            <w:pPr>
              <w:jc w:val="center"/>
              <w:rPr>
                <w:rFonts w:cstheme="majorHAnsi"/>
                <w:lang w:val="en-GB"/>
              </w:rPr>
            </w:pPr>
            <w:r w:rsidRPr="00162A8C">
              <w:rPr>
                <w:rFonts w:cstheme="majorHAnsi"/>
                <w:lang w:val="en-GB"/>
              </w:rPr>
              <w:t>83</w:t>
            </w:r>
          </w:p>
          <w:p w14:paraId="38C1C88B" w14:textId="77777777" w:rsidR="00532827" w:rsidRPr="00162A8C" w:rsidRDefault="00532827" w:rsidP="00AE18B0">
            <w:pPr>
              <w:jc w:val="center"/>
              <w:rPr>
                <w:rFonts w:cstheme="majorHAnsi"/>
                <w:lang w:val="en-GB"/>
              </w:rPr>
            </w:pPr>
          </w:p>
          <w:p w14:paraId="7D3757C1" w14:textId="77777777" w:rsidR="00532827" w:rsidRPr="00162A8C" w:rsidRDefault="00532827" w:rsidP="00AE18B0">
            <w:pPr>
              <w:jc w:val="center"/>
              <w:rPr>
                <w:rFonts w:cstheme="majorHAnsi"/>
                <w:lang w:val="en-GB"/>
              </w:rPr>
            </w:pPr>
          </w:p>
          <w:p w14:paraId="4F2E9075" w14:textId="77777777" w:rsidR="00532827" w:rsidRPr="00162A8C" w:rsidRDefault="00532827" w:rsidP="00AE18B0">
            <w:pPr>
              <w:jc w:val="center"/>
              <w:rPr>
                <w:rFonts w:cstheme="majorHAnsi"/>
                <w:lang w:val="en-GB"/>
              </w:rPr>
            </w:pPr>
            <w:r w:rsidRPr="00162A8C">
              <w:rPr>
                <w:rFonts w:cstheme="majorHAnsi"/>
                <w:lang w:val="en-GB"/>
              </w:rPr>
              <w:t>-</w:t>
            </w:r>
          </w:p>
          <w:p w14:paraId="7343EF00" w14:textId="0592D96C" w:rsidR="00532827" w:rsidRPr="00162A8C" w:rsidRDefault="00532827" w:rsidP="00AB7BE3">
            <w:pPr>
              <w:rPr>
                <w:rFonts w:cstheme="majorHAnsi"/>
                <w:lang w:val="en-GB"/>
              </w:rPr>
            </w:pPr>
          </w:p>
          <w:p w14:paraId="1034CAD0" w14:textId="77777777" w:rsidR="00532827" w:rsidRPr="00162A8C" w:rsidRDefault="00532827" w:rsidP="00AE18B0">
            <w:pPr>
              <w:jc w:val="center"/>
              <w:rPr>
                <w:rFonts w:cstheme="majorHAnsi"/>
                <w:lang w:val="en-GB"/>
              </w:rPr>
            </w:pPr>
            <w:r w:rsidRPr="00162A8C">
              <w:rPr>
                <w:rFonts w:cstheme="majorHAnsi"/>
                <w:lang w:val="en-GB"/>
              </w:rPr>
              <w:t>-</w:t>
            </w:r>
          </w:p>
          <w:p w14:paraId="5455521F" w14:textId="77777777" w:rsidR="00532827" w:rsidRPr="00162A8C" w:rsidRDefault="00532827" w:rsidP="00AE18B0">
            <w:pPr>
              <w:jc w:val="center"/>
              <w:rPr>
                <w:rFonts w:cstheme="majorHAnsi"/>
                <w:lang w:val="en-GB"/>
              </w:rPr>
            </w:pPr>
          </w:p>
          <w:p w14:paraId="683C50D1" w14:textId="77777777" w:rsidR="00532827" w:rsidRPr="00162A8C" w:rsidRDefault="00532827" w:rsidP="00AE18B0">
            <w:pPr>
              <w:jc w:val="center"/>
              <w:rPr>
                <w:rFonts w:cstheme="majorHAnsi"/>
                <w:lang w:val="en-GB"/>
              </w:rPr>
            </w:pPr>
          </w:p>
          <w:p w14:paraId="6CF54ECB" w14:textId="77777777" w:rsidR="00532827" w:rsidRPr="00162A8C" w:rsidRDefault="00532827" w:rsidP="00AE18B0">
            <w:pPr>
              <w:jc w:val="center"/>
              <w:rPr>
                <w:rFonts w:cstheme="majorHAnsi"/>
                <w:lang w:val="en-GB"/>
              </w:rPr>
            </w:pPr>
            <w:r w:rsidRPr="00162A8C">
              <w:rPr>
                <w:rFonts w:cstheme="majorHAnsi"/>
                <w:lang w:val="en-GB"/>
              </w:rPr>
              <w:t>90</w:t>
            </w:r>
          </w:p>
          <w:p w14:paraId="44993DFE" w14:textId="44B0FF63" w:rsidR="00532827" w:rsidRPr="00162A8C" w:rsidRDefault="00532827" w:rsidP="00AB7BE3">
            <w:pPr>
              <w:rPr>
                <w:rFonts w:cstheme="majorHAnsi"/>
                <w:lang w:val="en-GB"/>
              </w:rPr>
            </w:pPr>
          </w:p>
          <w:p w14:paraId="45EC19EE" w14:textId="77777777" w:rsidR="00532827" w:rsidRPr="00162A8C" w:rsidRDefault="00532827" w:rsidP="00AE18B0">
            <w:pPr>
              <w:jc w:val="center"/>
              <w:rPr>
                <w:rFonts w:cstheme="majorHAnsi"/>
                <w:lang w:val="en-GB"/>
              </w:rPr>
            </w:pPr>
            <w:r w:rsidRPr="00162A8C">
              <w:rPr>
                <w:rFonts w:cstheme="majorHAnsi"/>
                <w:lang w:val="en-GB"/>
              </w:rPr>
              <w:t>95</w:t>
            </w:r>
          </w:p>
          <w:p w14:paraId="0CF69BB2" w14:textId="5C86BF63" w:rsidR="00532827" w:rsidRPr="00162A8C" w:rsidRDefault="00532827" w:rsidP="00AB7BE3">
            <w:pPr>
              <w:rPr>
                <w:rFonts w:cstheme="majorHAnsi"/>
                <w:lang w:val="en-GB"/>
              </w:rPr>
            </w:pPr>
          </w:p>
          <w:p w14:paraId="6BBFC59E" w14:textId="77777777" w:rsidR="00532827" w:rsidRPr="00162A8C" w:rsidRDefault="00532827" w:rsidP="00AE18B0">
            <w:pPr>
              <w:jc w:val="center"/>
              <w:rPr>
                <w:rFonts w:cstheme="majorHAnsi"/>
                <w:lang w:val="en-GB"/>
              </w:rPr>
            </w:pPr>
          </w:p>
          <w:p w14:paraId="370D22F4" w14:textId="77777777" w:rsidR="00532827" w:rsidRPr="00162A8C" w:rsidRDefault="00532827" w:rsidP="00AE18B0">
            <w:pPr>
              <w:jc w:val="center"/>
              <w:rPr>
                <w:rFonts w:cstheme="majorHAnsi"/>
                <w:lang w:val="en-GB"/>
              </w:rPr>
            </w:pPr>
            <w:r w:rsidRPr="00162A8C">
              <w:rPr>
                <w:rFonts w:cstheme="majorHAnsi"/>
                <w:lang w:val="en-GB"/>
              </w:rPr>
              <w:t>100</w:t>
            </w:r>
          </w:p>
          <w:p w14:paraId="19DF83E1" w14:textId="11A1CC76" w:rsidR="00532827" w:rsidRPr="00162A8C" w:rsidRDefault="00532827" w:rsidP="00AB7BE3">
            <w:pPr>
              <w:rPr>
                <w:rFonts w:cstheme="majorHAnsi"/>
                <w:lang w:val="en-GB"/>
              </w:rPr>
            </w:pPr>
          </w:p>
          <w:p w14:paraId="2ED2FD92" w14:textId="77777777" w:rsidR="00532827" w:rsidRPr="00162A8C" w:rsidRDefault="00532827" w:rsidP="00AE18B0">
            <w:pPr>
              <w:jc w:val="center"/>
              <w:rPr>
                <w:rFonts w:cstheme="majorHAnsi"/>
                <w:lang w:val="en-GB"/>
              </w:rPr>
            </w:pPr>
          </w:p>
          <w:p w14:paraId="6F5691AB" w14:textId="77777777" w:rsidR="00532827" w:rsidRPr="00162A8C" w:rsidRDefault="00532827" w:rsidP="00AE18B0">
            <w:pPr>
              <w:jc w:val="center"/>
              <w:rPr>
                <w:rFonts w:cstheme="majorHAnsi"/>
                <w:lang w:val="en-GB"/>
              </w:rPr>
            </w:pPr>
            <w:r w:rsidRPr="00162A8C">
              <w:rPr>
                <w:rFonts w:cstheme="majorHAnsi"/>
                <w:lang w:val="en-GB"/>
              </w:rPr>
              <w:t>-</w:t>
            </w:r>
          </w:p>
          <w:p w14:paraId="34E0D22E" w14:textId="44F672C5" w:rsidR="00532827" w:rsidRPr="00162A8C" w:rsidRDefault="00532827" w:rsidP="00AB7BE3">
            <w:pPr>
              <w:rPr>
                <w:rFonts w:cstheme="majorHAnsi"/>
                <w:lang w:val="en-GB"/>
              </w:rPr>
            </w:pPr>
          </w:p>
          <w:p w14:paraId="0A399B9E" w14:textId="77777777" w:rsidR="00532827" w:rsidRPr="00162A8C" w:rsidRDefault="00532827" w:rsidP="00AE18B0">
            <w:pPr>
              <w:jc w:val="center"/>
              <w:rPr>
                <w:rFonts w:cstheme="majorHAnsi"/>
                <w:lang w:val="en-GB"/>
              </w:rPr>
            </w:pPr>
            <w:r w:rsidRPr="00162A8C">
              <w:rPr>
                <w:rFonts w:cstheme="majorHAnsi"/>
                <w:lang w:val="en-GB"/>
              </w:rPr>
              <w:t>-</w:t>
            </w:r>
          </w:p>
        </w:tc>
        <w:tc>
          <w:tcPr>
            <w:tcW w:w="823" w:type="dxa"/>
          </w:tcPr>
          <w:p w14:paraId="5F13B63E" w14:textId="77777777" w:rsidR="00532827" w:rsidRPr="00162A8C" w:rsidRDefault="00532827" w:rsidP="00AE18B0">
            <w:pPr>
              <w:jc w:val="center"/>
              <w:rPr>
                <w:rFonts w:cstheme="majorHAnsi"/>
                <w:lang w:val="en-GB"/>
              </w:rPr>
            </w:pPr>
            <w:r w:rsidRPr="00162A8C">
              <w:rPr>
                <w:rFonts w:cstheme="majorHAnsi"/>
                <w:lang w:val="en-GB"/>
              </w:rPr>
              <w:t>17</w:t>
            </w:r>
          </w:p>
          <w:p w14:paraId="12434B0F" w14:textId="77777777" w:rsidR="00532827" w:rsidRPr="00162A8C" w:rsidRDefault="00532827" w:rsidP="00AE18B0">
            <w:pPr>
              <w:jc w:val="center"/>
              <w:rPr>
                <w:rFonts w:cstheme="majorHAnsi"/>
                <w:lang w:val="en-GB"/>
              </w:rPr>
            </w:pPr>
          </w:p>
          <w:p w14:paraId="3AA32C75" w14:textId="77777777" w:rsidR="00532827" w:rsidRPr="00162A8C" w:rsidRDefault="00532827" w:rsidP="00AE18B0">
            <w:pPr>
              <w:jc w:val="center"/>
              <w:rPr>
                <w:rFonts w:cstheme="majorHAnsi"/>
                <w:lang w:val="en-GB"/>
              </w:rPr>
            </w:pPr>
          </w:p>
          <w:p w14:paraId="20ED4C36" w14:textId="77777777" w:rsidR="00532827" w:rsidRPr="00162A8C" w:rsidRDefault="00532827" w:rsidP="00AE18B0">
            <w:pPr>
              <w:jc w:val="center"/>
              <w:rPr>
                <w:rFonts w:cstheme="majorHAnsi"/>
                <w:lang w:val="en-GB"/>
              </w:rPr>
            </w:pPr>
            <w:r w:rsidRPr="00162A8C">
              <w:rPr>
                <w:rFonts w:cstheme="majorHAnsi"/>
                <w:lang w:val="en-GB"/>
              </w:rPr>
              <w:t>-</w:t>
            </w:r>
          </w:p>
          <w:p w14:paraId="4BF27E6D" w14:textId="63F9538D" w:rsidR="00532827" w:rsidRPr="00162A8C" w:rsidRDefault="00532827" w:rsidP="00AB7BE3">
            <w:pPr>
              <w:rPr>
                <w:rFonts w:cstheme="majorHAnsi"/>
                <w:lang w:val="en-GB"/>
              </w:rPr>
            </w:pPr>
          </w:p>
          <w:p w14:paraId="30E90240" w14:textId="77777777" w:rsidR="00532827" w:rsidRPr="00162A8C" w:rsidRDefault="00532827" w:rsidP="00AE18B0">
            <w:pPr>
              <w:jc w:val="center"/>
              <w:rPr>
                <w:rFonts w:cstheme="majorHAnsi"/>
                <w:lang w:val="en-GB"/>
              </w:rPr>
            </w:pPr>
            <w:r w:rsidRPr="00162A8C">
              <w:rPr>
                <w:rFonts w:cstheme="majorHAnsi"/>
                <w:lang w:val="en-GB"/>
              </w:rPr>
              <w:t>-</w:t>
            </w:r>
          </w:p>
          <w:p w14:paraId="7608253E" w14:textId="77777777" w:rsidR="00532827" w:rsidRPr="00162A8C" w:rsidRDefault="00532827" w:rsidP="00AE18B0">
            <w:pPr>
              <w:jc w:val="center"/>
              <w:rPr>
                <w:rFonts w:cstheme="majorHAnsi"/>
                <w:lang w:val="en-GB"/>
              </w:rPr>
            </w:pPr>
          </w:p>
          <w:p w14:paraId="3189AD1E" w14:textId="77777777" w:rsidR="00532827" w:rsidRPr="00162A8C" w:rsidRDefault="00532827" w:rsidP="00AE18B0">
            <w:pPr>
              <w:jc w:val="center"/>
              <w:rPr>
                <w:rFonts w:cstheme="majorHAnsi"/>
                <w:lang w:val="en-GB"/>
              </w:rPr>
            </w:pPr>
          </w:p>
          <w:p w14:paraId="09C31977" w14:textId="77777777" w:rsidR="00532827" w:rsidRPr="00162A8C" w:rsidRDefault="00532827" w:rsidP="00AE18B0">
            <w:pPr>
              <w:jc w:val="center"/>
              <w:rPr>
                <w:rFonts w:cstheme="majorHAnsi"/>
                <w:lang w:val="en-GB"/>
              </w:rPr>
            </w:pPr>
            <w:r w:rsidRPr="00162A8C">
              <w:rPr>
                <w:rFonts w:cstheme="majorHAnsi"/>
                <w:lang w:val="en-GB"/>
              </w:rPr>
              <w:t>10</w:t>
            </w:r>
          </w:p>
          <w:p w14:paraId="57B41EB1" w14:textId="0A6F04C8" w:rsidR="00532827" w:rsidRPr="00162A8C" w:rsidRDefault="00532827" w:rsidP="00AB7BE3">
            <w:pPr>
              <w:rPr>
                <w:rFonts w:cstheme="majorHAnsi"/>
                <w:lang w:val="en-GB"/>
              </w:rPr>
            </w:pPr>
          </w:p>
          <w:p w14:paraId="340A5A99" w14:textId="77777777" w:rsidR="00532827" w:rsidRPr="00162A8C" w:rsidRDefault="00532827" w:rsidP="00AE18B0">
            <w:pPr>
              <w:jc w:val="center"/>
              <w:rPr>
                <w:rFonts w:cstheme="majorHAnsi"/>
                <w:lang w:val="en-GB"/>
              </w:rPr>
            </w:pPr>
            <w:r w:rsidRPr="00162A8C">
              <w:rPr>
                <w:rFonts w:cstheme="majorHAnsi"/>
                <w:lang w:val="en-GB"/>
              </w:rPr>
              <w:t>5</w:t>
            </w:r>
          </w:p>
          <w:p w14:paraId="69A11F4A" w14:textId="4372D2F7" w:rsidR="00532827" w:rsidRPr="00162A8C" w:rsidRDefault="00532827" w:rsidP="00AB7BE3">
            <w:pPr>
              <w:rPr>
                <w:rFonts w:cstheme="majorHAnsi"/>
                <w:lang w:val="en-GB"/>
              </w:rPr>
            </w:pPr>
          </w:p>
          <w:p w14:paraId="653A41A8" w14:textId="77777777" w:rsidR="00532827" w:rsidRPr="00162A8C" w:rsidRDefault="00532827" w:rsidP="00AE18B0">
            <w:pPr>
              <w:jc w:val="center"/>
              <w:rPr>
                <w:rFonts w:cstheme="majorHAnsi"/>
                <w:lang w:val="en-GB"/>
              </w:rPr>
            </w:pPr>
          </w:p>
          <w:p w14:paraId="06F5B9D4" w14:textId="77777777" w:rsidR="00532827" w:rsidRPr="00162A8C" w:rsidRDefault="00532827" w:rsidP="00AE18B0">
            <w:pPr>
              <w:jc w:val="center"/>
              <w:rPr>
                <w:rFonts w:cstheme="majorHAnsi"/>
                <w:lang w:val="en-GB"/>
              </w:rPr>
            </w:pPr>
            <w:r w:rsidRPr="00162A8C">
              <w:rPr>
                <w:rFonts w:cstheme="majorHAnsi"/>
                <w:lang w:val="en-GB"/>
              </w:rPr>
              <w:t>0</w:t>
            </w:r>
          </w:p>
          <w:p w14:paraId="7BA60BED" w14:textId="44E4DEA0" w:rsidR="00532827" w:rsidRPr="00162A8C" w:rsidRDefault="00532827" w:rsidP="00AB7BE3">
            <w:pPr>
              <w:rPr>
                <w:rFonts w:cstheme="majorHAnsi"/>
                <w:lang w:val="en-GB"/>
              </w:rPr>
            </w:pPr>
          </w:p>
          <w:p w14:paraId="2C24725E" w14:textId="77777777" w:rsidR="00532827" w:rsidRPr="00162A8C" w:rsidRDefault="00532827" w:rsidP="00AE18B0">
            <w:pPr>
              <w:jc w:val="center"/>
              <w:rPr>
                <w:rFonts w:cstheme="majorHAnsi"/>
                <w:lang w:val="en-GB"/>
              </w:rPr>
            </w:pPr>
          </w:p>
          <w:p w14:paraId="0D444FF3" w14:textId="77777777" w:rsidR="00532827" w:rsidRPr="00162A8C" w:rsidRDefault="00532827" w:rsidP="00AE18B0">
            <w:pPr>
              <w:jc w:val="center"/>
              <w:rPr>
                <w:rFonts w:cstheme="majorHAnsi"/>
                <w:lang w:val="en-GB"/>
              </w:rPr>
            </w:pPr>
            <w:r w:rsidRPr="00162A8C">
              <w:rPr>
                <w:rFonts w:cstheme="majorHAnsi"/>
                <w:lang w:val="en-GB"/>
              </w:rPr>
              <w:t>-</w:t>
            </w:r>
          </w:p>
          <w:p w14:paraId="12D6902C" w14:textId="35F5F700" w:rsidR="00532827" w:rsidRPr="00162A8C" w:rsidRDefault="00532827" w:rsidP="00AB7BE3">
            <w:pPr>
              <w:rPr>
                <w:rFonts w:cstheme="majorHAnsi"/>
                <w:lang w:val="en-GB"/>
              </w:rPr>
            </w:pPr>
          </w:p>
          <w:p w14:paraId="7345D5CD" w14:textId="77777777" w:rsidR="00532827" w:rsidRPr="00162A8C" w:rsidRDefault="00532827" w:rsidP="00AE18B0">
            <w:pPr>
              <w:jc w:val="center"/>
              <w:rPr>
                <w:rFonts w:cstheme="majorHAnsi"/>
                <w:lang w:val="en-GB"/>
              </w:rPr>
            </w:pPr>
            <w:r w:rsidRPr="00162A8C">
              <w:rPr>
                <w:rFonts w:cstheme="majorHAnsi"/>
                <w:lang w:val="en-GB"/>
              </w:rPr>
              <w:t>-</w:t>
            </w:r>
          </w:p>
        </w:tc>
        <w:tc>
          <w:tcPr>
            <w:tcW w:w="867" w:type="dxa"/>
          </w:tcPr>
          <w:p w14:paraId="59280AC3" w14:textId="77777777" w:rsidR="00532827" w:rsidRPr="00162A8C" w:rsidRDefault="00532827" w:rsidP="00AE18B0">
            <w:pPr>
              <w:jc w:val="center"/>
              <w:rPr>
                <w:rFonts w:cstheme="majorHAnsi"/>
                <w:lang w:val="en-GB"/>
              </w:rPr>
            </w:pPr>
            <w:r w:rsidRPr="00162A8C">
              <w:rPr>
                <w:rFonts w:cstheme="majorHAnsi"/>
                <w:lang w:val="en-GB"/>
              </w:rPr>
              <w:t>83</w:t>
            </w:r>
          </w:p>
          <w:p w14:paraId="7031CD41" w14:textId="77777777" w:rsidR="00532827" w:rsidRPr="00162A8C" w:rsidRDefault="00532827" w:rsidP="00AE18B0">
            <w:pPr>
              <w:jc w:val="center"/>
              <w:rPr>
                <w:rFonts w:cstheme="majorHAnsi"/>
                <w:lang w:val="en-GB"/>
              </w:rPr>
            </w:pPr>
          </w:p>
          <w:p w14:paraId="419C1E77" w14:textId="77777777" w:rsidR="00532827" w:rsidRPr="00162A8C" w:rsidRDefault="00532827" w:rsidP="00AE18B0">
            <w:pPr>
              <w:jc w:val="center"/>
              <w:rPr>
                <w:rFonts w:cstheme="majorHAnsi"/>
                <w:lang w:val="en-GB"/>
              </w:rPr>
            </w:pPr>
          </w:p>
          <w:p w14:paraId="1D498BC8" w14:textId="77777777" w:rsidR="00532827" w:rsidRPr="00162A8C" w:rsidRDefault="00532827" w:rsidP="00AE18B0">
            <w:pPr>
              <w:jc w:val="center"/>
              <w:rPr>
                <w:rFonts w:cstheme="majorHAnsi"/>
                <w:lang w:val="en-GB"/>
              </w:rPr>
            </w:pPr>
            <w:r w:rsidRPr="00162A8C">
              <w:rPr>
                <w:rFonts w:cstheme="majorHAnsi"/>
                <w:lang w:val="en-GB"/>
              </w:rPr>
              <w:t>57</w:t>
            </w:r>
          </w:p>
          <w:p w14:paraId="4FFB9790" w14:textId="3C0DDFF4" w:rsidR="00532827" w:rsidRPr="00162A8C" w:rsidRDefault="00532827" w:rsidP="00AB7BE3">
            <w:pPr>
              <w:rPr>
                <w:rFonts w:cstheme="majorHAnsi"/>
                <w:lang w:val="en-GB"/>
              </w:rPr>
            </w:pPr>
          </w:p>
          <w:p w14:paraId="01F25BD0" w14:textId="77777777" w:rsidR="00532827" w:rsidRPr="00162A8C" w:rsidRDefault="00532827" w:rsidP="00AE18B0">
            <w:pPr>
              <w:jc w:val="center"/>
              <w:rPr>
                <w:rFonts w:cstheme="majorHAnsi"/>
                <w:lang w:val="en-GB"/>
              </w:rPr>
            </w:pPr>
            <w:r w:rsidRPr="00162A8C">
              <w:rPr>
                <w:rFonts w:cstheme="majorHAnsi"/>
                <w:lang w:val="en-GB"/>
              </w:rPr>
              <w:t>22</w:t>
            </w:r>
          </w:p>
          <w:p w14:paraId="49B8EEA3" w14:textId="77777777" w:rsidR="00532827" w:rsidRPr="00162A8C" w:rsidRDefault="00532827" w:rsidP="00AE18B0">
            <w:pPr>
              <w:jc w:val="center"/>
              <w:rPr>
                <w:rFonts w:cstheme="majorHAnsi"/>
                <w:lang w:val="en-GB"/>
              </w:rPr>
            </w:pPr>
          </w:p>
          <w:p w14:paraId="56A7C645" w14:textId="77777777" w:rsidR="00532827" w:rsidRPr="00162A8C" w:rsidRDefault="00532827" w:rsidP="00AE18B0">
            <w:pPr>
              <w:jc w:val="center"/>
              <w:rPr>
                <w:rFonts w:cstheme="majorHAnsi"/>
                <w:lang w:val="en-GB"/>
              </w:rPr>
            </w:pPr>
          </w:p>
          <w:p w14:paraId="7D6E3ADA" w14:textId="77777777" w:rsidR="00532827" w:rsidRPr="00162A8C" w:rsidRDefault="00532827" w:rsidP="00AE18B0">
            <w:pPr>
              <w:jc w:val="center"/>
              <w:rPr>
                <w:rFonts w:cstheme="majorHAnsi"/>
                <w:lang w:val="en-GB"/>
              </w:rPr>
            </w:pPr>
            <w:r w:rsidRPr="00162A8C">
              <w:rPr>
                <w:rFonts w:cstheme="majorHAnsi"/>
                <w:lang w:val="en-GB"/>
              </w:rPr>
              <w:t>76</w:t>
            </w:r>
          </w:p>
          <w:p w14:paraId="61CC6252" w14:textId="5316E576" w:rsidR="00532827" w:rsidRPr="00162A8C" w:rsidRDefault="00532827" w:rsidP="00AB7BE3">
            <w:pPr>
              <w:rPr>
                <w:rFonts w:cstheme="majorHAnsi"/>
                <w:lang w:val="en-GB"/>
              </w:rPr>
            </w:pPr>
          </w:p>
          <w:p w14:paraId="78E4D1A1" w14:textId="77777777" w:rsidR="00532827" w:rsidRPr="00162A8C" w:rsidRDefault="00532827" w:rsidP="00AE18B0">
            <w:pPr>
              <w:jc w:val="center"/>
              <w:rPr>
                <w:rFonts w:cstheme="majorHAnsi"/>
                <w:lang w:val="en-GB"/>
              </w:rPr>
            </w:pPr>
            <w:r w:rsidRPr="00162A8C">
              <w:rPr>
                <w:rFonts w:cstheme="majorHAnsi"/>
                <w:lang w:val="en-GB"/>
              </w:rPr>
              <w:t>89</w:t>
            </w:r>
          </w:p>
          <w:p w14:paraId="44FCBE2A" w14:textId="58951F9E" w:rsidR="00532827" w:rsidRPr="00162A8C" w:rsidRDefault="00532827" w:rsidP="00AB7BE3">
            <w:pPr>
              <w:rPr>
                <w:rFonts w:cstheme="majorHAnsi"/>
                <w:lang w:val="en-GB"/>
              </w:rPr>
            </w:pPr>
          </w:p>
          <w:p w14:paraId="2F183DD5" w14:textId="77777777" w:rsidR="00532827" w:rsidRPr="00162A8C" w:rsidRDefault="00532827" w:rsidP="00AE18B0">
            <w:pPr>
              <w:jc w:val="center"/>
              <w:rPr>
                <w:rFonts w:cstheme="majorHAnsi"/>
                <w:lang w:val="en-GB"/>
              </w:rPr>
            </w:pPr>
          </w:p>
          <w:p w14:paraId="5008CF6C" w14:textId="77777777" w:rsidR="00532827" w:rsidRPr="00162A8C" w:rsidRDefault="00532827" w:rsidP="00AE18B0">
            <w:pPr>
              <w:jc w:val="center"/>
              <w:rPr>
                <w:rFonts w:cstheme="majorHAnsi"/>
                <w:lang w:val="en-GB"/>
              </w:rPr>
            </w:pPr>
            <w:r w:rsidRPr="00162A8C">
              <w:rPr>
                <w:rFonts w:cstheme="majorHAnsi"/>
                <w:lang w:val="en-GB"/>
              </w:rPr>
              <w:t>100</w:t>
            </w:r>
          </w:p>
          <w:p w14:paraId="0D72EDC9" w14:textId="573F1685" w:rsidR="00532827" w:rsidRPr="00162A8C" w:rsidRDefault="00532827" w:rsidP="00AB7BE3">
            <w:pPr>
              <w:rPr>
                <w:rFonts w:cstheme="majorHAnsi"/>
                <w:lang w:val="en-GB"/>
              </w:rPr>
            </w:pPr>
          </w:p>
          <w:p w14:paraId="0D18DF83" w14:textId="77777777" w:rsidR="00532827" w:rsidRPr="00162A8C" w:rsidRDefault="00532827" w:rsidP="00AE18B0">
            <w:pPr>
              <w:jc w:val="center"/>
              <w:rPr>
                <w:rFonts w:cstheme="majorHAnsi"/>
                <w:lang w:val="en-GB"/>
              </w:rPr>
            </w:pPr>
          </w:p>
          <w:p w14:paraId="0E434D81" w14:textId="77777777" w:rsidR="00532827" w:rsidRPr="00162A8C" w:rsidRDefault="00532827" w:rsidP="00AE18B0">
            <w:pPr>
              <w:jc w:val="center"/>
              <w:rPr>
                <w:rFonts w:cstheme="majorHAnsi"/>
                <w:lang w:val="en-GB"/>
              </w:rPr>
            </w:pPr>
            <w:r w:rsidRPr="00162A8C">
              <w:rPr>
                <w:rFonts w:cstheme="majorHAnsi"/>
                <w:lang w:val="en-GB"/>
              </w:rPr>
              <w:t>60</w:t>
            </w:r>
          </w:p>
          <w:p w14:paraId="0D9FECA4" w14:textId="77A0A666" w:rsidR="00532827" w:rsidRPr="00162A8C" w:rsidRDefault="00532827" w:rsidP="00AB7BE3">
            <w:pPr>
              <w:rPr>
                <w:rFonts w:cstheme="majorHAnsi"/>
                <w:lang w:val="en-GB"/>
              </w:rPr>
            </w:pPr>
          </w:p>
          <w:p w14:paraId="59C76C8C" w14:textId="77777777" w:rsidR="00532827" w:rsidRPr="00162A8C" w:rsidRDefault="00532827" w:rsidP="00AE18B0">
            <w:pPr>
              <w:jc w:val="center"/>
              <w:rPr>
                <w:rFonts w:cstheme="majorHAnsi"/>
                <w:lang w:val="en-GB"/>
              </w:rPr>
            </w:pPr>
            <w:r w:rsidRPr="00162A8C">
              <w:rPr>
                <w:rFonts w:cstheme="majorHAnsi"/>
                <w:lang w:val="en-GB"/>
              </w:rPr>
              <w:t>94</w:t>
            </w:r>
          </w:p>
        </w:tc>
        <w:tc>
          <w:tcPr>
            <w:tcW w:w="850" w:type="dxa"/>
          </w:tcPr>
          <w:p w14:paraId="529C1EEF" w14:textId="77777777" w:rsidR="00532827" w:rsidRPr="00162A8C" w:rsidRDefault="00532827" w:rsidP="00AE18B0">
            <w:pPr>
              <w:jc w:val="center"/>
              <w:rPr>
                <w:rFonts w:cstheme="majorHAnsi"/>
                <w:lang w:val="en-GB"/>
              </w:rPr>
            </w:pPr>
            <w:r w:rsidRPr="00162A8C">
              <w:rPr>
                <w:rFonts w:cstheme="majorHAnsi"/>
                <w:lang w:val="en-GB"/>
              </w:rPr>
              <w:t>17</w:t>
            </w:r>
          </w:p>
          <w:p w14:paraId="4A5B9C21" w14:textId="77777777" w:rsidR="00532827" w:rsidRPr="00162A8C" w:rsidRDefault="00532827" w:rsidP="00AE18B0">
            <w:pPr>
              <w:jc w:val="center"/>
              <w:rPr>
                <w:rFonts w:cstheme="majorHAnsi"/>
                <w:lang w:val="en-GB"/>
              </w:rPr>
            </w:pPr>
          </w:p>
          <w:p w14:paraId="378167A5" w14:textId="77777777" w:rsidR="00532827" w:rsidRPr="00162A8C" w:rsidRDefault="00532827" w:rsidP="00AE18B0">
            <w:pPr>
              <w:jc w:val="center"/>
              <w:rPr>
                <w:rFonts w:cstheme="majorHAnsi"/>
                <w:lang w:val="en-GB"/>
              </w:rPr>
            </w:pPr>
          </w:p>
          <w:p w14:paraId="7A71ED9E" w14:textId="77777777" w:rsidR="00532827" w:rsidRPr="00162A8C" w:rsidRDefault="00532827" w:rsidP="00AE18B0">
            <w:pPr>
              <w:jc w:val="center"/>
              <w:rPr>
                <w:rFonts w:cstheme="majorHAnsi"/>
                <w:lang w:val="en-GB"/>
              </w:rPr>
            </w:pPr>
            <w:r w:rsidRPr="00162A8C">
              <w:rPr>
                <w:rFonts w:cstheme="majorHAnsi"/>
                <w:lang w:val="en-GB"/>
              </w:rPr>
              <w:t>43</w:t>
            </w:r>
          </w:p>
          <w:p w14:paraId="7CAA8704" w14:textId="5788276F" w:rsidR="00532827" w:rsidRPr="00162A8C" w:rsidRDefault="00532827" w:rsidP="00AB7BE3">
            <w:pPr>
              <w:rPr>
                <w:rFonts w:cstheme="majorHAnsi"/>
                <w:lang w:val="en-GB"/>
              </w:rPr>
            </w:pPr>
          </w:p>
          <w:p w14:paraId="350A9705" w14:textId="77777777" w:rsidR="00532827" w:rsidRPr="00162A8C" w:rsidRDefault="00532827" w:rsidP="00AE18B0">
            <w:pPr>
              <w:jc w:val="center"/>
              <w:rPr>
                <w:rFonts w:cstheme="majorHAnsi"/>
                <w:lang w:val="en-GB"/>
              </w:rPr>
            </w:pPr>
            <w:r w:rsidRPr="00162A8C">
              <w:rPr>
                <w:rFonts w:cstheme="majorHAnsi"/>
                <w:lang w:val="en-GB"/>
              </w:rPr>
              <w:t>78</w:t>
            </w:r>
          </w:p>
          <w:p w14:paraId="72506A50" w14:textId="77777777" w:rsidR="00532827" w:rsidRPr="00162A8C" w:rsidRDefault="00532827" w:rsidP="00AE18B0">
            <w:pPr>
              <w:jc w:val="center"/>
              <w:rPr>
                <w:rFonts w:cstheme="majorHAnsi"/>
                <w:lang w:val="en-GB"/>
              </w:rPr>
            </w:pPr>
          </w:p>
          <w:p w14:paraId="120B748E" w14:textId="77777777" w:rsidR="00532827" w:rsidRPr="00162A8C" w:rsidRDefault="00532827" w:rsidP="00AE18B0">
            <w:pPr>
              <w:jc w:val="center"/>
              <w:rPr>
                <w:rFonts w:cstheme="majorHAnsi"/>
                <w:lang w:val="en-GB"/>
              </w:rPr>
            </w:pPr>
          </w:p>
          <w:p w14:paraId="2C3786E7" w14:textId="044ADCC8" w:rsidR="00532827" w:rsidRPr="00162A8C" w:rsidRDefault="00AB7BE3" w:rsidP="00AB7BE3">
            <w:pPr>
              <w:jc w:val="center"/>
              <w:rPr>
                <w:rFonts w:cstheme="majorHAnsi"/>
                <w:lang w:val="en-GB"/>
              </w:rPr>
            </w:pPr>
            <w:r>
              <w:rPr>
                <w:rFonts w:cstheme="majorHAnsi"/>
                <w:lang w:val="en-GB"/>
              </w:rPr>
              <w:t>24</w:t>
            </w:r>
          </w:p>
          <w:p w14:paraId="693F0AEE" w14:textId="77777777" w:rsidR="00532827" w:rsidRPr="00162A8C" w:rsidRDefault="00532827" w:rsidP="00AE18B0">
            <w:pPr>
              <w:jc w:val="center"/>
              <w:rPr>
                <w:rFonts w:cstheme="majorHAnsi"/>
                <w:lang w:val="en-GB"/>
              </w:rPr>
            </w:pPr>
          </w:p>
          <w:p w14:paraId="32934373" w14:textId="77777777" w:rsidR="00532827" w:rsidRPr="00162A8C" w:rsidRDefault="00532827" w:rsidP="00AE18B0">
            <w:pPr>
              <w:jc w:val="center"/>
              <w:rPr>
                <w:rFonts w:cstheme="majorHAnsi"/>
                <w:lang w:val="en-GB"/>
              </w:rPr>
            </w:pPr>
            <w:r w:rsidRPr="00162A8C">
              <w:rPr>
                <w:rFonts w:cstheme="majorHAnsi"/>
                <w:lang w:val="en-GB"/>
              </w:rPr>
              <w:t>11</w:t>
            </w:r>
          </w:p>
          <w:p w14:paraId="54165FCC" w14:textId="2FB81A43" w:rsidR="00532827" w:rsidRPr="00162A8C" w:rsidRDefault="00532827" w:rsidP="00AB7BE3">
            <w:pPr>
              <w:rPr>
                <w:rFonts w:cstheme="majorHAnsi"/>
                <w:lang w:val="en-GB"/>
              </w:rPr>
            </w:pPr>
          </w:p>
          <w:p w14:paraId="796601FA" w14:textId="77777777" w:rsidR="00532827" w:rsidRPr="00162A8C" w:rsidRDefault="00532827" w:rsidP="00AE18B0">
            <w:pPr>
              <w:jc w:val="center"/>
              <w:rPr>
                <w:rFonts w:cstheme="majorHAnsi"/>
                <w:lang w:val="en-GB"/>
              </w:rPr>
            </w:pPr>
          </w:p>
          <w:p w14:paraId="5966D119" w14:textId="77777777" w:rsidR="00532827" w:rsidRPr="00162A8C" w:rsidRDefault="00532827" w:rsidP="00AE18B0">
            <w:pPr>
              <w:jc w:val="center"/>
              <w:rPr>
                <w:rFonts w:cstheme="majorHAnsi"/>
                <w:lang w:val="en-GB"/>
              </w:rPr>
            </w:pPr>
            <w:r w:rsidRPr="00162A8C">
              <w:rPr>
                <w:rFonts w:cstheme="majorHAnsi"/>
                <w:lang w:val="en-GB"/>
              </w:rPr>
              <w:t>0</w:t>
            </w:r>
          </w:p>
          <w:p w14:paraId="73D951D9" w14:textId="289B2363" w:rsidR="00532827" w:rsidRPr="00162A8C" w:rsidRDefault="00532827" w:rsidP="00AB7BE3">
            <w:pPr>
              <w:rPr>
                <w:rFonts w:cstheme="majorHAnsi"/>
                <w:lang w:val="en-GB"/>
              </w:rPr>
            </w:pPr>
          </w:p>
          <w:p w14:paraId="7325D7CF" w14:textId="77777777" w:rsidR="00532827" w:rsidRPr="00162A8C" w:rsidRDefault="00532827" w:rsidP="00AE18B0">
            <w:pPr>
              <w:jc w:val="center"/>
              <w:rPr>
                <w:rFonts w:cstheme="majorHAnsi"/>
                <w:lang w:val="en-GB"/>
              </w:rPr>
            </w:pPr>
          </w:p>
          <w:p w14:paraId="0DD50249" w14:textId="77777777" w:rsidR="00532827" w:rsidRPr="00162A8C" w:rsidRDefault="00532827" w:rsidP="00AE18B0">
            <w:pPr>
              <w:jc w:val="center"/>
              <w:rPr>
                <w:rFonts w:cstheme="majorHAnsi"/>
                <w:lang w:val="en-GB"/>
              </w:rPr>
            </w:pPr>
            <w:r w:rsidRPr="00162A8C">
              <w:rPr>
                <w:rFonts w:cstheme="majorHAnsi"/>
                <w:lang w:val="en-GB"/>
              </w:rPr>
              <w:t>40</w:t>
            </w:r>
          </w:p>
          <w:p w14:paraId="1060A092" w14:textId="79BAE7A3" w:rsidR="00532827" w:rsidRPr="00162A8C" w:rsidRDefault="00532827" w:rsidP="00AB7BE3">
            <w:pPr>
              <w:rPr>
                <w:rFonts w:cstheme="majorHAnsi"/>
                <w:lang w:val="en-GB"/>
              </w:rPr>
            </w:pPr>
          </w:p>
          <w:p w14:paraId="2E7751A8" w14:textId="77777777" w:rsidR="00532827" w:rsidRPr="00162A8C" w:rsidRDefault="00532827" w:rsidP="00AE18B0">
            <w:pPr>
              <w:jc w:val="center"/>
              <w:rPr>
                <w:rFonts w:cstheme="majorHAnsi"/>
                <w:lang w:val="en-GB"/>
              </w:rPr>
            </w:pPr>
            <w:r w:rsidRPr="00162A8C">
              <w:rPr>
                <w:rFonts w:cstheme="majorHAnsi"/>
                <w:lang w:val="en-GB"/>
              </w:rPr>
              <w:t>6</w:t>
            </w:r>
          </w:p>
        </w:tc>
        <w:tc>
          <w:tcPr>
            <w:tcW w:w="1509" w:type="dxa"/>
          </w:tcPr>
          <w:p w14:paraId="32845F57" w14:textId="74EB926F" w:rsidR="00532827" w:rsidRPr="00162A8C" w:rsidRDefault="004A1F48" w:rsidP="00AE18B0">
            <w:pPr>
              <w:jc w:val="center"/>
              <w:rPr>
                <w:rFonts w:cstheme="majorHAnsi"/>
                <w:lang w:val="en-GB"/>
              </w:rPr>
            </w:pPr>
            <w:r w:rsidRPr="00162A8C">
              <w:rPr>
                <w:rFonts w:cstheme="majorHAnsi"/>
                <w:lang w:val="en-GB"/>
              </w:rPr>
              <w:t xml:space="preserve">100 </w:t>
            </w:r>
            <w:r w:rsidR="00532827" w:rsidRPr="00162A8C">
              <w:rPr>
                <w:rFonts w:cstheme="majorHAnsi"/>
                <w:lang w:val="en-GB"/>
              </w:rPr>
              <w:t>(115)</w:t>
            </w:r>
          </w:p>
          <w:p w14:paraId="1B4A671F" w14:textId="77777777" w:rsidR="00532827" w:rsidRPr="00162A8C" w:rsidRDefault="00532827" w:rsidP="00AE18B0">
            <w:pPr>
              <w:jc w:val="center"/>
              <w:rPr>
                <w:rFonts w:cstheme="majorHAnsi"/>
                <w:lang w:val="en-GB"/>
              </w:rPr>
            </w:pPr>
          </w:p>
          <w:p w14:paraId="1062D3ED" w14:textId="77777777" w:rsidR="00532827" w:rsidRPr="00162A8C" w:rsidRDefault="00532827" w:rsidP="00AE18B0">
            <w:pPr>
              <w:jc w:val="center"/>
              <w:rPr>
                <w:rFonts w:cstheme="majorHAnsi"/>
                <w:lang w:val="en-GB"/>
              </w:rPr>
            </w:pPr>
          </w:p>
          <w:p w14:paraId="3A68DF66" w14:textId="77777777" w:rsidR="00532827" w:rsidRPr="00162A8C" w:rsidRDefault="00532827" w:rsidP="00AE18B0">
            <w:pPr>
              <w:jc w:val="center"/>
              <w:rPr>
                <w:rFonts w:cstheme="majorHAnsi"/>
                <w:lang w:val="en-GB"/>
              </w:rPr>
            </w:pPr>
            <w:r w:rsidRPr="00162A8C">
              <w:rPr>
                <w:rFonts w:cstheme="majorHAnsi"/>
                <w:lang w:val="en-GB"/>
              </w:rPr>
              <w:t>100 (21)</w:t>
            </w:r>
          </w:p>
          <w:p w14:paraId="4A316217" w14:textId="0543CC4C" w:rsidR="00532827" w:rsidRPr="00162A8C" w:rsidRDefault="00532827" w:rsidP="00AB7BE3">
            <w:pPr>
              <w:rPr>
                <w:rFonts w:cstheme="majorHAnsi"/>
                <w:lang w:val="en-GB"/>
              </w:rPr>
            </w:pPr>
          </w:p>
          <w:p w14:paraId="638CDEB3" w14:textId="77777777" w:rsidR="00532827" w:rsidRPr="00162A8C" w:rsidRDefault="00532827" w:rsidP="00AE18B0">
            <w:pPr>
              <w:jc w:val="center"/>
              <w:rPr>
                <w:rFonts w:cstheme="majorHAnsi"/>
                <w:lang w:val="en-GB"/>
              </w:rPr>
            </w:pPr>
            <w:r w:rsidRPr="00162A8C">
              <w:rPr>
                <w:rFonts w:cstheme="majorHAnsi"/>
                <w:lang w:val="en-GB"/>
              </w:rPr>
              <w:t>100 (9)</w:t>
            </w:r>
          </w:p>
          <w:p w14:paraId="2E486AC5" w14:textId="77777777" w:rsidR="00532827" w:rsidRPr="00162A8C" w:rsidRDefault="00532827" w:rsidP="00AE18B0">
            <w:pPr>
              <w:jc w:val="center"/>
              <w:rPr>
                <w:rFonts w:cstheme="majorHAnsi"/>
                <w:lang w:val="en-GB"/>
              </w:rPr>
            </w:pPr>
          </w:p>
          <w:p w14:paraId="2B34D711" w14:textId="77777777" w:rsidR="00532827" w:rsidRPr="00162A8C" w:rsidRDefault="00532827" w:rsidP="00AE18B0">
            <w:pPr>
              <w:jc w:val="center"/>
              <w:rPr>
                <w:rFonts w:cstheme="majorHAnsi"/>
                <w:lang w:val="en-GB"/>
              </w:rPr>
            </w:pPr>
          </w:p>
          <w:p w14:paraId="252B764D" w14:textId="77777777" w:rsidR="00532827" w:rsidRPr="00162A8C" w:rsidRDefault="00532827" w:rsidP="00AE18B0">
            <w:pPr>
              <w:jc w:val="center"/>
              <w:rPr>
                <w:rFonts w:cstheme="majorHAnsi"/>
                <w:lang w:val="en-GB"/>
              </w:rPr>
            </w:pPr>
            <w:r w:rsidRPr="00162A8C">
              <w:rPr>
                <w:rFonts w:cstheme="majorHAnsi"/>
                <w:lang w:val="en-GB"/>
              </w:rPr>
              <w:t>100 (39)</w:t>
            </w:r>
          </w:p>
          <w:p w14:paraId="5FE3A6A6" w14:textId="7E6E8033" w:rsidR="00532827" w:rsidRPr="00162A8C" w:rsidRDefault="00532827" w:rsidP="00AB7BE3">
            <w:pPr>
              <w:rPr>
                <w:rFonts w:cstheme="majorHAnsi"/>
                <w:lang w:val="en-GB"/>
              </w:rPr>
            </w:pPr>
          </w:p>
          <w:p w14:paraId="3B7D13AF" w14:textId="77777777" w:rsidR="00532827" w:rsidRPr="00162A8C" w:rsidRDefault="00532827" w:rsidP="00AE18B0">
            <w:pPr>
              <w:jc w:val="center"/>
              <w:rPr>
                <w:rFonts w:cstheme="majorHAnsi"/>
                <w:lang w:val="en-GB"/>
              </w:rPr>
            </w:pPr>
            <w:r w:rsidRPr="00162A8C">
              <w:rPr>
                <w:rFonts w:cstheme="majorHAnsi"/>
                <w:lang w:val="en-GB"/>
              </w:rPr>
              <w:t>100 (94)</w:t>
            </w:r>
          </w:p>
          <w:p w14:paraId="7CF9F615" w14:textId="2A0E382A" w:rsidR="00532827" w:rsidRPr="00162A8C" w:rsidRDefault="00532827" w:rsidP="00AB7BE3">
            <w:pPr>
              <w:rPr>
                <w:rFonts w:cstheme="majorHAnsi"/>
                <w:lang w:val="en-GB"/>
              </w:rPr>
            </w:pPr>
          </w:p>
          <w:p w14:paraId="1C628B8D" w14:textId="77777777" w:rsidR="00532827" w:rsidRPr="00162A8C" w:rsidRDefault="00532827" w:rsidP="00AE18B0">
            <w:pPr>
              <w:jc w:val="center"/>
              <w:rPr>
                <w:rFonts w:cstheme="majorHAnsi"/>
                <w:lang w:val="en-GB"/>
              </w:rPr>
            </w:pPr>
          </w:p>
          <w:p w14:paraId="0B9066E2" w14:textId="77777777" w:rsidR="00532827" w:rsidRPr="00162A8C" w:rsidRDefault="00532827" w:rsidP="00AE18B0">
            <w:pPr>
              <w:jc w:val="center"/>
              <w:rPr>
                <w:rFonts w:cstheme="majorHAnsi"/>
                <w:lang w:val="en-GB"/>
              </w:rPr>
            </w:pPr>
            <w:r w:rsidRPr="00162A8C">
              <w:rPr>
                <w:rFonts w:cstheme="majorHAnsi"/>
                <w:lang w:val="en-GB"/>
              </w:rPr>
              <w:t>100 (21)</w:t>
            </w:r>
          </w:p>
          <w:p w14:paraId="2FE84F6E" w14:textId="52938C9A" w:rsidR="00532827" w:rsidRPr="00162A8C" w:rsidRDefault="00532827" w:rsidP="00AB7BE3">
            <w:pPr>
              <w:rPr>
                <w:rFonts w:cstheme="majorHAnsi"/>
                <w:lang w:val="en-GB"/>
              </w:rPr>
            </w:pPr>
          </w:p>
          <w:p w14:paraId="7E3BEA00" w14:textId="77777777" w:rsidR="00532827" w:rsidRPr="00162A8C" w:rsidRDefault="00532827" w:rsidP="00AE18B0">
            <w:pPr>
              <w:jc w:val="center"/>
              <w:rPr>
                <w:rFonts w:cstheme="majorHAnsi"/>
                <w:lang w:val="en-GB"/>
              </w:rPr>
            </w:pPr>
          </w:p>
          <w:p w14:paraId="5B8D074C" w14:textId="77777777" w:rsidR="00532827" w:rsidRPr="00162A8C" w:rsidRDefault="00532827" w:rsidP="00AE18B0">
            <w:pPr>
              <w:jc w:val="center"/>
              <w:rPr>
                <w:rFonts w:cstheme="majorHAnsi"/>
                <w:lang w:val="en-GB"/>
              </w:rPr>
            </w:pPr>
            <w:r w:rsidRPr="00162A8C">
              <w:rPr>
                <w:rFonts w:cstheme="majorHAnsi"/>
                <w:lang w:val="en-GB"/>
              </w:rPr>
              <w:t>100 (10)</w:t>
            </w:r>
          </w:p>
          <w:p w14:paraId="45AEAC23" w14:textId="13AC43D1" w:rsidR="00532827" w:rsidRPr="00162A8C" w:rsidRDefault="00532827" w:rsidP="00AB7BE3">
            <w:pPr>
              <w:rPr>
                <w:rFonts w:cstheme="majorHAnsi"/>
                <w:lang w:val="en-GB"/>
              </w:rPr>
            </w:pPr>
          </w:p>
          <w:p w14:paraId="20DB8C73" w14:textId="77777777" w:rsidR="00532827" w:rsidRPr="00162A8C" w:rsidRDefault="00532827" w:rsidP="00AE18B0">
            <w:pPr>
              <w:jc w:val="center"/>
              <w:rPr>
                <w:rFonts w:cstheme="majorHAnsi"/>
                <w:lang w:val="en-GB"/>
              </w:rPr>
            </w:pPr>
            <w:r w:rsidRPr="00162A8C">
              <w:rPr>
                <w:rFonts w:cstheme="majorHAnsi"/>
                <w:lang w:val="en-GB"/>
              </w:rPr>
              <w:t>100 (18)</w:t>
            </w:r>
          </w:p>
          <w:p w14:paraId="21A7CC28" w14:textId="77777777" w:rsidR="00532827" w:rsidRPr="00162A8C" w:rsidRDefault="00532827" w:rsidP="00AE18B0">
            <w:pPr>
              <w:jc w:val="center"/>
              <w:rPr>
                <w:rFonts w:cstheme="majorHAnsi"/>
                <w:lang w:val="en-GB"/>
              </w:rPr>
            </w:pPr>
          </w:p>
        </w:tc>
      </w:tr>
    </w:tbl>
    <w:p w14:paraId="396E1699" w14:textId="004AC701" w:rsidR="00532827" w:rsidRPr="0075770C" w:rsidRDefault="00532827" w:rsidP="00AE18B0">
      <w:pPr>
        <w:rPr>
          <w:i/>
          <w:sz w:val="16"/>
          <w:szCs w:val="16"/>
          <w:lang w:val="en-GB"/>
        </w:rPr>
      </w:pPr>
      <w:r w:rsidRPr="0075770C">
        <w:rPr>
          <w:i/>
          <w:sz w:val="16"/>
          <w:szCs w:val="16"/>
          <w:lang w:val="en-GB"/>
        </w:rPr>
        <w:t xml:space="preserve">* The ´contact´ variables combine values 1 and 2 on </w:t>
      </w:r>
      <w:r w:rsidR="003628B0" w:rsidRPr="0075770C">
        <w:rPr>
          <w:i/>
          <w:sz w:val="16"/>
          <w:szCs w:val="16"/>
          <w:lang w:val="en-GB"/>
        </w:rPr>
        <w:t>the</w:t>
      </w:r>
      <w:r w:rsidRPr="0075770C">
        <w:rPr>
          <w:i/>
          <w:sz w:val="16"/>
          <w:szCs w:val="16"/>
          <w:lang w:val="en-GB"/>
        </w:rPr>
        <w:t xml:space="preserve"> following four-point scale: (1) App. every week, (2) app. every month, (3) a few times, (4) never.</w:t>
      </w:r>
    </w:p>
    <w:p w14:paraId="4F65BE4D" w14:textId="7C3AAFF5" w:rsidR="00532827" w:rsidRPr="0075770C" w:rsidRDefault="00532827" w:rsidP="00AE18B0">
      <w:pPr>
        <w:rPr>
          <w:i/>
          <w:sz w:val="16"/>
          <w:szCs w:val="16"/>
          <w:lang w:val="en-GB"/>
        </w:rPr>
      </w:pPr>
      <w:r w:rsidRPr="0075770C">
        <w:rPr>
          <w:i/>
          <w:sz w:val="16"/>
          <w:szCs w:val="16"/>
          <w:lang w:val="en-GB"/>
        </w:rPr>
        <w:t>** The ´participation</w:t>
      </w:r>
      <w:r w:rsidR="009604EE">
        <w:rPr>
          <w:i/>
          <w:sz w:val="16"/>
          <w:szCs w:val="16"/>
          <w:lang w:val="en-GB"/>
        </w:rPr>
        <w:t>’</w:t>
      </w:r>
      <w:r w:rsidRPr="0075770C">
        <w:rPr>
          <w:i/>
          <w:sz w:val="16"/>
          <w:szCs w:val="16"/>
          <w:lang w:val="en-GB"/>
        </w:rPr>
        <w:t xml:space="preserve"> variables apply value </w:t>
      </w:r>
      <w:r w:rsidR="003628B0" w:rsidRPr="0075770C">
        <w:rPr>
          <w:i/>
          <w:sz w:val="16"/>
          <w:szCs w:val="16"/>
          <w:lang w:val="en-GB"/>
        </w:rPr>
        <w:t>1 on</w:t>
      </w:r>
      <w:r w:rsidRPr="0075770C">
        <w:rPr>
          <w:i/>
          <w:sz w:val="16"/>
          <w:szCs w:val="16"/>
          <w:lang w:val="en-GB"/>
        </w:rPr>
        <w:t xml:space="preserve"> the following three-point scale: (1) several times, (2) once, (3) never.</w:t>
      </w:r>
    </w:p>
    <w:p w14:paraId="47979EE4" w14:textId="77777777" w:rsidR="00532827" w:rsidRPr="0075770C" w:rsidRDefault="00532827" w:rsidP="005236C0">
      <w:pPr>
        <w:jc w:val="both"/>
        <w:rPr>
          <w:lang w:val="en-GB"/>
        </w:rPr>
      </w:pPr>
    </w:p>
    <w:p w14:paraId="6FED396D" w14:textId="3346DC3F" w:rsidR="00B770FF" w:rsidRPr="00AE18B0" w:rsidRDefault="008A1B77" w:rsidP="00AE18B0">
      <w:pPr>
        <w:rPr>
          <w:lang w:val="en-GB"/>
        </w:rPr>
      </w:pPr>
      <w:r>
        <w:rPr>
          <w:lang w:val="en-GB"/>
        </w:rPr>
        <w:lastRenderedPageBreak/>
        <w:t xml:space="preserve">Next, Table 5 probes the effect of the task profile of staff (P2). </w:t>
      </w:r>
      <w:r w:rsidR="0060580B">
        <w:rPr>
          <w:lang w:val="en-GB"/>
        </w:rPr>
        <w:t>Given the regulatory character of the</w:t>
      </w:r>
      <w:r w:rsidR="00EB7F2E">
        <w:rPr>
          <w:lang w:val="en-GB"/>
        </w:rPr>
        <w:t xml:space="preserve"> EU system in general and the</w:t>
      </w:r>
      <w:r w:rsidR="0060580B">
        <w:rPr>
          <w:lang w:val="en-GB"/>
        </w:rPr>
        <w:t xml:space="preserve"> EEA agreement in particular, </w:t>
      </w:r>
      <w:r w:rsidR="00EB7F2E">
        <w:rPr>
          <w:lang w:val="en-GB"/>
        </w:rPr>
        <w:t>it is proposed</w:t>
      </w:r>
      <w:r w:rsidR="00AE18B0">
        <w:rPr>
          <w:lang w:val="en-GB"/>
        </w:rPr>
        <w:t xml:space="preserve"> that </w:t>
      </w:r>
      <w:r w:rsidR="0060580B">
        <w:rPr>
          <w:lang w:val="en-GB"/>
        </w:rPr>
        <w:t xml:space="preserve">ministerial </w:t>
      </w:r>
      <w:r w:rsidR="00AE18B0">
        <w:rPr>
          <w:lang w:val="en-GB"/>
        </w:rPr>
        <w:t xml:space="preserve">officials occupied with regulatory tasks interact more frequently with </w:t>
      </w:r>
      <w:r w:rsidR="0060580B">
        <w:rPr>
          <w:lang w:val="en-GB"/>
        </w:rPr>
        <w:t>European executive institutions</w:t>
      </w:r>
      <w:r>
        <w:rPr>
          <w:lang w:val="en-GB"/>
        </w:rPr>
        <w:t xml:space="preserve"> than officials with a different task profile</w:t>
      </w:r>
      <w:r w:rsidR="0060580B">
        <w:rPr>
          <w:lang w:val="en-GB"/>
        </w:rPr>
        <w:t xml:space="preserve">. </w:t>
      </w:r>
      <w:r w:rsidR="008276B9">
        <w:rPr>
          <w:lang w:val="en-GB"/>
        </w:rPr>
        <w:t>Nonetheless</w:t>
      </w:r>
      <w:r w:rsidR="00DD196E">
        <w:rPr>
          <w:lang w:val="en-GB"/>
        </w:rPr>
        <w:t xml:space="preserve">, </w:t>
      </w:r>
      <w:r w:rsidR="009604EE">
        <w:rPr>
          <w:lang w:val="en-GB"/>
        </w:rPr>
        <w:t>the data</w:t>
      </w:r>
      <w:r>
        <w:rPr>
          <w:lang w:val="en-GB"/>
        </w:rPr>
        <w:t xml:space="preserve"> suggests </w:t>
      </w:r>
      <w:r w:rsidR="00DD196E">
        <w:rPr>
          <w:lang w:val="en-GB"/>
        </w:rPr>
        <w:t xml:space="preserve">that officials occupied with </w:t>
      </w:r>
      <w:r w:rsidR="00DD196E" w:rsidRPr="00DD196E">
        <w:rPr>
          <w:i/>
          <w:lang w:val="en-GB"/>
        </w:rPr>
        <w:t>non</w:t>
      </w:r>
      <w:r w:rsidR="00DD196E">
        <w:rPr>
          <w:lang w:val="en-GB"/>
        </w:rPr>
        <w:t>-regulatory tasks are more often in contact with – or participate</w:t>
      </w:r>
      <w:r w:rsidR="009604EE">
        <w:rPr>
          <w:lang w:val="en-GB"/>
        </w:rPr>
        <w:t xml:space="preserve"> at</w:t>
      </w:r>
      <w:r w:rsidR="00DD196E">
        <w:rPr>
          <w:lang w:val="en-GB"/>
        </w:rPr>
        <w:t xml:space="preserve"> – the EU-level. This is also a consistent pattern over time. </w:t>
      </w:r>
      <w:r w:rsidR="008276B9">
        <w:rPr>
          <w:lang w:val="en-GB"/>
        </w:rPr>
        <w:t>One</w:t>
      </w:r>
      <w:r w:rsidR="00DD196E">
        <w:rPr>
          <w:lang w:val="en-GB"/>
        </w:rPr>
        <w:t xml:space="preserve"> </w:t>
      </w:r>
      <w:r w:rsidR="008276B9">
        <w:rPr>
          <w:lang w:val="en-GB"/>
        </w:rPr>
        <w:t>possible</w:t>
      </w:r>
      <w:r w:rsidR="006960CB">
        <w:rPr>
          <w:lang w:val="en-GB"/>
        </w:rPr>
        <w:t xml:space="preserve"> explanation for the</w:t>
      </w:r>
      <w:r w:rsidR="00DD196E">
        <w:rPr>
          <w:lang w:val="en-GB"/>
        </w:rPr>
        <w:t xml:space="preserve"> significant divergence between these two groups</w:t>
      </w:r>
      <w:r w:rsidR="008276B9">
        <w:rPr>
          <w:lang w:val="en-GB"/>
        </w:rPr>
        <w:t>, however,</w:t>
      </w:r>
      <w:r w:rsidR="00DD196E">
        <w:rPr>
          <w:lang w:val="en-GB"/>
        </w:rPr>
        <w:t xml:space="preserve"> </w:t>
      </w:r>
      <w:r w:rsidR="005B08F1">
        <w:rPr>
          <w:lang w:val="en-GB"/>
        </w:rPr>
        <w:t>may be related to</w:t>
      </w:r>
      <w:r w:rsidR="008276B9">
        <w:rPr>
          <w:lang w:val="en-GB"/>
        </w:rPr>
        <w:t xml:space="preserve"> the questionnaire design, which allowed </w:t>
      </w:r>
      <w:r>
        <w:rPr>
          <w:lang w:val="en-GB"/>
        </w:rPr>
        <w:t xml:space="preserve">respondents </w:t>
      </w:r>
      <w:r w:rsidR="005B08F1">
        <w:rPr>
          <w:lang w:val="en-GB"/>
        </w:rPr>
        <w:t xml:space="preserve">only </w:t>
      </w:r>
      <w:r w:rsidR="008276B9">
        <w:rPr>
          <w:lang w:val="en-GB"/>
        </w:rPr>
        <w:t xml:space="preserve">one </w:t>
      </w:r>
      <w:r>
        <w:rPr>
          <w:lang w:val="en-GB"/>
        </w:rPr>
        <w:t>alternative</w:t>
      </w:r>
      <w:r w:rsidR="008276B9">
        <w:rPr>
          <w:lang w:val="en-GB"/>
        </w:rPr>
        <w:t xml:space="preserve"> to a set of various tasks-categories. It is likely that officials have multiple tasks and thus</w:t>
      </w:r>
      <w:r>
        <w:rPr>
          <w:lang w:val="en-GB"/>
        </w:rPr>
        <w:t xml:space="preserve"> that</w:t>
      </w:r>
      <w:r w:rsidR="008276B9">
        <w:rPr>
          <w:lang w:val="en-GB"/>
        </w:rPr>
        <w:t xml:space="preserve"> the number occupied with regulatory tasks may in fact be much higher than what is reflected in the data. </w:t>
      </w:r>
      <w:r w:rsidR="00986145">
        <w:rPr>
          <w:lang w:val="en-GB"/>
        </w:rPr>
        <w:t>Another explanation may be related to a shift in the function of ministries</w:t>
      </w:r>
      <w:r w:rsidR="003A39A3">
        <w:rPr>
          <w:lang w:val="en-GB"/>
        </w:rPr>
        <w:t xml:space="preserve"> during</w:t>
      </w:r>
      <w:r w:rsidR="00B86EEA">
        <w:rPr>
          <w:lang w:val="en-GB"/>
        </w:rPr>
        <w:t xml:space="preserve"> the past two decades</w:t>
      </w:r>
      <w:r w:rsidR="003A39A3">
        <w:rPr>
          <w:lang w:val="en-GB"/>
        </w:rPr>
        <w:t xml:space="preserve"> towards</w:t>
      </w:r>
      <w:r w:rsidR="00986145">
        <w:rPr>
          <w:lang w:val="en-GB"/>
        </w:rPr>
        <w:t xml:space="preserve"> </w:t>
      </w:r>
      <w:r w:rsidR="00B86EEA">
        <w:rPr>
          <w:lang w:val="en-GB"/>
        </w:rPr>
        <w:t>more</w:t>
      </w:r>
      <w:r w:rsidR="00986145">
        <w:rPr>
          <w:lang w:val="en-GB"/>
        </w:rPr>
        <w:t xml:space="preserve"> planning and coordinative functions and less emphasis on single cases (Christensen and Lægreid 2009:</w:t>
      </w:r>
      <w:r>
        <w:rPr>
          <w:lang w:val="en-GB"/>
        </w:rPr>
        <w:t xml:space="preserve"> </w:t>
      </w:r>
      <w:r w:rsidR="00986145">
        <w:rPr>
          <w:lang w:val="en-GB"/>
        </w:rPr>
        <w:t>955).</w:t>
      </w:r>
    </w:p>
    <w:p w14:paraId="345EA80B" w14:textId="77777777" w:rsidR="0060580B" w:rsidRDefault="0060580B" w:rsidP="00532827">
      <w:pPr>
        <w:jc w:val="both"/>
        <w:rPr>
          <w:b/>
          <w:lang w:val="en-GB"/>
        </w:rPr>
      </w:pPr>
    </w:p>
    <w:p w14:paraId="3F66D257" w14:textId="7A028A4F" w:rsidR="00B770FF" w:rsidRPr="00582B8A" w:rsidRDefault="0043663F" w:rsidP="00532827">
      <w:pPr>
        <w:jc w:val="both"/>
        <w:rPr>
          <w:b/>
          <w:lang w:val="en-GB"/>
        </w:rPr>
      </w:pPr>
      <w:r>
        <w:rPr>
          <w:b/>
          <w:lang w:val="en-GB"/>
        </w:rPr>
        <w:t>Table 5</w:t>
      </w:r>
      <w:r w:rsidR="00532827" w:rsidRPr="0075770C">
        <w:rPr>
          <w:b/>
          <w:lang w:val="en-GB"/>
        </w:rPr>
        <w:t xml:space="preserve"> Percentage of officials that report </w:t>
      </w:r>
      <w:r w:rsidR="00532827" w:rsidRPr="00582B8A">
        <w:rPr>
          <w:b/>
          <w:i/>
          <w:u w:val="single"/>
          <w:lang w:val="en-GB"/>
        </w:rPr>
        <w:t>contact with*</w:t>
      </w:r>
      <w:r w:rsidR="00532827" w:rsidRPr="00582B8A">
        <w:rPr>
          <w:b/>
          <w:u w:val="single"/>
          <w:lang w:val="en-GB"/>
        </w:rPr>
        <w:t xml:space="preserve"> and/or </w:t>
      </w:r>
      <w:r w:rsidR="00532827" w:rsidRPr="00582B8A">
        <w:rPr>
          <w:b/>
          <w:i/>
          <w:u w:val="single"/>
          <w:lang w:val="en-GB"/>
        </w:rPr>
        <w:t>participation in</w:t>
      </w:r>
      <w:r w:rsidR="00532827" w:rsidRPr="0075770C">
        <w:rPr>
          <w:b/>
          <w:lang w:val="en-GB"/>
        </w:rPr>
        <w:t>** EU-level institutions, by year and task (non</w:t>
      </w:r>
      <w:r w:rsidR="008A1B77">
        <w:rPr>
          <w:b/>
          <w:lang w:val="en-GB"/>
        </w:rPr>
        <w:t>-regulatory (NR)/regulatory (R)</w:t>
      </w:r>
    </w:p>
    <w:tbl>
      <w:tblPr>
        <w:tblStyle w:val="Tabellrutenett"/>
        <w:tblW w:w="0" w:type="auto"/>
        <w:tblInd w:w="108" w:type="dxa"/>
        <w:tblLayout w:type="fixed"/>
        <w:tblLook w:val="04A0" w:firstRow="1" w:lastRow="0" w:firstColumn="1" w:lastColumn="0" w:noHBand="0" w:noVBand="1"/>
      </w:tblPr>
      <w:tblGrid>
        <w:gridCol w:w="2552"/>
        <w:gridCol w:w="850"/>
        <w:gridCol w:w="993"/>
        <w:gridCol w:w="850"/>
        <w:gridCol w:w="851"/>
        <w:gridCol w:w="850"/>
        <w:gridCol w:w="851"/>
        <w:gridCol w:w="1377"/>
      </w:tblGrid>
      <w:tr w:rsidR="0060580B" w14:paraId="3E3366CA" w14:textId="77777777" w:rsidTr="0060580B">
        <w:tc>
          <w:tcPr>
            <w:tcW w:w="2552" w:type="dxa"/>
          </w:tcPr>
          <w:p w14:paraId="418BD86D" w14:textId="77777777" w:rsidR="0060580B" w:rsidRDefault="0060580B" w:rsidP="008A1B77">
            <w:pPr>
              <w:rPr>
                <w:i/>
                <w:lang w:val="en-GB"/>
              </w:rPr>
            </w:pPr>
          </w:p>
        </w:tc>
        <w:tc>
          <w:tcPr>
            <w:tcW w:w="1843" w:type="dxa"/>
            <w:gridSpan w:val="2"/>
          </w:tcPr>
          <w:p w14:paraId="2458837F" w14:textId="71E510F8" w:rsidR="0060580B" w:rsidRDefault="0060580B" w:rsidP="0060580B">
            <w:pPr>
              <w:jc w:val="center"/>
              <w:rPr>
                <w:i/>
                <w:lang w:val="en-GB"/>
              </w:rPr>
            </w:pPr>
            <w:r w:rsidRPr="0075770C">
              <w:rPr>
                <w:b/>
                <w:lang w:val="en-GB"/>
              </w:rPr>
              <w:t>1996</w:t>
            </w:r>
          </w:p>
        </w:tc>
        <w:tc>
          <w:tcPr>
            <w:tcW w:w="1701" w:type="dxa"/>
            <w:gridSpan w:val="2"/>
          </w:tcPr>
          <w:p w14:paraId="4ABD018B" w14:textId="7BC8E41D" w:rsidR="0060580B" w:rsidRDefault="0060580B" w:rsidP="0060580B">
            <w:pPr>
              <w:jc w:val="center"/>
              <w:rPr>
                <w:i/>
                <w:lang w:val="en-GB"/>
              </w:rPr>
            </w:pPr>
            <w:r w:rsidRPr="0075770C">
              <w:rPr>
                <w:b/>
                <w:lang w:val="en-GB"/>
              </w:rPr>
              <w:t>2006</w:t>
            </w:r>
          </w:p>
        </w:tc>
        <w:tc>
          <w:tcPr>
            <w:tcW w:w="1701" w:type="dxa"/>
            <w:gridSpan w:val="2"/>
          </w:tcPr>
          <w:p w14:paraId="6D6F325C" w14:textId="64E42DA2" w:rsidR="0060580B" w:rsidRDefault="0060580B" w:rsidP="0060580B">
            <w:pPr>
              <w:jc w:val="center"/>
              <w:rPr>
                <w:i/>
                <w:lang w:val="en-GB"/>
              </w:rPr>
            </w:pPr>
            <w:r w:rsidRPr="0075770C">
              <w:rPr>
                <w:b/>
                <w:lang w:val="en-GB"/>
              </w:rPr>
              <w:t>2016</w:t>
            </w:r>
          </w:p>
        </w:tc>
        <w:tc>
          <w:tcPr>
            <w:tcW w:w="1377" w:type="dxa"/>
          </w:tcPr>
          <w:p w14:paraId="5DEBE815" w14:textId="29D55CD7" w:rsidR="0060580B" w:rsidRPr="00CF7231" w:rsidRDefault="0060580B" w:rsidP="0060580B">
            <w:pPr>
              <w:jc w:val="both"/>
              <w:rPr>
                <w:lang w:val="en-GB"/>
              </w:rPr>
            </w:pPr>
          </w:p>
        </w:tc>
      </w:tr>
      <w:tr w:rsidR="0060580B" w14:paraId="70A358FD" w14:textId="77777777" w:rsidTr="0060580B">
        <w:tc>
          <w:tcPr>
            <w:tcW w:w="2552" w:type="dxa"/>
          </w:tcPr>
          <w:p w14:paraId="54FB2235" w14:textId="77777777" w:rsidR="0060580B" w:rsidRDefault="0060580B" w:rsidP="008A1B77">
            <w:pPr>
              <w:rPr>
                <w:i/>
                <w:lang w:val="en-GB"/>
              </w:rPr>
            </w:pPr>
          </w:p>
        </w:tc>
        <w:tc>
          <w:tcPr>
            <w:tcW w:w="850" w:type="dxa"/>
          </w:tcPr>
          <w:p w14:paraId="415C2864" w14:textId="20B79EDB" w:rsidR="0060580B" w:rsidRDefault="0060580B" w:rsidP="0060580B">
            <w:pPr>
              <w:jc w:val="center"/>
              <w:rPr>
                <w:i/>
                <w:lang w:val="en-GB"/>
              </w:rPr>
            </w:pPr>
            <w:r w:rsidRPr="0075770C">
              <w:rPr>
                <w:lang w:val="en-GB"/>
              </w:rPr>
              <w:t>NR</w:t>
            </w:r>
          </w:p>
        </w:tc>
        <w:tc>
          <w:tcPr>
            <w:tcW w:w="993" w:type="dxa"/>
          </w:tcPr>
          <w:p w14:paraId="078655B4" w14:textId="3F560CD4" w:rsidR="0060580B" w:rsidRDefault="0060580B" w:rsidP="0060580B">
            <w:pPr>
              <w:jc w:val="center"/>
              <w:rPr>
                <w:i/>
                <w:lang w:val="en-GB"/>
              </w:rPr>
            </w:pPr>
            <w:r w:rsidRPr="0075770C">
              <w:rPr>
                <w:lang w:val="en-GB"/>
              </w:rPr>
              <w:t>R</w:t>
            </w:r>
          </w:p>
        </w:tc>
        <w:tc>
          <w:tcPr>
            <w:tcW w:w="850" w:type="dxa"/>
          </w:tcPr>
          <w:p w14:paraId="479297E8" w14:textId="4542C89C" w:rsidR="0060580B" w:rsidRDefault="0060580B" w:rsidP="0060580B">
            <w:pPr>
              <w:jc w:val="center"/>
              <w:rPr>
                <w:i/>
                <w:lang w:val="en-GB"/>
              </w:rPr>
            </w:pPr>
            <w:r w:rsidRPr="0075770C">
              <w:rPr>
                <w:lang w:val="en-GB"/>
              </w:rPr>
              <w:t>NR</w:t>
            </w:r>
          </w:p>
        </w:tc>
        <w:tc>
          <w:tcPr>
            <w:tcW w:w="851" w:type="dxa"/>
          </w:tcPr>
          <w:p w14:paraId="5DDA7DFD" w14:textId="4D9348A1" w:rsidR="0060580B" w:rsidRDefault="0060580B" w:rsidP="0060580B">
            <w:pPr>
              <w:jc w:val="center"/>
              <w:rPr>
                <w:i/>
                <w:lang w:val="en-GB"/>
              </w:rPr>
            </w:pPr>
            <w:r w:rsidRPr="0075770C">
              <w:rPr>
                <w:lang w:val="en-GB"/>
              </w:rPr>
              <w:t>R</w:t>
            </w:r>
          </w:p>
        </w:tc>
        <w:tc>
          <w:tcPr>
            <w:tcW w:w="850" w:type="dxa"/>
          </w:tcPr>
          <w:p w14:paraId="22204388" w14:textId="2656263A" w:rsidR="0060580B" w:rsidRDefault="0060580B" w:rsidP="0060580B">
            <w:pPr>
              <w:jc w:val="center"/>
              <w:rPr>
                <w:i/>
                <w:lang w:val="en-GB"/>
              </w:rPr>
            </w:pPr>
            <w:r w:rsidRPr="0075770C">
              <w:rPr>
                <w:lang w:val="en-GB"/>
              </w:rPr>
              <w:t>NR</w:t>
            </w:r>
          </w:p>
        </w:tc>
        <w:tc>
          <w:tcPr>
            <w:tcW w:w="851" w:type="dxa"/>
          </w:tcPr>
          <w:p w14:paraId="4ACB6C1B" w14:textId="2E16EA4E" w:rsidR="0060580B" w:rsidRDefault="0060580B" w:rsidP="0060580B">
            <w:pPr>
              <w:jc w:val="center"/>
              <w:rPr>
                <w:i/>
                <w:lang w:val="en-GB"/>
              </w:rPr>
            </w:pPr>
            <w:r w:rsidRPr="0075770C">
              <w:rPr>
                <w:lang w:val="en-GB"/>
              </w:rPr>
              <w:t>R</w:t>
            </w:r>
          </w:p>
        </w:tc>
        <w:tc>
          <w:tcPr>
            <w:tcW w:w="1377" w:type="dxa"/>
          </w:tcPr>
          <w:p w14:paraId="78FF2E62" w14:textId="79576E0E" w:rsidR="0060580B" w:rsidRPr="00CF7231" w:rsidRDefault="00162A8C" w:rsidP="0060580B">
            <w:pPr>
              <w:jc w:val="both"/>
              <w:rPr>
                <w:i/>
                <w:lang w:val="en-GB"/>
              </w:rPr>
            </w:pPr>
            <w:r w:rsidRPr="00CF7231">
              <w:rPr>
                <w:lang w:val="en-GB"/>
              </w:rPr>
              <w:t>Mean N</w:t>
            </w:r>
          </w:p>
        </w:tc>
      </w:tr>
      <w:tr w:rsidR="0060580B" w14:paraId="21F171E4" w14:textId="77777777" w:rsidTr="0060580B">
        <w:tc>
          <w:tcPr>
            <w:tcW w:w="2552" w:type="dxa"/>
          </w:tcPr>
          <w:p w14:paraId="37AC8421" w14:textId="77777777" w:rsidR="0060580B" w:rsidRPr="0075770C" w:rsidRDefault="0060580B" w:rsidP="008A1B77">
            <w:pPr>
              <w:rPr>
                <w:lang w:val="en-GB"/>
              </w:rPr>
            </w:pPr>
            <w:r w:rsidRPr="0075770C">
              <w:rPr>
                <w:lang w:val="en-GB"/>
              </w:rPr>
              <w:t>Contact with the Commission</w:t>
            </w:r>
          </w:p>
          <w:p w14:paraId="7055A91F" w14:textId="77777777" w:rsidR="0060580B" w:rsidRPr="0075770C" w:rsidRDefault="0060580B" w:rsidP="008A1B77">
            <w:pPr>
              <w:rPr>
                <w:lang w:val="en-GB"/>
              </w:rPr>
            </w:pPr>
          </w:p>
          <w:p w14:paraId="214600E0" w14:textId="77777777" w:rsidR="0060580B" w:rsidRPr="0075770C" w:rsidRDefault="0060580B" w:rsidP="008A1B77">
            <w:pPr>
              <w:rPr>
                <w:lang w:val="en-GB"/>
              </w:rPr>
            </w:pPr>
            <w:r w:rsidRPr="0075770C">
              <w:rPr>
                <w:lang w:val="en-GB"/>
              </w:rPr>
              <w:t>Contact with the Council</w:t>
            </w:r>
          </w:p>
          <w:p w14:paraId="159C5989" w14:textId="77777777" w:rsidR="0060580B" w:rsidRPr="0075770C" w:rsidRDefault="0060580B" w:rsidP="008A1B77">
            <w:pPr>
              <w:rPr>
                <w:lang w:val="en-GB"/>
              </w:rPr>
            </w:pPr>
          </w:p>
          <w:p w14:paraId="2A238D2D" w14:textId="77777777" w:rsidR="0060580B" w:rsidRPr="0075770C" w:rsidRDefault="0060580B" w:rsidP="008A1B77">
            <w:pPr>
              <w:rPr>
                <w:lang w:val="en-GB"/>
              </w:rPr>
            </w:pPr>
            <w:r w:rsidRPr="0075770C">
              <w:rPr>
                <w:lang w:val="en-GB"/>
              </w:rPr>
              <w:t>Contact with the European Parliament</w:t>
            </w:r>
          </w:p>
          <w:p w14:paraId="30EBB7DD" w14:textId="77777777" w:rsidR="0060580B" w:rsidRPr="0075770C" w:rsidRDefault="0060580B" w:rsidP="008A1B77">
            <w:pPr>
              <w:rPr>
                <w:lang w:val="en-GB"/>
              </w:rPr>
            </w:pPr>
          </w:p>
          <w:p w14:paraId="5DF95BD2" w14:textId="77777777" w:rsidR="0060580B" w:rsidRPr="0075770C" w:rsidRDefault="0060580B" w:rsidP="008A1B77">
            <w:pPr>
              <w:rPr>
                <w:lang w:val="en-GB"/>
              </w:rPr>
            </w:pPr>
            <w:r w:rsidRPr="0075770C">
              <w:rPr>
                <w:lang w:val="en-GB"/>
              </w:rPr>
              <w:t>Contact with EU agencies</w:t>
            </w:r>
          </w:p>
          <w:p w14:paraId="42446C84" w14:textId="77777777" w:rsidR="0060580B" w:rsidRPr="0075770C" w:rsidRDefault="0060580B" w:rsidP="008A1B77">
            <w:pPr>
              <w:rPr>
                <w:lang w:val="en-GB"/>
              </w:rPr>
            </w:pPr>
          </w:p>
          <w:p w14:paraId="5603ED00" w14:textId="77777777" w:rsidR="0060580B" w:rsidRPr="0075770C" w:rsidRDefault="0060580B" w:rsidP="008A1B77">
            <w:pPr>
              <w:rPr>
                <w:lang w:val="en-GB"/>
              </w:rPr>
            </w:pPr>
            <w:r w:rsidRPr="0075770C">
              <w:rPr>
                <w:lang w:val="en-GB"/>
              </w:rPr>
              <w:t>Participation in expert committee(s)</w:t>
            </w:r>
          </w:p>
          <w:p w14:paraId="6FA80C2A" w14:textId="77777777" w:rsidR="0060580B" w:rsidRPr="0075770C" w:rsidRDefault="0060580B" w:rsidP="008A1B77">
            <w:pPr>
              <w:rPr>
                <w:lang w:val="en-GB"/>
              </w:rPr>
            </w:pPr>
          </w:p>
          <w:p w14:paraId="1CE78811" w14:textId="77777777" w:rsidR="0060580B" w:rsidRPr="0075770C" w:rsidRDefault="0060580B" w:rsidP="008A1B77">
            <w:pPr>
              <w:rPr>
                <w:lang w:val="en-GB"/>
              </w:rPr>
            </w:pPr>
            <w:r w:rsidRPr="0075770C">
              <w:rPr>
                <w:lang w:val="en-GB"/>
              </w:rPr>
              <w:t>Participation in comitology committee(s)</w:t>
            </w:r>
          </w:p>
          <w:p w14:paraId="795BC1B9" w14:textId="77777777" w:rsidR="0060580B" w:rsidRPr="0075770C" w:rsidRDefault="0060580B" w:rsidP="008A1B77">
            <w:pPr>
              <w:rPr>
                <w:lang w:val="en-GB"/>
              </w:rPr>
            </w:pPr>
          </w:p>
          <w:p w14:paraId="5023D655" w14:textId="77777777" w:rsidR="0060580B" w:rsidRPr="0075770C" w:rsidRDefault="0060580B" w:rsidP="008A1B77">
            <w:pPr>
              <w:rPr>
                <w:lang w:val="en-GB"/>
              </w:rPr>
            </w:pPr>
            <w:r w:rsidRPr="0075770C">
              <w:rPr>
                <w:lang w:val="en-GB"/>
              </w:rPr>
              <w:t>Participation in the Council</w:t>
            </w:r>
          </w:p>
          <w:p w14:paraId="09E26C19" w14:textId="77777777" w:rsidR="0060580B" w:rsidRPr="0075770C" w:rsidRDefault="0060580B" w:rsidP="008A1B77">
            <w:pPr>
              <w:rPr>
                <w:lang w:val="en-GB"/>
              </w:rPr>
            </w:pPr>
          </w:p>
          <w:p w14:paraId="4599D79F" w14:textId="4E59C02A" w:rsidR="0060580B" w:rsidRDefault="0060580B" w:rsidP="008A1B77">
            <w:pPr>
              <w:rPr>
                <w:i/>
                <w:lang w:val="en-GB"/>
              </w:rPr>
            </w:pPr>
            <w:r w:rsidRPr="0075770C">
              <w:rPr>
                <w:lang w:val="en-GB"/>
              </w:rPr>
              <w:t>Participation in committees, boards etc. in EU agencies</w:t>
            </w:r>
          </w:p>
        </w:tc>
        <w:tc>
          <w:tcPr>
            <w:tcW w:w="850" w:type="dxa"/>
          </w:tcPr>
          <w:p w14:paraId="53B49A16" w14:textId="77777777" w:rsidR="0060580B" w:rsidRPr="0075770C" w:rsidRDefault="0060580B" w:rsidP="00955B46">
            <w:pPr>
              <w:jc w:val="center"/>
              <w:rPr>
                <w:lang w:val="en-GB"/>
              </w:rPr>
            </w:pPr>
            <w:r w:rsidRPr="0075770C">
              <w:rPr>
                <w:lang w:val="en-GB"/>
              </w:rPr>
              <w:t>74</w:t>
            </w:r>
          </w:p>
          <w:p w14:paraId="52882D56" w14:textId="77777777" w:rsidR="0060580B" w:rsidRPr="0075770C" w:rsidRDefault="0060580B" w:rsidP="00955B46">
            <w:pPr>
              <w:jc w:val="center"/>
              <w:rPr>
                <w:lang w:val="en-GB"/>
              </w:rPr>
            </w:pPr>
          </w:p>
          <w:p w14:paraId="4D4012EF" w14:textId="77777777" w:rsidR="0060580B" w:rsidRPr="0075770C" w:rsidRDefault="0060580B" w:rsidP="00955B46">
            <w:pPr>
              <w:jc w:val="center"/>
              <w:rPr>
                <w:lang w:val="en-GB"/>
              </w:rPr>
            </w:pPr>
          </w:p>
          <w:p w14:paraId="2E233ABC" w14:textId="77777777" w:rsidR="0060580B" w:rsidRPr="0075770C" w:rsidRDefault="0060580B" w:rsidP="00955B46">
            <w:pPr>
              <w:jc w:val="center"/>
              <w:rPr>
                <w:lang w:val="en-GB"/>
              </w:rPr>
            </w:pPr>
            <w:r w:rsidRPr="0075770C">
              <w:rPr>
                <w:lang w:val="en-GB"/>
              </w:rPr>
              <w:t>-</w:t>
            </w:r>
          </w:p>
          <w:p w14:paraId="189104F5" w14:textId="77777777" w:rsidR="0060580B" w:rsidRPr="0075770C" w:rsidRDefault="0060580B" w:rsidP="00955B46">
            <w:pPr>
              <w:jc w:val="center"/>
              <w:rPr>
                <w:lang w:val="en-GB"/>
              </w:rPr>
            </w:pPr>
          </w:p>
          <w:p w14:paraId="0E77E97F" w14:textId="77777777" w:rsidR="0060580B" w:rsidRPr="0075770C" w:rsidRDefault="0060580B" w:rsidP="00955B46">
            <w:pPr>
              <w:jc w:val="center"/>
              <w:rPr>
                <w:lang w:val="en-GB"/>
              </w:rPr>
            </w:pPr>
          </w:p>
          <w:p w14:paraId="29457359" w14:textId="77777777" w:rsidR="0060580B" w:rsidRPr="0075770C" w:rsidRDefault="0060580B" w:rsidP="00955B46">
            <w:pPr>
              <w:jc w:val="center"/>
              <w:rPr>
                <w:lang w:val="en-GB"/>
              </w:rPr>
            </w:pPr>
            <w:r w:rsidRPr="0075770C">
              <w:rPr>
                <w:lang w:val="en-GB"/>
              </w:rPr>
              <w:t>-</w:t>
            </w:r>
          </w:p>
          <w:p w14:paraId="6866D860" w14:textId="77777777" w:rsidR="0060580B" w:rsidRPr="0075770C" w:rsidRDefault="0060580B" w:rsidP="00955B46">
            <w:pPr>
              <w:jc w:val="center"/>
              <w:rPr>
                <w:lang w:val="en-GB"/>
              </w:rPr>
            </w:pPr>
          </w:p>
          <w:p w14:paraId="4C87B9CF" w14:textId="77777777" w:rsidR="0060580B" w:rsidRPr="0075770C" w:rsidRDefault="0060580B" w:rsidP="00955B46">
            <w:pPr>
              <w:jc w:val="center"/>
              <w:rPr>
                <w:lang w:val="en-GB"/>
              </w:rPr>
            </w:pPr>
          </w:p>
          <w:p w14:paraId="4F09AC1F" w14:textId="77777777" w:rsidR="0060580B" w:rsidRDefault="0060580B" w:rsidP="00955B46">
            <w:pPr>
              <w:jc w:val="center"/>
              <w:rPr>
                <w:lang w:val="en-GB"/>
              </w:rPr>
            </w:pPr>
            <w:r w:rsidRPr="0075770C">
              <w:rPr>
                <w:lang w:val="en-GB"/>
              </w:rPr>
              <w:t>-</w:t>
            </w:r>
          </w:p>
          <w:p w14:paraId="39D2D3DB" w14:textId="77777777" w:rsidR="00955B46" w:rsidRPr="0075770C" w:rsidRDefault="00955B46" w:rsidP="00955B46">
            <w:pPr>
              <w:jc w:val="center"/>
              <w:rPr>
                <w:lang w:val="en-GB"/>
              </w:rPr>
            </w:pPr>
          </w:p>
          <w:p w14:paraId="411D08F6" w14:textId="77777777" w:rsidR="0060580B" w:rsidRPr="0075770C" w:rsidRDefault="0060580B" w:rsidP="00955B46">
            <w:pPr>
              <w:jc w:val="center"/>
              <w:rPr>
                <w:lang w:val="en-GB"/>
              </w:rPr>
            </w:pPr>
          </w:p>
          <w:p w14:paraId="66406C0F" w14:textId="77777777" w:rsidR="0060580B" w:rsidRPr="0075770C" w:rsidRDefault="0060580B" w:rsidP="00955B46">
            <w:pPr>
              <w:jc w:val="center"/>
              <w:rPr>
                <w:lang w:val="en-GB"/>
              </w:rPr>
            </w:pPr>
            <w:r w:rsidRPr="0075770C">
              <w:rPr>
                <w:lang w:val="en-GB"/>
              </w:rPr>
              <w:t>73</w:t>
            </w:r>
          </w:p>
          <w:p w14:paraId="507E689E" w14:textId="77777777" w:rsidR="0060580B" w:rsidRPr="0075770C" w:rsidRDefault="0060580B" w:rsidP="00955B46">
            <w:pPr>
              <w:jc w:val="center"/>
              <w:rPr>
                <w:lang w:val="en-GB"/>
              </w:rPr>
            </w:pPr>
          </w:p>
          <w:p w14:paraId="1C806831" w14:textId="77777777" w:rsidR="0060580B" w:rsidRPr="0075770C" w:rsidRDefault="0060580B" w:rsidP="00955B46">
            <w:pPr>
              <w:jc w:val="center"/>
              <w:rPr>
                <w:lang w:val="en-GB"/>
              </w:rPr>
            </w:pPr>
          </w:p>
          <w:p w14:paraId="322D8A5C" w14:textId="77777777" w:rsidR="0060580B" w:rsidRPr="0075770C" w:rsidRDefault="0060580B" w:rsidP="00955B46">
            <w:pPr>
              <w:jc w:val="center"/>
              <w:rPr>
                <w:lang w:val="en-GB"/>
              </w:rPr>
            </w:pPr>
            <w:r w:rsidRPr="0075770C">
              <w:rPr>
                <w:lang w:val="en-GB"/>
              </w:rPr>
              <w:t>73</w:t>
            </w:r>
          </w:p>
          <w:p w14:paraId="1821C351" w14:textId="77777777" w:rsidR="0060580B" w:rsidRPr="0075770C" w:rsidRDefault="0060580B" w:rsidP="00955B46">
            <w:pPr>
              <w:jc w:val="center"/>
              <w:rPr>
                <w:lang w:val="en-GB"/>
              </w:rPr>
            </w:pPr>
          </w:p>
          <w:p w14:paraId="624EB05F" w14:textId="77777777" w:rsidR="0060580B" w:rsidRPr="0075770C" w:rsidRDefault="0060580B" w:rsidP="00955B46">
            <w:pPr>
              <w:jc w:val="center"/>
              <w:rPr>
                <w:lang w:val="en-GB"/>
              </w:rPr>
            </w:pPr>
          </w:p>
          <w:p w14:paraId="7FD12452" w14:textId="77777777" w:rsidR="0060580B" w:rsidRPr="0075770C" w:rsidRDefault="0060580B" w:rsidP="00955B46">
            <w:pPr>
              <w:jc w:val="center"/>
              <w:rPr>
                <w:lang w:val="en-GB"/>
              </w:rPr>
            </w:pPr>
          </w:p>
          <w:p w14:paraId="156B48A4" w14:textId="77777777" w:rsidR="0060580B" w:rsidRPr="0075770C" w:rsidRDefault="0060580B" w:rsidP="00955B46">
            <w:pPr>
              <w:jc w:val="center"/>
              <w:rPr>
                <w:lang w:val="en-GB"/>
              </w:rPr>
            </w:pPr>
            <w:r w:rsidRPr="0075770C">
              <w:rPr>
                <w:lang w:val="en-GB"/>
              </w:rPr>
              <w:t>-</w:t>
            </w:r>
          </w:p>
          <w:p w14:paraId="4FCE6FF4" w14:textId="77777777" w:rsidR="0060580B" w:rsidRPr="0075770C" w:rsidRDefault="0060580B" w:rsidP="00955B46">
            <w:pPr>
              <w:jc w:val="center"/>
              <w:rPr>
                <w:lang w:val="en-GB"/>
              </w:rPr>
            </w:pPr>
          </w:p>
          <w:p w14:paraId="3DA9BC35" w14:textId="77777777" w:rsidR="0060580B" w:rsidRPr="0075770C" w:rsidRDefault="0060580B" w:rsidP="00955B46">
            <w:pPr>
              <w:jc w:val="center"/>
              <w:rPr>
                <w:lang w:val="en-GB"/>
              </w:rPr>
            </w:pPr>
          </w:p>
          <w:p w14:paraId="39F1D663" w14:textId="33A60B8E" w:rsidR="0060580B" w:rsidRDefault="0060580B" w:rsidP="00955B46">
            <w:pPr>
              <w:jc w:val="center"/>
              <w:rPr>
                <w:i/>
                <w:lang w:val="en-GB"/>
              </w:rPr>
            </w:pPr>
            <w:r w:rsidRPr="0075770C">
              <w:rPr>
                <w:lang w:val="en-GB"/>
              </w:rPr>
              <w:t>-</w:t>
            </w:r>
          </w:p>
        </w:tc>
        <w:tc>
          <w:tcPr>
            <w:tcW w:w="993" w:type="dxa"/>
          </w:tcPr>
          <w:p w14:paraId="04161950" w14:textId="77777777" w:rsidR="0060580B" w:rsidRPr="0075770C" w:rsidRDefault="0060580B" w:rsidP="00955B46">
            <w:pPr>
              <w:jc w:val="center"/>
              <w:rPr>
                <w:lang w:val="en-GB"/>
              </w:rPr>
            </w:pPr>
            <w:r w:rsidRPr="0075770C">
              <w:rPr>
                <w:lang w:val="en-GB"/>
              </w:rPr>
              <w:t>26</w:t>
            </w:r>
          </w:p>
          <w:p w14:paraId="5ED5B38E" w14:textId="77777777" w:rsidR="0060580B" w:rsidRPr="0075770C" w:rsidRDefault="0060580B" w:rsidP="00955B46">
            <w:pPr>
              <w:jc w:val="center"/>
              <w:rPr>
                <w:lang w:val="en-GB"/>
              </w:rPr>
            </w:pPr>
          </w:p>
          <w:p w14:paraId="47562FD8" w14:textId="77777777" w:rsidR="0060580B" w:rsidRPr="0075770C" w:rsidRDefault="0060580B" w:rsidP="00955B46">
            <w:pPr>
              <w:jc w:val="center"/>
              <w:rPr>
                <w:lang w:val="en-GB"/>
              </w:rPr>
            </w:pPr>
          </w:p>
          <w:p w14:paraId="50764277" w14:textId="77777777" w:rsidR="0060580B" w:rsidRPr="0075770C" w:rsidRDefault="0060580B" w:rsidP="00955B46">
            <w:pPr>
              <w:jc w:val="center"/>
              <w:rPr>
                <w:lang w:val="en-GB"/>
              </w:rPr>
            </w:pPr>
            <w:r w:rsidRPr="0075770C">
              <w:rPr>
                <w:lang w:val="en-GB"/>
              </w:rPr>
              <w:t>-</w:t>
            </w:r>
          </w:p>
          <w:p w14:paraId="63E0B6A1" w14:textId="77777777" w:rsidR="0060580B" w:rsidRPr="0075770C" w:rsidRDefault="0060580B" w:rsidP="00955B46">
            <w:pPr>
              <w:jc w:val="center"/>
              <w:rPr>
                <w:lang w:val="en-GB"/>
              </w:rPr>
            </w:pPr>
          </w:p>
          <w:p w14:paraId="3ECB31CE" w14:textId="77777777" w:rsidR="0060580B" w:rsidRPr="0075770C" w:rsidRDefault="0060580B" w:rsidP="00955B46">
            <w:pPr>
              <w:jc w:val="center"/>
              <w:rPr>
                <w:lang w:val="en-GB"/>
              </w:rPr>
            </w:pPr>
          </w:p>
          <w:p w14:paraId="14427438" w14:textId="77777777" w:rsidR="0060580B" w:rsidRPr="0075770C" w:rsidRDefault="0060580B" w:rsidP="00955B46">
            <w:pPr>
              <w:jc w:val="center"/>
              <w:rPr>
                <w:lang w:val="en-GB"/>
              </w:rPr>
            </w:pPr>
            <w:r w:rsidRPr="0075770C">
              <w:rPr>
                <w:lang w:val="en-GB"/>
              </w:rPr>
              <w:t>-</w:t>
            </w:r>
          </w:p>
          <w:p w14:paraId="54714DA7" w14:textId="77777777" w:rsidR="0060580B" w:rsidRPr="0075770C" w:rsidRDefault="0060580B" w:rsidP="00955B46">
            <w:pPr>
              <w:jc w:val="center"/>
              <w:rPr>
                <w:lang w:val="en-GB"/>
              </w:rPr>
            </w:pPr>
          </w:p>
          <w:p w14:paraId="19BCDA2F" w14:textId="77777777" w:rsidR="0060580B" w:rsidRPr="0075770C" w:rsidRDefault="0060580B" w:rsidP="00955B46">
            <w:pPr>
              <w:jc w:val="center"/>
              <w:rPr>
                <w:lang w:val="en-GB"/>
              </w:rPr>
            </w:pPr>
          </w:p>
          <w:p w14:paraId="2A2806F6" w14:textId="77777777" w:rsidR="0060580B" w:rsidRPr="0075770C" w:rsidRDefault="0060580B" w:rsidP="00955B46">
            <w:pPr>
              <w:jc w:val="center"/>
              <w:rPr>
                <w:lang w:val="en-GB"/>
              </w:rPr>
            </w:pPr>
            <w:r w:rsidRPr="0075770C">
              <w:rPr>
                <w:lang w:val="en-GB"/>
              </w:rPr>
              <w:t>-</w:t>
            </w:r>
          </w:p>
          <w:p w14:paraId="5C9FDD1D" w14:textId="77777777" w:rsidR="0060580B" w:rsidRDefault="0060580B" w:rsidP="00955B46">
            <w:pPr>
              <w:jc w:val="center"/>
              <w:rPr>
                <w:lang w:val="en-GB"/>
              </w:rPr>
            </w:pPr>
          </w:p>
          <w:p w14:paraId="68164DC0" w14:textId="77777777" w:rsidR="00955B46" w:rsidRPr="0075770C" w:rsidRDefault="00955B46" w:rsidP="00955B46">
            <w:pPr>
              <w:jc w:val="center"/>
              <w:rPr>
                <w:lang w:val="en-GB"/>
              </w:rPr>
            </w:pPr>
          </w:p>
          <w:p w14:paraId="216DF84C" w14:textId="77777777" w:rsidR="0060580B" w:rsidRPr="0075770C" w:rsidRDefault="0060580B" w:rsidP="00955B46">
            <w:pPr>
              <w:jc w:val="center"/>
              <w:rPr>
                <w:lang w:val="en-GB"/>
              </w:rPr>
            </w:pPr>
            <w:r w:rsidRPr="0075770C">
              <w:rPr>
                <w:lang w:val="en-GB"/>
              </w:rPr>
              <w:t>27</w:t>
            </w:r>
          </w:p>
          <w:p w14:paraId="12DB47D1" w14:textId="77777777" w:rsidR="0060580B" w:rsidRPr="0075770C" w:rsidRDefault="0060580B" w:rsidP="00955B46">
            <w:pPr>
              <w:jc w:val="center"/>
              <w:rPr>
                <w:lang w:val="en-GB"/>
              </w:rPr>
            </w:pPr>
          </w:p>
          <w:p w14:paraId="015EC5FE" w14:textId="77777777" w:rsidR="0060580B" w:rsidRPr="0075770C" w:rsidRDefault="0060580B" w:rsidP="00955B46">
            <w:pPr>
              <w:jc w:val="center"/>
              <w:rPr>
                <w:lang w:val="en-GB"/>
              </w:rPr>
            </w:pPr>
          </w:p>
          <w:p w14:paraId="08BFB9F3" w14:textId="77777777" w:rsidR="0060580B" w:rsidRPr="0075770C" w:rsidRDefault="0060580B" w:rsidP="00955B46">
            <w:pPr>
              <w:jc w:val="center"/>
              <w:rPr>
                <w:lang w:val="en-GB"/>
              </w:rPr>
            </w:pPr>
            <w:r w:rsidRPr="0075770C">
              <w:rPr>
                <w:lang w:val="en-GB"/>
              </w:rPr>
              <w:t>27</w:t>
            </w:r>
          </w:p>
          <w:p w14:paraId="3E4D44EE" w14:textId="77777777" w:rsidR="0060580B" w:rsidRPr="0075770C" w:rsidRDefault="0060580B" w:rsidP="00955B46">
            <w:pPr>
              <w:jc w:val="center"/>
              <w:rPr>
                <w:lang w:val="en-GB"/>
              </w:rPr>
            </w:pPr>
          </w:p>
          <w:p w14:paraId="355A2FA6" w14:textId="77777777" w:rsidR="0060580B" w:rsidRPr="0075770C" w:rsidRDefault="0060580B" w:rsidP="00955B46">
            <w:pPr>
              <w:jc w:val="center"/>
              <w:rPr>
                <w:lang w:val="en-GB"/>
              </w:rPr>
            </w:pPr>
          </w:p>
          <w:p w14:paraId="5FE2B28B" w14:textId="77777777" w:rsidR="0060580B" w:rsidRPr="0075770C" w:rsidRDefault="0060580B" w:rsidP="00955B46">
            <w:pPr>
              <w:jc w:val="center"/>
              <w:rPr>
                <w:lang w:val="en-GB"/>
              </w:rPr>
            </w:pPr>
          </w:p>
          <w:p w14:paraId="16E86407" w14:textId="77777777" w:rsidR="0060580B" w:rsidRPr="0075770C" w:rsidRDefault="0060580B" w:rsidP="00955B46">
            <w:pPr>
              <w:jc w:val="center"/>
              <w:rPr>
                <w:lang w:val="en-GB"/>
              </w:rPr>
            </w:pPr>
            <w:r w:rsidRPr="0075770C">
              <w:rPr>
                <w:lang w:val="en-GB"/>
              </w:rPr>
              <w:t>-</w:t>
            </w:r>
          </w:p>
          <w:p w14:paraId="6C5218BD" w14:textId="77777777" w:rsidR="0060580B" w:rsidRPr="0075770C" w:rsidRDefault="0060580B" w:rsidP="00955B46">
            <w:pPr>
              <w:jc w:val="center"/>
              <w:rPr>
                <w:lang w:val="en-GB"/>
              </w:rPr>
            </w:pPr>
          </w:p>
          <w:p w14:paraId="248BED58" w14:textId="77777777" w:rsidR="0060580B" w:rsidRPr="0075770C" w:rsidRDefault="0060580B" w:rsidP="00955B46">
            <w:pPr>
              <w:jc w:val="center"/>
              <w:rPr>
                <w:lang w:val="en-GB"/>
              </w:rPr>
            </w:pPr>
          </w:p>
          <w:p w14:paraId="0DBA75D3" w14:textId="271D04FD" w:rsidR="0060580B" w:rsidRDefault="0060580B" w:rsidP="00955B46">
            <w:pPr>
              <w:jc w:val="center"/>
              <w:rPr>
                <w:i/>
                <w:lang w:val="en-GB"/>
              </w:rPr>
            </w:pPr>
            <w:r w:rsidRPr="0075770C">
              <w:rPr>
                <w:lang w:val="en-GB"/>
              </w:rPr>
              <w:t>-</w:t>
            </w:r>
          </w:p>
        </w:tc>
        <w:tc>
          <w:tcPr>
            <w:tcW w:w="850" w:type="dxa"/>
          </w:tcPr>
          <w:p w14:paraId="1F552458" w14:textId="77777777" w:rsidR="0060580B" w:rsidRPr="0075770C" w:rsidRDefault="0060580B" w:rsidP="00955B46">
            <w:pPr>
              <w:jc w:val="center"/>
              <w:rPr>
                <w:lang w:val="en-GB"/>
              </w:rPr>
            </w:pPr>
            <w:r w:rsidRPr="0075770C">
              <w:rPr>
                <w:lang w:val="en-GB"/>
              </w:rPr>
              <w:t>74</w:t>
            </w:r>
          </w:p>
          <w:p w14:paraId="206013EB" w14:textId="77777777" w:rsidR="0060580B" w:rsidRPr="0075770C" w:rsidRDefault="0060580B" w:rsidP="00955B46">
            <w:pPr>
              <w:jc w:val="center"/>
              <w:rPr>
                <w:lang w:val="en-GB"/>
              </w:rPr>
            </w:pPr>
          </w:p>
          <w:p w14:paraId="20E8F0F2" w14:textId="77777777" w:rsidR="0060580B" w:rsidRPr="0075770C" w:rsidRDefault="0060580B" w:rsidP="00955B46">
            <w:pPr>
              <w:jc w:val="center"/>
              <w:rPr>
                <w:lang w:val="en-GB"/>
              </w:rPr>
            </w:pPr>
          </w:p>
          <w:p w14:paraId="23702DD6" w14:textId="77777777" w:rsidR="0060580B" w:rsidRPr="0075770C" w:rsidRDefault="0060580B" w:rsidP="00955B46">
            <w:pPr>
              <w:jc w:val="center"/>
              <w:rPr>
                <w:lang w:val="en-GB"/>
              </w:rPr>
            </w:pPr>
            <w:r w:rsidRPr="0075770C">
              <w:rPr>
                <w:lang w:val="en-GB"/>
              </w:rPr>
              <w:t>-</w:t>
            </w:r>
          </w:p>
          <w:p w14:paraId="219B2DE1" w14:textId="77777777" w:rsidR="0060580B" w:rsidRPr="0075770C" w:rsidRDefault="0060580B" w:rsidP="00955B46">
            <w:pPr>
              <w:jc w:val="center"/>
              <w:rPr>
                <w:lang w:val="en-GB"/>
              </w:rPr>
            </w:pPr>
          </w:p>
          <w:p w14:paraId="593BE0FC" w14:textId="77777777" w:rsidR="0060580B" w:rsidRPr="0075770C" w:rsidRDefault="0060580B" w:rsidP="00955B46">
            <w:pPr>
              <w:jc w:val="center"/>
              <w:rPr>
                <w:lang w:val="en-GB"/>
              </w:rPr>
            </w:pPr>
          </w:p>
          <w:p w14:paraId="693311FD" w14:textId="77777777" w:rsidR="0060580B" w:rsidRPr="0075770C" w:rsidRDefault="0060580B" w:rsidP="00955B46">
            <w:pPr>
              <w:jc w:val="center"/>
              <w:rPr>
                <w:lang w:val="en-GB"/>
              </w:rPr>
            </w:pPr>
            <w:r w:rsidRPr="0075770C">
              <w:rPr>
                <w:lang w:val="en-GB"/>
              </w:rPr>
              <w:t>-</w:t>
            </w:r>
          </w:p>
          <w:p w14:paraId="67460D12" w14:textId="77777777" w:rsidR="0060580B" w:rsidRPr="0075770C" w:rsidRDefault="0060580B" w:rsidP="00955B46">
            <w:pPr>
              <w:jc w:val="center"/>
              <w:rPr>
                <w:lang w:val="en-GB"/>
              </w:rPr>
            </w:pPr>
          </w:p>
          <w:p w14:paraId="0570568A" w14:textId="77777777" w:rsidR="0060580B" w:rsidRPr="0075770C" w:rsidRDefault="0060580B" w:rsidP="00955B46">
            <w:pPr>
              <w:jc w:val="center"/>
              <w:rPr>
                <w:lang w:val="en-GB"/>
              </w:rPr>
            </w:pPr>
          </w:p>
          <w:p w14:paraId="55C91CED" w14:textId="3AB1ACBF" w:rsidR="0060580B" w:rsidRDefault="0060580B" w:rsidP="00955B46">
            <w:pPr>
              <w:jc w:val="center"/>
              <w:rPr>
                <w:lang w:val="en-GB"/>
              </w:rPr>
            </w:pPr>
            <w:r w:rsidRPr="0075770C">
              <w:rPr>
                <w:lang w:val="en-GB"/>
              </w:rPr>
              <w:t>76</w:t>
            </w:r>
          </w:p>
          <w:p w14:paraId="4D3CE7BD" w14:textId="77777777" w:rsidR="00955B46" w:rsidRDefault="00955B46" w:rsidP="00955B46">
            <w:pPr>
              <w:jc w:val="center"/>
              <w:rPr>
                <w:lang w:val="en-GB"/>
              </w:rPr>
            </w:pPr>
          </w:p>
          <w:p w14:paraId="34931B06" w14:textId="77777777" w:rsidR="00955B46" w:rsidRPr="0075770C" w:rsidRDefault="00955B46" w:rsidP="00955B46">
            <w:pPr>
              <w:jc w:val="center"/>
              <w:rPr>
                <w:lang w:val="en-GB"/>
              </w:rPr>
            </w:pPr>
          </w:p>
          <w:p w14:paraId="65A74561" w14:textId="77777777" w:rsidR="0060580B" w:rsidRPr="0075770C" w:rsidRDefault="0060580B" w:rsidP="00955B46">
            <w:pPr>
              <w:jc w:val="center"/>
              <w:rPr>
                <w:lang w:val="en-GB"/>
              </w:rPr>
            </w:pPr>
            <w:r w:rsidRPr="0075770C">
              <w:rPr>
                <w:lang w:val="en-GB"/>
              </w:rPr>
              <w:t>70</w:t>
            </w:r>
          </w:p>
          <w:p w14:paraId="5D1D8216" w14:textId="77777777" w:rsidR="0060580B" w:rsidRPr="0075770C" w:rsidRDefault="0060580B" w:rsidP="00955B46">
            <w:pPr>
              <w:jc w:val="center"/>
              <w:rPr>
                <w:lang w:val="en-GB"/>
              </w:rPr>
            </w:pPr>
          </w:p>
          <w:p w14:paraId="50147CC1" w14:textId="77777777" w:rsidR="0060580B" w:rsidRPr="0075770C" w:rsidRDefault="0060580B" w:rsidP="00955B46">
            <w:pPr>
              <w:jc w:val="center"/>
              <w:rPr>
                <w:lang w:val="en-GB"/>
              </w:rPr>
            </w:pPr>
          </w:p>
          <w:p w14:paraId="2FAAB5E9" w14:textId="77777777" w:rsidR="0060580B" w:rsidRPr="0075770C" w:rsidRDefault="0060580B" w:rsidP="00955B46">
            <w:pPr>
              <w:jc w:val="center"/>
              <w:rPr>
                <w:lang w:val="en-GB"/>
              </w:rPr>
            </w:pPr>
            <w:r w:rsidRPr="0075770C">
              <w:rPr>
                <w:lang w:val="en-GB"/>
              </w:rPr>
              <w:t>67</w:t>
            </w:r>
          </w:p>
          <w:p w14:paraId="43117107" w14:textId="77777777" w:rsidR="0060580B" w:rsidRPr="0075770C" w:rsidRDefault="0060580B" w:rsidP="00955B46">
            <w:pPr>
              <w:jc w:val="center"/>
              <w:rPr>
                <w:lang w:val="en-GB"/>
              </w:rPr>
            </w:pPr>
          </w:p>
          <w:p w14:paraId="0F29FB07" w14:textId="77777777" w:rsidR="0060580B" w:rsidRPr="0075770C" w:rsidRDefault="0060580B" w:rsidP="00955B46">
            <w:pPr>
              <w:jc w:val="center"/>
              <w:rPr>
                <w:lang w:val="en-GB"/>
              </w:rPr>
            </w:pPr>
          </w:p>
          <w:p w14:paraId="588FFB15" w14:textId="77777777" w:rsidR="0060580B" w:rsidRPr="0075770C" w:rsidRDefault="0060580B" w:rsidP="00955B46">
            <w:pPr>
              <w:jc w:val="center"/>
              <w:rPr>
                <w:lang w:val="en-GB"/>
              </w:rPr>
            </w:pPr>
          </w:p>
          <w:p w14:paraId="26A02FAB" w14:textId="77777777" w:rsidR="0060580B" w:rsidRPr="0075770C" w:rsidRDefault="0060580B" w:rsidP="00955B46">
            <w:pPr>
              <w:jc w:val="center"/>
              <w:rPr>
                <w:lang w:val="en-GB"/>
              </w:rPr>
            </w:pPr>
            <w:r w:rsidRPr="0075770C">
              <w:rPr>
                <w:lang w:val="en-GB"/>
              </w:rPr>
              <w:t>-</w:t>
            </w:r>
          </w:p>
          <w:p w14:paraId="6A518132" w14:textId="77777777" w:rsidR="0060580B" w:rsidRPr="0075770C" w:rsidRDefault="0060580B" w:rsidP="00955B46">
            <w:pPr>
              <w:jc w:val="center"/>
              <w:rPr>
                <w:lang w:val="en-GB"/>
              </w:rPr>
            </w:pPr>
          </w:p>
          <w:p w14:paraId="53D63F58" w14:textId="77777777" w:rsidR="0060580B" w:rsidRPr="0075770C" w:rsidRDefault="0060580B" w:rsidP="00955B46">
            <w:pPr>
              <w:jc w:val="center"/>
              <w:rPr>
                <w:lang w:val="en-GB"/>
              </w:rPr>
            </w:pPr>
          </w:p>
          <w:p w14:paraId="4546DBAB" w14:textId="5D48E730" w:rsidR="0060580B" w:rsidRDefault="0060580B" w:rsidP="00955B46">
            <w:pPr>
              <w:jc w:val="center"/>
              <w:rPr>
                <w:i/>
                <w:lang w:val="en-GB"/>
              </w:rPr>
            </w:pPr>
            <w:r w:rsidRPr="0075770C">
              <w:rPr>
                <w:lang w:val="en-GB"/>
              </w:rPr>
              <w:t>-</w:t>
            </w:r>
          </w:p>
        </w:tc>
        <w:tc>
          <w:tcPr>
            <w:tcW w:w="851" w:type="dxa"/>
          </w:tcPr>
          <w:p w14:paraId="50D9FC92" w14:textId="77777777" w:rsidR="0060580B" w:rsidRPr="0075770C" w:rsidRDefault="0060580B" w:rsidP="00955B46">
            <w:pPr>
              <w:jc w:val="center"/>
              <w:rPr>
                <w:lang w:val="en-GB"/>
              </w:rPr>
            </w:pPr>
            <w:r w:rsidRPr="0075770C">
              <w:rPr>
                <w:lang w:val="en-GB"/>
              </w:rPr>
              <w:t>26</w:t>
            </w:r>
          </w:p>
          <w:p w14:paraId="55BB489A" w14:textId="77777777" w:rsidR="0060580B" w:rsidRPr="0075770C" w:rsidRDefault="0060580B" w:rsidP="00955B46">
            <w:pPr>
              <w:jc w:val="center"/>
              <w:rPr>
                <w:lang w:val="en-GB"/>
              </w:rPr>
            </w:pPr>
          </w:p>
          <w:p w14:paraId="0CDD1470" w14:textId="77777777" w:rsidR="0060580B" w:rsidRPr="0075770C" w:rsidRDefault="0060580B" w:rsidP="00955B46">
            <w:pPr>
              <w:jc w:val="center"/>
              <w:rPr>
                <w:lang w:val="en-GB"/>
              </w:rPr>
            </w:pPr>
          </w:p>
          <w:p w14:paraId="1865D406" w14:textId="77777777" w:rsidR="0060580B" w:rsidRPr="0075770C" w:rsidRDefault="0060580B" w:rsidP="00955B46">
            <w:pPr>
              <w:jc w:val="center"/>
              <w:rPr>
                <w:lang w:val="en-GB"/>
              </w:rPr>
            </w:pPr>
            <w:r w:rsidRPr="0075770C">
              <w:rPr>
                <w:lang w:val="en-GB"/>
              </w:rPr>
              <w:t>-</w:t>
            </w:r>
          </w:p>
          <w:p w14:paraId="15839AA9" w14:textId="77777777" w:rsidR="0060580B" w:rsidRPr="0075770C" w:rsidRDefault="0060580B" w:rsidP="00955B46">
            <w:pPr>
              <w:jc w:val="center"/>
              <w:rPr>
                <w:lang w:val="en-GB"/>
              </w:rPr>
            </w:pPr>
          </w:p>
          <w:p w14:paraId="74D10CE0" w14:textId="77777777" w:rsidR="0060580B" w:rsidRPr="0075770C" w:rsidRDefault="0060580B" w:rsidP="00955B46">
            <w:pPr>
              <w:jc w:val="center"/>
              <w:rPr>
                <w:lang w:val="en-GB"/>
              </w:rPr>
            </w:pPr>
          </w:p>
          <w:p w14:paraId="12E7D228" w14:textId="77777777" w:rsidR="0060580B" w:rsidRPr="0075770C" w:rsidRDefault="0060580B" w:rsidP="00955B46">
            <w:pPr>
              <w:jc w:val="center"/>
              <w:rPr>
                <w:lang w:val="en-GB"/>
              </w:rPr>
            </w:pPr>
            <w:r w:rsidRPr="0075770C">
              <w:rPr>
                <w:lang w:val="en-GB"/>
              </w:rPr>
              <w:t>-</w:t>
            </w:r>
          </w:p>
          <w:p w14:paraId="627607D8" w14:textId="77777777" w:rsidR="0060580B" w:rsidRPr="0075770C" w:rsidRDefault="0060580B" w:rsidP="00955B46">
            <w:pPr>
              <w:jc w:val="center"/>
              <w:rPr>
                <w:lang w:val="en-GB"/>
              </w:rPr>
            </w:pPr>
          </w:p>
          <w:p w14:paraId="6517D5F7" w14:textId="77777777" w:rsidR="0060580B" w:rsidRPr="0075770C" w:rsidRDefault="0060580B" w:rsidP="00955B46">
            <w:pPr>
              <w:jc w:val="center"/>
              <w:rPr>
                <w:lang w:val="en-GB"/>
              </w:rPr>
            </w:pPr>
          </w:p>
          <w:p w14:paraId="461C37AD" w14:textId="77777777" w:rsidR="0060580B" w:rsidRPr="0075770C" w:rsidRDefault="0060580B" w:rsidP="00955B46">
            <w:pPr>
              <w:jc w:val="center"/>
              <w:rPr>
                <w:lang w:val="en-GB"/>
              </w:rPr>
            </w:pPr>
            <w:r w:rsidRPr="0075770C">
              <w:rPr>
                <w:lang w:val="en-GB"/>
              </w:rPr>
              <w:t>24</w:t>
            </w:r>
          </w:p>
          <w:p w14:paraId="4390C6A2" w14:textId="77777777" w:rsidR="0060580B" w:rsidRDefault="0060580B" w:rsidP="00955B46">
            <w:pPr>
              <w:jc w:val="center"/>
              <w:rPr>
                <w:lang w:val="en-GB"/>
              </w:rPr>
            </w:pPr>
          </w:p>
          <w:p w14:paraId="0A807519" w14:textId="77777777" w:rsidR="00955B46" w:rsidRPr="0075770C" w:rsidRDefault="00955B46" w:rsidP="00955B46">
            <w:pPr>
              <w:jc w:val="center"/>
              <w:rPr>
                <w:lang w:val="en-GB"/>
              </w:rPr>
            </w:pPr>
          </w:p>
          <w:p w14:paraId="21F2DCD9" w14:textId="77777777" w:rsidR="0060580B" w:rsidRPr="0075770C" w:rsidRDefault="0060580B" w:rsidP="00955B46">
            <w:pPr>
              <w:jc w:val="center"/>
              <w:rPr>
                <w:lang w:val="en-GB"/>
              </w:rPr>
            </w:pPr>
            <w:r w:rsidRPr="0075770C">
              <w:rPr>
                <w:lang w:val="en-GB"/>
              </w:rPr>
              <w:t>30</w:t>
            </w:r>
          </w:p>
          <w:p w14:paraId="7D0F316B" w14:textId="77777777" w:rsidR="0060580B" w:rsidRPr="0075770C" w:rsidRDefault="0060580B" w:rsidP="00955B46">
            <w:pPr>
              <w:jc w:val="center"/>
              <w:rPr>
                <w:lang w:val="en-GB"/>
              </w:rPr>
            </w:pPr>
          </w:p>
          <w:p w14:paraId="4AE7C5BD" w14:textId="77777777" w:rsidR="0060580B" w:rsidRPr="0075770C" w:rsidRDefault="0060580B" w:rsidP="00955B46">
            <w:pPr>
              <w:jc w:val="center"/>
              <w:rPr>
                <w:lang w:val="en-GB"/>
              </w:rPr>
            </w:pPr>
          </w:p>
          <w:p w14:paraId="7E215C7F" w14:textId="77777777" w:rsidR="0060580B" w:rsidRPr="0075770C" w:rsidRDefault="0060580B" w:rsidP="00955B46">
            <w:pPr>
              <w:jc w:val="center"/>
              <w:rPr>
                <w:lang w:val="en-GB"/>
              </w:rPr>
            </w:pPr>
            <w:r w:rsidRPr="0075770C">
              <w:rPr>
                <w:lang w:val="en-GB"/>
              </w:rPr>
              <w:t>33</w:t>
            </w:r>
          </w:p>
          <w:p w14:paraId="60E65FA8" w14:textId="77777777" w:rsidR="0060580B" w:rsidRPr="0075770C" w:rsidRDefault="0060580B" w:rsidP="00955B46">
            <w:pPr>
              <w:jc w:val="center"/>
              <w:rPr>
                <w:lang w:val="en-GB"/>
              </w:rPr>
            </w:pPr>
          </w:p>
          <w:p w14:paraId="00F0A30D" w14:textId="77777777" w:rsidR="0060580B" w:rsidRPr="0075770C" w:rsidRDefault="0060580B" w:rsidP="00955B46">
            <w:pPr>
              <w:jc w:val="center"/>
              <w:rPr>
                <w:lang w:val="en-GB"/>
              </w:rPr>
            </w:pPr>
          </w:p>
          <w:p w14:paraId="2AABD63B" w14:textId="77777777" w:rsidR="0060580B" w:rsidRPr="0075770C" w:rsidRDefault="0060580B" w:rsidP="00955B46">
            <w:pPr>
              <w:jc w:val="center"/>
              <w:rPr>
                <w:lang w:val="en-GB"/>
              </w:rPr>
            </w:pPr>
          </w:p>
          <w:p w14:paraId="1D466B3B" w14:textId="77777777" w:rsidR="0060580B" w:rsidRPr="0075770C" w:rsidRDefault="0060580B" w:rsidP="00955B46">
            <w:pPr>
              <w:jc w:val="center"/>
              <w:rPr>
                <w:lang w:val="en-GB"/>
              </w:rPr>
            </w:pPr>
            <w:r w:rsidRPr="0075770C">
              <w:rPr>
                <w:lang w:val="en-GB"/>
              </w:rPr>
              <w:t>-</w:t>
            </w:r>
          </w:p>
          <w:p w14:paraId="318C7496" w14:textId="77777777" w:rsidR="0060580B" w:rsidRPr="0075770C" w:rsidRDefault="0060580B" w:rsidP="00955B46">
            <w:pPr>
              <w:jc w:val="center"/>
              <w:rPr>
                <w:lang w:val="en-GB"/>
              </w:rPr>
            </w:pPr>
          </w:p>
          <w:p w14:paraId="74617EE2" w14:textId="77777777" w:rsidR="0060580B" w:rsidRPr="0075770C" w:rsidRDefault="0060580B" w:rsidP="00955B46">
            <w:pPr>
              <w:jc w:val="center"/>
              <w:rPr>
                <w:lang w:val="en-GB"/>
              </w:rPr>
            </w:pPr>
          </w:p>
          <w:p w14:paraId="4A661BEB" w14:textId="5B4DAB3C" w:rsidR="0060580B" w:rsidRDefault="0060580B" w:rsidP="00955B46">
            <w:pPr>
              <w:jc w:val="center"/>
              <w:rPr>
                <w:i/>
                <w:lang w:val="en-GB"/>
              </w:rPr>
            </w:pPr>
            <w:r w:rsidRPr="0075770C">
              <w:rPr>
                <w:lang w:val="en-GB"/>
              </w:rPr>
              <w:t>-</w:t>
            </w:r>
          </w:p>
        </w:tc>
        <w:tc>
          <w:tcPr>
            <w:tcW w:w="850" w:type="dxa"/>
          </w:tcPr>
          <w:p w14:paraId="4DAEFA15" w14:textId="77777777" w:rsidR="0060580B" w:rsidRPr="0075770C" w:rsidRDefault="0060580B" w:rsidP="00955B46">
            <w:pPr>
              <w:jc w:val="center"/>
              <w:rPr>
                <w:lang w:val="en-GB"/>
              </w:rPr>
            </w:pPr>
            <w:r w:rsidRPr="0075770C">
              <w:rPr>
                <w:lang w:val="en-GB"/>
              </w:rPr>
              <w:t>76</w:t>
            </w:r>
          </w:p>
          <w:p w14:paraId="4CBCD6F0" w14:textId="77777777" w:rsidR="0060580B" w:rsidRPr="0075770C" w:rsidRDefault="0060580B" w:rsidP="00955B46">
            <w:pPr>
              <w:jc w:val="center"/>
              <w:rPr>
                <w:lang w:val="en-GB"/>
              </w:rPr>
            </w:pPr>
          </w:p>
          <w:p w14:paraId="038E90D4" w14:textId="77777777" w:rsidR="0060580B" w:rsidRPr="0075770C" w:rsidRDefault="0060580B" w:rsidP="00955B46">
            <w:pPr>
              <w:jc w:val="center"/>
              <w:rPr>
                <w:lang w:val="en-GB"/>
              </w:rPr>
            </w:pPr>
          </w:p>
          <w:p w14:paraId="0F56CE1D" w14:textId="77777777" w:rsidR="0060580B" w:rsidRPr="0075770C" w:rsidRDefault="0060580B" w:rsidP="00955B46">
            <w:pPr>
              <w:jc w:val="center"/>
              <w:rPr>
                <w:lang w:val="en-GB"/>
              </w:rPr>
            </w:pPr>
            <w:r w:rsidRPr="0075770C">
              <w:rPr>
                <w:lang w:val="en-GB"/>
              </w:rPr>
              <w:t>85</w:t>
            </w:r>
          </w:p>
          <w:p w14:paraId="102DF1C0" w14:textId="77777777" w:rsidR="0060580B" w:rsidRPr="0075770C" w:rsidRDefault="0060580B" w:rsidP="00955B46">
            <w:pPr>
              <w:jc w:val="center"/>
              <w:rPr>
                <w:lang w:val="en-GB"/>
              </w:rPr>
            </w:pPr>
          </w:p>
          <w:p w14:paraId="4DA0039A" w14:textId="77777777" w:rsidR="0060580B" w:rsidRPr="0075770C" w:rsidRDefault="0060580B" w:rsidP="00955B46">
            <w:pPr>
              <w:jc w:val="center"/>
              <w:rPr>
                <w:lang w:val="en-GB"/>
              </w:rPr>
            </w:pPr>
          </w:p>
          <w:p w14:paraId="0EB71546" w14:textId="77777777" w:rsidR="0060580B" w:rsidRPr="0075770C" w:rsidRDefault="0060580B" w:rsidP="00955B46">
            <w:pPr>
              <w:jc w:val="center"/>
              <w:rPr>
                <w:lang w:val="en-GB"/>
              </w:rPr>
            </w:pPr>
            <w:r w:rsidRPr="0075770C">
              <w:rPr>
                <w:lang w:val="en-GB"/>
              </w:rPr>
              <w:t>89</w:t>
            </w:r>
          </w:p>
          <w:p w14:paraId="20B7C83E" w14:textId="77777777" w:rsidR="0060580B" w:rsidRPr="0075770C" w:rsidRDefault="0060580B" w:rsidP="00955B46">
            <w:pPr>
              <w:jc w:val="center"/>
              <w:rPr>
                <w:lang w:val="en-GB"/>
              </w:rPr>
            </w:pPr>
          </w:p>
          <w:p w14:paraId="4589B3A3" w14:textId="77777777" w:rsidR="0060580B" w:rsidRPr="0075770C" w:rsidRDefault="0060580B" w:rsidP="00955B46">
            <w:pPr>
              <w:jc w:val="center"/>
              <w:rPr>
                <w:lang w:val="en-GB"/>
              </w:rPr>
            </w:pPr>
          </w:p>
          <w:p w14:paraId="4E852AF9" w14:textId="77777777" w:rsidR="0060580B" w:rsidRDefault="0060580B" w:rsidP="00955B46">
            <w:pPr>
              <w:jc w:val="center"/>
              <w:rPr>
                <w:lang w:val="en-GB"/>
              </w:rPr>
            </w:pPr>
            <w:r w:rsidRPr="0075770C">
              <w:rPr>
                <w:lang w:val="en-GB"/>
              </w:rPr>
              <w:t>79</w:t>
            </w:r>
          </w:p>
          <w:p w14:paraId="7D18F13B" w14:textId="77777777" w:rsidR="00955B46" w:rsidRPr="0075770C" w:rsidRDefault="00955B46" w:rsidP="00955B46">
            <w:pPr>
              <w:jc w:val="center"/>
              <w:rPr>
                <w:lang w:val="en-GB"/>
              </w:rPr>
            </w:pPr>
          </w:p>
          <w:p w14:paraId="65CE7E80" w14:textId="77777777" w:rsidR="0060580B" w:rsidRPr="0075770C" w:rsidRDefault="0060580B" w:rsidP="00955B46">
            <w:pPr>
              <w:jc w:val="center"/>
              <w:rPr>
                <w:lang w:val="en-GB"/>
              </w:rPr>
            </w:pPr>
          </w:p>
          <w:p w14:paraId="206633FB" w14:textId="77777777" w:rsidR="0060580B" w:rsidRPr="0075770C" w:rsidRDefault="0060580B" w:rsidP="00955B46">
            <w:pPr>
              <w:jc w:val="center"/>
              <w:rPr>
                <w:lang w:val="en-GB"/>
              </w:rPr>
            </w:pPr>
            <w:r w:rsidRPr="0075770C">
              <w:rPr>
                <w:lang w:val="en-GB"/>
              </w:rPr>
              <w:t>74</w:t>
            </w:r>
          </w:p>
          <w:p w14:paraId="0BE4DA5C" w14:textId="77777777" w:rsidR="0060580B" w:rsidRPr="0075770C" w:rsidRDefault="0060580B" w:rsidP="00955B46">
            <w:pPr>
              <w:jc w:val="center"/>
              <w:rPr>
                <w:lang w:val="en-GB"/>
              </w:rPr>
            </w:pPr>
          </w:p>
          <w:p w14:paraId="6599BB69" w14:textId="77777777" w:rsidR="0060580B" w:rsidRPr="0075770C" w:rsidRDefault="0060580B" w:rsidP="00955B46">
            <w:pPr>
              <w:jc w:val="center"/>
              <w:rPr>
                <w:lang w:val="en-GB"/>
              </w:rPr>
            </w:pPr>
          </w:p>
          <w:p w14:paraId="7D27C132" w14:textId="77777777" w:rsidR="0060580B" w:rsidRPr="0075770C" w:rsidRDefault="0060580B" w:rsidP="00955B46">
            <w:pPr>
              <w:jc w:val="center"/>
              <w:rPr>
                <w:lang w:val="en-GB"/>
              </w:rPr>
            </w:pPr>
            <w:r w:rsidRPr="0075770C">
              <w:rPr>
                <w:lang w:val="en-GB"/>
              </w:rPr>
              <w:t>73</w:t>
            </w:r>
          </w:p>
          <w:p w14:paraId="792BA7F3" w14:textId="77777777" w:rsidR="0060580B" w:rsidRPr="0075770C" w:rsidRDefault="0060580B" w:rsidP="00955B46">
            <w:pPr>
              <w:jc w:val="center"/>
              <w:rPr>
                <w:lang w:val="en-GB"/>
              </w:rPr>
            </w:pPr>
          </w:p>
          <w:p w14:paraId="1AD7212C" w14:textId="77777777" w:rsidR="0060580B" w:rsidRPr="0075770C" w:rsidRDefault="0060580B" w:rsidP="00955B46">
            <w:pPr>
              <w:jc w:val="center"/>
              <w:rPr>
                <w:lang w:val="en-GB"/>
              </w:rPr>
            </w:pPr>
          </w:p>
          <w:p w14:paraId="4A204D41" w14:textId="77777777" w:rsidR="0060580B" w:rsidRPr="0075770C" w:rsidRDefault="0060580B" w:rsidP="00955B46">
            <w:pPr>
              <w:jc w:val="center"/>
              <w:rPr>
                <w:lang w:val="en-GB"/>
              </w:rPr>
            </w:pPr>
          </w:p>
          <w:p w14:paraId="5440A043" w14:textId="77777777" w:rsidR="0060580B" w:rsidRPr="0075770C" w:rsidRDefault="0060580B" w:rsidP="00955B46">
            <w:pPr>
              <w:jc w:val="center"/>
              <w:rPr>
                <w:lang w:val="en-GB"/>
              </w:rPr>
            </w:pPr>
            <w:r w:rsidRPr="0075770C">
              <w:rPr>
                <w:lang w:val="en-GB"/>
              </w:rPr>
              <w:t>78</w:t>
            </w:r>
          </w:p>
          <w:p w14:paraId="4E510886" w14:textId="77777777" w:rsidR="0060580B" w:rsidRPr="0075770C" w:rsidRDefault="0060580B" w:rsidP="00955B46">
            <w:pPr>
              <w:jc w:val="center"/>
              <w:rPr>
                <w:lang w:val="en-GB"/>
              </w:rPr>
            </w:pPr>
          </w:p>
          <w:p w14:paraId="15C0E2E3" w14:textId="77777777" w:rsidR="0060580B" w:rsidRPr="0075770C" w:rsidRDefault="0060580B" w:rsidP="00955B46">
            <w:pPr>
              <w:jc w:val="center"/>
              <w:rPr>
                <w:lang w:val="en-GB"/>
              </w:rPr>
            </w:pPr>
          </w:p>
          <w:p w14:paraId="4A49D652" w14:textId="23CCC8A7" w:rsidR="0060580B" w:rsidRDefault="0060580B" w:rsidP="00955B46">
            <w:pPr>
              <w:jc w:val="center"/>
              <w:rPr>
                <w:i/>
                <w:lang w:val="en-GB"/>
              </w:rPr>
            </w:pPr>
            <w:r w:rsidRPr="0075770C">
              <w:rPr>
                <w:lang w:val="en-GB"/>
              </w:rPr>
              <w:t>65</w:t>
            </w:r>
          </w:p>
        </w:tc>
        <w:tc>
          <w:tcPr>
            <w:tcW w:w="851" w:type="dxa"/>
          </w:tcPr>
          <w:p w14:paraId="023A6C43" w14:textId="77777777" w:rsidR="0060580B" w:rsidRPr="0075770C" w:rsidRDefault="0060580B" w:rsidP="00955B46">
            <w:pPr>
              <w:jc w:val="center"/>
              <w:rPr>
                <w:lang w:val="en-GB"/>
              </w:rPr>
            </w:pPr>
            <w:r w:rsidRPr="0075770C">
              <w:rPr>
                <w:lang w:val="en-GB"/>
              </w:rPr>
              <w:t>24</w:t>
            </w:r>
          </w:p>
          <w:p w14:paraId="165805A8" w14:textId="77777777" w:rsidR="0060580B" w:rsidRPr="0075770C" w:rsidRDefault="0060580B" w:rsidP="00955B46">
            <w:pPr>
              <w:jc w:val="center"/>
              <w:rPr>
                <w:lang w:val="en-GB"/>
              </w:rPr>
            </w:pPr>
          </w:p>
          <w:p w14:paraId="49DDC42B" w14:textId="77777777" w:rsidR="0060580B" w:rsidRPr="0075770C" w:rsidRDefault="0060580B" w:rsidP="00955B46">
            <w:pPr>
              <w:jc w:val="center"/>
              <w:rPr>
                <w:lang w:val="en-GB"/>
              </w:rPr>
            </w:pPr>
          </w:p>
          <w:p w14:paraId="5BBB70B3" w14:textId="77777777" w:rsidR="0060580B" w:rsidRPr="0075770C" w:rsidRDefault="0060580B" w:rsidP="00955B46">
            <w:pPr>
              <w:jc w:val="center"/>
              <w:rPr>
                <w:lang w:val="en-GB"/>
              </w:rPr>
            </w:pPr>
            <w:r w:rsidRPr="0075770C">
              <w:rPr>
                <w:lang w:val="en-GB"/>
              </w:rPr>
              <w:t>15</w:t>
            </w:r>
          </w:p>
          <w:p w14:paraId="40DF5D04" w14:textId="77777777" w:rsidR="0060580B" w:rsidRPr="0075770C" w:rsidRDefault="0060580B" w:rsidP="00955B46">
            <w:pPr>
              <w:jc w:val="center"/>
              <w:rPr>
                <w:lang w:val="en-GB"/>
              </w:rPr>
            </w:pPr>
          </w:p>
          <w:p w14:paraId="54004210" w14:textId="77777777" w:rsidR="0060580B" w:rsidRPr="0075770C" w:rsidRDefault="0060580B" w:rsidP="00955B46">
            <w:pPr>
              <w:jc w:val="center"/>
              <w:rPr>
                <w:lang w:val="en-GB"/>
              </w:rPr>
            </w:pPr>
          </w:p>
          <w:p w14:paraId="28F330F6" w14:textId="77777777" w:rsidR="0060580B" w:rsidRPr="0075770C" w:rsidRDefault="0060580B" w:rsidP="00955B46">
            <w:pPr>
              <w:jc w:val="center"/>
              <w:rPr>
                <w:lang w:val="en-GB"/>
              </w:rPr>
            </w:pPr>
            <w:r w:rsidRPr="0075770C">
              <w:rPr>
                <w:lang w:val="en-GB"/>
              </w:rPr>
              <w:t>11</w:t>
            </w:r>
          </w:p>
          <w:p w14:paraId="14AA1C58" w14:textId="77777777" w:rsidR="0060580B" w:rsidRPr="0075770C" w:rsidRDefault="0060580B" w:rsidP="00955B46">
            <w:pPr>
              <w:jc w:val="center"/>
              <w:rPr>
                <w:lang w:val="en-GB"/>
              </w:rPr>
            </w:pPr>
          </w:p>
          <w:p w14:paraId="5D0E20AD" w14:textId="77777777" w:rsidR="0060580B" w:rsidRPr="0075770C" w:rsidRDefault="0060580B" w:rsidP="00955B46">
            <w:pPr>
              <w:jc w:val="center"/>
              <w:rPr>
                <w:lang w:val="en-GB"/>
              </w:rPr>
            </w:pPr>
          </w:p>
          <w:p w14:paraId="1A96FA3D" w14:textId="77777777" w:rsidR="0060580B" w:rsidRDefault="0060580B" w:rsidP="00955B46">
            <w:pPr>
              <w:jc w:val="center"/>
              <w:rPr>
                <w:lang w:val="en-GB"/>
              </w:rPr>
            </w:pPr>
            <w:r w:rsidRPr="0075770C">
              <w:rPr>
                <w:lang w:val="en-GB"/>
              </w:rPr>
              <w:t>21</w:t>
            </w:r>
          </w:p>
          <w:p w14:paraId="40EB6AA1" w14:textId="77777777" w:rsidR="00955B46" w:rsidRPr="0075770C" w:rsidRDefault="00955B46" w:rsidP="00955B46">
            <w:pPr>
              <w:jc w:val="center"/>
              <w:rPr>
                <w:lang w:val="en-GB"/>
              </w:rPr>
            </w:pPr>
          </w:p>
          <w:p w14:paraId="2D0AA778" w14:textId="77777777" w:rsidR="0060580B" w:rsidRPr="0075770C" w:rsidRDefault="0060580B" w:rsidP="00955B46">
            <w:pPr>
              <w:jc w:val="center"/>
              <w:rPr>
                <w:lang w:val="en-GB"/>
              </w:rPr>
            </w:pPr>
          </w:p>
          <w:p w14:paraId="57868E52" w14:textId="77777777" w:rsidR="0060580B" w:rsidRPr="0075770C" w:rsidRDefault="0060580B" w:rsidP="00955B46">
            <w:pPr>
              <w:jc w:val="center"/>
              <w:rPr>
                <w:lang w:val="en-GB"/>
              </w:rPr>
            </w:pPr>
            <w:r w:rsidRPr="0075770C">
              <w:rPr>
                <w:lang w:val="en-GB"/>
              </w:rPr>
              <w:t>26</w:t>
            </w:r>
          </w:p>
          <w:p w14:paraId="600ECA56" w14:textId="77777777" w:rsidR="0060580B" w:rsidRPr="0075770C" w:rsidRDefault="0060580B" w:rsidP="00955B46">
            <w:pPr>
              <w:jc w:val="center"/>
              <w:rPr>
                <w:lang w:val="en-GB"/>
              </w:rPr>
            </w:pPr>
          </w:p>
          <w:p w14:paraId="32752A52" w14:textId="77777777" w:rsidR="0060580B" w:rsidRPr="0075770C" w:rsidRDefault="0060580B" w:rsidP="00955B46">
            <w:pPr>
              <w:jc w:val="center"/>
              <w:rPr>
                <w:lang w:val="en-GB"/>
              </w:rPr>
            </w:pPr>
          </w:p>
          <w:p w14:paraId="22A980F7" w14:textId="77777777" w:rsidR="0060580B" w:rsidRPr="0075770C" w:rsidRDefault="0060580B" w:rsidP="00955B46">
            <w:pPr>
              <w:jc w:val="center"/>
              <w:rPr>
                <w:lang w:val="en-GB"/>
              </w:rPr>
            </w:pPr>
            <w:r w:rsidRPr="0075770C">
              <w:rPr>
                <w:lang w:val="en-GB"/>
              </w:rPr>
              <w:t>27</w:t>
            </w:r>
          </w:p>
          <w:p w14:paraId="5BC53D6D" w14:textId="77777777" w:rsidR="0060580B" w:rsidRPr="0075770C" w:rsidRDefault="0060580B" w:rsidP="00955B46">
            <w:pPr>
              <w:jc w:val="center"/>
              <w:rPr>
                <w:lang w:val="en-GB"/>
              </w:rPr>
            </w:pPr>
          </w:p>
          <w:p w14:paraId="38D25331" w14:textId="77777777" w:rsidR="0060580B" w:rsidRPr="0075770C" w:rsidRDefault="0060580B" w:rsidP="00955B46">
            <w:pPr>
              <w:jc w:val="center"/>
              <w:rPr>
                <w:lang w:val="en-GB"/>
              </w:rPr>
            </w:pPr>
          </w:p>
          <w:p w14:paraId="77CE5B69" w14:textId="77777777" w:rsidR="0060580B" w:rsidRPr="0075770C" w:rsidRDefault="0060580B" w:rsidP="00955B46">
            <w:pPr>
              <w:jc w:val="center"/>
              <w:rPr>
                <w:lang w:val="en-GB"/>
              </w:rPr>
            </w:pPr>
          </w:p>
          <w:p w14:paraId="4295B877" w14:textId="77777777" w:rsidR="0060580B" w:rsidRPr="0075770C" w:rsidRDefault="0060580B" w:rsidP="00955B46">
            <w:pPr>
              <w:jc w:val="center"/>
              <w:rPr>
                <w:lang w:val="en-GB"/>
              </w:rPr>
            </w:pPr>
            <w:r w:rsidRPr="0075770C">
              <w:rPr>
                <w:lang w:val="en-GB"/>
              </w:rPr>
              <w:t>22</w:t>
            </w:r>
          </w:p>
          <w:p w14:paraId="04D287AC" w14:textId="77777777" w:rsidR="0060580B" w:rsidRPr="0075770C" w:rsidRDefault="0060580B" w:rsidP="00955B46">
            <w:pPr>
              <w:jc w:val="center"/>
              <w:rPr>
                <w:lang w:val="en-GB"/>
              </w:rPr>
            </w:pPr>
          </w:p>
          <w:p w14:paraId="1BAB8E2E" w14:textId="77777777" w:rsidR="0060580B" w:rsidRPr="0075770C" w:rsidRDefault="0060580B" w:rsidP="00955B46">
            <w:pPr>
              <w:jc w:val="center"/>
              <w:rPr>
                <w:lang w:val="en-GB"/>
              </w:rPr>
            </w:pPr>
          </w:p>
          <w:p w14:paraId="1F7A3322" w14:textId="77777777" w:rsidR="0060580B" w:rsidRPr="0075770C" w:rsidRDefault="0060580B" w:rsidP="00955B46">
            <w:pPr>
              <w:jc w:val="center"/>
              <w:rPr>
                <w:lang w:val="en-GB"/>
              </w:rPr>
            </w:pPr>
            <w:r w:rsidRPr="0075770C">
              <w:rPr>
                <w:lang w:val="en-GB"/>
              </w:rPr>
              <w:t>35</w:t>
            </w:r>
          </w:p>
          <w:p w14:paraId="0DAFDA5D" w14:textId="77777777" w:rsidR="0060580B" w:rsidRDefault="0060580B" w:rsidP="00955B46">
            <w:pPr>
              <w:jc w:val="center"/>
              <w:rPr>
                <w:i/>
                <w:lang w:val="en-GB"/>
              </w:rPr>
            </w:pPr>
          </w:p>
        </w:tc>
        <w:tc>
          <w:tcPr>
            <w:tcW w:w="1377" w:type="dxa"/>
          </w:tcPr>
          <w:p w14:paraId="2E087093" w14:textId="77777777" w:rsidR="0060580B" w:rsidRPr="00CF7231" w:rsidRDefault="0060580B" w:rsidP="00955B46">
            <w:pPr>
              <w:jc w:val="center"/>
              <w:rPr>
                <w:lang w:val="en-GB"/>
              </w:rPr>
            </w:pPr>
            <w:r w:rsidRPr="00CF7231">
              <w:rPr>
                <w:lang w:val="en-GB"/>
              </w:rPr>
              <w:t>100 (110)</w:t>
            </w:r>
          </w:p>
          <w:p w14:paraId="14D38D59" w14:textId="77777777" w:rsidR="0060580B" w:rsidRPr="00CF7231" w:rsidRDefault="0060580B" w:rsidP="00955B46">
            <w:pPr>
              <w:jc w:val="center"/>
              <w:rPr>
                <w:lang w:val="en-GB"/>
              </w:rPr>
            </w:pPr>
          </w:p>
          <w:p w14:paraId="12E24FEC" w14:textId="77777777" w:rsidR="0060580B" w:rsidRPr="00CF7231" w:rsidRDefault="0060580B" w:rsidP="00955B46">
            <w:pPr>
              <w:jc w:val="center"/>
              <w:rPr>
                <w:lang w:val="en-GB"/>
              </w:rPr>
            </w:pPr>
          </w:p>
          <w:p w14:paraId="0F20DA3E" w14:textId="77777777" w:rsidR="0060580B" w:rsidRPr="00CF7231" w:rsidRDefault="0060580B" w:rsidP="00955B46">
            <w:pPr>
              <w:jc w:val="center"/>
              <w:rPr>
                <w:lang w:val="en-GB"/>
              </w:rPr>
            </w:pPr>
            <w:r w:rsidRPr="00CF7231">
              <w:rPr>
                <w:lang w:val="en-GB"/>
              </w:rPr>
              <w:t>100 (20)</w:t>
            </w:r>
          </w:p>
          <w:p w14:paraId="7A613744" w14:textId="77777777" w:rsidR="0060580B" w:rsidRPr="00CF7231" w:rsidRDefault="0060580B" w:rsidP="00955B46">
            <w:pPr>
              <w:jc w:val="center"/>
              <w:rPr>
                <w:lang w:val="en-GB"/>
              </w:rPr>
            </w:pPr>
          </w:p>
          <w:p w14:paraId="7E921520" w14:textId="77777777" w:rsidR="0060580B" w:rsidRPr="00CF7231" w:rsidRDefault="0060580B" w:rsidP="00955B46">
            <w:pPr>
              <w:jc w:val="center"/>
              <w:rPr>
                <w:lang w:val="en-GB"/>
              </w:rPr>
            </w:pPr>
          </w:p>
          <w:p w14:paraId="45415C58" w14:textId="77777777" w:rsidR="0060580B" w:rsidRPr="00CF7231" w:rsidRDefault="0060580B" w:rsidP="00955B46">
            <w:pPr>
              <w:jc w:val="center"/>
              <w:rPr>
                <w:lang w:val="en-GB"/>
              </w:rPr>
            </w:pPr>
            <w:r w:rsidRPr="00CF7231">
              <w:rPr>
                <w:lang w:val="en-GB"/>
              </w:rPr>
              <w:t>100 (9)</w:t>
            </w:r>
          </w:p>
          <w:p w14:paraId="77806F36" w14:textId="77777777" w:rsidR="0060580B" w:rsidRPr="00CF7231" w:rsidRDefault="0060580B" w:rsidP="00955B46">
            <w:pPr>
              <w:jc w:val="center"/>
              <w:rPr>
                <w:lang w:val="en-GB"/>
              </w:rPr>
            </w:pPr>
          </w:p>
          <w:p w14:paraId="15376341" w14:textId="77777777" w:rsidR="0060580B" w:rsidRPr="00CF7231" w:rsidRDefault="0060580B" w:rsidP="00955B46">
            <w:pPr>
              <w:jc w:val="center"/>
              <w:rPr>
                <w:lang w:val="en-GB"/>
              </w:rPr>
            </w:pPr>
          </w:p>
          <w:p w14:paraId="33206E8B" w14:textId="77777777" w:rsidR="0060580B" w:rsidRPr="00CF7231" w:rsidRDefault="0060580B" w:rsidP="00955B46">
            <w:pPr>
              <w:jc w:val="center"/>
              <w:rPr>
                <w:lang w:val="en-GB"/>
              </w:rPr>
            </w:pPr>
            <w:r w:rsidRPr="00CF7231">
              <w:rPr>
                <w:lang w:val="en-GB"/>
              </w:rPr>
              <w:t>100 (38)</w:t>
            </w:r>
          </w:p>
          <w:p w14:paraId="7E3D9100" w14:textId="77777777" w:rsidR="0060580B" w:rsidRPr="00CF7231" w:rsidRDefault="0060580B" w:rsidP="00955B46">
            <w:pPr>
              <w:jc w:val="center"/>
              <w:rPr>
                <w:lang w:val="en-GB"/>
              </w:rPr>
            </w:pPr>
          </w:p>
          <w:p w14:paraId="1AF0AA48" w14:textId="77777777" w:rsidR="0060580B" w:rsidRPr="00CF7231" w:rsidRDefault="0060580B" w:rsidP="00955B46">
            <w:pPr>
              <w:jc w:val="center"/>
              <w:rPr>
                <w:lang w:val="en-GB"/>
              </w:rPr>
            </w:pPr>
          </w:p>
          <w:p w14:paraId="1DC15A9C" w14:textId="77777777" w:rsidR="0060580B" w:rsidRPr="00CF7231" w:rsidRDefault="0060580B" w:rsidP="00955B46">
            <w:pPr>
              <w:jc w:val="center"/>
              <w:rPr>
                <w:lang w:val="en-GB"/>
              </w:rPr>
            </w:pPr>
            <w:r w:rsidRPr="00CF7231">
              <w:rPr>
                <w:lang w:val="en-GB"/>
              </w:rPr>
              <w:t>100 (91)</w:t>
            </w:r>
          </w:p>
          <w:p w14:paraId="1DBDCCF8" w14:textId="77777777" w:rsidR="0060580B" w:rsidRPr="00CF7231" w:rsidRDefault="0060580B" w:rsidP="00955B46">
            <w:pPr>
              <w:jc w:val="center"/>
              <w:rPr>
                <w:lang w:val="en-GB"/>
              </w:rPr>
            </w:pPr>
          </w:p>
          <w:p w14:paraId="156D05B6" w14:textId="77777777" w:rsidR="0060580B" w:rsidRPr="00CF7231" w:rsidRDefault="0060580B" w:rsidP="00955B46">
            <w:pPr>
              <w:jc w:val="center"/>
              <w:rPr>
                <w:lang w:val="en-GB"/>
              </w:rPr>
            </w:pPr>
          </w:p>
          <w:p w14:paraId="73224CCB" w14:textId="77777777" w:rsidR="0060580B" w:rsidRPr="00CF7231" w:rsidRDefault="0060580B" w:rsidP="00955B46">
            <w:pPr>
              <w:jc w:val="center"/>
              <w:rPr>
                <w:lang w:val="en-GB"/>
              </w:rPr>
            </w:pPr>
            <w:r w:rsidRPr="00CF7231">
              <w:rPr>
                <w:lang w:val="en-GB"/>
              </w:rPr>
              <w:t>100 (20)</w:t>
            </w:r>
          </w:p>
          <w:p w14:paraId="05E8EC4E" w14:textId="77777777" w:rsidR="0060580B" w:rsidRPr="00CF7231" w:rsidRDefault="0060580B" w:rsidP="00955B46">
            <w:pPr>
              <w:jc w:val="center"/>
              <w:rPr>
                <w:lang w:val="en-GB"/>
              </w:rPr>
            </w:pPr>
          </w:p>
          <w:p w14:paraId="53BE16D2" w14:textId="77777777" w:rsidR="0060580B" w:rsidRPr="00CF7231" w:rsidRDefault="0060580B" w:rsidP="00955B46">
            <w:pPr>
              <w:jc w:val="center"/>
              <w:rPr>
                <w:lang w:val="en-GB"/>
              </w:rPr>
            </w:pPr>
          </w:p>
          <w:p w14:paraId="3E7E4FC1" w14:textId="77777777" w:rsidR="0060580B" w:rsidRPr="00CF7231" w:rsidRDefault="0060580B" w:rsidP="00955B46">
            <w:pPr>
              <w:jc w:val="center"/>
              <w:rPr>
                <w:lang w:val="en-GB"/>
              </w:rPr>
            </w:pPr>
          </w:p>
          <w:p w14:paraId="0EC6744F" w14:textId="77777777" w:rsidR="0060580B" w:rsidRPr="00CF7231" w:rsidRDefault="0060580B" w:rsidP="00955B46">
            <w:pPr>
              <w:jc w:val="center"/>
              <w:rPr>
                <w:lang w:val="en-GB"/>
              </w:rPr>
            </w:pPr>
            <w:r w:rsidRPr="00CF7231">
              <w:rPr>
                <w:lang w:val="en-GB"/>
              </w:rPr>
              <w:t>100 (9)</w:t>
            </w:r>
          </w:p>
          <w:p w14:paraId="6E68C254" w14:textId="77777777" w:rsidR="0060580B" w:rsidRPr="00CF7231" w:rsidRDefault="0060580B" w:rsidP="00955B46">
            <w:pPr>
              <w:jc w:val="center"/>
              <w:rPr>
                <w:lang w:val="en-GB"/>
              </w:rPr>
            </w:pPr>
          </w:p>
          <w:p w14:paraId="43F4033B" w14:textId="77777777" w:rsidR="0060580B" w:rsidRPr="00CF7231" w:rsidRDefault="0060580B" w:rsidP="00955B46">
            <w:pPr>
              <w:jc w:val="center"/>
              <w:rPr>
                <w:lang w:val="en-GB"/>
              </w:rPr>
            </w:pPr>
          </w:p>
          <w:p w14:paraId="2E58DBB5" w14:textId="032CCBE0" w:rsidR="0060580B" w:rsidRPr="00CF7231" w:rsidRDefault="0060580B" w:rsidP="00955B46">
            <w:pPr>
              <w:jc w:val="center"/>
              <w:rPr>
                <w:i/>
                <w:lang w:val="en-GB"/>
              </w:rPr>
            </w:pPr>
            <w:r w:rsidRPr="00CF7231">
              <w:rPr>
                <w:lang w:val="en-GB"/>
              </w:rPr>
              <w:t>100 (17)</w:t>
            </w:r>
          </w:p>
        </w:tc>
      </w:tr>
    </w:tbl>
    <w:p w14:paraId="5608A870" w14:textId="77777777" w:rsidR="00532827" w:rsidRPr="0075770C" w:rsidRDefault="00532827" w:rsidP="00532827">
      <w:pPr>
        <w:jc w:val="both"/>
        <w:rPr>
          <w:i/>
          <w:sz w:val="16"/>
          <w:szCs w:val="16"/>
          <w:lang w:val="en-GB"/>
        </w:rPr>
      </w:pPr>
      <w:r w:rsidRPr="0075770C">
        <w:rPr>
          <w:i/>
          <w:sz w:val="16"/>
          <w:szCs w:val="16"/>
          <w:lang w:val="en-GB"/>
        </w:rPr>
        <w:t>* The ´contact´ variables combine values 1 and 2 on a the following four-point scale: (1) App. every week, (2) app. every month, (3) a few times, (4) never.</w:t>
      </w:r>
    </w:p>
    <w:p w14:paraId="2532B3E5" w14:textId="130AF247" w:rsidR="00532827" w:rsidRPr="0075770C" w:rsidRDefault="00532827" w:rsidP="00532827">
      <w:pPr>
        <w:rPr>
          <w:i/>
          <w:sz w:val="16"/>
          <w:szCs w:val="16"/>
          <w:lang w:val="en-GB"/>
        </w:rPr>
      </w:pPr>
      <w:r w:rsidRPr="0075770C">
        <w:rPr>
          <w:i/>
          <w:sz w:val="16"/>
          <w:szCs w:val="16"/>
          <w:lang w:val="en-GB"/>
        </w:rPr>
        <w:t>** The ´partici</w:t>
      </w:r>
      <w:r w:rsidR="008A1B77">
        <w:rPr>
          <w:i/>
          <w:sz w:val="16"/>
          <w:szCs w:val="16"/>
          <w:lang w:val="en-GB"/>
        </w:rPr>
        <w:t>pation</w:t>
      </w:r>
      <w:r w:rsidR="003A39A3">
        <w:rPr>
          <w:i/>
          <w:sz w:val="16"/>
          <w:szCs w:val="16"/>
          <w:lang w:val="en-GB"/>
        </w:rPr>
        <w:t>’</w:t>
      </w:r>
      <w:r w:rsidR="008A1B77">
        <w:rPr>
          <w:i/>
          <w:sz w:val="16"/>
          <w:szCs w:val="16"/>
          <w:lang w:val="en-GB"/>
        </w:rPr>
        <w:t xml:space="preserve"> variables apply value 1 </w:t>
      </w:r>
      <w:r w:rsidRPr="0075770C">
        <w:rPr>
          <w:i/>
          <w:sz w:val="16"/>
          <w:szCs w:val="16"/>
          <w:lang w:val="en-GB"/>
        </w:rPr>
        <w:t>on the following three-point scale: (1) several times, (2) once, (3) never.</w:t>
      </w:r>
    </w:p>
    <w:p w14:paraId="252C1E8D" w14:textId="77777777" w:rsidR="00532827" w:rsidRPr="0075770C" w:rsidRDefault="00532827" w:rsidP="00532827">
      <w:pPr>
        <w:jc w:val="both"/>
        <w:rPr>
          <w:lang w:val="en-GB"/>
        </w:rPr>
      </w:pPr>
    </w:p>
    <w:p w14:paraId="739103A2" w14:textId="7CE3E73C" w:rsidR="00B770FF" w:rsidRPr="007E4FAE" w:rsidRDefault="00614066" w:rsidP="00532827">
      <w:pPr>
        <w:rPr>
          <w:lang w:val="en-GB"/>
        </w:rPr>
      </w:pPr>
      <w:r>
        <w:rPr>
          <w:lang w:val="en-GB"/>
        </w:rPr>
        <w:lastRenderedPageBreak/>
        <w:t>R</w:t>
      </w:r>
      <w:r w:rsidR="008A1B77">
        <w:rPr>
          <w:lang w:val="en-GB"/>
        </w:rPr>
        <w:t xml:space="preserve">espondents were </w:t>
      </w:r>
      <w:r w:rsidR="00BB0F61">
        <w:rPr>
          <w:lang w:val="en-GB"/>
        </w:rPr>
        <w:t xml:space="preserve">then </w:t>
      </w:r>
      <w:r w:rsidR="008A1B77">
        <w:rPr>
          <w:lang w:val="en-GB"/>
        </w:rPr>
        <w:t xml:space="preserve">asked about their coordination behaviour </w:t>
      </w:r>
      <w:r w:rsidR="003A39A3">
        <w:rPr>
          <w:lang w:val="en-GB"/>
        </w:rPr>
        <w:t>in relation to their EU-work</w:t>
      </w:r>
      <w:r w:rsidR="008A1B77">
        <w:rPr>
          <w:lang w:val="en-GB"/>
        </w:rPr>
        <w:t>.</w:t>
      </w:r>
      <w:r>
        <w:rPr>
          <w:lang w:val="en-GB"/>
        </w:rPr>
        <w:t xml:space="preserve"> </w:t>
      </w:r>
      <w:r w:rsidR="000B599C">
        <w:rPr>
          <w:lang w:val="en-GB"/>
        </w:rPr>
        <w:t>T</w:t>
      </w:r>
      <w:r w:rsidR="00A968C4">
        <w:rPr>
          <w:lang w:val="en-GB"/>
        </w:rPr>
        <w:t>able 6 reveals</w:t>
      </w:r>
      <w:r>
        <w:rPr>
          <w:lang w:val="en-GB"/>
        </w:rPr>
        <w:t xml:space="preserve"> firstly an overall low level of coordination of EU-related </w:t>
      </w:r>
      <w:r w:rsidR="00BB0F61">
        <w:rPr>
          <w:lang w:val="en-GB"/>
        </w:rPr>
        <w:t xml:space="preserve">work </w:t>
      </w:r>
      <w:r>
        <w:rPr>
          <w:lang w:val="en-GB"/>
        </w:rPr>
        <w:t xml:space="preserve">across time. Secondly, in support of P3, </w:t>
      </w:r>
      <w:r w:rsidR="00A968C4">
        <w:rPr>
          <w:lang w:val="en-GB"/>
        </w:rPr>
        <w:t>coordination</w:t>
      </w:r>
      <w:r>
        <w:rPr>
          <w:lang w:val="en-GB"/>
        </w:rPr>
        <w:t xml:space="preserve"> is slightly higher</w:t>
      </w:r>
      <w:r w:rsidR="00A968C4">
        <w:rPr>
          <w:lang w:val="en-GB"/>
        </w:rPr>
        <w:t xml:space="preserve"> </w:t>
      </w:r>
      <w:r w:rsidR="00A968C4">
        <w:rPr>
          <w:i/>
          <w:lang w:val="en-GB"/>
        </w:rPr>
        <w:t xml:space="preserve">within </w:t>
      </w:r>
      <w:r w:rsidR="00A968C4">
        <w:rPr>
          <w:lang w:val="en-GB"/>
        </w:rPr>
        <w:t xml:space="preserve">ministries than </w:t>
      </w:r>
      <w:r w:rsidR="00A968C4">
        <w:rPr>
          <w:i/>
          <w:lang w:val="en-GB"/>
        </w:rPr>
        <w:t xml:space="preserve">between </w:t>
      </w:r>
      <w:r w:rsidR="00A968C4">
        <w:rPr>
          <w:lang w:val="en-GB"/>
        </w:rPr>
        <w:t xml:space="preserve">ministries at all three points in time. </w:t>
      </w:r>
      <w:r>
        <w:rPr>
          <w:lang w:val="en-GB"/>
        </w:rPr>
        <w:t>Moreover, t</w:t>
      </w:r>
      <w:r w:rsidR="007E4FAE">
        <w:rPr>
          <w:lang w:val="en-GB"/>
        </w:rPr>
        <w:t xml:space="preserve">he gap between </w:t>
      </w:r>
      <w:r>
        <w:rPr>
          <w:lang w:val="en-GB"/>
        </w:rPr>
        <w:t>participating</w:t>
      </w:r>
      <w:r w:rsidR="000B599C">
        <w:rPr>
          <w:lang w:val="en-GB"/>
        </w:rPr>
        <w:t xml:space="preserve"> in </w:t>
      </w:r>
      <w:r w:rsidR="000B599C" w:rsidRPr="000B599C">
        <w:rPr>
          <w:i/>
          <w:lang w:val="en-GB"/>
        </w:rPr>
        <w:t>intra</w:t>
      </w:r>
      <w:r w:rsidR="000B599C">
        <w:rPr>
          <w:i/>
          <w:lang w:val="en-GB"/>
        </w:rPr>
        <w:t>-</w:t>
      </w:r>
      <w:r w:rsidR="000B599C">
        <w:rPr>
          <w:lang w:val="en-GB"/>
        </w:rPr>
        <w:t xml:space="preserve">ministerial </w:t>
      </w:r>
      <w:r>
        <w:rPr>
          <w:lang w:val="en-GB"/>
        </w:rPr>
        <w:t>and</w:t>
      </w:r>
      <w:r w:rsidR="000B599C">
        <w:rPr>
          <w:lang w:val="en-GB"/>
        </w:rPr>
        <w:t xml:space="preserve"> low-level </w:t>
      </w:r>
      <w:r w:rsidR="000B599C" w:rsidRPr="000B599C">
        <w:rPr>
          <w:i/>
          <w:lang w:val="en-GB"/>
        </w:rPr>
        <w:t>inter</w:t>
      </w:r>
      <w:r w:rsidR="000B599C">
        <w:rPr>
          <w:lang w:val="en-GB"/>
        </w:rPr>
        <w:t>-mini</w:t>
      </w:r>
      <w:r w:rsidR="007E4FAE">
        <w:rPr>
          <w:lang w:val="en-GB"/>
        </w:rPr>
        <w:t>sterial coordination committees appears to increase over time. Also worth noting is the general decrease in this type of coordination behaviour</w:t>
      </w:r>
      <w:r w:rsidR="00BC4E74">
        <w:rPr>
          <w:lang w:val="en-GB"/>
        </w:rPr>
        <w:t>, particularly</w:t>
      </w:r>
      <w:r w:rsidR="007E4FAE">
        <w:rPr>
          <w:lang w:val="en-GB"/>
        </w:rPr>
        <w:t xml:space="preserve"> from 2006 to 2016.</w:t>
      </w:r>
      <w:r w:rsidR="003A266A">
        <w:rPr>
          <w:lang w:val="en-GB"/>
        </w:rPr>
        <w:t>One important caveat should be noted</w:t>
      </w:r>
      <w:r>
        <w:rPr>
          <w:lang w:val="en-GB"/>
        </w:rPr>
        <w:t xml:space="preserve"> though</w:t>
      </w:r>
      <w:r w:rsidR="003A266A">
        <w:rPr>
          <w:lang w:val="en-GB"/>
        </w:rPr>
        <w:t xml:space="preserve">: </w:t>
      </w:r>
      <w:r>
        <w:rPr>
          <w:lang w:val="en-GB"/>
        </w:rPr>
        <w:t>Although</w:t>
      </w:r>
      <w:r w:rsidR="003A266A">
        <w:rPr>
          <w:lang w:val="en-GB"/>
        </w:rPr>
        <w:t xml:space="preserve"> </w:t>
      </w:r>
      <w:r>
        <w:rPr>
          <w:lang w:val="en-GB"/>
        </w:rPr>
        <w:t>coordination committees suggest that</w:t>
      </w:r>
      <w:r w:rsidR="003A266A">
        <w:rPr>
          <w:lang w:val="en-GB"/>
        </w:rPr>
        <w:t xml:space="preserve"> the primary objective of these meetings it to </w:t>
      </w:r>
      <w:r w:rsidR="003A266A">
        <w:rPr>
          <w:i/>
          <w:lang w:val="en-GB"/>
        </w:rPr>
        <w:t xml:space="preserve">coordinate, </w:t>
      </w:r>
      <w:r w:rsidR="003A266A">
        <w:rPr>
          <w:lang w:val="en-GB"/>
        </w:rPr>
        <w:t>studies (</w:t>
      </w:r>
      <w:r w:rsidR="003A39A3">
        <w:rPr>
          <w:lang w:val="en-GB"/>
        </w:rPr>
        <w:t>e.g. Trondal 2001</w:t>
      </w:r>
      <w:r w:rsidR="003A266A">
        <w:rPr>
          <w:lang w:val="en-GB"/>
        </w:rPr>
        <w:t xml:space="preserve">) </w:t>
      </w:r>
      <w:r>
        <w:rPr>
          <w:lang w:val="en-GB"/>
        </w:rPr>
        <w:t xml:space="preserve">shows low level of substantial coordination in </w:t>
      </w:r>
      <w:r w:rsidR="0045285B">
        <w:rPr>
          <w:lang w:val="en-GB"/>
        </w:rPr>
        <w:t>the inter-ministerial coordination committees.</w:t>
      </w:r>
      <w:r>
        <w:rPr>
          <w:lang w:val="en-GB"/>
        </w:rPr>
        <w:t xml:space="preserve"> </w:t>
      </w:r>
      <w:r w:rsidR="0045285B">
        <w:rPr>
          <w:lang w:val="en-GB"/>
        </w:rPr>
        <w:t>These committees are characterized by mutual inter-ministerial</w:t>
      </w:r>
      <w:r>
        <w:rPr>
          <w:lang w:val="en-GB"/>
        </w:rPr>
        <w:t xml:space="preserve"> information sharing</w:t>
      </w:r>
      <w:r w:rsidR="003A266A">
        <w:rPr>
          <w:lang w:val="en-GB"/>
        </w:rPr>
        <w:t xml:space="preserve"> </w:t>
      </w:r>
      <w:r w:rsidR="0045285B">
        <w:rPr>
          <w:lang w:val="en-GB"/>
        </w:rPr>
        <w:t>which is</w:t>
      </w:r>
      <w:r w:rsidR="003A266A">
        <w:rPr>
          <w:lang w:val="en-GB"/>
        </w:rPr>
        <w:t xml:space="preserve"> not necessarily related to coordination of tasks, policies or positions. </w:t>
      </w:r>
      <w:r w:rsidR="003A39A3">
        <w:rPr>
          <w:lang w:val="en-GB"/>
        </w:rPr>
        <w:t>Moreover, bearing in mind that EU-affectedness has remained stable (Table 3), one may contemplate the decrease in coordination behaviour could indicate that EU-related work has become more routinized and integrated and that this has diminished the need for formal dialogue.</w:t>
      </w:r>
    </w:p>
    <w:p w14:paraId="1D456639" w14:textId="77777777" w:rsidR="00B770FF" w:rsidRDefault="00B770FF" w:rsidP="00532827">
      <w:pPr>
        <w:rPr>
          <w:b/>
          <w:lang w:val="en-GB"/>
        </w:rPr>
      </w:pPr>
    </w:p>
    <w:p w14:paraId="7556D4F6" w14:textId="7F4FBAEB" w:rsidR="0060580B" w:rsidRPr="0075770C" w:rsidRDefault="0043663F" w:rsidP="00532827">
      <w:pPr>
        <w:rPr>
          <w:b/>
          <w:lang w:val="en-GB"/>
        </w:rPr>
      </w:pPr>
      <w:r>
        <w:rPr>
          <w:b/>
          <w:lang w:val="en-GB"/>
        </w:rPr>
        <w:t>Table 6</w:t>
      </w:r>
      <w:r w:rsidR="00532827" w:rsidRPr="0075770C">
        <w:rPr>
          <w:b/>
          <w:lang w:val="en-GB"/>
        </w:rPr>
        <w:t xml:space="preserve"> Percentage of officials who have </w:t>
      </w:r>
      <w:r w:rsidR="00532827" w:rsidRPr="00052BC5">
        <w:rPr>
          <w:b/>
          <w:i/>
          <w:u w:val="single"/>
          <w:lang w:val="en-GB"/>
        </w:rPr>
        <w:t>met in</w:t>
      </w:r>
      <w:r w:rsidR="00532827" w:rsidRPr="00052BC5">
        <w:rPr>
          <w:b/>
          <w:i/>
          <w:lang w:val="en-GB"/>
        </w:rPr>
        <w:t xml:space="preserve"> </w:t>
      </w:r>
      <w:r w:rsidR="00532827" w:rsidRPr="00052BC5">
        <w:rPr>
          <w:b/>
          <w:i/>
          <w:u w:val="single"/>
          <w:lang w:val="en-GB"/>
        </w:rPr>
        <w:t>ministerial coordination committees</w:t>
      </w:r>
      <w:r w:rsidR="00532827" w:rsidRPr="0075770C">
        <w:rPr>
          <w:b/>
          <w:lang w:val="en-GB"/>
        </w:rPr>
        <w:t xml:space="preserve">, by year* </w:t>
      </w:r>
    </w:p>
    <w:tbl>
      <w:tblPr>
        <w:tblStyle w:val="Tabellrutenett"/>
        <w:tblW w:w="9498" w:type="dxa"/>
        <w:tblInd w:w="108" w:type="dxa"/>
        <w:tblLook w:val="04A0" w:firstRow="1" w:lastRow="0" w:firstColumn="1" w:lastColumn="0" w:noHBand="0" w:noVBand="1"/>
      </w:tblPr>
      <w:tblGrid>
        <w:gridCol w:w="2506"/>
        <w:gridCol w:w="2222"/>
        <w:gridCol w:w="2223"/>
        <w:gridCol w:w="2547"/>
      </w:tblGrid>
      <w:tr w:rsidR="00532827" w:rsidRPr="0075770C" w14:paraId="2C0EE315" w14:textId="77777777" w:rsidTr="00532827">
        <w:tc>
          <w:tcPr>
            <w:tcW w:w="2506" w:type="dxa"/>
          </w:tcPr>
          <w:p w14:paraId="0D9ADFE3" w14:textId="77777777" w:rsidR="00532827" w:rsidRPr="0075770C" w:rsidRDefault="00532827" w:rsidP="00F00783">
            <w:pPr>
              <w:rPr>
                <w:lang w:val="en-GB"/>
              </w:rPr>
            </w:pPr>
          </w:p>
        </w:tc>
        <w:tc>
          <w:tcPr>
            <w:tcW w:w="2222" w:type="dxa"/>
          </w:tcPr>
          <w:p w14:paraId="098BCFED" w14:textId="77777777" w:rsidR="00532827" w:rsidRPr="0075770C" w:rsidRDefault="00532827" w:rsidP="00F00783">
            <w:pPr>
              <w:jc w:val="center"/>
              <w:rPr>
                <w:b/>
                <w:lang w:val="en-GB"/>
              </w:rPr>
            </w:pPr>
            <w:r w:rsidRPr="0075770C">
              <w:rPr>
                <w:b/>
                <w:lang w:val="en-GB"/>
              </w:rPr>
              <w:t>1996</w:t>
            </w:r>
          </w:p>
        </w:tc>
        <w:tc>
          <w:tcPr>
            <w:tcW w:w="2223" w:type="dxa"/>
          </w:tcPr>
          <w:p w14:paraId="53B45D03" w14:textId="77777777" w:rsidR="00532827" w:rsidRPr="0075770C" w:rsidRDefault="00532827" w:rsidP="00F00783">
            <w:pPr>
              <w:jc w:val="center"/>
              <w:rPr>
                <w:b/>
                <w:lang w:val="en-GB"/>
              </w:rPr>
            </w:pPr>
            <w:r w:rsidRPr="0075770C">
              <w:rPr>
                <w:b/>
                <w:lang w:val="en-GB"/>
              </w:rPr>
              <w:t>2006</w:t>
            </w:r>
          </w:p>
        </w:tc>
        <w:tc>
          <w:tcPr>
            <w:tcW w:w="2547" w:type="dxa"/>
          </w:tcPr>
          <w:p w14:paraId="4961127B" w14:textId="77777777" w:rsidR="00532827" w:rsidRPr="0075770C" w:rsidRDefault="00532827" w:rsidP="00F00783">
            <w:pPr>
              <w:jc w:val="center"/>
              <w:rPr>
                <w:b/>
                <w:lang w:val="en-GB"/>
              </w:rPr>
            </w:pPr>
            <w:r w:rsidRPr="0075770C">
              <w:rPr>
                <w:b/>
                <w:lang w:val="en-GB"/>
              </w:rPr>
              <w:t>2016</w:t>
            </w:r>
          </w:p>
        </w:tc>
      </w:tr>
      <w:tr w:rsidR="00532827" w:rsidRPr="0075770C" w14:paraId="270B0562" w14:textId="77777777" w:rsidTr="00532827">
        <w:tc>
          <w:tcPr>
            <w:tcW w:w="2506" w:type="dxa"/>
          </w:tcPr>
          <w:p w14:paraId="522A73C5" w14:textId="77777777" w:rsidR="00532827" w:rsidRPr="0075770C" w:rsidRDefault="00532827" w:rsidP="00F00783">
            <w:pPr>
              <w:rPr>
                <w:lang w:val="en-GB"/>
              </w:rPr>
            </w:pPr>
            <w:r w:rsidRPr="0075770C">
              <w:rPr>
                <w:lang w:val="en-GB"/>
              </w:rPr>
              <w:t>Intra-ministerial coordination committee**</w:t>
            </w:r>
          </w:p>
        </w:tc>
        <w:tc>
          <w:tcPr>
            <w:tcW w:w="2222" w:type="dxa"/>
          </w:tcPr>
          <w:p w14:paraId="36782E6F" w14:textId="77777777" w:rsidR="0045285B" w:rsidRDefault="0045285B" w:rsidP="00F00783">
            <w:pPr>
              <w:jc w:val="center"/>
              <w:rPr>
                <w:lang w:val="en-GB"/>
              </w:rPr>
            </w:pPr>
          </w:p>
          <w:p w14:paraId="3A7F8BC5" w14:textId="77777777" w:rsidR="0045285B" w:rsidRDefault="0045285B" w:rsidP="00F00783">
            <w:pPr>
              <w:jc w:val="center"/>
              <w:rPr>
                <w:lang w:val="en-GB"/>
              </w:rPr>
            </w:pPr>
          </w:p>
          <w:p w14:paraId="41A82FEC" w14:textId="1678FC9B" w:rsidR="00532827" w:rsidRPr="0075770C" w:rsidRDefault="00532827" w:rsidP="00F00783">
            <w:pPr>
              <w:jc w:val="center"/>
              <w:rPr>
                <w:lang w:val="en-GB"/>
              </w:rPr>
            </w:pPr>
            <w:r w:rsidRPr="0075770C">
              <w:rPr>
                <w:lang w:val="en-GB"/>
              </w:rPr>
              <w:t>18</w:t>
            </w:r>
          </w:p>
        </w:tc>
        <w:tc>
          <w:tcPr>
            <w:tcW w:w="2223" w:type="dxa"/>
          </w:tcPr>
          <w:p w14:paraId="28744B33" w14:textId="77777777" w:rsidR="0045285B" w:rsidRDefault="0045285B" w:rsidP="00F00783">
            <w:pPr>
              <w:jc w:val="center"/>
              <w:rPr>
                <w:lang w:val="en-GB"/>
              </w:rPr>
            </w:pPr>
          </w:p>
          <w:p w14:paraId="1B986744" w14:textId="77777777" w:rsidR="0045285B" w:rsidRDefault="0045285B" w:rsidP="00F00783">
            <w:pPr>
              <w:jc w:val="center"/>
              <w:rPr>
                <w:lang w:val="en-GB"/>
              </w:rPr>
            </w:pPr>
          </w:p>
          <w:p w14:paraId="6C434507" w14:textId="07C7EB3E" w:rsidR="00532827" w:rsidRPr="0075770C" w:rsidRDefault="00532827" w:rsidP="00F00783">
            <w:pPr>
              <w:jc w:val="center"/>
              <w:rPr>
                <w:lang w:val="en-GB"/>
              </w:rPr>
            </w:pPr>
            <w:r w:rsidRPr="0075770C">
              <w:rPr>
                <w:lang w:val="en-GB"/>
              </w:rPr>
              <w:t>18</w:t>
            </w:r>
          </w:p>
        </w:tc>
        <w:tc>
          <w:tcPr>
            <w:tcW w:w="2547" w:type="dxa"/>
          </w:tcPr>
          <w:p w14:paraId="36A186BE" w14:textId="77777777" w:rsidR="0045285B" w:rsidRDefault="0045285B" w:rsidP="00F00783">
            <w:pPr>
              <w:jc w:val="center"/>
              <w:rPr>
                <w:lang w:val="en-GB"/>
              </w:rPr>
            </w:pPr>
          </w:p>
          <w:p w14:paraId="62B3375C" w14:textId="77777777" w:rsidR="0045285B" w:rsidRDefault="0045285B" w:rsidP="00F00783">
            <w:pPr>
              <w:jc w:val="center"/>
              <w:rPr>
                <w:lang w:val="en-GB"/>
              </w:rPr>
            </w:pPr>
          </w:p>
          <w:p w14:paraId="6BBC04A4" w14:textId="7A8530EF" w:rsidR="00532827" w:rsidRPr="0075770C" w:rsidRDefault="00532827" w:rsidP="00F00783">
            <w:pPr>
              <w:jc w:val="center"/>
              <w:rPr>
                <w:lang w:val="en-GB"/>
              </w:rPr>
            </w:pPr>
            <w:r w:rsidRPr="0075770C">
              <w:rPr>
                <w:lang w:val="en-GB"/>
              </w:rPr>
              <w:t>13</w:t>
            </w:r>
          </w:p>
        </w:tc>
      </w:tr>
      <w:tr w:rsidR="00532827" w:rsidRPr="0075770C" w14:paraId="049E574F" w14:textId="77777777" w:rsidTr="00532827">
        <w:tc>
          <w:tcPr>
            <w:tcW w:w="2506" w:type="dxa"/>
          </w:tcPr>
          <w:p w14:paraId="6CDA598A" w14:textId="77777777" w:rsidR="00532827" w:rsidRPr="0075770C" w:rsidRDefault="00532827" w:rsidP="00F00783">
            <w:pPr>
              <w:rPr>
                <w:lang w:val="en-GB"/>
              </w:rPr>
            </w:pPr>
            <w:r w:rsidRPr="0075770C">
              <w:rPr>
                <w:lang w:val="en-GB"/>
              </w:rPr>
              <w:t>Low-level inter-ministerial coordination committees***</w:t>
            </w:r>
          </w:p>
        </w:tc>
        <w:tc>
          <w:tcPr>
            <w:tcW w:w="2222" w:type="dxa"/>
          </w:tcPr>
          <w:p w14:paraId="3564C846" w14:textId="77777777" w:rsidR="0045285B" w:rsidRDefault="0045285B" w:rsidP="00F00783">
            <w:pPr>
              <w:jc w:val="center"/>
              <w:rPr>
                <w:lang w:val="en-GB"/>
              </w:rPr>
            </w:pPr>
          </w:p>
          <w:p w14:paraId="2A6EB054" w14:textId="77777777" w:rsidR="0045285B" w:rsidRDefault="0045285B" w:rsidP="00F00783">
            <w:pPr>
              <w:jc w:val="center"/>
              <w:rPr>
                <w:lang w:val="en-GB"/>
              </w:rPr>
            </w:pPr>
          </w:p>
          <w:p w14:paraId="3138A4F3" w14:textId="77777777" w:rsidR="0045285B" w:rsidRDefault="0045285B" w:rsidP="00F00783">
            <w:pPr>
              <w:jc w:val="center"/>
              <w:rPr>
                <w:lang w:val="en-GB"/>
              </w:rPr>
            </w:pPr>
          </w:p>
          <w:p w14:paraId="0FA9F447" w14:textId="3A2825A3" w:rsidR="00532827" w:rsidRPr="0075770C" w:rsidRDefault="00532827" w:rsidP="00F00783">
            <w:pPr>
              <w:jc w:val="center"/>
              <w:rPr>
                <w:lang w:val="en-GB"/>
              </w:rPr>
            </w:pPr>
            <w:r w:rsidRPr="0075770C">
              <w:rPr>
                <w:lang w:val="en-GB"/>
              </w:rPr>
              <w:t>17</w:t>
            </w:r>
          </w:p>
        </w:tc>
        <w:tc>
          <w:tcPr>
            <w:tcW w:w="2223" w:type="dxa"/>
          </w:tcPr>
          <w:p w14:paraId="4529EC10" w14:textId="77777777" w:rsidR="0045285B" w:rsidRDefault="0045285B" w:rsidP="00F00783">
            <w:pPr>
              <w:jc w:val="center"/>
              <w:rPr>
                <w:lang w:val="en-GB"/>
              </w:rPr>
            </w:pPr>
          </w:p>
          <w:p w14:paraId="2F147623" w14:textId="77777777" w:rsidR="0045285B" w:rsidRDefault="0045285B" w:rsidP="00F00783">
            <w:pPr>
              <w:jc w:val="center"/>
              <w:rPr>
                <w:lang w:val="en-GB"/>
              </w:rPr>
            </w:pPr>
          </w:p>
          <w:p w14:paraId="635E2FE3" w14:textId="77777777" w:rsidR="0045285B" w:rsidRDefault="0045285B" w:rsidP="00F00783">
            <w:pPr>
              <w:jc w:val="center"/>
              <w:rPr>
                <w:lang w:val="en-GB"/>
              </w:rPr>
            </w:pPr>
          </w:p>
          <w:p w14:paraId="060D0610" w14:textId="53EDC2FC" w:rsidR="00532827" w:rsidRPr="0075770C" w:rsidRDefault="00532827" w:rsidP="00F00783">
            <w:pPr>
              <w:jc w:val="center"/>
              <w:rPr>
                <w:lang w:val="en-GB"/>
              </w:rPr>
            </w:pPr>
            <w:r w:rsidRPr="0075770C">
              <w:rPr>
                <w:lang w:val="en-GB"/>
              </w:rPr>
              <w:t>15</w:t>
            </w:r>
          </w:p>
        </w:tc>
        <w:tc>
          <w:tcPr>
            <w:tcW w:w="2547" w:type="dxa"/>
          </w:tcPr>
          <w:p w14:paraId="12A827E9" w14:textId="77777777" w:rsidR="0045285B" w:rsidRDefault="0045285B" w:rsidP="00F00783">
            <w:pPr>
              <w:jc w:val="center"/>
              <w:rPr>
                <w:lang w:val="en-GB"/>
              </w:rPr>
            </w:pPr>
          </w:p>
          <w:p w14:paraId="4748D40F" w14:textId="77777777" w:rsidR="0045285B" w:rsidRDefault="0045285B" w:rsidP="00F00783">
            <w:pPr>
              <w:jc w:val="center"/>
              <w:rPr>
                <w:lang w:val="en-GB"/>
              </w:rPr>
            </w:pPr>
          </w:p>
          <w:p w14:paraId="504C2D8B" w14:textId="77777777" w:rsidR="0045285B" w:rsidRDefault="0045285B" w:rsidP="00F00783">
            <w:pPr>
              <w:jc w:val="center"/>
              <w:rPr>
                <w:lang w:val="en-GB"/>
              </w:rPr>
            </w:pPr>
          </w:p>
          <w:p w14:paraId="3CAE451E" w14:textId="461C8CA3" w:rsidR="00532827" w:rsidRPr="0075770C" w:rsidRDefault="00532827" w:rsidP="00F00783">
            <w:pPr>
              <w:jc w:val="center"/>
              <w:rPr>
                <w:lang w:val="en-GB"/>
              </w:rPr>
            </w:pPr>
            <w:r w:rsidRPr="0075770C">
              <w:rPr>
                <w:lang w:val="en-GB"/>
              </w:rPr>
              <w:t>9</w:t>
            </w:r>
          </w:p>
        </w:tc>
      </w:tr>
      <w:tr w:rsidR="00532827" w:rsidRPr="0075770C" w14:paraId="42DC59FE" w14:textId="77777777" w:rsidTr="00532827">
        <w:tc>
          <w:tcPr>
            <w:tcW w:w="2506" w:type="dxa"/>
          </w:tcPr>
          <w:p w14:paraId="49882925" w14:textId="77777777" w:rsidR="00532827" w:rsidRPr="0075770C" w:rsidRDefault="00532827" w:rsidP="00F00783">
            <w:pPr>
              <w:rPr>
                <w:lang w:val="en-GB"/>
              </w:rPr>
            </w:pPr>
            <w:r w:rsidRPr="0075770C">
              <w:rPr>
                <w:lang w:val="en-GB"/>
              </w:rPr>
              <w:t>High-level inter-ministerial coordination committee****</w:t>
            </w:r>
          </w:p>
        </w:tc>
        <w:tc>
          <w:tcPr>
            <w:tcW w:w="2222" w:type="dxa"/>
          </w:tcPr>
          <w:p w14:paraId="73070FFC" w14:textId="77777777" w:rsidR="0045285B" w:rsidRDefault="0045285B" w:rsidP="00F00783">
            <w:pPr>
              <w:jc w:val="center"/>
              <w:rPr>
                <w:lang w:val="en-GB"/>
              </w:rPr>
            </w:pPr>
          </w:p>
          <w:p w14:paraId="6A7EE638" w14:textId="77777777" w:rsidR="0045285B" w:rsidRDefault="0045285B" w:rsidP="00F00783">
            <w:pPr>
              <w:jc w:val="center"/>
              <w:rPr>
                <w:lang w:val="en-GB"/>
              </w:rPr>
            </w:pPr>
          </w:p>
          <w:p w14:paraId="66EFB611" w14:textId="77777777" w:rsidR="0045285B" w:rsidRDefault="0045285B" w:rsidP="00F00783">
            <w:pPr>
              <w:jc w:val="center"/>
              <w:rPr>
                <w:lang w:val="en-GB"/>
              </w:rPr>
            </w:pPr>
          </w:p>
          <w:p w14:paraId="079F5A2B" w14:textId="0A2C7777" w:rsidR="00532827" w:rsidRPr="0075770C" w:rsidRDefault="00532827" w:rsidP="00F00783">
            <w:pPr>
              <w:jc w:val="center"/>
              <w:rPr>
                <w:lang w:val="en-GB"/>
              </w:rPr>
            </w:pPr>
            <w:r w:rsidRPr="0075770C">
              <w:rPr>
                <w:lang w:val="en-GB"/>
              </w:rPr>
              <w:t>5</w:t>
            </w:r>
          </w:p>
        </w:tc>
        <w:tc>
          <w:tcPr>
            <w:tcW w:w="2223" w:type="dxa"/>
          </w:tcPr>
          <w:p w14:paraId="7606A07C" w14:textId="77777777" w:rsidR="0045285B" w:rsidRDefault="0045285B" w:rsidP="00F00783">
            <w:pPr>
              <w:jc w:val="center"/>
              <w:rPr>
                <w:lang w:val="en-GB"/>
              </w:rPr>
            </w:pPr>
          </w:p>
          <w:p w14:paraId="45CCB4D7" w14:textId="77777777" w:rsidR="0045285B" w:rsidRDefault="0045285B" w:rsidP="00F00783">
            <w:pPr>
              <w:jc w:val="center"/>
              <w:rPr>
                <w:lang w:val="en-GB"/>
              </w:rPr>
            </w:pPr>
          </w:p>
          <w:p w14:paraId="2B60929E" w14:textId="77777777" w:rsidR="0045285B" w:rsidRDefault="0045285B" w:rsidP="00F00783">
            <w:pPr>
              <w:jc w:val="center"/>
              <w:rPr>
                <w:lang w:val="en-GB"/>
              </w:rPr>
            </w:pPr>
          </w:p>
          <w:p w14:paraId="0752E26A" w14:textId="408E3A55" w:rsidR="00532827" w:rsidRPr="0075770C" w:rsidRDefault="00532827" w:rsidP="00F00783">
            <w:pPr>
              <w:jc w:val="center"/>
              <w:rPr>
                <w:lang w:val="en-GB"/>
              </w:rPr>
            </w:pPr>
            <w:r w:rsidRPr="0075770C">
              <w:rPr>
                <w:lang w:val="en-GB"/>
              </w:rPr>
              <w:t>7</w:t>
            </w:r>
          </w:p>
        </w:tc>
        <w:tc>
          <w:tcPr>
            <w:tcW w:w="2547" w:type="dxa"/>
          </w:tcPr>
          <w:p w14:paraId="472A9FB2" w14:textId="77777777" w:rsidR="0045285B" w:rsidRDefault="0045285B" w:rsidP="00F00783">
            <w:pPr>
              <w:jc w:val="center"/>
              <w:rPr>
                <w:lang w:val="en-GB"/>
              </w:rPr>
            </w:pPr>
          </w:p>
          <w:p w14:paraId="081C2758" w14:textId="77777777" w:rsidR="0045285B" w:rsidRDefault="0045285B" w:rsidP="00F00783">
            <w:pPr>
              <w:jc w:val="center"/>
              <w:rPr>
                <w:lang w:val="en-GB"/>
              </w:rPr>
            </w:pPr>
          </w:p>
          <w:p w14:paraId="16EF640F" w14:textId="77777777" w:rsidR="0045285B" w:rsidRDefault="0045285B" w:rsidP="00F00783">
            <w:pPr>
              <w:jc w:val="center"/>
              <w:rPr>
                <w:lang w:val="en-GB"/>
              </w:rPr>
            </w:pPr>
          </w:p>
          <w:p w14:paraId="11C4B83B" w14:textId="7076C1A2" w:rsidR="00532827" w:rsidRPr="0075770C" w:rsidRDefault="00532827" w:rsidP="00F00783">
            <w:pPr>
              <w:jc w:val="center"/>
              <w:rPr>
                <w:lang w:val="en-GB"/>
              </w:rPr>
            </w:pPr>
            <w:r w:rsidRPr="0075770C">
              <w:rPr>
                <w:lang w:val="en-GB"/>
              </w:rPr>
              <w:t>5</w:t>
            </w:r>
          </w:p>
        </w:tc>
      </w:tr>
      <w:tr w:rsidR="00532827" w:rsidRPr="0045285B" w14:paraId="233228E9" w14:textId="77777777" w:rsidTr="00532827">
        <w:tc>
          <w:tcPr>
            <w:tcW w:w="2506" w:type="dxa"/>
          </w:tcPr>
          <w:p w14:paraId="1A7545B5" w14:textId="77777777" w:rsidR="00532827" w:rsidRPr="0045285B" w:rsidRDefault="00532827" w:rsidP="00F00783">
            <w:pPr>
              <w:rPr>
                <w:lang w:val="en-GB"/>
              </w:rPr>
            </w:pPr>
            <w:r w:rsidRPr="0045285B">
              <w:rPr>
                <w:lang w:val="en-GB"/>
              </w:rPr>
              <w:t xml:space="preserve">Mean N </w:t>
            </w:r>
          </w:p>
        </w:tc>
        <w:tc>
          <w:tcPr>
            <w:tcW w:w="2222" w:type="dxa"/>
          </w:tcPr>
          <w:p w14:paraId="325F95A4" w14:textId="57C72F9E" w:rsidR="0045285B" w:rsidRPr="0045285B" w:rsidRDefault="00532827" w:rsidP="0045285B">
            <w:pPr>
              <w:jc w:val="center"/>
              <w:rPr>
                <w:lang w:val="en-GB"/>
              </w:rPr>
            </w:pPr>
            <w:r w:rsidRPr="0045285B">
              <w:rPr>
                <w:lang w:val="en-GB"/>
              </w:rPr>
              <w:t>100</w:t>
            </w:r>
          </w:p>
          <w:p w14:paraId="3B52EA06" w14:textId="77777777" w:rsidR="00532827" w:rsidRPr="0045285B" w:rsidRDefault="00532827" w:rsidP="00F00783">
            <w:pPr>
              <w:jc w:val="center"/>
              <w:rPr>
                <w:lang w:val="en-GB"/>
              </w:rPr>
            </w:pPr>
            <w:r w:rsidRPr="0045285B">
              <w:rPr>
                <w:lang w:val="en-GB"/>
              </w:rPr>
              <w:t>(1038)</w:t>
            </w:r>
          </w:p>
        </w:tc>
        <w:tc>
          <w:tcPr>
            <w:tcW w:w="2223" w:type="dxa"/>
          </w:tcPr>
          <w:p w14:paraId="76E8B102" w14:textId="77777777" w:rsidR="00532827" w:rsidRPr="0045285B" w:rsidRDefault="00532827" w:rsidP="00F00783">
            <w:pPr>
              <w:jc w:val="center"/>
              <w:rPr>
                <w:lang w:val="en-GB"/>
              </w:rPr>
            </w:pPr>
            <w:r w:rsidRPr="0045285B">
              <w:rPr>
                <w:lang w:val="en-GB"/>
              </w:rPr>
              <w:t>100</w:t>
            </w:r>
          </w:p>
          <w:p w14:paraId="57DB88D8" w14:textId="77777777" w:rsidR="00532827" w:rsidRPr="0045285B" w:rsidRDefault="00532827" w:rsidP="00F00783">
            <w:pPr>
              <w:jc w:val="center"/>
              <w:rPr>
                <w:lang w:val="en-GB"/>
              </w:rPr>
            </w:pPr>
            <w:r w:rsidRPr="0045285B">
              <w:rPr>
                <w:lang w:val="en-GB"/>
              </w:rPr>
              <w:t>(1056)</w:t>
            </w:r>
          </w:p>
        </w:tc>
        <w:tc>
          <w:tcPr>
            <w:tcW w:w="2547" w:type="dxa"/>
          </w:tcPr>
          <w:p w14:paraId="1C1DAEB2" w14:textId="77777777" w:rsidR="00532827" w:rsidRPr="0045285B" w:rsidRDefault="00532827" w:rsidP="00F00783">
            <w:pPr>
              <w:jc w:val="center"/>
              <w:rPr>
                <w:lang w:val="en-GB"/>
              </w:rPr>
            </w:pPr>
            <w:r w:rsidRPr="0045285B">
              <w:rPr>
                <w:lang w:val="en-GB"/>
              </w:rPr>
              <w:t>100</w:t>
            </w:r>
          </w:p>
          <w:p w14:paraId="39C3AF8B" w14:textId="77777777" w:rsidR="00532827" w:rsidRPr="0045285B" w:rsidRDefault="00532827" w:rsidP="00F00783">
            <w:pPr>
              <w:jc w:val="center"/>
              <w:rPr>
                <w:lang w:val="en-GB"/>
              </w:rPr>
            </w:pPr>
            <w:r w:rsidRPr="0045285B">
              <w:rPr>
                <w:lang w:val="en-GB"/>
              </w:rPr>
              <w:t>(1402)</w:t>
            </w:r>
          </w:p>
        </w:tc>
      </w:tr>
    </w:tbl>
    <w:p w14:paraId="56583C13" w14:textId="77777777" w:rsidR="00532827" w:rsidRPr="0075770C" w:rsidRDefault="00532827" w:rsidP="00532827">
      <w:pPr>
        <w:jc w:val="both"/>
        <w:rPr>
          <w:i/>
          <w:sz w:val="16"/>
          <w:szCs w:val="16"/>
          <w:lang w:val="en-GB"/>
        </w:rPr>
      </w:pPr>
      <w:r w:rsidRPr="0075770C">
        <w:rPr>
          <w:i/>
          <w:sz w:val="16"/>
          <w:szCs w:val="16"/>
          <w:lang w:val="en-GB"/>
        </w:rPr>
        <w:t>* This table applies value 1 on a three-point scale: (1) multiple times, (2) once, (3) never.</w:t>
      </w:r>
    </w:p>
    <w:p w14:paraId="12057F0B" w14:textId="77777777" w:rsidR="00532827" w:rsidRPr="0075770C" w:rsidRDefault="00532827" w:rsidP="00532827">
      <w:pPr>
        <w:jc w:val="both"/>
        <w:rPr>
          <w:i/>
          <w:sz w:val="16"/>
          <w:szCs w:val="16"/>
          <w:lang w:val="en-GB"/>
        </w:rPr>
      </w:pPr>
      <w:r w:rsidRPr="0075770C">
        <w:rPr>
          <w:i/>
          <w:sz w:val="16"/>
          <w:szCs w:val="16"/>
          <w:lang w:val="en-GB"/>
        </w:rPr>
        <w:t>** These committees are established to pursue intra-ministerial coordination of EU-related work.</w:t>
      </w:r>
    </w:p>
    <w:p w14:paraId="77E7902D" w14:textId="77777777" w:rsidR="00532827" w:rsidRPr="0075770C" w:rsidRDefault="00532827" w:rsidP="00532827">
      <w:pPr>
        <w:jc w:val="both"/>
        <w:rPr>
          <w:i/>
          <w:sz w:val="16"/>
          <w:szCs w:val="16"/>
          <w:lang w:val="en-GB"/>
        </w:rPr>
      </w:pPr>
      <w:r w:rsidRPr="0075770C">
        <w:rPr>
          <w:i/>
          <w:sz w:val="16"/>
          <w:szCs w:val="16"/>
          <w:lang w:val="en-GB"/>
        </w:rPr>
        <w:t xml:space="preserve">*** These committees are headed by the responsible sector ministry to coordinate across affected sector ministries. </w:t>
      </w:r>
    </w:p>
    <w:p w14:paraId="7F08B909" w14:textId="77777777" w:rsidR="00867BE9" w:rsidRDefault="00532827" w:rsidP="00867BE9">
      <w:pPr>
        <w:jc w:val="both"/>
        <w:rPr>
          <w:i/>
          <w:sz w:val="16"/>
          <w:szCs w:val="16"/>
          <w:lang w:val="en-GB"/>
        </w:rPr>
      </w:pPr>
      <w:r w:rsidRPr="0075770C">
        <w:rPr>
          <w:i/>
          <w:sz w:val="16"/>
          <w:szCs w:val="16"/>
          <w:lang w:val="en-GB"/>
        </w:rPr>
        <w:t>**** This committee is headed by the Ministry of Foreign Affairs to coordinate those dossiers that the low-level inter-ministerial coordination committees do not solve.</w:t>
      </w:r>
    </w:p>
    <w:p w14:paraId="3D08418D" w14:textId="77777777" w:rsidR="003A266A" w:rsidRDefault="003A266A" w:rsidP="00867BE9">
      <w:pPr>
        <w:jc w:val="both"/>
        <w:rPr>
          <w:lang w:val="en-GB"/>
        </w:rPr>
      </w:pPr>
    </w:p>
    <w:p w14:paraId="003FE802" w14:textId="677E949E" w:rsidR="00B770FF" w:rsidRPr="003A39A3" w:rsidRDefault="0045285B" w:rsidP="00867BE9">
      <w:pPr>
        <w:jc w:val="both"/>
        <w:rPr>
          <w:lang w:val="en-GB"/>
        </w:rPr>
      </w:pPr>
      <w:r>
        <w:rPr>
          <w:lang w:val="en-GB"/>
        </w:rPr>
        <w:t>It is proposed (</w:t>
      </w:r>
      <w:r w:rsidR="00855892">
        <w:rPr>
          <w:lang w:val="en-GB"/>
        </w:rPr>
        <w:t>P</w:t>
      </w:r>
      <w:r w:rsidR="00162A8C">
        <w:rPr>
          <w:lang w:val="en-GB"/>
        </w:rPr>
        <w:t xml:space="preserve">4) that officials’ rank </w:t>
      </w:r>
      <w:r w:rsidR="003A39A3">
        <w:rPr>
          <w:lang w:val="en-GB"/>
        </w:rPr>
        <w:t>is</w:t>
      </w:r>
      <w:r w:rsidR="00162A8C">
        <w:rPr>
          <w:lang w:val="en-GB"/>
        </w:rPr>
        <w:t xml:space="preserve"> negatively associated with interaction with EU-level institutions.</w:t>
      </w:r>
      <w:r w:rsidR="003A39A3">
        <w:rPr>
          <w:lang w:val="en-GB"/>
        </w:rPr>
        <w:t xml:space="preserve"> Table 7 strongly support this prediction.</w:t>
      </w:r>
      <w:r w:rsidR="00162A8C">
        <w:rPr>
          <w:lang w:val="en-GB"/>
        </w:rPr>
        <w:t xml:space="preserve"> The finding is robust since this pattern in shown both as regards contacts with various EU-institutions and as regards participation in various EU committees – including those under EU agencies. Also, this pattern is consistent over time. </w:t>
      </w:r>
      <w:r w:rsidR="00E57589">
        <w:rPr>
          <w:lang w:val="en-GB"/>
        </w:rPr>
        <w:t>Interestingly</w:t>
      </w:r>
      <w:r w:rsidR="00162A8C">
        <w:rPr>
          <w:lang w:val="en-GB"/>
        </w:rPr>
        <w:t xml:space="preserve">, Table </w:t>
      </w:r>
      <w:r w:rsidR="003473A3">
        <w:rPr>
          <w:lang w:val="en-GB"/>
        </w:rPr>
        <w:t>7</w:t>
      </w:r>
      <w:r w:rsidR="00EC1841">
        <w:rPr>
          <w:lang w:val="en-GB"/>
        </w:rPr>
        <w:t xml:space="preserve"> show</w:t>
      </w:r>
      <w:r w:rsidR="00162A8C">
        <w:rPr>
          <w:lang w:val="en-GB"/>
        </w:rPr>
        <w:t>s</w:t>
      </w:r>
      <w:r w:rsidR="00EC1841">
        <w:rPr>
          <w:lang w:val="en-GB"/>
        </w:rPr>
        <w:t xml:space="preserve"> a 10 to 15 percent increase of interaction</w:t>
      </w:r>
      <w:r w:rsidR="00162A8C">
        <w:rPr>
          <w:lang w:val="en-GB"/>
        </w:rPr>
        <w:t xml:space="preserve"> with EU-level institutions for low-</w:t>
      </w:r>
      <w:r w:rsidR="00EC1841">
        <w:rPr>
          <w:lang w:val="en-GB"/>
        </w:rPr>
        <w:t>lev</w:t>
      </w:r>
      <w:r w:rsidR="00D616E6">
        <w:rPr>
          <w:lang w:val="en-GB"/>
        </w:rPr>
        <w:t xml:space="preserve">el officials from 2006 to 2016 and a corresponding decrease in interaction </w:t>
      </w:r>
      <w:r w:rsidR="00162A8C">
        <w:rPr>
          <w:lang w:val="en-GB"/>
        </w:rPr>
        <w:t>for med</w:t>
      </w:r>
      <w:r w:rsidR="00855892">
        <w:rPr>
          <w:lang w:val="en-GB"/>
        </w:rPr>
        <w:t>ium</w:t>
      </w:r>
      <w:r w:rsidR="00162A8C">
        <w:rPr>
          <w:lang w:val="en-GB"/>
        </w:rPr>
        <w:t xml:space="preserve"> and high-level officials</w:t>
      </w:r>
      <w:r w:rsidR="00E57589">
        <w:rPr>
          <w:lang w:val="en-GB"/>
        </w:rPr>
        <w:t xml:space="preserve"> on all variables. </w:t>
      </w:r>
      <w:r w:rsidR="00AA0704">
        <w:rPr>
          <w:lang w:val="en-GB"/>
        </w:rPr>
        <w:t>This may arguably provide further support to the assumption that internal EU-handlings have become more routinized in consonance with tighter and more systematized administrative integration</w:t>
      </w:r>
      <w:r w:rsidR="00C23445">
        <w:rPr>
          <w:lang w:val="en-GB"/>
        </w:rPr>
        <w:t xml:space="preserve"> at the European level</w:t>
      </w:r>
      <w:r w:rsidR="00496BAA">
        <w:rPr>
          <w:lang w:val="en-GB"/>
        </w:rPr>
        <w:t xml:space="preserve">. </w:t>
      </w:r>
      <w:r w:rsidR="00C23445">
        <w:rPr>
          <w:lang w:val="en-GB"/>
        </w:rPr>
        <w:t xml:space="preserve">It may also demonstrate the effect of the increase in scope of the agreements: more affected </w:t>
      </w:r>
      <w:r w:rsidR="003A39A3">
        <w:rPr>
          <w:lang w:val="en-GB"/>
        </w:rPr>
        <w:t xml:space="preserve">policy </w:t>
      </w:r>
      <w:r w:rsidR="00C23445">
        <w:rPr>
          <w:lang w:val="en-GB"/>
        </w:rPr>
        <w:t xml:space="preserve">areas signify more affected officials. </w:t>
      </w:r>
    </w:p>
    <w:p w14:paraId="2EB43F10" w14:textId="77777777" w:rsidR="00B770FF" w:rsidRDefault="00B770FF" w:rsidP="00532827">
      <w:pPr>
        <w:jc w:val="both"/>
        <w:rPr>
          <w:b/>
          <w:lang w:val="en-GB"/>
        </w:rPr>
      </w:pPr>
    </w:p>
    <w:p w14:paraId="623FA18A" w14:textId="2F0CAD5A" w:rsidR="00E6276E" w:rsidRPr="0075770C" w:rsidRDefault="0043663F" w:rsidP="00532827">
      <w:pPr>
        <w:jc w:val="both"/>
        <w:rPr>
          <w:b/>
          <w:lang w:val="en-GB"/>
        </w:rPr>
      </w:pPr>
      <w:r>
        <w:rPr>
          <w:b/>
          <w:lang w:val="en-GB"/>
        </w:rPr>
        <w:t>Table 7</w:t>
      </w:r>
      <w:r w:rsidR="00532827" w:rsidRPr="0075770C">
        <w:rPr>
          <w:b/>
          <w:lang w:val="en-GB"/>
        </w:rPr>
        <w:t xml:space="preserve"> Percentage of officials that report </w:t>
      </w:r>
      <w:r w:rsidR="00532827" w:rsidRPr="00582B8A">
        <w:rPr>
          <w:b/>
          <w:i/>
          <w:u w:val="single"/>
          <w:lang w:val="en-GB"/>
        </w:rPr>
        <w:t>contact with*</w:t>
      </w:r>
      <w:r w:rsidR="00532827" w:rsidRPr="00582B8A">
        <w:rPr>
          <w:b/>
          <w:u w:val="single"/>
          <w:lang w:val="en-GB"/>
        </w:rPr>
        <w:t xml:space="preserve"> or </w:t>
      </w:r>
      <w:r w:rsidR="00532827" w:rsidRPr="00582B8A">
        <w:rPr>
          <w:b/>
          <w:i/>
          <w:u w:val="single"/>
          <w:lang w:val="en-GB"/>
        </w:rPr>
        <w:t>participation in</w:t>
      </w:r>
      <w:r w:rsidR="00532827" w:rsidRPr="0075770C">
        <w:rPr>
          <w:b/>
          <w:i/>
          <w:lang w:val="en-GB"/>
        </w:rPr>
        <w:t>**</w:t>
      </w:r>
      <w:r w:rsidR="00532827" w:rsidRPr="0075770C">
        <w:rPr>
          <w:b/>
          <w:lang w:val="en-GB"/>
        </w:rPr>
        <w:t xml:space="preserve"> the following EU-level i</w:t>
      </w:r>
      <w:r w:rsidR="006960CB">
        <w:rPr>
          <w:b/>
          <w:lang w:val="en-GB"/>
        </w:rPr>
        <w:t>nstitutions, by year and rank (l</w:t>
      </w:r>
      <w:r w:rsidR="00532827" w:rsidRPr="0075770C">
        <w:rPr>
          <w:b/>
          <w:lang w:val="en-GB"/>
        </w:rPr>
        <w:t>ower level officials (L)***/medium and higher level officials (MH)***</w:t>
      </w:r>
    </w:p>
    <w:tbl>
      <w:tblPr>
        <w:tblStyle w:val="Tabellrutenett"/>
        <w:tblpPr w:leftFromText="141" w:rightFromText="141" w:vertAnchor="text" w:horzAnchor="page" w:tblpX="1527" w:tblpY="205"/>
        <w:tblW w:w="9706" w:type="dxa"/>
        <w:tblLook w:val="04A0" w:firstRow="1" w:lastRow="0" w:firstColumn="1" w:lastColumn="0" w:noHBand="0" w:noVBand="1"/>
      </w:tblPr>
      <w:tblGrid>
        <w:gridCol w:w="2477"/>
        <w:gridCol w:w="992"/>
        <w:gridCol w:w="992"/>
        <w:gridCol w:w="992"/>
        <w:gridCol w:w="993"/>
        <w:gridCol w:w="994"/>
        <w:gridCol w:w="990"/>
        <w:gridCol w:w="1276"/>
      </w:tblGrid>
      <w:tr w:rsidR="00532827" w:rsidRPr="0075770C" w14:paraId="2A81BCCB" w14:textId="77777777" w:rsidTr="00532827">
        <w:tc>
          <w:tcPr>
            <w:tcW w:w="2477" w:type="dxa"/>
          </w:tcPr>
          <w:p w14:paraId="0226788F" w14:textId="77777777" w:rsidR="00532827" w:rsidRPr="0075770C" w:rsidRDefault="00532827" w:rsidP="00532827">
            <w:pPr>
              <w:jc w:val="both"/>
              <w:rPr>
                <w:lang w:val="en-GB"/>
              </w:rPr>
            </w:pPr>
          </w:p>
        </w:tc>
        <w:tc>
          <w:tcPr>
            <w:tcW w:w="1984" w:type="dxa"/>
            <w:gridSpan w:val="2"/>
          </w:tcPr>
          <w:p w14:paraId="18EBB515" w14:textId="77777777" w:rsidR="00532827" w:rsidRPr="0075770C" w:rsidRDefault="00532827" w:rsidP="00532827">
            <w:pPr>
              <w:jc w:val="center"/>
              <w:rPr>
                <w:b/>
                <w:lang w:val="en-GB"/>
              </w:rPr>
            </w:pPr>
            <w:r w:rsidRPr="0075770C">
              <w:rPr>
                <w:b/>
                <w:lang w:val="en-GB"/>
              </w:rPr>
              <w:t>1996</w:t>
            </w:r>
          </w:p>
        </w:tc>
        <w:tc>
          <w:tcPr>
            <w:tcW w:w="1985" w:type="dxa"/>
            <w:gridSpan w:val="2"/>
          </w:tcPr>
          <w:p w14:paraId="258EA3C6" w14:textId="77777777" w:rsidR="00532827" w:rsidRPr="0075770C" w:rsidRDefault="00532827" w:rsidP="00532827">
            <w:pPr>
              <w:jc w:val="center"/>
              <w:rPr>
                <w:b/>
                <w:lang w:val="en-GB"/>
              </w:rPr>
            </w:pPr>
            <w:r w:rsidRPr="0075770C">
              <w:rPr>
                <w:b/>
                <w:lang w:val="en-GB"/>
              </w:rPr>
              <w:t>2006</w:t>
            </w:r>
          </w:p>
        </w:tc>
        <w:tc>
          <w:tcPr>
            <w:tcW w:w="1984" w:type="dxa"/>
            <w:gridSpan w:val="2"/>
          </w:tcPr>
          <w:p w14:paraId="6C2DB5CC" w14:textId="77777777" w:rsidR="00532827" w:rsidRPr="0075770C" w:rsidRDefault="00532827" w:rsidP="00532827">
            <w:pPr>
              <w:jc w:val="center"/>
              <w:rPr>
                <w:b/>
                <w:lang w:val="en-GB"/>
              </w:rPr>
            </w:pPr>
            <w:r w:rsidRPr="0075770C">
              <w:rPr>
                <w:b/>
                <w:lang w:val="en-GB"/>
              </w:rPr>
              <w:t>2016</w:t>
            </w:r>
          </w:p>
        </w:tc>
        <w:tc>
          <w:tcPr>
            <w:tcW w:w="1276" w:type="dxa"/>
          </w:tcPr>
          <w:p w14:paraId="30A44F44" w14:textId="7AE725BF" w:rsidR="00532827" w:rsidRPr="00162A8C" w:rsidRDefault="00532827" w:rsidP="00532827">
            <w:pPr>
              <w:jc w:val="center"/>
              <w:rPr>
                <w:lang w:val="en-GB"/>
              </w:rPr>
            </w:pPr>
          </w:p>
        </w:tc>
      </w:tr>
      <w:tr w:rsidR="00532827" w:rsidRPr="0075770C" w14:paraId="51A56CDE" w14:textId="77777777" w:rsidTr="00532827">
        <w:tc>
          <w:tcPr>
            <w:tcW w:w="2477" w:type="dxa"/>
          </w:tcPr>
          <w:p w14:paraId="4E349076" w14:textId="77777777" w:rsidR="00532827" w:rsidRPr="0075770C" w:rsidRDefault="00532827" w:rsidP="00532827">
            <w:pPr>
              <w:jc w:val="both"/>
              <w:rPr>
                <w:lang w:val="en-GB"/>
              </w:rPr>
            </w:pPr>
          </w:p>
        </w:tc>
        <w:tc>
          <w:tcPr>
            <w:tcW w:w="992" w:type="dxa"/>
          </w:tcPr>
          <w:p w14:paraId="5196DB1A" w14:textId="77777777" w:rsidR="00532827" w:rsidRPr="0075770C" w:rsidRDefault="00532827" w:rsidP="00532827">
            <w:pPr>
              <w:jc w:val="center"/>
              <w:rPr>
                <w:lang w:val="en-GB"/>
              </w:rPr>
            </w:pPr>
            <w:r w:rsidRPr="0075770C">
              <w:rPr>
                <w:lang w:val="en-GB"/>
              </w:rPr>
              <w:t>L</w:t>
            </w:r>
          </w:p>
        </w:tc>
        <w:tc>
          <w:tcPr>
            <w:tcW w:w="992" w:type="dxa"/>
          </w:tcPr>
          <w:p w14:paraId="2360654A" w14:textId="77777777" w:rsidR="00532827" w:rsidRPr="0075770C" w:rsidRDefault="00532827" w:rsidP="00532827">
            <w:pPr>
              <w:jc w:val="center"/>
              <w:rPr>
                <w:lang w:val="en-GB"/>
              </w:rPr>
            </w:pPr>
            <w:r w:rsidRPr="0075770C">
              <w:rPr>
                <w:lang w:val="en-GB"/>
              </w:rPr>
              <w:t>MH</w:t>
            </w:r>
          </w:p>
        </w:tc>
        <w:tc>
          <w:tcPr>
            <w:tcW w:w="992" w:type="dxa"/>
          </w:tcPr>
          <w:p w14:paraId="441A907D" w14:textId="77777777" w:rsidR="00532827" w:rsidRPr="0075770C" w:rsidRDefault="00532827" w:rsidP="00532827">
            <w:pPr>
              <w:jc w:val="center"/>
              <w:rPr>
                <w:lang w:val="en-GB"/>
              </w:rPr>
            </w:pPr>
            <w:r w:rsidRPr="0075770C">
              <w:rPr>
                <w:lang w:val="en-GB"/>
              </w:rPr>
              <w:t>L</w:t>
            </w:r>
          </w:p>
        </w:tc>
        <w:tc>
          <w:tcPr>
            <w:tcW w:w="993" w:type="dxa"/>
          </w:tcPr>
          <w:p w14:paraId="4A25E5A0" w14:textId="77777777" w:rsidR="00532827" w:rsidRPr="0075770C" w:rsidRDefault="00532827" w:rsidP="00532827">
            <w:pPr>
              <w:jc w:val="center"/>
              <w:rPr>
                <w:lang w:val="en-GB"/>
              </w:rPr>
            </w:pPr>
            <w:r w:rsidRPr="0075770C">
              <w:rPr>
                <w:lang w:val="en-GB"/>
              </w:rPr>
              <w:t>MH</w:t>
            </w:r>
          </w:p>
        </w:tc>
        <w:tc>
          <w:tcPr>
            <w:tcW w:w="994" w:type="dxa"/>
          </w:tcPr>
          <w:p w14:paraId="2AE6F947" w14:textId="77777777" w:rsidR="00532827" w:rsidRPr="0075770C" w:rsidRDefault="00532827" w:rsidP="00532827">
            <w:pPr>
              <w:jc w:val="center"/>
              <w:rPr>
                <w:lang w:val="en-GB"/>
              </w:rPr>
            </w:pPr>
            <w:r w:rsidRPr="0075770C">
              <w:rPr>
                <w:lang w:val="en-GB"/>
              </w:rPr>
              <w:t>L</w:t>
            </w:r>
          </w:p>
        </w:tc>
        <w:tc>
          <w:tcPr>
            <w:tcW w:w="990" w:type="dxa"/>
          </w:tcPr>
          <w:p w14:paraId="79F5DD93" w14:textId="77777777" w:rsidR="00532827" w:rsidRPr="0075770C" w:rsidRDefault="00532827" w:rsidP="00532827">
            <w:pPr>
              <w:jc w:val="center"/>
              <w:rPr>
                <w:lang w:val="en-GB"/>
              </w:rPr>
            </w:pPr>
            <w:r w:rsidRPr="0075770C">
              <w:rPr>
                <w:lang w:val="en-GB"/>
              </w:rPr>
              <w:t>MH</w:t>
            </w:r>
          </w:p>
        </w:tc>
        <w:tc>
          <w:tcPr>
            <w:tcW w:w="1276" w:type="dxa"/>
          </w:tcPr>
          <w:p w14:paraId="684246DD" w14:textId="109FFD1C" w:rsidR="00532827" w:rsidRPr="00162A8C" w:rsidRDefault="00162A8C" w:rsidP="00532827">
            <w:pPr>
              <w:jc w:val="center"/>
              <w:rPr>
                <w:lang w:val="en-GB"/>
              </w:rPr>
            </w:pPr>
            <w:r w:rsidRPr="00162A8C">
              <w:rPr>
                <w:lang w:val="en-GB"/>
              </w:rPr>
              <w:t>Mean N</w:t>
            </w:r>
          </w:p>
        </w:tc>
      </w:tr>
      <w:tr w:rsidR="00532827" w:rsidRPr="0075770C" w14:paraId="149E1586" w14:textId="77777777" w:rsidTr="00532827">
        <w:tc>
          <w:tcPr>
            <w:tcW w:w="2477" w:type="dxa"/>
          </w:tcPr>
          <w:p w14:paraId="524E5FA8" w14:textId="77777777" w:rsidR="00532827" w:rsidRPr="0075770C" w:rsidRDefault="00532827" w:rsidP="00532827">
            <w:pPr>
              <w:rPr>
                <w:lang w:val="en-GB"/>
              </w:rPr>
            </w:pPr>
            <w:r w:rsidRPr="0075770C">
              <w:rPr>
                <w:lang w:val="en-GB"/>
              </w:rPr>
              <w:t>Contact with the Commission</w:t>
            </w:r>
          </w:p>
          <w:p w14:paraId="23B89629" w14:textId="77777777" w:rsidR="00532827" w:rsidRPr="0075770C" w:rsidRDefault="00532827" w:rsidP="00532827">
            <w:pPr>
              <w:rPr>
                <w:lang w:val="en-GB"/>
              </w:rPr>
            </w:pPr>
          </w:p>
          <w:p w14:paraId="7B656C79" w14:textId="77777777" w:rsidR="00532827" w:rsidRPr="0075770C" w:rsidRDefault="00532827" w:rsidP="00532827">
            <w:pPr>
              <w:rPr>
                <w:lang w:val="en-GB"/>
              </w:rPr>
            </w:pPr>
            <w:r w:rsidRPr="0075770C">
              <w:rPr>
                <w:lang w:val="en-GB"/>
              </w:rPr>
              <w:t>Contact with the Council</w:t>
            </w:r>
          </w:p>
          <w:p w14:paraId="7CFF4607" w14:textId="77777777" w:rsidR="00532827" w:rsidRPr="0075770C" w:rsidRDefault="00532827" w:rsidP="00532827">
            <w:pPr>
              <w:rPr>
                <w:lang w:val="en-GB"/>
              </w:rPr>
            </w:pPr>
          </w:p>
          <w:p w14:paraId="682E8648" w14:textId="77777777" w:rsidR="00532827" w:rsidRPr="0075770C" w:rsidRDefault="00532827" w:rsidP="00532827">
            <w:pPr>
              <w:rPr>
                <w:lang w:val="en-GB"/>
              </w:rPr>
            </w:pPr>
            <w:r w:rsidRPr="0075770C">
              <w:rPr>
                <w:lang w:val="en-GB"/>
              </w:rPr>
              <w:t>Contact with the European Parliament</w:t>
            </w:r>
          </w:p>
          <w:p w14:paraId="5BE26F37" w14:textId="77777777" w:rsidR="00532827" w:rsidRPr="0075770C" w:rsidRDefault="00532827" w:rsidP="00532827">
            <w:pPr>
              <w:rPr>
                <w:lang w:val="en-GB"/>
              </w:rPr>
            </w:pPr>
          </w:p>
          <w:p w14:paraId="18D182E0" w14:textId="77777777" w:rsidR="00532827" w:rsidRPr="0075770C" w:rsidRDefault="00532827" w:rsidP="00532827">
            <w:pPr>
              <w:rPr>
                <w:lang w:val="en-GB"/>
              </w:rPr>
            </w:pPr>
            <w:r w:rsidRPr="0075770C">
              <w:rPr>
                <w:lang w:val="en-GB"/>
              </w:rPr>
              <w:t>Contact with EU agencies</w:t>
            </w:r>
          </w:p>
          <w:p w14:paraId="38968273" w14:textId="77777777" w:rsidR="00532827" w:rsidRPr="0075770C" w:rsidRDefault="00532827" w:rsidP="00532827">
            <w:pPr>
              <w:rPr>
                <w:lang w:val="en-GB"/>
              </w:rPr>
            </w:pPr>
          </w:p>
          <w:p w14:paraId="01173CAA" w14:textId="57FE8375" w:rsidR="00532827" w:rsidRPr="0075770C" w:rsidRDefault="00532827" w:rsidP="00532827">
            <w:pPr>
              <w:rPr>
                <w:lang w:val="en-GB"/>
              </w:rPr>
            </w:pPr>
            <w:r w:rsidRPr="0075770C">
              <w:rPr>
                <w:lang w:val="en-GB"/>
              </w:rPr>
              <w:t xml:space="preserve">Participation in expert </w:t>
            </w:r>
            <w:r w:rsidR="00E6276E" w:rsidRPr="0075770C">
              <w:rPr>
                <w:lang w:val="en-GB"/>
              </w:rPr>
              <w:t>committee</w:t>
            </w:r>
            <w:r w:rsidRPr="0075770C">
              <w:rPr>
                <w:lang w:val="en-GB"/>
              </w:rPr>
              <w:t>(s)</w:t>
            </w:r>
          </w:p>
          <w:p w14:paraId="76D562BC" w14:textId="77777777" w:rsidR="003A39A3" w:rsidRDefault="003A39A3" w:rsidP="00532827">
            <w:pPr>
              <w:rPr>
                <w:lang w:val="en-GB"/>
              </w:rPr>
            </w:pPr>
          </w:p>
          <w:p w14:paraId="68350F97" w14:textId="6D0BC019" w:rsidR="00532827" w:rsidRPr="0075770C" w:rsidRDefault="00532827" w:rsidP="00532827">
            <w:pPr>
              <w:rPr>
                <w:lang w:val="en-GB"/>
              </w:rPr>
            </w:pPr>
            <w:r w:rsidRPr="0075770C">
              <w:rPr>
                <w:lang w:val="en-GB"/>
              </w:rPr>
              <w:t xml:space="preserve">Participation in comitology </w:t>
            </w:r>
            <w:r w:rsidR="00E6276E" w:rsidRPr="0075770C">
              <w:rPr>
                <w:lang w:val="en-GB"/>
              </w:rPr>
              <w:t>committee</w:t>
            </w:r>
            <w:r w:rsidRPr="0075770C">
              <w:rPr>
                <w:lang w:val="en-GB"/>
              </w:rPr>
              <w:t>(s)</w:t>
            </w:r>
          </w:p>
          <w:p w14:paraId="56A401ED" w14:textId="77777777" w:rsidR="00532827" w:rsidRPr="0075770C" w:rsidRDefault="00532827" w:rsidP="00532827">
            <w:pPr>
              <w:rPr>
                <w:lang w:val="en-GB"/>
              </w:rPr>
            </w:pPr>
          </w:p>
          <w:p w14:paraId="6CEAB46A" w14:textId="77777777" w:rsidR="00532827" w:rsidRPr="0075770C" w:rsidRDefault="00532827" w:rsidP="00532827">
            <w:pPr>
              <w:rPr>
                <w:lang w:val="en-GB"/>
              </w:rPr>
            </w:pPr>
            <w:r w:rsidRPr="0075770C">
              <w:rPr>
                <w:lang w:val="en-GB"/>
              </w:rPr>
              <w:t>Participation in the Council</w:t>
            </w:r>
          </w:p>
          <w:p w14:paraId="0318461D" w14:textId="77777777" w:rsidR="00532827" w:rsidRPr="0075770C" w:rsidRDefault="00532827" w:rsidP="00532827">
            <w:pPr>
              <w:rPr>
                <w:lang w:val="en-GB"/>
              </w:rPr>
            </w:pPr>
          </w:p>
          <w:p w14:paraId="554686E6" w14:textId="7C6312B1" w:rsidR="00532827" w:rsidRPr="0075770C" w:rsidRDefault="00532827" w:rsidP="00532827">
            <w:pPr>
              <w:rPr>
                <w:lang w:val="en-GB"/>
              </w:rPr>
            </w:pPr>
            <w:r w:rsidRPr="0075770C">
              <w:rPr>
                <w:lang w:val="en-GB"/>
              </w:rPr>
              <w:t xml:space="preserve">Participation in </w:t>
            </w:r>
            <w:r w:rsidR="00E6276E" w:rsidRPr="0075770C">
              <w:rPr>
                <w:lang w:val="en-GB"/>
              </w:rPr>
              <w:t>committees</w:t>
            </w:r>
            <w:r w:rsidRPr="0075770C">
              <w:rPr>
                <w:lang w:val="en-GB"/>
              </w:rPr>
              <w:t>, boards etc. in EU agencies</w:t>
            </w:r>
          </w:p>
        </w:tc>
        <w:tc>
          <w:tcPr>
            <w:tcW w:w="992" w:type="dxa"/>
          </w:tcPr>
          <w:p w14:paraId="0DB20086" w14:textId="77777777" w:rsidR="00532827" w:rsidRPr="0075770C" w:rsidRDefault="00532827" w:rsidP="00532827">
            <w:pPr>
              <w:jc w:val="center"/>
              <w:rPr>
                <w:lang w:val="en-GB"/>
              </w:rPr>
            </w:pPr>
            <w:r w:rsidRPr="0075770C">
              <w:rPr>
                <w:lang w:val="en-GB"/>
              </w:rPr>
              <w:t>74</w:t>
            </w:r>
          </w:p>
          <w:p w14:paraId="00CACC6E" w14:textId="77777777" w:rsidR="00532827" w:rsidRPr="0075770C" w:rsidRDefault="00532827" w:rsidP="00532827">
            <w:pPr>
              <w:jc w:val="center"/>
              <w:rPr>
                <w:lang w:val="en-GB"/>
              </w:rPr>
            </w:pPr>
          </w:p>
          <w:p w14:paraId="7F1150D4" w14:textId="77777777" w:rsidR="00532827" w:rsidRPr="0075770C" w:rsidRDefault="00532827" w:rsidP="00532827">
            <w:pPr>
              <w:jc w:val="center"/>
              <w:rPr>
                <w:lang w:val="en-GB"/>
              </w:rPr>
            </w:pPr>
          </w:p>
          <w:p w14:paraId="5656D00C" w14:textId="77777777" w:rsidR="00532827" w:rsidRPr="0075770C" w:rsidRDefault="00532827" w:rsidP="00532827">
            <w:pPr>
              <w:jc w:val="center"/>
              <w:rPr>
                <w:lang w:val="en-GB"/>
              </w:rPr>
            </w:pPr>
            <w:r w:rsidRPr="0075770C">
              <w:rPr>
                <w:lang w:val="en-GB"/>
              </w:rPr>
              <w:t>-</w:t>
            </w:r>
          </w:p>
          <w:p w14:paraId="5B784B7A" w14:textId="77777777" w:rsidR="00532827" w:rsidRPr="0075770C" w:rsidRDefault="00532827" w:rsidP="00532827">
            <w:pPr>
              <w:jc w:val="center"/>
              <w:rPr>
                <w:lang w:val="en-GB"/>
              </w:rPr>
            </w:pPr>
          </w:p>
          <w:p w14:paraId="30F46F79" w14:textId="77777777" w:rsidR="00532827" w:rsidRPr="0075770C" w:rsidRDefault="00532827" w:rsidP="00532827">
            <w:pPr>
              <w:jc w:val="center"/>
              <w:rPr>
                <w:lang w:val="en-GB"/>
              </w:rPr>
            </w:pPr>
          </w:p>
          <w:p w14:paraId="2C653ADE" w14:textId="77777777" w:rsidR="00532827" w:rsidRPr="0075770C" w:rsidRDefault="00532827" w:rsidP="00532827">
            <w:pPr>
              <w:jc w:val="center"/>
              <w:rPr>
                <w:lang w:val="en-GB"/>
              </w:rPr>
            </w:pPr>
            <w:r w:rsidRPr="0075770C">
              <w:rPr>
                <w:lang w:val="en-GB"/>
              </w:rPr>
              <w:t>-</w:t>
            </w:r>
          </w:p>
          <w:p w14:paraId="42901C2F" w14:textId="77777777" w:rsidR="00532827" w:rsidRPr="0075770C" w:rsidRDefault="00532827" w:rsidP="00532827">
            <w:pPr>
              <w:jc w:val="center"/>
              <w:rPr>
                <w:lang w:val="en-GB"/>
              </w:rPr>
            </w:pPr>
          </w:p>
          <w:p w14:paraId="2D960021" w14:textId="77777777" w:rsidR="00532827" w:rsidRPr="0075770C" w:rsidRDefault="00532827" w:rsidP="00532827">
            <w:pPr>
              <w:jc w:val="center"/>
              <w:rPr>
                <w:lang w:val="en-GB"/>
              </w:rPr>
            </w:pPr>
          </w:p>
          <w:p w14:paraId="6E8FCFA5" w14:textId="77777777" w:rsidR="00532827" w:rsidRPr="0075770C" w:rsidRDefault="00532827" w:rsidP="00532827">
            <w:pPr>
              <w:jc w:val="center"/>
              <w:rPr>
                <w:lang w:val="en-GB"/>
              </w:rPr>
            </w:pPr>
            <w:r w:rsidRPr="0075770C">
              <w:rPr>
                <w:lang w:val="en-GB"/>
              </w:rPr>
              <w:t>-</w:t>
            </w:r>
          </w:p>
          <w:p w14:paraId="1E1DEF18" w14:textId="77777777" w:rsidR="00532827" w:rsidRPr="0075770C" w:rsidRDefault="00532827" w:rsidP="00532827">
            <w:pPr>
              <w:jc w:val="center"/>
              <w:rPr>
                <w:lang w:val="en-GB"/>
              </w:rPr>
            </w:pPr>
          </w:p>
          <w:p w14:paraId="7D6A32D3" w14:textId="77777777" w:rsidR="00532827" w:rsidRPr="0075770C" w:rsidRDefault="00532827" w:rsidP="00532827">
            <w:pPr>
              <w:jc w:val="center"/>
              <w:rPr>
                <w:lang w:val="en-GB"/>
              </w:rPr>
            </w:pPr>
          </w:p>
          <w:p w14:paraId="6E2CB0F3" w14:textId="77777777" w:rsidR="00532827" w:rsidRPr="0075770C" w:rsidRDefault="00532827" w:rsidP="00532827">
            <w:pPr>
              <w:jc w:val="center"/>
              <w:rPr>
                <w:lang w:val="en-GB"/>
              </w:rPr>
            </w:pPr>
            <w:r w:rsidRPr="0075770C">
              <w:rPr>
                <w:lang w:val="en-GB"/>
              </w:rPr>
              <w:t>78</w:t>
            </w:r>
          </w:p>
          <w:p w14:paraId="438D547C" w14:textId="77777777" w:rsidR="00532827" w:rsidRPr="0075770C" w:rsidRDefault="00532827" w:rsidP="00532827">
            <w:pPr>
              <w:jc w:val="center"/>
              <w:rPr>
                <w:lang w:val="en-GB"/>
              </w:rPr>
            </w:pPr>
          </w:p>
          <w:p w14:paraId="1FEEFCC7" w14:textId="3D4892C7" w:rsidR="00532827" w:rsidRDefault="00532827" w:rsidP="00532827">
            <w:pPr>
              <w:jc w:val="center"/>
              <w:rPr>
                <w:lang w:val="en-GB"/>
              </w:rPr>
            </w:pPr>
          </w:p>
          <w:p w14:paraId="2433A3DA" w14:textId="77777777" w:rsidR="003A39A3" w:rsidRDefault="003A39A3" w:rsidP="00532827">
            <w:pPr>
              <w:jc w:val="center"/>
              <w:rPr>
                <w:lang w:val="en-GB"/>
              </w:rPr>
            </w:pPr>
          </w:p>
          <w:p w14:paraId="6F516194" w14:textId="77777777" w:rsidR="003A39A3" w:rsidRPr="0075770C" w:rsidRDefault="003A39A3" w:rsidP="00532827">
            <w:pPr>
              <w:jc w:val="center"/>
              <w:rPr>
                <w:lang w:val="en-GB"/>
              </w:rPr>
            </w:pPr>
          </w:p>
          <w:p w14:paraId="2E642F11" w14:textId="77777777" w:rsidR="00532827" w:rsidRPr="0075770C" w:rsidRDefault="00532827" w:rsidP="00532827">
            <w:pPr>
              <w:jc w:val="center"/>
              <w:rPr>
                <w:lang w:val="en-GB"/>
              </w:rPr>
            </w:pPr>
            <w:r w:rsidRPr="0075770C">
              <w:rPr>
                <w:lang w:val="en-GB"/>
              </w:rPr>
              <w:t>71</w:t>
            </w:r>
          </w:p>
          <w:p w14:paraId="546E71AC" w14:textId="77777777" w:rsidR="00532827" w:rsidRPr="0075770C" w:rsidRDefault="00532827" w:rsidP="00532827">
            <w:pPr>
              <w:jc w:val="center"/>
              <w:rPr>
                <w:lang w:val="en-GB"/>
              </w:rPr>
            </w:pPr>
          </w:p>
          <w:p w14:paraId="2C0BACCD" w14:textId="77777777" w:rsidR="00532827" w:rsidRPr="0075770C" w:rsidRDefault="00532827" w:rsidP="00532827">
            <w:pPr>
              <w:jc w:val="center"/>
              <w:rPr>
                <w:lang w:val="en-GB"/>
              </w:rPr>
            </w:pPr>
          </w:p>
          <w:p w14:paraId="56F0FBBA" w14:textId="77777777" w:rsidR="00532827" w:rsidRPr="0075770C" w:rsidRDefault="00532827" w:rsidP="00532827">
            <w:pPr>
              <w:jc w:val="center"/>
              <w:rPr>
                <w:lang w:val="en-GB"/>
              </w:rPr>
            </w:pPr>
          </w:p>
          <w:p w14:paraId="75F604CE" w14:textId="77777777" w:rsidR="00532827" w:rsidRPr="0075770C" w:rsidRDefault="00532827" w:rsidP="00532827">
            <w:pPr>
              <w:jc w:val="center"/>
              <w:rPr>
                <w:lang w:val="en-GB"/>
              </w:rPr>
            </w:pPr>
            <w:r w:rsidRPr="0075770C">
              <w:rPr>
                <w:lang w:val="en-GB"/>
              </w:rPr>
              <w:t>-</w:t>
            </w:r>
          </w:p>
          <w:p w14:paraId="7A2344CC" w14:textId="77777777" w:rsidR="00532827" w:rsidRPr="0075770C" w:rsidRDefault="00532827" w:rsidP="00532827">
            <w:pPr>
              <w:jc w:val="center"/>
              <w:rPr>
                <w:lang w:val="en-GB"/>
              </w:rPr>
            </w:pPr>
          </w:p>
          <w:p w14:paraId="361350F4" w14:textId="77777777" w:rsidR="00532827" w:rsidRPr="0075770C" w:rsidRDefault="00532827" w:rsidP="00532827">
            <w:pPr>
              <w:jc w:val="center"/>
              <w:rPr>
                <w:lang w:val="en-GB"/>
              </w:rPr>
            </w:pPr>
          </w:p>
          <w:p w14:paraId="1E156A73" w14:textId="77777777" w:rsidR="00532827" w:rsidRPr="0075770C" w:rsidRDefault="00532827" w:rsidP="00532827">
            <w:pPr>
              <w:jc w:val="center"/>
              <w:rPr>
                <w:lang w:val="en-GB"/>
              </w:rPr>
            </w:pPr>
            <w:r w:rsidRPr="0075770C">
              <w:rPr>
                <w:lang w:val="en-GB"/>
              </w:rPr>
              <w:t>-</w:t>
            </w:r>
          </w:p>
        </w:tc>
        <w:tc>
          <w:tcPr>
            <w:tcW w:w="992" w:type="dxa"/>
          </w:tcPr>
          <w:p w14:paraId="36A16E08" w14:textId="77777777" w:rsidR="00532827" w:rsidRPr="0075770C" w:rsidRDefault="00532827" w:rsidP="00532827">
            <w:pPr>
              <w:jc w:val="center"/>
              <w:rPr>
                <w:lang w:val="en-GB"/>
              </w:rPr>
            </w:pPr>
            <w:r w:rsidRPr="0075770C">
              <w:rPr>
                <w:lang w:val="en-GB"/>
              </w:rPr>
              <w:t>26</w:t>
            </w:r>
          </w:p>
          <w:p w14:paraId="6A0701D8" w14:textId="77777777" w:rsidR="00532827" w:rsidRPr="0075770C" w:rsidRDefault="00532827" w:rsidP="00532827">
            <w:pPr>
              <w:jc w:val="center"/>
              <w:rPr>
                <w:lang w:val="en-GB"/>
              </w:rPr>
            </w:pPr>
          </w:p>
          <w:p w14:paraId="29DEAC9D" w14:textId="77777777" w:rsidR="00532827" w:rsidRPr="0075770C" w:rsidRDefault="00532827" w:rsidP="00532827">
            <w:pPr>
              <w:jc w:val="center"/>
              <w:rPr>
                <w:lang w:val="en-GB"/>
              </w:rPr>
            </w:pPr>
          </w:p>
          <w:p w14:paraId="5E90C126" w14:textId="77777777" w:rsidR="00532827" w:rsidRPr="0075770C" w:rsidRDefault="00532827" w:rsidP="00532827">
            <w:pPr>
              <w:jc w:val="center"/>
              <w:rPr>
                <w:lang w:val="en-GB"/>
              </w:rPr>
            </w:pPr>
            <w:r w:rsidRPr="0075770C">
              <w:rPr>
                <w:lang w:val="en-GB"/>
              </w:rPr>
              <w:t>-</w:t>
            </w:r>
          </w:p>
          <w:p w14:paraId="724EBEE5" w14:textId="77777777" w:rsidR="00532827" w:rsidRPr="0075770C" w:rsidRDefault="00532827" w:rsidP="00532827">
            <w:pPr>
              <w:jc w:val="center"/>
              <w:rPr>
                <w:lang w:val="en-GB"/>
              </w:rPr>
            </w:pPr>
          </w:p>
          <w:p w14:paraId="51FE4D34" w14:textId="77777777" w:rsidR="00532827" w:rsidRPr="0075770C" w:rsidRDefault="00532827" w:rsidP="00532827">
            <w:pPr>
              <w:jc w:val="center"/>
              <w:rPr>
                <w:lang w:val="en-GB"/>
              </w:rPr>
            </w:pPr>
          </w:p>
          <w:p w14:paraId="23E4A107" w14:textId="77777777" w:rsidR="00532827" w:rsidRPr="0075770C" w:rsidRDefault="00532827" w:rsidP="00532827">
            <w:pPr>
              <w:jc w:val="center"/>
              <w:rPr>
                <w:lang w:val="en-GB"/>
              </w:rPr>
            </w:pPr>
            <w:r w:rsidRPr="0075770C">
              <w:rPr>
                <w:lang w:val="en-GB"/>
              </w:rPr>
              <w:t>-</w:t>
            </w:r>
          </w:p>
          <w:p w14:paraId="15025AEB" w14:textId="77777777" w:rsidR="00532827" w:rsidRPr="0075770C" w:rsidRDefault="00532827" w:rsidP="00532827">
            <w:pPr>
              <w:jc w:val="center"/>
              <w:rPr>
                <w:lang w:val="en-GB"/>
              </w:rPr>
            </w:pPr>
          </w:p>
          <w:p w14:paraId="1666A6E4" w14:textId="77777777" w:rsidR="00532827" w:rsidRPr="0075770C" w:rsidRDefault="00532827" w:rsidP="00532827">
            <w:pPr>
              <w:jc w:val="center"/>
              <w:rPr>
                <w:lang w:val="en-GB"/>
              </w:rPr>
            </w:pPr>
          </w:p>
          <w:p w14:paraId="7B1D312C" w14:textId="77777777" w:rsidR="00532827" w:rsidRPr="0075770C" w:rsidRDefault="00532827" w:rsidP="00532827">
            <w:pPr>
              <w:jc w:val="center"/>
              <w:rPr>
                <w:lang w:val="en-GB"/>
              </w:rPr>
            </w:pPr>
            <w:r w:rsidRPr="0075770C">
              <w:rPr>
                <w:lang w:val="en-GB"/>
              </w:rPr>
              <w:t>-</w:t>
            </w:r>
          </w:p>
          <w:p w14:paraId="29F4559A" w14:textId="77777777" w:rsidR="00532827" w:rsidRPr="0075770C" w:rsidRDefault="00532827" w:rsidP="00532827">
            <w:pPr>
              <w:jc w:val="center"/>
              <w:rPr>
                <w:lang w:val="en-GB"/>
              </w:rPr>
            </w:pPr>
          </w:p>
          <w:p w14:paraId="1D84CF16" w14:textId="77777777" w:rsidR="00532827" w:rsidRPr="0075770C" w:rsidRDefault="00532827" w:rsidP="00532827">
            <w:pPr>
              <w:jc w:val="center"/>
              <w:rPr>
                <w:lang w:val="en-GB"/>
              </w:rPr>
            </w:pPr>
          </w:p>
          <w:p w14:paraId="0B09462D" w14:textId="77777777" w:rsidR="00532827" w:rsidRPr="0075770C" w:rsidRDefault="00532827" w:rsidP="00532827">
            <w:pPr>
              <w:jc w:val="center"/>
              <w:rPr>
                <w:lang w:val="en-GB"/>
              </w:rPr>
            </w:pPr>
            <w:r w:rsidRPr="0075770C">
              <w:rPr>
                <w:lang w:val="en-GB"/>
              </w:rPr>
              <w:t>22</w:t>
            </w:r>
          </w:p>
          <w:p w14:paraId="7DD5F540" w14:textId="77777777" w:rsidR="00532827" w:rsidRPr="0075770C" w:rsidRDefault="00532827" w:rsidP="00532827">
            <w:pPr>
              <w:jc w:val="center"/>
              <w:rPr>
                <w:lang w:val="en-GB"/>
              </w:rPr>
            </w:pPr>
          </w:p>
          <w:p w14:paraId="142E8E57" w14:textId="2E06D326" w:rsidR="00532827" w:rsidRDefault="00532827" w:rsidP="00532827">
            <w:pPr>
              <w:jc w:val="center"/>
              <w:rPr>
                <w:lang w:val="en-GB"/>
              </w:rPr>
            </w:pPr>
          </w:p>
          <w:p w14:paraId="56DF138C" w14:textId="12608343" w:rsidR="003A39A3" w:rsidRDefault="003A39A3" w:rsidP="00532827">
            <w:pPr>
              <w:jc w:val="center"/>
              <w:rPr>
                <w:lang w:val="en-GB"/>
              </w:rPr>
            </w:pPr>
          </w:p>
          <w:p w14:paraId="1B985412" w14:textId="77777777" w:rsidR="003A39A3" w:rsidRPr="0075770C" w:rsidRDefault="003A39A3" w:rsidP="00532827">
            <w:pPr>
              <w:jc w:val="center"/>
              <w:rPr>
                <w:lang w:val="en-GB"/>
              </w:rPr>
            </w:pPr>
          </w:p>
          <w:p w14:paraId="59175D45" w14:textId="77777777" w:rsidR="00532827" w:rsidRPr="0075770C" w:rsidRDefault="00532827" w:rsidP="00532827">
            <w:pPr>
              <w:jc w:val="center"/>
              <w:rPr>
                <w:lang w:val="en-GB"/>
              </w:rPr>
            </w:pPr>
            <w:r w:rsidRPr="0075770C">
              <w:rPr>
                <w:lang w:val="en-GB"/>
              </w:rPr>
              <w:t>29</w:t>
            </w:r>
          </w:p>
          <w:p w14:paraId="70620CB6" w14:textId="77777777" w:rsidR="00532827" w:rsidRPr="0075770C" w:rsidRDefault="00532827" w:rsidP="00532827">
            <w:pPr>
              <w:jc w:val="center"/>
              <w:rPr>
                <w:lang w:val="en-GB"/>
              </w:rPr>
            </w:pPr>
          </w:p>
          <w:p w14:paraId="7C8E8A7D" w14:textId="77777777" w:rsidR="00532827" w:rsidRPr="0075770C" w:rsidRDefault="00532827" w:rsidP="00532827">
            <w:pPr>
              <w:jc w:val="center"/>
              <w:rPr>
                <w:lang w:val="en-GB"/>
              </w:rPr>
            </w:pPr>
          </w:p>
          <w:p w14:paraId="0363DEAA" w14:textId="77777777" w:rsidR="00532827" w:rsidRPr="0075770C" w:rsidRDefault="00532827" w:rsidP="00532827">
            <w:pPr>
              <w:jc w:val="center"/>
              <w:rPr>
                <w:lang w:val="en-GB"/>
              </w:rPr>
            </w:pPr>
          </w:p>
          <w:p w14:paraId="2961DFF9" w14:textId="77777777" w:rsidR="00532827" w:rsidRPr="0075770C" w:rsidRDefault="00532827" w:rsidP="00532827">
            <w:pPr>
              <w:jc w:val="center"/>
              <w:rPr>
                <w:lang w:val="en-GB"/>
              </w:rPr>
            </w:pPr>
            <w:r w:rsidRPr="0075770C">
              <w:rPr>
                <w:lang w:val="en-GB"/>
              </w:rPr>
              <w:t>-</w:t>
            </w:r>
          </w:p>
          <w:p w14:paraId="2ADA207C" w14:textId="77777777" w:rsidR="00532827" w:rsidRPr="0075770C" w:rsidRDefault="00532827" w:rsidP="00532827">
            <w:pPr>
              <w:jc w:val="center"/>
              <w:rPr>
                <w:lang w:val="en-GB"/>
              </w:rPr>
            </w:pPr>
          </w:p>
          <w:p w14:paraId="0D1D0466" w14:textId="77777777" w:rsidR="00532827" w:rsidRPr="0075770C" w:rsidRDefault="00532827" w:rsidP="00532827">
            <w:pPr>
              <w:jc w:val="center"/>
              <w:rPr>
                <w:lang w:val="en-GB"/>
              </w:rPr>
            </w:pPr>
          </w:p>
          <w:p w14:paraId="2D3E7E3E" w14:textId="77777777" w:rsidR="00532827" w:rsidRPr="0075770C" w:rsidRDefault="00532827" w:rsidP="00532827">
            <w:pPr>
              <w:jc w:val="center"/>
              <w:rPr>
                <w:lang w:val="en-GB"/>
              </w:rPr>
            </w:pPr>
            <w:r w:rsidRPr="0075770C">
              <w:rPr>
                <w:lang w:val="en-GB"/>
              </w:rPr>
              <w:t>-</w:t>
            </w:r>
          </w:p>
        </w:tc>
        <w:tc>
          <w:tcPr>
            <w:tcW w:w="992" w:type="dxa"/>
          </w:tcPr>
          <w:p w14:paraId="517DEB69" w14:textId="77777777" w:rsidR="00532827" w:rsidRPr="0075770C" w:rsidRDefault="00532827" w:rsidP="00532827">
            <w:pPr>
              <w:jc w:val="center"/>
              <w:rPr>
                <w:lang w:val="en-GB"/>
              </w:rPr>
            </w:pPr>
            <w:r w:rsidRPr="0075770C">
              <w:rPr>
                <w:lang w:val="en-GB"/>
              </w:rPr>
              <w:t>63</w:t>
            </w:r>
          </w:p>
          <w:p w14:paraId="66BD01A5" w14:textId="77777777" w:rsidR="00532827" w:rsidRPr="0075770C" w:rsidRDefault="00532827" w:rsidP="00532827">
            <w:pPr>
              <w:jc w:val="center"/>
              <w:rPr>
                <w:lang w:val="en-GB"/>
              </w:rPr>
            </w:pPr>
          </w:p>
          <w:p w14:paraId="7BF5035C" w14:textId="77777777" w:rsidR="00532827" w:rsidRPr="0075770C" w:rsidRDefault="00532827" w:rsidP="00532827">
            <w:pPr>
              <w:jc w:val="center"/>
              <w:rPr>
                <w:lang w:val="en-GB"/>
              </w:rPr>
            </w:pPr>
          </w:p>
          <w:p w14:paraId="018EDA42" w14:textId="77777777" w:rsidR="00532827" w:rsidRPr="0075770C" w:rsidRDefault="00532827" w:rsidP="00532827">
            <w:pPr>
              <w:jc w:val="center"/>
              <w:rPr>
                <w:lang w:val="en-GB"/>
              </w:rPr>
            </w:pPr>
            <w:r w:rsidRPr="0075770C">
              <w:rPr>
                <w:lang w:val="en-GB"/>
              </w:rPr>
              <w:t>-</w:t>
            </w:r>
          </w:p>
          <w:p w14:paraId="6057D6F0" w14:textId="77777777" w:rsidR="00532827" w:rsidRPr="0075770C" w:rsidRDefault="00532827" w:rsidP="00532827">
            <w:pPr>
              <w:jc w:val="center"/>
              <w:rPr>
                <w:lang w:val="en-GB"/>
              </w:rPr>
            </w:pPr>
          </w:p>
          <w:p w14:paraId="24DDA189" w14:textId="77777777" w:rsidR="00532827" w:rsidRPr="0075770C" w:rsidRDefault="00532827" w:rsidP="00532827">
            <w:pPr>
              <w:jc w:val="center"/>
              <w:rPr>
                <w:lang w:val="en-GB"/>
              </w:rPr>
            </w:pPr>
          </w:p>
          <w:p w14:paraId="658ADCBC" w14:textId="77777777" w:rsidR="00532827" w:rsidRPr="0075770C" w:rsidRDefault="00532827" w:rsidP="00532827">
            <w:pPr>
              <w:jc w:val="center"/>
              <w:rPr>
                <w:lang w:val="en-GB"/>
              </w:rPr>
            </w:pPr>
            <w:r w:rsidRPr="0075770C">
              <w:rPr>
                <w:lang w:val="en-GB"/>
              </w:rPr>
              <w:t>-</w:t>
            </w:r>
          </w:p>
          <w:p w14:paraId="1B42FB94" w14:textId="77777777" w:rsidR="00532827" w:rsidRPr="0075770C" w:rsidRDefault="00532827" w:rsidP="00532827">
            <w:pPr>
              <w:jc w:val="center"/>
              <w:rPr>
                <w:lang w:val="en-GB"/>
              </w:rPr>
            </w:pPr>
          </w:p>
          <w:p w14:paraId="73BA2A17" w14:textId="77777777" w:rsidR="00532827" w:rsidRPr="0075770C" w:rsidRDefault="00532827" w:rsidP="00532827">
            <w:pPr>
              <w:jc w:val="center"/>
              <w:rPr>
                <w:lang w:val="en-GB"/>
              </w:rPr>
            </w:pPr>
          </w:p>
          <w:p w14:paraId="47ED9F94" w14:textId="77777777" w:rsidR="00532827" w:rsidRPr="0075770C" w:rsidRDefault="00532827" w:rsidP="00532827">
            <w:pPr>
              <w:jc w:val="center"/>
              <w:rPr>
                <w:lang w:val="en-GB"/>
              </w:rPr>
            </w:pPr>
            <w:r w:rsidRPr="0075770C">
              <w:rPr>
                <w:lang w:val="en-GB"/>
              </w:rPr>
              <w:t>73</w:t>
            </w:r>
          </w:p>
          <w:p w14:paraId="020FC7E9" w14:textId="77777777" w:rsidR="00532827" w:rsidRPr="0075770C" w:rsidRDefault="00532827" w:rsidP="00532827">
            <w:pPr>
              <w:jc w:val="center"/>
              <w:rPr>
                <w:lang w:val="en-GB"/>
              </w:rPr>
            </w:pPr>
          </w:p>
          <w:p w14:paraId="3274F2A3" w14:textId="77777777" w:rsidR="00532827" w:rsidRPr="0075770C" w:rsidRDefault="00532827" w:rsidP="00532827">
            <w:pPr>
              <w:jc w:val="center"/>
              <w:rPr>
                <w:lang w:val="en-GB"/>
              </w:rPr>
            </w:pPr>
          </w:p>
          <w:p w14:paraId="4B8D2B83" w14:textId="77777777" w:rsidR="00532827" w:rsidRPr="0075770C" w:rsidRDefault="00532827" w:rsidP="00532827">
            <w:pPr>
              <w:jc w:val="center"/>
              <w:rPr>
                <w:lang w:val="en-GB"/>
              </w:rPr>
            </w:pPr>
            <w:r w:rsidRPr="0075770C">
              <w:rPr>
                <w:lang w:val="en-GB"/>
              </w:rPr>
              <w:t>70</w:t>
            </w:r>
          </w:p>
          <w:p w14:paraId="01CB1856" w14:textId="77777777" w:rsidR="00532827" w:rsidRPr="0075770C" w:rsidRDefault="00532827" w:rsidP="00532827">
            <w:pPr>
              <w:jc w:val="center"/>
              <w:rPr>
                <w:lang w:val="en-GB"/>
              </w:rPr>
            </w:pPr>
          </w:p>
          <w:p w14:paraId="67714340" w14:textId="15096102" w:rsidR="00532827" w:rsidRDefault="00532827" w:rsidP="00532827">
            <w:pPr>
              <w:jc w:val="center"/>
              <w:rPr>
                <w:lang w:val="en-GB"/>
              </w:rPr>
            </w:pPr>
          </w:p>
          <w:p w14:paraId="23DB35C9" w14:textId="77777777" w:rsidR="003A39A3" w:rsidRDefault="003A39A3" w:rsidP="00532827">
            <w:pPr>
              <w:jc w:val="center"/>
              <w:rPr>
                <w:lang w:val="en-GB"/>
              </w:rPr>
            </w:pPr>
          </w:p>
          <w:p w14:paraId="50CDFBA9" w14:textId="77777777" w:rsidR="003A39A3" w:rsidRPr="0075770C" w:rsidRDefault="003A39A3" w:rsidP="00532827">
            <w:pPr>
              <w:jc w:val="center"/>
              <w:rPr>
                <w:lang w:val="en-GB"/>
              </w:rPr>
            </w:pPr>
          </w:p>
          <w:p w14:paraId="7F2DEE4D" w14:textId="77777777" w:rsidR="00532827" w:rsidRPr="0075770C" w:rsidRDefault="00532827" w:rsidP="00532827">
            <w:pPr>
              <w:jc w:val="center"/>
              <w:rPr>
                <w:lang w:val="en-GB"/>
              </w:rPr>
            </w:pPr>
            <w:r w:rsidRPr="0075770C">
              <w:rPr>
                <w:lang w:val="en-GB"/>
              </w:rPr>
              <w:t>70</w:t>
            </w:r>
          </w:p>
          <w:p w14:paraId="201C0114" w14:textId="77777777" w:rsidR="00532827" w:rsidRPr="0075770C" w:rsidRDefault="00532827" w:rsidP="00532827">
            <w:pPr>
              <w:jc w:val="center"/>
              <w:rPr>
                <w:lang w:val="en-GB"/>
              </w:rPr>
            </w:pPr>
          </w:p>
          <w:p w14:paraId="6D620E8A" w14:textId="77777777" w:rsidR="00532827" w:rsidRPr="0075770C" w:rsidRDefault="00532827" w:rsidP="00532827">
            <w:pPr>
              <w:jc w:val="center"/>
              <w:rPr>
                <w:lang w:val="en-GB"/>
              </w:rPr>
            </w:pPr>
          </w:p>
          <w:p w14:paraId="65D4BFC3" w14:textId="77777777" w:rsidR="00532827" w:rsidRPr="0075770C" w:rsidRDefault="00532827" w:rsidP="00532827">
            <w:pPr>
              <w:jc w:val="center"/>
              <w:rPr>
                <w:lang w:val="en-GB"/>
              </w:rPr>
            </w:pPr>
          </w:p>
          <w:p w14:paraId="2DCD90F4" w14:textId="77777777" w:rsidR="00532827" w:rsidRPr="0075770C" w:rsidRDefault="00532827" w:rsidP="00532827">
            <w:pPr>
              <w:jc w:val="center"/>
              <w:rPr>
                <w:lang w:val="en-GB"/>
              </w:rPr>
            </w:pPr>
            <w:r w:rsidRPr="0075770C">
              <w:rPr>
                <w:lang w:val="en-GB"/>
              </w:rPr>
              <w:t>-</w:t>
            </w:r>
          </w:p>
          <w:p w14:paraId="423EB6CF" w14:textId="77777777" w:rsidR="00532827" w:rsidRPr="0075770C" w:rsidRDefault="00532827" w:rsidP="00532827">
            <w:pPr>
              <w:jc w:val="center"/>
              <w:rPr>
                <w:lang w:val="en-GB"/>
              </w:rPr>
            </w:pPr>
          </w:p>
          <w:p w14:paraId="7AF7F8B0" w14:textId="77777777" w:rsidR="00532827" w:rsidRPr="0075770C" w:rsidRDefault="00532827" w:rsidP="00532827">
            <w:pPr>
              <w:jc w:val="center"/>
              <w:rPr>
                <w:lang w:val="en-GB"/>
              </w:rPr>
            </w:pPr>
          </w:p>
          <w:p w14:paraId="160C81CF" w14:textId="77777777" w:rsidR="00532827" w:rsidRPr="0075770C" w:rsidRDefault="00532827" w:rsidP="00532827">
            <w:pPr>
              <w:jc w:val="center"/>
              <w:rPr>
                <w:lang w:val="en-GB"/>
              </w:rPr>
            </w:pPr>
            <w:r w:rsidRPr="0075770C">
              <w:rPr>
                <w:lang w:val="en-GB"/>
              </w:rPr>
              <w:t>-</w:t>
            </w:r>
          </w:p>
        </w:tc>
        <w:tc>
          <w:tcPr>
            <w:tcW w:w="993" w:type="dxa"/>
          </w:tcPr>
          <w:p w14:paraId="78DC9E10" w14:textId="77777777" w:rsidR="00532827" w:rsidRPr="0075770C" w:rsidRDefault="00532827" w:rsidP="00532827">
            <w:pPr>
              <w:jc w:val="center"/>
              <w:rPr>
                <w:lang w:val="en-GB"/>
              </w:rPr>
            </w:pPr>
            <w:r w:rsidRPr="0075770C">
              <w:rPr>
                <w:lang w:val="en-GB"/>
              </w:rPr>
              <w:t>37</w:t>
            </w:r>
          </w:p>
          <w:p w14:paraId="42A8D109" w14:textId="77777777" w:rsidR="00532827" w:rsidRPr="0075770C" w:rsidRDefault="00532827" w:rsidP="00532827">
            <w:pPr>
              <w:jc w:val="center"/>
              <w:rPr>
                <w:lang w:val="en-GB"/>
              </w:rPr>
            </w:pPr>
          </w:p>
          <w:p w14:paraId="61681E9C" w14:textId="77777777" w:rsidR="00532827" w:rsidRPr="0075770C" w:rsidRDefault="00532827" w:rsidP="00532827">
            <w:pPr>
              <w:jc w:val="center"/>
              <w:rPr>
                <w:lang w:val="en-GB"/>
              </w:rPr>
            </w:pPr>
          </w:p>
          <w:p w14:paraId="726B266D" w14:textId="77777777" w:rsidR="00532827" w:rsidRPr="0075770C" w:rsidRDefault="00532827" w:rsidP="00532827">
            <w:pPr>
              <w:jc w:val="center"/>
              <w:rPr>
                <w:lang w:val="en-GB"/>
              </w:rPr>
            </w:pPr>
            <w:r w:rsidRPr="0075770C">
              <w:rPr>
                <w:lang w:val="en-GB"/>
              </w:rPr>
              <w:t>-</w:t>
            </w:r>
          </w:p>
          <w:p w14:paraId="13AE290C" w14:textId="77777777" w:rsidR="00532827" w:rsidRPr="0075770C" w:rsidRDefault="00532827" w:rsidP="00532827">
            <w:pPr>
              <w:jc w:val="center"/>
              <w:rPr>
                <w:lang w:val="en-GB"/>
              </w:rPr>
            </w:pPr>
          </w:p>
          <w:p w14:paraId="1B69782B" w14:textId="77777777" w:rsidR="00532827" w:rsidRPr="0075770C" w:rsidRDefault="00532827" w:rsidP="00532827">
            <w:pPr>
              <w:jc w:val="center"/>
              <w:rPr>
                <w:lang w:val="en-GB"/>
              </w:rPr>
            </w:pPr>
          </w:p>
          <w:p w14:paraId="3833D60C" w14:textId="77777777" w:rsidR="00532827" w:rsidRPr="0075770C" w:rsidRDefault="00532827" w:rsidP="00532827">
            <w:pPr>
              <w:jc w:val="center"/>
              <w:rPr>
                <w:lang w:val="en-GB"/>
              </w:rPr>
            </w:pPr>
            <w:r w:rsidRPr="0075770C">
              <w:rPr>
                <w:lang w:val="en-GB"/>
              </w:rPr>
              <w:t>-</w:t>
            </w:r>
          </w:p>
          <w:p w14:paraId="37A76EB0" w14:textId="77777777" w:rsidR="00532827" w:rsidRPr="0075770C" w:rsidRDefault="00532827" w:rsidP="00532827">
            <w:pPr>
              <w:jc w:val="center"/>
              <w:rPr>
                <w:lang w:val="en-GB"/>
              </w:rPr>
            </w:pPr>
          </w:p>
          <w:p w14:paraId="2D4E3818" w14:textId="77777777" w:rsidR="00532827" w:rsidRPr="0075770C" w:rsidRDefault="00532827" w:rsidP="00532827">
            <w:pPr>
              <w:jc w:val="center"/>
              <w:rPr>
                <w:lang w:val="en-GB"/>
              </w:rPr>
            </w:pPr>
          </w:p>
          <w:p w14:paraId="2CCAC89C" w14:textId="77777777" w:rsidR="00532827" w:rsidRPr="0075770C" w:rsidRDefault="00532827" w:rsidP="00532827">
            <w:pPr>
              <w:jc w:val="center"/>
              <w:rPr>
                <w:lang w:val="en-GB"/>
              </w:rPr>
            </w:pPr>
            <w:r w:rsidRPr="0075770C">
              <w:rPr>
                <w:lang w:val="en-GB"/>
              </w:rPr>
              <w:t>27</w:t>
            </w:r>
          </w:p>
          <w:p w14:paraId="7A7EE4FB" w14:textId="77777777" w:rsidR="00532827" w:rsidRPr="0075770C" w:rsidRDefault="00532827" w:rsidP="00532827">
            <w:pPr>
              <w:jc w:val="center"/>
              <w:rPr>
                <w:lang w:val="en-GB"/>
              </w:rPr>
            </w:pPr>
          </w:p>
          <w:p w14:paraId="712368FE" w14:textId="77777777" w:rsidR="00532827" w:rsidRPr="0075770C" w:rsidRDefault="00532827" w:rsidP="00532827">
            <w:pPr>
              <w:jc w:val="center"/>
              <w:rPr>
                <w:lang w:val="en-GB"/>
              </w:rPr>
            </w:pPr>
          </w:p>
          <w:p w14:paraId="767FC331" w14:textId="77777777" w:rsidR="00532827" w:rsidRPr="0075770C" w:rsidRDefault="00532827" w:rsidP="00532827">
            <w:pPr>
              <w:jc w:val="center"/>
              <w:rPr>
                <w:lang w:val="en-GB"/>
              </w:rPr>
            </w:pPr>
            <w:r w:rsidRPr="0075770C">
              <w:rPr>
                <w:lang w:val="en-GB"/>
              </w:rPr>
              <w:t>30</w:t>
            </w:r>
          </w:p>
          <w:p w14:paraId="1E7036CC" w14:textId="77777777" w:rsidR="00532827" w:rsidRPr="0075770C" w:rsidRDefault="00532827" w:rsidP="00532827">
            <w:pPr>
              <w:jc w:val="center"/>
              <w:rPr>
                <w:lang w:val="en-GB"/>
              </w:rPr>
            </w:pPr>
          </w:p>
          <w:p w14:paraId="51F2FDA9" w14:textId="1230DDAE" w:rsidR="00532827" w:rsidRDefault="00532827" w:rsidP="00532827">
            <w:pPr>
              <w:jc w:val="center"/>
              <w:rPr>
                <w:lang w:val="en-GB"/>
              </w:rPr>
            </w:pPr>
          </w:p>
          <w:p w14:paraId="77B51022" w14:textId="77777777" w:rsidR="003A39A3" w:rsidRDefault="003A39A3" w:rsidP="00532827">
            <w:pPr>
              <w:jc w:val="center"/>
              <w:rPr>
                <w:lang w:val="en-GB"/>
              </w:rPr>
            </w:pPr>
          </w:p>
          <w:p w14:paraId="0FC587B4" w14:textId="77777777" w:rsidR="003A39A3" w:rsidRPr="0075770C" w:rsidRDefault="003A39A3" w:rsidP="00532827">
            <w:pPr>
              <w:jc w:val="center"/>
              <w:rPr>
                <w:lang w:val="en-GB"/>
              </w:rPr>
            </w:pPr>
          </w:p>
          <w:p w14:paraId="71FA1628" w14:textId="77777777" w:rsidR="00532827" w:rsidRPr="0075770C" w:rsidRDefault="00532827" w:rsidP="00532827">
            <w:pPr>
              <w:jc w:val="center"/>
              <w:rPr>
                <w:lang w:val="en-GB"/>
              </w:rPr>
            </w:pPr>
            <w:r w:rsidRPr="0075770C">
              <w:rPr>
                <w:lang w:val="en-GB"/>
              </w:rPr>
              <w:t>30</w:t>
            </w:r>
          </w:p>
          <w:p w14:paraId="2230ED9A" w14:textId="77777777" w:rsidR="00532827" w:rsidRPr="0075770C" w:rsidRDefault="00532827" w:rsidP="00532827">
            <w:pPr>
              <w:jc w:val="center"/>
              <w:rPr>
                <w:lang w:val="en-GB"/>
              </w:rPr>
            </w:pPr>
          </w:p>
          <w:p w14:paraId="4A17E42B" w14:textId="77777777" w:rsidR="00532827" w:rsidRPr="0075770C" w:rsidRDefault="00532827" w:rsidP="00532827">
            <w:pPr>
              <w:jc w:val="center"/>
              <w:rPr>
                <w:lang w:val="en-GB"/>
              </w:rPr>
            </w:pPr>
          </w:p>
          <w:p w14:paraId="11991A71" w14:textId="77777777" w:rsidR="00532827" w:rsidRPr="0075770C" w:rsidRDefault="00532827" w:rsidP="00532827">
            <w:pPr>
              <w:jc w:val="center"/>
              <w:rPr>
                <w:lang w:val="en-GB"/>
              </w:rPr>
            </w:pPr>
          </w:p>
          <w:p w14:paraId="39982C34" w14:textId="77777777" w:rsidR="00532827" w:rsidRPr="0075770C" w:rsidRDefault="00532827" w:rsidP="00532827">
            <w:pPr>
              <w:jc w:val="center"/>
              <w:rPr>
                <w:lang w:val="en-GB"/>
              </w:rPr>
            </w:pPr>
            <w:r w:rsidRPr="0075770C">
              <w:rPr>
                <w:lang w:val="en-GB"/>
              </w:rPr>
              <w:t>-</w:t>
            </w:r>
          </w:p>
          <w:p w14:paraId="1DE4A7DA" w14:textId="77777777" w:rsidR="00532827" w:rsidRPr="0075770C" w:rsidRDefault="00532827" w:rsidP="00532827">
            <w:pPr>
              <w:jc w:val="center"/>
              <w:rPr>
                <w:lang w:val="en-GB"/>
              </w:rPr>
            </w:pPr>
          </w:p>
          <w:p w14:paraId="68080B51" w14:textId="77777777" w:rsidR="00532827" w:rsidRPr="0075770C" w:rsidRDefault="00532827" w:rsidP="00532827">
            <w:pPr>
              <w:jc w:val="center"/>
              <w:rPr>
                <w:lang w:val="en-GB"/>
              </w:rPr>
            </w:pPr>
          </w:p>
          <w:p w14:paraId="17A71A50" w14:textId="77777777" w:rsidR="00532827" w:rsidRPr="0075770C" w:rsidRDefault="00532827" w:rsidP="00532827">
            <w:pPr>
              <w:jc w:val="center"/>
              <w:rPr>
                <w:lang w:val="en-GB"/>
              </w:rPr>
            </w:pPr>
            <w:r w:rsidRPr="0075770C">
              <w:rPr>
                <w:lang w:val="en-GB"/>
              </w:rPr>
              <w:t>-</w:t>
            </w:r>
          </w:p>
        </w:tc>
        <w:tc>
          <w:tcPr>
            <w:tcW w:w="994" w:type="dxa"/>
          </w:tcPr>
          <w:p w14:paraId="00A93A85" w14:textId="77777777" w:rsidR="00532827" w:rsidRPr="0075770C" w:rsidRDefault="00532827" w:rsidP="00532827">
            <w:pPr>
              <w:jc w:val="center"/>
              <w:rPr>
                <w:lang w:val="en-GB"/>
              </w:rPr>
            </w:pPr>
            <w:r w:rsidRPr="0075770C">
              <w:rPr>
                <w:lang w:val="en-GB"/>
              </w:rPr>
              <w:t>76</w:t>
            </w:r>
          </w:p>
          <w:p w14:paraId="7736B06B" w14:textId="77777777" w:rsidR="00532827" w:rsidRPr="0075770C" w:rsidRDefault="00532827" w:rsidP="00532827">
            <w:pPr>
              <w:jc w:val="center"/>
              <w:rPr>
                <w:lang w:val="en-GB"/>
              </w:rPr>
            </w:pPr>
          </w:p>
          <w:p w14:paraId="081AEA3E" w14:textId="77777777" w:rsidR="00532827" w:rsidRPr="0075770C" w:rsidRDefault="00532827" w:rsidP="00532827">
            <w:pPr>
              <w:jc w:val="center"/>
              <w:rPr>
                <w:lang w:val="en-GB"/>
              </w:rPr>
            </w:pPr>
          </w:p>
          <w:p w14:paraId="0B9904CC" w14:textId="77777777" w:rsidR="00532827" w:rsidRPr="0075770C" w:rsidRDefault="00532827" w:rsidP="00532827">
            <w:pPr>
              <w:jc w:val="center"/>
              <w:rPr>
                <w:lang w:val="en-GB"/>
              </w:rPr>
            </w:pPr>
            <w:r w:rsidRPr="0075770C">
              <w:rPr>
                <w:lang w:val="en-GB"/>
              </w:rPr>
              <w:t>90</w:t>
            </w:r>
          </w:p>
          <w:p w14:paraId="0859C966" w14:textId="77777777" w:rsidR="00532827" w:rsidRPr="0075770C" w:rsidRDefault="00532827" w:rsidP="00532827">
            <w:pPr>
              <w:jc w:val="center"/>
              <w:rPr>
                <w:lang w:val="en-GB"/>
              </w:rPr>
            </w:pPr>
          </w:p>
          <w:p w14:paraId="779005E0" w14:textId="77777777" w:rsidR="00532827" w:rsidRPr="0075770C" w:rsidRDefault="00532827" w:rsidP="00532827">
            <w:pPr>
              <w:jc w:val="center"/>
              <w:rPr>
                <w:lang w:val="en-GB"/>
              </w:rPr>
            </w:pPr>
          </w:p>
          <w:p w14:paraId="6B3E4893" w14:textId="77777777" w:rsidR="00532827" w:rsidRPr="0075770C" w:rsidRDefault="00532827" w:rsidP="00532827">
            <w:pPr>
              <w:jc w:val="center"/>
              <w:rPr>
                <w:lang w:val="en-GB"/>
              </w:rPr>
            </w:pPr>
            <w:r w:rsidRPr="0075770C">
              <w:rPr>
                <w:lang w:val="en-GB"/>
              </w:rPr>
              <w:t>100</w:t>
            </w:r>
          </w:p>
          <w:p w14:paraId="4F732650" w14:textId="77777777" w:rsidR="00532827" w:rsidRPr="0075770C" w:rsidRDefault="00532827" w:rsidP="00532827">
            <w:pPr>
              <w:jc w:val="center"/>
              <w:rPr>
                <w:lang w:val="en-GB"/>
              </w:rPr>
            </w:pPr>
          </w:p>
          <w:p w14:paraId="0F91AF18" w14:textId="77777777" w:rsidR="00532827" w:rsidRPr="0075770C" w:rsidRDefault="00532827" w:rsidP="00532827">
            <w:pPr>
              <w:jc w:val="center"/>
              <w:rPr>
                <w:lang w:val="en-GB"/>
              </w:rPr>
            </w:pPr>
          </w:p>
          <w:p w14:paraId="62F6F200" w14:textId="77777777" w:rsidR="00532827" w:rsidRPr="0075770C" w:rsidRDefault="00532827" w:rsidP="00532827">
            <w:pPr>
              <w:jc w:val="center"/>
              <w:rPr>
                <w:lang w:val="en-GB"/>
              </w:rPr>
            </w:pPr>
            <w:r w:rsidRPr="0075770C">
              <w:rPr>
                <w:lang w:val="en-GB"/>
              </w:rPr>
              <w:t>83</w:t>
            </w:r>
          </w:p>
          <w:p w14:paraId="36AED260" w14:textId="77777777" w:rsidR="00532827" w:rsidRPr="0075770C" w:rsidRDefault="00532827" w:rsidP="00532827">
            <w:pPr>
              <w:jc w:val="center"/>
              <w:rPr>
                <w:lang w:val="en-GB"/>
              </w:rPr>
            </w:pPr>
          </w:p>
          <w:p w14:paraId="6BC987B0" w14:textId="77777777" w:rsidR="00532827" w:rsidRPr="0075770C" w:rsidRDefault="00532827" w:rsidP="00532827">
            <w:pPr>
              <w:jc w:val="center"/>
              <w:rPr>
                <w:lang w:val="en-GB"/>
              </w:rPr>
            </w:pPr>
          </w:p>
          <w:p w14:paraId="2D674A79" w14:textId="77777777" w:rsidR="00532827" w:rsidRPr="0075770C" w:rsidRDefault="00532827" w:rsidP="00532827">
            <w:pPr>
              <w:jc w:val="center"/>
              <w:rPr>
                <w:lang w:val="en-GB"/>
              </w:rPr>
            </w:pPr>
            <w:r w:rsidRPr="0075770C">
              <w:rPr>
                <w:lang w:val="en-GB"/>
              </w:rPr>
              <w:t>85</w:t>
            </w:r>
          </w:p>
          <w:p w14:paraId="6EA0CE35" w14:textId="77777777" w:rsidR="00532827" w:rsidRPr="0075770C" w:rsidRDefault="00532827" w:rsidP="00532827">
            <w:pPr>
              <w:jc w:val="center"/>
              <w:rPr>
                <w:lang w:val="en-GB"/>
              </w:rPr>
            </w:pPr>
          </w:p>
          <w:p w14:paraId="2A13C7AF" w14:textId="555E1DB0" w:rsidR="00532827" w:rsidRDefault="00532827" w:rsidP="00532827">
            <w:pPr>
              <w:jc w:val="center"/>
              <w:rPr>
                <w:lang w:val="en-GB"/>
              </w:rPr>
            </w:pPr>
          </w:p>
          <w:p w14:paraId="16A5D656" w14:textId="77777777" w:rsidR="003A39A3" w:rsidRDefault="003A39A3" w:rsidP="00532827">
            <w:pPr>
              <w:jc w:val="center"/>
              <w:rPr>
                <w:lang w:val="en-GB"/>
              </w:rPr>
            </w:pPr>
          </w:p>
          <w:p w14:paraId="6C15228B" w14:textId="77777777" w:rsidR="003A39A3" w:rsidRPr="0075770C" w:rsidRDefault="003A39A3" w:rsidP="00532827">
            <w:pPr>
              <w:jc w:val="center"/>
              <w:rPr>
                <w:lang w:val="en-GB"/>
              </w:rPr>
            </w:pPr>
          </w:p>
          <w:p w14:paraId="53E044F0" w14:textId="77777777" w:rsidR="00532827" w:rsidRPr="0075770C" w:rsidRDefault="00532827" w:rsidP="00532827">
            <w:pPr>
              <w:jc w:val="center"/>
              <w:rPr>
                <w:lang w:val="en-GB"/>
              </w:rPr>
            </w:pPr>
            <w:r w:rsidRPr="0075770C">
              <w:rPr>
                <w:lang w:val="en-GB"/>
              </w:rPr>
              <w:t>86</w:t>
            </w:r>
          </w:p>
          <w:p w14:paraId="5DC18626" w14:textId="77777777" w:rsidR="00532827" w:rsidRPr="0075770C" w:rsidRDefault="00532827" w:rsidP="00532827">
            <w:pPr>
              <w:jc w:val="center"/>
              <w:rPr>
                <w:lang w:val="en-GB"/>
              </w:rPr>
            </w:pPr>
          </w:p>
          <w:p w14:paraId="64444D46" w14:textId="77777777" w:rsidR="00532827" w:rsidRPr="0075770C" w:rsidRDefault="00532827" w:rsidP="00532827">
            <w:pPr>
              <w:jc w:val="center"/>
              <w:rPr>
                <w:lang w:val="en-GB"/>
              </w:rPr>
            </w:pPr>
          </w:p>
          <w:p w14:paraId="2B555EBB" w14:textId="77777777" w:rsidR="00532827" w:rsidRPr="0075770C" w:rsidRDefault="00532827" w:rsidP="00532827">
            <w:pPr>
              <w:jc w:val="center"/>
              <w:rPr>
                <w:lang w:val="en-GB"/>
              </w:rPr>
            </w:pPr>
          </w:p>
          <w:p w14:paraId="051FFFC8" w14:textId="77777777" w:rsidR="00532827" w:rsidRPr="0075770C" w:rsidRDefault="00532827" w:rsidP="00532827">
            <w:pPr>
              <w:jc w:val="center"/>
              <w:rPr>
                <w:lang w:val="en-GB"/>
              </w:rPr>
            </w:pPr>
            <w:r w:rsidRPr="0075770C">
              <w:rPr>
                <w:lang w:val="en-GB"/>
              </w:rPr>
              <w:t>80</w:t>
            </w:r>
          </w:p>
          <w:p w14:paraId="37A458F3" w14:textId="77777777" w:rsidR="00532827" w:rsidRPr="0075770C" w:rsidRDefault="00532827" w:rsidP="00532827">
            <w:pPr>
              <w:jc w:val="center"/>
              <w:rPr>
                <w:lang w:val="en-GB"/>
              </w:rPr>
            </w:pPr>
          </w:p>
          <w:p w14:paraId="36F52C15" w14:textId="77777777" w:rsidR="00532827" w:rsidRPr="0075770C" w:rsidRDefault="00532827" w:rsidP="00532827">
            <w:pPr>
              <w:jc w:val="center"/>
              <w:rPr>
                <w:lang w:val="en-GB"/>
              </w:rPr>
            </w:pPr>
          </w:p>
          <w:p w14:paraId="76A8F83E" w14:textId="77777777" w:rsidR="00532827" w:rsidRPr="0075770C" w:rsidRDefault="00532827" w:rsidP="00532827">
            <w:pPr>
              <w:jc w:val="center"/>
              <w:rPr>
                <w:lang w:val="en-GB"/>
              </w:rPr>
            </w:pPr>
            <w:r w:rsidRPr="0075770C">
              <w:rPr>
                <w:lang w:val="en-GB"/>
              </w:rPr>
              <w:t>72</w:t>
            </w:r>
          </w:p>
        </w:tc>
        <w:tc>
          <w:tcPr>
            <w:tcW w:w="990" w:type="dxa"/>
          </w:tcPr>
          <w:p w14:paraId="4B4861D4" w14:textId="77777777" w:rsidR="00532827" w:rsidRPr="0075770C" w:rsidRDefault="00532827" w:rsidP="00532827">
            <w:pPr>
              <w:jc w:val="center"/>
              <w:rPr>
                <w:lang w:val="en-GB"/>
              </w:rPr>
            </w:pPr>
            <w:r w:rsidRPr="0075770C">
              <w:rPr>
                <w:lang w:val="en-GB"/>
              </w:rPr>
              <w:t>24</w:t>
            </w:r>
          </w:p>
          <w:p w14:paraId="32DDCCDF" w14:textId="77777777" w:rsidR="00532827" w:rsidRPr="0075770C" w:rsidRDefault="00532827" w:rsidP="00532827">
            <w:pPr>
              <w:jc w:val="center"/>
              <w:rPr>
                <w:lang w:val="en-GB"/>
              </w:rPr>
            </w:pPr>
          </w:p>
          <w:p w14:paraId="02094C1A" w14:textId="77777777" w:rsidR="00532827" w:rsidRPr="0075770C" w:rsidRDefault="00532827" w:rsidP="00532827">
            <w:pPr>
              <w:jc w:val="center"/>
              <w:rPr>
                <w:lang w:val="en-GB"/>
              </w:rPr>
            </w:pPr>
          </w:p>
          <w:p w14:paraId="39B920B1" w14:textId="77777777" w:rsidR="00532827" w:rsidRPr="0075770C" w:rsidRDefault="00532827" w:rsidP="00532827">
            <w:pPr>
              <w:jc w:val="center"/>
              <w:rPr>
                <w:lang w:val="en-GB"/>
              </w:rPr>
            </w:pPr>
            <w:r w:rsidRPr="0075770C">
              <w:rPr>
                <w:lang w:val="en-GB"/>
              </w:rPr>
              <w:t>10</w:t>
            </w:r>
          </w:p>
          <w:p w14:paraId="0E27F654" w14:textId="77777777" w:rsidR="00532827" w:rsidRPr="0075770C" w:rsidRDefault="00532827" w:rsidP="00532827">
            <w:pPr>
              <w:jc w:val="center"/>
              <w:rPr>
                <w:lang w:val="en-GB"/>
              </w:rPr>
            </w:pPr>
          </w:p>
          <w:p w14:paraId="2E21BEB2" w14:textId="77777777" w:rsidR="00532827" w:rsidRPr="0075770C" w:rsidRDefault="00532827" w:rsidP="00532827">
            <w:pPr>
              <w:jc w:val="center"/>
              <w:rPr>
                <w:lang w:val="en-GB"/>
              </w:rPr>
            </w:pPr>
          </w:p>
          <w:p w14:paraId="5F9D85C2" w14:textId="77777777" w:rsidR="00532827" w:rsidRPr="0075770C" w:rsidRDefault="00532827" w:rsidP="00532827">
            <w:pPr>
              <w:jc w:val="center"/>
              <w:rPr>
                <w:lang w:val="en-GB"/>
              </w:rPr>
            </w:pPr>
            <w:r w:rsidRPr="0075770C">
              <w:rPr>
                <w:lang w:val="en-GB"/>
              </w:rPr>
              <w:t>0</w:t>
            </w:r>
          </w:p>
          <w:p w14:paraId="39214E2D" w14:textId="77777777" w:rsidR="00532827" w:rsidRPr="0075770C" w:rsidRDefault="00532827" w:rsidP="00532827">
            <w:pPr>
              <w:jc w:val="center"/>
              <w:rPr>
                <w:lang w:val="en-GB"/>
              </w:rPr>
            </w:pPr>
          </w:p>
          <w:p w14:paraId="4DC0E100" w14:textId="77777777" w:rsidR="00532827" w:rsidRPr="0075770C" w:rsidRDefault="00532827" w:rsidP="00532827">
            <w:pPr>
              <w:jc w:val="center"/>
              <w:rPr>
                <w:lang w:val="en-GB"/>
              </w:rPr>
            </w:pPr>
          </w:p>
          <w:p w14:paraId="7B848FDE" w14:textId="77777777" w:rsidR="00532827" w:rsidRPr="0075770C" w:rsidRDefault="00532827" w:rsidP="00532827">
            <w:pPr>
              <w:jc w:val="center"/>
              <w:rPr>
                <w:lang w:val="en-GB"/>
              </w:rPr>
            </w:pPr>
            <w:r w:rsidRPr="0075770C">
              <w:rPr>
                <w:lang w:val="en-GB"/>
              </w:rPr>
              <w:t>17</w:t>
            </w:r>
          </w:p>
          <w:p w14:paraId="279033CE" w14:textId="77777777" w:rsidR="00532827" w:rsidRPr="0075770C" w:rsidRDefault="00532827" w:rsidP="00532827">
            <w:pPr>
              <w:jc w:val="center"/>
              <w:rPr>
                <w:lang w:val="en-GB"/>
              </w:rPr>
            </w:pPr>
          </w:p>
          <w:p w14:paraId="62203EED" w14:textId="77777777" w:rsidR="00532827" w:rsidRPr="0075770C" w:rsidRDefault="00532827" w:rsidP="00532827">
            <w:pPr>
              <w:jc w:val="center"/>
              <w:rPr>
                <w:lang w:val="en-GB"/>
              </w:rPr>
            </w:pPr>
          </w:p>
          <w:p w14:paraId="0A1AE2D1" w14:textId="77777777" w:rsidR="00532827" w:rsidRPr="0075770C" w:rsidRDefault="00532827" w:rsidP="00532827">
            <w:pPr>
              <w:jc w:val="center"/>
              <w:rPr>
                <w:lang w:val="en-GB"/>
              </w:rPr>
            </w:pPr>
            <w:r w:rsidRPr="0075770C">
              <w:rPr>
                <w:lang w:val="en-GB"/>
              </w:rPr>
              <w:t>15</w:t>
            </w:r>
          </w:p>
          <w:p w14:paraId="447C21CD" w14:textId="77777777" w:rsidR="00532827" w:rsidRPr="0075770C" w:rsidRDefault="00532827" w:rsidP="00532827">
            <w:pPr>
              <w:jc w:val="center"/>
              <w:rPr>
                <w:lang w:val="en-GB"/>
              </w:rPr>
            </w:pPr>
          </w:p>
          <w:p w14:paraId="69297FF3" w14:textId="74BC767B" w:rsidR="00532827" w:rsidRDefault="00532827" w:rsidP="00532827">
            <w:pPr>
              <w:jc w:val="center"/>
              <w:rPr>
                <w:lang w:val="en-GB"/>
              </w:rPr>
            </w:pPr>
          </w:p>
          <w:p w14:paraId="7D1A44F1" w14:textId="77777777" w:rsidR="003A39A3" w:rsidRDefault="003A39A3" w:rsidP="00532827">
            <w:pPr>
              <w:jc w:val="center"/>
              <w:rPr>
                <w:lang w:val="en-GB"/>
              </w:rPr>
            </w:pPr>
          </w:p>
          <w:p w14:paraId="2937611D" w14:textId="77777777" w:rsidR="003A39A3" w:rsidRPr="0075770C" w:rsidRDefault="003A39A3" w:rsidP="00532827">
            <w:pPr>
              <w:jc w:val="center"/>
              <w:rPr>
                <w:lang w:val="en-GB"/>
              </w:rPr>
            </w:pPr>
          </w:p>
          <w:p w14:paraId="781E7C3E" w14:textId="77777777" w:rsidR="00532827" w:rsidRPr="0075770C" w:rsidRDefault="00532827" w:rsidP="00532827">
            <w:pPr>
              <w:jc w:val="center"/>
              <w:rPr>
                <w:lang w:val="en-GB"/>
              </w:rPr>
            </w:pPr>
            <w:r w:rsidRPr="0075770C">
              <w:rPr>
                <w:lang w:val="en-GB"/>
              </w:rPr>
              <w:t>13</w:t>
            </w:r>
          </w:p>
          <w:p w14:paraId="4491571A" w14:textId="77777777" w:rsidR="00532827" w:rsidRPr="0075770C" w:rsidRDefault="00532827" w:rsidP="00532827">
            <w:pPr>
              <w:jc w:val="center"/>
              <w:rPr>
                <w:lang w:val="en-GB"/>
              </w:rPr>
            </w:pPr>
          </w:p>
          <w:p w14:paraId="16C74E99" w14:textId="77777777" w:rsidR="00532827" w:rsidRPr="0075770C" w:rsidRDefault="00532827" w:rsidP="00532827">
            <w:pPr>
              <w:jc w:val="center"/>
              <w:rPr>
                <w:lang w:val="en-GB"/>
              </w:rPr>
            </w:pPr>
          </w:p>
          <w:p w14:paraId="771F085D" w14:textId="77777777" w:rsidR="00532827" w:rsidRPr="0075770C" w:rsidRDefault="00532827" w:rsidP="00532827">
            <w:pPr>
              <w:jc w:val="center"/>
              <w:rPr>
                <w:lang w:val="en-GB"/>
              </w:rPr>
            </w:pPr>
          </w:p>
          <w:p w14:paraId="7C90CE3E" w14:textId="77777777" w:rsidR="00532827" w:rsidRPr="0075770C" w:rsidRDefault="00532827" w:rsidP="00532827">
            <w:pPr>
              <w:jc w:val="center"/>
              <w:rPr>
                <w:lang w:val="en-GB"/>
              </w:rPr>
            </w:pPr>
            <w:r w:rsidRPr="0075770C">
              <w:rPr>
                <w:lang w:val="en-GB"/>
              </w:rPr>
              <w:t>20</w:t>
            </w:r>
          </w:p>
          <w:p w14:paraId="5A452778" w14:textId="77777777" w:rsidR="00532827" w:rsidRPr="0075770C" w:rsidRDefault="00532827" w:rsidP="00532827">
            <w:pPr>
              <w:jc w:val="center"/>
              <w:rPr>
                <w:lang w:val="en-GB"/>
              </w:rPr>
            </w:pPr>
          </w:p>
          <w:p w14:paraId="2A0805AE" w14:textId="77777777" w:rsidR="00532827" w:rsidRPr="0075770C" w:rsidRDefault="00532827" w:rsidP="00532827">
            <w:pPr>
              <w:jc w:val="center"/>
              <w:rPr>
                <w:lang w:val="en-GB"/>
              </w:rPr>
            </w:pPr>
          </w:p>
          <w:p w14:paraId="10CEAAF2" w14:textId="77777777" w:rsidR="00532827" w:rsidRPr="0075770C" w:rsidRDefault="00532827" w:rsidP="00532827">
            <w:pPr>
              <w:jc w:val="center"/>
              <w:rPr>
                <w:lang w:val="en-GB"/>
              </w:rPr>
            </w:pPr>
            <w:r w:rsidRPr="0075770C">
              <w:rPr>
                <w:lang w:val="en-GB"/>
              </w:rPr>
              <w:t>28</w:t>
            </w:r>
          </w:p>
        </w:tc>
        <w:tc>
          <w:tcPr>
            <w:tcW w:w="1276" w:type="dxa"/>
          </w:tcPr>
          <w:p w14:paraId="6380CB5F" w14:textId="77777777" w:rsidR="00532827" w:rsidRPr="00162A8C" w:rsidRDefault="00532827" w:rsidP="00532827">
            <w:pPr>
              <w:jc w:val="center"/>
              <w:rPr>
                <w:lang w:val="en-GB"/>
              </w:rPr>
            </w:pPr>
            <w:r w:rsidRPr="00162A8C">
              <w:rPr>
                <w:lang w:val="en-GB"/>
              </w:rPr>
              <w:t>100 (115)</w:t>
            </w:r>
          </w:p>
          <w:p w14:paraId="5F06E3F6" w14:textId="77777777" w:rsidR="00532827" w:rsidRPr="00162A8C" w:rsidRDefault="00532827" w:rsidP="00532827">
            <w:pPr>
              <w:jc w:val="center"/>
              <w:rPr>
                <w:lang w:val="en-GB"/>
              </w:rPr>
            </w:pPr>
          </w:p>
          <w:p w14:paraId="26643627" w14:textId="77777777" w:rsidR="00532827" w:rsidRPr="00162A8C" w:rsidRDefault="00532827" w:rsidP="00532827">
            <w:pPr>
              <w:jc w:val="center"/>
              <w:rPr>
                <w:lang w:val="en-GB"/>
              </w:rPr>
            </w:pPr>
          </w:p>
          <w:p w14:paraId="6D7E2B37" w14:textId="77777777" w:rsidR="00532827" w:rsidRPr="00162A8C" w:rsidRDefault="00532827" w:rsidP="00532827">
            <w:pPr>
              <w:jc w:val="center"/>
              <w:rPr>
                <w:lang w:val="en-GB"/>
              </w:rPr>
            </w:pPr>
            <w:r w:rsidRPr="00162A8C">
              <w:rPr>
                <w:lang w:val="en-GB"/>
              </w:rPr>
              <w:t>100 (8)</w:t>
            </w:r>
          </w:p>
          <w:p w14:paraId="1C4CCDE6" w14:textId="77777777" w:rsidR="00532827" w:rsidRPr="00162A8C" w:rsidRDefault="00532827" w:rsidP="00532827">
            <w:pPr>
              <w:jc w:val="center"/>
              <w:rPr>
                <w:lang w:val="en-GB"/>
              </w:rPr>
            </w:pPr>
          </w:p>
          <w:p w14:paraId="4983C034" w14:textId="77777777" w:rsidR="00532827" w:rsidRPr="00162A8C" w:rsidRDefault="00532827" w:rsidP="00532827">
            <w:pPr>
              <w:jc w:val="center"/>
              <w:rPr>
                <w:lang w:val="en-GB"/>
              </w:rPr>
            </w:pPr>
          </w:p>
          <w:p w14:paraId="5E7167F3" w14:textId="77777777" w:rsidR="00532827" w:rsidRPr="00162A8C" w:rsidRDefault="00532827" w:rsidP="00532827">
            <w:pPr>
              <w:jc w:val="center"/>
              <w:rPr>
                <w:lang w:val="en-GB"/>
              </w:rPr>
            </w:pPr>
            <w:r w:rsidRPr="00162A8C">
              <w:rPr>
                <w:lang w:val="en-GB"/>
              </w:rPr>
              <w:t>100 (20)</w:t>
            </w:r>
          </w:p>
          <w:p w14:paraId="3FADC60B" w14:textId="77777777" w:rsidR="00532827" w:rsidRPr="00162A8C" w:rsidRDefault="00532827" w:rsidP="00532827">
            <w:pPr>
              <w:jc w:val="center"/>
              <w:rPr>
                <w:lang w:val="en-GB"/>
              </w:rPr>
            </w:pPr>
          </w:p>
          <w:p w14:paraId="08937C00" w14:textId="77777777" w:rsidR="00532827" w:rsidRPr="00162A8C" w:rsidRDefault="00532827" w:rsidP="00532827">
            <w:pPr>
              <w:jc w:val="center"/>
              <w:rPr>
                <w:lang w:val="en-GB"/>
              </w:rPr>
            </w:pPr>
          </w:p>
          <w:p w14:paraId="1D08C3F9" w14:textId="77777777" w:rsidR="00532827" w:rsidRPr="00162A8C" w:rsidRDefault="00532827" w:rsidP="00532827">
            <w:pPr>
              <w:jc w:val="center"/>
              <w:rPr>
                <w:lang w:val="en-GB"/>
              </w:rPr>
            </w:pPr>
            <w:r w:rsidRPr="00162A8C">
              <w:rPr>
                <w:lang w:val="en-GB"/>
              </w:rPr>
              <w:t>100 (39)</w:t>
            </w:r>
          </w:p>
          <w:p w14:paraId="7452F53B" w14:textId="77777777" w:rsidR="00532827" w:rsidRPr="00162A8C" w:rsidRDefault="00532827" w:rsidP="00532827">
            <w:pPr>
              <w:jc w:val="center"/>
              <w:rPr>
                <w:lang w:val="en-GB"/>
              </w:rPr>
            </w:pPr>
          </w:p>
          <w:p w14:paraId="2D96C71B" w14:textId="77777777" w:rsidR="00532827" w:rsidRPr="00162A8C" w:rsidRDefault="00532827" w:rsidP="00532827">
            <w:pPr>
              <w:jc w:val="center"/>
              <w:rPr>
                <w:lang w:val="en-GB"/>
              </w:rPr>
            </w:pPr>
          </w:p>
          <w:p w14:paraId="0C61153A" w14:textId="77777777" w:rsidR="00532827" w:rsidRPr="00162A8C" w:rsidRDefault="00532827" w:rsidP="00532827">
            <w:pPr>
              <w:jc w:val="center"/>
              <w:rPr>
                <w:lang w:val="en-GB"/>
              </w:rPr>
            </w:pPr>
            <w:r w:rsidRPr="00162A8C">
              <w:rPr>
                <w:lang w:val="en-GB"/>
              </w:rPr>
              <w:t>100 (94)</w:t>
            </w:r>
          </w:p>
          <w:p w14:paraId="03781150" w14:textId="77777777" w:rsidR="00532827" w:rsidRPr="00162A8C" w:rsidRDefault="00532827" w:rsidP="00532827">
            <w:pPr>
              <w:jc w:val="center"/>
              <w:rPr>
                <w:lang w:val="en-GB"/>
              </w:rPr>
            </w:pPr>
          </w:p>
          <w:p w14:paraId="303CE93A" w14:textId="347C1FE2" w:rsidR="00532827" w:rsidRDefault="00532827" w:rsidP="00532827">
            <w:pPr>
              <w:jc w:val="center"/>
              <w:rPr>
                <w:lang w:val="en-GB"/>
              </w:rPr>
            </w:pPr>
          </w:p>
          <w:p w14:paraId="18DFE0CB" w14:textId="77777777" w:rsidR="003A39A3" w:rsidRDefault="003A39A3" w:rsidP="00532827">
            <w:pPr>
              <w:jc w:val="center"/>
              <w:rPr>
                <w:lang w:val="en-GB"/>
              </w:rPr>
            </w:pPr>
          </w:p>
          <w:p w14:paraId="101D2C70" w14:textId="77777777" w:rsidR="003A39A3" w:rsidRPr="00162A8C" w:rsidRDefault="003A39A3" w:rsidP="00532827">
            <w:pPr>
              <w:jc w:val="center"/>
              <w:rPr>
                <w:lang w:val="en-GB"/>
              </w:rPr>
            </w:pPr>
          </w:p>
          <w:p w14:paraId="2BCC34A2" w14:textId="77777777" w:rsidR="00532827" w:rsidRPr="00162A8C" w:rsidRDefault="00532827" w:rsidP="00532827">
            <w:pPr>
              <w:jc w:val="center"/>
              <w:rPr>
                <w:lang w:val="en-GB"/>
              </w:rPr>
            </w:pPr>
            <w:r w:rsidRPr="00162A8C">
              <w:rPr>
                <w:lang w:val="en-GB"/>
              </w:rPr>
              <w:t>100 (21)</w:t>
            </w:r>
          </w:p>
          <w:p w14:paraId="540BE72B" w14:textId="77777777" w:rsidR="00532827" w:rsidRPr="00162A8C" w:rsidRDefault="00532827" w:rsidP="00532827">
            <w:pPr>
              <w:jc w:val="center"/>
              <w:rPr>
                <w:lang w:val="en-GB"/>
              </w:rPr>
            </w:pPr>
          </w:p>
          <w:p w14:paraId="67B03EED" w14:textId="77777777" w:rsidR="00532827" w:rsidRPr="00162A8C" w:rsidRDefault="00532827" w:rsidP="00532827">
            <w:pPr>
              <w:jc w:val="center"/>
              <w:rPr>
                <w:lang w:val="en-GB"/>
              </w:rPr>
            </w:pPr>
          </w:p>
          <w:p w14:paraId="6F6AEFEC" w14:textId="77777777" w:rsidR="00532827" w:rsidRPr="00162A8C" w:rsidRDefault="00532827" w:rsidP="00532827">
            <w:pPr>
              <w:jc w:val="center"/>
              <w:rPr>
                <w:lang w:val="en-GB"/>
              </w:rPr>
            </w:pPr>
          </w:p>
          <w:p w14:paraId="74832B2A" w14:textId="77777777" w:rsidR="00532827" w:rsidRPr="00162A8C" w:rsidRDefault="00532827" w:rsidP="00532827">
            <w:pPr>
              <w:jc w:val="center"/>
              <w:rPr>
                <w:lang w:val="en-GB"/>
              </w:rPr>
            </w:pPr>
            <w:r w:rsidRPr="00162A8C">
              <w:rPr>
                <w:lang w:val="en-GB"/>
              </w:rPr>
              <w:t>100 (10)</w:t>
            </w:r>
          </w:p>
          <w:p w14:paraId="671BE2F7" w14:textId="77777777" w:rsidR="00532827" w:rsidRPr="00162A8C" w:rsidRDefault="00532827" w:rsidP="00532827">
            <w:pPr>
              <w:jc w:val="center"/>
              <w:rPr>
                <w:lang w:val="en-GB"/>
              </w:rPr>
            </w:pPr>
          </w:p>
          <w:p w14:paraId="33DF0F8C" w14:textId="77777777" w:rsidR="00532827" w:rsidRPr="00162A8C" w:rsidRDefault="00532827" w:rsidP="00532827">
            <w:pPr>
              <w:jc w:val="center"/>
              <w:rPr>
                <w:lang w:val="en-GB"/>
              </w:rPr>
            </w:pPr>
          </w:p>
          <w:p w14:paraId="0F644454" w14:textId="77777777" w:rsidR="00532827" w:rsidRPr="00162A8C" w:rsidRDefault="00532827" w:rsidP="00532827">
            <w:pPr>
              <w:jc w:val="center"/>
              <w:rPr>
                <w:lang w:val="en-GB"/>
              </w:rPr>
            </w:pPr>
            <w:r w:rsidRPr="00162A8C">
              <w:rPr>
                <w:lang w:val="en-GB"/>
              </w:rPr>
              <w:t>100 (18)</w:t>
            </w:r>
          </w:p>
        </w:tc>
      </w:tr>
    </w:tbl>
    <w:p w14:paraId="7FD11CF0" w14:textId="77777777" w:rsidR="00E6276E" w:rsidRDefault="00E6276E" w:rsidP="00532827">
      <w:pPr>
        <w:jc w:val="both"/>
        <w:rPr>
          <w:b/>
          <w:lang w:val="en-GB"/>
        </w:rPr>
      </w:pPr>
    </w:p>
    <w:p w14:paraId="0D1E1644" w14:textId="33537B49" w:rsidR="00532827" w:rsidRPr="0075770C" w:rsidRDefault="00532827" w:rsidP="00532827">
      <w:pPr>
        <w:jc w:val="both"/>
        <w:rPr>
          <w:i/>
          <w:sz w:val="16"/>
          <w:szCs w:val="16"/>
          <w:lang w:val="en-GB"/>
        </w:rPr>
      </w:pPr>
      <w:r w:rsidRPr="0075770C">
        <w:rPr>
          <w:i/>
          <w:sz w:val="16"/>
          <w:szCs w:val="16"/>
          <w:lang w:val="en-GB"/>
        </w:rPr>
        <w:t xml:space="preserve">* The ´contact´ variables combine values 1 and 2 on </w:t>
      </w:r>
      <w:r w:rsidR="00E6276E" w:rsidRPr="0075770C">
        <w:rPr>
          <w:i/>
          <w:sz w:val="16"/>
          <w:szCs w:val="16"/>
          <w:lang w:val="en-GB"/>
        </w:rPr>
        <w:t>the</w:t>
      </w:r>
      <w:r w:rsidRPr="0075770C">
        <w:rPr>
          <w:i/>
          <w:sz w:val="16"/>
          <w:szCs w:val="16"/>
          <w:lang w:val="en-GB"/>
        </w:rPr>
        <w:t xml:space="preserve"> following four-point scale: (1) App. every week, (2) app. every month, (3) a few times, (4) never.</w:t>
      </w:r>
    </w:p>
    <w:p w14:paraId="5648EA7F" w14:textId="4F34D1FE" w:rsidR="00532827" w:rsidRPr="0075770C" w:rsidRDefault="00532827" w:rsidP="00532827">
      <w:pPr>
        <w:rPr>
          <w:i/>
          <w:sz w:val="16"/>
          <w:szCs w:val="16"/>
          <w:lang w:val="en-GB"/>
        </w:rPr>
      </w:pPr>
      <w:r w:rsidRPr="0075770C">
        <w:rPr>
          <w:i/>
          <w:sz w:val="16"/>
          <w:szCs w:val="16"/>
          <w:lang w:val="en-GB"/>
        </w:rPr>
        <w:t>** The ´participation</w:t>
      </w:r>
      <w:r w:rsidR="003A39A3">
        <w:rPr>
          <w:i/>
          <w:sz w:val="16"/>
          <w:szCs w:val="16"/>
          <w:lang w:val="en-GB"/>
        </w:rPr>
        <w:t>’</w:t>
      </w:r>
      <w:r w:rsidRPr="0075770C">
        <w:rPr>
          <w:i/>
          <w:sz w:val="16"/>
          <w:szCs w:val="16"/>
          <w:lang w:val="en-GB"/>
        </w:rPr>
        <w:t xml:space="preserve"> variables apply value </w:t>
      </w:r>
      <w:r w:rsidR="00E6276E" w:rsidRPr="0075770C">
        <w:rPr>
          <w:i/>
          <w:sz w:val="16"/>
          <w:szCs w:val="16"/>
          <w:lang w:val="en-GB"/>
        </w:rPr>
        <w:t>1 on</w:t>
      </w:r>
      <w:r w:rsidRPr="0075770C">
        <w:rPr>
          <w:i/>
          <w:sz w:val="16"/>
          <w:szCs w:val="16"/>
          <w:lang w:val="en-GB"/>
        </w:rPr>
        <w:t xml:space="preserve"> the following three-point scale: (1) several times, (2) once, (3) never.</w:t>
      </w:r>
    </w:p>
    <w:p w14:paraId="4658E207" w14:textId="2CD664A9" w:rsidR="00532827" w:rsidRPr="0075770C" w:rsidRDefault="00532827" w:rsidP="00532827">
      <w:pPr>
        <w:rPr>
          <w:i/>
          <w:sz w:val="16"/>
          <w:szCs w:val="16"/>
          <w:lang w:val="en-GB"/>
        </w:rPr>
      </w:pPr>
      <w:r w:rsidRPr="0075770C">
        <w:rPr>
          <w:i/>
          <w:sz w:val="16"/>
          <w:szCs w:val="16"/>
          <w:lang w:val="en-GB"/>
        </w:rPr>
        <w:t xml:space="preserve">*** Lower level officials include the following ranks:  1996: executive officer, higher executive officer, </w:t>
      </w:r>
      <w:r w:rsidR="00197AD3" w:rsidRPr="0075770C">
        <w:rPr>
          <w:i/>
          <w:sz w:val="16"/>
          <w:szCs w:val="16"/>
          <w:lang w:val="en-GB"/>
        </w:rPr>
        <w:t>principal</w:t>
      </w:r>
      <w:r w:rsidRPr="0075770C">
        <w:rPr>
          <w:i/>
          <w:sz w:val="16"/>
          <w:szCs w:val="16"/>
          <w:lang w:val="en-GB"/>
        </w:rPr>
        <w:t xml:space="preserve"> officer, assistant director. 2006: executive officer/adviser, principal officer/adviser, assistant director/adviser. 2016: adviser/senior adviser, specialist director/special adviser or equivalent.</w:t>
      </w:r>
    </w:p>
    <w:p w14:paraId="5AE402DA" w14:textId="77777777" w:rsidR="00532827" w:rsidRPr="0075770C" w:rsidRDefault="00532827" w:rsidP="00532827">
      <w:pPr>
        <w:rPr>
          <w:i/>
          <w:sz w:val="16"/>
          <w:szCs w:val="16"/>
          <w:lang w:val="en-GB"/>
        </w:rPr>
      </w:pPr>
      <w:r w:rsidRPr="0075770C">
        <w:rPr>
          <w:i/>
          <w:sz w:val="16"/>
          <w:szCs w:val="16"/>
          <w:lang w:val="en-GB"/>
        </w:rPr>
        <w:t>**** Medium and higher level officials include the following ranks: 1996: director, director general, positions higher than director general. 2006: director/adviser, director general/adviser, positions higher than director general. 2016: director or equivalent, director general or equivalent</w:t>
      </w:r>
    </w:p>
    <w:p w14:paraId="2E15772A" w14:textId="77777777" w:rsidR="00532827" w:rsidRDefault="00532827" w:rsidP="00532827">
      <w:pPr>
        <w:jc w:val="both"/>
        <w:rPr>
          <w:lang w:val="en-GB"/>
        </w:rPr>
      </w:pPr>
    </w:p>
    <w:p w14:paraId="446FEEC2" w14:textId="7AF0B616" w:rsidR="00F17AF3" w:rsidRDefault="00162A8C" w:rsidP="003A266A">
      <w:pPr>
        <w:rPr>
          <w:lang w:val="en-GB"/>
        </w:rPr>
      </w:pPr>
      <w:r>
        <w:rPr>
          <w:lang w:val="en-GB"/>
        </w:rPr>
        <w:t>A similar analysis</w:t>
      </w:r>
      <w:r w:rsidR="003A39A3">
        <w:rPr>
          <w:lang w:val="en-GB"/>
        </w:rPr>
        <w:t xml:space="preserve"> (Table 8)</w:t>
      </w:r>
      <w:r>
        <w:rPr>
          <w:lang w:val="en-GB"/>
        </w:rPr>
        <w:t xml:space="preserve"> on the effect of rank on officials’ coordination behaviour reveal</w:t>
      </w:r>
      <w:r w:rsidR="003A39A3">
        <w:rPr>
          <w:lang w:val="en-GB"/>
        </w:rPr>
        <w:t>s a similar pattern:</w:t>
      </w:r>
      <w:r>
        <w:rPr>
          <w:lang w:val="en-GB"/>
        </w:rPr>
        <w:t xml:space="preserve"> </w:t>
      </w:r>
      <w:r w:rsidR="00B6576A">
        <w:rPr>
          <w:lang w:val="en-GB"/>
        </w:rPr>
        <w:t>a</w:t>
      </w:r>
      <w:r>
        <w:rPr>
          <w:lang w:val="en-GB"/>
        </w:rPr>
        <w:t xml:space="preserve"> </w:t>
      </w:r>
      <w:r w:rsidR="00B213B9">
        <w:rPr>
          <w:lang w:val="en-GB"/>
        </w:rPr>
        <w:t>negative relationship</w:t>
      </w:r>
      <w:r>
        <w:rPr>
          <w:lang w:val="en-GB"/>
        </w:rPr>
        <w:t xml:space="preserve"> between staffs’ rank and their participation in coordination committees </w:t>
      </w:r>
      <w:r w:rsidR="003A39A3">
        <w:rPr>
          <w:lang w:val="en-GB"/>
        </w:rPr>
        <w:t>as well as</w:t>
      </w:r>
      <w:r w:rsidR="003A39A3">
        <w:rPr>
          <w:lang w:val="en-GB"/>
        </w:rPr>
        <w:t xml:space="preserve"> </w:t>
      </w:r>
      <w:r>
        <w:rPr>
          <w:lang w:val="en-GB"/>
        </w:rPr>
        <w:t xml:space="preserve">the degree to which their </w:t>
      </w:r>
      <w:r w:rsidR="000D4441">
        <w:rPr>
          <w:lang w:val="en-GB"/>
        </w:rPr>
        <w:t xml:space="preserve">ministry’s </w:t>
      </w:r>
      <w:r>
        <w:rPr>
          <w:lang w:val="en-GB"/>
        </w:rPr>
        <w:t>work has been subject to coordination from the Prime Minister’s Office, the MFA, other ministries, the parliament and/or interest groups. Officials at low ranks</w:t>
      </w:r>
      <w:r w:rsidR="001F6011">
        <w:rPr>
          <w:lang w:val="en-GB"/>
        </w:rPr>
        <w:t xml:space="preserve"> </w:t>
      </w:r>
      <w:r>
        <w:rPr>
          <w:lang w:val="en-GB"/>
        </w:rPr>
        <w:t>score consistently higher on these variables than does officials at medium and high ranks.</w:t>
      </w:r>
      <w:r w:rsidR="00C7631D">
        <w:rPr>
          <w:lang w:val="en-GB"/>
        </w:rPr>
        <w:t xml:space="preserve"> The finding is also consistent over time.</w:t>
      </w:r>
      <w:r w:rsidR="001F6011">
        <w:rPr>
          <w:lang w:val="en-GB"/>
        </w:rPr>
        <w:t xml:space="preserve"> </w:t>
      </w:r>
      <w:r w:rsidR="00365A09">
        <w:rPr>
          <w:lang w:val="en-GB"/>
        </w:rPr>
        <w:t xml:space="preserve">Most notable is the increase in participation in high-level coordination committees </w:t>
      </w:r>
      <w:r w:rsidR="00365A09">
        <w:rPr>
          <w:lang w:val="en-GB"/>
        </w:rPr>
        <w:lastRenderedPageBreak/>
        <w:t xml:space="preserve">from around 55 percent in 1996/2006 to almost 70 percent in 2016. </w:t>
      </w:r>
      <w:r w:rsidR="00B213B9">
        <w:rPr>
          <w:lang w:val="en-GB"/>
        </w:rPr>
        <w:t xml:space="preserve">Moreover, from 2006 to 2016 the data show an average of 11 percent increase in participation of lower level officials in </w:t>
      </w:r>
      <w:r w:rsidR="000D4441">
        <w:rPr>
          <w:lang w:val="en-GB"/>
        </w:rPr>
        <w:t xml:space="preserve">the three </w:t>
      </w:r>
      <w:r w:rsidR="00B213B9">
        <w:rPr>
          <w:lang w:val="en-GB"/>
        </w:rPr>
        <w:t xml:space="preserve">coordination committees. </w:t>
      </w:r>
      <w:r w:rsidR="000D4441">
        <w:rPr>
          <w:lang w:val="en-GB"/>
        </w:rPr>
        <w:t xml:space="preserve">A similar pattern can be found when examining the degrees of modification/change due to coordination with other actors: from 2006 to 2016 there was an average 16 percent increase in lower level officials that stated that their ministry’s work </w:t>
      </w:r>
      <w:r w:rsidR="00BE1054">
        <w:rPr>
          <w:lang w:val="en-GB"/>
        </w:rPr>
        <w:t>had</w:t>
      </w:r>
      <w:r w:rsidR="000D4441">
        <w:rPr>
          <w:lang w:val="en-GB"/>
        </w:rPr>
        <w:t xml:space="preserve"> been modified or changed due to the actors listed above.  </w:t>
      </w:r>
      <w:r w:rsidR="00C7631D">
        <w:rPr>
          <w:lang w:val="en-GB"/>
        </w:rPr>
        <w:t>P5 proposed</w:t>
      </w:r>
      <w:r w:rsidR="003A266A">
        <w:rPr>
          <w:lang w:val="en-GB"/>
        </w:rPr>
        <w:t xml:space="preserve"> that lower level officials score lower on </w:t>
      </w:r>
      <w:r w:rsidR="00C7631D">
        <w:rPr>
          <w:lang w:val="en-GB"/>
        </w:rPr>
        <w:t>coordination than</w:t>
      </w:r>
      <w:r w:rsidR="00590068">
        <w:rPr>
          <w:lang w:val="en-GB"/>
        </w:rPr>
        <w:t xml:space="preserve"> higher leve</w:t>
      </w:r>
      <w:r w:rsidR="00C7631D">
        <w:rPr>
          <w:lang w:val="en-GB"/>
        </w:rPr>
        <w:t>l officials. The proposition</w:t>
      </w:r>
      <w:r w:rsidR="00590068">
        <w:rPr>
          <w:lang w:val="en-GB"/>
        </w:rPr>
        <w:t xml:space="preserve"> is based on the assumption that lower level officials would </w:t>
      </w:r>
      <w:r w:rsidR="00C7631D">
        <w:rPr>
          <w:lang w:val="en-GB"/>
        </w:rPr>
        <w:t>enjoy</w:t>
      </w:r>
      <w:r w:rsidR="00590068">
        <w:rPr>
          <w:lang w:val="en-GB"/>
        </w:rPr>
        <w:t xml:space="preserve"> </w:t>
      </w:r>
      <w:r w:rsidR="00C7631D">
        <w:rPr>
          <w:lang w:val="en-GB"/>
        </w:rPr>
        <w:t>greater</w:t>
      </w:r>
      <w:r w:rsidR="00590068">
        <w:rPr>
          <w:lang w:val="en-GB"/>
        </w:rPr>
        <w:t xml:space="preserve"> room</w:t>
      </w:r>
      <w:r w:rsidR="00C7631D">
        <w:rPr>
          <w:lang w:val="en-GB"/>
        </w:rPr>
        <w:t>s of leeway</w:t>
      </w:r>
      <w:r w:rsidR="00590068">
        <w:rPr>
          <w:lang w:val="en-GB"/>
        </w:rPr>
        <w:t xml:space="preserve"> in their work. The</w:t>
      </w:r>
      <w:r w:rsidR="00954CC0">
        <w:rPr>
          <w:lang w:val="en-GB"/>
        </w:rPr>
        <w:t xml:space="preserve"> inverse findings </w:t>
      </w:r>
      <w:r w:rsidR="00590068">
        <w:rPr>
          <w:lang w:val="en-GB"/>
        </w:rPr>
        <w:t>may</w:t>
      </w:r>
      <w:r w:rsidR="004607B3">
        <w:rPr>
          <w:lang w:val="en-GB"/>
        </w:rPr>
        <w:t>, however,</w:t>
      </w:r>
      <w:r w:rsidR="00590068">
        <w:rPr>
          <w:lang w:val="en-GB"/>
        </w:rPr>
        <w:t xml:space="preserve"> derive from insufficient measurement validity</w:t>
      </w:r>
      <w:r w:rsidR="00C7631D">
        <w:rPr>
          <w:lang w:val="en-GB"/>
        </w:rPr>
        <w:t xml:space="preserve"> of coordination</w:t>
      </w:r>
      <w:r w:rsidR="00590068">
        <w:rPr>
          <w:lang w:val="en-GB"/>
        </w:rPr>
        <w:t xml:space="preserve">. Participation in coordination committees and modification/changes related to coordination with other actors may </w:t>
      </w:r>
      <w:r w:rsidR="004607B3">
        <w:rPr>
          <w:lang w:val="en-GB"/>
        </w:rPr>
        <w:t>simply</w:t>
      </w:r>
      <w:r w:rsidR="00590068">
        <w:rPr>
          <w:lang w:val="en-GB"/>
        </w:rPr>
        <w:t xml:space="preserve"> </w:t>
      </w:r>
      <w:r w:rsidR="00C7631D">
        <w:rPr>
          <w:lang w:val="en-GB"/>
        </w:rPr>
        <w:t>measure degrees of involvement in EU-work, not merely the coordination thereof.</w:t>
      </w:r>
      <w:r w:rsidR="00590068">
        <w:rPr>
          <w:lang w:val="en-GB"/>
        </w:rPr>
        <w:t xml:space="preserve"> </w:t>
      </w:r>
      <w:r w:rsidR="003A39A3">
        <w:rPr>
          <w:lang w:val="en-GB"/>
        </w:rPr>
        <w:t>Thus, Table 8 suggests that lo</w:t>
      </w:r>
      <w:r w:rsidR="00590068">
        <w:rPr>
          <w:lang w:val="en-GB"/>
        </w:rPr>
        <w:t xml:space="preserve">wer level officials </w:t>
      </w:r>
      <w:r w:rsidR="00C7631D">
        <w:rPr>
          <w:lang w:val="en-GB"/>
        </w:rPr>
        <w:t>generally are</w:t>
      </w:r>
      <w:r w:rsidR="004607B3">
        <w:rPr>
          <w:lang w:val="en-GB"/>
        </w:rPr>
        <w:t xml:space="preserve"> tasked with EU-related work</w:t>
      </w:r>
      <w:r w:rsidR="00C7631D">
        <w:rPr>
          <w:lang w:val="en-GB"/>
        </w:rPr>
        <w:t xml:space="preserve"> to a greater extent than medium and higher level officials</w:t>
      </w:r>
      <w:r w:rsidR="004607B3">
        <w:rPr>
          <w:lang w:val="en-GB"/>
        </w:rPr>
        <w:t xml:space="preserve">. </w:t>
      </w:r>
      <w:r w:rsidR="00BE1054">
        <w:rPr>
          <w:lang w:val="en-GB"/>
        </w:rPr>
        <w:t xml:space="preserve">Provided the latter, the data may arguably imply, however, </w:t>
      </w:r>
      <w:r w:rsidR="00CD2173">
        <w:rPr>
          <w:lang w:val="en-GB"/>
        </w:rPr>
        <w:t xml:space="preserve">both a general increase in EU-related work likely due to increase in the scope of agreement, and also that </w:t>
      </w:r>
      <w:r w:rsidR="007B5B34">
        <w:rPr>
          <w:lang w:val="en-GB"/>
        </w:rPr>
        <w:t>such</w:t>
      </w:r>
      <w:r w:rsidR="00CD2173">
        <w:rPr>
          <w:lang w:val="en-GB"/>
        </w:rPr>
        <w:t xml:space="preserve"> tasks </w:t>
      </w:r>
      <w:r w:rsidR="007B5B34">
        <w:rPr>
          <w:lang w:val="en-GB"/>
        </w:rPr>
        <w:t xml:space="preserve">may more extensively </w:t>
      </w:r>
      <w:r w:rsidR="00CD2173">
        <w:rPr>
          <w:lang w:val="en-GB"/>
        </w:rPr>
        <w:t>fall</w:t>
      </w:r>
      <w:r w:rsidR="00BE1054">
        <w:rPr>
          <w:lang w:val="en-GB"/>
        </w:rPr>
        <w:t xml:space="preserve"> to lower level officials. It follows that the lower level officials in general </w:t>
      </w:r>
      <w:r w:rsidR="00CD2173">
        <w:rPr>
          <w:lang w:val="en-GB"/>
        </w:rPr>
        <w:t xml:space="preserve">also </w:t>
      </w:r>
      <w:r w:rsidR="00BE1054">
        <w:rPr>
          <w:lang w:val="en-GB"/>
        </w:rPr>
        <w:t xml:space="preserve">have a more comprehensive </w:t>
      </w:r>
      <w:r w:rsidR="005600ED">
        <w:rPr>
          <w:lang w:val="en-GB"/>
        </w:rPr>
        <w:t xml:space="preserve">view of their ministry’s EU-related work compared to higher level officials. </w:t>
      </w:r>
    </w:p>
    <w:p w14:paraId="586609DB" w14:textId="77777777" w:rsidR="00B40BCE" w:rsidRPr="0075770C" w:rsidRDefault="00B40BCE" w:rsidP="00532827">
      <w:pPr>
        <w:jc w:val="both"/>
        <w:rPr>
          <w:lang w:val="en-GB"/>
        </w:rPr>
      </w:pPr>
    </w:p>
    <w:p w14:paraId="2B710A8C" w14:textId="2A308AB6" w:rsidR="00532827" w:rsidRPr="0075770C" w:rsidRDefault="0043663F" w:rsidP="00532827">
      <w:pPr>
        <w:jc w:val="both"/>
        <w:rPr>
          <w:b/>
          <w:lang w:val="en-GB"/>
        </w:rPr>
      </w:pPr>
      <w:r>
        <w:rPr>
          <w:b/>
          <w:lang w:val="en-GB"/>
        </w:rPr>
        <w:t>Table 8</w:t>
      </w:r>
      <w:r w:rsidR="00532827" w:rsidRPr="0075770C">
        <w:rPr>
          <w:b/>
          <w:lang w:val="en-GB"/>
        </w:rPr>
        <w:t xml:space="preserve"> Percentage of officials that report the following </w:t>
      </w:r>
      <w:r w:rsidR="00532827" w:rsidRPr="003A39A3">
        <w:rPr>
          <w:b/>
          <w:i/>
          <w:u w:val="single"/>
          <w:lang w:val="en-GB"/>
        </w:rPr>
        <w:t>coordination behaviour</w:t>
      </w:r>
      <w:r w:rsidR="00532827" w:rsidRPr="0075770C">
        <w:rPr>
          <w:b/>
          <w:lang w:val="en-GB"/>
        </w:rPr>
        <w:t>*, by year and rank (lower level officials (L)**/medium and higher level officials (MH)***</w:t>
      </w:r>
    </w:p>
    <w:tbl>
      <w:tblPr>
        <w:tblStyle w:val="Tabellrutenett"/>
        <w:tblpPr w:leftFromText="141" w:rightFromText="141" w:vertAnchor="text" w:horzAnchor="page" w:tblpX="1506" w:tblpY="157"/>
        <w:tblW w:w="9691" w:type="dxa"/>
        <w:tblLayout w:type="fixed"/>
        <w:tblLook w:val="04A0" w:firstRow="1" w:lastRow="0" w:firstColumn="1" w:lastColumn="0" w:noHBand="0" w:noVBand="1"/>
      </w:tblPr>
      <w:tblGrid>
        <w:gridCol w:w="3177"/>
        <w:gridCol w:w="851"/>
        <w:gridCol w:w="850"/>
        <w:gridCol w:w="851"/>
        <w:gridCol w:w="850"/>
        <w:gridCol w:w="851"/>
        <w:gridCol w:w="850"/>
        <w:gridCol w:w="1411"/>
      </w:tblGrid>
      <w:tr w:rsidR="00532827" w:rsidRPr="0075770C" w14:paraId="580277B7" w14:textId="77777777" w:rsidTr="00532827">
        <w:trPr>
          <w:trHeight w:val="531"/>
        </w:trPr>
        <w:tc>
          <w:tcPr>
            <w:tcW w:w="3177" w:type="dxa"/>
          </w:tcPr>
          <w:p w14:paraId="2AAE5761" w14:textId="77777777" w:rsidR="00532827" w:rsidRPr="0075770C" w:rsidRDefault="00532827" w:rsidP="00532827">
            <w:pPr>
              <w:jc w:val="both"/>
              <w:rPr>
                <w:lang w:val="en-GB"/>
              </w:rPr>
            </w:pPr>
          </w:p>
        </w:tc>
        <w:tc>
          <w:tcPr>
            <w:tcW w:w="1701" w:type="dxa"/>
            <w:gridSpan w:val="2"/>
          </w:tcPr>
          <w:p w14:paraId="7D5AF8C1" w14:textId="77777777" w:rsidR="00532827" w:rsidRPr="0075770C" w:rsidRDefault="00532827" w:rsidP="00532827">
            <w:pPr>
              <w:jc w:val="center"/>
              <w:rPr>
                <w:b/>
                <w:lang w:val="en-GB"/>
              </w:rPr>
            </w:pPr>
            <w:r w:rsidRPr="0075770C">
              <w:rPr>
                <w:b/>
                <w:lang w:val="en-GB"/>
              </w:rPr>
              <w:t>1996</w:t>
            </w:r>
          </w:p>
        </w:tc>
        <w:tc>
          <w:tcPr>
            <w:tcW w:w="1701" w:type="dxa"/>
            <w:gridSpan w:val="2"/>
          </w:tcPr>
          <w:p w14:paraId="2606001F" w14:textId="77777777" w:rsidR="00532827" w:rsidRPr="0075770C" w:rsidRDefault="00532827" w:rsidP="00532827">
            <w:pPr>
              <w:jc w:val="center"/>
              <w:rPr>
                <w:b/>
                <w:lang w:val="en-GB"/>
              </w:rPr>
            </w:pPr>
            <w:r w:rsidRPr="0075770C">
              <w:rPr>
                <w:b/>
                <w:lang w:val="en-GB"/>
              </w:rPr>
              <w:t>2006</w:t>
            </w:r>
          </w:p>
        </w:tc>
        <w:tc>
          <w:tcPr>
            <w:tcW w:w="1701" w:type="dxa"/>
            <w:gridSpan w:val="2"/>
          </w:tcPr>
          <w:p w14:paraId="4F3F706A" w14:textId="77777777" w:rsidR="00532827" w:rsidRPr="0075770C" w:rsidRDefault="00532827" w:rsidP="00532827">
            <w:pPr>
              <w:jc w:val="center"/>
              <w:rPr>
                <w:b/>
                <w:lang w:val="en-GB"/>
              </w:rPr>
            </w:pPr>
            <w:r w:rsidRPr="0075770C">
              <w:rPr>
                <w:b/>
                <w:lang w:val="en-GB"/>
              </w:rPr>
              <w:t>2016</w:t>
            </w:r>
          </w:p>
        </w:tc>
        <w:tc>
          <w:tcPr>
            <w:tcW w:w="1411" w:type="dxa"/>
          </w:tcPr>
          <w:p w14:paraId="4FC87377" w14:textId="1ED0225D" w:rsidR="00532827" w:rsidRPr="00C7631D" w:rsidRDefault="00532827" w:rsidP="00532827">
            <w:pPr>
              <w:jc w:val="center"/>
              <w:rPr>
                <w:lang w:val="en-GB"/>
              </w:rPr>
            </w:pPr>
          </w:p>
        </w:tc>
      </w:tr>
      <w:tr w:rsidR="00532827" w:rsidRPr="0075770C" w14:paraId="5CECACD1" w14:textId="77777777" w:rsidTr="00532827">
        <w:tc>
          <w:tcPr>
            <w:tcW w:w="3177" w:type="dxa"/>
          </w:tcPr>
          <w:p w14:paraId="71B79F5D" w14:textId="77777777" w:rsidR="00532827" w:rsidRPr="0075770C" w:rsidRDefault="00532827" w:rsidP="00532827">
            <w:pPr>
              <w:jc w:val="both"/>
              <w:rPr>
                <w:lang w:val="en-GB"/>
              </w:rPr>
            </w:pPr>
          </w:p>
        </w:tc>
        <w:tc>
          <w:tcPr>
            <w:tcW w:w="851" w:type="dxa"/>
          </w:tcPr>
          <w:p w14:paraId="2C69A49A" w14:textId="77777777" w:rsidR="00532827" w:rsidRPr="0075770C" w:rsidRDefault="00532827" w:rsidP="00532827">
            <w:pPr>
              <w:jc w:val="center"/>
              <w:rPr>
                <w:lang w:val="en-GB"/>
              </w:rPr>
            </w:pPr>
            <w:r w:rsidRPr="0075770C">
              <w:rPr>
                <w:lang w:val="en-GB"/>
              </w:rPr>
              <w:t>L</w:t>
            </w:r>
          </w:p>
        </w:tc>
        <w:tc>
          <w:tcPr>
            <w:tcW w:w="850" w:type="dxa"/>
          </w:tcPr>
          <w:p w14:paraId="6BDC7E7C" w14:textId="77777777" w:rsidR="00532827" w:rsidRPr="0075770C" w:rsidRDefault="00532827" w:rsidP="00532827">
            <w:pPr>
              <w:jc w:val="center"/>
              <w:rPr>
                <w:lang w:val="en-GB"/>
              </w:rPr>
            </w:pPr>
            <w:r w:rsidRPr="0075770C">
              <w:rPr>
                <w:lang w:val="en-GB"/>
              </w:rPr>
              <w:t>MH</w:t>
            </w:r>
          </w:p>
        </w:tc>
        <w:tc>
          <w:tcPr>
            <w:tcW w:w="851" w:type="dxa"/>
          </w:tcPr>
          <w:p w14:paraId="04ED5363" w14:textId="77777777" w:rsidR="00532827" w:rsidRPr="0075770C" w:rsidRDefault="00532827" w:rsidP="00532827">
            <w:pPr>
              <w:jc w:val="center"/>
              <w:rPr>
                <w:lang w:val="en-GB"/>
              </w:rPr>
            </w:pPr>
            <w:r w:rsidRPr="0075770C">
              <w:rPr>
                <w:lang w:val="en-GB"/>
              </w:rPr>
              <w:t>L</w:t>
            </w:r>
          </w:p>
        </w:tc>
        <w:tc>
          <w:tcPr>
            <w:tcW w:w="850" w:type="dxa"/>
          </w:tcPr>
          <w:p w14:paraId="1FA4A5A7" w14:textId="77777777" w:rsidR="00532827" w:rsidRPr="0075770C" w:rsidRDefault="00532827" w:rsidP="00532827">
            <w:pPr>
              <w:jc w:val="center"/>
              <w:rPr>
                <w:lang w:val="en-GB"/>
              </w:rPr>
            </w:pPr>
            <w:r w:rsidRPr="0075770C">
              <w:rPr>
                <w:lang w:val="en-GB"/>
              </w:rPr>
              <w:t>MH</w:t>
            </w:r>
          </w:p>
        </w:tc>
        <w:tc>
          <w:tcPr>
            <w:tcW w:w="851" w:type="dxa"/>
          </w:tcPr>
          <w:p w14:paraId="0A73C359" w14:textId="77777777" w:rsidR="00532827" w:rsidRPr="0075770C" w:rsidRDefault="00532827" w:rsidP="00532827">
            <w:pPr>
              <w:jc w:val="center"/>
              <w:rPr>
                <w:lang w:val="en-GB"/>
              </w:rPr>
            </w:pPr>
            <w:r w:rsidRPr="0075770C">
              <w:rPr>
                <w:lang w:val="en-GB"/>
              </w:rPr>
              <w:t>L</w:t>
            </w:r>
          </w:p>
        </w:tc>
        <w:tc>
          <w:tcPr>
            <w:tcW w:w="850" w:type="dxa"/>
          </w:tcPr>
          <w:p w14:paraId="1619F258" w14:textId="77777777" w:rsidR="00532827" w:rsidRPr="0075770C" w:rsidRDefault="00532827" w:rsidP="00532827">
            <w:pPr>
              <w:jc w:val="center"/>
              <w:rPr>
                <w:lang w:val="en-GB"/>
              </w:rPr>
            </w:pPr>
            <w:r w:rsidRPr="0075770C">
              <w:rPr>
                <w:lang w:val="en-GB"/>
              </w:rPr>
              <w:t>MH</w:t>
            </w:r>
          </w:p>
        </w:tc>
        <w:tc>
          <w:tcPr>
            <w:tcW w:w="1411" w:type="dxa"/>
          </w:tcPr>
          <w:p w14:paraId="7C72D89B" w14:textId="31C30C19" w:rsidR="00532827" w:rsidRPr="00C7631D" w:rsidRDefault="00C7631D" w:rsidP="00532827">
            <w:pPr>
              <w:jc w:val="center"/>
              <w:rPr>
                <w:lang w:val="en-GB"/>
              </w:rPr>
            </w:pPr>
            <w:r w:rsidRPr="00C7631D">
              <w:rPr>
                <w:lang w:val="en-GB"/>
              </w:rPr>
              <w:t>Mean N</w:t>
            </w:r>
          </w:p>
        </w:tc>
      </w:tr>
      <w:tr w:rsidR="00532827" w:rsidRPr="0075770C" w14:paraId="0091743D" w14:textId="77777777" w:rsidTr="00532827">
        <w:tc>
          <w:tcPr>
            <w:tcW w:w="3177" w:type="dxa"/>
          </w:tcPr>
          <w:p w14:paraId="7EAEA729" w14:textId="77777777" w:rsidR="00532827" w:rsidRPr="0075770C" w:rsidRDefault="00532827" w:rsidP="00532827">
            <w:pPr>
              <w:rPr>
                <w:lang w:val="en-GB"/>
              </w:rPr>
            </w:pPr>
            <w:r w:rsidRPr="0075770C">
              <w:rPr>
                <w:lang w:val="en-GB"/>
              </w:rPr>
              <w:t>Participation in intra-ministerial coordination committee</w:t>
            </w:r>
          </w:p>
          <w:p w14:paraId="0D4FDCEA" w14:textId="77777777" w:rsidR="00532827" w:rsidRPr="0075770C" w:rsidRDefault="00532827" w:rsidP="00532827">
            <w:pPr>
              <w:rPr>
                <w:lang w:val="en-GB"/>
              </w:rPr>
            </w:pPr>
          </w:p>
          <w:p w14:paraId="4BDAAACA" w14:textId="77777777" w:rsidR="00532827" w:rsidRPr="0075770C" w:rsidRDefault="00532827" w:rsidP="00532827">
            <w:pPr>
              <w:rPr>
                <w:lang w:val="en-GB"/>
              </w:rPr>
            </w:pPr>
            <w:r w:rsidRPr="0075770C">
              <w:rPr>
                <w:lang w:val="en-GB"/>
              </w:rPr>
              <w:t>Participation low-level inter-ministerial coordination committee</w:t>
            </w:r>
          </w:p>
          <w:p w14:paraId="1ED6E08D" w14:textId="77777777" w:rsidR="00532827" w:rsidRPr="0075770C" w:rsidRDefault="00532827" w:rsidP="00532827">
            <w:pPr>
              <w:rPr>
                <w:lang w:val="en-GB"/>
              </w:rPr>
            </w:pPr>
          </w:p>
          <w:p w14:paraId="34713A8B" w14:textId="77777777" w:rsidR="00532827" w:rsidRPr="0075770C" w:rsidRDefault="00532827" w:rsidP="00532827">
            <w:pPr>
              <w:rPr>
                <w:lang w:val="en-GB"/>
              </w:rPr>
            </w:pPr>
            <w:r w:rsidRPr="0075770C">
              <w:rPr>
                <w:lang w:val="en-GB"/>
              </w:rPr>
              <w:t xml:space="preserve">Participation in high-level inter-ministerial coordination committee </w:t>
            </w:r>
          </w:p>
          <w:p w14:paraId="76DFBE9C" w14:textId="77777777" w:rsidR="00532827" w:rsidRPr="0075770C" w:rsidRDefault="00532827" w:rsidP="00532827">
            <w:pPr>
              <w:rPr>
                <w:lang w:val="en-GB"/>
              </w:rPr>
            </w:pPr>
          </w:p>
          <w:p w14:paraId="00A057E5" w14:textId="0088D24E" w:rsidR="00532827" w:rsidRPr="0075770C" w:rsidRDefault="00532827" w:rsidP="00532827">
            <w:pPr>
              <w:rPr>
                <w:lang w:val="en-GB"/>
              </w:rPr>
            </w:pPr>
            <w:r w:rsidRPr="0075770C">
              <w:rPr>
                <w:lang w:val="en-GB"/>
              </w:rPr>
              <w:t>Modified/changed own ministry´s position in EU related work due to coordination with the Prime Ministers</w:t>
            </w:r>
            <w:r w:rsidR="00AB7BE3">
              <w:rPr>
                <w:lang w:val="en-GB"/>
              </w:rPr>
              <w:t>’</w:t>
            </w:r>
            <w:r w:rsidRPr="0075770C">
              <w:rPr>
                <w:lang w:val="en-GB"/>
              </w:rPr>
              <w:t xml:space="preserve"> Office</w:t>
            </w:r>
          </w:p>
          <w:p w14:paraId="22588AFD" w14:textId="77777777" w:rsidR="00532827" w:rsidRPr="0075770C" w:rsidRDefault="00532827" w:rsidP="00532827">
            <w:pPr>
              <w:rPr>
                <w:lang w:val="en-GB"/>
              </w:rPr>
            </w:pPr>
          </w:p>
          <w:p w14:paraId="39D8D87D" w14:textId="17FC1874" w:rsidR="00532827" w:rsidRPr="0075770C" w:rsidRDefault="00532827" w:rsidP="00532827">
            <w:pPr>
              <w:rPr>
                <w:lang w:val="en-GB"/>
              </w:rPr>
            </w:pPr>
            <w:r w:rsidRPr="0075770C">
              <w:rPr>
                <w:lang w:val="en-GB"/>
              </w:rPr>
              <w:t>Modified/changed own ministry´s position in EU related work due to coordination with the</w:t>
            </w:r>
          </w:p>
          <w:p w14:paraId="4EF60AD0" w14:textId="77777777" w:rsidR="00532827" w:rsidRPr="0075770C" w:rsidRDefault="00532827" w:rsidP="00532827">
            <w:pPr>
              <w:rPr>
                <w:lang w:val="en-GB"/>
              </w:rPr>
            </w:pPr>
            <w:r w:rsidRPr="0075770C">
              <w:rPr>
                <w:lang w:val="en-GB"/>
              </w:rPr>
              <w:t>MFA</w:t>
            </w:r>
          </w:p>
          <w:p w14:paraId="5009B629" w14:textId="77777777" w:rsidR="00532827" w:rsidRPr="0075770C" w:rsidRDefault="00532827" w:rsidP="00532827">
            <w:pPr>
              <w:rPr>
                <w:lang w:val="en-GB"/>
              </w:rPr>
            </w:pPr>
          </w:p>
          <w:p w14:paraId="1F9E329D" w14:textId="58029B1A" w:rsidR="00532827" w:rsidRPr="0075770C" w:rsidRDefault="00532827" w:rsidP="00532827">
            <w:pPr>
              <w:rPr>
                <w:lang w:val="en-GB"/>
              </w:rPr>
            </w:pPr>
            <w:r w:rsidRPr="0075770C">
              <w:rPr>
                <w:lang w:val="en-GB"/>
              </w:rPr>
              <w:t>Modified/changed own ministry´s position in EU related work due to coordination with</w:t>
            </w:r>
          </w:p>
          <w:p w14:paraId="13088435" w14:textId="2E8C83CE" w:rsidR="00532827" w:rsidRPr="0075770C" w:rsidRDefault="00532827" w:rsidP="00532827">
            <w:pPr>
              <w:rPr>
                <w:lang w:val="en-GB"/>
              </w:rPr>
            </w:pPr>
            <w:r w:rsidRPr="0075770C">
              <w:rPr>
                <w:lang w:val="en-GB"/>
              </w:rPr>
              <w:t xml:space="preserve">other </w:t>
            </w:r>
            <w:r w:rsidR="00E85DEC" w:rsidRPr="0075770C">
              <w:rPr>
                <w:lang w:val="en-GB"/>
              </w:rPr>
              <w:t>ministries</w:t>
            </w:r>
          </w:p>
          <w:p w14:paraId="48C4B08E" w14:textId="77777777" w:rsidR="00532827" w:rsidRPr="0075770C" w:rsidRDefault="00532827" w:rsidP="00532827">
            <w:pPr>
              <w:rPr>
                <w:lang w:val="en-GB"/>
              </w:rPr>
            </w:pPr>
          </w:p>
          <w:p w14:paraId="3CB6267B" w14:textId="4801EA9F" w:rsidR="00532827" w:rsidRPr="0075770C" w:rsidRDefault="00532827" w:rsidP="00532827">
            <w:pPr>
              <w:rPr>
                <w:lang w:val="en-GB"/>
              </w:rPr>
            </w:pPr>
            <w:r w:rsidRPr="0075770C">
              <w:rPr>
                <w:lang w:val="en-GB"/>
              </w:rPr>
              <w:t>Modified/changed own ministry´s position in EU related work due to coordination with the National Parliament</w:t>
            </w:r>
          </w:p>
          <w:p w14:paraId="32EF0FEE" w14:textId="77777777" w:rsidR="00532827" w:rsidRPr="0075770C" w:rsidRDefault="00532827" w:rsidP="00532827">
            <w:pPr>
              <w:rPr>
                <w:lang w:val="en-GB"/>
              </w:rPr>
            </w:pPr>
          </w:p>
          <w:p w14:paraId="1842EFBC" w14:textId="715944C5" w:rsidR="00532827" w:rsidRPr="0075770C" w:rsidRDefault="00532827" w:rsidP="00532827">
            <w:pPr>
              <w:rPr>
                <w:lang w:val="en-GB"/>
              </w:rPr>
            </w:pPr>
            <w:r w:rsidRPr="0075770C">
              <w:rPr>
                <w:lang w:val="en-GB"/>
              </w:rPr>
              <w:t>Modified/changed own ministry´s position in EU related work due to coordination with the</w:t>
            </w:r>
          </w:p>
          <w:p w14:paraId="5AF3C3B5" w14:textId="1168BEB4" w:rsidR="00532827" w:rsidRPr="0075770C" w:rsidRDefault="00532827" w:rsidP="00532827">
            <w:pPr>
              <w:rPr>
                <w:lang w:val="en-GB"/>
              </w:rPr>
            </w:pPr>
            <w:r w:rsidRPr="0075770C">
              <w:rPr>
                <w:lang w:val="en-GB"/>
              </w:rPr>
              <w:t>Interest</w:t>
            </w:r>
            <w:r w:rsidR="00AB7BE3">
              <w:rPr>
                <w:lang w:val="en-GB"/>
              </w:rPr>
              <w:t xml:space="preserve"> </w:t>
            </w:r>
            <w:r w:rsidRPr="0075770C">
              <w:rPr>
                <w:lang w:val="en-GB"/>
              </w:rPr>
              <w:t xml:space="preserve">groups </w:t>
            </w:r>
          </w:p>
        </w:tc>
        <w:tc>
          <w:tcPr>
            <w:tcW w:w="851" w:type="dxa"/>
          </w:tcPr>
          <w:p w14:paraId="440B93A0" w14:textId="77777777" w:rsidR="00532827" w:rsidRPr="0075770C" w:rsidRDefault="00532827" w:rsidP="00532827">
            <w:pPr>
              <w:jc w:val="center"/>
              <w:rPr>
                <w:lang w:val="en-GB"/>
              </w:rPr>
            </w:pPr>
            <w:r w:rsidRPr="0075770C">
              <w:rPr>
                <w:lang w:val="en-GB"/>
              </w:rPr>
              <w:lastRenderedPageBreak/>
              <w:t>71</w:t>
            </w:r>
          </w:p>
          <w:p w14:paraId="0B2B374C" w14:textId="77777777" w:rsidR="00532827" w:rsidRPr="0075770C" w:rsidRDefault="00532827" w:rsidP="00532827">
            <w:pPr>
              <w:jc w:val="center"/>
              <w:rPr>
                <w:lang w:val="en-GB"/>
              </w:rPr>
            </w:pPr>
          </w:p>
          <w:p w14:paraId="13F50DBE" w14:textId="77777777" w:rsidR="00532827" w:rsidRPr="0075770C" w:rsidRDefault="00532827" w:rsidP="00532827">
            <w:pPr>
              <w:jc w:val="center"/>
              <w:rPr>
                <w:lang w:val="en-GB"/>
              </w:rPr>
            </w:pPr>
          </w:p>
          <w:p w14:paraId="38CAB19C" w14:textId="77777777" w:rsidR="00532827" w:rsidRPr="0075770C" w:rsidRDefault="00532827" w:rsidP="00532827">
            <w:pPr>
              <w:jc w:val="center"/>
              <w:rPr>
                <w:lang w:val="en-GB"/>
              </w:rPr>
            </w:pPr>
          </w:p>
          <w:p w14:paraId="3B1CEF2A" w14:textId="77777777" w:rsidR="00532827" w:rsidRPr="0075770C" w:rsidRDefault="00532827" w:rsidP="00532827">
            <w:pPr>
              <w:jc w:val="center"/>
              <w:rPr>
                <w:lang w:val="en-GB"/>
              </w:rPr>
            </w:pPr>
            <w:r w:rsidRPr="0075770C">
              <w:rPr>
                <w:lang w:val="en-GB"/>
              </w:rPr>
              <w:t>83</w:t>
            </w:r>
          </w:p>
          <w:p w14:paraId="6010007D" w14:textId="77777777" w:rsidR="00532827" w:rsidRPr="0075770C" w:rsidRDefault="00532827" w:rsidP="00532827">
            <w:pPr>
              <w:jc w:val="center"/>
              <w:rPr>
                <w:lang w:val="en-GB"/>
              </w:rPr>
            </w:pPr>
          </w:p>
          <w:p w14:paraId="60EF9A45" w14:textId="77777777" w:rsidR="00532827" w:rsidRPr="0075770C" w:rsidRDefault="00532827" w:rsidP="00532827">
            <w:pPr>
              <w:jc w:val="center"/>
              <w:rPr>
                <w:lang w:val="en-GB"/>
              </w:rPr>
            </w:pPr>
          </w:p>
          <w:p w14:paraId="62FE2141" w14:textId="77777777" w:rsidR="00532827" w:rsidRPr="0075770C" w:rsidRDefault="00532827" w:rsidP="00532827">
            <w:pPr>
              <w:jc w:val="center"/>
              <w:rPr>
                <w:lang w:val="en-GB"/>
              </w:rPr>
            </w:pPr>
          </w:p>
          <w:p w14:paraId="4A4EB2CC" w14:textId="77777777" w:rsidR="00532827" w:rsidRPr="0075770C" w:rsidRDefault="00532827" w:rsidP="00532827">
            <w:pPr>
              <w:jc w:val="center"/>
              <w:rPr>
                <w:lang w:val="en-GB"/>
              </w:rPr>
            </w:pPr>
            <w:r w:rsidRPr="0075770C">
              <w:rPr>
                <w:lang w:val="en-GB"/>
              </w:rPr>
              <w:t>56</w:t>
            </w:r>
          </w:p>
          <w:p w14:paraId="482E236F" w14:textId="77777777" w:rsidR="00532827" w:rsidRPr="0075770C" w:rsidRDefault="00532827" w:rsidP="00532827">
            <w:pPr>
              <w:jc w:val="center"/>
              <w:rPr>
                <w:lang w:val="en-GB"/>
              </w:rPr>
            </w:pPr>
          </w:p>
          <w:p w14:paraId="2D1245AC" w14:textId="77777777" w:rsidR="00532827" w:rsidRPr="0075770C" w:rsidRDefault="00532827" w:rsidP="00532827">
            <w:pPr>
              <w:jc w:val="center"/>
              <w:rPr>
                <w:lang w:val="en-GB"/>
              </w:rPr>
            </w:pPr>
          </w:p>
          <w:p w14:paraId="3107A3FD" w14:textId="77777777" w:rsidR="00532827" w:rsidRPr="0075770C" w:rsidRDefault="00532827" w:rsidP="00532827">
            <w:pPr>
              <w:jc w:val="center"/>
              <w:rPr>
                <w:lang w:val="en-GB"/>
              </w:rPr>
            </w:pPr>
          </w:p>
          <w:p w14:paraId="0D2AE5D9" w14:textId="77777777" w:rsidR="00532827" w:rsidRPr="0075770C" w:rsidRDefault="00532827" w:rsidP="00532827">
            <w:pPr>
              <w:jc w:val="center"/>
              <w:rPr>
                <w:lang w:val="en-GB"/>
              </w:rPr>
            </w:pPr>
            <w:r w:rsidRPr="0075770C">
              <w:rPr>
                <w:lang w:val="en-GB"/>
              </w:rPr>
              <w:t>63</w:t>
            </w:r>
          </w:p>
          <w:p w14:paraId="41C06D81" w14:textId="77777777" w:rsidR="00532827" w:rsidRPr="0075770C" w:rsidRDefault="00532827" w:rsidP="00532827">
            <w:pPr>
              <w:jc w:val="center"/>
              <w:rPr>
                <w:lang w:val="en-GB"/>
              </w:rPr>
            </w:pPr>
          </w:p>
          <w:p w14:paraId="0E35C622" w14:textId="77777777" w:rsidR="00532827" w:rsidRPr="0075770C" w:rsidRDefault="00532827" w:rsidP="00532827">
            <w:pPr>
              <w:jc w:val="center"/>
              <w:rPr>
                <w:lang w:val="en-GB"/>
              </w:rPr>
            </w:pPr>
          </w:p>
          <w:p w14:paraId="3FFEB8C7" w14:textId="77777777" w:rsidR="00532827" w:rsidRPr="0075770C" w:rsidRDefault="00532827" w:rsidP="00532827">
            <w:pPr>
              <w:jc w:val="center"/>
              <w:rPr>
                <w:lang w:val="en-GB"/>
              </w:rPr>
            </w:pPr>
          </w:p>
          <w:p w14:paraId="2A038D80" w14:textId="77777777" w:rsidR="00532827" w:rsidRPr="0075770C" w:rsidRDefault="00532827" w:rsidP="00532827">
            <w:pPr>
              <w:jc w:val="center"/>
              <w:rPr>
                <w:lang w:val="en-GB"/>
              </w:rPr>
            </w:pPr>
          </w:p>
          <w:p w14:paraId="65582DDB" w14:textId="77777777" w:rsidR="00532827" w:rsidRPr="0075770C" w:rsidRDefault="00532827" w:rsidP="00532827">
            <w:pPr>
              <w:jc w:val="center"/>
              <w:rPr>
                <w:lang w:val="en-GB"/>
              </w:rPr>
            </w:pPr>
          </w:p>
          <w:p w14:paraId="02E419E8" w14:textId="77777777" w:rsidR="00532827" w:rsidRPr="0075770C" w:rsidRDefault="00532827" w:rsidP="00532827">
            <w:pPr>
              <w:jc w:val="center"/>
              <w:rPr>
                <w:lang w:val="en-GB"/>
              </w:rPr>
            </w:pPr>
            <w:r w:rsidRPr="0075770C">
              <w:rPr>
                <w:lang w:val="en-GB"/>
              </w:rPr>
              <w:t>63</w:t>
            </w:r>
          </w:p>
          <w:p w14:paraId="03C2899D" w14:textId="77777777" w:rsidR="00532827" w:rsidRPr="0075770C" w:rsidRDefault="00532827" w:rsidP="00532827">
            <w:pPr>
              <w:jc w:val="center"/>
              <w:rPr>
                <w:lang w:val="en-GB"/>
              </w:rPr>
            </w:pPr>
          </w:p>
          <w:p w14:paraId="59260595" w14:textId="77777777" w:rsidR="00532827" w:rsidRPr="0075770C" w:rsidRDefault="00532827" w:rsidP="00532827">
            <w:pPr>
              <w:jc w:val="center"/>
              <w:rPr>
                <w:lang w:val="en-GB"/>
              </w:rPr>
            </w:pPr>
          </w:p>
          <w:p w14:paraId="22B102C8" w14:textId="77777777" w:rsidR="00532827" w:rsidRPr="0075770C" w:rsidRDefault="00532827" w:rsidP="00532827">
            <w:pPr>
              <w:jc w:val="center"/>
              <w:rPr>
                <w:lang w:val="en-GB"/>
              </w:rPr>
            </w:pPr>
          </w:p>
          <w:p w14:paraId="3C4F0CD4" w14:textId="77777777" w:rsidR="00532827" w:rsidRPr="0075770C" w:rsidRDefault="00532827" w:rsidP="00532827">
            <w:pPr>
              <w:jc w:val="center"/>
              <w:rPr>
                <w:lang w:val="en-GB"/>
              </w:rPr>
            </w:pPr>
          </w:p>
          <w:p w14:paraId="0A95E01E" w14:textId="77777777" w:rsidR="00197AD3" w:rsidRDefault="00197AD3" w:rsidP="003A39A3">
            <w:pPr>
              <w:rPr>
                <w:lang w:val="en-GB"/>
              </w:rPr>
            </w:pPr>
          </w:p>
          <w:p w14:paraId="3FABFF0D" w14:textId="4396C87B" w:rsidR="00532827" w:rsidRPr="0075770C" w:rsidRDefault="00532827" w:rsidP="00532827">
            <w:pPr>
              <w:jc w:val="center"/>
              <w:rPr>
                <w:lang w:val="en-GB"/>
              </w:rPr>
            </w:pPr>
            <w:r w:rsidRPr="0075770C">
              <w:rPr>
                <w:lang w:val="en-GB"/>
              </w:rPr>
              <w:t>65</w:t>
            </w:r>
          </w:p>
          <w:p w14:paraId="44646DFD" w14:textId="77777777" w:rsidR="00532827" w:rsidRPr="0075770C" w:rsidRDefault="00532827" w:rsidP="00532827">
            <w:pPr>
              <w:jc w:val="center"/>
              <w:rPr>
                <w:lang w:val="en-GB"/>
              </w:rPr>
            </w:pPr>
          </w:p>
          <w:p w14:paraId="5BDC5BB3" w14:textId="77777777" w:rsidR="00532827" w:rsidRPr="0075770C" w:rsidRDefault="00532827" w:rsidP="00532827">
            <w:pPr>
              <w:jc w:val="center"/>
              <w:rPr>
                <w:lang w:val="en-GB"/>
              </w:rPr>
            </w:pPr>
          </w:p>
          <w:p w14:paraId="2FB6C53C" w14:textId="77777777" w:rsidR="00532827" w:rsidRPr="0075770C" w:rsidRDefault="00532827" w:rsidP="00532827">
            <w:pPr>
              <w:jc w:val="center"/>
              <w:rPr>
                <w:lang w:val="en-GB"/>
              </w:rPr>
            </w:pPr>
          </w:p>
          <w:p w14:paraId="11B95528" w14:textId="77777777" w:rsidR="00532827" w:rsidRPr="0075770C" w:rsidRDefault="00532827" w:rsidP="00532827">
            <w:pPr>
              <w:jc w:val="center"/>
              <w:rPr>
                <w:lang w:val="en-GB"/>
              </w:rPr>
            </w:pPr>
          </w:p>
          <w:p w14:paraId="0E04A884" w14:textId="77777777" w:rsidR="00532827" w:rsidRPr="0075770C" w:rsidRDefault="00532827" w:rsidP="00532827">
            <w:pPr>
              <w:jc w:val="center"/>
              <w:rPr>
                <w:lang w:val="en-GB"/>
              </w:rPr>
            </w:pPr>
          </w:p>
          <w:p w14:paraId="63C18048" w14:textId="77777777" w:rsidR="00532827" w:rsidRPr="0075770C" w:rsidRDefault="00532827" w:rsidP="00532827">
            <w:pPr>
              <w:jc w:val="center"/>
              <w:rPr>
                <w:lang w:val="en-GB"/>
              </w:rPr>
            </w:pPr>
            <w:r w:rsidRPr="0075770C">
              <w:rPr>
                <w:lang w:val="en-GB"/>
              </w:rPr>
              <w:t>83</w:t>
            </w:r>
          </w:p>
          <w:p w14:paraId="11632A11" w14:textId="77777777" w:rsidR="00532827" w:rsidRPr="0075770C" w:rsidRDefault="00532827" w:rsidP="00532827">
            <w:pPr>
              <w:jc w:val="center"/>
              <w:rPr>
                <w:lang w:val="en-GB"/>
              </w:rPr>
            </w:pPr>
          </w:p>
          <w:p w14:paraId="245194D6" w14:textId="77777777" w:rsidR="00532827" w:rsidRPr="0075770C" w:rsidRDefault="00532827" w:rsidP="00532827">
            <w:pPr>
              <w:jc w:val="center"/>
              <w:rPr>
                <w:lang w:val="en-GB"/>
              </w:rPr>
            </w:pPr>
          </w:p>
          <w:p w14:paraId="68C7943B" w14:textId="77777777" w:rsidR="00532827" w:rsidRPr="0075770C" w:rsidRDefault="00532827" w:rsidP="00532827">
            <w:pPr>
              <w:jc w:val="center"/>
              <w:rPr>
                <w:lang w:val="en-GB"/>
              </w:rPr>
            </w:pPr>
          </w:p>
          <w:p w14:paraId="4B8E8801" w14:textId="77777777" w:rsidR="00532827" w:rsidRPr="0075770C" w:rsidRDefault="00532827" w:rsidP="00532827">
            <w:pPr>
              <w:jc w:val="center"/>
              <w:rPr>
                <w:lang w:val="en-GB"/>
              </w:rPr>
            </w:pPr>
          </w:p>
          <w:p w14:paraId="36046FC5" w14:textId="77777777" w:rsidR="00532827" w:rsidRPr="0075770C" w:rsidRDefault="00532827" w:rsidP="00532827">
            <w:pPr>
              <w:jc w:val="center"/>
              <w:rPr>
                <w:lang w:val="en-GB"/>
              </w:rPr>
            </w:pPr>
          </w:p>
          <w:p w14:paraId="6340B780" w14:textId="77777777" w:rsidR="00532827" w:rsidRPr="0075770C" w:rsidRDefault="00532827" w:rsidP="00532827">
            <w:pPr>
              <w:jc w:val="center"/>
              <w:rPr>
                <w:lang w:val="en-GB"/>
              </w:rPr>
            </w:pPr>
            <w:r w:rsidRPr="0075770C">
              <w:rPr>
                <w:lang w:val="en-GB"/>
              </w:rPr>
              <w:t>76</w:t>
            </w:r>
          </w:p>
          <w:p w14:paraId="44CC88A9" w14:textId="77777777" w:rsidR="00532827" w:rsidRPr="0075770C" w:rsidRDefault="00532827" w:rsidP="00532827">
            <w:pPr>
              <w:jc w:val="center"/>
              <w:rPr>
                <w:lang w:val="en-GB"/>
              </w:rPr>
            </w:pPr>
          </w:p>
          <w:p w14:paraId="75A38918" w14:textId="77777777" w:rsidR="00532827" w:rsidRPr="0075770C" w:rsidRDefault="00532827" w:rsidP="00532827">
            <w:pPr>
              <w:jc w:val="center"/>
              <w:rPr>
                <w:lang w:val="en-GB"/>
              </w:rPr>
            </w:pPr>
          </w:p>
          <w:p w14:paraId="1DCF456C" w14:textId="77777777" w:rsidR="00532827" w:rsidRPr="0075770C" w:rsidRDefault="00532827" w:rsidP="00532827">
            <w:pPr>
              <w:jc w:val="center"/>
              <w:rPr>
                <w:lang w:val="en-GB"/>
              </w:rPr>
            </w:pPr>
          </w:p>
        </w:tc>
        <w:tc>
          <w:tcPr>
            <w:tcW w:w="850" w:type="dxa"/>
          </w:tcPr>
          <w:p w14:paraId="291F44ED" w14:textId="77777777" w:rsidR="00532827" w:rsidRPr="0075770C" w:rsidRDefault="00532827" w:rsidP="00532827">
            <w:pPr>
              <w:jc w:val="center"/>
              <w:rPr>
                <w:lang w:val="en-GB"/>
              </w:rPr>
            </w:pPr>
            <w:r w:rsidRPr="0075770C">
              <w:rPr>
                <w:lang w:val="en-GB"/>
              </w:rPr>
              <w:lastRenderedPageBreak/>
              <w:t>29</w:t>
            </w:r>
          </w:p>
          <w:p w14:paraId="2FA3FEE8" w14:textId="77777777" w:rsidR="00532827" w:rsidRPr="0075770C" w:rsidRDefault="00532827" w:rsidP="00532827">
            <w:pPr>
              <w:jc w:val="center"/>
              <w:rPr>
                <w:lang w:val="en-GB"/>
              </w:rPr>
            </w:pPr>
          </w:p>
          <w:p w14:paraId="4176D6B5" w14:textId="77777777" w:rsidR="00532827" w:rsidRPr="0075770C" w:rsidRDefault="00532827" w:rsidP="00532827">
            <w:pPr>
              <w:jc w:val="center"/>
              <w:rPr>
                <w:lang w:val="en-GB"/>
              </w:rPr>
            </w:pPr>
          </w:p>
          <w:p w14:paraId="530C8D48" w14:textId="77777777" w:rsidR="00532827" w:rsidRPr="0075770C" w:rsidRDefault="00532827" w:rsidP="00532827">
            <w:pPr>
              <w:jc w:val="center"/>
              <w:rPr>
                <w:lang w:val="en-GB"/>
              </w:rPr>
            </w:pPr>
          </w:p>
          <w:p w14:paraId="0717C216" w14:textId="77777777" w:rsidR="00532827" w:rsidRPr="0075770C" w:rsidRDefault="00532827" w:rsidP="00532827">
            <w:pPr>
              <w:jc w:val="center"/>
              <w:rPr>
                <w:lang w:val="en-GB"/>
              </w:rPr>
            </w:pPr>
            <w:r w:rsidRPr="0075770C">
              <w:rPr>
                <w:lang w:val="en-GB"/>
              </w:rPr>
              <w:t>17</w:t>
            </w:r>
          </w:p>
          <w:p w14:paraId="357D81C9" w14:textId="77777777" w:rsidR="00532827" w:rsidRPr="0075770C" w:rsidRDefault="00532827" w:rsidP="00532827">
            <w:pPr>
              <w:jc w:val="center"/>
              <w:rPr>
                <w:lang w:val="en-GB"/>
              </w:rPr>
            </w:pPr>
          </w:p>
          <w:p w14:paraId="2AE8D3E9" w14:textId="77777777" w:rsidR="00532827" w:rsidRPr="0075770C" w:rsidRDefault="00532827" w:rsidP="00532827">
            <w:pPr>
              <w:jc w:val="center"/>
              <w:rPr>
                <w:lang w:val="en-GB"/>
              </w:rPr>
            </w:pPr>
          </w:p>
          <w:p w14:paraId="41166DF5" w14:textId="77777777" w:rsidR="00532827" w:rsidRPr="0075770C" w:rsidRDefault="00532827" w:rsidP="00532827">
            <w:pPr>
              <w:jc w:val="center"/>
              <w:rPr>
                <w:lang w:val="en-GB"/>
              </w:rPr>
            </w:pPr>
          </w:p>
          <w:p w14:paraId="14852174" w14:textId="77777777" w:rsidR="00532827" w:rsidRPr="0075770C" w:rsidRDefault="00532827" w:rsidP="00532827">
            <w:pPr>
              <w:jc w:val="center"/>
              <w:rPr>
                <w:lang w:val="en-GB"/>
              </w:rPr>
            </w:pPr>
            <w:r w:rsidRPr="0075770C">
              <w:rPr>
                <w:lang w:val="en-GB"/>
              </w:rPr>
              <w:t>44</w:t>
            </w:r>
          </w:p>
          <w:p w14:paraId="526123A0" w14:textId="77777777" w:rsidR="00532827" w:rsidRPr="0075770C" w:rsidRDefault="00532827" w:rsidP="00532827">
            <w:pPr>
              <w:jc w:val="center"/>
              <w:rPr>
                <w:lang w:val="en-GB"/>
              </w:rPr>
            </w:pPr>
          </w:p>
          <w:p w14:paraId="73A08BB6" w14:textId="77777777" w:rsidR="00532827" w:rsidRPr="0075770C" w:rsidRDefault="00532827" w:rsidP="00532827">
            <w:pPr>
              <w:jc w:val="center"/>
              <w:rPr>
                <w:lang w:val="en-GB"/>
              </w:rPr>
            </w:pPr>
          </w:p>
          <w:p w14:paraId="711CB61B" w14:textId="77777777" w:rsidR="00532827" w:rsidRPr="0075770C" w:rsidRDefault="00532827" w:rsidP="00532827">
            <w:pPr>
              <w:jc w:val="center"/>
              <w:rPr>
                <w:lang w:val="en-GB"/>
              </w:rPr>
            </w:pPr>
          </w:p>
          <w:p w14:paraId="758326B6" w14:textId="77777777" w:rsidR="00532827" w:rsidRPr="0075770C" w:rsidRDefault="00532827" w:rsidP="00532827">
            <w:pPr>
              <w:jc w:val="center"/>
              <w:rPr>
                <w:lang w:val="en-GB"/>
              </w:rPr>
            </w:pPr>
            <w:r w:rsidRPr="0075770C">
              <w:rPr>
                <w:lang w:val="en-GB"/>
              </w:rPr>
              <w:t>38</w:t>
            </w:r>
          </w:p>
          <w:p w14:paraId="43710C87" w14:textId="77777777" w:rsidR="00532827" w:rsidRPr="0075770C" w:rsidRDefault="00532827" w:rsidP="00532827">
            <w:pPr>
              <w:jc w:val="center"/>
              <w:rPr>
                <w:lang w:val="en-GB"/>
              </w:rPr>
            </w:pPr>
          </w:p>
          <w:p w14:paraId="62FA6CFC" w14:textId="77777777" w:rsidR="00532827" w:rsidRPr="0075770C" w:rsidRDefault="00532827" w:rsidP="00532827">
            <w:pPr>
              <w:jc w:val="center"/>
              <w:rPr>
                <w:lang w:val="en-GB"/>
              </w:rPr>
            </w:pPr>
          </w:p>
          <w:p w14:paraId="3C33E680" w14:textId="77777777" w:rsidR="00532827" w:rsidRPr="0075770C" w:rsidRDefault="00532827" w:rsidP="00532827">
            <w:pPr>
              <w:jc w:val="center"/>
              <w:rPr>
                <w:lang w:val="en-GB"/>
              </w:rPr>
            </w:pPr>
          </w:p>
          <w:p w14:paraId="2E1E8602" w14:textId="77777777" w:rsidR="00532827" w:rsidRPr="0075770C" w:rsidRDefault="00532827" w:rsidP="00532827">
            <w:pPr>
              <w:jc w:val="center"/>
              <w:rPr>
                <w:lang w:val="en-GB"/>
              </w:rPr>
            </w:pPr>
          </w:p>
          <w:p w14:paraId="6407B578" w14:textId="77777777" w:rsidR="00532827" w:rsidRPr="0075770C" w:rsidRDefault="00532827" w:rsidP="00532827">
            <w:pPr>
              <w:jc w:val="center"/>
              <w:rPr>
                <w:lang w:val="en-GB"/>
              </w:rPr>
            </w:pPr>
          </w:p>
          <w:p w14:paraId="16C9A605" w14:textId="77777777" w:rsidR="00532827" w:rsidRPr="0075770C" w:rsidRDefault="00532827" w:rsidP="00532827">
            <w:pPr>
              <w:jc w:val="center"/>
              <w:rPr>
                <w:lang w:val="en-GB"/>
              </w:rPr>
            </w:pPr>
            <w:r w:rsidRPr="0075770C">
              <w:rPr>
                <w:lang w:val="en-GB"/>
              </w:rPr>
              <w:t>37</w:t>
            </w:r>
          </w:p>
          <w:p w14:paraId="50F2D718" w14:textId="77777777" w:rsidR="00532827" w:rsidRPr="0075770C" w:rsidRDefault="00532827" w:rsidP="00532827">
            <w:pPr>
              <w:jc w:val="center"/>
              <w:rPr>
                <w:lang w:val="en-GB"/>
              </w:rPr>
            </w:pPr>
          </w:p>
          <w:p w14:paraId="0F32A64A" w14:textId="77777777" w:rsidR="00532827" w:rsidRPr="0075770C" w:rsidRDefault="00532827" w:rsidP="00532827">
            <w:pPr>
              <w:jc w:val="center"/>
              <w:rPr>
                <w:lang w:val="en-GB"/>
              </w:rPr>
            </w:pPr>
          </w:p>
          <w:p w14:paraId="25220DF2" w14:textId="77777777" w:rsidR="00532827" w:rsidRPr="0075770C" w:rsidRDefault="00532827" w:rsidP="00532827">
            <w:pPr>
              <w:jc w:val="center"/>
              <w:rPr>
                <w:lang w:val="en-GB"/>
              </w:rPr>
            </w:pPr>
          </w:p>
          <w:p w14:paraId="2B6402E7" w14:textId="77777777" w:rsidR="00197AD3" w:rsidRDefault="00197AD3" w:rsidP="003A39A3">
            <w:pPr>
              <w:rPr>
                <w:lang w:val="en-GB"/>
              </w:rPr>
            </w:pPr>
          </w:p>
          <w:p w14:paraId="5EB68837" w14:textId="77777777" w:rsidR="00197AD3" w:rsidRDefault="00197AD3" w:rsidP="003A39A3">
            <w:pPr>
              <w:rPr>
                <w:lang w:val="en-GB"/>
              </w:rPr>
            </w:pPr>
          </w:p>
          <w:p w14:paraId="4C440936" w14:textId="2A5374DA" w:rsidR="00532827" w:rsidRPr="0075770C" w:rsidRDefault="00532827" w:rsidP="00532827">
            <w:pPr>
              <w:jc w:val="center"/>
              <w:rPr>
                <w:lang w:val="en-GB"/>
              </w:rPr>
            </w:pPr>
            <w:r w:rsidRPr="0075770C">
              <w:rPr>
                <w:lang w:val="en-GB"/>
              </w:rPr>
              <w:t>35</w:t>
            </w:r>
          </w:p>
          <w:p w14:paraId="69224584" w14:textId="77777777" w:rsidR="00532827" w:rsidRPr="0075770C" w:rsidRDefault="00532827" w:rsidP="00532827">
            <w:pPr>
              <w:jc w:val="center"/>
              <w:rPr>
                <w:lang w:val="en-GB"/>
              </w:rPr>
            </w:pPr>
          </w:p>
          <w:p w14:paraId="62D1BE2E" w14:textId="77777777" w:rsidR="00532827" w:rsidRPr="0075770C" w:rsidRDefault="00532827" w:rsidP="00532827">
            <w:pPr>
              <w:jc w:val="center"/>
              <w:rPr>
                <w:lang w:val="en-GB"/>
              </w:rPr>
            </w:pPr>
          </w:p>
          <w:p w14:paraId="2379D3C3" w14:textId="77777777" w:rsidR="00532827" w:rsidRPr="0075770C" w:rsidRDefault="00532827" w:rsidP="00532827">
            <w:pPr>
              <w:jc w:val="center"/>
              <w:rPr>
                <w:lang w:val="en-GB"/>
              </w:rPr>
            </w:pPr>
          </w:p>
          <w:p w14:paraId="13BDACA5" w14:textId="77777777" w:rsidR="00532827" w:rsidRPr="0075770C" w:rsidRDefault="00532827" w:rsidP="00532827">
            <w:pPr>
              <w:jc w:val="center"/>
              <w:rPr>
                <w:lang w:val="en-GB"/>
              </w:rPr>
            </w:pPr>
          </w:p>
          <w:p w14:paraId="6E94F062" w14:textId="77777777" w:rsidR="00532827" w:rsidRPr="0075770C" w:rsidRDefault="00532827" w:rsidP="00532827">
            <w:pPr>
              <w:jc w:val="center"/>
              <w:rPr>
                <w:lang w:val="en-GB"/>
              </w:rPr>
            </w:pPr>
          </w:p>
          <w:p w14:paraId="62D6D384" w14:textId="77777777" w:rsidR="00532827" w:rsidRPr="0075770C" w:rsidRDefault="00532827" w:rsidP="00532827">
            <w:pPr>
              <w:jc w:val="center"/>
              <w:rPr>
                <w:lang w:val="en-GB"/>
              </w:rPr>
            </w:pPr>
            <w:r w:rsidRPr="0075770C">
              <w:rPr>
                <w:lang w:val="en-GB"/>
              </w:rPr>
              <w:t>17</w:t>
            </w:r>
          </w:p>
          <w:p w14:paraId="667D48CA" w14:textId="77777777" w:rsidR="00532827" w:rsidRPr="0075770C" w:rsidRDefault="00532827" w:rsidP="00532827">
            <w:pPr>
              <w:jc w:val="center"/>
              <w:rPr>
                <w:lang w:val="en-GB"/>
              </w:rPr>
            </w:pPr>
          </w:p>
          <w:p w14:paraId="6F5E656A" w14:textId="77777777" w:rsidR="00532827" w:rsidRPr="0075770C" w:rsidRDefault="00532827" w:rsidP="00532827">
            <w:pPr>
              <w:jc w:val="center"/>
              <w:rPr>
                <w:lang w:val="en-GB"/>
              </w:rPr>
            </w:pPr>
          </w:p>
          <w:p w14:paraId="13659343" w14:textId="77777777" w:rsidR="00532827" w:rsidRPr="0075770C" w:rsidRDefault="00532827" w:rsidP="00532827">
            <w:pPr>
              <w:jc w:val="center"/>
              <w:rPr>
                <w:lang w:val="en-GB"/>
              </w:rPr>
            </w:pPr>
          </w:p>
          <w:p w14:paraId="3ACF3FA4" w14:textId="77777777" w:rsidR="00532827" w:rsidRPr="0075770C" w:rsidRDefault="00532827" w:rsidP="00532827">
            <w:pPr>
              <w:jc w:val="center"/>
              <w:rPr>
                <w:lang w:val="en-GB"/>
              </w:rPr>
            </w:pPr>
          </w:p>
          <w:p w14:paraId="3BC9494D" w14:textId="77777777" w:rsidR="00532827" w:rsidRPr="0075770C" w:rsidRDefault="00532827" w:rsidP="00532827">
            <w:pPr>
              <w:jc w:val="center"/>
              <w:rPr>
                <w:lang w:val="en-GB"/>
              </w:rPr>
            </w:pPr>
          </w:p>
          <w:p w14:paraId="340DD6D4" w14:textId="77777777" w:rsidR="00532827" w:rsidRPr="0075770C" w:rsidRDefault="00532827" w:rsidP="00532827">
            <w:pPr>
              <w:jc w:val="center"/>
              <w:rPr>
                <w:lang w:val="en-GB"/>
              </w:rPr>
            </w:pPr>
            <w:r w:rsidRPr="0075770C">
              <w:rPr>
                <w:lang w:val="en-GB"/>
              </w:rPr>
              <w:t>24</w:t>
            </w:r>
          </w:p>
          <w:p w14:paraId="11F76447" w14:textId="77777777" w:rsidR="00532827" w:rsidRPr="0075770C" w:rsidRDefault="00532827" w:rsidP="00532827">
            <w:pPr>
              <w:jc w:val="center"/>
              <w:rPr>
                <w:lang w:val="en-GB"/>
              </w:rPr>
            </w:pPr>
          </w:p>
          <w:p w14:paraId="5ACEA26D" w14:textId="77777777" w:rsidR="00532827" w:rsidRPr="0075770C" w:rsidRDefault="00532827" w:rsidP="00532827">
            <w:pPr>
              <w:jc w:val="center"/>
              <w:rPr>
                <w:lang w:val="en-GB"/>
              </w:rPr>
            </w:pPr>
          </w:p>
        </w:tc>
        <w:tc>
          <w:tcPr>
            <w:tcW w:w="851" w:type="dxa"/>
          </w:tcPr>
          <w:p w14:paraId="039127F5" w14:textId="77777777" w:rsidR="00532827" w:rsidRPr="0075770C" w:rsidRDefault="00532827" w:rsidP="00532827">
            <w:pPr>
              <w:jc w:val="center"/>
              <w:rPr>
                <w:lang w:val="en-GB"/>
              </w:rPr>
            </w:pPr>
            <w:r w:rsidRPr="0075770C">
              <w:rPr>
                <w:lang w:val="en-GB"/>
              </w:rPr>
              <w:lastRenderedPageBreak/>
              <w:t>62</w:t>
            </w:r>
          </w:p>
          <w:p w14:paraId="72B68405" w14:textId="77777777" w:rsidR="00532827" w:rsidRPr="0075770C" w:rsidRDefault="00532827" w:rsidP="00532827">
            <w:pPr>
              <w:jc w:val="center"/>
              <w:rPr>
                <w:lang w:val="en-GB"/>
              </w:rPr>
            </w:pPr>
          </w:p>
          <w:p w14:paraId="2394D44E" w14:textId="77777777" w:rsidR="00532827" w:rsidRPr="0075770C" w:rsidRDefault="00532827" w:rsidP="00532827">
            <w:pPr>
              <w:jc w:val="center"/>
              <w:rPr>
                <w:lang w:val="en-GB"/>
              </w:rPr>
            </w:pPr>
          </w:p>
          <w:p w14:paraId="5EF39F7D" w14:textId="77777777" w:rsidR="00532827" w:rsidRPr="0075770C" w:rsidRDefault="00532827" w:rsidP="00532827">
            <w:pPr>
              <w:jc w:val="center"/>
              <w:rPr>
                <w:lang w:val="en-GB"/>
              </w:rPr>
            </w:pPr>
          </w:p>
          <w:p w14:paraId="433A5900" w14:textId="77777777" w:rsidR="00532827" w:rsidRPr="0075770C" w:rsidRDefault="00532827" w:rsidP="00532827">
            <w:pPr>
              <w:jc w:val="center"/>
              <w:rPr>
                <w:lang w:val="en-GB"/>
              </w:rPr>
            </w:pPr>
            <w:r w:rsidRPr="0075770C">
              <w:rPr>
                <w:lang w:val="en-GB"/>
              </w:rPr>
              <w:t>75</w:t>
            </w:r>
          </w:p>
          <w:p w14:paraId="30751FA1" w14:textId="77777777" w:rsidR="00532827" w:rsidRPr="0075770C" w:rsidRDefault="00532827" w:rsidP="00532827">
            <w:pPr>
              <w:jc w:val="center"/>
              <w:rPr>
                <w:lang w:val="en-GB"/>
              </w:rPr>
            </w:pPr>
          </w:p>
          <w:p w14:paraId="184B3A09" w14:textId="77777777" w:rsidR="00532827" w:rsidRPr="0075770C" w:rsidRDefault="00532827" w:rsidP="00532827">
            <w:pPr>
              <w:jc w:val="center"/>
              <w:rPr>
                <w:lang w:val="en-GB"/>
              </w:rPr>
            </w:pPr>
          </w:p>
          <w:p w14:paraId="18FE16E1" w14:textId="77777777" w:rsidR="00532827" w:rsidRPr="0075770C" w:rsidRDefault="00532827" w:rsidP="00532827">
            <w:pPr>
              <w:jc w:val="center"/>
              <w:rPr>
                <w:lang w:val="en-GB"/>
              </w:rPr>
            </w:pPr>
          </w:p>
          <w:p w14:paraId="66C084A3" w14:textId="77777777" w:rsidR="00532827" w:rsidRPr="0075770C" w:rsidRDefault="00532827" w:rsidP="00532827">
            <w:pPr>
              <w:jc w:val="center"/>
              <w:rPr>
                <w:lang w:val="en-GB"/>
              </w:rPr>
            </w:pPr>
            <w:r w:rsidRPr="0075770C">
              <w:rPr>
                <w:lang w:val="en-GB"/>
              </w:rPr>
              <w:t>55</w:t>
            </w:r>
          </w:p>
          <w:p w14:paraId="02AD4553" w14:textId="77777777" w:rsidR="00532827" w:rsidRPr="0075770C" w:rsidRDefault="00532827" w:rsidP="00532827">
            <w:pPr>
              <w:jc w:val="center"/>
              <w:rPr>
                <w:lang w:val="en-GB"/>
              </w:rPr>
            </w:pPr>
          </w:p>
          <w:p w14:paraId="4C49280A" w14:textId="77777777" w:rsidR="00532827" w:rsidRPr="0075770C" w:rsidRDefault="00532827" w:rsidP="00532827">
            <w:pPr>
              <w:jc w:val="center"/>
              <w:rPr>
                <w:lang w:val="en-GB"/>
              </w:rPr>
            </w:pPr>
          </w:p>
          <w:p w14:paraId="2D91EBE4" w14:textId="77777777" w:rsidR="00532827" w:rsidRPr="0075770C" w:rsidRDefault="00532827" w:rsidP="00532827">
            <w:pPr>
              <w:jc w:val="center"/>
              <w:rPr>
                <w:lang w:val="en-GB"/>
              </w:rPr>
            </w:pPr>
          </w:p>
          <w:p w14:paraId="521355A8" w14:textId="77777777" w:rsidR="00532827" w:rsidRPr="0075770C" w:rsidRDefault="00532827" w:rsidP="00532827">
            <w:pPr>
              <w:jc w:val="center"/>
              <w:rPr>
                <w:lang w:val="en-GB"/>
              </w:rPr>
            </w:pPr>
            <w:r w:rsidRPr="0075770C">
              <w:rPr>
                <w:lang w:val="en-GB"/>
              </w:rPr>
              <w:t>48</w:t>
            </w:r>
          </w:p>
          <w:p w14:paraId="4AC9E0FA" w14:textId="77777777" w:rsidR="00532827" w:rsidRPr="0075770C" w:rsidRDefault="00532827" w:rsidP="00532827">
            <w:pPr>
              <w:jc w:val="center"/>
              <w:rPr>
                <w:lang w:val="en-GB"/>
              </w:rPr>
            </w:pPr>
          </w:p>
          <w:p w14:paraId="3DC8B395" w14:textId="77777777" w:rsidR="00532827" w:rsidRPr="0075770C" w:rsidRDefault="00532827" w:rsidP="00532827">
            <w:pPr>
              <w:jc w:val="center"/>
              <w:rPr>
                <w:lang w:val="en-GB"/>
              </w:rPr>
            </w:pPr>
          </w:p>
          <w:p w14:paraId="579E3006" w14:textId="77777777" w:rsidR="00532827" w:rsidRPr="0075770C" w:rsidRDefault="00532827" w:rsidP="00532827">
            <w:pPr>
              <w:jc w:val="center"/>
              <w:rPr>
                <w:lang w:val="en-GB"/>
              </w:rPr>
            </w:pPr>
          </w:p>
          <w:p w14:paraId="6AA5284C" w14:textId="77777777" w:rsidR="00532827" w:rsidRPr="0075770C" w:rsidRDefault="00532827" w:rsidP="00532827">
            <w:pPr>
              <w:jc w:val="center"/>
              <w:rPr>
                <w:lang w:val="en-GB"/>
              </w:rPr>
            </w:pPr>
          </w:p>
          <w:p w14:paraId="5D07EECF" w14:textId="77777777" w:rsidR="00532827" w:rsidRPr="0075770C" w:rsidRDefault="00532827" w:rsidP="00532827">
            <w:pPr>
              <w:jc w:val="center"/>
              <w:rPr>
                <w:lang w:val="en-GB"/>
              </w:rPr>
            </w:pPr>
          </w:p>
          <w:p w14:paraId="14615710" w14:textId="77777777" w:rsidR="00532827" w:rsidRPr="0075770C" w:rsidRDefault="00532827" w:rsidP="00532827">
            <w:pPr>
              <w:jc w:val="center"/>
              <w:rPr>
                <w:lang w:val="en-GB"/>
              </w:rPr>
            </w:pPr>
            <w:r w:rsidRPr="0075770C">
              <w:rPr>
                <w:lang w:val="en-GB"/>
              </w:rPr>
              <w:t>54</w:t>
            </w:r>
          </w:p>
          <w:p w14:paraId="7555CECF" w14:textId="77777777" w:rsidR="00532827" w:rsidRPr="0075770C" w:rsidRDefault="00532827" w:rsidP="00532827">
            <w:pPr>
              <w:jc w:val="center"/>
              <w:rPr>
                <w:lang w:val="en-GB"/>
              </w:rPr>
            </w:pPr>
          </w:p>
          <w:p w14:paraId="77EBDEC5" w14:textId="77777777" w:rsidR="00532827" w:rsidRPr="0075770C" w:rsidRDefault="00532827" w:rsidP="00532827">
            <w:pPr>
              <w:jc w:val="center"/>
              <w:rPr>
                <w:lang w:val="en-GB"/>
              </w:rPr>
            </w:pPr>
          </w:p>
          <w:p w14:paraId="2ECE2A46" w14:textId="77777777" w:rsidR="00532827" w:rsidRPr="0075770C" w:rsidRDefault="00532827" w:rsidP="00532827">
            <w:pPr>
              <w:jc w:val="center"/>
              <w:rPr>
                <w:lang w:val="en-GB"/>
              </w:rPr>
            </w:pPr>
          </w:p>
          <w:p w14:paraId="2F82F59C" w14:textId="77777777" w:rsidR="00532827" w:rsidRPr="0075770C" w:rsidRDefault="00532827" w:rsidP="00532827">
            <w:pPr>
              <w:jc w:val="center"/>
              <w:rPr>
                <w:lang w:val="en-GB"/>
              </w:rPr>
            </w:pPr>
          </w:p>
          <w:p w14:paraId="33A5B482" w14:textId="77777777" w:rsidR="00197AD3" w:rsidRDefault="00197AD3" w:rsidP="003A39A3">
            <w:pPr>
              <w:rPr>
                <w:lang w:val="en-GB"/>
              </w:rPr>
            </w:pPr>
          </w:p>
          <w:p w14:paraId="4E152448" w14:textId="5738A884" w:rsidR="00532827" w:rsidRPr="0075770C" w:rsidRDefault="00532827" w:rsidP="00197AD3">
            <w:pPr>
              <w:rPr>
                <w:lang w:val="en-GB"/>
              </w:rPr>
            </w:pPr>
            <w:r w:rsidRPr="0075770C">
              <w:rPr>
                <w:lang w:val="en-GB"/>
              </w:rPr>
              <w:t>64</w:t>
            </w:r>
          </w:p>
          <w:p w14:paraId="1C1DCA5B" w14:textId="77777777" w:rsidR="00532827" w:rsidRPr="0075770C" w:rsidRDefault="00532827" w:rsidP="00532827">
            <w:pPr>
              <w:jc w:val="center"/>
              <w:rPr>
                <w:lang w:val="en-GB"/>
              </w:rPr>
            </w:pPr>
          </w:p>
          <w:p w14:paraId="3DE8C3A0" w14:textId="77777777" w:rsidR="00532827" w:rsidRPr="0075770C" w:rsidRDefault="00532827" w:rsidP="00532827">
            <w:pPr>
              <w:jc w:val="center"/>
              <w:rPr>
                <w:lang w:val="en-GB"/>
              </w:rPr>
            </w:pPr>
          </w:p>
          <w:p w14:paraId="25A59E4E" w14:textId="77777777" w:rsidR="00532827" w:rsidRPr="0075770C" w:rsidRDefault="00532827" w:rsidP="00532827">
            <w:pPr>
              <w:jc w:val="center"/>
              <w:rPr>
                <w:lang w:val="en-GB"/>
              </w:rPr>
            </w:pPr>
          </w:p>
          <w:p w14:paraId="5DB6CD42" w14:textId="77777777" w:rsidR="00532827" w:rsidRPr="0075770C" w:rsidRDefault="00532827" w:rsidP="00532827">
            <w:pPr>
              <w:jc w:val="center"/>
              <w:rPr>
                <w:lang w:val="en-GB"/>
              </w:rPr>
            </w:pPr>
          </w:p>
          <w:p w14:paraId="48ED3C49" w14:textId="77777777" w:rsidR="00532827" w:rsidRPr="0075770C" w:rsidRDefault="00532827" w:rsidP="00532827">
            <w:pPr>
              <w:jc w:val="center"/>
              <w:rPr>
                <w:lang w:val="en-GB"/>
              </w:rPr>
            </w:pPr>
          </w:p>
          <w:p w14:paraId="502E9828" w14:textId="77777777" w:rsidR="00532827" w:rsidRPr="0075770C" w:rsidRDefault="00532827" w:rsidP="00532827">
            <w:pPr>
              <w:jc w:val="center"/>
              <w:rPr>
                <w:lang w:val="en-GB"/>
              </w:rPr>
            </w:pPr>
            <w:r w:rsidRPr="0075770C">
              <w:rPr>
                <w:lang w:val="en-GB"/>
              </w:rPr>
              <w:t>60</w:t>
            </w:r>
          </w:p>
          <w:p w14:paraId="269015FE" w14:textId="77777777" w:rsidR="00532827" w:rsidRPr="0075770C" w:rsidRDefault="00532827" w:rsidP="00532827">
            <w:pPr>
              <w:jc w:val="center"/>
              <w:rPr>
                <w:lang w:val="en-GB"/>
              </w:rPr>
            </w:pPr>
          </w:p>
          <w:p w14:paraId="00A8747D" w14:textId="77777777" w:rsidR="00532827" w:rsidRPr="0075770C" w:rsidRDefault="00532827" w:rsidP="00532827">
            <w:pPr>
              <w:jc w:val="center"/>
              <w:rPr>
                <w:lang w:val="en-GB"/>
              </w:rPr>
            </w:pPr>
          </w:p>
          <w:p w14:paraId="59899043" w14:textId="77777777" w:rsidR="00532827" w:rsidRPr="0075770C" w:rsidRDefault="00532827" w:rsidP="00532827">
            <w:pPr>
              <w:jc w:val="center"/>
              <w:rPr>
                <w:lang w:val="en-GB"/>
              </w:rPr>
            </w:pPr>
          </w:p>
          <w:p w14:paraId="0D7044AB" w14:textId="77777777" w:rsidR="00532827" w:rsidRPr="0075770C" w:rsidRDefault="00532827" w:rsidP="00532827">
            <w:pPr>
              <w:jc w:val="center"/>
              <w:rPr>
                <w:lang w:val="en-GB"/>
              </w:rPr>
            </w:pPr>
          </w:p>
          <w:p w14:paraId="27070966" w14:textId="77777777" w:rsidR="00532827" w:rsidRPr="0075770C" w:rsidRDefault="00532827" w:rsidP="00532827">
            <w:pPr>
              <w:jc w:val="center"/>
              <w:rPr>
                <w:lang w:val="en-GB"/>
              </w:rPr>
            </w:pPr>
          </w:p>
          <w:p w14:paraId="54004726" w14:textId="77777777" w:rsidR="00532827" w:rsidRPr="0075770C" w:rsidRDefault="00532827" w:rsidP="00532827">
            <w:pPr>
              <w:jc w:val="center"/>
              <w:rPr>
                <w:lang w:val="en-GB"/>
              </w:rPr>
            </w:pPr>
            <w:r w:rsidRPr="0075770C">
              <w:rPr>
                <w:lang w:val="en-GB"/>
              </w:rPr>
              <w:t>58</w:t>
            </w:r>
          </w:p>
        </w:tc>
        <w:tc>
          <w:tcPr>
            <w:tcW w:w="850" w:type="dxa"/>
          </w:tcPr>
          <w:p w14:paraId="55826E74" w14:textId="77777777" w:rsidR="00532827" w:rsidRPr="0075770C" w:rsidRDefault="00532827" w:rsidP="00532827">
            <w:pPr>
              <w:jc w:val="center"/>
              <w:rPr>
                <w:lang w:val="en-GB"/>
              </w:rPr>
            </w:pPr>
            <w:r w:rsidRPr="0075770C">
              <w:rPr>
                <w:lang w:val="en-GB"/>
              </w:rPr>
              <w:lastRenderedPageBreak/>
              <w:t>38</w:t>
            </w:r>
          </w:p>
          <w:p w14:paraId="07D44278" w14:textId="77777777" w:rsidR="00532827" w:rsidRPr="0075770C" w:rsidRDefault="00532827" w:rsidP="00532827">
            <w:pPr>
              <w:jc w:val="center"/>
              <w:rPr>
                <w:lang w:val="en-GB"/>
              </w:rPr>
            </w:pPr>
          </w:p>
          <w:p w14:paraId="75069F67" w14:textId="77777777" w:rsidR="00532827" w:rsidRPr="0075770C" w:rsidRDefault="00532827" w:rsidP="00532827">
            <w:pPr>
              <w:jc w:val="center"/>
              <w:rPr>
                <w:lang w:val="en-GB"/>
              </w:rPr>
            </w:pPr>
          </w:p>
          <w:p w14:paraId="1FA18350" w14:textId="77777777" w:rsidR="00532827" w:rsidRPr="0075770C" w:rsidRDefault="00532827" w:rsidP="00532827">
            <w:pPr>
              <w:jc w:val="center"/>
              <w:rPr>
                <w:lang w:val="en-GB"/>
              </w:rPr>
            </w:pPr>
          </w:p>
          <w:p w14:paraId="1A1E19E6" w14:textId="77777777" w:rsidR="00532827" w:rsidRPr="0075770C" w:rsidRDefault="00532827" w:rsidP="00532827">
            <w:pPr>
              <w:jc w:val="center"/>
              <w:rPr>
                <w:lang w:val="en-GB"/>
              </w:rPr>
            </w:pPr>
            <w:r w:rsidRPr="0075770C">
              <w:rPr>
                <w:lang w:val="en-GB"/>
              </w:rPr>
              <w:t>25</w:t>
            </w:r>
          </w:p>
          <w:p w14:paraId="0FD43A30" w14:textId="77777777" w:rsidR="00532827" w:rsidRPr="0075770C" w:rsidRDefault="00532827" w:rsidP="00532827">
            <w:pPr>
              <w:jc w:val="center"/>
              <w:rPr>
                <w:lang w:val="en-GB"/>
              </w:rPr>
            </w:pPr>
          </w:p>
          <w:p w14:paraId="5BC90EAA" w14:textId="77777777" w:rsidR="00532827" w:rsidRPr="0075770C" w:rsidRDefault="00532827" w:rsidP="00532827">
            <w:pPr>
              <w:jc w:val="center"/>
              <w:rPr>
                <w:lang w:val="en-GB"/>
              </w:rPr>
            </w:pPr>
          </w:p>
          <w:p w14:paraId="4B4477AF" w14:textId="77777777" w:rsidR="00532827" w:rsidRPr="0075770C" w:rsidRDefault="00532827" w:rsidP="00532827">
            <w:pPr>
              <w:jc w:val="center"/>
              <w:rPr>
                <w:lang w:val="en-GB"/>
              </w:rPr>
            </w:pPr>
          </w:p>
          <w:p w14:paraId="1CB04BF1" w14:textId="77777777" w:rsidR="00532827" w:rsidRPr="0075770C" w:rsidRDefault="00532827" w:rsidP="00532827">
            <w:pPr>
              <w:jc w:val="center"/>
              <w:rPr>
                <w:lang w:val="en-GB"/>
              </w:rPr>
            </w:pPr>
            <w:r w:rsidRPr="0075770C">
              <w:rPr>
                <w:lang w:val="en-GB"/>
              </w:rPr>
              <w:t>45</w:t>
            </w:r>
          </w:p>
          <w:p w14:paraId="325E2E73" w14:textId="77777777" w:rsidR="00532827" w:rsidRPr="0075770C" w:rsidRDefault="00532827" w:rsidP="00532827">
            <w:pPr>
              <w:jc w:val="center"/>
              <w:rPr>
                <w:lang w:val="en-GB"/>
              </w:rPr>
            </w:pPr>
          </w:p>
          <w:p w14:paraId="6228B9B5" w14:textId="77777777" w:rsidR="00532827" w:rsidRPr="0075770C" w:rsidRDefault="00532827" w:rsidP="00532827">
            <w:pPr>
              <w:jc w:val="center"/>
              <w:rPr>
                <w:lang w:val="en-GB"/>
              </w:rPr>
            </w:pPr>
          </w:p>
          <w:p w14:paraId="4F693CFB" w14:textId="77777777" w:rsidR="00532827" w:rsidRPr="0075770C" w:rsidRDefault="00532827" w:rsidP="00532827">
            <w:pPr>
              <w:jc w:val="center"/>
              <w:rPr>
                <w:lang w:val="en-GB"/>
              </w:rPr>
            </w:pPr>
          </w:p>
          <w:p w14:paraId="13553610" w14:textId="77777777" w:rsidR="00532827" w:rsidRPr="0075770C" w:rsidRDefault="00532827" w:rsidP="00532827">
            <w:pPr>
              <w:jc w:val="center"/>
              <w:rPr>
                <w:lang w:val="en-GB"/>
              </w:rPr>
            </w:pPr>
            <w:r w:rsidRPr="0075770C">
              <w:rPr>
                <w:lang w:val="en-GB"/>
              </w:rPr>
              <w:t>52</w:t>
            </w:r>
          </w:p>
          <w:p w14:paraId="4707C53A" w14:textId="77777777" w:rsidR="00532827" w:rsidRPr="0075770C" w:rsidRDefault="00532827" w:rsidP="00532827">
            <w:pPr>
              <w:jc w:val="center"/>
              <w:rPr>
                <w:lang w:val="en-GB"/>
              </w:rPr>
            </w:pPr>
          </w:p>
          <w:p w14:paraId="10260B81" w14:textId="77777777" w:rsidR="00532827" w:rsidRPr="0075770C" w:rsidRDefault="00532827" w:rsidP="00532827">
            <w:pPr>
              <w:jc w:val="center"/>
              <w:rPr>
                <w:lang w:val="en-GB"/>
              </w:rPr>
            </w:pPr>
          </w:p>
          <w:p w14:paraId="1E9407A4" w14:textId="77777777" w:rsidR="00532827" w:rsidRPr="0075770C" w:rsidRDefault="00532827" w:rsidP="00532827">
            <w:pPr>
              <w:jc w:val="center"/>
              <w:rPr>
                <w:lang w:val="en-GB"/>
              </w:rPr>
            </w:pPr>
          </w:p>
          <w:p w14:paraId="2FF5E5C3" w14:textId="77777777" w:rsidR="00532827" w:rsidRPr="0075770C" w:rsidRDefault="00532827" w:rsidP="00532827">
            <w:pPr>
              <w:jc w:val="center"/>
              <w:rPr>
                <w:lang w:val="en-GB"/>
              </w:rPr>
            </w:pPr>
          </w:p>
          <w:p w14:paraId="077C32C0" w14:textId="77777777" w:rsidR="00532827" w:rsidRPr="0075770C" w:rsidRDefault="00532827" w:rsidP="00532827">
            <w:pPr>
              <w:jc w:val="center"/>
              <w:rPr>
                <w:lang w:val="en-GB"/>
              </w:rPr>
            </w:pPr>
          </w:p>
          <w:p w14:paraId="42B3991C" w14:textId="77777777" w:rsidR="00532827" w:rsidRPr="0075770C" w:rsidRDefault="00532827" w:rsidP="00532827">
            <w:pPr>
              <w:jc w:val="center"/>
              <w:rPr>
                <w:lang w:val="en-GB"/>
              </w:rPr>
            </w:pPr>
            <w:r w:rsidRPr="0075770C">
              <w:rPr>
                <w:lang w:val="en-GB"/>
              </w:rPr>
              <w:t>46</w:t>
            </w:r>
          </w:p>
          <w:p w14:paraId="7F05AB33" w14:textId="77777777" w:rsidR="00532827" w:rsidRPr="0075770C" w:rsidRDefault="00532827" w:rsidP="00532827">
            <w:pPr>
              <w:jc w:val="center"/>
              <w:rPr>
                <w:lang w:val="en-GB"/>
              </w:rPr>
            </w:pPr>
          </w:p>
          <w:p w14:paraId="1785B02D" w14:textId="77777777" w:rsidR="00532827" w:rsidRPr="0075770C" w:rsidRDefault="00532827" w:rsidP="00532827">
            <w:pPr>
              <w:jc w:val="center"/>
              <w:rPr>
                <w:lang w:val="en-GB"/>
              </w:rPr>
            </w:pPr>
          </w:p>
          <w:p w14:paraId="7EC47081" w14:textId="77777777" w:rsidR="00532827" w:rsidRPr="0075770C" w:rsidRDefault="00532827" w:rsidP="00532827">
            <w:pPr>
              <w:jc w:val="center"/>
              <w:rPr>
                <w:lang w:val="en-GB"/>
              </w:rPr>
            </w:pPr>
          </w:p>
          <w:p w14:paraId="63943543" w14:textId="77777777" w:rsidR="00532827" w:rsidRPr="0075770C" w:rsidRDefault="00532827" w:rsidP="00532827">
            <w:pPr>
              <w:jc w:val="center"/>
              <w:rPr>
                <w:lang w:val="en-GB"/>
              </w:rPr>
            </w:pPr>
          </w:p>
          <w:p w14:paraId="401CAA05" w14:textId="77777777" w:rsidR="00197AD3" w:rsidRDefault="00197AD3" w:rsidP="003A39A3">
            <w:pPr>
              <w:rPr>
                <w:lang w:val="en-GB"/>
              </w:rPr>
            </w:pPr>
          </w:p>
          <w:p w14:paraId="47CC2434" w14:textId="67E10F81" w:rsidR="00532827" w:rsidRPr="0075770C" w:rsidRDefault="00532827" w:rsidP="00532827">
            <w:pPr>
              <w:jc w:val="center"/>
              <w:rPr>
                <w:lang w:val="en-GB"/>
              </w:rPr>
            </w:pPr>
            <w:r w:rsidRPr="0075770C">
              <w:rPr>
                <w:lang w:val="en-GB"/>
              </w:rPr>
              <w:t>37</w:t>
            </w:r>
          </w:p>
          <w:p w14:paraId="7D95C910" w14:textId="77777777" w:rsidR="00532827" w:rsidRPr="0075770C" w:rsidRDefault="00532827" w:rsidP="00532827">
            <w:pPr>
              <w:jc w:val="center"/>
              <w:rPr>
                <w:lang w:val="en-GB"/>
              </w:rPr>
            </w:pPr>
          </w:p>
          <w:p w14:paraId="764F5369" w14:textId="77777777" w:rsidR="00532827" w:rsidRPr="0075770C" w:rsidRDefault="00532827" w:rsidP="00532827">
            <w:pPr>
              <w:jc w:val="center"/>
              <w:rPr>
                <w:lang w:val="en-GB"/>
              </w:rPr>
            </w:pPr>
          </w:p>
          <w:p w14:paraId="5C3FD2DC" w14:textId="77777777" w:rsidR="00532827" w:rsidRPr="0075770C" w:rsidRDefault="00532827" w:rsidP="00532827">
            <w:pPr>
              <w:jc w:val="center"/>
              <w:rPr>
                <w:lang w:val="en-GB"/>
              </w:rPr>
            </w:pPr>
          </w:p>
          <w:p w14:paraId="17893B89" w14:textId="77777777" w:rsidR="00532827" w:rsidRPr="0075770C" w:rsidRDefault="00532827" w:rsidP="00532827">
            <w:pPr>
              <w:jc w:val="center"/>
              <w:rPr>
                <w:lang w:val="en-GB"/>
              </w:rPr>
            </w:pPr>
          </w:p>
          <w:p w14:paraId="06BDA2AE" w14:textId="77777777" w:rsidR="00532827" w:rsidRPr="0075770C" w:rsidRDefault="00532827" w:rsidP="00532827">
            <w:pPr>
              <w:jc w:val="center"/>
              <w:rPr>
                <w:lang w:val="en-GB"/>
              </w:rPr>
            </w:pPr>
          </w:p>
          <w:p w14:paraId="3416B19F" w14:textId="77777777" w:rsidR="00532827" w:rsidRPr="0075770C" w:rsidRDefault="00532827" w:rsidP="00532827">
            <w:pPr>
              <w:jc w:val="center"/>
              <w:rPr>
                <w:lang w:val="en-GB"/>
              </w:rPr>
            </w:pPr>
            <w:r w:rsidRPr="0075770C">
              <w:rPr>
                <w:lang w:val="en-GB"/>
              </w:rPr>
              <w:t>40</w:t>
            </w:r>
          </w:p>
          <w:p w14:paraId="65A8F461" w14:textId="77777777" w:rsidR="00532827" w:rsidRPr="0075770C" w:rsidRDefault="00532827" w:rsidP="00532827">
            <w:pPr>
              <w:jc w:val="center"/>
              <w:rPr>
                <w:lang w:val="en-GB"/>
              </w:rPr>
            </w:pPr>
          </w:p>
          <w:p w14:paraId="1DB4225B" w14:textId="77777777" w:rsidR="00532827" w:rsidRPr="0075770C" w:rsidRDefault="00532827" w:rsidP="00532827">
            <w:pPr>
              <w:jc w:val="center"/>
              <w:rPr>
                <w:lang w:val="en-GB"/>
              </w:rPr>
            </w:pPr>
          </w:p>
          <w:p w14:paraId="2296ACDD" w14:textId="77777777" w:rsidR="00532827" w:rsidRPr="0075770C" w:rsidRDefault="00532827" w:rsidP="00532827">
            <w:pPr>
              <w:jc w:val="center"/>
              <w:rPr>
                <w:lang w:val="en-GB"/>
              </w:rPr>
            </w:pPr>
          </w:p>
          <w:p w14:paraId="09726FC8" w14:textId="77777777" w:rsidR="00532827" w:rsidRPr="0075770C" w:rsidRDefault="00532827" w:rsidP="00532827">
            <w:pPr>
              <w:jc w:val="center"/>
              <w:rPr>
                <w:lang w:val="en-GB"/>
              </w:rPr>
            </w:pPr>
          </w:p>
          <w:p w14:paraId="063708CD" w14:textId="77777777" w:rsidR="00532827" w:rsidRPr="0075770C" w:rsidRDefault="00532827" w:rsidP="00532827">
            <w:pPr>
              <w:jc w:val="center"/>
              <w:rPr>
                <w:lang w:val="en-GB"/>
              </w:rPr>
            </w:pPr>
          </w:p>
          <w:p w14:paraId="08595C58" w14:textId="77777777" w:rsidR="00532827" w:rsidRPr="0075770C" w:rsidRDefault="00532827" w:rsidP="00532827">
            <w:pPr>
              <w:jc w:val="center"/>
              <w:rPr>
                <w:lang w:val="en-GB"/>
              </w:rPr>
            </w:pPr>
            <w:r w:rsidRPr="0075770C">
              <w:rPr>
                <w:lang w:val="en-GB"/>
              </w:rPr>
              <w:t>42</w:t>
            </w:r>
          </w:p>
        </w:tc>
        <w:tc>
          <w:tcPr>
            <w:tcW w:w="851" w:type="dxa"/>
          </w:tcPr>
          <w:p w14:paraId="770D316B" w14:textId="77777777" w:rsidR="00532827" w:rsidRPr="0075770C" w:rsidRDefault="00532827" w:rsidP="00532827">
            <w:pPr>
              <w:jc w:val="center"/>
              <w:rPr>
                <w:lang w:val="en-GB"/>
              </w:rPr>
            </w:pPr>
            <w:r w:rsidRPr="0075770C">
              <w:rPr>
                <w:lang w:val="en-GB"/>
              </w:rPr>
              <w:lastRenderedPageBreak/>
              <w:t>73</w:t>
            </w:r>
          </w:p>
          <w:p w14:paraId="502DCE0E" w14:textId="77777777" w:rsidR="00532827" w:rsidRPr="0075770C" w:rsidRDefault="00532827" w:rsidP="00532827">
            <w:pPr>
              <w:jc w:val="center"/>
              <w:rPr>
                <w:lang w:val="en-GB"/>
              </w:rPr>
            </w:pPr>
          </w:p>
          <w:p w14:paraId="0846D66A" w14:textId="77777777" w:rsidR="00532827" w:rsidRPr="0075770C" w:rsidRDefault="00532827" w:rsidP="00532827">
            <w:pPr>
              <w:jc w:val="center"/>
              <w:rPr>
                <w:lang w:val="en-GB"/>
              </w:rPr>
            </w:pPr>
          </w:p>
          <w:p w14:paraId="123758C6" w14:textId="77777777" w:rsidR="00532827" w:rsidRPr="0075770C" w:rsidRDefault="00532827" w:rsidP="00532827">
            <w:pPr>
              <w:jc w:val="center"/>
              <w:rPr>
                <w:lang w:val="en-GB"/>
              </w:rPr>
            </w:pPr>
          </w:p>
          <w:p w14:paraId="209C667E" w14:textId="77777777" w:rsidR="00532827" w:rsidRPr="0075770C" w:rsidRDefault="00532827" w:rsidP="00532827">
            <w:pPr>
              <w:jc w:val="center"/>
              <w:rPr>
                <w:lang w:val="en-GB"/>
              </w:rPr>
            </w:pPr>
            <w:r w:rsidRPr="0075770C">
              <w:rPr>
                <w:lang w:val="en-GB"/>
              </w:rPr>
              <w:t>84</w:t>
            </w:r>
          </w:p>
          <w:p w14:paraId="2B14BC47" w14:textId="77777777" w:rsidR="00532827" w:rsidRPr="0075770C" w:rsidRDefault="00532827" w:rsidP="00532827">
            <w:pPr>
              <w:jc w:val="center"/>
              <w:rPr>
                <w:lang w:val="en-GB"/>
              </w:rPr>
            </w:pPr>
          </w:p>
          <w:p w14:paraId="5587B4BA" w14:textId="77777777" w:rsidR="00532827" w:rsidRPr="0075770C" w:rsidRDefault="00532827" w:rsidP="00532827">
            <w:pPr>
              <w:jc w:val="center"/>
              <w:rPr>
                <w:lang w:val="en-GB"/>
              </w:rPr>
            </w:pPr>
          </w:p>
          <w:p w14:paraId="522D219B" w14:textId="77777777" w:rsidR="00532827" w:rsidRPr="0075770C" w:rsidRDefault="00532827" w:rsidP="00532827">
            <w:pPr>
              <w:jc w:val="center"/>
              <w:rPr>
                <w:lang w:val="en-GB"/>
              </w:rPr>
            </w:pPr>
          </w:p>
          <w:p w14:paraId="286F0F93" w14:textId="77777777" w:rsidR="00532827" w:rsidRPr="0075770C" w:rsidRDefault="00532827" w:rsidP="00532827">
            <w:pPr>
              <w:jc w:val="center"/>
              <w:rPr>
                <w:lang w:val="en-GB"/>
              </w:rPr>
            </w:pPr>
            <w:r w:rsidRPr="0075770C">
              <w:rPr>
                <w:lang w:val="en-GB"/>
              </w:rPr>
              <w:t>69</w:t>
            </w:r>
          </w:p>
          <w:p w14:paraId="47B55331" w14:textId="77777777" w:rsidR="00532827" w:rsidRPr="0075770C" w:rsidRDefault="00532827" w:rsidP="00532827">
            <w:pPr>
              <w:jc w:val="center"/>
              <w:rPr>
                <w:lang w:val="en-GB"/>
              </w:rPr>
            </w:pPr>
          </w:p>
          <w:p w14:paraId="12456202" w14:textId="77777777" w:rsidR="00532827" w:rsidRPr="0075770C" w:rsidRDefault="00532827" w:rsidP="00532827">
            <w:pPr>
              <w:jc w:val="center"/>
              <w:rPr>
                <w:lang w:val="en-GB"/>
              </w:rPr>
            </w:pPr>
          </w:p>
          <w:p w14:paraId="0ACDAD16" w14:textId="77777777" w:rsidR="00532827" w:rsidRPr="0075770C" w:rsidRDefault="00532827" w:rsidP="00532827">
            <w:pPr>
              <w:jc w:val="center"/>
              <w:rPr>
                <w:lang w:val="en-GB"/>
              </w:rPr>
            </w:pPr>
          </w:p>
          <w:p w14:paraId="0F75EDFA" w14:textId="77777777" w:rsidR="00532827" w:rsidRPr="0075770C" w:rsidRDefault="00532827" w:rsidP="00532827">
            <w:pPr>
              <w:jc w:val="center"/>
              <w:rPr>
                <w:lang w:val="en-GB"/>
              </w:rPr>
            </w:pPr>
            <w:r w:rsidRPr="0075770C">
              <w:rPr>
                <w:lang w:val="en-GB"/>
              </w:rPr>
              <w:t>70</w:t>
            </w:r>
          </w:p>
          <w:p w14:paraId="3A374026" w14:textId="77777777" w:rsidR="00532827" w:rsidRPr="0075770C" w:rsidRDefault="00532827" w:rsidP="00532827">
            <w:pPr>
              <w:jc w:val="center"/>
              <w:rPr>
                <w:lang w:val="en-GB"/>
              </w:rPr>
            </w:pPr>
          </w:p>
          <w:p w14:paraId="74A4D1B6" w14:textId="77777777" w:rsidR="00532827" w:rsidRPr="0075770C" w:rsidRDefault="00532827" w:rsidP="00532827">
            <w:pPr>
              <w:jc w:val="center"/>
              <w:rPr>
                <w:lang w:val="en-GB"/>
              </w:rPr>
            </w:pPr>
          </w:p>
          <w:p w14:paraId="720E2023" w14:textId="77777777" w:rsidR="00532827" w:rsidRPr="0075770C" w:rsidRDefault="00532827" w:rsidP="00532827">
            <w:pPr>
              <w:jc w:val="center"/>
              <w:rPr>
                <w:lang w:val="en-GB"/>
              </w:rPr>
            </w:pPr>
          </w:p>
          <w:p w14:paraId="22F3C3A5" w14:textId="77777777" w:rsidR="00532827" w:rsidRPr="0075770C" w:rsidRDefault="00532827" w:rsidP="00532827">
            <w:pPr>
              <w:jc w:val="center"/>
              <w:rPr>
                <w:lang w:val="en-GB"/>
              </w:rPr>
            </w:pPr>
          </w:p>
          <w:p w14:paraId="7CA55E30" w14:textId="77777777" w:rsidR="00532827" w:rsidRPr="0075770C" w:rsidRDefault="00532827" w:rsidP="00532827">
            <w:pPr>
              <w:jc w:val="center"/>
              <w:rPr>
                <w:lang w:val="en-GB"/>
              </w:rPr>
            </w:pPr>
          </w:p>
          <w:p w14:paraId="6F1B620D" w14:textId="77777777" w:rsidR="00532827" w:rsidRPr="0075770C" w:rsidRDefault="00532827" w:rsidP="00532827">
            <w:pPr>
              <w:jc w:val="center"/>
              <w:rPr>
                <w:lang w:val="en-GB"/>
              </w:rPr>
            </w:pPr>
            <w:r w:rsidRPr="0075770C">
              <w:rPr>
                <w:lang w:val="en-GB"/>
              </w:rPr>
              <w:t>73</w:t>
            </w:r>
          </w:p>
          <w:p w14:paraId="088D8E6D" w14:textId="77777777" w:rsidR="00532827" w:rsidRPr="0075770C" w:rsidRDefault="00532827" w:rsidP="00532827">
            <w:pPr>
              <w:jc w:val="center"/>
              <w:rPr>
                <w:lang w:val="en-GB"/>
              </w:rPr>
            </w:pPr>
          </w:p>
          <w:p w14:paraId="399DAF42" w14:textId="77777777" w:rsidR="00532827" w:rsidRPr="0075770C" w:rsidRDefault="00532827" w:rsidP="00532827">
            <w:pPr>
              <w:jc w:val="center"/>
              <w:rPr>
                <w:lang w:val="en-GB"/>
              </w:rPr>
            </w:pPr>
          </w:p>
          <w:p w14:paraId="715951A3" w14:textId="77777777" w:rsidR="00532827" w:rsidRPr="0075770C" w:rsidRDefault="00532827" w:rsidP="00532827">
            <w:pPr>
              <w:jc w:val="center"/>
              <w:rPr>
                <w:lang w:val="en-GB"/>
              </w:rPr>
            </w:pPr>
          </w:p>
          <w:p w14:paraId="6394DAD8" w14:textId="77777777" w:rsidR="00532827" w:rsidRPr="0075770C" w:rsidRDefault="00532827" w:rsidP="00532827">
            <w:pPr>
              <w:jc w:val="center"/>
              <w:rPr>
                <w:lang w:val="en-GB"/>
              </w:rPr>
            </w:pPr>
          </w:p>
          <w:p w14:paraId="49CFFB6F" w14:textId="77777777" w:rsidR="00197AD3" w:rsidRDefault="00197AD3" w:rsidP="003A39A3">
            <w:pPr>
              <w:rPr>
                <w:lang w:val="en-GB"/>
              </w:rPr>
            </w:pPr>
          </w:p>
          <w:p w14:paraId="609C69C8" w14:textId="184FD5F6" w:rsidR="00532827" w:rsidRPr="0075770C" w:rsidRDefault="00532827" w:rsidP="00532827">
            <w:pPr>
              <w:jc w:val="center"/>
              <w:rPr>
                <w:lang w:val="en-GB"/>
              </w:rPr>
            </w:pPr>
            <w:r w:rsidRPr="0075770C">
              <w:rPr>
                <w:lang w:val="en-GB"/>
              </w:rPr>
              <w:t>69</w:t>
            </w:r>
          </w:p>
          <w:p w14:paraId="6B930B46" w14:textId="77777777" w:rsidR="00532827" w:rsidRPr="0075770C" w:rsidRDefault="00532827" w:rsidP="00532827">
            <w:pPr>
              <w:jc w:val="center"/>
              <w:rPr>
                <w:lang w:val="en-GB"/>
              </w:rPr>
            </w:pPr>
          </w:p>
          <w:p w14:paraId="032472AC" w14:textId="77777777" w:rsidR="00532827" w:rsidRPr="0075770C" w:rsidRDefault="00532827" w:rsidP="00532827">
            <w:pPr>
              <w:jc w:val="center"/>
              <w:rPr>
                <w:lang w:val="en-GB"/>
              </w:rPr>
            </w:pPr>
          </w:p>
          <w:p w14:paraId="284FD5E0" w14:textId="77777777" w:rsidR="00532827" w:rsidRPr="0075770C" w:rsidRDefault="00532827" w:rsidP="00532827">
            <w:pPr>
              <w:jc w:val="center"/>
              <w:rPr>
                <w:lang w:val="en-GB"/>
              </w:rPr>
            </w:pPr>
          </w:p>
          <w:p w14:paraId="19CCBE5B" w14:textId="77777777" w:rsidR="00532827" w:rsidRPr="0075770C" w:rsidRDefault="00532827" w:rsidP="00532827">
            <w:pPr>
              <w:jc w:val="center"/>
              <w:rPr>
                <w:lang w:val="en-GB"/>
              </w:rPr>
            </w:pPr>
          </w:p>
          <w:p w14:paraId="5EAF7A94" w14:textId="77777777" w:rsidR="00532827" w:rsidRPr="0075770C" w:rsidRDefault="00532827" w:rsidP="00532827">
            <w:pPr>
              <w:jc w:val="center"/>
              <w:rPr>
                <w:lang w:val="en-GB"/>
              </w:rPr>
            </w:pPr>
          </w:p>
          <w:p w14:paraId="0CFE7196" w14:textId="77777777" w:rsidR="00532827" w:rsidRPr="0075770C" w:rsidRDefault="00532827" w:rsidP="00532827">
            <w:pPr>
              <w:jc w:val="center"/>
              <w:rPr>
                <w:lang w:val="en-GB"/>
              </w:rPr>
            </w:pPr>
            <w:r w:rsidRPr="0075770C">
              <w:rPr>
                <w:lang w:val="en-GB"/>
              </w:rPr>
              <w:t>77</w:t>
            </w:r>
          </w:p>
          <w:p w14:paraId="18583799" w14:textId="77777777" w:rsidR="00532827" w:rsidRPr="0075770C" w:rsidRDefault="00532827" w:rsidP="00532827">
            <w:pPr>
              <w:jc w:val="center"/>
              <w:rPr>
                <w:lang w:val="en-GB"/>
              </w:rPr>
            </w:pPr>
          </w:p>
          <w:p w14:paraId="0B59B397" w14:textId="77777777" w:rsidR="00532827" w:rsidRPr="0075770C" w:rsidRDefault="00532827" w:rsidP="00532827">
            <w:pPr>
              <w:jc w:val="center"/>
              <w:rPr>
                <w:lang w:val="en-GB"/>
              </w:rPr>
            </w:pPr>
          </w:p>
          <w:p w14:paraId="0B4B5484" w14:textId="77777777" w:rsidR="00532827" w:rsidRPr="0075770C" w:rsidRDefault="00532827" w:rsidP="00532827">
            <w:pPr>
              <w:jc w:val="center"/>
              <w:rPr>
                <w:lang w:val="en-GB"/>
              </w:rPr>
            </w:pPr>
          </w:p>
          <w:p w14:paraId="63F60951" w14:textId="77777777" w:rsidR="00532827" w:rsidRPr="0075770C" w:rsidRDefault="00532827" w:rsidP="00532827">
            <w:pPr>
              <w:jc w:val="center"/>
              <w:rPr>
                <w:lang w:val="en-GB"/>
              </w:rPr>
            </w:pPr>
          </w:p>
          <w:p w14:paraId="70D05F8F" w14:textId="77777777" w:rsidR="00532827" w:rsidRPr="0075770C" w:rsidRDefault="00532827" w:rsidP="00532827">
            <w:pPr>
              <w:jc w:val="center"/>
              <w:rPr>
                <w:lang w:val="en-GB"/>
              </w:rPr>
            </w:pPr>
          </w:p>
          <w:p w14:paraId="04EEE9D0" w14:textId="77777777" w:rsidR="00532827" w:rsidRPr="0075770C" w:rsidRDefault="00532827" w:rsidP="00532827">
            <w:pPr>
              <w:jc w:val="center"/>
              <w:rPr>
                <w:lang w:val="en-GB"/>
              </w:rPr>
            </w:pPr>
            <w:r w:rsidRPr="0075770C">
              <w:rPr>
                <w:lang w:val="en-GB"/>
              </w:rPr>
              <w:t>77</w:t>
            </w:r>
          </w:p>
          <w:p w14:paraId="5C8C8396" w14:textId="77777777" w:rsidR="00532827" w:rsidRPr="0075770C" w:rsidRDefault="00532827" w:rsidP="00532827">
            <w:pPr>
              <w:jc w:val="center"/>
              <w:rPr>
                <w:lang w:val="en-GB"/>
              </w:rPr>
            </w:pPr>
          </w:p>
          <w:p w14:paraId="15A10615" w14:textId="77777777" w:rsidR="00532827" w:rsidRPr="0075770C" w:rsidRDefault="00532827" w:rsidP="00532827">
            <w:pPr>
              <w:jc w:val="center"/>
              <w:rPr>
                <w:lang w:val="en-GB"/>
              </w:rPr>
            </w:pPr>
          </w:p>
          <w:p w14:paraId="5D731F61" w14:textId="77777777" w:rsidR="00532827" w:rsidRPr="0075770C" w:rsidRDefault="00532827" w:rsidP="00532827">
            <w:pPr>
              <w:jc w:val="center"/>
              <w:rPr>
                <w:lang w:val="en-GB"/>
              </w:rPr>
            </w:pPr>
          </w:p>
        </w:tc>
        <w:tc>
          <w:tcPr>
            <w:tcW w:w="850" w:type="dxa"/>
          </w:tcPr>
          <w:p w14:paraId="06A714A7" w14:textId="77777777" w:rsidR="00532827" w:rsidRPr="0075770C" w:rsidRDefault="00532827" w:rsidP="00532827">
            <w:pPr>
              <w:jc w:val="center"/>
              <w:rPr>
                <w:lang w:val="en-GB"/>
              </w:rPr>
            </w:pPr>
            <w:r w:rsidRPr="0075770C">
              <w:rPr>
                <w:lang w:val="en-GB"/>
              </w:rPr>
              <w:lastRenderedPageBreak/>
              <w:t>27</w:t>
            </w:r>
          </w:p>
          <w:p w14:paraId="52CFF8D3" w14:textId="77777777" w:rsidR="00532827" w:rsidRPr="0075770C" w:rsidRDefault="00532827" w:rsidP="00532827">
            <w:pPr>
              <w:jc w:val="center"/>
              <w:rPr>
                <w:lang w:val="en-GB"/>
              </w:rPr>
            </w:pPr>
          </w:p>
          <w:p w14:paraId="0F898C4C" w14:textId="77777777" w:rsidR="00532827" w:rsidRPr="0075770C" w:rsidRDefault="00532827" w:rsidP="00532827">
            <w:pPr>
              <w:jc w:val="center"/>
              <w:rPr>
                <w:lang w:val="en-GB"/>
              </w:rPr>
            </w:pPr>
          </w:p>
          <w:p w14:paraId="70556D0F" w14:textId="77777777" w:rsidR="00532827" w:rsidRPr="0075770C" w:rsidRDefault="00532827" w:rsidP="00532827">
            <w:pPr>
              <w:jc w:val="center"/>
              <w:rPr>
                <w:lang w:val="en-GB"/>
              </w:rPr>
            </w:pPr>
          </w:p>
          <w:p w14:paraId="2AD80AB0" w14:textId="77777777" w:rsidR="00532827" w:rsidRPr="0075770C" w:rsidRDefault="00532827" w:rsidP="00532827">
            <w:pPr>
              <w:jc w:val="center"/>
              <w:rPr>
                <w:lang w:val="en-GB"/>
              </w:rPr>
            </w:pPr>
            <w:r w:rsidRPr="0075770C">
              <w:rPr>
                <w:lang w:val="en-GB"/>
              </w:rPr>
              <w:t>16</w:t>
            </w:r>
          </w:p>
          <w:p w14:paraId="3D1EDBED" w14:textId="77777777" w:rsidR="00532827" w:rsidRPr="0075770C" w:rsidRDefault="00532827" w:rsidP="00532827">
            <w:pPr>
              <w:jc w:val="center"/>
              <w:rPr>
                <w:lang w:val="en-GB"/>
              </w:rPr>
            </w:pPr>
          </w:p>
          <w:p w14:paraId="63E7F2B4" w14:textId="77777777" w:rsidR="00532827" w:rsidRPr="0075770C" w:rsidRDefault="00532827" w:rsidP="00532827">
            <w:pPr>
              <w:jc w:val="center"/>
              <w:rPr>
                <w:lang w:val="en-GB"/>
              </w:rPr>
            </w:pPr>
          </w:p>
          <w:p w14:paraId="5456DAE6" w14:textId="77777777" w:rsidR="00532827" w:rsidRPr="0075770C" w:rsidRDefault="00532827" w:rsidP="00532827">
            <w:pPr>
              <w:jc w:val="center"/>
              <w:rPr>
                <w:lang w:val="en-GB"/>
              </w:rPr>
            </w:pPr>
          </w:p>
          <w:p w14:paraId="23189EE5" w14:textId="77777777" w:rsidR="00532827" w:rsidRPr="0075770C" w:rsidRDefault="00532827" w:rsidP="00532827">
            <w:pPr>
              <w:jc w:val="center"/>
              <w:rPr>
                <w:lang w:val="en-GB"/>
              </w:rPr>
            </w:pPr>
            <w:r w:rsidRPr="0075770C">
              <w:rPr>
                <w:lang w:val="en-GB"/>
              </w:rPr>
              <w:t>31</w:t>
            </w:r>
          </w:p>
          <w:p w14:paraId="02947BE8" w14:textId="77777777" w:rsidR="00532827" w:rsidRPr="0075770C" w:rsidRDefault="00532827" w:rsidP="00532827">
            <w:pPr>
              <w:jc w:val="center"/>
              <w:rPr>
                <w:lang w:val="en-GB"/>
              </w:rPr>
            </w:pPr>
          </w:p>
          <w:p w14:paraId="1562160D" w14:textId="77777777" w:rsidR="00532827" w:rsidRPr="0075770C" w:rsidRDefault="00532827" w:rsidP="00532827">
            <w:pPr>
              <w:jc w:val="center"/>
              <w:rPr>
                <w:lang w:val="en-GB"/>
              </w:rPr>
            </w:pPr>
          </w:p>
          <w:p w14:paraId="6EF4AEFD" w14:textId="77777777" w:rsidR="00532827" w:rsidRPr="0075770C" w:rsidRDefault="00532827" w:rsidP="00532827">
            <w:pPr>
              <w:jc w:val="center"/>
              <w:rPr>
                <w:lang w:val="en-GB"/>
              </w:rPr>
            </w:pPr>
          </w:p>
          <w:p w14:paraId="3BEA0E94" w14:textId="77777777" w:rsidR="00532827" w:rsidRPr="0075770C" w:rsidRDefault="00532827" w:rsidP="00532827">
            <w:pPr>
              <w:jc w:val="center"/>
              <w:rPr>
                <w:lang w:val="en-GB"/>
              </w:rPr>
            </w:pPr>
            <w:r w:rsidRPr="0075770C">
              <w:rPr>
                <w:lang w:val="en-GB"/>
              </w:rPr>
              <w:t>30</w:t>
            </w:r>
          </w:p>
          <w:p w14:paraId="1D3E288C" w14:textId="77777777" w:rsidR="00532827" w:rsidRPr="0075770C" w:rsidRDefault="00532827" w:rsidP="00532827">
            <w:pPr>
              <w:jc w:val="center"/>
              <w:rPr>
                <w:lang w:val="en-GB"/>
              </w:rPr>
            </w:pPr>
          </w:p>
          <w:p w14:paraId="74A64219" w14:textId="77777777" w:rsidR="00532827" w:rsidRPr="0075770C" w:rsidRDefault="00532827" w:rsidP="00532827">
            <w:pPr>
              <w:jc w:val="center"/>
              <w:rPr>
                <w:lang w:val="en-GB"/>
              </w:rPr>
            </w:pPr>
          </w:p>
          <w:p w14:paraId="29429E9D" w14:textId="77777777" w:rsidR="00532827" w:rsidRPr="0075770C" w:rsidRDefault="00532827" w:rsidP="00532827">
            <w:pPr>
              <w:jc w:val="center"/>
              <w:rPr>
                <w:lang w:val="en-GB"/>
              </w:rPr>
            </w:pPr>
          </w:p>
          <w:p w14:paraId="7BCBA54E" w14:textId="77777777" w:rsidR="00532827" w:rsidRPr="0075770C" w:rsidRDefault="00532827" w:rsidP="00532827">
            <w:pPr>
              <w:jc w:val="center"/>
              <w:rPr>
                <w:lang w:val="en-GB"/>
              </w:rPr>
            </w:pPr>
          </w:p>
          <w:p w14:paraId="4E918AFC" w14:textId="77777777" w:rsidR="00532827" w:rsidRPr="0075770C" w:rsidRDefault="00532827" w:rsidP="00532827">
            <w:pPr>
              <w:jc w:val="center"/>
              <w:rPr>
                <w:lang w:val="en-GB"/>
              </w:rPr>
            </w:pPr>
          </w:p>
          <w:p w14:paraId="408DC3E2" w14:textId="77777777" w:rsidR="00532827" w:rsidRPr="0075770C" w:rsidRDefault="00532827" w:rsidP="00532827">
            <w:pPr>
              <w:jc w:val="center"/>
              <w:rPr>
                <w:lang w:val="en-GB"/>
              </w:rPr>
            </w:pPr>
            <w:r w:rsidRPr="0075770C">
              <w:rPr>
                <w:lang w:val="en-GB"/>
              </w:rPr>
              <w:t>27</w:t>
            </w:r>
          </w:p>
          <w:p w14:paraId="19A082E1" w14:textId="77777777" w:rsidR="00532827" w:rsidRPr="0075770C" w:rsidRDefault="00532827" w:rsidP="00532827">
            <w:pPr>
              <w:jc w:val="center"/>
              <w:rPr>
                <w:lang w:val="en-GB"/>
              </w:rPr>
            </w:pPr>
          </w:p>
          <w:p w14:paraId="3DC9BA0B" w14:textId="77777777" w:rsidR="00532827" w:rsidRPr="0075770C" w:rsidRDefault="00532827" w:rsidP="00532827">
            <w:pPr>
              <w:jc w:val="center"/>
              <w:rPr>
                <w:lang w:val="en-GB"/>
              </w:rPr>
            </w:pPr>
          </w:p>
          <w:p w14:paraId="7EF31CB2" w14:textId="77777777" w:rsidR="00532827" w:rsidRPr="0075770C" w:rsidRDefault="00532827" w:rsidP="00532827">
            <w:pPr>
              <w:jc w:val="center"/>
              <w:rPr>
                <w:lang w:val="en-GB"/>
              </w:rPr>
            </w:pPr>
          </w:p>
          <w:p w14:paraId="6964861E" w14:textId="77777777" w:rsidR="00532827" w:rsidRPr="0075770C" w:rsidRDefault="00532827" w:rsidP="00532827">
            <w:pPr>
              <w:jc w:val="center"/>
              <w:rPr>
                <w:lang w:val="en-GB"/>
              </w:rPr>
            </w:pPr>
          </w:p>
          <w:p w14:paraId="6F852105" w14:textId="77777777" w:rsidR="00197AD3" w:rsidRDefault="00197AD3" w:rsidP="003A39A3">
            <w:pPr>
              <w:rPr>
                <w:lang w:val="en-GB"/>
              </w:rPr>
            </w:pPr>
          </w:p>
          <w:p w14:paraId="507A120D" w14:textId="5F0575CD" w:rsidR="00532827" w:rsidRPr="0075770C" w:rsidRDefault="00532827" w:rsidP="00532827">
            <w:pPr>
              <w:jc w:val="center"/>
              <w:rPr>
                <w:lang w:val="en-GB"/>
              </w:rPr>
            </w:pPr>
            <w:r w:rsidRPr="0075770C">
              <w:rPr>
                <w:lang w:val="en-GB"/>
              </w:rPr>
              <w:t>31</w:t>
            </w:r>
          </w:p>
          <w:p w14:paraId="76135ECD" w14:textId="77777777" w:rsidR="00532827" w:rsidRPr="0075770C" w:rsidRDefault="00532827" w:rsidP="00532827">
            <w:pPr>
              <w:jc w:val="center"/>
              <w:rPr>
                <w:lang w:val="en-GB"/>
              </w:rPr>
            </w:pPr>
          </w:p>
          <w:p w14:paraId="6028D5C2" w14:textId="77777777" w:rsidR="00532827" w:rsidRPr="0075770C" w:rsidRDefault="00532827" w:rsidP="00532827">
            <w:pPr>
              <w:jc w:val="center"/>
              <w:rPr>
                <w:lang w:val="en-GB"/>
              </w:rPr>
            </w:pPr>
          </w:p>
          <w:p w14:paraId="199D53E9" w14:textId="77777777" w:rsidR="00532827" w:rsidRPr="0075770C" w:rsidRDefault="00532827" w:rsidP="00532827">
            <w:pPr>
              <w:jc w:val="center"/>
              <w:rPr>
                <w:lang w:val="en-GB"/>
              </w:rPr>
            </w:pPr>
          </w:p>
          <w:p w14:paraId="43A8E2B8" w14:textId="77777777" w:rsidR="00532827" w:rsidRPr="0075770C" w:rsidRDefault="00532827" w:rsidP="00532827">
            <w:pPr>
              <w:jc w:val="center"/>
              <w:rPr>
                <w:lang w:val="en-GB"/>
              </w:rPr>
            </w:pPr>
          </w:p>
          <w:p w14:paraId="410E74DA" w14:textId="77777777" w:rsidR="00532827" w:rsidRPr="0075770C" w:rsidRDefault="00532827" w:rsidP="00532827">
            <w:pPr>
              <w:jc w:val="center"/>
              <w:rPr>
                <w:lang w:val="en-GB"/>
              </w:rPr>
            </w:pPr>
          </w:p>
          <w:p w14:paraId="62A59806" w14:textId="77777777" w:rsidR="00532827" w:rsidRPr="0075770C" w:rsidRDefault="00532827" w:rsidP="00532827">
            <w:pPr>
              <w:jc w:val="center"/>
              <w:rPr>
                <w:lang w:val="en-GB"/>
              </w:rPr>
            </w:pPr>
            <w:r w:rsidRPr="0075770C">
              <w:rPr>
                <w:lang w:val="en-GB"/>
              </w:rPr>
              <w:t>23</w:t>
            </w:r>
          </w:p>
          <w:p w14:paraId="05C60D4D" w14:textId="77777777" w:rsidR="00532827" w:rsidRPr="0075770C" w:rsidRDefault="00532827" w:rsidP="00532827">
            <w:pPr>
              <w:jc w:val="center"/>
              <w:rPr>
                <w:lang w:val="en-GB"/>
              </w:rPr>
            </w:pPr>
          </w:p>
          <w:p w14:paraId="19F904C3" w14:textId="77777777" w:rsidR="00532827" w:rsidRPr="0075770C" w:rsidRDefault="00532827" w:rsidP="00532827">
            <w:pPr>
              <w:jc w:val="center"/>
              <w:rPr>
                <w:lang w:val="en-GB"/>
              </w:rPr>
            </w:pPr>
          </w:p>
          <w:p w14:paraId="013872C1" w14:textId="77777777" w:rsidR="00532827" w:rsidRPr="0075770C" w:rsidRDefault="00532827" w:rsidP="00532827">
            <w:pPr>
              <w:jc w:val="center"/>
              <w:rPr>
                <w:lang w:val="en-GB"/>
              </w:rPr>
            </w:pPr>
          </w:p>
          <w:p w14:paraId="6D96F548" w14:textId="77777777" w:rsidR="00532827" w:rsidRPr="0075770C" w:rsidRDefault="00532827" w:rsidP="00532827">
            <w:pPr>
              <w:jc w:val="center"/>
              <w:rPr>
                <w:lang w:val="en-GB"/>
              </w:rPr>
            </w:pPr>
          </w:p>
          <w:p w14:paraId="534CBA93" w14:textId="77777777" w:rsidR="00532827" w:rsidRPr="0075770C" w:rsidRDefault="00532827" w:rsidP="00532827">
            <w:pPr>
              <w:jc w:val="center"/>
              <w:rPr>
                <w:lang w:val="en-GB"/>
              </w:rPr>
            </w:pPr>
          </w:p>
          <w:p w14:paraId="419E82AD" w14:textId="77777777" w:rsidR="00532827" w:rsidRPr="0075770C" w:rsidRDefault="00532827" w:rsidP="00532827">
            <w:pPr>
              <w:jc w:val="center"/>
              <w:rPr>
                <w:lang w:val="en-GB"/>
              </w:rPr>
            </w:pPr>
            <w:r w:rsidRPr="0075770C">
              <w:rPr>
                <w:lang w:val="en-GB"/>
              </w:rPr>
              <w:t>23</w:t>
            </w:r>
          </w:p>
          <w:p w14:paraId="7908088D" w14:textId="77777777" w:rsidR="00532827" w:rsidRPr="0075770C" w:rsidRDefault="00532827" w:rsidP="00532827">
            <w:pPr>
              <w:jc w:val="center"/>
              <w:rPr>
                <w:lang w:val="en-GB"/>
              </w:rPr>
            </w:pPr>
          </w:p>
          <w:p w14:paraId="443D0408" w14:textId="77777777" w:rsidR="00532827" w:rsidRPr="0075770C" w:rsidRDefault="00532827" w:rsidP="00532827">
            <w:pPr>
              <w:jc w:val="center"/>
              <w:rPr>
                <w:lang w:val="en-GB"/>
              </w:rPr>
            </w:pPr>
          </w:p>
          <w:p w14:paraId="73D075A7" w14:textId="77777777" w:rsidR="00532827" w:rsidRPr="0075770C" w:rsidRDefault="00532827" w:rsidP="00532827">
            <w:pPr>
              <w:jc w:val="center"/>
              <w:rPr>
                <w:lang w:val="en-GB"/>
              </w:rPr>
            </w:pPr>
          </w:p>
        </w:tc>
        <w:tc>
          <w:tcPr>
            <w:tcW w:w="1411" w:type="dxa"/>
          </w:tcPr>
          <w:p w14:paraId="3C626E2C" w14:textId="77777777" w:rsidR="00532827" w:rsidRPr="00C7631D" w:rsidRDefault="00532827" w:rsidP="00532827">
            <w:pPr>
              <w:jc w:val="center"/>
              <w:rPr>
                <w:lang w:val="en-GB"/>
              </w:rPr>
            </w:pPr>
            <w:r w:rsidRPr="00C7631D">
              <w:rPr>
                <w:lang w:val="en-GB"/>
              </w:rPr>
              <w:lastRenderedPageBreak/>
              <w:t>100 (181)</w:t>
            </w:r>
          </w:p>
          <w:p w14:paraId="27295910" w14:textId="77777777" w:rsidR="00532827" w:rsidRPr="00C7631D" w:rsidRDefault="00532827" w:rsidP="00532827">
            <w:pPr>
              <w:jc w:val="center"/>
              <w:rPr>
                <w:lang w:val="en-GB"/>
              </w:rPr>
            </w:pPr>
          </w:p>
          <w:p w14:paraId="784A94CC" w14:textId="77777777" w:rsidR="00532827" w:rsidRPr="00C7631D" w:rsidRDefault="00532827" w:rsidP="00532827">
            <w:pPr>
              <w:jc w:val="center"/>
              <w:rPr>
                <w:lang w:val="en-GB"/>
              </w:rPr>
            </w:pPr>
          </w:p>
          <w:p w14:paraId="1845BD15" w14:textId="77777777" w:rsidR="00532827" w:rsidRPr="00C7631D" w:rsidRDefault="00532827" w:rsidP="00532827">
            <w:pPr>
              <w:jc w:val="center"/>
              <w:rPr>
                <w:lang w:val="en-GB"/>
              </w:rPr>
            </w:pPr>
          </w:p>
          <w:p w14:paraId="603B5C14" w14:textId="77777777" w:rsidR="00532827" w:rsidRPr="00C7631D" w:rsidRDefault="00532827" w:rsidP="00532827">
            <w:pPr>
              <w:jc w:val="center"/>
              <w:rPr>
                <w:lang w:val="en-GB"/>
              </w:rPr>
            </w:pPr>
            <w:r w:rsidRPr="00C7631D">
              <w:rPr>
                <w:lang w:val="en-GB"/>
              </w:rPr>
              <w:t>100 (116)</w:t>
            </w:r>
          </w:p>
          <w:p w14:paraId="604862C6" w14:textId="77777777" w:rsidR="00532827" w:rsidRPr="00C7631D" w:rsidRDefault="00532827" w:rsidP="00532827">
            <w:pPr>
              <w:jc w:val="center"/>
              <w:rPr>
                <w:lang w:val="en-GB"/>
              </w:rPr>
            </w:pPr>
          </w:p>
          <w:p w14:paraId="54023B44" w14:textId="77777777" w:rsidR="00532827" w:rsidRPr="00C7631D" w:rsidRDefault="00532827" w:rsidP="00532827">
            <w:pPr>
              <w:jc w:val="center"/>
              <w:rPr>
                <w:lang w:val="en-GB"/>
              </w:rPr>
            </w:pPr>
          </w:p>
          <w:p w14:paraId="74A88AC6" w14:textId="77777777" w:rsidR="00532827" w:rsidRPr="00C7631D" w:rsidRDefault="00532827" w:rsidP="00532827">
            <w:pPr>
              <w:jc w:val="center"/>
              <w:rPr>
                <w:lang w:val="en-GB"/>
              </w:rPr>
            </w:pPr>
          </w:p>
          <w:p w14:paraId="00E0BD6D" w14:textId="77777777" w:rsidR="00532827" w:rsidRPr="00C7631D" w:rsidRDefault="00532827" w:rsidP="00532827">
            <w:pPr>
              <w:jc w:val="center"/>
              <w:rPr>
                <w:lang w:val="en-GB"/>
              </w:rPr>
            </w:pPr>
            <w:r w:rsidRPr="00C7631D">
              <w:rPr>
                <w:lang w:val="en-GB"/>
              </w:rPr>
              <w:t>100 (61)</w:t>
            </w:r>
          </w:p>
          <w:p w14:paraId="48CFBCDD" w14:textId="77777777" w:rsidR="00532827" w:rsidRPr="00C7631D" w:rsidRDefault="00532827" w:rsidP="00532827">
            <w:pPr>
              <w:jc w:val="center"/>
              <w:rPr>
                <w:lang w:val="en-GB"/>
              </w:rPr>
            </w:pPr>
          </w:p>
          <w:p w14:paraId="648D41F3" w14:textId="77777777" w:rsidR="00532827" w:rsidRPr="00C7631D" w:rsidRDefault="00532827" w:rsidP="00532827">
            <w:pPr>
              <w:jc w:val="center"/>
              <w:rPr>
                <w:lang w:val="en-GB"/>
              </w:rPr>
            </w:pPr>
          </w:p>
          <w:p w14:paraId="1A280084" w14:textId="77777777" w:rsidR="00532827" w:rsidRPr="00C7631D" w:rsidRDefault="00532827" w:rsidP="00532827">
            <w:pPr>
              <w:jc w:val="center"/>
              <w:rPr>
                <w:lang w:val="en-GB"/>
              </w:rPr>
            </w:pPr>
          </w:p>
          <w:p w14:paraId="0BA87763" w14:textId="77777777" w:rsidR="00532827" w:rsidRPr="00C7631D" w:rsidRDefault="00532827" w:rsidP="00532827">
            <w:pPr>
              <w:jc w:val="center"/>
              <w:rPr>
                <w:lang w:val="en-GB"/>
              </w:rPr>
            </w:pPr>
            <w:r w:rsidRPr="00C7631D">
              <w:rPr>
                <w:lang w:val="en-GB"/>
              </w:rPr>
              <w:t>100 (35)</w:t>
            </w:r>
          </w:p>
          <w:p w14:paraId="58F8C39D" w14:textId="77777777" w:rsidR="00532827" w:rsidRPr="00C7631D" w:rsidRDefault="00532827" w:rsidP="00532827">
            <w:pPr>
              <w:jc w:val="center"/>
              <w:rPr>
                <w:lang w:val="en-GB"/>
              </w:rPr>
            </w:pPr>
          </w:p>
          <w:p w14:paraId="5A755625" w14:textId="77777777" w:rsidR="00532827" w:rsidRPr="00C7631D" w:rsidRDefault="00532827" w:rsidP="00532827">
            <w:pPr>
              <w:jc w:val="center"/>
              <w:rPr>
                <w:lang w:val="en-GB"/>
              </w:rPr>
            </w:pPr>
          </w:p>
          <w:p w14:paraId="6276A9CC" w14:textId="77777777" w:rsidR="00532827" w:rsidRPr="00C7631D" w:rsidRDefault="00532827" w:rsidP="00532827">
            <w:pPr>
              <w:jc w:val="center"/>
              <w:rPr>
                <w:lang w:val="en-GB"/>
              </w:rPr>
            </w:pPr>
          </w:p>
          <w:p w14:paraId="7D5CE793" w14:textId="77777777" w:rsidR="00532827" w:rsidRPr="00C7631D" w:rsidRDefault="00532827" w:rsidP="00532827">
            <w:pPr>
              <w:jc w:val="center"/>
              <w:rPr>
                <w:lang w:val="en-GB"/>
              </w:rPr>
            </w:pPr>
          </w:p>
          <w:p w14:paraId="702CE4E4" w14:textId="77777777" w:rsidR="00532827" w:rsidRPr="00C7631D" w:rsidRDefault="00532827" w:rsidP="00532827">
            <w:pPr>
              <w:jc w:val="center"/>
              <w:rPr>
                <w:lang w:val="en-GB"/>
              </w:rPr>
            </w:pPr>
          </w:p>
          <w:p w14:paraId="0555EDA7" w14:textId="77777777" w:rsidR="00532827" w:rsidRPr="00C7631D" w:rsidRDefault="00532827" w:rsidP="00532827">
            <w:pPr>
              <w:jc w:val="center"/>
              <w:rPr>
                <w:lang w:val="en-GB"/>
              </w:rPr>
            </w:pPr>
            <w:r w:rsidRPr="00C7631D">
              <w:rPr>
                <w:lang w:val="en-GB"/>
              </w:rPr>
              <w:t>100 (60)</w:t>
            </w:r>
          </w:p>
          <w:p w14:paraId="4C8AC5A8" w14:textId="77777777" w:rsidR="00532827" w:rsidRPr="00C7631D" w:rsidRDefault="00532827" w:rsidP="00532827">
            <w:pPr>
              <w:jc w:val="center"/>
              <w:rPr>
                <w:lang w:val="en-GB"/>
              </w:rPr>
            </w:pPr>
          </w:p>
          <w:p w14:paraId="02CD9B65" w14:textId="77777777" w:rsidR="00532827" w:rsidRPr="00C7631D" w:rsidRDefault="00532827" w:rsidP="00532827">
            <w:pPr>
              <w:jc w:val="center"/>
              <w:rPr>
                <w:lang w:val="en-GB"/>
              </w:rPr>
            </w:pPr>
          </w:p>
          <w:p w14:paraId="24CF319B" w14:textId="77777777" w:rsidR="00532827" w:rsidRPr="00C7631D" w:rsidRDefault="00532827" w:rsidP="00532827">
            <w:pPr>
              <w:jc w:val="center"/>
              <w:rPr>
                <w:lang w:val="en-GB"/>
              </w:rPr>
            </w:pPr>
          </w:p>
          <w:p w14:paraId="3EA73B7D" w14:textId="77777777" w:rsidR="00532827" w:rsidRPr="00C7631D" w:rsidRDefault="00532827" w:rsidP="00532827">
            <w:pPr>
              <w:jc w:val="center"/>
              <w:rPr>
                <w:lang w:val="en-GB"/>
              </w:rPr>
            </w:pPr>
          </w:p>
          <w:p w14:paraId="504A9D96" w14:textId="77777777" w:rsidR="00197AD3" w:rsidRDefault="00197AD3" w:rsidP="003A39A3">
            <w:pPr>
              <w:rPr>
                <w:lang w:val="en-GB"/>
              </w:rPr>
            </w:pPr>
          </w:p>
          <w:p w14:paraId="30A20766" w14:textId="43B63963" w:rsidR="00532827" w:rsidRPr="00C7631D" w:rsidRDefault="00532827" w:rsidP="00197AD3">
            <w:pPr>
              <w:jc w:val="center"/>
              <w:rPr>
                <w:lang w:val="en-GB"/>
              </w:rPr>
            </w:pPr>
            <w:r w:rsidRPr="00C7631D">
              <w:rPr>
                <w:lang w:val="en-GB"/>
              </w:rPr>
              <w:t>100 (82)</w:t>
            </w:r>
          </w:p>
          <w:p w14:paraId="5302977D" w14:textId="77777777" w:rsidR="00532827" w:rsidRPr="00C7631D" w:rsidRDefault="00532827" w:rsidP="00532827">
            <w:pPr>
              <w:jc w:val="center"/>
              <w:rPr>
                <w:lang w:val="en-GB"/>
              </w:rPr>
            </w:pPr>
          </w:p>
          <w:p w14:paraId="257A8289" w14:textId="77777777" w:rsidR="00532827" w:rsidRPr="00C7631D" w:rsidRDefault="00532827" w:rsidP="00532827">
            <w:pPr>
              <w:jc w:val="center"/>
              <w:rPr>
                <w:lang w:val="en-GB"/>
              </w:rPr>
            </w:pPr>
          </w:p>
          <w:p w14:paraId="67EE795D" w14:textId="77777777" w:rsidR="00532827" w:rsidRPr="00C7631D" w:rsidRDefault="00532827" w:rsidP="00532827">
            <w:pPr>
              <w:jc w:val="center"/>
              <w:rPr>
                <w:lang w:val="en-GB"/>
              </w:rPr>
            </w:pPr>
          </w:p>
          <w:p w14:paraId="42B2DC72" w14:textId="77777777" w:rsidR="00532827" w:rsidRPr="00C7631D" w:rsidRDefault="00532827" w:rsidP="00532827">
            <w:pPr>
              <w:jc w:val="center"/>
              <w:rPr>
                <w:lang w:val="en-GB"/>
              </w:rPr>
            </w:pPr>
          </w:p>
          <w:p w14:paraId="62BFDE53" w14:textId="77777777" w:rsidR="00532827" w:rsidRPr="00C7631D" w:rsidRDefault="00532827" w:rsidP="00532827">
            <w:pPr>
              <w:jc w:val="center"/>
              <w:rPr>
                <w:lang w:val="en-GB"/>
              </w:rPr>
            </w:pPr>
          </w:p>
          <w:p w14:paraId="75C0F8FB" w14:textId="77777777" w:rsidR="00532827" w:rsidRPr="00C7631D" w:rsidRDefault="00532827" w:rsidP="00532827">
            <w:pPr>
              <w:jc w:val="center"/>
              <w:rPr>
                <w:lang w:val="en-GB"/>
              </w:rPr>
            </w:pPr>
            <w:r w:rsidRPr="00C7631D">
              <w:rPr>
                <w:lang w:val="en-GB"/>
              </w:rPr>
              <w:t>100 (20)</w:t>
            </w:r>
          </w:p>
          <w:p w14:paraId="071CA56E" w14:textId="77777777" w:rsidR="00532827" w:rsidRPr="00C7631D" w:rsidRDefault="00532827" w:rsidP="00532827">
            <w:pPr>
              <w:jc w:val="center"/>
              <w:rPr>
                <w:lang w:val="en-GB"/>
              </w:rPr>
            </w:pPr>
          </w:p>
          <w:p w14:paraId="71032455" w14:textId="77777777" w:rsidR="00532827" w:rsidRPr="00C7631D" w:rsidRDefault="00532827" w:rsidP="00532827">
            <w:pPr>
              <w:jc w:val="center"/>
              <w:rPr>
                <w:lang w:val="en-GB"/>
              </w:rPr>
            </w:pPr>
          </w:p>
          <w:p w14:paraId="2095B3A3" w14:textId="77777777" w:rsidR="00532827" w:rsidRPr="00C7631D" w:rsidRDefault="00532827" w:rsidP="00532827">
            <w:pPr>
              <w:jc w:val="center"/>
              <w:rPr>
                <w:lang w:val="en-GB"/>
              </w:rPr>
            </w:pPr>
          </w:p>
          <w:p w14:paraId="2A193747" w14:textId="77777777" w:rsidR="00532827" w:rsidRPr="00C7631D" w:rsidRDefault="00532827" w:rsidP="00532827">
            <w:pPr>
              <w:jc w:val="center"/>
              <w:rPr>
                <w:lang w:val="en-GB"/>
              </w:rPr>
            </w:pPr>
          </w:p>
          <w:p w14:paraId="246A6813" w14:textId="77777777" w:rsidR="00532827" w:rsidRPr="00C7631D" w:rsidRDefault="00532827" w:rsidP="00532827">
            <w:pPr>
              <w:jc w:val="center"/>
              <w:rPr>
                <w:lang w:val="en-GB"/>
              </w:rPr>
            </w:pPr>
          </w:p>
          <w:p w14:paraId="21276D1B" w14:textId="77777777" w:rsidR="00532827" w:rsidRPr="00C7631D" w:rsidRDefault="00532827" w:rsidP="00532827">
            <w:pPr>
              <w:jc w:val="center"/>
              <w:rPr>
                <w:lang w:val="en-GB"/>
              </w:rPr>
            </w:pPr>
            <w:r w:rsidRPr="00C7631D">
              <w:rPr>
                <w:lang w:val="en-GB"/>
              </w:rPr>
              <w:t>100 (27)</w:t>
            </w:r>
          </w:p>
        </w:tc>
      </w:tr>
    </w:tbl>
    <w:p w14:paraId="6724E9F3" w14:textId="7C7C731B" w:rsidR="00532827" w:rsidRPr="0075770C" w:rsidRDefault="00532827" w:rsidP="00532827">
      <w:pPr>
        <w:rPr>
          <w:i/>
          <w:sz w:val="16"/>
          <w:szCs w:val="16"/>
          <w:lang w:val="en-GB"/>
        </w:rPr>
      </w:pPr>
      <w:r w:rsidRPr="0075770C">
        <w:rPr>
          <w:i/>
          <w:sz w:val="16"/>
          <w:szCs w:val="16"/>
          <w:lang w:val="en-GB"/>
        </w:rPr>
        <w:lastRenderedPageBreak/>
        <w:t xml:space="preserve">*This table applies value 1 on the following three-point scale: (1) </w:t>
      </w:r>
      <w:r w:rsidR="00197AD3" w:rsidRPr="0075770C">
        <w:rPr>
          <w:i/>
          <w:sz w:val="16"/>
          <w:szCs w:val="16"/>
          <w:lang w:val="en-GB"/>
        </w:rPr>
        <w:t>multiple</w:t>
      </w:r>
      <w:r w:rsidRPr="0075770C">
        <w:rPr>
          <w:i/>
          <w:sz w:val="16"/>
          <w:szCs w:val="16"/>
          <w:lang w:val="en-GB"/>
        </w:rPr>
        <w:t xml:space="preserve"> times, (2) once, (3) never.</w:t>
      </w:r>
    </w:p>
    <w:p w14:paraId="0E300C6A" w14:textId="1EA15BD8" w:rsidR="00532827" w:rsidRPr="0075770C" w:rsidRDefault="00532827" w:rsidP="00532827">
      <w:pPr>
        <w:rPr>
          <w:i/>
          <w:sz w:val="16"/>
          <w:szCs w:val="16"/>
          <w:lang w:val="en-GB"/>
        </w:rPr>
      </w:pPr>
      <w:r w:rsidRPr="0075770C">
        <w:rPr>
          <w:i/>
          <w:sz w:val="16"/>
          <w:szCs w:val="16"/>
          <w:lang w:val="en-GB"/>
        </w:rPr>
        <w:t xml:space="preserve">** Lower level officials include the following ranks:  1996: executive officer, higher executive officer, </w:t>
      </w:r>
      <w:r w:rsidR="00197AD3" w:rsidRPr="0075770C">
        <w:rPr>
          <w:i/>
          <w:sz w:val="16"/>
          <w:szCs w:val="16"/>
          <w:lang w:val="en-GB"/>
        </w:rPr>
        <w:t>principal</w:t>
      </w:r>
      <w:r w:rsidRPr="0075770C">
        <w:rPr>
          <w:i/>
          <w:sz w:val="16"/>
          <w:szCs w:val="16"/>
          <w:lang w:val="en-GB"/>
        </w:rPr>
        <w:t xml:space="preserve"> officer, assistant director. 2006: executive officer/adviser, principal officer/adviser, assistant director/adviser. 2016: adviser/senior adviser, specialist director/special adviser or equivalent.</w:t>
      </w:r>
    </w:p>
    <w:p w14:paraId="6458E41F" w14:textId="77777777" w:rsidR="00532827" w:rsidRPr="0075770C" w:rsidRDefault="00532827" w:rsidP="00532827">
      <w:pPr>
        <w:rPr>
          <w:i/>
          <w:sz w:val="16"/>
          <w:szCs w:val="16"/>
          <w:lang w:val="en-GB"/>
        </w:rPr>
      </w:pPr>
      <w:r w:rsidRPr="0075770C">
        <w:rPr>
          <w:i/>
          <w:sz w:val="16"/>
          <w:szCs w:val="16"/>
          <w:lang w:val="en-GB"/>
        </w:rPr>
        <w:t>*** Medium and higher level officials include the following ranks: 1996: director, director general, positions higher than director general. 2006: director/adviser, director general/adviser, positions higher than director general. 2016: director or equivalent, director general or equivalent</w:t>
      </w:r>
    </w:p>
    <w:p w14:paraId="11BFB635" w14:textId="77777777" w:rsidR="00C7631D" w:rsidRDefault="00C7631D" w:rsidP="00532827">
      <w:pPr>
        <w:rPr>
          <w:color w:val="FF0000"/>
          <w:lang w:val="en-GB"/>
        </w:rPr>
      </w:pPr>
    </w:p>
    <w:p w14:paraId="624219FC" w14:textId="3EB565E2" w:rsidR="0029054C" w:rsidRDefault="00197AD3" w:rsidP="00532827">
      <w:pPr>
        <w:rPr>
          <w:lang w:val="en-GB"/>
        </w:rPr>
      </w:pPr>
      <w:r w:rsidRPr="00197AD3">
        <w:rPr>
          <w:lang w:val="en-GB"/>
        </w:rPr>
        <w:t>In order to be able to ascertain</w:t>
      </w:r>
      <w:r>
        <w:rPr>
          <w:lang w:val="en-GB"/>
        </w:rPr>
        <w:t xml:space="preserve"> </w:t>
      </w:r>
      <w:r w:rsidRPr="00197AD3">
        <w:rPr>
          <w:lang w:val="en-GB"/>
        </w:rPr>
        <w:t xml:space="preserve">the extent to which </w:t>
      </w:r>
      <w:r>
        <w:rPr>
          <w:lang w:val="en-GB"/>
        </w:rPr>
        <w:t>coordination behaviour is mutually supplementary or contradictory,</w:t>
      </w:r>
      <w:r w:rsidRPr="00197AD3">
        <w:rPr>
          <w:lang w:val="en-GB"/>
        </w:rPr>
        <w:t xml:space="preserve"> we have to investigate</w:t>
      </w:r>
      <w:r>
        <w:rPr>
          <w:lang w:val="en-GB"/>
        </w:rPr>
        <w:t xml:space="preserve"> </w:t>
      </w:r>
      <w:r w:rsidRPr="00197AD3">
        <w:rPr>
          <w:lang w:val="en-GB"/>
        </w:rPr>
        <w:t xml:space="preserve">whether various </w:t>
      </w:r>
      <w:r>
        <w:rPr>
          <w:lang w:val="en-GB"/>
        </w:rPr>
        <w:t>types of coordination behaviour</w:t>
      </w:r>
      <w:r w:rsidRPr="00197AD3">
        <w:rPr>
          <w:lang w:val="en-GB"/>
        </w:rPr>
        <w:t xml:space="preserve"> are deemed important </w:t>
      </w:r>
      <w:r w:rsidRPr="00582B8A">
        <w:rPr>
          <w:i/>
          <w:lang w:val="en-GB"/>
        </w:rPr>
        <w:t>by the same persons</w:t>
      </w:r>
      <w:r w:rsidRPr="00197AD3">
        <w:rPr>
          <w:lang w:val="en-GB"/>
        </w:rPr>
        <w:t xml:space="preserve"> within their</w:t>
      </w:r>
      <w:r>
        <w:rPr>
          <w:lang w:val="en-GB"/>
        </w:rPr>
        <w:t xml:space="preserve"> </w:t>
      </w:r>
      <w:r w:rsidRPr="00197AD3">
        <w:rPr>
          <w:lang w:val="en-GB"/>
        </w:rPr>
        <w:t>particular issue area. This is done in the cor</w:t>
      </w:r>
      <w:r w:rsidR="00582B8A">
        <w:rPr>
          <w:lang w:val="en-GB"/>
        </w:rPr>
        <w:t>relation matrices presented in T</w:t>
      </w:r>
      <w:r w:rsidRPr="00197AD3">
        <w:rPr>
          <w:lang w:val="en-GB"/>
        </w:rPr>
        <w:t>able</w:t>
      </w:r>
      <w:r>
        <w:rPr>
          <w:lang w:val="en-GB"/>
        </w:rPr>
        <w:t xml:space="preserve"> 9. </w:t>
      </w:r>
      <w:r w:rsidR="00582B8A">
        <w:rPr>
          <w:lang w:val="en-GB"/>
        </w:rPr>
        <w:t xml:space="preserve">In order to merely probe patterns, </w:t>
      </w:r>
      <w:r>
        <w:rPr>
          <w:lang w:val="en-GB"/>
        </w:rPr>
        <w:t>Table 9 applies</w:t>
      </w:r>
      <w:r w:rsidR="003A39A3">
        <w:rPr>
          <w:lang w:val="en-GB"/>
        </w:rPr>
        <w:t xml:space="preserve"> data from</w:t>
      </w:r>
      <w:r>
        <w:rPr>
          <w:lang w:val="en-GB"/>
        </w:rPr>
        <w:t xml:space="preserve"> the </w:t>
      </w:r>
      <w:r w:rsidR="0029054C">
        <w:rPr>
          <w:lang w:val="en-GB"/>
        </w:rPr>
        <w:t>2016</w:t>
      </w:r>
      <w:r>
        <w:rPr>
          <w:lang w:val="en-GB"/>
        </w:rPr>
        <w:t xml:space="preserve"> survey.</w:t>
      </w:r>
      <w:r w:rsidR="0029054C">
        <w:rPr>
          <w:lang w:val="en-GB"/>
        </w:rPr>
        <w:t xml:space="preserve"> </w:t>
      </w:r>
    </w:p>
    <w:p w14:paraId="19588582" w14:textId="77777777" w:rsidR="0029054C" w:rsidRDefault="0029054C" w:rsidP="00532827">
      <w:pPr>
        <w:rPr>
          <w:lang w:val="en-GB"/>
        </w:rPr>
      </w:pPr>
    </w:p>
    <w:p w14:paraId="484D9684" w14:textId="24BA4793" w:rsidR="00815275" w:rsidRPr="0029054C" w:rsidRDefault="0029054C" w:rsidP="00532827">
      <w:pPr>
        <w:rPr>
          <w:i/>
          <w:lang w:val="en-GB"/>
        </w:rPr>
      </w:pPr>
      <w:r w:rsidRPr="0029054C">
        <w:rPr>
          <w:i/>
          <w:lang w:val="en-GB"/>
        </w:rPr>
        <w:t>(….to be conducted…)</w:t>
      </w:r>
    </w:p>
    <w:p w14:paraId="4766931A" w14:textId="77777777" w:rsidR="00197AD3" w:rsidRPr="00D77FB7" w:rsidRDefault="00197AD3" w:rsidP="00532827">
      <w:pPr>
        <w:rPr>
          <w:lang w:val="en-GB"/>
        </w:rPr>
      </w:pPr>
    </w:p>
    <w:p w14:paraId="5E96089B" w14:textId="432B5FE4" w:rsidR="00F00783" w:rsidRPr="0075770C" w:rsidRDefault="00057D6A" w:rsidP="00F00783">
      <w:pPr>
        <w:jc w:val="both"/>
        <w:rPr>
          <w:b/>
          <w:i/>
          <w:lang w:val="en-GB"/>
        </w:rPr>
      </w:pPr>
      <w:r>
        <w:rPr>
          <w:b/>
          <w:lang w:val="en-GB"/>
        </w:rPr>
        <w:t>Table 9</w:t>
      </w:r>
      <w:r w:rsidR="00197AD3">
        <w:rPr>
          <w:b/>
          <w:lang w:val="en-GB"/>
        </w:rPr>
        <w:t xml:space="preserve"> </w:t>
      </w:r>
      <w:r w:rsidR="00F00783" w:rsidRPr="003A39A3">
        <w:rPr>
          <w:b/>
          <w:lang w:val="en-GB"/>
        </w:rPr>
        <w:t>Inter-correlation matrix on</w:t>
      </w:r>
      <w:r w:rsidR="00F00783" w:rsidRPr="0075770C">
        <w:rPr>
          <w:b/>
          <w:i/>
          <w:lang w:val="en-GB"/>
        </w:rPr>
        <w:t xml:space="preserve"> coordination behaviour (Pearson</w:t>
      </w:r>
      <w:r w:rsidR="00197AD3">
        <w:rPr>
          <w:b/>
          <w:i/>
          <w:lang w:val="en-GB"/>
        </w:rPr>
        <w:t>’</w:t>
      </w:r>
      <w:r w:rsidR="00F00783" w:rsidRPr="0075770C">
        <w:rPr>
          <w:b/>
          <w:i/>
          <w:lang w:val="en-GB"/>
        </w:rPr>
        <w:t>s r, 2016 data)</w:t>
      </w:r>
    </w:p>
    <w:tbl>
      <w:tblPr>
        <w:tblStyle w:val="Tabellrutenett"/>
        <w:tblW w:w="9781" w:type="dxa"/>
        <w:tblInd w:w="108" w:type="dxa"/>
        <w:tblLayout w:type="fixed"/>
        <w:tblLook w:val="04A0" w:firstRow="1" w:lastRow="0" w:firstColumn="1" w:lastColumn="0" w:noHBand="0" w:noVBand="1"/>
      </w:tblPr>
      <w:tblGrid>
        <w:gridCol w:w="4536"/>
        <w:gridCol w:w="426"/>
        <w:gridCol w:w="731"/>
        <w:gridCol w:w="731"/>
        <w:gridCol w:w="731"/>
        <w:gridCol w:w="731"/>
        <w:gridCol w:w="731"/>
        <w:gridCol w:w="732"/>
        <w:gridCol w:w="432"/>
      </w:tblGrid>
      <w:tr w:rsidR="00F00783" w:rsidRPr="0075770C" w14:paraId="13B47CA2" w14:textId="77777777" w:rsidTr="00815275">
        <w:trPr>
          <w:trHeight w:val="238"/>
        </w:trPr>
        <w:tc>
          <w:tcPr>
            <w:tcW w:w="4536" w:type="dxa"/>
          </w:tcPr>
          <w:p w14:paraId="3CD4FBD9" w14:textId="77777777" w:rsidR="00F00783" w:rsidRPr="0075770C" w:rsidRDefault="00F00783" w:rsidP="00F00783">
            <w:pPr>
              <w:jc w:val="both"/>
              <w:rPr>
                <w:lang w:val="en-GB"/>
              </w:rPr>
            </w:pPr>
          </w:p>
        </w:tc>
        <w:tc>
          <w:tcPr>
            <w:tcW w:w="426" w:type="dxa"/>
          </w:tcPr>
          <w:p w14:paraId="51CE8FFE" w14:textId="77777777" w:rsidR="00F00783" w:rsidRPr="0075770C" w:rsidRDefault="00F00783" w:rsidP="00F00783">
            <w:pPr>
              <w:jc w:val="both"/>
              <w:rPr>
                <w:lang w:val="en-GB"/>
              </w:rPr>
            </w:pPr>
            <w:r w:rsidRPr="0075770C">
              <w:rPr>
                <w:lang w:val="en-GB"/>
              </w:rPr>
              <w:t xml:space="preserve">1) </w:t>
            </w:r>
          </w:p>
        </w:tc>
        <w:tc>
          <w:tcPr>
            <w:tcW w:w="731" w:type="dxa"/>
          </w:tcPr>
          <w:p w14:paraId="7C76ED25" w14:textId="77777777" w:rsidR="00F00783" w:rsidRPr="0075770C" w:rsidRDefault="00F00783" w:rsidP="00F00783">
            <w:pPr>
              <w:jc w:val="both"/>
              <w:rPr>
                <w:lang w:val="en-GB"/>
              </w:rPr>
            </w:pPr>
            <w:r w:rsidRPr="0075770C">
              <w:rPr>
                <w:lang w:val="en-GB"/>
              </w:rPr>
              <w:t>2)</w:t>
            </w:r>
          </w:p>
        </w:tc>
        <w:tc>
          <w:tcPr>
            <w:tcW w:w="731" w:type="dxa"/>
          </w:tcPr>
          <w:p w14:paraId="79749787" w14:textId="77777777" w:rsidR="00F00783" w:rsidRPr="0075770C" w:rsidRDefault="00F00783" w:rsidP="00F00783">
            <w:pPr>
              <w:jc w:val="both"/>
              <w:rPr>
                <w:lang w:val="en-GB"/>
              </w:rPr>
            </w:pPr>
            <w:r w:rsidRPr="0075770C">
              <w:rPr>
                <w:lang w:val="en-GB"/>
              </w:rPr>
              <w:t>3)</w:t>
            </w:r>
          </w:p>
        </w:tc>
        <w:tc>
          <w:tcPr>
            <w:tcW w:w="731" w:type="dxa"/>
          </w:tcPr>
          <w:p w14:paraId="08E61640" w14:textId="77777777" w:rsidR="00F00783" w:rsidRPr="0075770C" w:rsidRDefault="00F00783" w:rsidP="00F00783">
            <w:pPr>
              <w:jc w:val="both"/>
              <w:rPr>
                <w:lang w:val="en-GB"/>
              </w:rPr>
            </w:pPr>
            <w:r w:rsidRPr="0075770C">
              <w:rPr>
                <w:lang w:val="en-GB"/>
              </w:rPr>
              <w:t>4)</w:t>
            </w:r>
          </w:p>
        </w:tc>
        <w:tc>
          <w:tcPr>
            <w:tcW w:w="731" w:type="dxa"/>
          </w:tcPr>
          <w:p w14:paraId="7DF040A1" w14:textId="77777777" w:rsidR="00F00783" w:rsidRPr="0075770C" w:rsidRDefault="00F00783" w:rsidP="00F00783">
            <w:pPr>
              <w:jc w:val="both"/>
              <w:rPr>
                <w:lang w:val="en-GB"/>
              </w:rPr>
            </w:pPr>
            <w:r w:rsidRPr="0075770C">
              <w:rPr>
                <w:lang w:val="en-GB"/>
              </w:rPr>
              <w:t>5)</w:t>
            </w:r>
          </w:p>
        </w:tc>
        <w:tc>
          <w:tcPr>
            <w:tcW w:w="731" w:type="dxa"/>
          </w:tcPr>
          <w:p w14:paraId="04EC6737" w14:textId="77777777" w:rsidR="00F00783" w:rsidRPr="0075770C" w:rsidRDefault="00F00783" w:rsidP="00F00783">
            <w:pPr>
              <w:jc w:val="both"/>
              <w:rPr>
                <w:lang w:val="en-GB"/>
              </w:rPr>
            </w:pPr>
            <w:r w:rsidRPr="0075770C">
              <w:rPr>
                <w:lang w:val="en-GB"/>
              </w:rPr>
              <w:t>6)</w:t>
            </w:r>
          </w:p>
        </w:tc>
        <w:tc>
          <w:tcPr>
            <w:tcW w:w="732" w:type="dxa"/>
          </w:tcPr>
          <w:p w14:paraId="7C404CDE" w14:textId="77777777" w:rsidR="00F00783" w:rsidRPr="0075770C" w:rsidRDefault="00F00783" w:rsidP="00F00783">
            <w:pPr>
              <w:jc w:val="both"/>
              <w:rPr>
                <w:lang w:val="en-GB"/>
              </w:rPr>
            </w:pPr>
            <w:r w:rsidRPr="0075770C">
              <w:rPr>
                <w:lang w:val="en-GB"/>
              </w:rPr>
              <w:t>7)</w:t>
            </w:r>
          </w:p>
        </w:tc>
        <w:tc>
          <w:tcPr>
            <w:tcW w:w="432" w:type="dxa"/>
          </w:tcPr>
          <w:p w14:paraId="49D1E113" w14:textId="77777777" w:rsidR="00F00783" w:rsidRPr="0075770C" w:rsidRDefault="00F00783" w:rsidP="00F00783">
            <w:pPr>
              <w:jc w:val="both"/>
              <w:rPr>
                <w:lang w:val="en-GB"/>
              </w:rPr>
            </w:pPr>
            <w:r w:rsidRPr="0075770C">
              <w:rPr>
                <w:lang w:val="en-GB"/>
              </w:rPr>
              <w:t>8)</w:t>
            </w:r>
          </w:p>
        </w:tc>
      </w:tr>
      <w:tr w:rsidR="00F00783" w:rsidRPr="0075770C" w14:paraId="42E4CE8F" w14:textId="77777777" w:rsidTr="00815275">
        <w:trPr>
          <w:trHeight w:val="978"/>
        </w:trPr>
        <w:tc>
          <w:tcPr>
            <w:tcW w:w="4536" w:type="dxa"/>
          </w:tcPr>
          <w:p w14:paraId="539910C2" w14:textId="00EECDBC" w:rsidR="00BF69C6" w:rsidRPr="003A39A3" w:rsidRDefault="00BF69C6" w:rsidP="00052BC5">
            <w:pPr>
              <w:pStyle w:val="Listeavsnitt"/>
              <w:numPr>
                <w:ilvl w:val="0"/>
                <w:numId w:val="6"/>
              </w:numPr>
              <w:rPr>
                <w:lang w:val="en-GB"/>
              </w:rPr>
            </w:pPr>
            <w:r w:rsidRPr="003A39A3">
              <w:rPr>
                <w:lang w:val="en-GB"/>
              </w:rPr>
              <w:t>Participation in intra-ministerial coordination committee</w:t>
            </w:r>
          </w:p>
          <w:p w14:paraId="3224C7DB" w14:textId="77777777" w:rsidR="00BF69C6" w:rsidRPr="0075770C" w:rsidRDefault="00BF69C6" w:rsidP="00BF69C6">
            <w:pPr>
              <w:rPr>
                <w:lang w:val="en-GB"/>
              </w:rPr>
            </w:pPr>
          </w:p>
          <w:p w14:paraId="4813ED2E" w14:textId="58D7765B" w:rsidR="00BF69C6" w:rsidRPr="003A39A3" w:rsidRDefault="00BF69C6" w:rsidP="00052BC5">
            <w:pPr>
              <w:pStyle w:val="Listeavsnitt"/>
              <w:numPr>
                <w:ilvl w:val="0"/>
                <w:numId w:val="6"/>
              </w:numPr>
              <w:rPr>
                <w:lang w:val="en-GB"/>
              </w:rPr>
            </w:pPr>
            <w:r w:rsidRPr="003A39A3">
              <w:rPr>
                <w:lang w:val="en-GB"/>
              </w:rPr>
              <w:t>Participation low-level inter-ministerial coordination committee</w:t>
            </w:r>
          </w:p>
          <w:p w14:paraId="3F7EE8A2" w14:textId="77777777" w:rsidR="00BF69C6" w:rsidRPr="0075770C" w:rsidRDefault="00BF69C6" w:rsidP="00BF69C6">
            <w:pPr>
              <w:rPr>
                <w:lang w:val="en-GB"/>
              </w:rPr>
            </w:pPr>
          </w:p>
          <w:p w14:paraId="02AF706A" w14:textId="603CAE8C" w:rsidR="00BF69C6" w:rsidRPr="003A39A3" w:rsidRDefault="00BF69C6" w:rsidP="00052BC5">
            <w:pPr>
              <w:pStyle w:val="Listeavsnitt"/>
              <w:numPr>
                <w:ilvl w:val="0"/>
                <w:numId w:val="6"/>
              </w:numPr>
              <w:rPr>
                <w:lang w:val="en-GB"/>
              </w:rPr>
            </w:pPr>
            <w:r w:rsidRPr="003A39A3">
              <w:rPr>
                <w:lang w:val="en-GB"/>
              </w:rPr>
              <w:t xml:space="preserve">Participation in high-level inter-ministerial coordination committee </w:t>
            </w:r>
          </w:p>
          <w:p w14:paraId="1F7832A8" w14:textId="77777777" w:rsidR="00BF69C6" w:rsidRPr="0075770C" w:rsidRDefault="00BF69C6" w:rsidP="00BF69C6">
            <w:pPr>
              <w:rPr>
                <w:lang w:val="en-GB"/>
              </w:rPr>
            </w:pPr>
          </w:p>
          <w:p w14:paraId="613C0796" w14:textId="5DBBFF9F" w:rsidR="00BF69C6" w:rsidRPr="003A39A3" w:rsidRDefault="00BF69C6" w:rsidP="00052BC5">
            <w:pPr>
              <w:pStyle w:val="Listeavsnitt"/>
              <w:numPr>
                <w:ilvl w:val="0"/>
                <w:numId w:val="6"/>
              </w:numPr>
              <w:rPr>
                <w:lang w:val="en-GB"/>
              </w:rPr>
            </w:pPr>
            <w:r w:rsidRPr="003A39A3">
              <w:rPr>
                <w:lang w:val="en-GB"/>
              </w:rPr>
              <w:t>Modified/changed own ministry´s position in EU related work due to coordination with the Prime Ministers</w:t>
            </w:r>
            <w:r w:rsidR="00AB7BE3">
              <w:rPr>
                <w:lang w:val="en-GB"/>
              </w:rPr>
              <w:t>’</w:t>
            </w:r>
            <w:r w:rsidRPr="003A39A3">
              <w:rPr>
                <w:lang w:val="en-GB"/>
              </w:rPr>
              <w:t xml:space="preserve"> Office</w:t>
            </w:r>
          </w:p>
          <w:p w14:paraId="56FBEAF2" w14:textId="77777777" w:rsidR="00BF69C6" w:rsidRPr="0075770C" w:rsidRDefault="00BF69C6" w:rsidP="00BF69C6">
            <w:pPr>
              <w:rPr>
                <w:lang w:val="en-GB"/>
              </w:rPr>
            </w:pPr>
          </w:p>
          <w:p w14:paraId="2385C4AB" w14:textId="25446418" w:rsidR="00BF69C6" w:rsidRPr="003A39A3" w:rsidRDefault="00BF69C6" w:rsidP="00052BC5">
            <w:pPr>
              <w:pStyle w:val="Listeavsnitt"/>
              <w:numPr>
                <w:ilvl w:val="0"/>
                <w:numId w:val="6"/>
              </w:numPr>
              <w:rPr>
                <w:lang w:val="en-GB"/>
              </w:rPr>
            </w:pPr>
            <w:r w:rsidRPr="003A39A3">
              <w:rPr>
                <w:lang w:val="en-GB"/>
              </w:rPr>
              <w:t>Modified/changed own ministry´s position in EU related work due to coordination with the MFA</w:t>
            </w:r>
          </w:p>
          <w:p w14:paraId="5DD68FB0" w14:textId="77777777" w:rsidR="00BF69C6" w:rsidRPr="0075770C" w:rsidRDefault="00BF69C6" w:rsidP="00BF69C6">
            <w:pPr>
              <w:rPr>
                <w:lang w:val="en-GB"/>
              </w:rPr>
            </w:pPr>
          </w:p>
          <w:p w14:paraId="0B533C4A" w14:textId="2B115E19" w:rsidR="00BF69C6" w:rsidRPr="00B85753" w:rsidRDefault="00BF69C6" w:rsidP="00052BC5">
            <w:pPr>
              <w:pStyle w:val="Listeavsnitt"/>
              <w:numPr>
                <w:ilvl w:val="0"/>
                <w:numId w:val="6"/>
              </w:numPr>
              <w:rPr>
                <w:lang w:val="en-GB"/>
              </w:rPr>
            </w:pPr>
            <w:r w:rsidRPr="00B85753">
              <w:rPr>
                <w:lang w:val="en-GB"/>
              </w:rPr>
              <w:t>Modified/changed own ministry´s position in EU related work due to coordination with</w:t>
            </w:r>
          </w:p>
          <w:p w14:paraId="133CA533" w14:textId="428AA1B8" w:rsidR="00BF69C6" w:rsidRPr="0075770C" w:rsidRDefault="00B85753" w:rsidP="00BF69C6">
            <w:pPr>
              <w:rPr>
                <w:lang w:val="en-GB"/>
              </w:rPr>
            </w:pPr>
            <w:r>
              <w:rPr>
                <w:lang w:val="en-GB"/>
              </w:rPr>
              <w:t xml:space="preserve">      </w:t>
            </w:r>
            <w:r w:rsidR="00BF69C6" w:rsidRPr="0075770C">
              <w:rPr>
                <w:lang w:val="en-GB"/>
              </w:rPr>
              <w:t>other ministries</w:t>
            </w:r>
          </w:p>
          <w:p w14:paraId="189A3F7D" w14:textId="77777777" w:rsidR="00BF69C6" w:rsidRPr="0075770C" w:rsidRDefault="00BF69C6" w:rsidP="00BF69C6">
            <w:pPr>
              <w:rPr>
                <w:lang w:val="en-GB"/>
              </w:rPr>
            </w:pPr>
          </w:p>
          <w:p w14:paraId="70826D75" w14:textId="73D694A3" w:rsidR="00BF69C6" w:rsidRPr="00B85753" w:rsidRDefault="00BF69C6" w:rsidP="00052BC5">
            <w:pPr>
              <w:pStyle w:val="Listeavsnitt"/>
              <w:numPr>
                <w:ilvl w:val="0"/>
                <w:numId w:val="6"/>
              </w:numPr>
              <w:rPr>
                <w:lang w:val="en-GB"/>
              </w:rPr>
            </w:pPr>
            <w:r w:rsidRPr="00B85753">
              <w:rPr>
                <w:lang w:val="en-GB"/>
              </w:rPr>
              <w:t>Modified/changed own ministry´s position in EU related work due to coordination with the National Parliament</w:t>
            </w:r>
          </w:p>
          <w:p w14:paraId="56AE138B" w14:textId="77777777" w:rsidR="00BF69C6" w:rsidRPr="0075770C" w:rsidRDefault="00BF69C6" w:rsidP="00BF69C6">
            <w:pPr>
              <w:rPr>
                <w:lang w:val="en-GB"/>
              </w:rPr>
            </w:pPr>
          </w:p>
          <w:p w14:paraId="1567762B" w14:textId="1D2BACA3" w:rsidR="00F00783" w:rsidRPr="00052BC5" w:rsidRDefault="00BF69C6" w:rsidP="00052BC5">
            <w:pPr>
              <w:pStyle w:val="Listeavsnitt"/>
              <w:numPr>
                <w:ilvl w:val="0"/>
                <w:numId w:val="6"/>
              </w:numPr>
              <w:rPr>
                <w:lang w:val="en-GB"/>
              </w:rPr>
            </w:pPr>
            <w:r w:rsidRPr="00B85753">
              <w:rPr>
                <w:lang w:val="en-GB"/>
              </w:rPr>
              <w:t>Modified/changed own ministry´s position in EU related work due to coordination with i</w:t>
            </w:r>
            <w:r w:rsidRPr="00052BC5">
              <w:rPr>
                <w:lang w:val="en-GB"/>
              </w:rPr>
              <w:t>nterestgroups</w:t>
            </w:r>
          </w:p>
        </w:tc>
        <w:tc>
          <w:tcPr>
            <w:tcW w:w="426" w:type="dxa"/>
          </w:tcPr>
          <w:p w14:paraId="3D2CFE4D" w14:textId="77777777" w:rsidR="00F00783" w:rsidRPr="0075770C" w:rsidRDefault="00F00783" w:rsidP="00F00783">
            <w:pPr>
              <w:jc w:val="both"/>
              <w:rPr>
                <w:lang w:val="en-GB"/>
              </w:rPr>
            </w:pPr>
          </w:p>
        </w:tc>
        <w:tc>
          <w:tcPr>
            <w:tcW w:w="731" w:type="dxa"/>
          </w:tcPr>
          <w:p w14:paraId="0224B009" w14:textId="77777777" w:rsidR="00F00783" w:rsidRPr="0075770C" w:rsidRDefault="00F00783" w:rsidP="00F00783">
            <w:pPr>
              <w:jc w:val="both"/>
              <w:rPr>
                <w:lang w:val="en-GB"/>
              </w:rPr>
            </w:pPr>
            <w:r w:rsidRPr="0075770C">
              <w:rPr>
                <w:lang w:val="en-GB"/>
              </w:rPr>
              <w:t>...</w:t>
            </w:r>
          </w:p>
        </w:tc>
        <w:tc>
          <w:tcPr>
            <w:tcW w:w="731" w:type="dxa"/>
          </w:tcPr>
          <w:p w14:paraId="5481F780" w14:textId="77777777" w:rsidR="00F00783" w:rsidRPr="0075770C" w:rsidRDefault="00F00783" w:rsidP="00F00783">
            <w:pPr>
              <w:jc w:val="both"/>
              <w:rPr>
                <w:lang w:val="en-GB"/>
              </w:rPr>
            </w:pPr>
            <w:r w:rsidRPr="0075770C">
              <w:rPr>
                <w:lang w:val="en-GB"/>
              </w:rPr>
              <w:t>....</w:t>
            </w:r>
          </w:p>
          <w:p w14:paraId="1900C61E" w14:textId="77777777" w:rsidR="00F00783" w:rsidRPr="0075770C" w:rsidRDefault="00F00783" w:rsidP="00F00783">
            <w:pPr>
              <w:jc w:val="both"/>
              <w:rPr>
                <w:lang w:val="en-GB"/>
              </w:rPr>
            </w:pPr>
          </w:p>
          <w:p w14:paraId="4DBD247F" w14:textId="77777777" w:rsidR="00F00783" w:rsidRPr="0075770C" w:rsidRDefault="00F00783" w:rsidP="00F00783">
            <w:pPr>
              <w:jc w:val="both"/>
              <w:rPr>
                <w:lang w:val="en-GB"/>
              </w:rPr>
            </w:pPr>
          </w:p>
          <w:p w14:paraId="6C2DED6E" w14:textId="77777777" w:rsidR="00F00783" w:rsidRPr="0075770C" w:rsidRDefault="00F00783" w:rsidP="00F00783">
            <w:pPr>
              <w:jc w:val="both"/>
              <w:rPr>
                <w:lang w:val="en-GB"/>
              </w:rPr>
            </w:pPr>
            <w:r w:rsidRPr="0075770C">
              <w:rPr>
                <w:lang w:val="en-GB"/>
              </w:rPr>
              <w:t>....</w:t>
            </w:r>
          </w:p>
          <w:p w14:paraId="38FA983C" w14:textId="77777777" w:rsidR="00F00783" w:rsidRPr="0075770C" w:rsidRDefault="00F00783" w:rsidP="00F00783">
            <w:pPr>
              <w:jc w:val="both"/>
              <w:rPr>
                <w:lang w:val="en-GB"/>
              </w:rPr>
            </w:pPr>
          </w:p>
          <w:p w14:paraId="00AF18A2" w14:textId="77777777" w:rsidR="00F00783" w:rsidRPr="0075770C" w:rsidRDefault="00F00783" w:rsidP="00F00783">
            <w:pPr>
              <w:jc w:val="both"/>
              <w:rPr>
                <w:lang w:val="en-GB"/>
              </w:rPr>
            </w:pPr>
          </w:p>
          <w:p w14:paraId="5850A25E" w14:textId="77777777" w:rsidR="00F00783" w:rsidRPr="0075770C" w:rsidRDefault="00F00783" w:rsidP="00F00783">
            <w:pPr>
              <w:jc w:val="both"/>
              <w:rPr>
                <w:lang w:val="en-GB"/>
              </w:rPr>
            </w:pPr>
          </w:p>
        </w:tc>
        <w:tc>
          <w:tcPr>
            <w:tcW w:w="731" w:type="dxa"/>
          </w:tcPr>
          <w:p w14:paraId="2871CDBD" w14:textId="77777777" w:rsidR="00F00783" w:rsidRPr="0075770C" w:rsidRDefault="00F00783" w:rsidP="00F00783">
            <w:pPr>
              <w:jc w:val="both"/>
              <w:rPr>
                <w:lang w:val="en-GB"/>
              </w:rPr>
            </w:pPr>
            <w:r w:rsidRPr="0075770C">
              <w:rPr>
                <w:lang w:val="en-GB"/>
              </w:rPr>
              <w:t>...</w:t>
            </w:r>
          </w:p>
          <w:p w14:paraId="30EE8595" w14:textId="77777777" w:rsidR="00F00783" w:rsidRPr="0075770C" w:rsidRDefault="00F00783" w:rsidP="00F00783">
            <w:pPr>
              <w:jc w:val="both"/>
              <w:rPr>
                <w:lang w:val="en-GB"/>
              </w:rPr>
            </w:pPr>
          </w:p>
          <w:p w14:paraId="49876844" w14:textId="77777777" w:rsidR="00F00783" w:rsidRPr="0075770C" w:rsidRDefault="00F00783" w:rsidP="00F00783">
            <w:pPr>
              <w:jc w:val="both"/>
              <w:rPr>
                <w:lang w:val="en-GB"/>
              </w:rPr>
            </w:pPr>
          </w:p>
          <w:p w14:paraId="6AB7C8F3" w14:textId="77777777" w:rsidR="00F00783" w:rsidRPr="0075770C" w:rsidRDefault="00F00783" w:rsidP="00F00783">
            <w:pPr>
              <w:jc w:val="both"/>
              <w:rPr>
                <w:lang w:val="en-GB"/>
              </w:rPr>
            </w:pPr>
            <w:r w:rsidRPr="0075770C">
              <w:rPr>
                <w:lang w:val="en-GB"/>
              </w:rPr>
              <w:t>.....</w:t>
            </w:r>
          </w:p>
          <w:p w14:paraId="27A500B9" w14:textId="77777777" w:rsidR="00F00783" w:rsidRPr="0075770C" w:rsidRDefault="00F00783" w:rsidP="00F00783">
            <w:pPr>
              <w:jc w:val="both"/>
              <w:rPr>
                <w:lang w:val="en-GB"/>
              </w:rPr>
            </w:pPr>
          </w:p>
          <w:p w14:paraId="00198903" w14:textId="77777777" w:rsidR="00F00783" w:rsidRPr="0075770C" w:rsidRDefault="00F00783" w:rsidP="00F00783">
            <w:pPr>
              <w:jc w:val="both"/>
              <w:rPr>
                <w:lang w:val="en-GB"/>
              </w:rPr>
            </w:pPr>
          </w:p>
          <w:p w14:paraId="6EA9D65C" w14:textId="77777777" w:rsidR="00F00783" w:rsidRPr="0075770C" w:rsidRDefault="00F00783" w:rsidP="00F00783">
            <w:pPr>
              <w:jc w:val="both"/>
              <w:rPr>
                <w:lang w:val="en-GB"/>
              </w:rPr>
            </w:pPr>
          </w:p>
          <w:p w14:paraId="04916FF4" w14:textId="77777777" w:rsidR="00F00783" w:rsidRPr="0075770C" w:rsidRDefault="00F00783" w:rsidP="00F00783">
            <w:pPr>
              <w:jc w:val="both"/>
              <w:rPr>
                <w:lang w:val="en-GB"/>
              </w:rPr>
            </w:pPr>
            <w:r w:rsidRPr="0075770C">
              <w:rPr>
                <w:lang w:val="en-GB"/>
              </w:rPr>
              <w:t>....</w:t>
            </w:r>
          </w:p>
          <w:p w14:paraId="5A808D60" w14:textId="77777777" w:rsidR="00F00783" w:rsidRPr="0075770C" w:rsidRDefault="00F00783" w:rsidP="00F00783">
            <w:pPr>
              <w:jc w:val="both"/>
              <w:rPr>
                <w:lang w:val="en-GB"/>
              </w:rPr>
            </w:pPr>
          </w:p>
          <w:p w14:paraId="10BC7C63" w14:textId="77777777" w:rsidR="00F00783" w:rsidRPr="0075770C" w:rsidRDefault="00F00783" w:rsidP="00F00783">
            <w:pPr>
              <w:jc w:val="both"/>
              <w:rPr>
                <w:lang w:val="en-GB"/>
              </w:rPr>
            </w:pPr>
          </w:p>
          <w:p w14:paraId="29FC93A5" w14:textId="77777777" w:rsidR="00F00783" w:rsidRPr="0075770C" w:rsidRDefault="00F00783" w:rsidP="00F00783">
            <w:pPr>
              <w:jc w:val="both"/>
              <w:rPr>
                <w:lang w:val="en-GB"/>
              </w:rPr>
            </w:pPr>
          </w:p>
          <w:p w14:paraId="59B8E4D3" w14:textId="77777777" w:rsidR="00F00783" w:rsidRPr="0075770C" w:rsidRDefault="00F00783" w:rsidP="00F00783">
            <w:pPr>
              <w:jc w:val="both"/>
              <w:rPr>
                <w:lang w:val="en-GB"/>
              </w:rPr>
            </w:pPr>
          </w:p>
        </w:tc>
        <w:tc>
          <w:tcPr>
            <w:tcW w:w="731" w:type="dxa"/>
          </w:tcPr>
          <w:p w14:paraId="252F6239" w14:textId="77777777" w:rsidR="00F00783" w:rsidRPr="0075770C" w:rsidRDefault="00F00783" w:rsidP="00F00783">
            <w:pPr>
              <w:jc w:val="both"/>
              <w:rPr>
                <w:lang w:val="en-GB"/>
              </w:rPr>
            </w:pPr>
            <w:r w:rsidRPr="0075770C">
              <w:rPr>
                <w:lang w:val="en-GB"/>
              </w:rPr>
              <w:t>....</w:t>
            </w:r>
          </w:p>
          <w:p w14:paraId="25D7E9F1" w14:textId="77777777" w:rsidR="00F00783" w:rsidRPr="0075770C" w:rsidRDefault="00F00783" w:rsidP="00F00783">
            <w:pPr>
              <w:jc w:val="both"/>
              <w:rPr>
                <w:lang w:val="en-GB"/>
              </w:rPr>
            </w:pPr>
          </w:p>
          <w:p w14:paraId="67369618" w14:textId="77777777" w:rsidR="00F00783" w:rsidRPr="0075770C" w:rsidRDefault="00F00783" w:rsidP="00F00783">
            <w:pPr>
              <w:jc w:val="both"/>
              <w:rPr>
                <w:lang w:val="en-GB"/>
              </w:rPr>
            </w:pPr>
          </w:p>
          <w:p w14:paraId="342904DD" w14:textId="77777777" w:rsidR="00F00783" w:rsidRPr="0075770C" w:rsidRDefault="00F00783" w:rsidP="00F00783">
            <w:pPr>
              <w:jc w:val="both"/>
              <w:rPr>
                <w:lang w:val="en-GB"/>
              </w:rPr>
            </w:pPr>
          </w:p>
          <w:p w14:paraId="24AC6C93" w14:textId="77777777" w:rsidR="00F00783" w:rsidRPr="0075770C" w:rsidRDefault="00F00783" w:rsidP="00F00783">
            <w:pPr>
              <w:jc w:val="both"/>
              <w:rPr>
                <w:lang w:val="en-GB"/>
              </w:rPr>
            </w:pPr>
          </w:p>
          <w:p w14:paraId="05CE1886" w14:textId="77777777" w:rsidR="00F00783" w:rsidRPr="0075770C" w:rsidRDefault="00F00783" w:rsidP="00F00783">
            <w:pPr>
              <w:jc w:val="both"/>
              <w:rPr>
                <w:lang w:val="en-GB"/>
              </w:rPr>
            </w:pPr>
          </w:p>
          <w:p w14:paraId="4E8F8D58" w14:textId="77777777" w:rsidR="00F00783" w:rsidRPr="0075770C" w:rsidRDefault="00F00783" w:rsidP="00F00783">
            <w:pPr>
              <w:jc w:val="both"/>
              <w:rPr>
                <w:lang w:val="en-GB"/>
              </w:rPr>
            </w:pPr>
          </w:p>
          <w:p w14:paraId="742E3970" w14:textId="77777777" w:rsidR="00F00783" w:rsidRPr="0075770C" w:rsidRDefault="00F00783" w:rsidP="00F00783">
            <w:pPr>
              <w:jc w:val="both"/>
              <w:rPr>
                <w:lang w:val="en-GB"/>
              </w:rPr>
            </w:pPr>
          </w:p>
          <w:p w14:paraId="2C5E810A" w14:textId="77777777" w:rsidR="00F00783" w:rsidRPr="0075770C" w:rsidRDefault="00F00783" w:rsidP="00F00783">
            <w:pPr>
              <w:jc w:val="both"/>
              <w:rPr>
                <w:lang w:val="en-GB"/>
              </w:rPr>
            </w:pPr>
          </w:p>
          <w:p w14:paraId="40892025" w14:textId="77777777" w:rsidR="00F00783" w:rsidRPr="0075770C" w:rsidRDefault="00F00783" w:rsidP="00F00783">
            <w:pPr>
              <w:jc w:val="both"/>
              <w:rPr>
                <w:lang w:val="en-GB"/>
              </w:rPr>
            </w:pPr>
          </w:p>
          <w:p w14:paraId="67A2F82A" w14:textId="77777777" w:rsidR="00F00783" w:rsidRPr="0075770C" w:rsidRDefault="00F00783" w:rsidP="00F00783">
            <w:pPr>
              <w:jc w:val="both"/>
              <w:rPr>
                <w:lang w:val="en-GB"/>
              </w:rPr>
            </w:pPr>
          </w:p>
          <w:p w14:paraId="72176375" w14:textId="77777777" w:rsidR="00F00783" w:rsidRPr="0075770C" w:rsidRDefault="00F00783" w:rsidP="00F00783">
            <w:pPr>
              <w:jc w:val="both"/>
              <w:rPr>
                <w:lang w:val="en-GB"/>
              </w:rPr>
            </w:pPr>
            <w:r w:rsidRPr="0075770C">
              <w:rPr>
                <w:lang w:val="en-GB"/>
              </w:rPr>
              <w:t>....</w:t>
            </w:r>
          </w:p>
        </w:tc>
        <w:tc>
          <w:tcPr>
            <w:tcW w:w="731" w:type="dxa"/>
          </w:tcPr>
          <w:p w14:paraId="064F778B" w14:textId="77777777" w:rsidR="00F00783" w:rsidRPr="0075770C" w:rsidRDefault="00F00783" w:rsidP="00F00783">
            <w:pPr>
              <w:jc w:val="both"/>
              <w:rPr>
                <w:lang w:val="en-GB"/>
              </w:rPr>
            </w:pPr>
            <w:r w:rsidRPr="0075770C">
              <w:rPr>
                <w:lang w:val="en-GB"/>
              </w:rPr>
              <w:t>....</w:t>
            </w:r>
          </w:p>
          <w:p w14:paraId="31A9C2AC" w14:textId="77777777" w:rsidR="00F00783" w:rsidRPr="0075770C" w:rsidRDefault="00F00783" w:rsidP="00F00783">
            <w:pPr>
              <w:jc w:val="both"/>
              <w:rPr>
                <w:lang w:val="en-GB"/>
              </w:rPr>
            </w:pPr>
          </w:p>
          <w:p w14:paraId="589E1CA5" w14:textId="77777777" w:rsidR="00F00783" w:rsidRPr="0075770C" w:rsidRDefault="00F00783" w:rsidP="00F00783">
            <w:pPr>
              <w:jc w:val="both"/>
              <w:rPr>
                <w:lang w:val="en-GB"/>
              </w:rPr>
            </w:pPr>
          </w:p>
          <w:p w14:paraId="44BDCFD1" w14:textId="77777777" w:rsidR="00F00783" w:rsidRPr="0075770C" w:rsidRDefault="00F00783" w:rsidP="00F00783">
            <w:pPr>
              <w:jc w:val="both"/>
              <w:rPr>
                <w:lang w:val="en-GB"/>
              </w:rPr>
            </w:pPr>
          </w:p>
          <w:p w14:paraId="40DA51A7" w14:textId="77777777" w:rsidR="00F00783" w:rsidRPr="0075770C" w:rsidRDefault="00F00783" w:rsidP="00F00783">
            <w:pPr>
              <w:jc w:val="both"/>
              <w:rPr>
                <w:lang w:val="en-GB"/>
              </w:rPr>
            </w:pPr>
          </w:p>
          <w:p w14:paraId="127B4D83" w14:textId="77777777" w:rsidR="00F00783" w:rsidRPr="0075770C" w:rsidRDefault="00F00783" w:rsidP="00F00783">
            <w:pPr>
              <w:jc w:val="both"/>
              <w:rPr>
                <w:lang w:val="en-GB"/>
              </w:rPr>
            </w:pPr>
          </w:p>
          <w:p w14:paraId="1F5945E7" w14:textId="77777777" w:rsidR="00F00783" w:rsidRPr="0075770C" w:rsidRDefault="00F00783" w:rsidP="00F00783">
            <w:pPr>
              <w:jc w:val="both"/>
              <w:rPr>
                <w:lang w:val="en-GB"/>
              </w:rPr>
            </w:pPr>
          </w:p>
          <w:p w14:paraId="3EDB61F2" w14:textId="77777777" w:rsidR="00F00783" w:rsidRPr="0075770C" w:rsidRDefault="00F00783" w:rsidP="00F00783">
            <w:pPr>
              <w:jc w:val="both"/>
              <w:rPr>
                <w:lang w:val="en-GB"/>
              </w:rPr>
            </w:pPr>
          </w:p>
          <w:p w14:paraId="01494F25" w14:textId="77777777" w:rsidR="00F00783" w:rsidRPr="0075770C" w:rsidRDefault="00F00783" w:rsidP="00F00783">
            <w:pPr>
              <w:jc w:val="both"/>
              <w:rPr>
                <w:lang w:val="en-GB"/>
              </w:rPr>
            </w:pPr>
          </w:p>
          <w:p w14:paraId="746DE3D4" w14:textId="77777777" w:rsidR="00F00783" w:rsidRPr="0075770C" w:rsidRDefault="00F00783" w:rsidP="00F00783">
            <w:pPr>
              <w:jc w:val="both"/>
              <w:rPr>
                <w:lang w:val="en-GB"/>
              </w:rPr>
            </w:pPr>
          </w:p>
          <w:p w14:paraId="36CA2E5C" w14:textId="77777777" w:rsidR="00F00783" w:rsidRPr="0075770C" w:rsidRDefault="00F00783" w:rsidP="00F00783">
            <w:pPr>
              <w:jc w:val="both"/>
              <w:rPr>
                <w:lang w:val="en-GB"/>
              </w:rPr>
            </w:pPr>
          </w:p>
          <w:p w14:paraId="0561457C" w14:textId="77777777" w:rsidR="00F00783" w:rsidRPr="0075770C" w:rsidRDefault="00F00783" w:rsidP="00F00783">
            <w:pPr>
              <w:jc w:val="both"/>
              <w:rPr>
                <w:lang w:val="en-GB"/>
              </w:rPr>
            </w:pPr>
          </w:p>
          <w:p w14:paraId="7FB35326" w14:textId="77777777" w:rsidR="00F00783" w:rsidRPr="0075770C" w:rsidRDefault="00F00783" w:rsidP="00F00783">
            <w:pPr>
              <w:jc w:val="both"/>
              <w:rPr>
                <w:lang w:val="en-GB"/>
              </w:rPr>
            </w:pPr>
          </w:p>
          <w:p w14:paraId="1D89E659" w14:textId="77777777" w:rsidR="00F00783" w:rsidRPr="0075770C" w:rsidRDefault="00F00783" w:rsidP="00F00783">
            <w:pPr>
              <w:jc w:val="both"/>
              <w:rPr>
                <w:lang w:val="en-GB"/>
              </w:rPr>
            </w:pPr>
          </w:p>
          <w:p w14:paraId="4E569C74" w14:textId="77777777" w:rsidR="00F00783" w:rsidRPr="0075770C" w:rsidRDefault="00F00783" w:rsidP="00F00783">
            <w:pPr>
              <w:jc w:val="both"/>
              <w:rPr>
                <w:lang w:val="en-GB"/>
              </w:rPr>
            </w:pPr>
          </w:p>
          <w:p w14:paraId="6BBCE9DA" w14:textId="77777777" w:rsidR="00F00783" w:rsidRPr="0075770C" w:rsidRDefault="00F00783" w:rsidP="00F00783">
            <w:pPr>
              <w:jc w:val="both"/>
              <w:rPr>
                <w:lang w:val="en-GB"/>
              </w:rPr>
            </w:pPr>
            <w:r w:rsidRPr="0075770C">
              <w:rPr>
                <w:lang w:val="en-GB"/>
              </w:rPr>
              <w:t>....</w:t>
            </w:r>
          </w:p>
        </w:tc>
        <w:tc>
          <w:tcPr>
            <w:tcW w:w="732" w:type="dxa"/>
          </w:tcPr>
          <w:p w14:paraId="4964369F" w14:textId="77777777" w:rsidR="00F00783" w:rsidRPr="0075770C" w:rsidRDefault="00F00783" w:rsidP="00F00783">
            <w:pPr>
              <w:jc w:val="both"/>
              <w:rPr>
                <w:lang w:val="en-GB"/>
              </w:rPr>
            </w:pPr>
            <w:r w:rsidRPr="0075770C">
              <w:rPr>
                <w:lang w:val="en-GB"/>
              </w:rPr>
              <w:lastRenderedPageBreak/>
              <w:t>....</w:t>
            </w:r>
          </w:p>
          <w:p w14:paraId="2490574B" w14:textId="77777777" w:rsidR="00F00783" w:rsidRPr="0075770C" w:rsidRDefault="00F00783" w:rsidP="00F00783">
            <w:pPr>
              <w:jc w:val="both"/>
              <w:rPr>
                <w:lang w:val="en-GB"/>
              </w:rPr>
            </w:pPr>
          </w:p>
          <w:p w14:paraId="50719071" w14:textId="77777777" w:rsidR="00F00783" w:rsidRPr="0075770C" w:rsidRDefault="00F00783" w:rsidP="00F00783">
            <w:pPr>
              <w:jc w:val="both"/>
              <w:rPr>
                <w:lang w:val="en-GB"/>
              </w:rPr>
            </w:pPr>
          </w:p>
          <w:p w14:paraId="2FBF21BC" w14:textId="77777777" w:rsidR="00F00783" w:rsidRPr="0075770C" w:rsidRDefault="00F00783" w:rsidP="00F00783">
            <w:pPr>
              <w:jc w:val="both"/>
              <w:rPr>
                <w:lang w:val="en-GB"/>
              </w:rPr>
            </w:pPr>
          </w:p>
          <w:p w14:paraId="527DE53D" w14:textId="77777777" w:rsidR="00F00783" w:rsidRPr="0075770C" w:rsidRDefault="00F00783" w:rsidP="00F00783">
            <w:pPr>
              <w:jc w:val="both"/>
              <w:rPr>
                <w:lang w:val="en-GB"/>
              </w:rPr>
            </w:pPr>
          </w:p>
          <w:p w14:paraId="42D03AFD" w14:textId="77777777" w:rsidR="00F00783" w:rsidRPr="0075770C" w:rsidRDefault="00F00783" w:rsidP="00F00783">
            <w:pPr>
              <w:jc w:val="both"/>
              <w:rPr>
                <w:lang w:val="en-GB"/>
              </w:rPr>
            </w:pPr>
          </w:p>
          <w:p w14:paraId="4973CFFB" w14:textId="77777777" w:rsidR="00F00783" w:rsidRPr="0075770C" w:rsidRDefault="00F00783" w:rsidP="00F00783">
            <w:pPr>
              <w:jc w:val="both"/>
              <w:rPr>
                <w:lang w:val="en-GB"/>
              </w:rPr>
            </w:pPr>
          </w:p>
          <w:p w14:paraId="7AFEA260" w14:textId="77777777" w:rsidR="00F00783" w:rsidRPr="0075770C" w:rsidRDefault="00F00783" w:rsidP="00F00783">
            <w:pPr>
              <w:jc w:val="both"/>
              <w:rPr>
                <w:lang w:val="en-GB"/>
              </w:rPr>
            </w:pPr>
          </w:p>
          <w:p w14:paraId="15A8470C" w14:textId="77777777" w:rsidR="00F00783" w:rsidRPr="0075770C" w:rsidRDefault="00F00783" w:rsidP="00F00783">
            <w:pPr>
              <w:jc w:val="both"/>
              <w:rPr>
                <w:lang w:val="en-GB"/>
              </w:rPr>
            </w:pPr>
          </w:p>
          <w:p w14:paraId="73BA48BC" w14:textId="77777777" w:rsidR="00F00783" w:rsidRPr="0075770C" w:rsidRDefault="00F00783" w:rsidP="00F00783">
            <w:pPr>
              <w:jc w:val="both"/>
              <w:rPr>
                <w:lang w:val="en-GB"/>
              </w:rPr>
            </w:pPr>
          </w:p>
          <w:p w14:paraId="4C854909" w14:textId="77777777" w:rsidR="00F00783" w:rsidRPr="0075770C" w:rsidRDefault="00F00783" w:rsidP="00F00783">
            <w:pPr>
              <w:jc w:val="both"/>
              <w:rPr>
                <w:lang w:val="en-GB"/>
              </w:rPr>
            </w:pPr>
          </w:p>
          <w:p w14:paraId="304FB81C" w14:textId="77777777" w:rsidR="00F00783" w:rsidRPr="0075770C" w:rsidRDefault="00F00783" w:rsidP="00F00783">
            <w:pPr>
              <w:jc w:val="both"/>
              <w:rPr>
                <w:lang w:val="en-GB"/>
              </w:rPr>
            </w:pPr>
          </w:p>
          <w:p w14:paraId="7D56DBD7" w14:textId="77777777" w:rsidR="00F00783" w:rsidRPr="0075770C" w:rsidRDefault="00F00783" w:rsidP="00F00783">
            <w:pPr>
              <w:jc w:val="both"/>
              <w:rPr>
                <w:lang w:val="en-GB"/>
              </w:rPr>
            </w:pPr>
          </w:p>
          <w:p w14:paraId="083CC6DD" w14:textId="77777777" w:rsidR="00F00783" w:rsidRPr="0075770C" w:rsidRDefault="00F00783" w:rsidP="00F00783">
            <w:pPr>
              <w:jc w:val="both"/>
              <w:rPr>
                <w:lang w:val="en-GB"/>
              </w:rPr>
            </w:pPr>
          </w:p>
          <w:p w14:paraId="1EA5B439" w14:textId="77777777" w:rsidR="00F00783" w:rsidRPr="0075770C" w:rsidRDefault="00F00783" w:rsidP="00F00783">
            <w:pPr>
              <w:jc w:val="both"/>
              <w:rPr>
                <w:lang w:val="en-GB"/>
              </w:rPr>
            </w:pPr>
          </w:p>
          <w:p w14:paraId="55FFC16D" w14:textId="77777777" w:rsidR="00F00783" w:rsidRPr="0075770C" w:rsidRDefault="00F00783" w:rsidP="00F00783">
            <w:pPr>
              <w:jc w:val="both"/>
              <w:rPr>
                <w:lang w:val="en-GB"/>
              </w:rPr>
            </w:pPr>
          </w:p>
          <w:p w14:paraId="4FAC60D1" w14:textId="77777777" w:rsidR="00F00783" w:rsidRPr="0075770C" w:rsidRDefault="00F00783" w:rsidP="00F00783">
            <w:pPr>
              <w:jc w:val="both"/>
              <w:rPr>
                <w:lang w:val="en-GB"/>
              </w:rPr>
            </w:pPr>
          </w:p>
          <w:p w14:paraId="230B132F" w14:textId="77777777" w:rsidR="00F00783" w:rsidRPr="0075770C" w:rsidRDefault="00F00783" w:rsidP="00F00783">
            <w:pPr>
              <w:jc w:val="both"/>
              <w:rPr>
                <w:lang w:val="en-GB"/>
              </w:rPr>
            </w:pPr>
          </w:p>
          <w:p w14:paraId="7AEBC312" w14:textId="77777777" w:rsidR="00F00783" w:rsidRPr="0075770C" w:rsidRDefault="00F00783" w:rsidP="00F00783">
            <w:pPr>
              <w:jc w:val="both"/>
              <w:rPr>
                <w:lang w:val="en-GB"/>
              </w:rPr>
            </w:pPr>
            <w:r w:rsidRPr="0075770C">
              <w:rPr>
                <w:lang w:val="en-GB"/>
              </w:rPr>
              <w:t>....</w:t>
            </w:r>
          </w:p>
        </w:tc>
        <w:tc>
          <w:tcPr>
            <w:tcW w:w="432" w:type="dxa"/>
          </w:tcPr>
          <w:p w14:paraId="41A770F1" w14:textId="77777777" w:rsidR="00F00783" w:rsidRPr="0075770C" w:rsidRDefault="00F00783" w:rsidP="00F00783">
            <w:pPr>
              <w:jc w:val="both"/>
              <w:rPr>
                <w:lang w:val="en-GB"/>
              </w:rPr>
            </w:pPr>
          </w:p>
          <w:p w14:paraId="4FA49A80" w14:textId="77777777" w:rsidR="00F00783" w:rsidRPr="0075770C" w:rsidRDefault="00F00783" w:rsidP="00F00783">
            <w:pPr>
              <w:jc w:val="both"/>
              <w:rPr>
                <w:lang w:val="en-GB"/>
              </w:rPr>
            </w:pPr>
          </w:p>
          <w:p w14:paraId="78C80F3E" w14:textId="77777777" w:rsidR="00F00783" w:rsidRPr="0075770C" w:rsidRDefault="00F00783" w:rsidP="00F00783">
            <w:pPr>
              <w:jc w:val="both"/>
              <w:rPr>
                <w:lang w:val="en-GB"/>
              </w:rPr>
            </w:pPr>
          </w:p>
          <w:p w14:paraId="2DFDA932" w14:textId="77777777" w:rsidR="00F00783" w:rsidRPr="0075770C" w:rsidRDefault="00F00783" w:rsidP="00F00783">
            <w:pPr>
              <w:jc w:val="both"/>
              <w:rPr>
                <w:lang w:val="en-GB"/>
              </w:rPr>
            </w:pPr>
          </w:p>
          <w:p w14:paraId="7750BDC0" w14:textId="77777777" w:rsidR="00F00783" w:rsidRPr="0075770C" w:rsidRDefault="00F00783" w:rsidP="00F00783">
            <w:pPr>
              <w:jc w:val="both"/>
              <w:rPr>
                <w:lang w:val="en-GB"/>
              </w:rPr>
            </w:pPr>
          </w:p>
          <w:p w14:paraId="6F8C5FBD" w14:textId="77777777" w:rsidR="00F00783" w:rsidRPr="0075770C" w:rsidRDefault="00F00783" w:rsidP="00F00783">
            <w:pPr>
              <w:jc w:val="both"/>
              <w:rPr>
                <w:lang w:val="en-GB"/>
              </w:rPr>
            </w:pPr>
          </w:p>
          <w:p w14:paraId="7741D290" w14:textId="77777777" w:rsidR="00F00783" w:rsidRPr="0075770C" w:rsidRDefault="00F00783" w:rsidP="00F00783">
            <w:pPr>
              <w:jc w:val="both"/>
              <w:rPr>
                <w:lang w:val="en-GB"/>
              </w:rPr>
            </w:pPr>
          </w:p>
          <w:p w14:paraId="3337D6B9" w14:textId="77777777" w:rsidR="00F00783" w:rsidRPr="0075770C" w:rsidRDefault="00F00783" w:rsidP="00F00783">
            <w:pPr>
              <w:jc w:val="both"/>
              <w:rPr>
                <w:lang w:val="en-GB"/>
              </w:rPr>
            </w:pPr>
          </w:p>
          <w:p w14:paraId="00354D27" w14:textId="77777777" w:rsidR="00F00783" w:rsidRPr="0075770C" w:rsidRDefault="00F00783" w:rsidP="00F00783">
            <w:pPr>
              <w:jc w:val="both"/>
              <w:rPr>
                <w:lang w:val="en-GB"/>
              </w:rPr>
            </w:pPr>
          </w:p>
          <w:p w14:paraId="17DD91C2" w14:textId="77777777" w:rsidR="00F00783" w:rsidRPr="0075770C" w:rsidRDefault="00F00783" w:rsidP="00F00783">
            <w:pPr>
              <w:jc w:val="both"/>
              <w:rPr>
                <w:lang w:val="en-GB"/>
              </w:rPr>
            </w:pPr>
          </w:p>
          <w:p w14:paraId="2A2D88FC" w14:textId="77777777" w:rsidR="00F00783" w:rsidRPr="0075770C" w:rsidRDefault="00F00783" w:rsidP="00F00783">
            <w:pPr>
              <w:jc w:val="both"/>
              <w:rPr>
                <w:lang w:val="en-GB"/>
              </w:rPr>
            </w:pPr>
          </w:p>
          <w:p w14:paraId="2FECF4A9" w14:textId="77777777" w:rsidR="00F00783" w:rsidRPr="0075770C" w:rsidRDefault="00F00783" w:rsidP="00F00783">
            <w:pPr>
              <w:jc w:val="both"/>
              <w:rPr>
                <w:lang w:val="en-GB"/>
              </w:rPr>
            </w:pPr>
          </w:p>
          <w:p w14:paraId="3072BD87" w14:textId="77777777" w:rsidR="00F00783" w:rsidRPr="0075770C" w:rsidRDefault="00F00783" w:rsidP="00F00783">
            <w:pPr>
              <w:jc w:val="both"/>
              <w:rPr>
                <w:lang w:val="en-GB"/>
              </w:rPr>
            </w:pPr>
          </w:p>
          <w:p w14:paraId="3CDDBE7B" w14:textId="77777777" w:rsidR="00F00783" w:rsidRPr="0075770C" w:rsidRDefault="00F00783" w:rsidP="00F00783">
            <w:pPr>
              <w:jc w:val="both"/>
              <w:rPr>
                <w:lang w:val="en-GB"/>
              </w:rPr>
            </w:pPr>
          </w:p>
          <w:p w14:paraId="21E157BE" w14:textId="77777777" w:rsidR="00F00783" w:rsidRPr="0075770C" w:rsidRDefault="00F00783" w:rsidP="00F00783">
            <w:pPr>
              <w:jc w:val="both"/>
              <w:rPr>
                <w:lang w:val="en-GB"/>
              </w:rPr>
            </w:pPr>
          </w:p>
          <w:p w14:paraId="5CEFCC71" w14:textId="77777777" w:rsidR="00F00783" w:rsidRPr="0075770C" w:rsidRDefault="00F00783" w:rsidP="00F00783">
            <w:pPr>
              <w:jc w:val="both"/>
              <w:rPr>
                <w:lang w:val="en-GB"/>
              </w:rPr>
            </w:pPr>
          </w:p>
          <w:p w14:paraId="768302A2" w14:textId="77777777" w:rsidR="00F00783" w:rsidRPr="0075770C" w:rsidRDefault="00F00783" w:rsidP="00F00783">
            <w:pPr>
              <w:jc w:val="both"/>
              <w:rPr>
                <w:lang w:val="en-GB"/>
              </w:rPr>
            </w:pPr>
          </w:p>
          <w:p w14:paraId="1B08FD29" w14:textId="77777777" w:rsidR="00F00783" w:rsidRPr="0075770C" w:rsidRDefault="00F00783" w:rsidP="00F00783">
            <w:pPr>
              <w:jc w:val="both"/>
              <w:rPr>
                <w:lang w:val="en-GB"/>
              </w:rPr>
            </w:pPr>
          </w:p>
        </w:tc>
      </w:tr>
    </w:tbl>
    <w:p w14:paraId="655535E1" w14:textId="77777777" w:rsidR="00266390" w:rsidRDefault="00266390" w:rsidP="005236C0">
      <w:pPr>
        <w:jc w:val="both"/>
        <w:rPr>
          <w:color w:val="FF0000"/>
          <w:lang w:val="en-GB"/>
        </w:rPr>
      </w:pPr>
    </w:p>
    <w:p w14:paraId="7BF6F567" w14:textId="77777777" w:rsidR="005B08F1" w:rsidRDefault="005B08F1" w:rsidP="005236C0">
      <w:pPr>
        <w:jc w:val="both"/>
        <w:rPr>
          <w:lang w:val="en-GB"/>
        </w:rPr>
      </w:pPr>
    </w:p>
    <w:p w14:paraId="1100F486" w14:textId="16AC95EE" w:rsidR="00266390" w:rsidRDefault="00582B8A" w:rsidP="0029054C">
      <w:pPr>
        <w:rPr>
          <w:lang w:val="en-GB"/>
        </w:rPr>
      </w:pPr>
      <w:r>
        <w:rPr>
          <w:lang w:val="en-GB"/>
        </w:rPr>
        <w:t>Examining</w:t>
      </w:r>
      <w:r w:rsidR="0029054C">
        <w:rPr>
          <w:lang w:val="en-GB"/>
        </w:rPr>
        <w:t xml:space="preserve"> power within and between institutions through questionnaire studies implies asking respondents about what institutions that are deemed important when decisions are made. </w:t>
      </w:r>
      <w:r w:rsidR="00112B98">
        <w:rPr>
          <w:lang w:val="en-GB"/>
        </w:rPr>
        <w:t xml:space="preserve">Table 10 illustrates the perceived importance of </w:t>
      </w:r>
      <w:r w:rsidR="0029054C">
        <w:rPr>
          <w:lang w:val="en-GB"/>
        </w:rPr>
        <w:t xml:space="preserve">both </w:t>
      </w:r>
      <w:r w:rsidR="00112B98">
        <w:rPr>
          <w:lang w:val="en-GB"/>
        </w:rPr>
        <w:t>primary and secondary structures</w:t>
      </w:r>
      <w:r w:rsidR="0029054C">
        <w:rPr>
          <w:lang w:val="en-GB"/>
        </w:rPr>
        <w:t xml:space="preserve"> (P6). Two main</w:t>
      </w:r>
      <w:r w:rsidR="00112B98">
        <w:rPr>
          <w:lang w:val="en-GB"/>
        </w:rPr>
        <w:t xml:space="preserve"> </w:t>
      </w:r>
      <w:r w:rsidR="0029054C">
        <w:rPr>
          <w:lang w:val="en-GB"/>
        </w:rPr>
        <w:t xml:space="preserve">findings are displayed: First, primary structures are, as proposed, significantly more important than secondary structures. Secondly, this pattern is robust over time. </w:t>
      </w:r>
      <w:r w:rsidR="005B08F1">
        <w:rPr>
          <w:lang w:val="en-GB"/>
        </w:rPr>
        <w:t xml:space="preserve">The most noteworthy </w:t>
      </w:r>
      <w:r w:rsidR="0029054C">
        <w:rPr>
          <w:lang w:val="en-GB"/>
        </w:rPr>
        <w:t>change</w:t>
      </w:r>
      <w:r w:rsidR="005B08F1">
        <w:rPr>
          <w:lang w:val="en-GB"/>
        </w:rPr>
        <w:t xml:space="preserve"> is the increase</w:t>
      </w:r>
      <w:r w:rsidR="0029054C">
        <w:rPr>
          <w:lang w:val="en-GB"/>
        </w:rPr>
        <w:t>d</w:t>
      </w:r>
      <w:r w:rsidR="005B08F1">
        <w:rPr>
          <w:lang w:val="en-GB"/>
        </w:rPr>
        <w:t xml:space="preserve"> importance ascribed to </w:t>
      </w:r>
      <w:r w:rsidR="0029054C">
        <w:rPr>
          <w:lang w:val="en-GB"/>
        </w:rPr>
        <w:t xml:space="preserve">national </w:t>
      </w:r>
      <w:r w:rsidR="005B08F1">
        <w:rPr>
          <w:lang w:val="en-GB"/>
        </w:rPr>
        <w:t>agencies from 1996 to 2016. This</w:t>
      </w:r>
      <w:r w:rsidR="0029054C">
        <w:rPr>
          <w:lang w:val="en-GB"/>
        </w:rPr>
        <w:t xml:space="preserve"> finding most likely reflect the ‘agencification’ wave in Norway, as in most OECD countries, during the same time period (e.g. Verhoest et al. 2011</w:t>
      </w:r>
      <w:r w:rsidR="00862FCA">
        <w:rPr>
          <w:lang w:val="en-GB"/>
        </w:rPr>
        <w:t xml:space="preserve">). Whilst </w:t>
      </w:r>
      <w:r w:rsidR="00B85753">
        <w:rPr>
          <w:lang w:val="en-GB"/>
        </w:rPr>
        <w:t>T</w:t>
      </w:r>
      <w:r w:rsidR="00862FCA">
        <w:rPr>
          <w:lang w:val="en-GB"/>
        </w:rPr>
        <w:t xml:space="preserve">able 4 revealed a decrease in sector ministries’ contact to EU agencies, </w:t>
      </w:r>
      <w:r w:rsidR="00B85753">
        <w:rPr>
          <w:lang w:val="en-GB"/>
        </w:rPr>
        <w:t>T</w:t>
      </w:r>
      <w:r w:rsidR="00862FCA">
        <w:rPr>
          <w:lang w:val="en-GB"/>
        </w:rPr>
        <w:t>able 10 shows a corresponding decrease in perceived importance of such. This may also have been caused by the increased importance of national agencies as access-points to EU-agencies. Studies have demonstrated increased tendencies of EU a</w:t>
      </w:r>
      <w:r w:rsidR="00C23445">
        <w:rPr>
          <w:lang w:val="en-GB"/>
        </w:rPr>
        <w:t>gencies to b</w:t>
      </w:r>
      <w:r w:rsidR="00862FCA">
        <w:rPr>
          <w:lang w:val="en-GB"/>
        </w:rPr>
        <w:t>ypass the ministerial level and cooperate directly with the national agencies (e.g. Egeberg and Trondal 2009</w:t>
      </w:r>
      <w:r w:rsidR="00434F6B">
        <w:rPr>
          <w:lang w:val="en-GB"/>
        </w:rPr>
        <w:t>a</w:t>
      </w:r>
      <w:r w:rsidR="00862FCA">
        <w:rPr>
          <w:lang w:val="en-GB"/>
        </w:rPr>
        <w:t xml:space="preserve">). This may have taken some EU-workload off the </w:t>
      </w:r>
      <w:r w:rsidR="00B85753">
        <w:rPr>
          <w:lang w:val="en-GB"/>
        </w:rPr>
        <w:t>ministerial level</w:t>
      </w:r>
      <w:r w:rsidR="00862FCA">
        <w:rPr>
          <w:lang w:val="en-GB"/>
        </w:rPr>
        <w:t xml:space="preserve">.  </w:t>
      </w:r>
    </w:p>
    <w:p w14:paraId="6CB16EDA" w14:textId="77777777" w:rsidR="00266390" w:rsidRPr="0075770C" w:rsidRDefault="00266390" w:rsidP="005236C0">
      <w:pPr>
        <w:jc w:val="both"/>
        <w:rPr>
          <w:lang w:val="en-GB"/>
        </w:rPr>
      </w:pPr>
    </w:p>
    <w:p w14:paraId="70FACAFA" w14:textId="16E303E3" w:rsidR="00E85DEC" w:rsidRPr="0029054C" w:rsidRDefault="00057D6A" w:rsidP="00E85DEC">
      <w:pPr>
        <w:jc w:val="both"/>
        <w:rPr>
          <w:b/>
          <w:lang w:val="en-GB"/>
        </w:rPr>
      </w:pPr>
      <w:r>
        <w:rPr>
          <w:b/>
          <w:lang w:val="en-GB"/>
        </w:rPr>
        <w:t>Table 10</w:t>
      </w:r>
      <w:r w:rsidR="00E85DEC" w:rsidRPr="0075770C">
        <w:rPr>
          <w:b/>
          <w:lang w:val="en-GB"/>
        </w:rPr>
        <w:t xml:space="preserve"> Percentage of </w:t>
      </w:r>
      <w:r w:rsidR="00BF69C6" w:rsidRPr="0075770C">
        <w:rPr>
          <w:b/>
          <w:lang w:val="en-GB"/>
        </w:rPr>
        <w:t>officials that</w:t>
      </w:r>
      <w:r w:rsidR="00E85DEC" w:rsidRPr="0075770C">
        <w:rPr>
          <w:b/>
          <w:lang w:val="en-GB"/>
        </w:rPr>
        <w:t xml:space="preserve"> report that the following institutions are </w:t>
      </w:r>
      <w:r w:rsidR="00E85DEC" w:rsidRPr="00B85753">
        <w:rPr>
          <w:b/>
          <w:i/>
          <w:u w:val="single"/>
          <w:lang w:val="en-GB"/>
        </w:rPr>
        <w:t>important</w:t>
      </w:r>
      <w:r w:rsidR="00E85DEC" w:rsidRPr="0075770C">
        <w:rPr>
          <w:b/>
          <w:lang w:val="en-GB"/>
        </w:rPr>
        <w:t>*</w:t>
      </w:r>
      <w:r w:rsidR="00E85DEC" w:rsidRPr="0075770C">
        <w:rPr>
          <w:b/>
          <w:i/>
          <w:lang w:val="en-GB"/>
        </w:rPr>
        <w:t xml:space="preserve"> </w:t>
      </w:r>
      <w:r w:rsidR="00E85DEC" w:rsidRPr="0075770C">
        <w:rPr>
          <w:b/>
          <w:lang w:val="en-GB"/>
        </w:rPr>
        <w:t>when making decisions on their own polic</w:t>
      </w:r>
      <w:r>
        <w:rPr>
          <w:b/>
          <w:lang w:val="en-GB"/>
        </w:rPr>
        <w:t xml:space="preserve">y area, </w:t>
      </w:r>
      <w:r w:rsidR="0029054C">
        <w:rPr>
          <w:b/>
          <w:lang w:val="en-GB"/>
        </w:rPr>
        <w:t>by year.</w:t>
      </w:r>
    </w:p>
    <w:tbl>
      <w:tblPr>
        <w:tblStyle w:val="Tabellrutenett"/>
        <w:tblW w:w="9781" w:type="dxa"/>
        <w:tblInd w:w="108" w:type="dxa"/>
        <w:tblLayout w:type="fixed"/>
        <w:tblLook w:val="04A0" w:firstRow="1" w:lastRow="0" w:firstColumn="1" w:lastColumn="0" w:noHBand="0" w:noVBand="1"/>
      </w:tblPr>
      <w:tblGrid>
        <w:gridCol w:w="2802"/>
        <w:gridCol w:w="2802"/>
        <w:gridCol w:w="1342"/>
        <w:gridCol w:w="1559"/>
        <w:gridCol w:w="1276"/>
      </w:tblGrid>
      <w:tr w:rsidR="00E85DEC" w:rsidRPr="0075770C" w14:paraId="5E6C25F0" w14:textId="77777777" w:rsidTr="00E85DEC">
        <w:trPr>
          <w:trHeight w:val="266"/>
        </w:trPr>
        <w:tc>
          <w:tcPr>
            <w:tcW w:w="2802" w:type="dxa"/>
          </w:tcPr>
          <w:p w14:paraId="6049BB80" w14:textId="77777777" w:rsidR="00E85DEC" w:rsidRPr="0075770C" w:rsidRDefault="00E85DEC" w:rsidP="00E85DEC">
            <w:pPr>
              <w:jc w:val="both"/>
              <w:rPr>
                <w:lang w:val="en-GB"/>
              </w:rPr>
            </w:pPr>
          </w:p>
        </w:tc>
        <w:tc>
          <w:tcPr>
            <w:tcW w:w="2802" w:type="dxa"/>
          </w:tcPr>
          <w:p w14:paraId="07AAFFE2" w14:textId="77777777" w:rsidR="00E85DEC" w:rsidRPr="0075770C" w:rsidRDefault="00E85DEC" w:rsidP="00E85DEC">
            <w:pPr>
              <w:jc w:val="both"/>
              <w:rPr>
                <w:lang w:val="en-GB"/>
              </w:rPr>
            </w:pPr>
          </w:p>
        </w:tc>
        <w:tc>
          <w:tcPr>
            <w:tcW w:w="1342" w:type="dxa"/>
          </w:tcPr>
          <w:p w14:paraId="46274789" w14:textId="77777777" w:rsidR="00E85DEC" w:rsidRPr="0075770C" w:rsidRDefault="00E85DEC" w:rsidP="0029054C">
            <w:pPr>
              <w:jc w:val="center"/>
              <w:rPr>
                <w:b/>
                <w:lang w:val="en-GB"/>
              </w:rPr>
            </w:pPr>
            <w:r w:rsidRPr="0075770C">
              <w:rPr>
                <w:b/>
                <w:lang w:val="en-GB"/>
              </w:rPr>
              <w:t>1996</w:t>
            </w:r>
          </w:p>
        </w:tc>
        <w:tc>
          <w:tcPr>
            <w:tcW w:w="1559" w:type="dxa"/>
          </w:tcPr>
          <w:p w14:paraId="6BF022B7" w14:textId="77777777" w:rsidR="00E85DEC" w:rsidRPr="0075770C" w:rsidRDefault="00E85DEC" w:rsidP="0029054C">
            <w:pPr>
              <w:jc w:val="center"/>
              <w:rPr>
                <w:b/>
                <w:lang w:val="en-GB"/>
              </w:rPr>
            </w:pPr>
            <w:r w:rsidRPr="0075770C">
              <w:rPr>
                <w:b/>
                <w:lang w:val="en-GB"/>
              </w:rPr>
              <w:t>2006</w:t>
            </w:r>
          </w:p>
        </w:tc>
        <w:tc>
          <w:tcPr>
            <w:tcW w:w="1276" w:type="dxa"/>
          </w:tcPr>
          <w:p w14:paraId="7670BF69" w14:textId="77777777" w:rsidR="00E85DEC" w:rsidRPr="0075770C" w:rsidRDefault="00E85DEC" w:rsidP="0029054C">
            <w:pPr>
              <w:jc w:val="center"/>
              <w:rPr>
                <w:b/>
                <w:lang w:val="en-GB"/>
              </w:rPr>
            </w:pPr>
            <w:r w:rsidRPr="0075770C">
              <w:rPr>
                <w:b/>
                <w:lang w:val="en-GB"/>
              </w:rPr>
              <w:t>2016</w:t>
            </w:r>
          </w:p>
        </w:tc>
      </w:tr>
      <w:tr w:rsidR="00E85DEC" w:rsidRPr="0075770C" w14:paraId="1EEA3E00" w14:textId="77777777" w:rsidTr="00E85DEC">
        <w:trPr>
          <w:trHeight w:val="2112"/>
        </w:trPr>
        <w:tc>
          <w:tcPr>
            <w:tcW w:w="2802" w:type="dxa"/>
          </w:tcPr>
          <w:p w14:paraId="75F85FB2" w14:textId="77777777" w:rsidR="00E85DEC" w:rsidRPr="0075770C" w:rsidRDefault="00E85DEC" w:rsidP="00E85DEC">
            <w:pPr>
              <w:rPr>
                <w:lang w:val="en-GB"/>
              </w:rPr>
            </w:pPr>
          </w:p>
          <w:p w14:paraId="547C2500" w14:textId="77777777" w:rsidR="00E85DEC" w:rsidRPr="0075770C" w:rsidRDefault="00E85DEC" w:rsidP="00E85DEC">
            <w:pPr>
              <w:rPr>
                <w:lang w:val="en-GB"/>
              </w:rPr>
            </w:pPr>
          </w:p>
          <w:p w14:paraId="39A45C39" w14:textId="77777777" w:rsidR="00E85DEC" w:rsidRPr="0075770C" w:rsidRDefault="00E85DEC" w:rsidP="00E85DEC">
            <w:pPr>
              <w:rPr>
                <w:lang w:val="en-GB"/>
              </w:rPr>
            </w:pPr>
          </w:p>
          <w:p w14:paraId="7172CDC5" w14:textId="77777777" w:rsidR="00E85DEC" w:rsidRPr="00AB7BE3" w:rsidRDefault="00E85DEC" w:rsidP="00E85DEC">
            <w:pPr>
              <w:rPr>
                <w:i/>
                <w:lang w:val="en-GB"/>
              </w:rPr>
            </w:pPr>
            <w:r w:rsidRPr="00AB7BE3">
              <w:rPr>
                <w:i/>
                <w:lang w:val="en-GB"/>
              </w:rPr>
              <w:t>Primary structures</w:t>
            </w:r>
          </w:p>
          <w:p w14:paraId="5C4D0151" w14:textId="77777777" w:rsidR="00E85DEC" w:rsidRPr="0075770C" w:rsidRDefault="00E85DEC" w:rsidP="00E85DEC">
            <w:pPr>
              <w:rPr>
                <w:lang w:val="en-GB"/>
              </w:rPr>
            </w:pPr>
          </w:p>
          <w:p w14:paraId="113858EB" w14:textId="77777777" w:rsidR="00E85DEC" w:rsidRPr="0075770C" w:rsidRDefault="00E85DEC" w:rsidP="00E85DEC">
            <w:pPr>
              <w:rPr>
                <w:lang w:val="en-GB"/>
              </w:rPr>
            </w:pPr>
          </w:p>
          <w:p w14:paraId="39B7F6B4" w14:textId="77777777" w:rsidR="00E85DEC" w:rsidRPr="0075770C" w:rsidRDefault="00E85DEC" w:rsidP="00E85DEC">
            <w:pPr>
              <w:rPr>
                <w:lang w:val="en-GB"/>
              </w:rPr>
            </w:pPr>
          </w:p>
          <w:p w14:paraId="61802E3B" w14:textId="77777777" w:rsidR="00E85DEC" w:rsidRPr="0075770C" w:rsidRDefault="00E85DEC" w:rsidP="00E85DEC">
            <w:pPr>
              <w:rPr>
                <w:lang w:val="en-GB"/>
              </w:rPr>
            </w:pPr>
          </w:p>
          <w:p w14:paraId="0D7A7B48" w14:textId="77777777" w:rsidR="00E85DEC" w:rsidRPr="0075770C" w:rsidRDefault="00E85DEC" w:rsidP="00E85DEC">
            <w:pPr>
              <w:rPr>
                <w:lang w:val="en-GB"/>
              </w:rPr>
            </w:pPr>
          </w:p>
        </w:tc>
        <w:tc>
          <w:tcPr>
            <w:tcW w:w="2802" w:type="dxa"/>
          </w:tcPr>
          <w:p w14:paraId="2ED83793" w14:textId="77777777" w:rsidR="00E85DEC" w:rsidRPr="0075770C" w:rsidRDefault="00E85DEC" w:rsidP="00E85DEC">
            <w:pPr>
              <w:rPr>
                <w:lang w:val="en-GB"/>
              </w:rPr>
            </w:pPr>
            <w:r w:rsidRPr="0075770C">
              <w:rPr>
                <w:lang w:val="en-GB"/>
              </w:rPr>
              <w:t>Own ministry</w:t>
            </w:r>
          </w:p>
          <w:p w14:paraId="37D8C1A5" w14:textId="77777777" w:rsidR="00E85DEC" w:rsidRPr="0075770C" w:rsidRDefault="00E85DEC" w:rsidP="00E85DEC">
            <w:pPr>
              <w:rPr>
                <w:lang w:val="en-GB"/>
              </w:rPr>
            </w:pPr>
          </w:p>
          <w:p w14:paraId="1189961C" w14:textId="77777777" w:rsidR="00E85DEC" w:rsidRPr="0075770C" w:rsidRDefault="00E85DEC" w:rsidP="00E85DEC">
            <w:pPr>
              <w:rPr>
                <w:lang w:val="en-GB"/>
              </w:rPr>
            </w:pPr>
            <w:r w:rsidRPr="0075770C">
              <w:rPr>
                <w:lang w:val="en-GB"/>
              </w:rPr>
              <w:t>Subordinated agencies</w:t>
            </w:r>
          </w:p>
          <w:p w14:paraId="6650685E" w14:textId="77777777" w:rsidR="00E85DEC" w:rsidRPr="0075770C" w:rsidRDefault="00E85DEC" w:rsidP="00E85DEC">
            <w:pPr>
              <w:rPr>
                <w:lang w:val="en-GB"/>
              </w:rPr>
            </w:pPr>
          </w:p>
          <w:p w14:paraId="35C0C0D4" w14:textId="77777777" w:rsidR="00E85DEC" w:rsidRPr="0075770C" w:rsidRDefault="00E85DEC" w:rsidP="00E85DEC">
            <w:pPr>
              <w:rPr>
                <w:lang w:val="en-GB"/>
              </w:rPr>
            </w:pPr>
            <w:r w:rsidRPr="0075770C">
              <w:rPr>
                <w:lang w:val="en-GB"/>
              </w:rPr>
              <w:t>Other ministries</w:t>
            </w:r>
          </w:p>
          <w:p w14:paraId="3EB26752" w14:textId="77777777" w:rsidR="00E85DEC" w:rsidRPr="0075770C" w:rsidRDefault="00E85DEC" w:rsidP="00E85DEC">
            <w:pPr>
              <w:rPr>
                <w:lang w:val="en-GB"/>
              </w:rPr>
            </w:pPr>
          </w:p>
          <w:p w14:paraId="5D329A9D" w14:textId="77777777" w:rsidR="00E85DEC" w:rsidRPr="0075770C" w:rsidRDefault="00E85DEC" w:rsidP="00E85DEC">
            <w:pPr>
              <w:rPr>
                <w:lang w:val="en-GB"/>
              </w:rPr>
            </w:pPr>
            <w:r w:rsidRPr="0075770C">
              <w:rPr>
                <w:lang w:val="en-GB"/>
              </w:rPr>
              <w:t>National Parliament</w:t>
            </w:r>
          </w:p>
          <w:p w14:paraId="79627377" w14:textId="77777777" w:rsidR="00E85DEC" w:rsidRPr="0075770C" w:rsidRDefault="00E85DEC" w:rsidP="00E85DEC">
            <w:pPr>
              <w:rPr>
                <w:lang w:val="en-GB"/>
              </w:rPr>
            </w:pPr>
          </w:p>
          <w:p w14:paraId="50F494CA" w14:textId="77777777" w:rsidR="00E85DEC" w:rsidRPr="0075770C" w:rsidRDefault="00E85DEC" w:rsidP="00E85DEC">
            <w:pPr>
              <w:rPr>
                <w:lang w:val="en-GB"/>
              </w:rPr>
            </w:pPr>
            <w:r w:rsidRPr="0075770C">
              <w:rPr>
                <w:lang w:val="en-GB"/>
              </w:rPr>
              <w:t>National government</w:t>
            </w:r>
          </w:p>
        </w:tc>
        <w:tc>
          <w:tcPr>
            <w:tcW w:w="1342" w:type="dxa"/>
          </w:tcPr>
          <w:p w14:paraId="51FCED43" w14:textId="77777777" w:rsidR="00E85DEC" w:rsidRPr="0075770C" w:rsidRDefault="00E85DEC" w:rsidP="0029054C">
            <w:pPr>
              <w:jc w:val="center"/>
              <w:rPr>
                <w:lang w:val="en-GB"/>
              </w:rPr>
            </w:pPr>
            <w:r w:rsidRPr="0075770C">
              <w:rPr>
                <w:lang w:val="en-GB"/>
              </w:rPr>
              <w:t>95</w:t>
            </w:r>
          </w:p>
          <w:p w14:paraId="6F27020C" w14:textId="77777777" w:rsidR="00E85DEC" w:rsidRPr="0075770C" w:rsidRDefault="00E85DEC" w:rsidP="0029054C">
            <w:pPr>
              <w:jc w:val="center"/>
              <w:rPr>
                <w:lang w:val="en-GB"/>
              </w:rPr>
            </w:pPr>
          </w:p>
          <w:p w14:paraId="468676FA" w14:textId="77777777" w:rsidR="00E85DEC" w:rsidRPr="0075770C" w:rsidRDefault="00E85DEC" w:rsidP="0029054C">
            <w:pPr>
              <w:jc w:val="center"/>
              <w:rPr>
                <w:lang w:val="en-GB"/>
              </w:rPr>
            </w:pPr>
            <w:r w:rsidRPr="0075770C">
              <w:rPr>
                <w:lang w:val="en-GB"/>
              </w:rPr>
              <w:t>53</w:t>
            </w:r>
          </w:p>
          <w:p w14:paraId="2F8F2EF6" w14:textId="77777777" w:rsidR="00E85DEC" w:rsidRPr="0075770C" w:rsidRDefault="00E85DEC" w:rsidP="0029054C">
            <w:pPr>
              <w:jc w:val="center"/>
              <w:rPr>
                <w:lang w:val="en-GB"/>
              </w:rPr>
            </w:pPr>
          </w:p>
          <w:p w14:paraId="23095A8D" w14:textId="77777777" w:rsidR="00E85DEC" w:rsidRPr="0075770C" w:rsidRDefault="00E85DEC" w:rsidP="0029054C">
            <w:pPr>
              <w:jc w:val="center"/>
              <w:rPr>
                <w:lang w:val="en-GB"/>
              </w:rPr>
            </w:pPr>
            <w:r w:rsidRPr="0075770C">
              <w:rPr>
                <w:lang w:val="en-GB"/>
              </w:rPr>
              <w:t>64</w:t>
            </w:r>
          </w:p>
          <w:p w14:paraId="38E39C21" w14:textId="77777777" w:rsidR="00E85DEC" w:rsidRPr="0075770C" w:rsidRDefault="00E85DEC" w:rsidP="0029054C">
            <w:pPr>
              <w:jc w:val="center"/>
              <w:rPr>
                <w:lang w:val="en-GB"/>
              </w:rPr>
            </w:pPr>
          </w:p>
          <w:p w14:paraId="0EE96DB7" w14:textId="77777777" w:rsidR="00E85DEC" w:rsidRPr="0075770C" w:rsidRDefault="00E85DEC" w:rsidP="0029054C">
            <w:pPr>
              <w:jc w:val="center"/>
              <w:rPr>
                <w:lang w:val="en-GB"/>
              </w:rPr>
            </w:pPr>
            <w:r w:rsidRPr="0075770C">
              <w:rPr>
                <w:lang w:val="en-GB"/>
              </w:rPr>
              <w:t>78</w:t>
            </w:r>
          </w:p>
          <w:p w14:paraId="2C22C326" w14:textId="77777777" w:rsidR="00E85DEC" w:rsidRPr="0075770C" w:rsidRDefault="00E85DEC" w:rsidP="0029054C">
            <w:pPr>
              <w:jc w:val="center"/>
              <w:rPr>
                <w:lang w:val="en-GB"/>
              </w:rPr>
            </w:pPr>
          </w:p>
          <w:p w14:paraId="4CA54F16" w14:textId="77777777" w:rsidR="00E85DEC" w:rsidRPr="0075770C" w:rsidRDefault="00E85DEC" w:rsidP="0029054C">
            <w:pPr>
              <w:jc w:val="center"/>
              <w:rPr>
                <w:lang w:val="en-GB"/>
              </w:rPr>
            </w:pPr>
            <w:r w:rsidRPr="0075770C">
              <w:rPr>
                <w:lang w:val="en-GB"/>
              </w:rPr>
              <w:t>86</w:t>
            </w:r>
          </w:p>
        </w:tc>
        <w:tc>
          <w:tcPr>
            <w:tcW w:w="1559" w:type="dxa"/>
          </w:tcPr>
          <w:p w14:paraId="7CD7E75D" w14:textId="77777777" w:rsidR="00E85DEC" w:rsidRPr="0075770C" w:rsidRDefault="00E85DEC" w:rsidP="0029054C">
            <w:pPr>
              <w:jc w:val="center"/>
              <w:rPr>
                <w:lang w:val="en-GB"/>
              </w:rPr>
            </w:pPr>
            <w:r w:rsidRPr="0075770C">
              <w:rPr>
                <w:lang w:val="en-GB"/>
              </w:rPr>
              <w:t>96</w:t>
            </w:r>
          </w:p>
          <w:p w14:paraId="01D3DBF7" w14:textId="77777777" w:rsidR="00E85DEC" w:rsidRPr="0075770C" w:rsidRDefault="00E85DEC" w:rsidP="0029054C">
            <w:pPr>
              <w:jc w:val="center"/>
              <w:rPr>
                <w:lang w:val="en-GB"/>
              </w:rPr>
            </w:pPr>
          </w:p>
          <w:p w14:paraId="37AA4BE7" w14:textId="77777777" w:rsidR="00E85DEC" w:rsidRPr="0075770C" w:rsidRDefault="00E85DEC" w:rsidP="0029054C">
            <w:pPr>
              <w:jc w:val="center"/>
              <w:rPr>
                <w:lang w:val="en-GB"/>
              </w:rPr>
            </w:pPr>
            <w:r w:rsidRPr="0075770C">
              <w:rPr>
                <w:lang w:val="en-GB"/>
              </w:rPr>
              <w:t>65</w:t>
            </w:r>
          </w:p>
          <w:p w14:paraId="1B2EA71A" w14:textId="77777777" w:rsidR="00E85DEC" w:rsidRPr="0075770C" w:rsidRDefault="00E85DEC" w:rsidP="0029054C">
            <w:pPr>
              <w:jc w:val="center"/>
              <w:rPr>
                <w:lang w:val="en-GB"/>
              </w:rPr>
            </w:pPr>
          </w:p>
          <w:p w14:paraId="67CD542E" w14:textId="77777777" w:rsidR="00E85DEC" w:rsidRPr="0075770C" w:rsidRDefault="00E85DEC" w:rsidP="0029054C">
            <w:pPr>
              <w:jc w:val="center"/>
              <w:rPr>
                <w:lang w:val="en-GB"/>
              </w:rPr>
            </w:pPr>
            <w:r w:rsidRPr="0075770C">
              <w:rPr>
                <w:lang w:val="en-GB"/>
              </w:rPr>
              <w:t>64</w:t>
            </w:r>
          </w:p>
          <w:p w14:paraId="4B234A58" w14:textId="77777777" w:rsidR="00E85DEC" w:rsidRPr="0075770C" w:rsidRDefault="00E85DEC" w:rsidP="0029054C">
            <w:pPr>
              <w:jc w:val="center"/>
              <w:rPr>
                <w:lang w:val="en-GB"/>
              </w:rPr>
            </w:pPr>
          </w:p>
          <w:p w14:paraId="23E7DF72" w14:textId="77777777" w:rsidR="00E85DEC" w:rsidRPr="0075770C" w:rsidRDefault="00E85DEC" w:rsidP="0029054C">
            <w:pPr>
              <w:jc w:val="center"/>
              <w:rPr>
                <w:lang w:val="en-GB"/>
              </w:rPr>
            </w:pPr>
            <w:r w:rsidRPr="0075770C">
              <w:rPr>
                <w:lang w:val="en-GB"/>
              </w:rPr>
              <w:t>77</w:t>
            </w:r>
          </w:p>
          <w:p w14:paraId="1173EB37" w14:textId="77777777" w:rsidR="00E85DEC" w:rsidRPr="0075770C" w:rsidRDefault="00E85DEC" w:rsidP="0029054C">
            <w:pPr>
              <w:jc w:val="center"/>
              <w:rPr>
                <w:lang w:val="en-GB"/>
              </w:rPr>
            </w:pPr>
          </w:p>
          <w:p w14:paraId="27134572" w14:textId="77777777" w:rsidR="00E85DEC" w:rsidRPr="0075770C" w:rsidRDefault="00E85DEC" w:rsidP="0029054C">
            <w:pPr>
              <w:jc w:val="center"/>
              <w:rPr>
                <w:lang w:val="en-GB"/>
              </w:rPr>
            </w:pPr>
            <w:r w:rsidRPr="0075770C">
              <w:rPr>
                <w:lang w:val="en-GB"/>
              </w:rPr>
              <w:t>90</w:t>
            </w:r>
          </w:p>
        </w:tc>
        <w:tc>
          <w:tcPr>
            <w:tcW w:w="1276" w:type="dxa"/>
          </w:tcPr>
          <w:p w14:paraId="295BDD30" w14:textId="77777777" w:rsidR="00E85DEC" w:rsidRPr="0075770C" w:rsidRDefault="00E85DEC" w:rsidP="0029054C">
            <w:pPr>
              <w:jc w:val="center"/>
              <w:rPr>
                <w:lang w:val="en-GB"/>
              </w:rPr>
            </w:pPr>
            <w:r w:rsidRPr="0075770C">
              <w:rPr>
                <w:lang w:val="en-GB"/>
              </w:rPr>
              <w:t>98</w:t>
            </w:r>
          </w:p>
          <w:p w14:paraId="44414BCF" w14:textId="77777777" w:rsidR="00E85DEC" w:rsidRPr="0075770C" w:rsidRDefault="00E85DEC" w:rsidP="0029054C">
            <w:pPr>
              <w:jc w:val="center"/>
              <w:rPr>
                <w:lang w:val="en-GB"/>
              </w:rPr>
            </w:pPr>
          </w:p>
          <w:p w14:paraId="18062815" w14:textId="77777777" w:rsidR="00E85DEC" w:rsidRPr="0075770C" w:rsidRDefault="00E85DEC" w:rsidP="0029054C">
            <w:pPr>
              <w:jc w:val="center"/>
              <w:rPr>
                <w:lang w:val="en-GB"/>
              </w:rPr>
            </w:pPr>
            <w:r w:rsidRPr="0075770C">
              <w:rPr>
                <w:lang w:val="en-GB"/>
              </w:rPr>
              <w:t>69</w:t>
            </w:r>
          </w:p>
          <w:p w14:paraId="3F3C65FA" w14:textId="77777777" w:rsidR="00E85DEC" w:rsidRPr="0075770C" w:rsidRDefault="00E85DEC" w:rsidP="0029054C">
            <w:pPr>
              <w:jc w:val="center"/>
              <w:rPr>
                <w:lang w:val="en-GB"/>
              </w:rPr>
            </w:pPr>
          </w:p>
          <w:p w14:paraId="0B20F214" w14:textId="77777777" w:rsidR="00E85DEC" w:rsidRPr="0075770C" w:rsidRDefault="00E85DEC" w:rsidP="0029054C">
            <w:pPr>
              <w:jc w:val="center"/>
              <w:rPr>
                <w:lang w:val="en-GB"/>
              </w:rPr>
            </w:pPr>
            <w:r w:rsidRPr="0075770C">
              <w:rPr>
                <w:lang w:val="en-GB"/>
              </w:rPr>
              <w:t>72</w:t>
            </w:r>
          </w:p>
          <w:p w14:paraId="09F39CF8" w14:textId="77777777" w:rsidR="00E85DEC" w:rsidRPr="0075770C" w:rsidRDefault="00E85DEC" w:rsidP="0029054C">
            <w:pPr>
              <w:jc w:val="center"/>
              <w:rPr>
                <w:lang w:val="en-GB"/>
              </w:rPr>
            </w:pPr>
          </w:p>
          <w:p w14:paraId="61D9964E" w14:textId="77777777" w:rsidR="00E85DEC" w:rsidRPr="0075770C" w:rsidRDefault="00E85DEC" w:rsidP="0029054C">
            <w:pPr>
              <w:jc w:val="center"/>
              <w:rPr>
                <w:lang w:val="en-GB"/>
              </w:rPr>
            </w:pPr>
            <w:r w:rsidRPr="0075770C">
              <w:rPr>
                <w:lang w:val="en-GB"/>
              </w:rPr>
              <w:t>80</w:t>
            </w:r>
          </w:p>
          <w:p w14:paraId="736821B9" w14:textId="77777777" w:rsidR="00E85DEC" w:rsidRPr="0075770C" w:rsidRDefault="00E85DEC" w:rsidP="0029054C">
            <w:pPr>
              <w:jc w:val="center"/>
              <w:rPr>
                <w:lang w:val="en-GB"/>
              </w:rPr>
            </w:pPr>
          </w:p>
          <w:p w14:paraId="7CE2ABEA" w14:textId="77777777" w:rsidR="00E85DEC" w:rsidRPr="0075770C" w:rsidRDefault="00E85DEC" w:rsidP="0029054C">
            <w:pPr>
              <w:jc w:val="center"/>
              <w:rPr>
                <w:lang w:val="en-GB"/>
              </w:rPr>
            </w:pPr>
            <w:r w:rsidRPr="0075770C">
              <w:rPr>
                <w:lang w:val="en-GB"/>
              </w:rPr>
              <w:t>91</w:t>
            </w:r>
          </w:p>
        </w:tc>
      </w:tr>
      <w:tr w:rsidR="00E85DEC" w:rsidRPr="0075770C" w14:paraId="4CDDA283" w14:textId="77777777" w:rsidTr="00E85DEC">
        <w:trPr>
          <w:trHeight w:val="2112"/>
        </w:trPr>
        <w:tc>
          <w:tcPr>
            <w:tcW w:w="2802" w:type="dxa"/>
          </w:tcPr>
          <w:p w14:paraId="1B594192" w14:textId="77777777" w:rsidR="00E85DEC" w:rsidRPr="0075770C" w:rsidRDefault="00E85DEC" w:rsidP="00E85DEC">
            <w:pPr>
              <w:rPr>
                <w:lang w:val="en-GB"/>
              </w:rPr>
            </w:pPr>
          </w:p>
          <w:p w14:paraId="4A354106" w14:textId="77777777" w:rsidR="00E85DEC" w:rsidRPr="0075770C" w:rsidRDefault="00E85DEC" w:rsidP="00E85DEC">
            <w:pPr>
              <w:rPr>
                <w:lang w:val="en-GB"/>
              </w:rPr>
            </w:pPr>
          </w:p>
          <w:p w14:paraId="780C6BDA" w14:textId="77777777" w:rsidR="00E85DEC" w:rsidRPr="0075770C" w:rsidRDefault="00E85DEC" w:rsidP="00E85DEC">
            <w:pPr>
              <w:rPr>
                <w:lang w:val="en-GB"/>
              </w:rPr>
            </w:pPr>
          </w:p>
          <w:p w14:paraId="0F9280E3" w14:textId="77777777" w:rsidR="00E85DEC" w:rsidRPr="00AB7BE3" w:rsidRDefault="00E85DEC" w:rsidP="00E85DEC">
            <w:pPr>
              <w:rPr>
                <w:i/>
                <w:lang w:val="en-GB"/>
              </w:rPr>
            </w:pPr>
            <w:r w:rsidRPr="00AB7BE3">
              <w:rPr>
                <w:i/>
                <w:lang w:val="en-GB"/>
              </w:rPr>
              <w:t>Secondary structures</w:t>
            </w:r>
          </w:p>
        </w:tc>
        <w:tc>
          <w:tcPr>
            <w:tcW w:w="2802" w:type="dxa"/>
          </w:tcPr>
          <w:p w14:paraId="02672D28" w14:textId="77777777" w:rsidR="00E85DEC" w:rsidRPr="0075770C" w:rsidRDefault="00E85DEC" w:rsidP="00E85DEC">
            <w:pPr>
              <w:rPr>
                <w:lang w:val="en-GB"/>
              </w:rPr>
            </w:pPr>
          </w:p>
          <w:p w14:paraId="4B3BFCD8" w14:textId="77777777" w:rsidR="00E85DEC" w:rsidRPr="0075770C" w:rsidRDefault="00E85DEC" w:rsidP="00E85DEC">
            <w:pPr>
              <w:rPr>
                <w:lang w:val="en-GB"/>
              </w:rPr>
            </w:pPr>
            <w:r w:rsidRPr="0075770C">
              <w:rPr>
                <w:lang w:val="en-GB"/>
              </w:rPr>
              <w:t>Commission</w:t>
            </w:r>
          </w:p>
          <w:p w14:paraId="575FD5D8" w14:textId="77777777" w:rsidR="00E85DEC" w:rsidRPr="0075770C" w:rsidRDefault="00E85DEC" w:rsidP="00E85DEC">
            <w:pPr>
              <w:rPr>
                <w:lang w:val="en-GB"/>
              </w:rPr>
            </w:pPr>
          </w:p>
          <w:p w14:paraId="129B951D" w14:textId="77777777" w:rsidR="00E85DEC" w:rsidRPr="0075770C" w:rsidRDefault="00E85DEC" w:rsidP="00E85DEC">
            <w:pPr>
              <w:rPr>
                <w:lang w:val="en-GB"/>
              </w:rPr>
            </w:pPr>
            <w:r w:rsidRPr="0075770C">
              <w:rPr>
                <w:lang w:val="en-GB"/>
              </w:rPr>
              <w:t>Council</w:t>
            </w:r>
          </w:p>
          <w:p w14:paraId="75B4449C" w14:textId="77777777" w:rsidR="00E85DEC" w:rsidRPr="0075770C" w:rsidRDefault="00E85DEC" w:rsidP="00E85DEC">
            <w:pPr>
              <w:rPr>
                <w:lang w:val="en-GB"/>
              </w:rPr>
            </w:pPr>
          </w:p>
          <w:p w14:paraId="1FB91507" w14:textId="77777777" w:rsidR="00E85DEC" w:rsidRPr="0075770C" w:rsidRDefault="00E85DEC" w:rsidP="00E85DEC">
            <w:pPr>
              <w:rPr>
                <w:lang w:val="en-GB"/>
              </w:rPr>
            </w:pPr>
            <w:r w:rsidRPr="0075770C">
              <w:rPr>
                <w:lang w:val="en-GB"/>
              </w:rPr>
              <w:t>European Parliament</w:t>
            </w:r>
          </w:p>
          <w:p w14:paraId="1A6866DE" w14:textId="77777777" w:rsidR="00E85DEC" w:rsidRPr="0075770C" w:rsidRDefault="00E85DEC" w:rsidP="00E85DEC">
            <w:pPr>
              <w:rPr>
                <w:lang w:val="en-GB"/>
              </w:rPr>
            </w:pPr>
          </w:p>
          <w:p w14:paraId="323F0467" w14:textId="77777777" w:rsidR="00E85DEC" w:rsidRPr="0075770C" w:rsidRDefault="00E85DEC" w:rsidP="00E85DEC">
            <w:pPr>
              <w:rPr>
                <w:lang w:val="en-GB"/>
              </w:rPr>
            </w:pPr>
            <w:r w:rsidRPr="0075770C">
              <w:rPr>
                <w:lang w:val="en-GB"/>
              </w:rPr>
              <w:t>EU agencies</w:t>
            </w:r>
          </w:p>
          <w:p w14:paraId="3698AE46" w14:textId="77777777" w:rsidR="00E85DEC" w:rsidRPr="0075770C" w:rsidRDefault="00E85DEC" w:rsidP="00E85DEC">
            <w:pPr>
              <w:rPr>
                <w:lang w:val="en-GB"/>
              </w:rPr>
            </w:pPr>
          </w:p>
        </w:tc>
        <w:tc>
          <w:tcPr>
            <w:tcW w:w="1342" w:type="dxa"/>
          </w:tcPr>
          <w:p w14:paraId="1A627884" w14:textId="77777777" w:rsidR="00E85DEC" w:rsidRPr="0075770C" w:rsidRDefault="00E85DEC" w:rsidP="0029054C">
            <w:pPr>
              <w:jc w:val="center"/>
              <w:rPr>
                <w:lang w:val="en-GB"/>
              </w:rPr>
            </w:pPr>
          </w:p>
          <w:p w14:paraId="4EB62590" w14:textId="77777777" w:rsidR="00E85DEC" w:rsidRPr="0075770C" w:rsidRDefault="00E85DEC" w:rsidP="0029054C">
            <w:pPr>
              <w:jc w:val="center"/>
              <w:rPr>
                <w:lang w:val="en-GB"/>
              </w:rPr>
            </w:pPr>
            <w:r w:rsidRPr="0075770C">
              <w:rPr>
                <w:lang w:val="en-GB"/>
              </w:rPr>
              <w:t>23</w:t>
            </w:r>
          </w:p>
          <w:p w14:paraId="3CCBD556" w14:textId="77777777" w:rsidR="00E85DEC" w:rsidRPr="0075770C" w:rsidRDefault="00E85DEC" w:rsidP="0029054C">
            <w:pPr>
              <w:jc w:val="center"/>
              <w:rPr>
                <w:lang w:val="en-GB"/>
              </w:rPr>
            </w:pPr>
          </w:p>
          <w:p w14:paraId="72C41DC7" w14:textId="77777777" w:rsidR="00E85DEC" w:rsidRPr="0075770C" w:rsidRDefault="00E85DEC" w:rsidP="0029054C">
            <w:pPr>
              <w:jc w:val="center"/>
              <w:rPr>
                <w:lang w:val="en-GB"/>
              </w:rPr>
            </w:pPr>
            <w:r w:rsidRPr="0075770C">
              <w:rPr>
                <w:lang w:val="en-GB"/>
              </w:rPr>
              <w:t>-</w:t>
            </w:r>
          </w:p>
          <w:p w14:paraId="68B75DD1" w14:textId="77777777" w:rsidR="00E85DEC" w:rsidRPr="0075770C" w:rsidRDefault="00E85DEC" w:rsidP="0029054C">
            <w:pPr>
              <w:jc w:val="center"/>
              <w:rPr>
                <w:lang w:val="en-GB"/>
              </w:rPr>
            </w:pPr>
          </w:p>
          <w:p w14:paraId="5D9704F3" w14:textId="77777777" w:rsidR="00E85DEC" w:rsidRPr="0075770C" w:rsidRDefault="00E85DEC" w:rsidP="0029054C">
            <w:pPr>
              <w:jc w:val="center"/>
              <w:rPr>
                <w:lang w:val="en-GB"/>
              </w:rPr>
            </w:pPr>
            <w:r w:rsidRPr="0075770C">
              <w:rPr>
                <w:lang w:val="en-GB"/>
              </w:rPr>
              <w:t>-</w:t>
            </w:r>
          </w:p>
          <w:p w14:paraId="05A5B8F2" w14:textId="77777777" w:rsidR="00E85DEC" w:rsidRPr="0075770C" w:rsidRDefault="00E85DEC" w:rsidP="0029054C">
            <w:pPr>
              <w:jc w:val="center"/>
              <w:rPr>
                <w:lang w:val="en-GB"/>
              </w:rPr>
            </w:pPr>
          </w:p>
          <w:p w14:paraId="41B4C726" w14:textId="77777777" w:rsidR="00E85DEC" w:rsidRPr="0075770C" w:rsidRDefault="00E85DEC" w:rsidP="0029054C">
            <w:pPr>
              <w:jc w:val="center"/>
              <w:rPr>
                <w:lang w:val="en-GB"/>
              </w:rPr>
            </w:pPr>
            <w:r w:rsidRPr="0075770C">
              <w:rPr>
                <w:lang w:val="en-GB"/>
              </w:rPr>
              <w:t>-</w:t>
            </w:r>
          </w:p>
        </w:tc>
        <w:tc>
          <w:tcPr>
            <w:tcW w:w="1559" w:type="dxa"/>
          </w:tcPr>
          <w:p w14:paraId="4F48CF3A" w14:textId="77777777" w:rsidR="00E85DEC" w:rsidRPr="0075770C" w:rsidRDefault="00E85DEC" w:rsidP="0029054C">
            <w:pPr>
              <w:jc w:val="center"/>
              <w:rPr>
                <w:lang w:val="en-GB"/>
              </w:rPr>
            </w:pPr>
          </w:p>
          <w:p w14:paraId="3742B66B" w14:textId="77777777" w:rsidR="00E85DEC" w:rsidRPr="0075770C" w:rsidRDefault="00E85DEC" w:rsidP="0029054C">
            <w:pPr>
              <w:jc w:val="center"/>
              <w:rPr>
                <w:lang w:val="en-GB"/>
              </w:rPr>
            </w:pPr>
            <w:r w:rsidRPr="0075770C">
              <w:rPr>
                <w:lang w:val="en-GB"/>
              </w:rPr>
              <w:t>29</w:t>
            </w:r>
          </w:p>
          <w:p w14:paraId="155CF240" w14:textId="77777777" w:rsidR="00E85DEC" w:rsidRPr="0075770C" w:rsidRDefault="00E85DEC" w:rsidP="0029054C">
            <w:pPr>
              <w:jc w:val="center"/>
              <w:rPr>
                <w:lang w:val="en-GB"/>
              </w:rPr>
            </w:pPr>
          </w:p>
          <w:p w14:paraId="29C650C0" w14:textId="77777777" w:rsidR="00E85DEC" w:rsidRPr="0075770C" w:rsidRDefault="00E85DEC" w:rsidP="0029054C">
            <w:pPr>
              <w:jc w:val="center"/>
              <w:rPr>
                <w:lang w:val="en-GB"/>
              </w:rPr>
            </w:pPr>
            <w:r w:rsidRPr="0075770C">
              <w:rPr>
                <w:lang w:val="en-GB"/>
              </w:rPr>
              <w:t>-</w:t>
            </w:r>
          </w:p>
          <w:p w14:paraId="3814A4E0" w14:textId="77777777" w:rsidR="00E85DEC" w:rsidRPr="0075770C" w:rsidRDefault="00E85DEC" w:rsidP="0029054C">
            <w:pPr>
              <w:jc w:val="center"/>
              <w:rPr>
                <w:lang w:val="en-GB"/>
              </w:rPr>
            </w:pPr>
          </w:p>
          <w:p w14:paraId="0B05F806" w14:textId="77777777" w:rsidR="00E85DEC" w:rsidRPr="0075770C" w:rsidRDefault="00E85DEC" w:rsidP="0029054C">
            <w:pPr>
              <w:jc w:val="center"/>
              <w:rPr>
                <w:lang w:val="en-GB"/>
              </w:rPr>
            </w:pPr>
            <w:r w:rsidRPr="0075770C">
              <w:rPr>
                <w:lang w:val="en-GB"/>
              </w:rPr>
              <w:t>-</w:t>
            </w:r>
          </w:p>
          <w:p w14:paraId="7F08BF10" w14:textId="77777777" w:rsidR="00E85DEC" w:rsidRPr="0075770C" w:rsidRDefault="00E85DEC" w:rsidP="0029054C">
            <w:pPr>
              <w:jc w:val="center"/>
              <w:rPr>
                <w:lang w:val="en-GB"/>
              </w:rPr>
            </w:pPr>
          </w:p>
          <w:p w14:paraId="0D96D48F" w14:textId="77777777" w:rsidR="00E85DEC" w:rsidRPr="0075770C" w:rsidRDefault="00E85DEC" w:rsidP="0029054C">
            <w:pPr>
              <w:jc w:val="center"/>
              <w:rPr>
                <w:lang w:val="en-GB"/>
              </w:rPr>
            </w:pPr>
            <w:r w:rsidRPr="0075770C">
              <w:rPr>
                <w:lang w:val="en-GB"/>
              </w:rPr>
              <w:t>11</w:t>
            </w:r>
          </w:p>
        </w:tc>
        <w:tc>
          <w:tcPr>
            <w:tcW w:w="1276" w:type="dxa"/>
          </w:tcPr>
          <w:p w14:paraId="6E651C48" w14:textId="77777777" w:rsidR="00E85DEC" w:rsidRPr="0075770C" w:rsidRDefault="00E85DEC" w:rsidP="0029054C">
            <w:pPr>
              <w:jc w:val="center"/>
              <w:rPr>
                <w:lang w:val="en-GB"/>
              </w:rPr>
            </w:pPr>
          </w:p>
          <w:p w14:paraId="37FAE80C" w14:textId="77777777" w:rsidR="00E85DEC" w:rsidRPr="0075770C" w:rsidRDefault="00E85DEC" w:rsidP="0029054C">
            <w:pPr>
              <w:jc w:val="center"/>
              <w:rPr>
                <w:lang w:val="en-GB"/>
              </w:rPr>
            </w:pPr>
            <w:r w:rsidRPr="0075770C">
              <w:rPr>
                <w:lang w:val="en-GB"/>
              </w:rPr>
              <w:t>22</w:t>
            </w:r>
          </w:p>
          <w:p w14:paraId="2FA4F1CC" w14:textId="77777777" w:rsidR="00E85DEC" w:rsidRPr="0075770C" w:rsidRDefault="00E85DEC" w:rsidP="0029054C">
            <w:pPr>
              <w:jc w:val="center"/>
              <w:rPr>
                <w:lang w:val="en-GB"/>
              </w:rPr>
            </w:pPr>
          </w:p>
          <w:p w14:paraId="65DCE5FD" w14:textId="77777777" w:rsidR="00E85DEC" w:rsidRPr="0075770C" w:rsidRDefault="00E85DEC" w:rsidP="0029054C">
            <w:pPr>
              <w:jc w:val="center"/>
              <w:rPr>
                <w:lang w:val="en-GB"/>
              </w:rPr>
            </w:pPr>
            <w:r w:rsidRPr="0075770C">
              <w:rPr>
                <w:lang w:val="en-GB"/>
              </w:rPr>
              <w:t>14</w:t>
            </w:r>
          </w:p>
          <w:p w14:paraId="667014AB" w14:textId="77777777" w:rsidR="00E85DEC" w:rsidRPr="0075770C" w:rsidRDefault="00E85DEC" w:rsidP="0029054C">
            <w:pPr>
              <w:jc w:val="center"/>
              <w:rPr>
                <w:lang w:val="en-GB"/>
              </w:rPr>
            </w:pPr>
          </w:p>
          <w:p w14:paraId="74D5C453" w14:textId="77777777" w:rsidR="00E85DEC" w:rsidRPr="0075770C" w:rsidRDefault="00E85DEC" w:rsidP="0029054C">
            <w:pPr>
              <w:jc w:val="center"/>
              <w:rPr>
                <w:lang w:val="en-GB"/>
              </w:rPr>
            </w:pPr>
            <w:r w:rsidRPr="0075770C">
              <w:rPr>
                <w:lang w:val="en-GB"/>
              </w:rPr>
              <w:t>12</w:t>
            </w:r>
          </w:p>
          <w:p w14:paraId="47D9AD0C" w14:textId="77777777" w:rsidR="00E85DEC" w:rsidRPr="0075770C" w:rsidRDefault="00E85DEC" w:rsidP="0029054C">
            <w:pPr>
              <w:jc w:val="center"/>
              <w:rPr>
                <w:lang w:val="en-GB"/>
              </w:rPr>
            </w:pPr>
          </w:p>
          <w:p w14:paraId="04D079CF" w14:textId="77777777" w:rsidR="00E85DEC" w:rsidRPr="0075770C" w:rsidRDefault="00E85DEC" w:rsidP="0029054C">
            <w:pPr>
              <w:jc w:val="center"/>
              <w:rPr>
                <w:lang w:val="en-GB"/>
              </w:rPr>
            </w:pPr>
            <w:r w:rsidRPr="0075770C">
              <w:rPr>
                <w:lang w:val="en-GB"/>
              </w:rPr>
              <w:t>9</w:t>
            </w:r>
          </w:p>
        </w:tc>
      </w:tr>
      <w:tr w:rsidR="00E85DEC" w:rsidRPr="0029054C" w14:paraId="3E62B734" w14:textId="77777777" w:rsidTr="00E85DEC">
        <w:trPr>
          <w:trHeight w:val="321"/>
        </w:trPr>
        <w:tc>
          <w:tcPr>
            <w:tcW w:w="2802" w:type="dxa"/>
          </w:tcPr>
          <w:p w14:paraId="6DB04AC9" w14:textId="0E8F0CE2" w:rsidR="00E85DEC" w:rsidRPr="0029054C" w:rsidRDefault="00E85DEC" w:rsidP="00E85DEC">
            <w:pPr>
              <w:jc w:val="both"/>
              <w:rPr>
                <w:lang w:val="en-GB"/>
              </w:rPr>
            </w:pPr>
            <w:r w:rsidRPr="0029054C">
              <w:rPr>
                <w:lang w:val="en-GB"/>
              </w:rPr>
              <w:t>Mean N</w:t>
            </w:r>
          </w:p>
        </w:tc>
        <w:tc>
          <w:tcPr>
            <w:tcW w:w="2802" w:type="dxa"/>
          </w:tcPr>
          <w:p w14:paraId="1F320100" w14:textId="77777777" w:rsidR="00E85DEC" w:rsidRPr="0029054C" w:rsidRDefault="00E85DEC" w:rsidP="00E85DEC">
            <w:pPr>
              <w:jc w:val="both"/>
              <w:rPr>
                <w:lang w:val="en-GB"/>
              </w:rPr>
            </w:pPr>
          </w:p>
        </w:tc>
        <w:tc>
          <w:tcPr>
            <w:tcW w:w="1342" w:type="dxa"/>
          </w:tcPr>
          <w:p w14:paraId="3D153387" w14:textId="6438FD0A" w:rsidR="0029054C" w:rsidRDefault="00E85DEC" w:rsidP="0029054C">
            <w:pPr>
              <w:jc w:val="center"/>
              <w:rPr>
                <w:lang w:val="en-GB"/>
              </w:rPr>
            </w:pPr>
            <w:r w:rsidRPr="0029054C">
              <w:rPr>
                <w:lang w:val="en-GB"/>
              </w:rPr>
              <w:t>100</w:t>
            </w:r>
          </w:p>
          <w:p w14:paraId="5C5D19C4" w14:textId="3FFBE1E0" w:rsidR="00E85DEC" w:rsidRPr="0029054C" w:rsidRDefault="00E85DEC" w:rsidP="0029054C">
            <w:pPr>
              <w:jc w:val="center"/>
              <w:rPr>
                <w:lang w:val="en-GB"/>
              </w:rPr>
            </w:pPr>
            <w:r w:rsidRPr="0029054C">
              <w:rPr>
                <w:lang w:val="en-GB"/>
              </w:rPr>
              <w:t>(1043)</w:t>
            </w:r>
          </w:p>
        </w:tc>
        <w:tc>
          <w:tcPr>
            <w:tcW w:w="1559" w:type="dxa"/>
          </w:tcPr>
          <w:p w14:paraId="0CAD36BE" w14:textId="79504744" w:rsidR="0029054C" w:rsidRDefault="00E85DEC" w:rsidP="0029054C">
            <w:pPr>
              <w:jc w:val="center"/>
              <w:rPr>
                <w:lang w:val="en-GB"/>
              </w:rPr>
            </w:pPr>
            <w:r w:rsidRPr="0029054C">
              <w:rPr>
                <w:lang w:val="en-GB"/>
              </w:rPr>
              <w:t>100</w:t>
            </w:r>
          </w:p>
          <w:p w14:paraId="7AB259F4" w14:textId="02BFA1C2" w:rsidR="00E85DEC" w:rsidRPr="0029054C" w:rsidRDefault="00E85DEC" w:rsidP="0029054C">
            <w:pPr>
              <w:jc w:val="center"/>
              <w:rPr>
                <w:lang w:val="en-GB"/>
              </w:rPr>
            </w:pPr>
            <w:r w:rsidRPr="0029054C">
              <w:rPr>
                <w:lang w:val="en-GB"/>
              </w:rPr>
              <w:t>(1007)</w:t>
            </w:r>
          </w:p>
        </w:tc>
        <w:tc>
          <w:tcPr>
            <w:tcW w:w="1276" w:type="dxa"/>
          </w:tcPr>
          <w:p w14:paraId="42086211" w14:textId="17CAE55B" w:rsidR="0029054C" w:rsidRDefault="00E85DEC" w:rsidP="0029054C">
            <w:pPr>
              <w:jc w:val="center"/>
              <w:rPr>
                <w:lang w:val="en-GB"/>
              </w:rPr>
            </w:pPr>
            <w:r w:rsidRPr="0029054C">
              <w:rPr>
                <w:lang w:val="en-GB"/>
              </w:rPr>
              <w:t>100</w:t>
            </w:r>
          </w:p>
          <w:p w14:paraId="2731D91B" w14:textId="6458E9A6" w:rsidR="00E85DEC" w:rsidRPr="0029054C" w:rsidRDefault="00E85DEC" w:rsidP="0029054C">
            <w:pPr>
              <w:jc w:val="center"/>
              <w:rPr>
                <w:lang w:val="en-GB"/>
              </w:rPr>
            </w:pPr>
            <w:r w:rsidRPr="0029054C">
              <w:rPr>
                <w:lang w:val="en-GB"/>
              </w:rPr>
              <w:t>(1340)</w:t>
            </w:r>
          </w:p>
        </w:tc>
      </w:tr>
    </w:tbl>
    <w:p w14:paraId="6C1B09EC" w14:textId="25F417D2" w:rsidR="00E85DEC" w:rsidRPr="0075770C" w:rsidRDefault="00E85DEC" w:rsidP="00E85DEC">
      <w:pPr>
        <w:jc w:val="both"/>
        <w:rPr>
          <w:i/>
          <w:sz w:val="16"/>
          <w:szCs w:val="16"/>
          <w:lang w:val="en-GB"/>
        </w:rPr>
      </w:pPr>
      <w:r w:rsidRPr="0075770C">
        <w:rPr>
          <w:i/>
          <w:sz w:val="16"/>
          <w:szCs w:val="16"/>
          <w:lang w:val="en-GB"/>
        </w:rPr>
        <w:t xml:space="preserve">*This table combines values 1 and 2 on a five-point scale: (1) very important, (2) fairly important, (3) somewhat, (4) fairly unimportant, (5) very </w:t>
      </w:r>
      <w:r w:rsidR="00815275" w:rsidRPr="0075770C">
        <w:rPr>
          <w:i/>
          <w:sz w:val="16"/>
          <w:szCs w:val="16"/>
          <w:lang w:val="en-GB"/>
        </w:rPr>
        <w:t>unimportant</w:t>
      </w:r>
      <w:r w:rsidRPr="0075770C">
        <w:rPr>
          <w:i/>
          <w:sz w:val="16"/>
          <w:szCs w:val="16"/>
          <w:lang w:val="en-GB"/>
        </w:rPr>
        <w:t xml:space="preserve"> (6) Do not know/not relevant</w:t>
      </w:r>
    </w:p>
    <w:p w14:paraId="6458A03D" w14:textId="77777777" w:rsidR="00E85DEC" w:rsidRPr="0075770C" w:rsidRDefault="00E85DEC" w:rsidP="00E85DEC">
      <w:pPr>
        <w:jc w:val="both"/>
        <w:rPr>
          <w:b/>
          <w:lang w:val="en-GB"/>
        </w:rPr>
      </w:pPr>
    </w:p>
    <w:p w14:paraId="14DE2BDE" w14:textId="1E7BBFBC" w:rsidR="00E85DEC" w:rsidRPr="001F6011" w:rsidRDefault="00582B8A" w:rsidP="00E85DEC">
      <w:pPr>
        <w:rPr>
          <w:lang w:val="en-GB"/>
        </w:rPr>
      </w:pPr>
      <w:r>
        <w:rPr>
          <w:lang w:val="en-GB"/>
        </w:rPr>
        <w:t>Finally, to probe P7</w:t>
      </w:r>
      <w:r w:rsidR="007E68E4">
        <w:rPr>
          <w:lang w:val="en-GB"/>
        </w:rPr>
        <w:t>,</w:t>
      </w:r>
      <w:r>
        <w:rPr>
          <w:lang w:val="en-GB"/>
        </w:rPr>
        <w:t xml:space="preserve"> respondents were asked </w:t>
      </w:r>
      <w:r w:rsidR="007E68E4">
        <w:rPr>
          <w:lang w:val="en-GB"/>
        </w:rPr>
        <w:t xml:space="preserve">how they </w:t>
      </w:r>
      <w:r>
        <w:rPr>
          <w:lang w:val="en-GB"/>
        </w:rPr>
        <w:t>prioriti</w:t>
      </w:r>
      <w:r w:rsidR="007E68E4">
        <w:rPr>
          <w:lang w:val="en-GB"/>
        </w:rPr>
        <w:t xml:space="preserve">ze </w:t>
      </w:r>
      <w:r>
        <w:rPr>
          <w:lang w:val="en-GB"/>
        </w:rPr>
        <w:t xml:space="preserve">if conflicts appear in their work. </w:t>
      </w:r>
      <w:r w:rsidR="001F6011" w:rsidRPr="001F6011">
        <w:rPr>
          <w:lang w:val="en-GB"/>
        </w:rPr>
        <w:t>Table 11</w:t>
      </w:r>
      <w:r w:rsidR="001F6011">
        <w:rPr>
          <w:lang w:val="en-GB"/>
        </w:rPr>
        <w:t xml:space="preserve"> shows that, when in conflict, </w:t>
      </w:r>
      <w:r>
        <w:rPr>
          <w:lang w:val="en-GB"/>
        </w:rPr>
        <w:t>a</w:t>
      </w:r>
      <w:r w:rsidR="001F6011">
        <w:rPr>
          <w:lang w:val="en-GB"/>
        </w:rPr>
        <w:t xml:space="preserve"> vast majority of ministerial officials</w:t>
      </w:r>
      <w:r w:rsidR="00B85753">
        <w:rPr>
          <w:lang w:val="en-GB"/>
        </w:rPr>
        <w:t xml:space="preserve"> </w:t>
      </w:r>
      <w:r w:rsidR="001F6011">
        <w:rPr>
          <w:lang w:val="en-GB"/>
        </w:rPr>
        <w:t>seek to compromise between the wishes of their political leadership and the requirements of EU law.</w:t>
      </w:r>
      <w:r>
        <w:rPr>
          <w:lang w:val="en-GB"/>
        </w:rPr>
        <w:t xml:space="preserve"> This suggests that ministry officials, not only agency officials as studied by Egeberg and Trondal (2009</w:t>
      </w:r>
      <w:r w:rsidR="007E68E4">
        <w:rPr>
          <w:lang w:val="en-GB"/>
        </w:rPr>
        <w:t>b</w:t>
      </w:r>
      <w:r>
        <w:rPr>
          <w:lang w:val="en-GB"/>
        </w:rPr>
        <w:t>), are ‘double hatted’ in their EU-related work</w:t>
      </w:r>
      <w:r w:rsidR="00B85753">
        <w:rPr>
          <w:lang w:val="en-GB"/>
        </w:rPr>
        <w:t xml:space="preserve">. Table 11 illuminates the intrusiveness of the ‘double-hatted’ national central administrations where even ministry officials serve ‘two masters’. </w:t>
      </w:r>
      <w:r>
        <w:rPr>
          <w:lang w:val="en-GB"/>
        </w:rPr>
        <w:t>This observation is an even stronger test of the ‘double hatted’ assumption, since ministry officials are less likely to ‘go Brussels’ than agency officials simply because these officials are more strongly bound by national political steering (Egeberg and Trondal 2009a</w:t>
      </w:r>
      <w:r w:rsidR="00434F6B">
        <w:rPr>
          <w:lang w:val="en-GB"/>
        </w:rPr>
        <w:t xml:space="preserve">). </w:t>
      </w:r>
      <w:r w:rsidR="00CE6867">
        <w:rPr>
          <w:lang w:val="en-GB"/>
        </w:rPr>
        <w:t>Among the few</w:t>
      </w:r>
      <w:r>
        <w:rPr>
          <w:lang w:val="en-GB"/>
        </w:rPr>
        <w:t xml:space="preserve"> that report being ‘single hatted’, their primary structures (the wishes of own political leadership) is </w:t>
      </w:r>
      <w:r w:rsidR="00B85753">
        <w:rPr>
          <w:lang w:val="en-GB"/>
        </w:rPr>
        <w:t xml:space="preserve">deemed </w:t>
      </w:r>
      <w:r>
        <w:rPr>
          <w:lang w:val="en-GB"/>
        </w:rPr>
        <w:t>slightly more important than secondary structures (the requirement of EU law).</w:t>
      </w:r>
      <w:r w:rsidR="001F6011">
        <w:rPr>
          <w:lang w:val="en-GB"/>
        </w:rPr>
        <w:t xml:space="preserve"> </w:t>
      </w:r>
    </w:p>
    <w:p w14:paraId="2FE1E678" w14:textId="77777777" w:rsidR="005B08F1" w:rsidRPr="0075770C" w:rsidRDefault="005B08F1" w:rsidP="00E85DEC">
      <w:pPr>
        <w:rPr>
          <w:b/>
          <w:lang w:val="en-GB"/>
        </w:rPr>
      </w:pPr>
    </w:p>
    <w:p w14:paraId="33C72A6A" w14:textId="1B00857A" w:rsidR="00E85DEC" w:rsidRPr="0075770C" w:rsidRDefault="005B08F1" w:rsidP="00E85DEC">
      <w:pPr>
        <w:rPr>
          <w:b/>
          <w:lang w:val="en-GB"/>
        </w:rPr>
      </w:pPr>
      <w:r>
        <w:rPr>
          <w:b/>
          <w:lang w:val="en-GB"/>
        </w:rPr>
        <w:t>Table 11</w:t>
      </w:r>
      <w:r w:rsidR="00E85DEC" w:rsidRPr="0075770C">
        <w:rPr>
          <w:b/>
          <w:lang w:val="en-GB"/>
        </w:rPr>
        <w:t xml:space="preserve"> Percentage of officials* who report the following </w:t>
      </w:r>
      <w:r w:rsidR="00E85DEC" w:rsidRPr="00B85753">
        <w:rPr>
          <w:b/>
          <w:i/>
          <w:u w:val="single"/>
          <w:lang w:val="en-GB"/>
        </w:rPr>
        <w:t>priorities if conflicts appear</w:t>
      </w:r>
      <w:r w:rsidR="00E85DEC" w:rsidRPr="00B85753">
        <w:rPr>
          <w:b/>
          <w:i/>
          <w:lang w:val="en-GB"/>
        </w:rPr>
        <w:t xml:space="preserve"> </w:t>
      </w:r>
      <w:r w:rsidR="00E85DEC" w:rsidRPr="0075770C">
        <w:rPr>
          <w:b/>
          <w:lang w:val="en-GB"/>
        </w:rPr>
        <w:t xml:space="preserve">between the wishes of their national political leadership and the requirements of EU law </w:t>
      </w:r>
    </w:p>
    <w:tbl>
      <w:tblPr>
        <w:tblStyle w:val="Tabellrutenett"/>
        <w:tblW w:w="9781" w:type="dxa"/>
        <w:tblInd w:w="108" w:type="dxa"/>
        <w:tblLook w:val="04A0" w:firstRow="1" w:lastRow="0" w:firstColumn="1" w:lastColumn="0" w:noHBand="0" w:noVBand="1"/>
      </w:tblPr>
      <w:tblGrid>
        <w:gridCol w:w="6946"/>
        <w:gridCol w:w="2835"/>
      </w:tblGrid>
      <w:tr w:rsidR="00E85DEC" w:rsidRPr="0075770C" w14:paraId="1E8056D6" w14:textId="77777777" w:rsidTr="00E85DEC">
        <w:tc>
          <w:tcPr>
            <w:tcW w:w="6946" w:type="dxa"/>
          </w:tcPr>
          <w:p w14:paraId="53EC32BB" w14:textId="49BDD2A0" w:rsidR="00E85DEC" w:rsidRPr="0075770C" w:rsidRDefault="00E85DEC" w:rsidP="00E85DEC">
            <w:pPr>
              <w:rPr>
                <w:lang w:val="en-GB"/>
              </w:rPr>
            </w:pPr>
            <w:r w:rsidRPr="0075770C">
              <w:rPr>
                <w:lang w:val="en-GB"/>
              </w:rPr>
              <w:t>Primarily follow the wis</w:t>
            </w:r>
            <w:r w:rsidR="00CE6867">
              <w:rPr>
                <w:lang w:val="en-GB"/>
              </w:rPr>
              <w:t>hes of own political leadership</w:t>
            </w:r>
          </w:p>
        </w:tc>
        <w:tc>
          <w:tcPr>
            <w:tcW w:w="2835" w:type="dxa"/>
          </w:tcPr>
          <w:p w14:paraId="27631098" w14:textId="77777777" w:rsidR="00E85DEC" w:rsidRPr="0075770C" w:rsidRDefault="00E85DEC" w:rsidP="00E85DEC">
            <w:pPr>
              <w:jc w:val="center"/>
              <w:rPr>
                <w:lang w:val="en-GB"/>
              </w:rPr>
            </w:pPr>
            <w:r w:rsidRPr="0075770C">
              <w:rPr>
                <w:lang w:val="en-GB"/>
              </w:rPr>
              <w:t>5</w:t>
            </w:r>
          </w:p>
        </w:tc>
      </w:tr>
      <w:tr w:rsidR="00E85DEC" w:rsidRPr="0075770C" w14:paraId="362731F2" w14:textId="77777777" w:rsidTr="00E85DEC">
        <w:tc>
          <w:tcPr>
            <w:tcW w:w="6946" w:type="dxa"/>
          </w:tcPr>
          <w:p w14:paraId="7D119EEA" w14:textId="51A97F5B" w:rsidR="00E85DEC" w:rsidRPr="0075770C" w:rsidRDefault="00E85DEC" w:rsidP="00E85DEC">
            <w:pPr>
              <w:rPr>
                <w:lang w:val="en-GB"/>
              </w:rPr>
            </w:pPr>
            <w:r w:rsidRPr="0075770C">
              <w:rPr>
                <w:lang w:val="en-GB"/>
              </w:rPr>
              <w:t xml:space="preserve">Try to combine the wishes of own political leadership </w:t>
            </w:r>
            <w:r w:rsidR="00582B8A">
              <w:rPr>
                <w:lang w:val="en-GB"/>
              </w:rPr>
              <w:t xml:space="preserve">and the requirements of EU law </w:t>
            </w:r>
          </w:p>
        </w:tc>
        <w:tc>
          <w:tcPr>
            <w:tcW w:w="2835" w:type="dxa"/>
          </w:tcPr>
          <w:p w14:paraId="02B55BDE" w14:textId="77777777" w:rsidR="00CE6867" w:rsidRDefault="00CE6867" w:rsidP="00E85DEC">
            <w:pPr>
              <w:jc w:val="center"/>
              <w:rPr>
                <w:lang w:val="en-GB"/>
              </w:rPr>
            </w:pPr>
          </w:p>
          <w:p w14:paraId="280A81ED" w14:textId="7653AA33" w:rsidR="00E85DEC" w:rsidRPr="0075770C" w:rsidRDefault="00E85DEC" w:rsidP="00E85DEC">
            <w:pPr>
              <w:jc w:val="center"/>
              <w:rPr>
                <w:lang w:val="en-GB"/>
              </w:rPr>
            </w:pPr>
            <w:r w:rsidRPr="0075770C">
              <w:rPr>
                <w:lang w:val="en-GB"/>
              </w:rPr>
              <w:t>38</w:t>
            </w:r>
          </w:p>
        </w:tc>
      </w:tr>
      <w:tr w:rsidR="00E85DEC" w:rsidRPr="0075770C" w14:paraId="59AD085B" w14:textId="77777777" w:rsidTr="00E85DEC">
        <w:tc>
          <w:tcPr>
            <w:tcW w:w="6946" w:type="dxa"/>
          </w:tcPr>
          <w:p w14:paraId="4933606E" w14:textId="02777933" w:rsidR="00E85DEC" w:rsidRPr="0075770C" w:rsidRDefault="00E85DEC" w:rsidP="00E85DEC">
            <w:pPr>
              <w:rPr>
                <w:lang w:val="en-GB"/>
              </w:rPr>
            </w:pPr>
            <w:r w:rsidRPr="0075770C">
              <w:rPr>
                <w:lang w:val="en-GB"/>
              </w:rPr>
              <w:t>Primarily follow the require</w:t>
            </w:r>
            <w:r w:rsidR="00582B8A">
              <w:rPr>
                <w:lang w:val="en-GB"/>
              </w:rPr>
              <w:t>ment of EU law</w:t>
            </w:r>
          </w:p>
        </w:tc>
        <w:tc>
          <w:tcPr>
            <w:tcW w:w="2835" w:type="dxa"/>
          </w:tcPr>
          <w:p w14:paraId="530749F4" w14:textId="77777777" w:rsidR="00E85DEC" w:rsidRPr="0075770C" w:rsidRDefault="00E85DEC" w:rsidP="00E85DEC">
            <w:pPr>
              <w:jc w:val="center"/>
              <w:rPr>
                <w:lang w:val="en-GB"/>
              </w:rPr>
            </w:pPr>
            <w:r w:rsidRPr="0075770C">
              <w:rPr>
                <w:lang w:val="en-GB"/>
              </w:rPr>
              <w:t>2</w:t>
            </w:r>
          </w:p>
        </w:tc>
      </w:tr>
      <w:tr w:rsidR="00E85DEC" w:rsidRPr="0075770C" w14:paraId="38559DA0" w14:textId="77777777" w:rsidTr="00E85DEC">
        <w:tc>
          <w:tcPr>
            <w:tcW w:w="6946" w:type="dxa"/>
          </w:tcPr>
          <w:p w14:paraId="0280B727" w14:textId="061B1AC0" w:rsidR="00E85DEC" w:rsidRPr="0075770C" w:rsidRDefault="00E85DEC" w:rsidP="00E85DEC">
            <w:pPr>
              <w:rPr>
                <w:lang w:val="en-GB"/>
              </w:rPr>
            </w:pPr>
            <w:r w:rsidRPr="0075770C">
              <w:rPr>
                <w:lang w:val="en-GB"/>
              </w:rPr>
              <w:t>Not releva</w:t>
            </w:r>
            <w:r w:rsidR="00582B8A">
              <w:rPr>
                <w:lang w:val="en-GB"/>
              </w:rPr>
              <w:t>nt/Not occupied with such tasks</w:t>
            </w:r>
          </w:p>
        </w:tc>
        <w:tc>
          <w:tcPr>
            <w:tcW w:w="2835" w:type="dxa"/>
          </w:tcPr>
          <w:p w14:paraId="1EFF0453" w14:textId="77777777" w:rsidR="00E85DEC" w:rsidRPr="0075770C" w:rsidRDefault="00E85DEC" w:rsidP="00E85DEC">
            <w:pPr>
              <w:jc w:val="center"/>
              <w:rPr>
                <w:lang w:val="en-GB"/>
              </w:rPr>
            </w:pPr>
            <w:r w:rsidRPr="0075770C">
              <w:rPr>
                <w:lang w:val="en-GB"/>
              </w:rPr>
              <w:t>55</w:t>
            </w:r>
          </w:p>
        </w:tc>
      </w:tr>
      <w:tr w:rsidR="00E85DEC" w:rsidRPr="00582B8A" w14:paraId="719E5BE8" w14:textId="77777777" w:rsidTr="00E85DEC">
        <w:tc>
          <w:tcPr>
            <w:tcW w:w="6946" w:type="dxa"/>
          </w:tcPr>
          <w:p w14:paraId="018D06D7" w14:textId="7CFD5DE8" w:rsidR="00E85DEC" w:rsidRPr="00B85753" w:rsidRDefault="00582B8A" w:rsidP="00E85DEC">
            <w:pPr>
              <w:rPr>
                <w:b/>
                <w:lang w:val="en-GB"/>
              </w:rPr>
            </w:pPr>
            <w:r w:rsidRPr="00B85753">
              <w:rPr>
                <w:b/>
                <w:lang w:val="en-GB"/>
              </w:rPr>
              <w:t>N</w:t>
            </w:r>
          </w:p>
        </w:tc>
        <w:tc>
          <w:tcPr>
            <w:tcW w:w="2835" w:type="dxa"/>
          </w:tcPr>
          <w:p w14:paraId="53AD7B47" w14:textId="77777777" w:rsidR="00CE6867" w:rsidRPr="00B85753" w:rsidRDefault="00E85DEC" w:rsidP="00E85DEC">
            <w:pPr>
              <w:jc w:val="center"/>
              <w:rPr>
                <w:b/>
                <w:lang w:val="en-GB"/>
              </w:rPr>
            </w:pPr>
            <w:r w:rsidRPr="00B85753">
              <w:rPr>
                <w:b/>
                <w:lang w:val="en-GB"/>
              </w:rPr>
              <w:t xml:space="preserve">100 </w:t>
            </w:r>
          </w:p>
          <w:p w14:paraId="1A4C0667" w14:textId="67AC2FAA" w:rsidR="00E85DEC" w:rsidRPr="00B85753" w:rsidRDefault="00E85DEC" w:rsidP="00E85DEC">
            <w:pPr>
              <w:jc w:val="center"/>
              <w:rPr>
                <w:b/>
                <w:lang w:val="en-GB"/>
              </w:rPr>
            </w:pPr>
            <w:r w:rsidRPr="00B85753">
              <w:rPr>
                <w:b/>
                <w:lang w:val="en-GB"/>
              </w:rPr>
              <w:t>(1350)</w:t>
            </w:r>
          </w:p>
        </w:tc>
      </w:tr>
    </w:tbl>
    <w:p w14:paraId="0D1C2A3B" w14:textId="085343D1" w:rsidR="00D31081" w:rsidRPr="005B08F1" w:rsidRDefault="00E85DEC" w:rsidP="005B08F1">
      <w:pPr>
        <w:rPr>
          <w:i/>
          <w:sz w:val="16"/>
          <w:szCs w:val="16"/>
          <w:lang w:val="en-GB"/>
        </w:rPr>
      </w:pPr>
      <w:r w:rsidRPr="0075770C">
        <w:rPr>
          <w:i/>
          <w:sz w:val="16"/>
          <w:szCs w:val="16"/>
          <w:lang w:val="en-GB"/>
        </w:rPr>
        <w:t xml:space="preserve">*This includes those officials that incorporates and/or practices EU legislation within their own policy field. </w:t>
      </w:r>
    </w:p>
    <w:p w14:paraId="7D5D6191" w14:textId="77777777" w:rsidR="005B08F1" w:rsidRDefault="005B08F1" w:rsidP="005236C0">
      <w:pPr>
        <w:jc w:val="both"/>
        <w:rPr>
          <w:b/>
          <w:lang w:val="en-GB"/>
        </w:rPr>
      </w:pPr>
    </w:p>
    <w:p w14:paraId="0A3BA947" w14:textId="6F541F24" w:rsidR="001F6011" w:rsidRDefault="001F6011" w:rsidP="005236C0">
      <w:pPr>
        <w:jc w:val="both"/>
        <w:rPr>
          <w:b/>
          <w:lang w:val="en-GB"/>
        </w:rPr>
      </w:pPr>
    </w:p>
    <w:p w14:paraId="093B8AEA" w14:textId="3F51B2B8" w:rsidR="00CE6867" w:rsidRDefault="00CE6867" w:rsidP="00C46232">
      <w:pPr>
        <w:rPr>
          <w:lang w:val="en-GB"/>
        </w:rPr>
      </w:pPr>
      <w:r w:rsidRPr="00656B45">
        <w:rPr>
          <w:lang w:val="en-GB"/>
        </w:rPr>
        <w:t xml:space="preserve">Finally, </w:t>
      </w:r>
      <w:r w:rsidR="00B13035" w:rsidRPr="00656B45">
        <w:rPr>
          <w:lang w:val="en-GB"/>
        </w:rPr>
        <w:t xml:space="preserve">Table 12 shows a regression </w:t>
      </w:r>
      <w:r w:rsidR="00723C9C" w:rsidRPr="00656B45">
        <w:rPr>
          <w:lang w:val="en-GB"/>
        </w:rPr>
        <w:t>analysis that</w:t>
      </w:r>
      <w:r w:rsidR="00B13035" w:rsidRPr="00656B45">
        <w:rPr>
          <w:lang w:val="en-GB"/>
        </w:rPr>
        <w:t xml:space="preserve"> includes </w:t>
      </w:r>
      <w:r w:rsidR="00B85753">
        <w:rPr>
          <w:lang w:val="en-GB"/>
        </w:rPr>
        <w:t>a</w:t>
      </w:r>
      <w:r w:rsidR="00656B45" w:rsidRPr="00656B45">
        <w:rPr>
          <w:lang w:val="en-GB"/>
        </w:rPr>
        <w:t xml:space="preserve"> selection of the substantially most important dependent variables is included. </w:t>
      </w:r>
      <w:r w:rsidR="00656B45">
        <w:rPr>
          <w:lang w:val="en-GB"/>
        </w:rPr>
        <w:t xml:space="preserve">A separate regression analysis will be conducted on </w:t>
      </w:r>
      <w:r w:rsidR="0036718A">
        <w:rPr>
          <w:lang w:val="en-GB"/>
        </w:rPr>
        <w:t>official’s</w:t>
      </w:r>
      <w:r w:rsidR="00656B45">
        <w:rPr>
          <w:lang w:val="en-GB"/>
        </w:rPr>
        <w:t xml:space="preserve"> prioritization in cases of conflict (Table 13). </w:t>
      </w:r>
    </w:p>
    <w:p w14:paraId="00230EF9" w14:textId="77777777" w:rsidR="007B5B34" w:rsidRDefault="007B5B34" w:rsidP="00C46232">
      <w:pPr>
        <w:rPr>
          <w:lang w:val="en-GB"/>
        </w:rPr>
      </w:pPr>
    </w:p>
    <w:p w14:paraId="5C02118A" w14:textId="27397888" w:rsidR="007B5B34" w:rsidRPr="00656B45" w:rsidRDefault="007B5B34" w:rsidP="00C46232">
      <w:pPr>
        <w:rPr>
          <w:lang w:val="en-GB"/>
        </w:rPr>
      </w:pPr>
      <w:r>
        <w:rPr>
          <w:lang w:val="en-GB"/>
        </w:rPr>
        <w:t>(</w:t>
      </w:r>
      <w:r w:rsidR="00BE4AC9" w:rsidRPr="00BE4AC9">
        <w:rPr>
          <w:i/>
          <w:lang w:val="en-GB"/>
        </w:rPr>
        <w:t>both t</w:t>
      </w:r>
      <w:r w:rsidRPr="00B85753">
        <w:rPr>
          <w:i/>
          <w:lang w:val="en-GB"/>
        </w:rPr>
        <w:t>o be conducted…</w:t>
      </w:r>
      <w:r>
        <w:rPr>
          <w:i/>
          <w:lang w:val="en-GB"/>
        </w:rPr>
        <w:t>)</w:t>
      </w:r>
    </w:p>
    <w:p w14:paraId="2DD9BFB8" w14:textId="2A82AEAC" w:rsidR="001F6011" w:rsidRPr="001F6011" w:rsidRDefault="001F6011" w:rsidP="00C46232">
      <w:pPr>
        <w:rPr>
          <w:lang w:val="en-GB"/>
        </w:rPr>
      </w:pPr>
    </w:p>
    <w:p w14:paraId="0C8CD455" w14:textId="36F0E53B" w:rsidR="00D31081" w:rsidRPr="0075770C" w:rsidRDefault="001F6011" w:rsidP="00C46232">
      <w:pPr>
        <w:rPr>
          <w:b/>
          <w:lang w:val="en-GB"/>
        </w:rPr>
      </w:pPr>
      <w:r>
        <w:rPr>
          <w:b/>
          <w:lang w:val="en-GB"/>
        </w:rPr>
        <w:t>Table 12</w:t>
      </w:r>
      <w:r w:rsidR="001E771E" w:rsidRPr="0075770C">
        <w:rPr>
          <w:b/>
          <w:lang w:val="en-GB"/>
        </w:rPr>
        <w:t xml:space="preserve"> </w:t>
      </w:r>
      <w:r w:rsidR="001C7BA8" w:rsidRPr="0075770C">
        <w:rPr>
          <w:b/>
          <w:lang w:val="en-GB"/>
        </w:rPr>
        <w:t xml:space="preserve">Summary of factors </w:t>
      </w:r>
      <w:r w:rsidR="001C7BA8" w:rsidRPr="00B85753">
        <w:rPr>
          <w:b/>
          <w:i/>
          <w:u w:val="single"/>
          <w:lang w:val="en-GB"/>
        </w:rPr>
        <w:t>affecting ministerial officials´ EU-related work</w:t>
      </w:r>
      <w:r w:rsidR="001C7BA8" w:rsidRPr="0075770C">
        <w:rPr>
          <w:b/>
          <w:lang w:val="en-GB"/>
        </w:rPr>
        <w:t xml:space="preserve"> (Standardized Beta Coefficients. Linear Regressions, 2016 data)</w:t>
      </w:r>
      <w:r w:rsidR="001E771E" w:rsidRPr="0075770C">
        <w:rPr>
          <w:b/>
          <w:lang w:val="en-GB"/>
        </w:rPr>
        <w:t xml:space="preserve"> </w:t>
      </w:r>
    </w:p>
    <w:tbl>
      <w:tblPr>
        <w:tblStyle w:val="Tabellrutenett"/>
        <w:tblW w:w="0" w:type="auto"/>
        <w:tblLook w:val="04A0" w:firstRow="1" w:lastRow="0" w:firstColumn="1" w:lastColumn="0" w:noHBand="0" w:noVBand="1"/>
      </w:tblPr>
      <w:tblGrid>
        <w:gridCol w:w="2137"/>
        <w:gridCol w:w="1685"/>
        <w:gridCol w:w="2021"/>
        <w:gridCol w:w="1513"/>
        <w:gridCol w:w="1700"/>
      </w:tblGrid>
      <w:tr w:rsidR="00C46232" w:rsidRPr="0075770C" w14:paraId="28B2BFB8" w14:textId="0327914F" w:rsidTr="00656B45">
        <w:tc>
          <w:tcPr>
            <w:tcW w:w="0" w:type="auto"/>
          </w:tcPr>
          <w:p w14:paraId="39DE2713" w14:textId="77777777" w:rsidR="001C7BA8" w:rsidRPr="0075770C" w:rsidRDefault="001C7BA8" w:rsidP="00656B45">
            <w:pPr>
              <w:tabs>
                <w:tab w:val="center" w:pos="4533"/>
              </w:tabs>
              <w:rPr>
                <w:lang w:val="en-GB"/>
              </w:rPr>
            </w:pPr>
          </w:p>
        </w:tc>
        <w:tc>
          <w:tcPr>
            <w:tcW w:w="0" w:type="auto"/>
          </w:tcPr>
          <w:p w14:paraId="1A8DCF95" w14:textId="6ACA7065" w:rsidR="001C7BA8" w:rsidRPr="0075770C" w:rsidRDefault="001C7BA8" w:rsidP="00C46232">
            <w:pPr>
              <w:tabs>
                <w:tab w:val="center" w:pos="4533"/>
              </w:tabs>
              <w:rPr>
                <w:lang w:val="en-GB"/>
              </w:rPr>
            </w:pPr>
            <w:r w:rsidRPr="0075770C">
              <w:rPr>
                <w:lang w:val="en-GB"/>
              </w:rPr>
              <w:t xml:space="preserve">Contact with the </w:t>
            </w:r>
            <w:r w:rsidR="00656B45">
              <w:rPr>
                <w:lang w:val="en-GB"/>
              </w:rPr>
              <w:t xml:space="preserve">European </w:t>
            </w:r>
            <w:r w:rsidRPr="0075770C">
              <w:rPr>
                <w:lang w:val="en-GB"/>
              </w:rPr>
              <w:t>Commission</w:t>
            </w:r>
          </w:p>
        </w:tc>
        <w:tc>
          <w:tcPr>
            <w:tcW w:w="0" w:type="auto"/>
          </w:tcPr>
          <w:p w14:paraId="4D614C23" w14:textId="075E6AE4" w:rsidR="001C7BA8" w:rsidRPr="0075770C" w:rsidRDefault="00656B45" w:rsidP="00C46232">
            <w:pPr>
              <w:tabs>
                <w:tab w:val="center" w:pos="4533"/>
              </w:tabs>
              <w:rPr>
                <w:lang w:val="en-GB"/>
              </w:rPr>
            </w:pPr>
            <w:r>
              <w:rPr>
                <w:lang w:val="en-GB"/>
              </w:rPr>
              <w:t>Participation in low-level inter-ministerial coordination committees</w:t>
            </w:r>
          </w:p>
        </w:tc>
        <w:tc>
          <w:tcPr>
            <w:tcW w:w="0" w:type="auto"/>
          </w:tcPr>
          <w:p w14:paraId="60B2B38C" w14:textId="34E1C2DF" w:rsidR="001C7BA8" w:rsidRPr="0075770C" w:rsidRDefault="00656B45" w:rsidP="00C46232">
            <w:pPr>
              <w:tabs>
                <w:tab w:val="center" w:pos="4533"/>
              </w:tabs>
              <w:rPr>
                <w:lang w:val="en-GB"/>
              </w:rPr>
            </w:pPr>
            <w:r>
              <w:rPr>
                <w:lang w:val="en-GB"/>
              </w:rPr>
              <w:t>Importance</w:t>
            </w:r>
            <w:r w:rsidR="00C46232">
              <w:rPr>
                <w:lang w:val="en-GB"/>
              </w:rPr>
              <w:t xml:space="preserve"> of</w:t>
            </w:r>
            <w:r>
              <w:rPr>
                <w:lang w:val="en-GB"/>
              </w:rPr>
              <w:t xml:space="preserve"> own ministry</w:t>
            </w:r>
          </w:p>
        </w:tc>
        <w:tc>
          <w:tcPr>
            <w:tcW w:w="0" w:type="auto"/>
          </w:tcPr>
          <w:p w14:paraId="1FFE3BAC" w14:textId="34446258" w:rsidR="001C7BA8" w:rsidRPr="0075770C" w:rsidRDefault="00C46232" w:rsidP="00C46232">
            <w:pPr>
              <w:tabs>
                <w:tab w:val="center" w:pos="4533"/>
              </w:tabs>
              <w:rPr>
                <w:lang w:val="en-GB"/>
              </w:rPr>
            </w:pPr>
            <w:r>
              <w:rPr>
                <w:lang w:val="en-GB"/>
              </w:rPr>
              <w:t>Importance of t</w:t>
            </w:r>
            <w:r w:rsidR="00656B45">
              <w:rPr>
                <w:lang w:val="en-GB"/>
              </w:rPr>
              <w:t>he European Commission</w:t>
            </w:r>
          </w:p>
        </w:tc>
      </w:tr>
      <w:tr w:rsidR="00C46232" w:rsidRPr="0075770C" w14:paraId="4541F259" w14:textId="77440342" w:rsidTr="00656B45">
        <w:tc>
          <w:tcPr>
            <w:tcW w:w="0" w:type="auto"/>
          </w:tcPr>
          <w:p w14:paraId="09F0A149" w14:textId="0D88B14A" w:rsidR="001C7BA8" w:rsidRPr="00656B45" w:rsidRDefault="001C7BA8" w:rsidP="00656B45">
            <w:pPr>
              <w:pStyle w:val="Listeavsnitt"/>
              <w:numPr>
                <w:ilvl w:val="0"/>
                <w:numId w:val="5"/>
              </w:numPr>
              <w:tabs>
                <w:tab w:val="center" w:pos="4533"/>
              </w:tabs>
              <w:rPr>
                <w:lang w:val="en-GB"/>
              </w:rPr>
            </w:pPr>
            <w:r w:rsidRPr="00656B45">
              <w:rPr>
                <w:lang w:val="en-GB"/>
              </w:rPr>
              <w:t>Ministry affiliation (SM/MFA)</w:t>
            </w:r>
          </w:p>
          <w:p w14:paraId="61659F24" w14:textId="3DEEAC59" w:rsidR="00656B45" w:rsidRPr="00656B45" w:rsidRDefault="00DD3284" w:rsidP="00656B45">
            <w:pPr>
              <w:pStyle w:val="Listeavsnitt"/>
              <w:numPr>
                <w:ilvl w:val="0"/>
                <w:numId w:val="5"/>
              </w:numPr>
              <w:tabs>
                <w:tab w:val="center" w:pos="4533"/>
              </w:tabs>
              <w:rPr>
                <w:lang w:val="en-GB"/>
              </w:rPr>
            </w:pPr>
            <w:r w:rsidRPr="00656B45">
              <w:rPr>
                <w:lang w:val="en-GB"/>
              </w:rPr>
              <w:t>Rank (L/MH</w:t>
            </w:r>
            <w:r w:rsidR="001C7BA8" w:rsidRPr="00656B45">
              <w:rPr>
                <w:lang w:val="en-GB"/>
              </w:rPr>
              <w:t>)</w:t>
            </w:r>
            <w:r w:rsidR="00656B45" w:rsidRPr="00656B45">
              <w:rPr>
                <w:lang w:val="en-GB"/>
              </w:rPr>
              <w:t xml:space="preserve"> </w:t>
            </w:r>
          </w:p>
          <w:p w14:paraId="6C71C9FC" w14:textId="48A27489" w:rsidR="001C7BA8" w:rsidRPr="00656B45" w:rsidRDefault="00656B45" w:rsidP="00656B45">
            <w:pPr>
              <w:pStyle w:val="Listeavsnitt"/>
              <w:numPr>
                <w:ilvl w:val="0"/>
                <w:numId w:val="5"/>
              </w:numPr>
              <w:tabs>
                <w:tab w:val="center" w:pos="4533"/>
              </w:tabs>
              <w:rPr>
                <w:lang w:val="en-GB"/>
              </w:rPr>
            </w:pPr>
            <w:r w:rsidRPr="00656B45">
              <w:rPr>
                <w:lang w:val="en-GB"/>
              </w:rPr>
              <w:t>Task profile (NR/R)</w:t>
            </w:r>
          </w:p>
        </w:tc>
        <w:tc>
          <w:tcPr>
            <w:tcW w:w="0" w:type="auto"/>
          </w:tcPr>
          <w:p w14:paraId="645EC813" w14:textId="77777777" w:rsidR="001C7BA8" w:rsidRPr="0075770C" w:rsidRDefault="001C7BA8" w:rsidP="00C46232">
            <w:pPr>
              <w:tabs>
                <w:tab w:val="center" w:pos="4533"/>
              </w:tabs>
              <w:rPr>
                <w:lang w:val="en-GB"/>
              </w:rPr>
            </w:pPr>
          </w:p>
        </w:tc>
        <w:tc>
          <w:tcPr>
            <w:tcW w:w="0" w:type="auto"/>
          </w:tcPr>
          <w:p w14:paraId="232E60BD" w14:textId="77777777" w:rsidR="001C7BA8" w:rsidRPr="0075770C" w:rsidRDefault="001C7BA8" w:rsidP="00C46232">
            <w:pPr>
              <w:tabs>
                <w:tab w:val="center" w:pos="4533"/>
              </w:tabs>
              <w:rPr>
                <w:lang w:val="en-GB"/>
              </w:rPr>
            </w:pPr>
          </w:p>
        </w:tc>
        <w:tc>
          <w:tcPr>
            <w:tcW w:w="0" w:type="auto"/>
          </w:tcPr>
          <w:p w14:paraId="63DACE23" w14:textId="77777777" w:rsidR="001C7BA8" w:rsidRPr="0075770C" w:rsidRDefault="001C7BA8" w:rsidP="00C46232">
            <w:pPr>
              <w:tabs>
                <w:tab w:val="center" w:pos="4533"/>
              </w:tabs>
              <w:rPr>
                <w:lang w:val="en-GB"/>
              </w:rPr>
            </w:pPr>
          </w:p>
        </w:tc>
        <w:tc>
          <w:tcPr>
            <w:tcW w:w="0" w:type="auto"/>
          </w:tcPr>
          <w:p w14:paraId="073E00A7" w14:textId="77777777" w:rsidR="001C7BA8" w:rsidRPr="0075770C" w:rsidRDefault="001C7BA8" w:rsidP="00C46232">
            <w:pPr>
              <w:tabs>
                <w:tab w:val="center" w:pos="4533"/>
              </w:tabs>
              <w:rPr>
                <w:lang w:val="en-GB"/>
              </w:rPr>
            </w:pPr>
          </w:p>
        </w:tc>
      </w:tr>
      <w:tr w:rsidR="00C46232" w:rsidRPr="0075770C" w14:paraId="0502677F" w14:textId="70ABBBF0" w:rsidTr="00656B45">
        <w:tc>
          <w:tcPr>
            <w:tcW w:w="0" w:type="auto"/>
          </w:tcPr>
          <w:p w14:paraId="3CED4107" w14:textId="791FC5C7" w:rsidR="001C7BA8" w:rsidRPr="0075770C" w:rsidRDefault="001C7BA8" w:rsidP="00656B45">
            <w:pPr>
              <w:tabs>
                <w:tab w:val="center" w:pos="4533"/>
              </w:tabs>
              <w:rPr>
                <w:lang w:val="en-GB"/>
              </w:rPr>
            </w:pPr>
            <w:r w:rsidRPr="0075770C">
              <w:rPr>
                <w:lang w:val="en-GB"/>
              </w:rPr>
              <w:t>R2</w:t>
            </w:r>
          </w:p>
          <w:p w14:paraId="48A3E437" w14:textId="77777777" w:rsidR="001C7BA8" w:rsidRPr="0075770C" w:rsidRDefault="001C7BA8" w:rsidP="00656B45">
            <w:pPr>
              <w:tabs>
                <w:tab w:val="center" w:pos="4533"/>
              </w:tabs>
              <w:rPr>
                <w:lang w:val="en-GB"/>
              </w:rPr>
            </w:pPr>
            <w:r w:rsidRPr="0075770C">
              <w:rPr>
                <w:lang w:val="en-GB"/>
              </w:rPr>
              <w:t>Adjusted R2</w:t>
            </w:r>
          </w:p>
          <w:p w14:paraId="354D7F77" w14:textId="77777777" w:rsidR="001C7BA8" w:rsidRPr="0075770C" w:rsidRDefault="001C7BA8" w:rsidP="00656B45">
            <w:pPr>
              <w:tabs>
                <w:tab w:val="center" w:pos="4533"/>
              </w:tabs>
              <w:rPr>
                <w:lang w:val="en-GB"/>
              </w:rPr>
            </w:pPr>
            <w:r w:rsidRPr="0075770C">
              <w:rPr>
                <w:i/>
                <w:lang w:val="en-GB"/>
              </w:rPr>
              <w:t>F</w:t>
            </w:r>
            <w:r w:rsidRPr="0075770C">
              <w:rPr>
                <w:lang w:val="en-GB"/>
              </w:rPr>
              <w:t xml:space="preserve"> statistic</w:t>
            </w:r>
          </w:p>
          <w:p w14:paraId="0DFB294F" w14:textId="52F3636B" w:rsidR="001C7BA8" w:rsidRPr="0075770C" w:rsidRDefault="001C7BA8" w:rsidP="00656B45">
            <w:pPr>
              <w:tabs>
                <w:tab w:val="center" w:pos="4533"/>
              </w:tabs>
              <w:rPr>
                <w:lang w:val="en-GB"/>
              </w:rPr>
            </w:pPr>
            <w:r w:rsidRPr="0075770C">
              <w:rPr>
                <w:lang w:val="en-GB"/>
              </w:rPr>
              <w:t xml:space="preserve">Significance </w:t>
            </w:r>
            <w:r w:rsidRPr="0075770C">
              <w:rPr>
                <w:i/>
                <w:lang w:val="en-GB"/>
              </w:rPr>
              <w:t>F</w:t>
            </w:r>
          </w:p>
        </w:tc>
        <w:tc>
          <w:tcPr>
            <w:tcW w:w="0" w:type="auto"/>
          </w:tcPr>
          <w:p w14:paraId="776C8188" w14:textId="77777777" w:rsidR="001C7BA8" w:rsidRPr="0075770C" w:rsidRDefault="001C7BA8" w:rsidP="00C46232">
            <w:pPr>
              <w:tabs>
                <w:tab w:val="center" w:pos="4533"/>
              </w:tabs>
              <w:rPr>
                <w:lang w:val="en-GB"/>
              </w:rPr>
            </w:pPr>
          </w:p>
        </w:tc>
        <w:tc>
          <w:tcPr>
            <w:tcW w:w="0" w:type="auto"/>
          </w:tcPr>
          <w:p w14:paraId="18B22356" w14:textId="77777777" w:rsidR="001C7BA8" w:rsidRPr="0075770C" w:rsidRDefault="001C7BA8" w:rsidP="00C46232">
            <w:pPr>
              <w:tabs>
                <w:tab w:val="center" w:pos="4533"/>
              </w:tabs>
              <w:rPr>
                <w:lang w:val="en-GB"/>
              </w:rPr>
            </w:pPr>
          </w:p>
        </w:tc>
        <w:tc>
          <w:tcPr>
            <w:tcW w:w="0" w:type="auto"/>
          </w:tcPr>
          <w:p w14:paraId="4545D6D1" w14:textId="77777777" w:rsidR="001C7BA8" w:rsidRPr="0075770C" w:rsidRDefault="001C7BA8" w:rsidP="00C46232">
            <w:pPr>
              <w:tabs>
                <w:tab w:val="center" w:pos="4533"/>
              </w:tabs>
              <w:rPr>
                <w:lang w:val="en-GB"/>
              </w:rPr>
            </w:pPr>
          </w:p>
        </w:tc>
        <w:tc>
          <w:tcPr>
            <w:tcW w:w="0" w:type="auto"/>
          </w:tcPr>
          <w:p w14:paraId="0755EC03" w14:textId="77777777" w:rsidR="001C7BA8" w:rsidRPr="0075770C" w:rsidRDefault="001C7BA8" w:rsidP="00C46232">
            <w:pPr>
              <w:tabs>
                <w:tab w:val="center" w:pos="4533"/>
              </w:tabs>
              <w:rPr>
                <w:lang w:val="en-GB"/>
              </w:rPr>
            </w:pPr>
          </w:p>
        </w:tc>
      </w:tr>
    </w:tbl>
    <w:p w14:paraId="0EC90E64" w14:textId="77777777" w:rsidR="00C46232" w:rsidRDefault="00B13035" w:rsidP="006740FC">
      <w:pPr>
        <w:spacing w:line="480" w:lineRule="auto"/>
        <w:rPr>
          <w:i/>
          <w:sz w:val="16"/>
          <w:szCs w:val="16"/>
          <w:lang w:val="en-GB"/>
        </w:rPr>
      </w:pPr>
      <w:r w:rsidRPr="00B13035">
        <w:rPr>
          <w:i/>
          <w:sz w:val="16"/>
          <w:szCs w:val="16"/>
          <w:lang w:val="en-GB"/>
        </w:rPr>
        <w:t xml:space="preserve">*) p ≤ 0.05         **) p ≤ 0.01     </w:t>
      </w:r>
    </w:p>
    <w:p w14:paraId="5E39F116" w14:textId="6F7FAF9E" w:rsidR="001C7BA8" w:rsidRPr="0075770C" w:rsidRDefault="00C46232" w:rsidP="006740FC">
      <w:pPr>
        <w:spacing w:line="480" w:lineRule="auto"/>
        <w:rPr>
          <w:lang w:val="en-GB"/>
        </w:rPr>
      </w:pPr>
      <w:r>
        <w:rPr>
          <w:i/>
          <w:sz w:val="16"/>
          <w:szCs w:val="16"/>
          <w:lang w:val="en-GB"/>
        </w:rPr>
        <w:t>Variable coding:</w:t>
      </w:r>
      <w:r w:rsidR="00B13035" w:rsidRPr="00B13035">
        <w:rPr>
          <w:i/>
          <w:sz w:val="16"/>
          <w:szCs w:val="16"/>
          <w:lang w:val="en-GB"/>
        </w:rPr>
        <w:t xml:space="preserve">                                                                                 </w:t>
      </w:r>
    </w:p>
    <w:p w14:paraId="1FF6F3A5" w14:textId="77777777" w:rsidR="00656B45" w:rsidRDefault="00656B45" w:rsidP="00656B45">
      <w:pPr>
        <w:jc w:val="both"/>
        <w:rPr>
          <w:b/>
          <w:sz w:val="28"/>
          <w:szCs w:val="28"/>
          <w:lang w:val="en-GB"/>
        </w:rPr>
      </w:pPr>
    </w:p>
    <w:p w14:paraId="0C299C09" w14:textId="1477ABC9" w:rsidR="00656B45" w:rsidRDefault="00656B45" w:rsidP="00C46232">
      <w:pPr>
        <w:rPr>
          <w:b/>
          <w:lang w:val="en-GB"/>
        </w:rPr>
      </w:pPr>
      <w:r>
        <w:rPr>
          <w:b/>
          <w:lang w:val="en-GB"/>
        </w:rPr>
        <w:t>Table 12</w:t>
      </w:r>
      <w:r w:rsidRPr="0075770C">
        <w:rPr>
          <w:b/>
          <w:lang w:val="en-GB"/>
        </w:rPr>
        <w:t xml:space="preserve"> Summary of factors </w:t>
      </w:r>
      <w:r w:rsidRPr="00B85753">
        <w:rPr>
          <w:b/>
          <w:i/>
          <w:u w:val="single"/>
          <w:lang w:val="en-GB"/>
        </w:rPr>
        <w:t>affecting ministerial officials´ priorities if conflicts appear</w:t>
      </w:r>
      <w:r>
        <w:rPr>
          <w:b/>
          <w:lang w:val="en-GB"/>
        </w:rPr>
        <w:t xml:space="preserve"> </w:t>
      </w:r>
      <w:r w:rsidRPr="0075770C">
        <w:rPr>
          <w:b/>
          <w:lang w:val="en-GB"/>
        </w:rPr>
        <w:t xml:space="preserve">between the wishes of their national political leadership and the requirements of EU law (Standardized Beta Coefficients. Linear Regressions, 2016 data) </w:t>
      </w:r>
    </w:p>
    <w:tbl>
      <w:tblPr>
        <w:tblStyle w:val="Tabellrutenett"/>
        <w:tblW w:w="5000" w:type="pct"/>
        <w:tblLook w:val="04A0" w:firstRow="1" w:lastRow="0" w:firstColumn="1" w:lastColumn="0" w:noHBand="0" w:noVBand="1"/>
      </w:tblPr>
      <w:tblGrid>
        <w:gridCol w:w="3398"/>
        <w:gridCol w:w="5658"/>
      </w:tblGrid>
      <w:tr w:rsidR="00656B45" w:rsidRPr="0075770C" w14:paraId="3EED4E13" w14:textId="77777777" w:rsidTr="00656B45">
        <w:tc>
          <w:tcPr>
            <w:tcW w:w="1876" w:type="pct"/>
          </w:tcPr>
          <w:p w14:paraId="1AABE02A" w14:textId="77777777" w:rsidR="00656B45" w:rsidRPr="0075770C" w:rsidRDefault="00656B45" w:rsidP="00656B45">
            <w:pPr>
              <w:tabs>
                <w:tab w:val="center" w:pos="4533"/>
              </w:tabs>
              <w:rPr>
                <w:lang w:val="en-GB"/>
              </w:rPr>
            </w:pPr>
          </w:p>
        </w:tc>
        <w:tc>
          <w:tcPr>
            <w:tcW w:w="3124" w:type="pct"/>
          </w:tcPr>
          <w:p w14:paraId="4EC35897" w14:textId="436AB329" w:rsidR="00656B45" w:rsidRPr="0075770C" w:rsidRDefault="00656B45" w:rsidP="00C46232">
            <w:pPr>
              <w:tabs>
                <w:tab w:val="center" w:pos="4533"/>
              </w:tabs>
              <w:rPr>
                <w:lang w:val="en-GB"/>
              </w:rPr>
            </w:pPr>
            <w:r w:rsidRPr="0075770C">
              <w:rPr>
                <w:lang w:val="en-GB"/>
              </w:rPr>
              <w:t xml:space="preserve">Try to combine the wishes of own political leadership </w:t>
            </w:r>
            <w:r>
              <w:rPr>
                <w:lang w:val="en-GB"/>
              </w:rPr>
              <w:t>and the requirements of EU law</w:t>
            </w:r>
          </w:p>
        </w:tc>
      </w:tr>
      <w:tr w:rsidR="00656B45" w:rsidRPr="0075770C" w14:paraId="49B2865A" w14:textId="77777777" w:rsidTr="00656B45">
        <w:tc>
          <w:tcPr>
            <w:tcW w:w="1876" w:type="pct"/>
          </w:tcPr>
          <w:p w14:paraId="30D90A77" w14:textId="07AD7519" w:rsidR="00656B45" w:rsidRPr="00656B45" w:rsidRDefault="00656B45" w:rsidP="00656B45">
            <w:pPr>
              <w:pStyle w:val="Listeavsnitt"/>
              <w:numPr>
                <w:ilvl w:val="0"/>
                <w:numId w:val="5"/>
              </w:numPr>
              <w:tabs>
                <w:tab w:val="center" w:pos="4533"/>
              </w:tabs>
              <w:rPr>
                <w:lang w:val="en-GB"/>
              </w:rPr>
            </w:pPr>
            <w:r w:rsidRPr="00656B45">
              <w:rPr>
                <w:lang w:val="en-GB"/>
              </w:rPr>
              <w:t>Ministry affiliation (SM/MFA)</w:t>
            </w:r>
          </w:p>
          <w:p w14:paraId="5B5F70FB" w14:textId="11A7C5CA" w:rsidR="00656B45" w:rsidRPr="00656B45" w:rsidRDefault="00656B45" w:rsidP="00656B45">
            <w:pPr>
              <w:pStyle w:val="Listeavsnitt"/>
              <w:numPr>
                <w:ilvl w:val="0"/>
                <w:numId w:val="5"/>
              </w:numPr>
              <w:tabs>
                <w:tab w:val="center" w:pos="4533"/>
              </w:tabs>
              <w:rPr>
                <w:lang w:val="en-GB"/>
              </w:rPr>
            </w:pPr>
            <w:r w:rsidRPr="00656B45">
              <w:rPr>
                <w:lang w:val="en-GB"/>
              </w:rPr>
              <w:t>Rank (L/MH)</w:t>
            </w:r>
          </w:p>
          <w:p w14:paraId="11734FB9" w14:textId="20816A15" w:rsidR="00656B45" w:rsidRPr="00656B45" w:rsidRDefault="00656B45" w:rsidP="00656B45">
            <w:pPr>
              <w:pStyle w:val="Listeavsnitt"/>
              <w:numPr>
                <w:ilvl w:val="0"/>
                <w:numId w:val="5"/>
              </w:numPr>
              <w:tabs>
                <w:tab w:val="center" w:pos="4533"/>
              </w:tabs>
              <w:rPr>
                <w:lang w:val="en-GB"/>
              </w:rPr>
            </w:pPr>
            <w:r w:rsidRPr="00656B45">
              <w:rPr>
                <w:lang w:val="en-GB"/>
              </w:rPr>
              <w:t>Task profile (NR/R)</w:t>
            </w:r>
          </w:p>
        </w:tc>
        <w:tc>
          <w:tcPr>
            <w:tcW w:w="3124" w:type="pct"/>
          </w:tcPr>
          <w:p w14:paraId="0FC6338B" w14:textId="77777777" w:rsidR="00656B45" w:rsidRPr="0075770C" w:rsidRDefault="00656B45" w:rsidP="00C46232">
            <w:pPr>
              <w:tabs>
                <w:tab w:val="center" w:pos="4533"/>
              </w:tabs>
              <w:rPr>
                <w:lang w:val="en-GB"/>
              </w:rPr>
            </w:pPr>
          </w:p>
        </w:tc>
      </w:tr>
      <w:tr w:rsidR="00656B45" w:rsidRPr="0075770C" w14:paraId="6F1225BB" w14:textId="77777777" w:rsidTr="00656B45">
        <w:tc>
          <w:tcPr>
            <w:tcW w:w="1876" w:type="pct"/>
          </w:tcPr>
          <w:p w14:paraId="60D91039" w14:textId="77777777" w:rsidR="00656B45" w:rsidRPr="0075770C" w:rsidRDefault="00656B45" w:rsidP="00656B45">
            <w:pPr>
              <w:tabs>
                <w:tab w:val="center" w:pos="4533"/>
              </w:tabs>
              <w:rPr>
                <w:lang w:val="en-GB"/>
              </w:rPr>
            </w:pPr>
            <w:r w:rsidRPr="0075770C">
              <w:rPr>
                <w:lang w:val="en-GB"/>
              </w:rPr>
              <w:t>R2</w:t>
            </w:r>
          </w:p>
          <w:p w14:paraId="02503945" w14:textId="77777777" w:rsidR="00656B45" w:rsidRPr="0075770C" w:rsidRDefault="00656B45" w:rsidP="00656B45">
            <w:pPr>
              <w:tabs>
                <w:tab w:val="center" w:pos="4533"/>
              </w:tabs>
              <w:rPr>
                <w:lang w:val="en-GB"/>
              </w:rPr>
            </w:pPr>
            <w:r w:rsidRPr="0075770C">
              <w:rPr>
                <w:lang w:val="en-GB"/>
              </w:rPr>
              <w:t>Adjusted R2</w:t>
            </w:r>
          </w:p>
          <w:p w14:paraId="5AB1C862" w14:textId="77777777" w:rsidR="00656B45" w:rsidRPr="0075770C" w:rsidRDefault="00656B45" w:rsidP="00656B45">
            <w:pPr>
              <w:tabs>
                <w:tab w:val="center" w:pos="4533"/>
              </w:tabs>
              <w:rPr>
                <w:lang w:val="en-GB"/>
              </w:rPr>
            </w:pPr>
            <w:r w:rsidRPr="0075770C">
              <w:rPr>
                <w:i/>
                <w:lang w:val="en-GB"/>
              </w:rPr>
              <w:t>F</w:t>
            </w:r>
            <w:r w:rsidRPr="0075770C">
              <w:rPr>
                <w:lang w:val="en-GB"/>
              </w:rPr>
              <w:t xml:space="preserve"> statistic</w:t>
            </w:r>
          </w:p>
          <w:p w14:paraId="716139E8" w14:textId="77777777" w:rsidR="00656B45" w:rsidRPr="0075770C" w:rsidRDefault="00656B45" w:rsidP="00656B45">
            <w:pPr>
              <w:tabs>
                <w:tab w:val="center" w:pos="4533"/>
              </w:tabs>
              <w:rPr>
                <w:lang w:val="en-GB"/>
              </w:rPr>
            </w:pPr>
            <w:r w:rsidRPr="0075770C">
              <w:rPr>
                <w:lang w:val="en-GB"/>
              </w:rPr>
              <w:t xml:space="preserve">Significance </w:t>
            </w:r>
            <w:r w:rsidRPr="0075770C">
              <w:rPr>
                <w:i/>
                <w:lang w:val="en-GB"/>
              </w:rPr>
              <w:t>F</w:t>
            </w:r>
          </w:p>
        </w:tc>
        <w:tc>
          <w:tcPr>
            <w:tcW w:w="3124" w:type="pct"/>
          </w:tcPr>
          <w:p w14:paraId="39F7761D" w14:textId="77777777" w:rsidR="00656B45" w:rsidRPr="0075770C" w:rsidRDefault="00656B45" w:rsidP="00C46232">
            <w:pPr>
              <w:tabs>
                <w:tab w:val="center" w:pos="4533"/>
              </w:tabs>
              <w:rPr>
                <w:lang w:val="en-GB"/>
              </w:rPr>
            </w:pPr>
          </w:p>
        </w:tc>
      </w:tr>
    </w:tbl>
    <w:p w14:paraId="5752CFC1" w14:textId="3F2FED47" w:rsidR="00C46232" w:rsidRPr="00C46232" w:rsidRDefault="00C46232" w:rsidP="006740FC">
      <w:pPr>
        <w:spacing w:line="480" w:lineRule="auto"/>
        <w:rPr>
          <w:lang w:val="en-GB"/>
        </w:rPr>
      </w:pPr>
      <w:r w:rsidRPr="00B13035">
        <w:rPr>
          <w:i/>
          <w:sz w:val="16"/>
          <w:szCs w:val="16"/>
          <w:lang w:val="en-GB"/>
        </w:rPr>
        <w:t xml:space="preserve">*) p ≤ 0.05         **) p ≤ 0.01                                                            </w:t>
      </w:r>
      <w:r>
        <w:rPr>
          <w:i/>
          <w:sz w:val="16"/>
          <w:szCs w:val="16"/>
          <w:lang w:val="en-GB"/>
        </w:rPr>
        <w:t xml:space="preserve">                         </w:t>
      </w:r>
    </w:p>
    <w:p w14:paraId="4FB94286" w14:textId="77777777" w:rsidR="00C46232" w:rsidRPr="0075770C" w:rsidRDefault="00C46232" w:rsidP="00C46232">
      <w:pPr>
        <w:spacing w:line="480" w:lineRule="auto"/>
        <w:rPr>
          <w:lang w:val="en-GB"/>
        </w:rPr>
      </w:pPr>
      <w:r>
        <w:rPr>
          <w:i/>
          <w:sz w:val="16"/>
          <w:szCs w:val="16"/>
          <w:lang w:val="en-GB"/>
        </w:rPr>
        <w:t>Variable coding:</w:t>
      </w:r>
      <w:r w:rsidRPr="00B13035">
        <w:rPr>
          <w:i/>
          <w:sz w:val="16"/>
          <w:szCs w:val="16"/>
          <w:lang w:val="en-GB"/>
        </w:rPr>
        <w:t xml:space="preserve">                                                                                 </w:t>
      </w:r>
    </w:p>
    <w:p w14:paraId="5CF5606A" w14:textId="77777777" w:rsidR="00AB7BE3" w:rsidRDefault="00AB7BE3" w:rsidP="007B5B34">
      <w:pPr>
        <w:rPr>
          <w:b/>
          <w:sz w:val="28"/>
          <w:szCs w:val="28"/>
          <w:lang w:val="en-GB"/>
        </w:rPr>
      </w:pPr>
    </w:p>
    <w:p w14:paraId="7A76AAA4" w14:textId="5FFF3732" w:rsidR="0047758F" w:rsidRDefault="001E771E" w:rsidP="007B5B34">
      <w:pPr>
        <w:rPr>
          <w:b/>
          <w:sz w:val="28"/>
          <w:szCs w:val="28"/>
          <w:lang w:val="en-GB"/>
        </w:rPr>
      </w:pPr>
      <w:r w:rsidRPr="0075770C">
        <w:rPr>
          <w:b/>
          <w:sz w:val="28"/>
          <w:szCs w:val="28"/>
          <w:lang w:val="en-GB"/>
        </w:rPr>
        <w:t>Conclusion</w:t>
      </w:r>
    </w:p>
    <w:p w14:paraId="2D42BDEB" w14:textId="313E1EAB" w:rsidR="00A45880" w:rsidRPr="00E079CF" w:rsidRDefault="007B5B34" w:rsidP="007B5B34">
      <w:pPr>
        <w:rPr>
          <w:lang w:val="en-GB"/>
        </w:rPr>
      </w:pPr>
      <w:r>
        <w:rPr>
          <w:lang w:val="en-GB"/>
        </w:rPr>
        <w:t>This paper intended to examine the effect of organization on public governance</w:t>
      </w:r>
      <w:r w:rsidR="003A4761">
        <w:rPr>
          <w:lang w:val="en-GB"/>
        </w:rPr>
        <w:t xml:space="preserve">. The underlying assumption was that organizational variables </w:t>
      </w:r>
      <w:r w:rsidR="007A069D">
        <w:rPr>
          <w:lang w:val="en-GB"/>
        </w:rPr>
        <w:t xml:space="preserve">at the national level </w:t>
      </w:r>
      <w:r w:rsidR="003A4761">
        <w:rPr>
          <w:lang w:val="en-GB"/>
        </w:rPr>
        <w:t xml:space="preserve">would ‘bias’ the impact of the EU on national </w:t>
      </w:r>
      <w:r w:rsidR="00434F6B">
        <w:rPr>
          <w:lang w:val="en-GB"/>
        </w:rPr>
        <w:t xml:space="preserve">administrations, in this case: </w:t>
      </w:r>
      <w:r w:rsidR="007A069D">
        <w:rPr>
          <w:lang w:val="en-GB"/>
        </w:rPr>
        <w:t xml:space="preserve">Norwegian national ministries. Data derives from three large-N studies conducted at three points in time. </w:t>
      </w:r>
      <w:r w:rsidR="00C201B6">
        <w:rPr>
          <w:lang w:val="en-GB"/>
        </w:rPr>
        <w:t>Firstly</w:t>
      </w:r>
      <w:r w:rsidR="0076444E">
        <w:rPr>
          <w:lang w:val="en-GB"/>
        </w:rPr>
        <w:t xml:space="preserve">, the data consistently displays a relatively high degree of interaction between sector ministries and EU-level executive institutions (P1).  It also affirms a higher level of coordination </w:t>
      </w:r>
      <w:r w:rsidR="0076444E" w:rsidRPr="00810B79">
        <w:rPr>
          <w:i/>
          <w:lang w:val="en-GB"/>
        </w:rPr>
        <w:t>within</w:t>
      </w:r>
      <w:r w:rsidR="0076444E">
        <w:rPr>
          <w:lang w:val="en-GB"/>
        </w:rPr>
        <w:t xml:space="preserve"> than </w:t>
      </w:r>
      <w:r w:rsidR="0076444E" w:rsidRPr="00810B79">
        <w:rPr>
          <w:i/>
          <w:lang w:val="en-GB"/>
        </w:rPr>
        <w:t>between</w:t>
      </w:r>
      <w:r w:rsidR="0076444E">
        <w:rPr>
          <w:lang w:val="en-GB"/>
        </w:rPr>
        <w:t xml:space="preserve"> ministries (P3). </w:t>
      </w:r>
      <w:r w:rsidR="00C201B6">
        <w:rPr>
          <w:lang w:val="en-GB"/>
        </w:rPr>
        <w:t>However, contrary to the initial p</w:t>
      </w:r>
      <w:r w:rsidR="00810B79">
        <w:rPr>
          <w:lang w:val="en-GB"/>
        </w:rPr>
        <w:t>roposition (P2) the data does not</w:t>
      </w:r>
      <w:r w:rsidR="00C201B6">
        <w:rPr>
          <w:lang w:val="en-GB"/>
        </w:rPr>
        <w:t xml:space="preserve"> establish a positive relationship between regulatory task-profile</w:t>
      </w:r>
      <w:r w:rsidR="00810B79">
        <w:rPr>
          <w:lang w:val="en-GB"/>
        </w:rPr>
        <w:t>s</w:t>
      </w:r>
      <w:r w:rsidR="00C201B6">
        <w:rPr>
          <w:lang w:val="en-GB"/>
        </w:rPr>
        <w:t xml:space="preserve"> and interaction towards the EU-level. Arguably, this may have been caused by unfavourable survey design. Secondly, </w:t>
      </w:r>
      <w:r w:rsidR="00C201B6">
        <w:rPr>
          <w:lang w:val="en-GB"/>
        </w:rPr>
        <w:lastRenderedPageBreak/>
        <w:t xml:space="preserve">as regards to vertical specialization, the data clearly shows that officials of lower ranks are more extensively involved at the EU-level than officials of higher ranks (P4). The data </w:t>
      </w:r>
      <w:r w:rsidR="00810B79">
        <w:rPr>
          <w:lang w:val="en-GB"/>
        </w:rPr>
        <w:t>does</w:t>
      </w:r>
      <w:r w:rsidR="00C201B6">
        <w:rPr>
          <w:lang w:val="en-GB"/>
        </w:rPr>
        <w:t xml:space="preserve"> not confirm the assumption that lower level officials would report lesser degree of coordination and modification/changes due to coordination (P6). This may be linked to insufficient measurement validity. Thirdly,</w:t>
      </w:r>
      <w:r w:rsidR="00810B79">
        <w:rPr>
          <w:lang w:val="en-GB"/>
        </w:rPr>
        <w:t xml:space="preserve"> the importance of primary structures is affirmed (P6) and the data also demonstrates a strong tendency of ‘double-hattedness’ amongst ministerial officials (P7).</w:t>
      </w:r>
      <w:r w:rsidR="00A45880">
        <w:rPr>
          <w:lang w:val="en-GB"/>
        </w:rPr>
        <w:t xml:space="preserve"> In sum, five out of seven propositions were confirmed</w:t>
      </w:r>
      <w:r w:rsidR="00E079CF">
        <w:rPr>
          <w:lang w:val="en-GB"/>
        </w:rPr>
        <w:t>. Yet, e</w:t>
      </w:r>
      <w:r w:rsidR="00A45880">
        <w:rPr>
          <w:lang w:val="en-GB"/>
        </w:rPr>
        <w:t xml:space="preserve">ven though the data could not validate P2 and P5, it does overall clearly confirm the explanatory value of organizational factors in the governance process. </w:t>
      </w:r>
    </w:p>
    <w:p w14:paraId="1B6582BE" w14:textId="77777777" w:rsidR="007B5B34" w:rsidRDefault="007B5B34" w:rsidP="007B5B34">
      <w:pPr>
        <w:rPr>
          <w:b/>
          <w:sz w:val="28"/>
          <w:szCs w:val="28"/>
          <w:lang w:val="en-GB"/>
        </w:rPr>
      </w:pPr>
    </w:p>
    <w:p w14:paraId="3346D1E1" w14:textId="5FB1939F" w:rsidR="003B71F2" w:rsidRDefault="00A45880" w:rsidP="00B85753">
      <w:pPr>
        <w:rPr>
          <w:lang w:val="en-GB"/>
        </w:rPr>
      </w:pPr>
      <w:r>
        <w:rPr>
          <w:lang w:val="en-GB"/>
        </w:rPr>
        <w:t>Taken as a whole, t</w:t>
      </w:r>
      <w:r w:rsidR="00810B79">
        <w:rPr>
          <w:lang w:val="en-GB"/>
        </w:rPr>
        <w:t xml:space="preserve">he data displays stable patterns of affectedness </w:t>
      </w:r>
      <w:r w:rsidR="00B85753">
        <w:rPr>
          <w:lang w:val="en-GB"/>
        </w:rPr>
        <w:t xml:space="preserve">over </w:t>
      </w:r>
      <w:r w:rsidR="00810B79">
        <w:rPr>
          <w:lang w:val="en-GB"/>
        </w:rPr>
        <w:t xml:space="preserve">the past two decades. </w:t>
      </w:r>
      <w:r w:rsidR="00E356C3">
        <w:rPr>
          <w:lang w:val="en-GB"/>
        </w:rPr>
        <w:t xml:space="preserve"> </w:t>
      </w:r>
      <w:r w:rsidR="00176EBE">
        <w:rPr>
          <w:lang w:val="en-GB"/>
        </w:rPr>
        <w:t xml:space="preserve">In regards to time, there are </w:t>
      </w:r>
      <w:r w:rsidR="00AA4C6D">
        <w:rPr>
          <w:lang w:val="en-GB"/>
        </w:rPr>
        <w:t>four</w:t>
      </w:r>
      <w:r w:rsidR="00176EBE">
        <w:rPr>
          <w:lang w:val="en-GB"/>
        </w:rPr>
        <w:t xml:space="preserve"> main observations </w:t>
      </w:r>
      <w:r w:rsidR="00AA4C6D">
        <w:rPr>
          <w:lang w:val="en-GB"/>
        </w:rPr>
        <w:t>that can</w:t>
      </w:r>
      <w:r w:rsidR="00176EBE">
        <w:rPr>
          <w:lang w:val="en-GB"/>
        </w:rPr>
        <w:t xml:space="preserve"> be drawn from the data: firstly, ministerial affiliation as an explanatory factor for interaction (organizational compatible structures) </w:t>
      </w:r>
      <w:r w:rsidR="00AA4C6D">
        <w:rPr>
          <w:lang w:val="en-GB"/>
        </w:rPr>
        <w:t xml:space="preserve">significantly increased its importance between 1996 and 2006. From 2006 to 2016 these patterns remained stable. Secondly, the data suggests a general decrease in participation in coordination committees, and that the gap between intra-ministerial coordination and inter-ministerial coordination has </w:t>
      </w:r>
      <w:r w:rsidR="00CB5CB4">
        <w:rPr>
          <w:lang w:val="en-GB"/>
        </w:rPr>
        <w:t>increased over time. Thirdly, between 2006 and 2016 there has been a significant increase in lower lever officials’ interaction with the EU. There has also been a considerable increase in lower level officials</w:t>
      </w:r>
      <w:r w:rsidR="00B85753">
        <w:rPr>
          <w:lang w:val="en-GB"/>
        </w:rPr>
        <w:t>’</w:t>
      </w:r>
      <w:r w:rsidR="00CB5CB4">
        <w:rPr>
          <w:lang w:val="en-GB"/>
        </w:rPr>
        <w:t xml:space="preserve"> participation in ministerial coordination committees, as well as </w:t>
      </w:r>
      <w:r w:rsidR="003B71F2">
        <w:rPr>
          <w:lang w:val="en-GB"/>
        </w:rPr>
        <w:t xml:space="preserve">an increase in the percentage in lower level officials that report having changed or modified their ministry’s positions based on coordination with other actors. Finally, </w:t>
      </w:r>
      <w:r w:rsidR="00B85753">
        <w:rPr>
          <w:lang w:val="en-GB"/>
        </w:rPr>
        <w:t xml:space="preserve">a </w:t>
      </w:r>
      <w:r w:rsidR="003B71F2">
        <w:rPr>
          <w:lang w:val="en-GB"/>
        </w:rPr>
        <w:t xml:space="preserve">noticeable observation is the extent to which ministerial officials appear to be ‘double-hatted’. </w:t>
      </w:r>
    </w:p>
    <w:p w14:paraId="5DAA141D" w14:textId="77777777" w:rsidR="003B71F2" w:rsidRDefault="003B71F2" w:rsidP="00B85753">
      <w:pPr>
        <w:rPr>
          <w:lang w:val="en-GB"/>
        </w:rPr>
      </w:pPr>
    </w:p>
    <w:p w14:paraId="09192440" w14:textId="443A2F2E" w:rsidR="003B71F2" w:rsidRDefault="00B42363" w:rsidP="00B85753">
      <w:pPr>
        <w:rPr>
          <w:lang w:val="en-GB"/>
        </w:rPr>
      </w:pPr>
      <w:r>
        <w:rPr>
          <w:lang w:val="en-GB"/>
        </w:rPr>
        <w:t xml:space="preserve">How can these </w:t>
      </w:r>
      <w:r w:rsidR="00904879">
        <w:rPr>
          <w:lang w:val="en-GB"/>
        </w:rPr>
        <w:t>developments</w:t>
      </w:r>
      <w:r w:rsidR="00B85753">
        <w:rPr>
          <w:lang w:val="en-GB"/>
        </w:rPr>
        <w:t xml:space="preserve"> over time</w:t>
      </w:r>
      <w:r w:rsidR="00C21E32">
        <w:rPr>
          <w:lang w:val="en-GB"/>
        </w:rPr>
        <w:t xml:space="preserve"> be</w:t>
      </w:r>
      <w:r w:rsidR="00B85753">
        <w:rPr>
          <w:lang w:val="en-GB"/>
        </w:rPr>
        <w:t xml:space="preserve"> accounted for</w:t>
      </w:r>
      <w:r w:rsidR="00C21E32">
        <w:rPr>
          <w:lang w:val="en-GB"/>
        </w:rPr>
        <w:t>? T</w:t>
      </w:r>
      <w:r>
        <w:rPr>
          <w:lang w:val="en-GB"/>
        </w:rPr>
        <w:t xml:space="preserve">wo </w:t>
      </w:r>
      <w:r w:rsidR="00C21E32">
        <w:rPr>
          <w:lang w:val="en-GB"/>
        </w:rPr>
        <w:t>interrelated</w:t>
      </w:r>
      <w:r>
        <w:rPr>
          <w:lang w:val="en-GB"/>
        </w:rPr>
        <w:t xml:space="preserve"> </w:t>
      </w:r>
      <w:r w:rsidR="00C21E32">
        <w:rPr>
          <w:lang w:val="en-GB"/>
        </w:rPr>
        <w:t xml:space="preserve">circumstances need to be considered: one is the increase in scope of the agreements between Norway and the EU, and the second is institutionalization of the European administrative system. </w:t>
      </w:r>
      <w:r w:rsidR="00D10D91">
        <w:rPr>
          <w:lang w:val="en-GB"/>
        </w:rPr>
        <w:t xml:space="preserve">The continuous </w:t>
      </w:r>
      <w:r w:rsidR="00BB6468">
        <w:rPr>
          <w:lang w:val="en-GB"/>
        </w:rPr>
        <w:t>expansion of the agreements, especially the EEA, has</w:t>
      </w:r>
      <w:r w:rsidR="00152498">
        <w:rPr>
          <w:lang w:val="en-GB"/>
        </w:rPr>
        <w:t xml:space="preserve"> made the EU relevant on an ever-increasing number of policy fields.</w:t>
      </w:r>
      <w:r w:rsidR="00BB6468">
        <w:rPr>
          <w:lang w:val="en-GB"/>
        </w:rPr>
        <w:t xml:space="preserve"> This may have led to </w:t>
      </w:r>
      <w:r w:rsidR="003A36F6">
        <w:rPr>
          <w:lang w:val="en-GB"/>
        </w:rPr>
        <w:t>a more extensive</w:t>
      </w:r>
      <w:r w:rsidR="00BB6468">
        <w:rPr>
          <w:lang w:val="en-GB"/>
        </w:rPr>
        <w:t xml:space="preserve"> involvement of </w:t>
      </w:r>
      <w:r w:rsidR="003A36F6">
        <w:rPr>
          <w:lang w:val="en-GB"/>
        </w:rPr>
        <w:t>lower level officials. Simultaneously, to accommodate advances in policy developments, the multi-levelled administrative system in Europe has become increasingly institutionalized and integrated, especially</w:t>
      </w:r>
      <w:r w:rsidR="00B85753">
        <w:rPr>
          <w:lang w:val="en-GB"/>
        </w:rPr>
        <w:t xml:space="preserve"> during</w:t>
      </w:r>
      <w:r w:rsidR="003A36F6">
        <w:rPr>
          <w:lang w:val="en-GB"/>
        </w:rPr>
        <w:t xml:space="preserve"> the past decade. </w:t>
      </w:r>
      <w:r w:rsidR="009D6A36">
        <w:rPr>
          <w:lang w:val="en-GB"/>
        </w:rPr>
        <w:t>It could be contended that this to some extent is reflected in</w:t>
      </w:r>
      <w:r w:rsidR="00A901A0">
        <w:rPr>
          <w:lang w:val="en-GB"/>
        </w:rPr>
        <w:t xml:space="preserve">, for example, </w:t>
      </w:r>
      <w:r w:rsidR="009D6A36">
        <w:rPr>
          <w:lang w:val="en-GB"/>
        </w:rPr>
        <w:t xml:space="preserve">the increase in patterns of interaction between lower level officials and the EU and also in the decrease in ministerial coordination. It is likely that an institutionalized European administrative system fosters </w:t>
      </w:r>
      <w:r w:rsidR="00A901A0">
        <w:rPr>
          <w:lang w:val="en-GB"/>
        </w:rPr>
        <w:t>a higher degree of routinization and</w:t>
      </w:r>
      <w:r w:rsidR="009D6A36">
        <w:rPr>
          <w:lang w:val="en-GB"/>
        </w:rPr>
        <w:t xml:space="preserve"> predictability amongst officials</w:t>
      </w:r>
      <w:r w:rsidR="00A901A0">
        <w:rPr>
          <w:lang w:val="en-GB"/>
        </w:rPr>
        <w:t xml:space="preserve"> and thus, the need for both hierarchical control and involvement decreases. Another observation that may also indicate a more </w:t>
      </w:r>
      <w:r w:rsidR="00B85753">
        <w:rPr>
          <w:lang w:val="en-GB"/>
        </w:rPr>
        <w:t>integrated</w:t>
      </w:r>
      <w:r w:rsidR="00A901A0">
        <w:rPr>
          <w:lang w:val="en-GB"/>
        </w:rPr>
        <w:t xml:space="preserve"> multileveled system, is the noteworthy decrease in importance ascribed – and interaction with –EU agencies</w:t>
      </w:r>
      <w:r w:rsidR="00B85753">
        <w:rPr>
          <w:lang w:val="en-GB"/>
        </w:rPr>
        <w:t xml:space="preserve"> during</w:t>
      </w:r>
      <w:r w:rsidR="00A901A0">
        <w:rPr>
          <w:lang w:val="en-GB"/>
        </w:rPr>
        <w:t xml:space="preserve"> the past decade. </w:t>
      </w:r>
      <w:r w:rsidR="004A0787">
        <w:rPr>
          <w:lang w:val="en-GB"/>
        </w:rPr>
        <w:t xml:space="preserve">This decrease coincides with a strengthened role of national agencies as access-points for EU agencies. </w:t>
      </w:r>
    </w:p>
    <w:p w14:paraId="0A16600F" w14:textId="77777777" w:rsidR="000715F0" w:rsidRDefault="000715F0" w:rsidP="00B85753">
      <w:pPr>
        <w:rPr>
          <w:lang w:val="en-GB"/>
        </w:rPr>
      </w:pPr>
    </w:p>
    <w:p w14:paraId="75A6D533" w14:textId="6E33BB8A" w:rsidR="00B85753" w:rsidRDefault="00B85753" w:rsidP="00B85753">
      <w:pPr>
        <w:rPr>
          <w:lang w:val="en-GB"/>
        </w:rPr>
      </w:pPr>
      <w:r>
        <w:rPr>
          <w:lang w:val="en-GB"/>
        </w:rPr>
        <w:t xml:space="preserve">A mounting </w:t>
      </w:r>
      <w:r w:rsidR="00C435E8">
        <w:rPr>
          <w:lang w:val="en-GB"/>
        </w:rPr>
        <w:t>literature</w:t>
      </w:r>
      <w:r>
        <w:rPr>
          <w:lang w:val="en-GB"/>
        </w:rPr>
        <w:t xml:space="preserve"> ha</w:t>
      </w:r>
      <w:r>
        <w:rPr>
          <w:lang w:val="en-GB"/>
        </w:rPr>
        <w:t xml:space="preserve">s documented an emergent </w:t>
      </w:r>
      <w:r>
        <w:rPr>
          <w:lang w:val="en-GB"/>
        </w:rPr>
        <w:t xml:space="preserve">interlocked European executive order. </w:t>
      </w:r>
      <w:r w:rsidR="00C435E8">
        <w:rPr>
          <w:lang w:val="en-GB"/>
        </w:rPr>
        <w:t xml:space="preserve">This study suggests how this process </w:t>
      </w:r>
      <w:r w:rsidR="00AB7BE3">
        <w:rPr>
          <w:lang w:val="en-GB"/>
        </w:rPr>
        <w:t>also manifests itself</w:t>
      </w:r>
      <w:r w:rsidR="00C435E8">
        <w:rPr>
          <w:lang w:val="en-GB"/>
        </w:rPr>
        <w:t xml:space="preserve"> beyond the formal members of the </w:t>
      </w:r>
      <w:r w:rsidR="00AB7BE3">
        <w:rPr>
          <w:lang w:val="en-GB"/>
        </w:rPr>
        <w:t>Union</w:t>
      </w:r>
      <w:r w:rsidR="00C435E8">
        <w:rPr>
          <w:lang w:val="en-GB"/>
        </w:rPr>
        <w:t xml:space="preserve"> and in effect</w:t>
      </w:r>
      <w:r>
        <w:rPr>
          <w:lang w:val="en-GB"/>
        </w:rPr>
        <w:t xml:space="preserve"> </w:t>
      </w:r>
      <w:r>
        <w:rPr>
          <w:lang w:val="en-GB"/>
        </w:rPr>
        <w:t>r</w:t>
      </w:r>
      <w:r>
        <w:rPr>
          <w:lang w:val="en-GB"/>
        </w:rPr>
        <w:t xml:space="preserve">ender the EU membership vs. non-membership dichotomy increasingly obsolete. </w:t>
      </w:r>
      <w:r w:rsidR="00C435E8">
        <w:rPr>
          <w:lang w:val="en-GB"/>
        </w:rPr>
        <w:t>E</w:t>
      </w:r>
      <w:r>
        <w:rPr>
          <w:lang w:val="en-GB"/>
        </w:rPr>
        <w:t xml:space="preserve">ssential parameters of public governance - also inside formally non-member states of the EU - </w:t>
      </w:r>
      <w:r w:rsidR="00C435E8">
        <w:rPr>
          <w:lang w:val="en-GB"/>
        </w:rPr>
        <w:t>are becoming</w:t>
      </w:r>
      <w:r>
        <w:rPr>
          <w:lang w:val="en-GB"/>
        </w:rPr>
        <w:t xml:space="preserve"> both tightly interconnected with EU institutions and governance processes, as well as profoundly transformed by this. </w:t>
      </w:r>
      <w:r w:rsidR="00C435E8">
        <w:rPr>
          <w:lang w:val="en-GB"/>
        </w:rPr>
        <w:t>Moreover, t</w:t>
      </w:r>
      <w:r>
        <w:rPr>
          <w:lang w:val="en-GB"/>
        </w:rPr>
        <w:t xml:space="preserve">his study </w:t>
      </w:r>
      <w:r>
        <w:rPr>
          <w:lang w:val="en-GB"/>
        </w:rPr>
        <w:lastRenderedPageBreak/>
        <w:t xml:space="preserve">suggests how the EU hits the policy-making processes over time and </w:t>
      </w:r>
      <w:r w:rsidR="00C435E8">
        <w:rPr>
          <w:lang w:val="en-GB"/>
        </w:rPr>
        <w:t>how</w:t>
      </w:r>
      <w:r>
        <w:rPr>
          <w:lang w:val="en-GB"/>
        </w:rPr>
        <w:t xml:space="preserve"> it is received differently</w:t>
      </w:r>
      <w:r w:rsidR="00AB7BE3">
        <w:rPr>
          <w:lang w:val="en-GB"/>
        </w:rPr>
        <w:t xml:space="preserve"> inside the government of the state</w:t>
      </w:r>
      <w:r>
        <w:rPr>
          <w:lang w:val="en-GB"/>
        </w:rPr>
        <w:t xml:space="preserve"> contingent on </w:t>
      </w:r>
      <w:r w:rsidR="00AB7BE3">
        <w:rPr>
          <w:lang w:val="en-GB"/>
        </w:rPr>
        <w:t>its</w:t>
      </w:r>
      <w:r w:rsidR="00C435E8">
        <w:rPr>
          <w:lang w:val="en-GB"/>
        </w:rPr>
        <w:t xml:space="preserve"> organizational architecture. </w:t>
      </w:r>
    </w:p>
    <w:p w14:paraId="23A23D5D" w14:textId="77777777" w:rsidR="00C86053" w:rsidRDefault="00C86053" w:rsidP="00B85753">
      <w:pPr>
        <w:rPr>
          <w:lang w:val="en-GB"/>
        </w:rPr>
      </w:pPr>
    </w:p>
    <w:p w14:paraId="0495262C" w14:textId="24E718A3" w:rsidR="00592C99" w:rsidRPr="00AB7BE3" w:rsidRDefault="00592C99" w:rsidP="00AB7BE3">
      <w:pPr>
        <w:spacing w:before="120" w:after="120"/>
        <w:rPr>
          <w:rFonts w:cstheme="majorHAnsi"/>
          <w:b/>
          <w:lang w:val="en-GB"/>
        </w:rPr>
      </w:pPr>
      <w:r w:rsidRPr="00AB7BE3">
        <w:rPr>
          <w:rFonts w:cstheme="majorHAnsi"/>
          <w:b/>
          <w:lang w:val="en-GB"/>
        </w:rPr>
        <w:t>References</w:t>
      </w:r>
    </w:p>
    <w:p w14:paraId="689A4550" w14:textId="09AE4AD6" w:rsidR="00C435E8" w:rsidRPr="00AB7BE3" w:rsidRDefault="000F4361"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 xml:space="preserve">Bauer, M., </w:t>
      </w:r>
      <w:r w:rsidR="00434F6B">
        <w:rPr>
          <w:rFonts w:eastAsia="Times New Roman" w:cstheme="majorHAnsi"/>
          <w:color w:val="222222"/>
          <w:shd w:val="clear" w:color="auto" w:fill="FFFFFF"/>
        </w:rPr>
        <w:t>and</w:t>
      </w:r>
      <w:r w:rsidRPr="00AB7BE3">
        <w:rPr>
          <w:rFonts w:eastAsia="Times New Roman" w:cstheme="majorHAnsi"/>
          <w:color w:val="222222"/>
          <w:shd w:val="clear" w:color="auto" w:fill="FFFFFF"/>
        </w:rPr>
        <w:t xml:space="preserve"> Trondal, J. (Eds.). (2015). </w:t>
      </w:r>
      <w:r w:rsidRPr="00AB7BE3">
        <w:rPr>
          <w:rFonts w:eastAsia="Times New Roman" w:cstheme="majorHAnsi"/>
          <w:i/>
          <w:iCs/>
          <w:color w:val="222222"/>
          <w:shd w:val="clear" w:color="auto" w:fill="FFFFFF"/>
        </w:rPr>
        <w:t>The Palgrave handbook of the European administrative system</w:t>
      </w:r>
      <w:r w:rsidRPr="00AB7BE3">
        <w:rPr>
          <w:rFonts w:eastAsia="Times New Roman" w:cstheme="majorHAnsi"/>
          <w:color w:val="222222"/>
          <w:shd w:val="clear" w:color="auto" w:fill="FFFFFF"/>
        </w:rPr>
        <w:t xml:space="preserve">. </w:t>
      </w:r>
      <w:r w:rsidR="00434F6B">
        <w:rPr>
          <w:rFonts w:eastAsia="Times New Roman" w:cstheme="majorHAnsi"/>
          <w:color w:val="222222"/>
          <w:shd w:val="clear" w:color="auto" w:fill="FFFFFF"/>
        </w:rPr>
        <w:t>Cheltenham: Palgrave Macmillan</w:t>
      </w:r>
      <w:r w:rsidRPr="00AB7BE3">
        <w:rPr>
          <w:rFonts w:eastAsia="Times New Roman" w:cstheme="majorHAnsi"/>
          <w:color w:val="222222"/>
          <w:shd w:val="clear" w:color="auto" w:fill="FFFFFF"/>
        </w:rPr>
        <w:t>.</w:t>
      </w:r>
    </w:p>
    <w:p w14:paraId="1D90F876" w14:textId="10972527" w:rsidR="00C435E8" w:rsidRPr="00AB7BE3" w:rsidRDefault="00C435E8" w:rsidP="00AB7BE3">
      <w:pPr>
        <w:spacing w:before="120" w:after="120"/>
        <w:rPr>
          <w:rFonts w:eastAsia="Times New Roman" w:cstheme="majorHAnsi"/>
        </w:rPr>
      </w:pPr>
      <w:r w:rsidRPr="00AB7BE3">
        <w:rPr>
          <w:rFonts w:eastAsia="Times New Roman" w:cstheme="majorHAnsi"/>
          <w:color w:val="222222"/>
          <w:shd w:val="clear" w:color="auto" w:fill="FFFFFF"/>
        </w:rPr>
        <w:t xml:space="preserve">Beyer, D. (2017). The neglected effects of europeanization in the member states – policy-making in directly EU-influenced and sovereign domains. </w:t>
      </w:r>
      <w:r w:rsidRPr="00AB7BE3">
        <w:rPr>
          <w:rFonts w:eastAsia="Times New Roman" w:cstheme="majorHAnsi"/>
          <w:i/>
          <w:color w:val="222222"/>
          <w:shd w:val="clear" w:color="auto" w:fill="FFFFFF"/>
        </w:rPr>
        <w:t>Journal of European Public Policy</w:t>
      </w:r>
      <w:r w:rsidRPr="00AB7BE3">
        <w:rPr>
          <w:rFonts w:eastAsia="Times New Roman" w:cstheme="majorHAnsi"/>
          <w:color w:val="222222"/>
          <w:shd w:val="clear" w:color="auto" w:fill="FFFFFF"/>
        </w:rPr>
        <w:t>. DOI: 10.1080/13501763.2017.1310275.</w:t>
      </w:r>
    </w:p>
    <w:p w14:paraId="01D14934" w14:textId="00FA0A20" w:rsidR="00974075" w:rsidRPr="00AB7BE3" w:rsidRDefault="00592C99" w:rsidP="00AB7BE3">
      <w:pPr>
        <w:spacing w:before="120" w:after="120"/>
        <w:rPr>
          <w:rFonts w:eastAsia="Times New Roman" w:cstheme="majorHAnsi"/>
          <w:color w:val="222222"/>
        </w:rPr>
      </w:pPr>
      <w:r w:rsidRPr="00AB7BE3">
        <w:rPr>
          <w:rFonts w:eastAsia="Times New Roman" w:cstheme="majorHAnsi"/>
          <w:color w:val="222222"/>
        </w:rPr>
        <w:t>Bezes, P., Fimreite, A. L., LIDEC, P. L., &amp; Lægreid, P. (2013). Understanding organizational reforms in the modern state: Specialization and integration in Norway and France. </w:t>
      </w:r>
      <w:r w:rsidRPr="00AB7BE3">
        <w:rPr>
          <w:rFonts w:eastAsia="Times New Roman" w:cstheme="majorHAnsi"/>
          <w:i/>
          <w:iCs/>
          <w:color w:val="222222"/>
        </w:rPr>
        <w:t>Governance</w:t>
      </w:r>
      <w:r w:rsidRPr="00AB7BE3">
        <w:rPr>
          <w:rFonts w:eastAsia="Times New Roman" w:cstheme="majorHAnsi"/>
          <w:color w:val="222222"/>
        </w:rPr>
        <w:t>, </w:t>
      </w:r>
      <w:r w:rsidRPr="00AB7BE3">
        <w:rPr>
          <w:rFonts w:eastAsia="Times New Roman" w:cstheme="majorHAnsi"/>
          <w:i/>
          <w:iCs/>
          <w:color w:val="222222"/>
        </w:rPr>
        <w:t>26</w:t>
      </w:r>
      <w:r w:rsidRPr="00AB7BE3">
        <w:rPr>
          <w:rFonts w:eastAsia="Times New Roman" w:cstheme="majorHAnsi"/>
          <w:color w:val="222222"/>
        </w:rPr>
        <w:t>(1), 147-175.</w:t>
      </w:r>
    </w:p>
    <w:p w14:paraId="766FE0F7" w14:textId="67DFA418" w:rsidR="00765324" w:rsidRPr="00AB7BE3" w:rsidRDefault="00765324" w:rsidP="00AB7BE3">
      <w:pPr>
        <w:spacing w:before="120" w:after="120"/>
        <w:rPr>
          <w:rFonts w:eastAsia="Times New Roman" w:cstheme="majorHAnsi"/>
        </w:rPr>
      </w:pPr>
      <w:r w:rsidRPr="00AB7BE3">
        <w:rPr>
          <w:rFonts w:eastAsia="Times New Roman" w:cstheme="majorHAnsi"/>
          <w:color w:val="222222"/>
          <w:shd w:val="clear" w:color="auto" w:fill="FFFFFF"/>
        </w:rPr>
        <w:t>Cowles, M. G., Caporaso, J. A., &amp; Risse-Kappen, T. (2001). </w:t>
      </w:r>
      <w:r w:rsidRPr="00AB7BE3">
        <w:rPr>
          <w:rFonts w:eastAsia="Times New Roman" w:cstheme="majorHAnsi"/>
          <w:i/>
          <w:iCs/>
          <w:color w:val="222222"/>
          <w:shd w:val="clear" w:color="auto" w:fill="FFFFFF"/>
        </w:rPr>
        <w:t>Transforming Europe: Europeanization and domestic change</w:t>
      </w:r>
      <w:r w:rsidRPr="00AB7BE3">
        <w:rPr>
          <w:rFonts w:eastAsia="Times New Roman" w:cstheme="majorHAnsi"/>
          <w:color w:val="222222"/>
          <w:shd w:val="clear" w:color="auto" w:fill="FFFFFF"/>
        </w:rPr>
        <w:t xml:space="preserve">. </w:t>
      </w:r>
      <w:r w:rsidR="00434F6B">
        <w:rPr>
          <w:rFonts w:eastAsia="Times New Roman" w:cstheme="majorHAnsi"/>
          <w:color w:val="222222"/>
          <w:shd w:val="clear" w:color="auto" w:fill="FFFFFF"/>
        </w:rPr>
        <w:t xml:space="preserve">Ithaka: </w:t>
      </w:r>
      <w:r w:rsidRPr="00AB7BE3">
        <w:rPr>
          <w:rFonts w:eastAsia="Times New Roman" w:cstheme="majorHAnsi"/>
          <w:color w:val="222222"/>
          <w:shd w:val="clear" w:color="auto" w:fill="FFFFFF"/>
        </w:rPr>
        <w:t>Cornell University Press.</w:t>
      </w:r>
    </w:p>
    <w:p w14:paraId="3C907578" w14:textId="46F27204"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Christensen, T., &amp; Lægreid, P. (2007). The whole‐of‐government approach to public sector reform. </w:t>
      </w:r>
      <w:r w:rsidRPr="00AB7BE3">
        <w:rPr>
          <w:rFonts w:eastAsia="Times New Roman" w:cstheme="majorHAnsi"/>
          <w:i/>
          <w:iCs/>
          <w:color w:val="222222"/>
          <w:shd w:val="clear" w:color="auto" w:fill="FFFFFF"/>
        </w:rPr>
        <w:t>Public Administration Review</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67</w:t>
      </w:r>
      <w:r w:rsidRPr="00AB7BE3">
        <w:rPr>
          <w:rFonts w:eastAsia="Times New Roman" w:cstheme="majorHAnsi"/>
          <w:color w:val="222222"/>
          <w:shd w:val="clear" w:color="auto" w:fill="FFFFFF"/>
        </w:rPr>
        <w:t>(6), 1059-1066.</w:t>
      </w:r>
    </w:p>
    <w:p w14:paraId="598BB31A" w14:textId="39775166" w:rsidR="00D31081" w:rsidRPr="00AB7BE3" w:rsidRDefault="00EF69FA" w:rsidP="00AB7BE3">
      <w:pPr>
        <w:spacing w:before="120" w:after="120"/>
        <w:rPr>
          <w:rFonts w:eastAsia="Times New Roman" w:cstheme="majorHAnsi"/>
        </w:rPr>
      </w:pPr>
      <w:r w:rsidRPr="00AB7BE3">
        <w:rPr>
          <w:rFonts w:eastAsia="Times New Roman" w:cstheme="majorHAnsi"/>
          <w:color w:val="222222"/>
          <w:shd w:val="clear" w:color="auto" w:fill="FFFFFF"/>
        </w:rPr>
        <w:t>Christensen, T., &amp; Lægreid, P. (2009). Living in the Past? Change and Continuity in the Norwegian Central Civil Service. </w:t>
      </w:r>
      <w:r w:rsidRPr="00AB7BE3">
        <w:rPr>
          <w:rFonts w:eastAsia="Times New Roman" w:cstheme="majorHAnsi"/>
          <w:i/>
          <w:iCs/>
          <w:color w:val="222222"/>
          <w:shd w:val="clear" w:color="auto" w:fill="FFFFFF"/>
        </w:rPr>
        <w:t>Public administration review</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69</w:t>
      </w:r>
      <w:r w:rsidRPr="00AB7BE3">
        <w:rPr>
          <w:rFonts w:eastAsia="Times New Roman" w:cstheme="majorHAnsi"/>
          <w:color w:val="222222"/>
          <w:shd w:val="clear" w:color="auto" w:fill="FFFFFF"/>
        </w:rPr>
        <w:t>(5), 951-961.</w:t>
      </w:r>
    </w:p>
    <w:p w14:paraId="6F869B2E" w14:textId="163AF076"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Dehousse, R. (1997). Regulation by networks in the European Community: the role of European agencies. </w:t>
      </w:r>
      <w:r w:rsidRPr="00AB7BE3">
        <w:rPr>
          <w:rFonts w:eastAsia="Times New Roman" w:cstheme="majorHAnsi"/>
          <w:i/>
          <w:iCs/>
          <w:color w:val="222222"/>
          <w:shd w:val="clear" w:color="auto" w:fill="FFFFFF"/>
        </w:rPr>
        <w:t>Journal of European public policy</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4</w:t>
      </w:r>
      <w:r w:rsidRPr="00AB7BE3">
        <w:rPr>
          <w:rFonts w:eastAsia="Times New Roman" w:cstheme="majorHAnsi"/>
          <w:color w:val="222222"/>
          <w:shd w:val="clear" w:color="auto" w:fill="FFFFFF"/>
        </w:rPr>
        <w:t>(2), 246-261.</w:t>
      </w:r>
    </w:p>
    <w:p w14:paraId="3E146B7B" w14:textId="6E279364" w:rsidR="00130D66" w:rsidRPr="00AB7BE3" w:rsidRDefault="00130D66"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Direktoratet for forvaltning og IKT</w:t>
      </w:r>
      <w:r w:rsidR="00A22433" w:rsidRPr="00AB7BE3">
        <w:rPr>
          <w:rFonts w:eastAsia="Times New Roman" w:cstheme="majorHAnsi"/>
          <w:color w:val="222222"/>
          <w:shd w:val="clear" w:color="auto" w:fill="FFFFFF"/>
        </w:rPr>
        <w:t xml:space="preserve"> (2015), </w:t>
      </w:r>
      <w:r w:rsidR="00A22433" w:rsidRPr="00AB7BE3">
        <w:rPr>
          <w:rFonts w:eastAsia="Times New Roman" w:cstheme="majorHAnsi"/>
          <w:i/>
          <w:color w:val="222222"/>
          <w:shd w:val="clear" w:color="auto" w:fill="FFFFFF"/>
        </w:rPr>
        <w:t xml:space="preserve">Ansatte i staten, </w:t>
      </w:r>
      <w:r w:rsidR="00A22433" w:rsidRPr="00AB7BE3">
        <w:rPr>
          <w:rFonts w:eastAsia="Times New Roman" w:cstheme="majorHAnsi"/>
          <w:color w:val="222222"/>
          <w:shd w:val="clear" w:color="auto" w:fill="FFFFFF"/>
        </w:rPr>
        <w:t xml:space="preserve">retrived 02.2017 from </w:t>
      </w:r>
      <w:hyperlink r:id="rId8" w:history="1">
        <w:r w:rsidR="00A22433" w:rsidRPr="00AB7BE3">
          <w:rPr>
            <w:rStyle w:val="Hyperkobling"/>
            <w:rFonts w:eastAsia="Times New Roman" w:cstheme="majorHAnsi"/>
            <w:shd w:val="clear" w:color="auto" w:fill="FFFFFF"/>
          </w:rPr>
          <w:t>https://www.difi.no/rapporter-og-statistikk/nokkeltall-og-statistikk/ansatte-i-staten</w:t>
        </w:r>
      </w:hyperlink>
      <w:r w:rsidR="00A22433" w:rsidRPr="00AB7BE3">
        <w:rPr>
          <w:rFonts w:eastAsia="Times New Roman" w:cstheme="majorHAnsi"/>
          <w:color w:val="222222"/>
          <w:shd w:val="clear" w:color="auto" w:fill="FFFFFF"/>
        </w:rPr>
        <w:t xml:space="preserve"> </w:t>
      </w:r>
    </w:p>
    <w:p w14:paraId="19FC163F" w14:textId="6BA5176E" w:rsidR="00592C99" w:rsidRPr="00AB7BE3" w:rsidRDefault="00592C99"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Direktora</w:t>
      </w:r>
      <w:r w:rsidR="00130D66" w:rsidRPr="00AB7BE3">
        <w:rPr>
          <w:rFonts w:eastAsia="Times New Roman" w:cstheme="majorHAnsi"/>
          <w:color w:val="222222"/>
          <w:shd w:val="clear" w:color="auto" w:fill="FFFFFF"/>
        </w:rPr>
        <w:t>tet for forvaltning og IKT (2016</w:t>
      </w:r>
      <w:r w:rsidRPr="00AB7BE3">
        <w:rPr>
          <w:rFonts w:eastAsia="Times New Roman" w:cstheme="majorHAnsi"/>
          <w:color w:val="222222"/>
          <w:shd w:val="clear" w:color="auto" w:fill="FFFFFF"/>
        </w:rPr>
        <w:t xml:space="preserve">), </w:t>
      </w:r>
      <w:r w:rsidRPr="00AB7BE3">
        <w:rPr>
          <w:rFonts w:eastAsia="Times New Roman" w:cstheme="majorHAnsi"/>
          <w:i/>
          <w:color w:val="222222"/>
          <w:shd w:val="clear" w:color="auto" w:fill="FFFFFF"/>
        </w:rPr>
        <w:t xml:space="preserve">Difi rapport 2016:7, Utenforskapets muligheter: om norsk påvirkning innenfor EØS, </w:t>
      </w:r>
      <w:r w:rsidRPr="00AB7BE3">
        <w:rPr>
          <w:rFonts w:eastAsia="Times New Roman" w:cstheme="majorHAnsi"/>
          <w:color w:val="222222"/>
          <w:shd w:val="clear" w:color="auto" w:fill="FFFFFF"/>
        </w:rPr>
        <w:t>Oslo: Difi</w:t>
      </w:r>
    </w:p>
    <w:p w14:paraId="699A5123" w14:textId="328BCD87" w:rsidR="00130D66" w:rsidRPr="00AB7BE3" w:rsidRDefault="007C4C4E"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Direktoratet for forvaltning og IKT (2016b),</w:t>
      </w:r>
      <w:r w:rsidR="00434F6B">
        <w:rPr>
          <w:rFonts w:eastAsia="Times New Roman" w:cstheme="majorHAnsi"/>
          <w:color w:val="222222"/>
          <w:shd w:val="clear" w:color="auto" w:fill="FFFFFF"/>
        </w:rPr>
        <w:t xml:space="preserve"> </w:t>
      </w:r>
      <w:r w:rsidRPr="00AB7BE3">
        <w:rPr>
          <w:rFonts w:eastAsia="Times New Roman" w:cstheme="majorHAnsi"/>
          <w:i/>
          <w:color w:val="222222"/>
          <w:shd w:val="clear" w:color="auto" w:fill="FFFFFF"/>
        </w:rPr>
        <w:t xml:space="preserve">Difi notat 2016:4: Utviklingen i antall ansatte i statens sentralforvaltning. </w:t>
      </w:r>
      <w:r w:rsidRPr="00AB7BE3">
        <w:rPr>
          <w:rFonts w:eastAsia="Times New Roman" w:cstheme="majorHAnsi"/>
          <w:color w:val="222222"/>
          <w:shd w:val="clear" w:color="auto" w:fill="FFFFFF"/>
        </w:rPr>
        <w:t xml:space="preserve">Retreived 02.2017 from </w:t>
      </w:r>
      <w:hyperlink r:id="rId9" w:history="1">
        <w:r w:rsidRPr="00AB7BE3">
          <w:rPr>
            <w:rStyle w:val="Hyperkobling"/>
            <w:rFonts w:eastAsia="Times New Roman" w:cstheme="majorHAnsi"/>
            <w:shd w:val="clear" w:color="auto" w:fill="FFFFFF"/>
          </w:rPr>
          <w:t>https://www.difi.no/rapport/2016/08/utviklingen-i-antall-ansatte-i-sentral-statsforvaltning</w:t>
        </w:r>
      </w:hyperlink>
      <w:r w:rsidRPr="00AB7BE3">
        <w:rPr>
          <w:rFonts w:eastAsia="Times New Roman" w:cstheme="majorHAnsi"/>
          <w:color w:val="222222"/>
          <w:shd w:val="clear" w:color="auto" w:fill="FFFFFF"/>
        </w:rPr>
        <w:t xml:space="preserve"> </w:t>
      </w:r>
    </w:p>
    <w:p w14:paraId="2936A7D4" w14:textId="0BC85B24" w:rsidR="00544680" w:rsidRDefault="00544680" w:rsidP="00AB7BE3">
      <w:pPr>
        <w:spacing w:before="120" w:after="120"/>
        <w:rPr>
          <w:rFonts w:eastAsia="Times New Roman" w:cstheme="majorHAnsi"/>
          <w:shd w:val="clear" w:color="auto" w:fill="FFFFFF"/>
        </w:rPr>
      </w:pPr>
      <w:r>
        <w:rPr>
          <w:rFonts w:eastAsia="Times New Roman" w:cstheme="majorHAnsi"/>
          <w:shd w:val="clear" w:color="auto" w:fill="FFFFFF"/>
        </w:rPr>
        <w:t xml:space="preserve">Egeberg, M. (ed.) (2006) </w:t>
      </w:r>
      <w:r w:rsidRPr="00544680">
        <w:rPr>
          <w:rFonts w:eastAsia="Times New Roman" w:cstheme="majorHAnsi"/>
          <w:i/>
          <w:shd w:val="clear" w:color="auto" w:fill="FFFFFF"/>
        </w:rPr>
        <w:t>Multilevel Union Administration</w:t>
      </w:r>
      <w:r>
        <w:rPr>
          <w:rFonts w:eastAsia="Times New Roman" w:cstheme="majorHAnsi"/>
          <w:shd w:val="clear" w:color="auto" w:fill="FFFFFF"/>
        </w:rPr>
        <w:t>. Houndmills: Palgrave Macmillan.</w:t>
      </w:r>
    </w:p>
    <w:p w14:paraId="67588B93" w14:textId="77777777" w:rsidR="00434F6B" w:rsidRPr="00AB7BE3" w:rsidRDefault="00434F6B" w:rsidP="00434F6B">
      <w:pPr>
        <w:spacing w:before="120" w:after="120"/>
        <w:rPr>
          <w:rFonts w:eastAsia="Times New Roman" w:cstheme="majorHAnsi"/>
        </w:rPr>
      </w:pPr>
      <w:r w:rsidRPr="00AB7BE3">
        <w:rPr>
          <w:rFonts w:eastAsia="Times New Roman" w:cstheme="majorHAnsi"/>
          <w:color w:val="222222"/>
          <w:shd w:val="clear" w:color="auto" w:fill="FFFFFF"/>
        </w:rPr>
        <w:t>Egeberg, M. (2012). How bureaucratic structure matters: An organizational perspective. </w:t>
      </w:r>
      <w:r w:rsidRPr="00AB7BE3">
        <w:rPr>
          <w:rFonts w:eastAsia="Times New Roman" w:cstheme="majorHAnsi"/>
          <w:i/>
          <w:iCs/>
          <w:color w:val="222222"/>
          <w:shd w:val="clear" w:color="auto" w:fill="FFFFFF"/>
        </w:rPr>
        <w:t>w: M. Egeberg (red.), The Handbook of Public Administration</w:t>
      </w:r>
      <w:r w:rsidRPr="00AB7BE3">
        <w:rPr>
          <w:rFonts w:eastAsia="Times New Roman" w:cstheme="majorHAnsi"/>
          <w:color w:val="222222"/>
          <w:shd w:val="clear" w:color="auto" w:fill="FFFFFF"/>
        </w:rPr>
        <w:t>, 77-87.</w:t>
      </w:r>
    </w:p>
    <w:p w14:paraId="665FF69F" w14:textId="77777777" w:rsidR="00434F6B" w:rsidRPr="00AB7BE3" w:rsidRDefault="00434F6B" w:rsidP="00434F6B">
      <w:pPr>
        <w:spacing w:before="120" w:after="120"/>
        <w:rPr>
          <w:rFonts w:eastAsia="Times New Roman" w:cstheme="majorHAnsi"/>
        </w:rPr>
      </w:pPr>
      <w:r w:rsidRPr="00AB7BE3">
        <w:rPr>
          <w:rFonts w:eastAsia="Times New Roman" w:cstheme="majorHAnsi"/>
          <w:color w:val="222222"/>
          <w:shd w:val="clear" w:color="auto" w:fill="FFFFFF"/>
        </w:rPr>
        <w:t>Egeberg, Gornitzka and Trondal (2016), ’Organization Theory’ in Ansell and Tofing (eds), Handbook on Theories of governance. Edward Elgar Publishing.</w:t>
      </w:r>
    </w:p>
    <w:p w14:paraId="6C812EA9" w14:textId="020C3414" w:rsidR="00EF69FA" w:rsidRPr="00AB7BE3" w:rsidRDefault="00EF69FA" w:rsidP="00AB7BE3">
      <w:pPr>
        <w:spacing w:before="120" w:after="120"/>
        <w:rPr>
          <w:rFonts w:eastAsia="Times New Roman" w:cstheme="majorHAnsi"/>
          <w:color w:val="222222"/>
          <w:shd w:val="clear" w:color="auto" w:fill="FFFFFF"/>
        </w:rPr>
      </w:pPr>
      <w:r w:rsidRPr="00AB7BE3">
        <w:rPr>
          <w:rFonts w:eastAsia="Times New Roman" w:cstheme="majorHAnsi"/>
          <w:shd w:val="clear" w:color="auto" w:fill="FFFFFF"/>
        </w:rPr>
        <w:t>Egeberg, M., &amp; Sætren,</w:t>
      </w:r>
      <w:r w:rsidR="00C435E8" w:rsidRPr="00AB7BE3">
        <w:rPr>
          <w:rFonts w:eastAsia="Times New Roman" w:cstheme="majorHAnsi"/>
          <w:shd w:val="clear" w:color="auto" w:fill="FFFFFF"/>
        </w:rPr>
        <w:t xml:space="preserve"> H. (1999). Identities in Complex Organizations: A study of ministerial </w:t>
      </w:r>
      <w:r w:rsidR="00C435E8" w:rsidRPr="00AB7BE3">
        <w:rPr>
          <w:rFonts w:eastAsia="Times New Roman" w:cstheme="majorHAnsi"/>
          <w:color w:val="222222"/>
          <w:shd w:val="clear" w:color="auto" w:fill="FFFFFF"/>
        </w:rPr>
        <w:t xml:space="preserve">bureaucrats. In M. Egeberg and P. Lægreid (eds.) </w:t>
      </w:r>
      <w:r w:rsidR="00C435E8" w:rsidRPr="00AB7BE3">
        <w:rPr>
          <w:rFonts w:eastAsia="Times New Roman" w:cstheme="majorHAnsi"/>
          <w:i/>
          <w:color w:val="222222"/>
          <w:shd w:val="clear" w:color="auto" w:fill="FFFFFF"/>
        </w:rPr>
        <w:t>Organizing Political Institutions</w:t>
      </w:r>
      <w:r w:rsidR="00C435E8" w:rsidRPr="00AB7BE3">
        <w:rPr>
          <w:rFonts w:eastAsia="Times New Roman" w:cstheme="majorHAnsi"/>
          <w:color w:val="222222"/>
          <w:shd w:val="clear" w:color="auto" w:fill="FFFFFF"/>
        </w:rPr>
        <w:t>. Oslo: Scandinavian University Press.</w:t>
      </w:r>
    </w:p>
    <w:p w14:paraId="655AB891" w14:textId="6E294D73" w:rsidR="00C23445" w:rsidRPr="00AB7BE3" w:rsidRDefault="00592C99"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Egeberg, M., &amp; Trondal, J. (1999). Differentiated integration in Europe: The case of EEA country, Norway. </w:t>
      </w:r>
      <w:r w:rsidRPr="00AB7BE3">
        <w:rPr>
          <w:rFonts w:eastAsia="Times New Roman" w:cstheme="majorHAnsi"/>
          <w:i/>
          <w:iCs/>
          <w:color w:val="222222"/>
          <w:shd w:val="clear" w:color="auto" w:fill="FFFFFF"/>
        </w:rPr>
        <w:t>JCMS: Journal of Common Market Studies</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37</w:t>
      </w:r>
      <w:r w:rsidRPr="00AB7BE3">
        <w:rPr>
          <w:rFonts w:eastAsia="Times New Roman" w:cstheme="majorHAnsi"/>
          <w:color w:val="222222"/>
          <w:shd w:val="clear" w:color="auto" w:fill="FFFFFF"/>
        </w:rPr>
        <w:t>(1), 133-142.</w:t>
      </w:r>
    </w:p>
    <w:p w14:paraId="4273C3BF" w14:textId="29EDA9E0" w:rsidR="00C23445" w:rsidRPr="00AB7BE3" w:rsidRDefault="00C23445" w:rsidP="00AB7BE3">
      <w:pPr>
        <w:spacing w:before="120" w:after="120"/>
        <w:rPr>
          <w:rFonts w:eastAsia="Times New Roman" w:cstheme="majorHAnsi"/>
        </w:rPr>
      </w:pPr>
      <w:r w:rsidRPr="00AB7BE3">
        <w:rPr>
          <w:rFonts w:eastAsia="Times New Roman" w:cstheme="majorHAnsi"/>
          <w:color w:val="222222"/>
          <w:shd w:val="clear" w:color="auto" w:fill="FFFFFF"/>
        </w:rPr>
        <w:t>Egeberg, M., &amp; Trondal, J. (2009</w:t>
      </w:r>
      <w:r w:rsidR="00C435E8" w:rsidRPr="00AB7BE3">
        <w:rPr>
          <w:rFonts w:eastAsia="Times New Roman" w:cstheme="majorHAnsi"/>
          <w:color w:val="222222"/>
          <w:shd w:val="clear" w:color="auto" w:fill="FFFFFF"/>
        </w:rPr>
        <w:t>a</w:t>
      </w:r>
      <w:r w:rsidRPr="00AB7BE3">
        <w:rPr>
          <w:rFonts w:eastAsia="Times New Roman" w:cstheme="majorHAnsi"/>
          <w:color w:val="222222"/>
          <w:shd w:val="clear" w:color="auto" w:fill="FFFFFF"/>
        </w:rPr>
        <w:t>). National agencies in the European administrative space: government driven, c</w:t>
      </w:r>
      <w:r w:rsidR="00AB7BE3" w:rsidRPr="00AB7BE3">
        <w:rPr>
          <w:rFonts w:eastAsia="Times New Roman" w:cstheme="majorHAnsi"/>
          <w:color w:val="222222"/>
          <w:shd w:val="clear" w:color="auto" w:fill="FFFFFF"/>
        </w:rPr>
        <w:t xml:space="preserve">ommission driven or networked? </w:t>
      </w:r>
      <w:r w:rsidRPr="00AB7BE3">
        <w:rPr>
          <w:rFonts w:eastAsia="Times New Roman" w:cstheme="majorHAnsi"/>
          <w:i/>
          <w:iCs/>
          <w:color w:val="222222"/>
          <w:shd w:val="clear" w:color="auto" w:fill="FFFFFF"/>
        </w:rPr>
        <w:t>Public Administration</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87</w:t>
      </w:r>
      <w:r w:rsidRPr="00AB7BE3">
        <w:rPr>
          <w:rFonts w:eastAsia="Times New Roman" w:cstheme="majorHAnsi"/>
          <w:color w:val="222222"/>
          <w:shd w:val="clear" w:color="auto" w:fill="FFFFFF"/>
        </w:rPr>
        <w:t>(4), 779-790.</w:t>
      </w:r>
    </w:p>
    <w:p w14:paraId="08607D44" w14:textId="7A56647F" w:rsidR="00862FCA" w:rsidRPr="00AB7BE3" w:rsidRDefault="00862FCA" w:rsidP="00AB7BE3">
      <w:pPr>
        <w:spacing w:before="120" w:after="120"/>
        <w:rPr>
          <w:rFonts w:eastAsia="Times New Roman" w:cstheme="majorHAnsi"/>
        </w:rPr>
      </w:pPr>
      <w:r w:rsidRPr="00AB7BE3">
        <w:rPr>
          <w:rFonts w:eastAsia="Times New Roman" w:cstheme="majorHAnsi"/>
          <w:color w:val="222222"/>
          <w:shd w:val="clear" w:color="auto" w:fill="FFFFFF"/>
        </w:rPr>
        <w:lastRenderedPageBreak/>
        <w:t>Egeberg, M., &amp; Trondal, J. (2009</w:t>
      </w:r>
      <w:r w:rsidR="007E68E4" w:rsidRPr="00AB7BE3">
        <w:rPr>
          <w:rFonts w:eastAsia="Times New Roman" w:cstheme="majorHAnsi"/>
          <w:color w:val="222222"/>
          <w:shd w:val="clear" w:color="auto" w:fill="FFFFFF"/>
        </w:rPr>
        <w:t>b</w:t>
      </w:r>
      <w:r w:rsidRPr="00AB7BE3">
        <w:rPr>
          <w:rFonts w:eastAsia="Times New Roman" w:cstheme="majorHAnsi"/>
          <w:color w:val="222222"/>
          <w:shd w:val="clear" w:color="auto" w:fill="FFFFFF"/>
        </w:rPr>
        <w:t>). Political leadership and bureaucratic autonomy: Effects of agencification. </w:t>
      </w:r>
      <w:r w:rsidRPr="00AB7BE3">
        <w:rPr>
          <w:rFonts w:eastAsia="Times New Roman" w:cstheme="majorHAnsi"/>
          <w:i/>
          <w:iCs/>
          <w:color w:val="222222"/>
          <w:shd w:val="clear" w:color="auto" w:fill="FFFFFF"/>
        </w:rPr>
        <w:t>Governance</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22</w:t>
      </w:r>
      <w:r w:rsidRPr="00AB7BE3">
        <w:rPr>
          <w:rFonts w:eastAsia="Times New Roman" w:cstheme="majorHAnsi"/>
          <w:color w:val="222222"/>
          <w:shd w:val="clear" w:color="auto" w:fill="FFFFFF"/>
        </w:rPr>
        <w:t>(4), 673-688.</w:t>
      </w:r>
    </w:p>
    <w:p w14:paraId="074C4A9A" w14:textId="1B2802ED"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Egeberg, M., &amp; Trondal, J. (2015). Why strong coordination at one level of government is incompatible with strong coordination across levels (and how to live with it): The case of the European Union. </w:t>
      </w:r>
      <w:r w:rsidRPr="00AB7BE3">
        <w:rPr>
          <w:rFonts w:eastAsia="Times New Roman" w:cstheme="majorHAnsi"/>
          <w:i/>
          <w:iCs/>
          <w:color w:val="222222"/>
          <w:shd w:val="clear" w:color="auto" w:fill="FFFFFF"/>
        </w:rPr>
        <w:t>Public Administration</w:t>
      </w:r>
    </w:p>
    <w:p w14:paraId="2CC8A9F8" w14:textId="451BB937"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Gulick, L. (1937). Notes on the Theory of Organization. </w:t>
      </w:r>
      <w:r w:rsidRPr="00AB7BE3">
        <w:rPr>
          <w:rFonts w:eastAsia="Times New Roman" w:cstheme="majorHAnsi"/>
          <w:i/>
          <w:iCs/>
          <w:color w:val="222222"/>
          <w:shd w:val="clear" w:color="auto" w:fill="FFFFFF"/>
        </w:rPr>
        <w:t>Classics of organization theory</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3</w:t>
      </w:r>
      <w:r w:rsidRPr="00AB7BE3">
        <w:rPr>
          <w:rFonts w:eastAsia="Times New Roman" w:cstheme="majorHAnsi"/>
          <w:color w:val="222222"/>
          <w:shd w:val="clear" w:color="auto" w:fill="FFFFFF"/>
        </w:rPr>
        <w:t>, 87-95.</w:t>
      </w:r>
    </w:p>
    <w:p w14:paraId="49B72D42" w14:textId="46591C6B" w:rsidR="00592C99" w:rsidRDefault="002D526D" w:rsidP="00AB7BE3">
      <w:pPr>
        <w:spacing w:before="120" w:after="120"/>
        <w:rPr>
          <w:rFonts w:eastAsia="Times New Roman" w:cstheme="majorHAnsi"/>
          <w:color w:val="222222"/>
        </w:rPr>
      </w:pPr>
      <w:r>
        <w:rPr>
          <w:rFonts w:eastAsia="Times New Roman" w:cstheme="majorHAnsi"/>
          <w:color w:val="222222"/>
        </w:rPr>
        <w:t>Graziano, P., &amp; Vink, M. (e</w:t>
      </w:r>
      <w:r w:rsidR="00592C99" w:rsidRPr="00AB7BE3">
        <w:rPr>
          <w:rFonts w:eastAsia="Times New Roman" w:cstheme="majorHAnsi"/>
          <w:color w:val="222222"/>
        </w:rPr>
        <w:t>ds.). (200</w:t>
      </w:r>
      <w:r>
        <w:rPr>
          <w:rFonts w:eastAsia="Times New Roman" w:cstheme="majorHAnsi"/>
          <w:color w:val="222222"/>
        </w:rPr>
        <w:t>7</w:t>
      </w:r>
      <w:r w:rsidR="00592C99" w:rsidRPr="00AB7BE3">
        <w:rPr>
          <w:rFonts w:eastAsia="Times New Roman" w:cstheme="majorHAnsi"/>
          <w:color w:val="222222"/>
        </w:rPr>
        <w:t>). </w:t>
      </w:r>
      <w:r w:rsidR="00434F6B">
        <w:rPr>
          <w:rFonts w:eastAsia="Times New Roman" w:cstheme="majorHAnsi"/>
          <w:i/>
          <w:iCs/>
          <w:color w:val="222222"/>
        </w:rPr>
        <w:t>Europeanization</w:t>
      </w:r>
      <w:r w:rsidR="00592C99" w:rsidRPr="00AB7BE3">
        <w:rPr>
          <w:rFonts w:eastAsia="Times New Roman" w:cstheme="majorHAnsi"/>
          <w:color w:val="222222"/>
        </w:rPr>
        <w:t xml:space="preserve">. </w:t>
      </w:r>
      <w:r w:rsidR="00434F6B">
        <w:rPr>
          <w:rFonts w:eastAsia="Times New Roman" w:cstheme="majorHAnsi"/>
          <w:color w:val="222222"/>
        </w:rPr>
        <w:t>Cheltenham: Palgrave Macmillan</w:t>
      </w:r>
      <w:r w:rsidR="00592C99" w:rsidRPr="00AB7BE3">
        <w:rPr>
          <w:rFonts w:eastAsia="Times New Roman" w:cstheme="majorHAnsi"/>
          <w:color w:val="222222"/>
        </w:rPr>
        <w:t>.</w:t>
      </w:r>
    </w:p>
    <w:p w14:paraId="2B61B17C" w14:textId="2E2D4C3E" w:rsidR="00434F6B" w:rsidRDefault="00434F6B" w:rsidP="00AB7BE3">
      <w:pPr>
        <w:spacing w:before="120" w:after="120"/>
        <w:rPr>
          <w:rFonts w:eastAsia="Times New Roman" w:cstheme="majorHAnsi"/>
          <w:color w:val="222222"/>
        </w:rPr>
      </w:pPr>
      <w:r>
        <w:rPr>
          <w:rFonts w:eastAsia="Times New Roman" w:cstheme="majorHAnsi"/>
          <w:color w:val="222222"/>
        </w:rPr>
        <w:t xml:space="preserve">Hanf, K. and Soetendorp, B. (eds.) (1998) </w:t>
      </w:r>
      <w:r w:rsidRPr="00434F6B">
        <w:rPr>
          <w:rFonts w:eastAsia="Times New Roman" w:cstheme="majorHAnsi"/>
          <w:i/>
          <w:color w:val="222222"/>
        </w:rPr>
        <w:t>Adapting to European Integration</w:t>
      </w:r>
      <w:r>
        <w:rPr>
          <w:rFonts w:eastAsia="Times New Roman" w:cstheme="majorHAnsi"/>
          <w:color w:val="222222"/>
        </w:rPr>
        <w:t>. London: Longman.</w:t>
      </w:r>
    </w:p>
    <w:p w14:paraId="01568CD0" w14:textId="47C8534E" w:rsidR="00434F6B" w:rsidRPr="00AB7BE3" w:rsidRDefault="00434F6B" w:rsidP="00AB7BE3">
      <w:pPr>
        <w:spacing w:before="120" w:after="120"/>
        <w:rPr>
          <w:rFonts w:cstheme="majorHAnsi"/>
          <w:lang w:val="en-GB"/>
        </w:rPr>
      </w:pPr>
      <w:r>
        <w:rPr>
          <w:rFonts w:eastAsia="Times New Roman" w:cstheme="majorHAnsi"/>
          <w:color w:val="222222"/>
        </w:rPr>
        <w:t xml:space="preserve">Hèretier, A., Kerwer, D., Knill, C., Lehmkuhl, D., Teutsch, M. and Douillet, A.-C. (2001) </w:t>
      </w:r>
      <w:r w:rsidRPr="00434F6B">
        <w:rPr>
          <w:rFonts w:eastAsia="Times New Roman" w:cstheme="majorHAnsi"/>
          <w:i/>
          <w:color w:val="222222"/>
        </w:rPr>
        <w:t>Differential Europe</w:t>
      </w:r>
      <w:r>
        <w:rPr>
          <w:rFonts w:eastAsia="Times New Roman" w:cstheme="majorHAnsi"/>
          <w:color w:val="222222"/>
        </w:rPr>
        <w:t>. Lanham: Rowman &amp; Littlefield.</w:t>
      </w:r>
    </w:p>
    <w:p w14:paraId="1804B746" w14:textId="484C539B" w:rsidR="00F758A8" w:rsidRPr="00AB7BE3" w:rsidRDefault="00F758A8"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Kassim, H., Peters, G., &amp; Wright, V. (2000). </w:t>
      </w:r>
      <w:r w:rsidRPr="00AB7BE3">
        <w:rPr>
          <w:rFonts w:eastAsia="Times New Roman" w:cstheme="majorHAnsi"/>
          <w:i/>
          <w:iCs/>
          <w:color w:val="222222"/>
          <w:shd w:val="clear" w:color="auto" w:fill="FFFFFF"/>
        </w:rPr>
        <w:t>The national co-ordination of EU policy: The domestic level</w:t>
      </w:r>
      <w:r w:rsidRPr="00AB7BE3">
        <w:rPr>
          <w:rFonts w:eastAsia="Times New Roman" w:cstheme="majorHAnsi"/>
          <w:color w:val="222222"/>
          <w:shd w:val="clear" w:color="auto" w:fill="FFFFFF"/>
        </w:rPr>
        <w:t xml:space="preserve"> (Vol. 1). </w:t>
      </w:r>
      <w:r w:rsidR="00434F6B">
        <w:rPr>
          <w:rFonts w:eastAsia="Times New Roman" w:cstheme="majorHAnsi"/>
          <w:color w:val="222222"/>
          <w:shd w:val="clear" w:color="auto" w:fill="FFFFFF"/>
        </w:rPr>
        <w:t xml:space="preserve">Oxford: </w:t>
      </w:r>
      <w:r w:rsidRPr="00AB7BE3">
        <w:rPr>
          <w:rFonts w:eastAsia="Times New Roman" w:cstheme="majorHAnsi"/>
          <w:color w:val="222222"/>
          <w:shd w:val="clear" w:color="auto" w:fill="FFFFFF"/>
        </w:rPr>
        <w:t>Oxford University Press.</w:t>
      </w:r>
    </w:p>
    <w:p w14:paraId="4233AC2B" w14:textId="3636A0B3" w:rsidR="002D526D" w:rsidRDefault="002D526D" w:rsidP="00AB7BE3">
      <w:pPr>
        <w:spacing w:before="120" w:after="120"/>
        <w:rPr>
          <w:rFonts w:eastAsia="Times New Roman" w:cstheme="majorHAnsi"/>
          <w:color w:val="222222"/>
          <w:shd w:val="clear" w:color="auto" w:fill="FFFFFF"/>
        </w:rPr>
      </w:pPr>
      <w:r>
        <w:rPr>
          <w:rFonts w:eastAsia="Times New Roman" w:cstheme="majorHAnsi"/>
          <w:color w:val="222222"/>
          <w:shd w:val="clear" w:color="auto" w:fill="FFFFFF"/>
        </w:rPr>
        <w:t xml:space="preserve">Knill, C. (2001) </w:t>
      </w:r>
      <w:r w:rsidRPr="002D526D">
        <w:rPr>
          <w:rFonts w:eastAsia="Times New Roman" w:cstheme="majorHAnsi"/>
          <w:i/>
          <w:color w:val="222222"/>
          <w:shd w:val="clear" w:color="auto" w:fill="FFFFFF"/>
        </w:rPr>
        <w:t>The Europeanisation of National Administration</w:t>
      </w:r>
      <w:r>
        <w:rPr>
          <w:rFonts w:eastAsia="Times New Roman" w:cstheme="majorHAnsi"/>
          <w:color w:val="222222"/>
          <w:shd w:val="clear" w:color="auto" w:fill="FFFFFF"/>
        </w:rPr>
        <w:t>. Cambridge: Cambridge University Press.</w:t>
      </w:r>
    </w:p>
    <w:p w14:paraId="4EA9DC14" w14:textId="67CD188C" w:rsidR="00C435E8" w:rsidRPr="00AB7BE3" w:rsidRDefault="00765324"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Knill, C., &amp; Lehmkuhl, D. (1999). How Europe matters. Different mechanisms of europeanization.</w:t>
      </w:r>
    </w:p>
    <w:p w14:paraId="3EFDA9F8" w14:textId="24B36EA2" w:rsidR="00C435E8" w:rsidRPr="00AB7BE3" w:rsidRDefault="00C435E8" w:rsidP="00AB7BE3">
      <w:pPr>
        <w:spacing w:before="120" w:after="120"/>
        <w:rPr>
          <w:rFonts w:eastAsia="Times New Roman" w:cstheme="majorHAnsi"/>
        </w:rPr>
      </w:pPr>
      <w:r w:rsidRPr="00AB7BE3">
        <w:rPr>
          <w:rFonts w:eastAsia="Times New Roman" w:cstheme="majorHAnsi"/>
          <w:color w:val="222222"/>
          <w:shd w:val="clear" w:color="auto" w:fill="FFFFFF"/>
        </w:rPr>
        <w:t xml:space="preserve">Laffan, B. (2016) </w:t>
      </w:r>
      <w:r w:rsidR="00052BC5" w:rsidRPr="00AB7BE3">
        <w:rPr>
          <w:rFonts w:eastAsia="Times New Roman" w:cstheme="majorHAnsi"/>
          <w:color w:val="222222"/>
          <w:shd w:val="clear" w:color="auto" w:fill="FFFFFF"/>
        </w:rPr>
        <w:t xml:space="preserve">Europe’s union in crisis: tested and contested. </w:t>
      </w:r>
      <w:r w:rsidR="00052BC5" w:rsidRPr="00AB7BE3">
        <w:rPr>
          <w:rFonts w:eastAsia="Times New Roman" w:cstheme="majorHAnsi"/>
          <w:i/>
          <w:color w:val="222222"/>
          <w:shd w:val="clear" w:color="auto" w:fill="FFFFFF"/>
        </w:rPr>
        <w:t>West European Politics</w:t>
      </w:r>
      <w:r w:rsidR="00052BC5" w:rsidRPr="00AB7BE3">
        <w:rPr>
          <w:rFonts w:eastAsia="Times New Roman" w:cstheme="majorHAnsi"/>
          <w:color w:val="222222"/>
          <w:shd w:val="clear" w:color="auto" w:fill="FFFFFF"/>
        </w:rPr>
        <w:t xml:space="preserve"> 39(5): 915-932.</w:t>
      </w:r>
    </w:p>
    <w:p w14:paraId="0D413E70" w14:textId="4355C8E4"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Levi-Faur, D. (2011). Regulatory networks and regulatory agencification: towards a Single European Regulatory Space. </w:t>
      </w:r>
      <w:r w:rsidRPr="00AB7BE3">
        <w:rPr>
          <w:rFonts w:eastAsia="Times New Roman" w:cstheme="majorHAnsi"/>
          <w:i/>
          <w:iCs/>
          <w:color w:val="222222"/>
          <w:shd w:val="clear" w:color="auto" w:fill="FFFFFF"/>
        </w:rPr>
        <w:t>Journal of European Public Policy</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18</w:t>
      </w:r>
      <w:r w:rsidRPr="00AB7BE3">
        <w:rPr>
          <w:rFonts w:eastAsia="Times New Roman" w:cstheme="majorHAnsi"/>
          <w:color w:val="222222"/>
          <w:shd w:val="clear" w:color="auto" w:fill="FFFFFF"/>
        </w:rPr>
        <w:t>(6), 810-829.</w:t>
      </w:r>
    </w:p>
    <w:p w14:paraId="1B050E87" w14:textId="77777777"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Lægreid, P., Rolland, V. W., Roness, P. G., &amp; Ågotnes, J. E. (2010). The structural anatomy of the Norwegian state: Increased specialization or a pendulum shift?. In </w:t>
      </w:r>
      <w:r w:rsidRPr="00AB7BE3">
        <w:rPr>
          <w:rFonts w:eastAsia="Times New Roman" w:cstheme="majorHAnsi"/>
          <w:i/>
          <w:iCs/>
          <w:color w:val="222222"/>
          <w:shd w:val="clear" w:color="auto" w:fill="FFFFFF"/>
        </w:rPr>
        <w:t>Governance of public sector organizations</w:t>
      </w:r>
      <w:r w:rsidRPr="00AB7BE3">
        <w:rPr>
          <w:rFonts w:eastAsia="Times New Roman" w:cstheme="majorHAnsi"/>
          <w:color w:val="222222"/>
          <w:shd w:val="clear" w:color="auto" w:fill="FFFFFF"/>
        </w:rPr>
        <w:t> (pp. 21-43). Palgrave Macmillan UK.</w:t>
      </w:r>
    </w:p>
    <w:p w14:paraId="27C4C7E1" w14:textId="586ECCCF" w:rsidR="00592C99" w:rsidRPr="00AB7BE3" w:rsidRDefault="00592C99"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Lægreid, P., &amp; Verhoest, K. (Eds.). (2010). </w:t>
      </w:r>
      <w:r w:rsidRPr="00AB7BE3">
        <w:rPr>
          <w:rFonts w:eastAsia="Times New Roman" w:cstheme="majorHAnsi"/>
          <w:i/>
          <w:iCs/>
          <w:color w:val="222222"/>
          <w:shd w:val="clear" w:color="auto" w:fill="FFFFFF"/>
        </w:rPr>
        <w:t>Governance of public sector organizations: Proliferation, autonomy and performance</w:t>
      </w:r>
      <w:r w:rsidRPr="00AB7BE3">
        <w:rPr>
          <w:rFonts w:eastAsia="Times New Roman" w:cstheme="majorHAnsi"/>
          <w:color w:val="222222"/>
          <w:shd w:val="clear" w:color="auto" w:fill="FFFFFF"/>
        </w:rPr>
        <w:t xml:space="preserve">. </w:t>
      </w:r>
      <w:r w:rsidR="00434F6B">
        <w:rPr>
          <w:rFonts w:eastAsia="Times New Roman" w:cstheme="majorHAnsi"/>
          <w:color w:val="222222"/>
          <w:shd w:val="clear" w:color="auto" w:fill="FFFFFF"/>
        </w:rPr>
        <w:t>Cheltenham: Palgrave Macmillan</w:t>
      </w:r>
      <w:r w:rsidRPr="00AB7BE3">
        <w:rPr>
          <w:rFonts w:eastAsia="Times New Roman" w:cstheme="majorHAnsi"/>
          <w:color w:val="222222"/>
          <w:shd w:val="clear" w:color="auto" w:fill="FFFFFF"/>
        </w:rPr>
        <w:t>.</w:t>
      </w:r>
    </w:p>
    <w:p w14:paraId="2DB96BAA" w14:textId="3D642782" w:rsidR="00F41FB8" w:rsidRPr="00AB7BE3" w:rsidRDefault="00F41FB8"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 xml:space="preserve">March, J.G. (1994) </w:t>
      </w:r>
      <w:r w:rsidRPr="00AB7BE3">
        <w:rPr>
          <w:rFonts w:eastAsia="Times New Roman" w:cstheme="majorHAnsi"/>
          <w:i/>
          <w:color w:val="222222"/>
          <w:shd w:val="clear" w:color="auto" w:fill="FFFFFF"/>
        </w:rPr>
        <w:t>A Primer on Decison-Making</w:t>
      </w:r>
      <w:r w:rsidRPr="00AB7BE3">
        <w:rPr>
          <w:rFonts w:eastAsia="Times New Roman" w:cstheme="majorHAnsi"/>
          <w:color w:val="222222"/>
          <w:shd w:val="clear" w:color="auto" w:fill="FFFFFF"/>
        </w:rPr>
        <w:t>. New York: The Free Press.</w:t>
      </w:r>
    </w:p>
    <w:p w14:paraId="18D1CEED" w14:textId="386FAB54" w:rsidR="00592C99" w:rsidRPr="00AB7BE3" w:rsidRDefault="0040114F" w:rsidP="00AB7BE3">
      <w:pPr>
        <w:spacing w:before="120" w:after="120"/>
        <w:rPr>
          <w:rFonts w:eastAsia="Times New Roman" w:cstheme="majorHAnsi"/>
        </w:rPr>
      </w:pPr>
      <w:r w:rsidRPr="00AB7BE3">
        <w:rPr>
          <w:rFonts w:eastAsia="Times New Roman" w:cstheme="majorHAnsi"/>
          <w:color w:val="222222"/>
        </w:rPr>
        <w:t>Majone, G., &amp; Baake, P. (1996). </w:t>
      </w:r>
      <w:r w:rsidR="00167005">
        <w:rPr>
          <w:rFonts w:eastAsia="Times New Roman" w:cstheme="majorHAnsi"/>
          <w:i/>
          <w:iCs/>
          <w:color w:val="222222"/>
        </w:rPr>
        <w:t>Regulating E</w:t>
      </w:r>
      <w:r w:rsidRPr="00AB7BE3">
        <w:rPr>
          <w:rFonts w:eastAsia="Times New Roman" w:cstheme="majorHAnsi"/>
          <w:i/>
          <w:iCs/>
          <w:color w:val="222222"/>
        </w:rPr>
        <w:t>urope</w:t>
      </w:r>
      <w:r w:rsidRPr="00AB7BE3">
        <w:rPr>
          <w:rFonts w:eastAsia="Times New Roman" w:cstheme="majorHAnsi"/>
          <w:color w:val="222222"/>
        </w:rPr>
        <w:t xml:space="preserve">. </w:t>
      </w:r>
      <w:r w:rsidR="00167005">
        <w:rPr>
          <w:rFonts w:eastAsia="Times New Roman" w:cstheme="majorHAnsi"/>
          <w:color w:val="222222"/>
        </w:rPr>
        <w:t>London: Routledge</w:t>
      </w:r>
      <w:r w:rsidRPr="00AB7BE3">
        <w:rPr>
          <w:rFonts w:eastAsia="Times New Roman" w:cstheme="majorHAnsi"/>
          <w:color w:val="222222"/>
        </w:rPr>
        <w:t>.</w:t>
      </w:r>
    </w:p>
    <w:p w14:paraId="3B562766" w14:textId="595F8E25"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March, J. G., Olsen, J. P., Christensen, S., &amp; Cohen, M. D. (1976). </w:t>
      </w:r>
      <w:r w:rsidR="00167005">
        <w:rPr>
          <w:rFonts w:eastAsia="Times New Roman" w:cstheme="majorHAnsi"/>
          <w:i/>
          <w:iCs/>
          <w:color w:val="222222"/>
          <w:shd w:val="clear" w:color="auto" w:fill="FFFFFF"/>
        </w:rPr>
        <w:t>Ambiguity and Choice in O</w:t>
      </w:r>
      <w:r w:rsidRPr="00AB7BE3">
        <w:rPr>
          <w:rFonts w:eastAsia="Times New Roman" w:cstheme="majorHAnsi"/>
          <w:i/>
          <w:iCs/>
          <w:color w:val="222222"/>
          <w:shd w:val="clear" w:color="auto" w:fill="FFFFFF"/>
        </w:rPr>
        <w:t>rganizations</w:t>
      </w:r>
      <w:r w:rsidRPr="00AB7BE3">
        <w:rPr>
          <w:rFonts w:eastAsia="Times New Roman" w:cstheme="majorHAnsi"/>
          <w:color w:val="222222"/>
          <w:shd w:val="clear" w:color="auto" w:fill="FFFFFF"/>
        </w:rPr>
        <w:t> (pp. 54-68). Bergen: Universitetsforlaget.</w:t>
      </w:r>
    </w:p>
    <w:p w14:paraId="693CBA62" w14:textId="63713E2E" w:rsidR="00592C99" w:rsidRPr="00AB7BE3" w:rsidRDefault="00592C99" w:rsidP="00AB7BE3">
      <w:pPr>
        <w:spacing w:before="120" w:after="120"/>
        <w:rPr>
          <w:rFonts w:eastAsia="Times New Roman" w:cstheme="majorHAnsi"/>
          <w:i/>
          <w:color w:val="222222"/>
          <w:shd w:val="clear" w:color="auto" w:fill="FFFFFF"/>
        </w:rPr>
      </w:pPr>
      <w:r w:rsidRPr="00AB7BE3">
        <w:rPr>
          <w:rFonts w:eastAsia="Times New Roman" w:cstheme="majorHAnsi"/>
          <w:color w:val="222222"/>
          <w:shd w:val="clear" w:color="auto" w:fill="FFFFFF"/>
        </w:rPr>
        <w:t xml:space="preserve">March, J. G., &amp; Olsen, J. P. </w:t>
      </w:r>
      <w:r w:rsidR="00910C63" w:rsidRPr="00AB7BE3">
        <w:rPr>
          <w:rFonts w:eastAsia="Times New Roman" w:cstheme="majorHAnsi"/>
          <w:color w:val="222222"/>
          <w:shd w:val="clear" w:color="auto" w:fill="FFFFFF"/>
        </w:rPr>
        <w:t>(</w:t>
      </w:r>
      <w:r w:rsidRPr="00AB7BE3">
        <w:rPr>
          <w:rFonts w:eastAsia="Times New Roman" w:cstheme="majorHAnsi"/>
          <w:color w:val="222222"/>
          <w:shd w:val="clear" w:color="auto" w:fill="FFFFFF"/>
        </w:rPr>
        <w:t>1989</w:t>
      </w:r>
      <w:r w:rsidR="00910C63" w:rsidRPr="00AB7BE3">
        <w:rPr>
          <w:rFonts w:eastAsia="Times New Roman" w:cstheme="majorHAnsi"/>
          <w:color w:val="222222"/>
          <w:shd w:val="clear" w:color="auto" w:fill="FFFFFF"/>
        </w:rPr>
        <w:t xml:space="preserve">), </w:t>
      </w:r>
      <w:r w:rsidR="00910C63" w:rsidRPr="00AB7BE3">
        <w:rPr>
          <w:rFonts w:eastAsia="Times New Roman" w:cstheme="majorHAnsi"/>
          <w:i/>
          <w:color w:val="222222"/>
          <w:shd w:val="clear" w:color="auto" w:fill="FFFFFF"/>
        </w:rPr>
        <w:t>Rediscovering Institutions</w:t>
      </w:r>
      <w:r w:rsidR="00E5309D" w:rsidRPr="00AB7BE3">
        <w:rPr>
          <w:rFonts w:eastAsia="Times New Roman" w:cstheme="majorHAnsi"/>
          <w:i/>
          <w:color w:val="222222"/>
          <w:shd w:val="clear" w:color="auto" w:fill="FFFFFF"/>
        </w:rPr>
        <w:t>: The Organizational Basis of Politics</w:t>
      </w:r>
      <w:r w:rsidR="00910C63" w:rsidRPr="00AB7BE3">
        <w:rPr>
          <w:rFonts w:eastAsia="Times New Roman" w:cstheme="majorHAnsi"/>
          <w:color w:val="222222"/>
          <w:shd w:val="clear" w:color="auto" w:fill="FFFFFF"/>
        </w:rPr>
        <w:t xml:space="preserve">, </w:t>
      </w:r>
      <w:r w:rsidR="00E5309D" w:rsidRPr="00AB7BE3">
        <w:rPr>
          <w:rFonts w:eastAsia="Times New Roman" w:cstheme="majorHAnsi"/>
          <w:color w:val="222222"/>
          <w:shd w:val="clear" w:color="auto" w:fill="FFFFFF"/>
        </w:rPr>
        <w:t xml:space="preserve">New York: </w:t>
      </w:r>
      <w:r w:rsidR="00910C63" w:rsidRPr="00AB7BE3">
        <w:rPr>
          <w:rFonts w:eastAsia="Times New Roman" w:cstheme="majorHAnsi"/>
          <w:color w:val="222222"/>
          <w:shd w:val="clear" w:color="auto" w:fill="FFFFFF"/>
        </w:rPr>
        <w:t>Free Press</w:t>
      </w:r>
      <w:r w:rsidR="00910C63" w:rsidRPr="00AB7BE3">
        <w:rPr>
          <w:rFonts w:eastAsia="Times New Roman" w:cstheme="majorHAnsi"/>
          <w:i/>
          <w:color w:val="222222"/>
          <w:shd w:val="clear" w:color="auto" w:fill="FFFFFF"/>
        </w:rPr>
        <w:t xml:space="preserve">. </w:t>
      </w:r>
    </w:p>
    <w:p w14:paraId="486E78F6" w14:textId="0A6B666C" w:rsidR="00592C99" w:rsidRPr="00AB7BE3" w:rsidRDefault="00592C99"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Martens, M. (2005). </w:t>
      </w:r>
      <w:r w:rsidRPr="00AB7BE3">
        <w:rPr>
          <w:rFonts w:eastAsia="Times New Roman" w:cstheme="majorHAnsi"/>
          <w:i/>
          <w:iCs/>
          <w:color w:val="222222"/>
          <w:shd w:val="clear" w:color="auto" w:fill="FFFFFF"/>
        </w:rPr>
        <w:t>Double-hatted agencies on the European scene? A case study of the IMPEL network</w:t>
      </w:r>
      <w:r w:rsidRPr="00AB7BE3">
        <w:rPr>
          <w:rFonts w:eastAsia="Times New Roman" w:cstheme="majorHAnsi"/>
          <w:color w:val="222222"/>
          <w:shd w:val="clear" w:color="auto" w:fill="FFFFFF"/>
        </w:rPr>
        <w:t> (No. 12). ARENA.</w:t>
      </w:r>
    </w:p>
    <w:p w14:paraId="0D425DC1" w14:textId="29AA9AB7" w:rsidR="003D3D54" w:rsidRPr="00AB7BE3" w:rsidRDefault="00602413" w:rsidP="00AB7BE3">
      <w:pPr>
        <w:spacing w:before="120" w:after="120"/>
        <w:rPr>
          <w:rFonts w:eastAsia="Times New Roman" w:cstheme="majorHAnsi"/>
        </w:rPr>
      </w:pPr>
      <w:r w:rsidRPr="00AB7BE3">
        <w:rPr>
          <w:rFonts w:eastAsia="Times New Roman" w:cstheme="majorHAnsi"/>
          <w:color w:val="222222"/>
          <w:shd w:val="clear" w:color="auto" w:fill="FFFFFF"/>
        </w:rPr>
        <w:t>Martens, M. (2010). Organized administrative integration. </w:t>
      </w:r>
      <w:r w:rsidRPr="00AB7BE3">
        <w:rPr>
          <w:rFonts w:eastAsia="Times New Roman" w:cstheme="majorHAnsi"/>
          <w:i/>
          <w:iCs/>
          <w:color w:val="222222"/>
          <w:shd w:val="clear" w:color="auto" w:fill="FFFFFF"/>
        </w:rPr>
        <w:t>ARENA Report</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2</w:t>
      </w:r>
      <w:r w:rsidRPr="00AB7BE3">
        <w:rPr>
          <w:rFonts w:eastAsia="Times New Roman" w:cstheme="majorHAnsi"/>
          <w:color w:val="222222"/>
          <w:shd w:val="clear" w:color="auto" w:fill="FFFFFF"/>
        </w:rPr>
        <w:t>.</w:t>
      </w:r>
    </w:p>
    <w:p w14:paraId="531B307E" w14:textId="5544EC70" w:rsidR="00592C99" w:rsidRPr="00AB7BE3" w:rsidRDefault="00592C99" w:rsidP="00AB7BE3">
      <w:pPr>
        <w:spacing w:before="120" w:after="120"/>
        <w:rPr>
          <w:rFonts w:eastAsia="Times New Roman" w:cstheme="majorHAnsi"/>
          <w:color w:val="0000FF" w:themeColor="hyperlink"/>
          <w:u w:val="single"/>
        </w:rPr>
      </w:pPr>
      <w:r w:rsidRPr="00AB7BE3">
        <w:rPr>
          <w:rFonts w:eastAsia="Times New Roman" w:cstheme="majorHAnsi"/>
        </w:rPr>
        <w:t xml:space="preserve">Meld. St. 5 (2012–2013) Report to the Storting (White Paper) (2012). </w:t>
      </w:r>
      <w:r w:rsidRPr="00AB7BE3">
        <w:rPr>
          <w:rFonts w:eastAsia="Times New Roman" w:cstheme="majorHAnsi"/>
          <w:i/>
        </w:rPr>
        <w:t xml:space="preserve">The EEA Agreement and Norway’s other agreements with the EU. </w:t>
      </w:r>
      <w:r w:rsidRPr="00AB7BE3">
        <w:rPr>
          <w:rFonts w:eastAsia="Times New Roman" w:cstheme="majorHAnsi"/>
        </w:rPr>
        <w:t xml:space="preserve">Oslo: Ministry of Foreign Affairs. </w:t>
      </w:r>
      <w:hyperlink r:id="rId10" w:history="1">
        <w:r w:rsidRPr="00AB7BE3">
          <w:rPr>
            <w:rStyle w:val="Hyperkobling"/>
            <w:rFonts w:cstheme="majorHAnsi"/>
            <w:lang w:val="en-GB"/>
          </w:rPr>
          <w:t>https://www.regjeringen.no/globalassets/upload/ud/vedlegg/europa/nou/meldst5_ud_eng.pdf</w:t>
        </w:r>
      </w:hyperlink>
    </w:p>
    <w:p w14:paraId="55203DE5" w14:textId="77777777" w:rsidR="00592C99" w:rsidRPr="00AB7BE3" w:rsidRDefault="00592C99"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lastRenderedPageBreak/>
        <w:t xml:space="preserve">NOU 2012:2 (2012), </w:t>
      </w:r>
      <w:r w:rsidRPr="00AB7BE3">
        <w:rPr>
          <w:rFonts w:cstheme="majorHAnsi"/>
          <w:i/>
          <w:color w:val="000000"/>
          <w:lang w:val="en-US"/>
        </w:rPr>
        <w:t xml:space="preserve">Utenfor of innenfor – Norges avtaler med EU, </w:t>
      </w:r>
      <w:r w:rsidRPr="00AB7BE3">
        <w:rPr>
          <w:rFonts w:cstheme="majorHAnsi"/>
          <w:color w:val="000000"/>
          <w:lang w:val="en-US"/>
        </w:rPr>
        <w:t>Oslo: Departementenes servicesenter, informasjonsforvaltning.</w:t>
      </w:r>
    </w:p>
    <w:p w14:paraId="50F35827" w14:textId="77777777" w:rsidR="00592C99" w:rsidRPr="00AB7BE3" w:rsidRDefault="00592C99"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t xml:space="preserve">Olsen, J.P. (1996), ‘Norway: Slow learner – or another triumph of the tortoise?’ in J.P. Olsen and B.G. Peters (eds.), </w:t>
      </w:r>
      <w:r w:rsidRPr="00AB7BE3">
        <w:rPr>
          <w:rFonts w:cstheme="majorHAnsi"/>
          <w:i/>
          <w:iCs/>
          <w:color w:val="000000"/>
          <w:lang w:val="en-US"/>
        </w:rPr>
        <w:t>Lessons from Experience. Experimental Learning in Administrative Reforms in Eight Democracies</w:t>
      </w:r>
      <w:r w:rsidRPr="00AB7BE3">
        <w:rPr>
          <w:rFonts w:cstheme="majorHAnsi"/>
          <w:color w:val="000000"/>
          <w:lang w:val="en-US"/>
        </w:rPr>
        <w:t xml:space="preserve">, pp. 180–213. Oslo: Scandinavian University Press. </w:t>
      </w:r>
    </w:p>
    <w:p w14:paraId="2417F9A8" w14:textId="13410CB2" w:rsidR="00430FEF" w:rsidRDefault="00430FEF"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t>Olsen</w:t>
      </w:r>
      <w:r w:rsidR="00434F6B">
        <w:rPr>
          <w:rFonts w:cstheme="majorHAnsi"/>
          <w:color w:val="000000"/>
          <w:lang w:val="en-US"/>
        </w:rPr>
        <w:t>, J.P.</w:t>
      </w:r>
      <w:r w:rsidRPr="00AB7BE3">
        <w:rPr>
          <w:rFonts w:cstheme="majorHAnsi"/>
          <w:color w:val="000000"/>
          <w:lang w:val="en-US"/>
        </w:rPr>
        <w:t xml:space="preserve"> (2009), </w:t>
      </w:r>
      <w:r w:rsidRPr="00167005">
        <w:rPr>
          <w:rFonts w:cstheme="majorHAnsi"/>
          <w:color w:val="000000"/>
          <w:lang w:val="en-US"/>
        </w:rPr>
        <w:t>Change and Continuity: an Institutional Approach to Institutions of Democratic Government’</w:t>
      </w:r>
      <w:r w:rsidRPr="00AB7BE3">
        <w:rPr>
          <w:rFonts w:cstheme="majorHAnsi"/>
          <w:i/>
          <w:color w:val="000000"/>
          <w:lang w:val="en-US"/>
        </w:rPr>
        <w:t xml:space="preserve">, </w:t>
      </w:r>
      <w:r w:rsidRPr="00167005">
        <w:rPr>
          <w:rFonts w:cstheme="majorHAnsi"/>
          <w:i/>
          <w:color w:val="000000"/>
          <w:lang w:val="en-US"/>
        </w:rPr>
        <w:t>European Political Science Review</w:t>
      </w:r>
      <w:r w:rsidRPr="00AB7BE3">
        <w:rPr>
          <w:rFonts w:cstheme="majorHAnsi"/>
          <w:color w:val="000000"/>
          <w:lang w:val="en-US"/>
        </w:rPr>
        <w:t xml:space="preserve"> (2009) 1:1. 3-32. </w:t>
      </w:r>
    </w:p>
    <w:p w14:paraId="461CDD25" w14:textId="43E30DA8" w:rsidR="00434F6B" w:rsidRPr="00AB7BE3" w:rsidRDefault="00434F6B" w:rsidP="00AB7BE3">
      <w:pPr>
        <w:widowControl w:val="0"/>
        <w:autoSpaceDE w:val="0"/>
        <w:autoSpaceDN w:val="0"/>
        <w:adjustRightInd w:val="0"/>
        <w:spacing w:before="120" w:after="120"/>
        <w:rPr>
          <w:rFonts w:cstheme="majorHAnsi"/>
          <w:color w:val="000000"/>
          <w:lang w:val="en-US"/>
        </w:rPr>
      </w:pPr>
      <w:r>
        <w:rPr>
          <w:rFonts w:cstheme="majorHAnsi"/>
          <w:color w:val="000000"/>
          <w:lang w:val="en-US"/>
        </w:rPr>
        <w:t xml:space="preserve">Olsen, J.P. (2010) </w:t>
      </w:r>
      <w:r w:rsidRPr="00434F6B">
        <w:rPr>
          <w:rFonts w:cstheme="majorHAnsi"/>
          <w:i/>
          <w:color w:val="000000"/>
          <w:lang w:val="en-US"/>
        </w:rPr>
        <w:t>Governing through Institution Building</w:t>
      </w:r>
      <w:r>
        <w:rPr>
          <w:rFonts w:cstheme="majorHAnsi"/>
          <w:color w:val="000000"/>
          <w:lang w:val="en-US"/>
        </w:rPr>
        <w:t>. Oxford: Oxford University Press.</w:t>
      </w:r>
    </w:p>
    <w:p w14:paraId="1BAAC007" w14:textId="46809A49" w:rsidR="003F3FA2" w:rsidRPr="00AB7BE3" w:rsidRDefault="003F3FA2"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t>Ostrom</w:t>
      </w:r>
      <w:r w:rsidR="00052BC5" w:rsidRPr="00AB7BE3">
        <w:rPr>
          <w:rFonts w:cstheme="majorHAnsi"/>
          <w:color w:val="000000"/>
          <w:lang w:val="en-US"/>
        </w:rPr>
        <w:t>, E.</w:t>
      </w:r>
      <w:r w:rsidRPr="00AB7BE3">
        <w:rPr>
          <w:rFonts w:cstheme="majorHAnsi"/>
          <w:color w:val="000000"/>
          <w:lang w:val="en-US"/>
        </w:rPr>
        <w:t xml:space="preserve"> and Ostrom</w:t>
      </w:r>
      <w:r w:rsidR="00052BC5" w:rsidRPr="00AB7BE3">
        <w:rPr>
          <w:rFonts w:cstheme="majorHAnsi"/>
          <w:color w:val="000000"/>
          <w:lang w:val="en-US"/>
        </w:rPr>
        <w:t>, V.</w:t>
      </w:r>
      <w:r w:rsidRPr="00AB7BE3">
        <w:rPr>
          <w:rFonts w:cstheme="majorHAnsi"/>
          <w:color w:val="000000"/>
          <w:lang w:val="en-US"/>
        </w:rPr>
        <w:t xml:space="preserve"> </w:t>
      </w:r>
      <w:r w:rsidR="00052BC5" w:rsidRPr="00AB7BE3">
        <w:rPr>
          <w:rFonts w:cstheme="majorHAnsi"/>
          <w:color w:val="000000"/>
          <w:lang w:val="en-US"/>
        </w:rPr>
        <w:t xml:space="preserve">(eds.) </w:t>
      </w:r>
      <w:r w:rsidRPr="00AB7BE3">
        <w:rPr>
          <w:rFonts w:cstheme="majorHAnsi"/>
          <w:color w:val="000000"/>
          <w:lang w:val="en-US"/>
        </w:rPr>
        <w:t>(2015),</w:t>
      </w:r>
      <w:r w:rsidR="00052BC5" w:rsidRPr="00AB7BE3">
        <w:rPr>
          <w:rFonts w:cstheme="majorHAnsi"/>
          <w:color w:val="000000"/>
          <w:lang w:val="en-US"/>
        </w:rPr>
        <w:t xml:space="preserve"> </w:t>
      </w:r>
      <w:r w:rsidR="00052BC5" w:rsidRPr="00AB7BE3">
        <w:rPr>
          <w:rFonts w:cstheme="majorHAnsi"/>
          <w:i/>
          <w:color w:val="000000"/>
          <w:lang w:val="en-US"/>
        </w:rPr>
        <w:t>Choice, Rules and Collective Action</w:t>
      </w:r>
      <w:r w:rsidR="00052BC5" w:rsidRPr="00AB7BE3">
        <w:rPr>
          <w:rFonts w:cstheme="majorHAnsi"/>
          <w:color w:val="000000"/>
          <w:lang w:val="en-US"/>
        </w:rPr>
        <w:t>. Colchester: ECPR Press.</w:t>
      </w:r>
      <w:r w:rsidRPr="00AB7BE3">
        <w:rPr>
          <w:rFonts w:cstheme="majorHAnsi"/>
          <w:color w:val="000000"/>
          <w:lang w:val="en-US"/>
        </w:rPr>
        <w:t xml:space="preserve"> </w:t>
      </w:r>
    </w:p>
    <w:p w14:paraId="46C85601" w14:textId="46E47DE3" w:rsidR="0040114F" w:rsidRPr="00AB7BE3" w:rsidRDefault="0034021F"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t xml:space="preserve">Pollitt (2003), </w:t>
      </w:r>
      <w:r w:rsidR="00AB7BE3" w:rsidRPr="00AB7BE3">
        <w:rPr>
          <w:rFonts w:cstheme="majorHAnsi"/>
          <w:i/>
          <w:color w:val="000000"/>
          <w:lang w:val="en-US"/>
        </w:rPr>
        <w:t xml:space="preserve">The Essential </w:t>
      </w:r>
      <w:r w:rsidRPr="00AB7BE3">
        <w:rPr>
          <w:rFonts w:cstheme="majorHAnsi"/>
          <w:i/>
          <w:color w:val="000000"/>
          <w:lang w:val="en-US"/>
        </w:rPr>
        <w:t xml:space="preserve">Public Manager, </w:t>
      </w:r>
      <w:r w:rsidRPr="00AB7BE3">
        <w:rPr>
          <w:rFonts w:cstheme="majorHAnsi"/>
          <w:color w:val="000000"/>
          <w:lang w:val="en-US"/>
        </w:rPr>
        <w:t>Maidenhead, UK: Open University</w:t>
      </w:r>
      <w:r w:rsidR="00167005">
        <w:rPr>
          <w:rFonts w:cstheme="majorHAnsi"/>
          <w:color w:val="000000"/>
          <w:lang w:val="en-US"/>
        </w:rPr>
        <w:t xml:space="preserve"> Press</w:t>
      </w:r>
      <w:r w:rsidRPr="00AB7BE3">
        <w:rPr>
          <w:rFonts w:cstheme="majorHAnsi"/>
          <w:color w:val="000000"/>
          <w:lang w:val="en-US"/>
        </w:rPr>
        <w:t xml:space="preserve">. </w:t>
      </w:r>
    </w:p>
    <w:p w14:paraId="38297695" w14:textId="2CC99D2C" w:rsidR="001E771E" w:rsidRPr="00AB7BE3" w:rsidRDefault="001E771E" w:rsidP="00AB7BE3">
      <w:pPr>
        <w:spacing w:before="120" w:after="120"/>
        <w:rPr>
          <w:rFonts w:eastAsia="Times New Roman" w:cstheme="majorHAnsi"/>
        </w:rPr>
      </w:pPr>
      <w:r w:rsidRPr="00AB7BE3">
        <w:rPr>
          <w:rFonts w:eastAsia="Times New Roman" w:cstheme="majorHAnsi"/>
          <w:color w:val="222222"/>
          <w:shd w:val="clear" w:color="auto" w:fill="FFFFFF"/>
        </w:rPr>
        <w:t>Schattschneider, E. E. (1975). The S</w:t>
      </w:r>
      <w:r w:rsidR="00167005">
        <w:rPr>
          <w:rFonts w:eastAsia="Times New Roman" w:cstheme="majorHAnsi"/>
          <w:color w:val="222222"/>
          <w:shd w:val="clear" w:color="auto" w:fill="FFFFFF"/>
        </w:rPr>
        <w:t>emi-Sovereign People: A Realist</w:t>
      </w:r>
      <w:r w:rsidRPr="00AB7BE3">
        <w:rPr>
          <w:rFonts w:eastAsia="Times New Roman" w:cstheme="majorHAnsi"/>
          <w:color w:val="222222"/>
          <w:shd w:val="clear" w:color="auto" w:fill="FFFFFF"/>
        </w:rPr>
        <w:t>'s View of Democracy in America.</w:t>
      </w:r>
      <w:r w:rsidR="00167005">
        <w:rPr>
          <w:rFonts w:eastAsia="Times New Roman" w:cstheme="majorHAnsi"/>
          <w:color w:val="222222"/>
          <w:shd w:val="clear" w:color="auto" w:fill="FFFFFF"/>
        </w:rPr>
        <w:t xml:space="preserve"> Fort Worth: Harcourt Brace Jovanovich College Publishers.</w:t>
      </w:r>
    </w:p>
    <w:p w14:paraId="29B6FDE2" w14:textId="77777777" w:rsidR="001E771E" w:rsidRPr="00AB7BE3" w:rsidRDefault="001E771E" w:rsidP="00AB7BE3">
      <w:pPr>
        <w:spacing w:before="120" w:after="120"/>
        <w:rPr>
          <w:rFonts w:cstheme="majorHAnsi"/>
          <w:lang w:val="en-GB"/>
        </w:rPr>
      </w:pPr>
      <w:r w:rsidRPr="00AB7BE3">
        <w:rPr>
          <w:rFonts w:cstheme="majorHAnsi"/>
          <w:lang w:val="en-GB"/>
        </w:rPr>
        <w:t xml:space="preserve">Scott W.R (1981), </w:t>
      </w:r>
      <w:r w:rsidRPr="00AB7BE3">
        <w:rPr>
          <w:rFonts w:cstheme="majorHAnsi"/>
          <w:i/>
          <w:lang w:val="en-GB"/>
        </w:rPr>
        <w:t xml:space="preserve">Organizations: Rational, Natural and Open Systems, </w:t>
      </w:r>
      <w:r w:rsidRPr="00AB7BE3">
        <w:rPr>
          <w:rFonts w:cstheme="majorHAnsi"/>
          <w:lang w:val="en-GB"/>
        </w:rPr>
        <w:t xml:space="preserve">Englewood Cliffs, NJ: Prentice Hall. </w:t>
      </w:r>
    </w:p>
    <w:p w14:paraId="46137D7E" w14:textId="5169DFAA" w:rsidR="003D3D54" w:rsidRPr="00AB7BE3" w:rsidRDefault="00F758A8"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t xml:space="preserve">St.meld. nr.23 (2005-06), </w:t>
      </w:r>
      <w:r w:rsidR="0095007B" w:rsidRPr="00AB7BE3">
        <w:rPr>
          <w:rFonts w:cstheme="majorHAnsi"/>
          <w:i/>
          <w:color w:val="000000"/>
          <w:lang w:val="en-US"/>
        </w:rPr>
        <w:t xml:space="preserve">Om gjennomføringen av Europapoltikken, </w:t>
      </w:r>
      <w:r w:rsidR="0095007B" w:rsidRPr="00AB7BE3">
        <w:rPr>
          <w:rFonts w:cstheme="majorHAnsi"/>
          <w:color w:val="000000"/>
          <w:lang w:val="en-US"/>
        </w:rPr>
        <w:t xml:space="preserve">Oslo: Utenriksdepartementet. </w:t>
      </w:r>
    </w:p>
    <w:p w14:paraId="5F63D056" w14:textId="3221D063" w:rsidR="003D3D54" w:rsidRPr="00AB7BE3" w:rsidRDefault="003D3D54" w:rsidP="00AB7BE3">
      <w:pPr>
        <w:spacing w:before="120" w:after="120"/>
        <w:rPr>
          <w:rFonts w:eastAsia="Times New Roman" w:cstheme="majorHAnsi"/>
        </w:rPr>
      </w:pPr>
      <w:r w:rsidRPr="00AB7BE3">
        <w:rPr>
          <w:rFonts w:eastAsia="Times New Roman" w:cstheme="majorHAnsi"/>
          <w:color w:val="222222"/>
          <w:shd w:val="clear" w:color="auto" w:fill="FFFFFF"/>
        </w:rPr>
        <w:t>Trondal, J. (2001). </w:t>
      </w:r>
      <w:r w:rsidRPr="00AB7BE3">
        <w:rPr>
          <w:rFonts w:eastAsia="Times New Roman" w:cstheme="majorHAnsi"/>
          <w:i/>
          <w:iCs/>
          <w:color w:val="222222"/>
          <w:shd w:val="clear" w:color="auto" w:fill="FFFFFF"/>
        </w:rPr>
        <w:t>Administrative integration across levels of governance</w:t>
      </w:r>
      <w:r w:rsidRPr="00AB7BE3">
        <w:rPr>
          <w:rFonts w:eastAsia="Times New Roman" w:cstheme="majorHAnsi"/>
          <w:color w:val="222222"/>
          <w:shd w:val="clear" w:color="auto" w:fill="FFFFFF"/>
        </w:rPr>
        <w:t> (Doctoral dissertation, Department of Political Science, Faculty of Social Science, University of Oslo).</w:t>
      </w:r>
    </w:p>
    <w:p w14:paraId="2289A178" w14:textId="77777777" w:rsidR="00592C99" w:rsidRPr="00AB7BE3" w:rsidRDefault="00592C99" w:rsidP="00AB7BE3">
      <w:pPr>
        <w:widowControl w:val="0"/>
        <w:autoSpaceDE w:val="0"/>
        <w:autoSpaceDN w:val="0"/>
        <w:adjustRightInd w:val="0"/>
        <w:spacing w:before="120" w:after="120"/>
        <w:rPr>
          <w:rFonts w:cstheme="majorHAnsi"/>
          <w:color w:val="000000"/>
          <w:lang w:val="en-US"/>
        </w:rPr>
      </w:pPr>
      <w:r w:rsidRPr="00AB7BE3">
        <w:rPr>
          <w:rFonts w:cstheme="majorHAnsi"/>
          <w:color w:val="000000"/>
          <w:lang w:val="en-US"/>
        </w:rPr>
        <w:t xml:space="preserve">Trondal, J. (2002) Beyond the EU membership-non-membership dichotomy? Supranational identities among national EU decision-makers, </w:t>
      </w:r>
      <w:r w:rsidRPr="00167005">
        <w:rPr>
          <w:rFonts w:cstheme="majorHAnsi"/>
          <w:i/>
          <w:color w:val="000000"/>
          <w:lang w:val="en-US"/>
        </w:rPr>
        <w:t>Journal of European Public Policy</w:t>
      </w:r>
      <w:r w:rsidRPr="00AB7BE3">
        <w:rPr>
          <w:rFonts w:cstheme="majorHAnsi"/>
          <w:color w:val="000000"/>
          <w:lang w:val="en-US"/>
        </w:rPr>
        <w:t xml:space="preserve">, 9:3, 468-487 </w:t>
      </w:r>
    </w:p>
    <w:p w14:paraId="1C8B1BC3" w14:textId="65B6668E" w:rsidR="00EE759C" w:rsidRPr="00AB7BE3" w:rsidRDefault="00592C99" w:rsidP="00AB7BE3">
      <w:pPr>
        <w:spacing w:before="120" w:after="120"/>
        <w:rPr>
          <w:rFonts w:eastAsia="Times New Roman" w:cstheme="majorHAnsi"/>
          <w:color w:val="222222"/>
          <w:shd w:val="clear" w:color="auto" w:fill="FFFFFF"/>
        </w:rPr>
      </w:pPr>
      <w:r w:rsidRPr="00AB7BE3">
        <w:rPr>
          <w:rFonts w:eastAsia="Times New Roman" w:cstheme="majorHAnsi"/>
          <w:color w:val="222222"/>
          <w:shd w:val="clear" w:color="auto" w:fill="FFFFFF"/>
        </w:rPr>
        <w:t>Trondal, J. (2006). Governing at the frontier of the European Commission: The case of seconded national officials. </w:t>
      </w:r>
      <w:r w:rsidRPr="00AB7BE3">
        <w:rPr>
          <w:rFonts w:eastAsia="Times New Roman" w:cstheme="majorHAnsi"/>
          <w:i/>
          <w:iCs/>
          <w:color w:val="222222"/>
          <w:shd w:val="clear" w:color="auto" w:fill="FFFFFF"/>
        </w:rPr>
        <w:t>West European Politics</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29</w:t>
      </w:r>
      <w:r w:rsidRPr="00AB7BE3">
        <w:rPr>
          <w:rFonts w:eastAsia="Times New Roman" w:cstheme="majorHAnsi"/>
          <w:color w:val="222222"/>
          <w:shd w:val="clear" w:color="auto" w:fill="FFFFFF"/>
        </w:rPr>
        <w:t>(1), 147-160.</w:t>
      </w:r>
    </w:p>
    <w:p w14:paraId="417A0586" w14:textId="20373F0B" w:rsidR="00592C99" w:rsidRPr="00AB7BE3" w:rsidRDefault="00592C99" w:rsidP="00AB7BE3">
      <w:pPr>
        <w:spacing w:before="120" w:after="120"/>
        <w:rPr>
          <w:rFonts w:cstheme="majorHAnsi"/>
          <w:lang w:val="en-GB"/>
        </w:rPr>
      </w:pPr>
      <w:r w:rsidRPr="00AB7BE3">
        <w:rPr>
          <w:rFonts w:eastAsia="Times New Roman" w:cstheme="majorHAnsi"/>
          <w:color w:val="222222"/>
          <w:shd w:val="clear" w:color="auto" w:fill="FFFFFF"/>
        </w:rPr>
        <w:t>Trondal, J., Marcussen M., Larsson T., and Veggeland, F. (2010). </w:t>
      </w:r>
      <w:r w:rsidRPr="00AB7BE3">
        <w:rPr>
          <w:rFonts w:eastAsia="Times New Roman" w:cstheme="majorHAnsi"/>
          <w:i/>
          <w:iCs/>
          <w:color w:val="222222"/>
          <w:shd w:val="clear" w:color="auto" w:fill="FFFFFF"/>
        </w:rPr>
        <w:t>Unpack</w:t>
      </w:r>
      <w:r w:rsidR="00167005">
        <w:rPr>
          <w:rFonts w:eastAsia="Times New Roman" w:cstheme="majorHAnsi"/>
          <w:i/>
          <w:iCs/>
          <w:color w:val="222222"/>
          <w:shd w:val="clear" w:color="auto" w:fill="FFFFFF"/>
        </w:rPr>
        <w:t>ing international organisations</w:t>
      </w:r>
      <w:r w:rsidRPr="00AB7BE3">
        <w:rPr>
          <w:rFonts w:eastAsia="Times New Roman" w:cstheme="majorHAnsi"/>
          <w:color w:val="222222"/>
          <w:shd w:val="clear" w:color="auto" w:fill="FFFFFF"/>
        </w:rPr>
        <w:t xml:space="preserve">. </w:t>
      </w:r>
      <w:r w:rsidR="00167005">
        <w:rPr>
          <w:rFonts w:eastAsia="Times New Roman" w:cstheme="majorHAnsi"/>
          <w:color w:val="222222"/>
          <w:shd w:val="clear" w:color="auto" w:fill="FFFFFF"/>
        </w:rPr>
        <w:t>Manchester: Manchester University Press.</w:t>
      </w:r>
    </w:p>
    <w:p w14:paraId="10B6BC57" w14:textId="3211A138" w:rsidR="00592C99" w:rsidRPr="00AB7BE3" w:rsidRDefault="00592C99" w:rsidP="00AB7BE3">
      <w:pPr>
        <w:spacing w:before="120" w:after="120"/>
        <w:rPr>
          <w:rFonts w:cstheme="majorHAnsi"/>
          <w:lang w:val="en-GB"/>
        </w:rPr>
      </w:pPr>
      <w:r w:rsidRPr="00AB7BE3">
        <w:rPr>
          <w:rFonts w:cstheme="majorHAnsi"/>
          <w:lang w:val="en-GB"/>
        </w:rPr>
        <w:t xml:space="preserve">Trondal J., &amp; Egeberg, M. (2013), </w:t>
      </w:r>
      <w:r w:rsidRPr="00AB7BE3">
        <w:rPr>
          <w:rFonts w:cstheme="majorHAnsi"/>
          <w:i/>
          <w:lang w:val="en-GB"/>
        </w:rPr>
        <w:t xml:space="preserve">Agencification, </w:t>
      </w:r>
      <w:r w:rsidRPr="00AB7BE3">
        <w:rPr>
          <w:rFonts w:cstheme="majorHAnsi"/>
          <w:lang w:val="en-GB"/>
        </w:rPr>
        <w:t xml:space="preserve">ISL Working Paper 2013:4, Department of Political Science and Management, University of Agder. </w:t>
      </w:r>
    </w:p>
    <w:p w14:paraId="098904B6" w14:textId="77777777" w:rsidR="0040114F"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Trondal, J., &amp; Stie, A. E. (2015). Blir handlingsrommet større med egen europaminister?. </w:t>
      </w:r>
      <w:r w:rsidRPr="00AB7BE3">
        <w:rPr>
          <w:rFonts w:eastAsia="Times New Roman" w:cstheme="majorHAnsi"/>
          <w:i/>
          <w:iCs/>
          <w:color w:val="222222"/>
          <w:shd w:val="clear" w:color="auto" w:fill="FFFFFF"/>
        </w:rPr>
        <w:t>Nytt Norsk Tidsskrift</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31</w:t>
      </w:r>
      <w:r w:rsidRPr="00AB7BE3">
        <w:rPr>
          <w:rFonts w:eastAsia="Times New Roman" w:cstheme="majorHAnsi"/>
          <w:color w:val="222222"/>
          <w:shd w:val="clear" w:color="auto" w:fill="FFFFFF"/>
        </w:rPr>
        <w:t>(02), 123-134.</w:t>
      </w:r>
    </w:p>
    <w:p w14:paraId="66252AD2" w14:textId="068C2463" w:rsidR="00B361DD" w:rsidRPr="00AB7BE3" w:rsidRDefault="00B361DD" w:rsidP="00AB7BE3">
      <w:pPr>
        <w:spacing w:before="120" w:after="120"/>
        <w:rPr>
          <w:rFonts w:eastAsia="Times New Roman" w:cstheme="majorHAnsi"/>
        </w:rPr>
      </w:pPr>
      <w:r w:rsidRPr="00AB7BE3">
        <w:rPr>
          <w:rFonts w:eastAsia="Times New Roman" w:cstheme="majorHAnsi"/>
          <w:color w:val="222222"/>
          <w:shd w:val="clear" w:color="auto" w:fill="FFFFFF"/>
        </w:rPr>
        <w:t>Trondal, J., &amp; Bauer, M. W. (2017). Conceptualizing the European multilevel administrative order: capturing variation in the European administrative system. </w:t>
      </w:r>
      <w:r w:rsidRPr="00AB7BE3">
        <w:rPr>
          <w:rFonts w:eastAsia="Times New Roman" w:cstheme="majorHAnsi"/>
          <w:i/>
          <w:iCs/>
          <w:color w:val="222222"/>
          <w:shd w:val="clear" w:color="auto" w:fill="FFFFFF"/>
        </w:rPr>
        <w:t>European Political Science Review</w:t>
      </w:r>
      <w:r w:rsidRPr="00AB7BE3">
        <w:rPr>
          <w:rFonts w:eastAsia="Times New Roman" w:cstheme="majorHAnsi"/>
          <w:color w:val="222222"/>
          <w:shd w:val="clear" w:color="auto" w:fill="FFFFFF"/>
        </w:rPr>
        <w:t xml:space="preserve">, 73-94. </w:t>
      </w:r>
    </w:p>
    <w:p w14:paraId="604EC3C0" w14:textId="495CAADA"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Verhoest, K., Roness, P. G., Verschuere, B., Rubecksen, K., &amp; MacCarthaigh, M. (2010). </w:t>
      </w:r>
      <w:r w:rsidRPr="00AB7BE3">
        <w:rPr>
          <w:rFonts w:eastAsia="Times New Roman" w:cstheme="majorHAnsi"/>
          <w:i/>
          <w:iCs/>
          <w:color w:val="222222"/>
          <w:shd w:val="clear" w:color="auto" w:fill="FFFFFF"/>
        </w:rPr>
        <w:t>Autonomy and control of state agencies</w:t>
      </w:r>
      <w:r w:rsidRPr="00AB7BE3">
        <w:rPr>
          <w:rFonts w:eastAsia="Times New Roman" w:cstheme="majorHAnsi"/>
          <w:color w:val="222222"/>
          <w:shd w:val="clear" w:color="auto" w:fill="FFFFFF"/>
        </w:rPr>
        <w:t>. Houndmills: Palgrave Macmillan.</w:t>
      </w:r>
    </w:p>
    <w:p w14:paraId="48B89024" w14:textId="77777777" w:rsidR="00592C99" w:rsidRPr="00AB7BE3" w:rsidRDefault="00592C99" w:rsidP="00AB7BE3">
      <w:pPr>
        <w:spacing w:before="120" w:after="120"/>
        <w:rPr>
          <w:rFonts w:eastAsia="Times New Roman" w:cstheme="majorHAnsi"/>
        </w:rPr>
      </w:pPr>
      <w:r w:rsidRPr="00AB7BE3">
        <w:rPr>
          <w:rFonts w:eastAsia="Times New Roman" w:cstheme="majorHAnsi"/>
          <w:color w:val="222222"/>
          <w:shd w:val="clear" w:color="auto" w:fill="FFFFFF"/>
        </w:rPr>
        <w:t>Yesilkagit, K. (2011). Institutional compliance, European networks of regulation and the bureaucratic autonomy of national regulatory authorities. </w:t>
      </w:r>
      <w:r w:rsidRPr="00AB7BE3">
        <w:rPr>
          <w:rFonts w:eastAsia="Times New Roman" w:cstheme="majorHAnsi"/>
          <w:i/>
          <w:iCs/>
          <w:color w:val="222222"/>
          <w:shd w:val="clear" w:color="auto" w:fill="FFFFFF"/>
        </w:rPr>
        <w:t>Journal of European Public Policy</w:t>
      </w:r>
      <w:r w:rsidRPr="00AB7BE3">
        <w:rPr>
          <w:rFonts w:eastAsia="Times New Roman" w:cstheme="majorHAnsi"/>
          <w:color w:val="222222"/>
          <w:shd w:val="clear" w:color="auto" w:fill="FFFFFF"/>
        </w:rPr>
        <w:t>, </w:t>
      </w:r>
      <w:r w:rsidRPr="00AB7BE3">
        <w:rPr>
          <w:rFonts w:eastAsia="Times New Roman" w:cstheme="majorHAnsi"/>
          <w:i/>
          <w:iCs/>
          <w:color w:val="222222"/>
          <w:shd w:val="clear" w:color="auto" w:fill="FFFFFF"/>
        </w:rPr>
        <w:t>18</w:t>
      </w:r>
      <w:r w:rsidRPr="00AB7BE3">
        <w:rPr>
          <w:rFonts w:eastAsia="Times New Roman" w:cstheme="majorHAnsi"/>
          <w:color w:val="222222"/>
          <w:shd w:val="clear" w:color="auto" w:fill="FFFFFF"/>
        </w:rPr>
        <w:t>(7), 962-979.</w:t>
      </w:r>
    </w:p>
    <w:p w14:paraId="6FAB3125" w14:textId="347BB056" w:rsidR="00592C99" w:rsidRPr="0033416F" w:rsidRDefault="00592C99" w:rsidP="006740FC">
      <w:pPr>
        <w:spacing w:line="480" w:lineRule="auto"/>
        <w:rPr>
          <w:lang w:val="en-GB"/>
        </w:rPr>
      </w:pPr>
      <w:bookmarkStart w:id="0" w:name="_GoBack"/>
      <w:bookmarkEnd w:id="0"/>
    </w:p>
    <w:sectPr w:rsidR="00592C99" w:rsidRPr="0033416F" w:rsidSect="003516A7">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56287" w14:textId="77777777" w:rsidR="008369EE" w:rsidRDefault="008369EE" w:rsidP="0080132F">
      <w:r>
        <w:separator/>
      </w:r>
    </w:p>
  </w:endnote>
  <w:endnote w:type="continuationSeparator" w:id="0">
    <w:p w14:paraId="5937B70C" w14:textId="77777777" w:rsidR="008369EE" w:rsidRDefault="008369EE" w:rsidP="0080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717D" w14:textId="77777777" w:rsidR="00D849D9" w:rsidRDefault="00D849D9" w:rsidP="0071628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06D8E85" w14:textId="77777777" w:rsidR="00D849D9" w:rsidRDefault="00D849D9" w:rsidP="00B43E6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9096" w14:textId="7CD4F609" w:rsidR="00D849D9" w:rsidRDefault="00D849D9" w:rsidP="0071628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67005">
      <w:rPr>
        <w:rStyle w:val="Sidetall"/>
        <w:noProof/>
      </w:rPr>
      <w:t>23</w:t>
    </w:r>
    <w:r>
      <w:rPr>
        <w:rStyle w:val="Sidetall"/>
      </w:rPr>
      <w:fldChar w:fldCharType="end"/>
    </w:r>
  </w:p>
  <w:p w14:paraId="6A3C99F1" w14:textId="77777777" w:rsidR="00D849D9" w:rsidRDefault="00D849D9" w:rsidP="00B43E6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799D" w14:textId="77777777" w:rsidR="008369EE" w:rsidRDefault="008369EE" w:rsidP="0080132F">
      <w:r>
        <w:separator/>
      </w:r>
    </w:p>
  </w:footnote>
  <w:footnote w:type="continuationSeparator" w:id="0">
    <w:p w14:paraId="75B41C9E" w14:textId="77777777" w:rsidR="008369EE" w:rsidRDefault="008369EE" w:rsidP="0080132F">
      <w:r>
        <w:continuationSeparator/>
      </w:r>
    </w:p>
  </w:footnote>
  <w:footnote w:id="1">
    <w:p w14:paraId="38B5DA25" w14:textId="77777777" w:rsidR="00D849D9" w:rsidRPr="00130D66" w:rsidRDefault="00D849D9" w:rsidP="00D2325E">
      <w:pPr>
        <w:pStyle w:val="Fotnotetekst"/>
        <w:rPr>
          <w:sz w:val="16"/>
          <w:szCs w:val="16"/>
          <w:lang w:val="en-GB"/>
        </w:rPr>
      </w:pPr>
      <w:r w:rsidRPr="00130D66">
        <w:rPr>
          <w:rStyle w:val="Fotnotereferanse"/>
          <w:sz w:val="16"/>
          <w:szCs w:val="16"/>
          <w:lang w:val="en-GB"/>
        </w:rPr>
        <w:footnoteRef/>
      </w:r>
      <w:r w:rsidRPr="00130D66">
        <w:rPr>
          <w:sz w:val="16"/>
          <w:szCs w:val="16"/>
          <w:lang w:val="en-GB"/>
        </w:rPr>
        <w:t xml:space="preserve"> Includes all employees in ministries and subordinate units. </w:t>
      </w:r>
      <w:r>
        <w:rPr>
          <w:sz w:val="16"/>
          <w:szCs w:val="16"/>
          <w:lang w:val="en-GB"/>
        </w:rPr>
        <w:t xml:space="preserve">For full list, see </w:t>
      </w:r>
      <w:hyperlink r:id="rId1" w:anchor="4817" w:history="1">
        <w:r w:rsidRPr="00660A6C">
          <w:rPr>
            <w:rStyle w:val="Hyperkobling"/>
            <w:sz w:val="16"/>
            <w:szCs w:val="16"/>
            <w:lang w:val="en-GB"/>
          </w:rPr>
          <w:t>https://www.difi.no/rapporter-og-statistikk/nokkeltall-og-statistikk/ansatte-i-staten#4817</w:t>
        </w:r>
      </w:hyperlink>
      <w:r>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2EB"/>
    <w:multiLevelType w:val="hybridMultilevel"/>
    <w:tmpl w:val="80ACC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651E8"/>
    <w:multiLevelType w:val="hybridMultilevel"/>
    <w:tmpl w:val="9C3C4882"/>
    <w:lvl w:ilvl="0" w:tplc="5B147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514D4"/>
    <w:multiLevelType w:val="hybridMultilevel"/>
    <w:tmpl w:val="7E224D3C"/>
    <w:lvl w:ilvl="0" w:tplc="76B816EA">
      <w:start w:val="1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52C2DF0"/>
    <w:multiLevelType w:val="hybridMultilevel"/>
    <w:tmpl w:val="2BE4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560485"/>
    <w:multiLevelType w:val="hybridMultilevel"/>
    <w:tmpl w:val="A78892F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6527D3C"/>
    <w:multiLevelType w:val="hybridMultilevel"/>
    <w:tmpl w:val="6C30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2F"/>
    <w:rsid w:val="000005AE"/>
    <w:rsid w:val="0000094B"/>
    <w:rsid w:val="00004544"/>
    <w:rsid w:val="00004629"/>
    <w:rsid w:val="00004A65"/>
    <w:rsid w:val="00005305"/>
    <w:rsid w:val="000070D8"/>
    <w:rsid w:val="000117D1"/>
    <w:rsid w:val="00012C58"/>
    <w:rsid w:val="00014405"/>
    <w:rsid w:val="00017944"/>
    <w:rsid w:val="00020AB4"/>
    <w:rsid w:val="00021908"/>
    <w:rsid w:val="00021D6F"/>
    <w:rsid w:val="00042CFF"/>
    <w:rsid w:val="00043BBF"/>
    <w:rsid w:val="00043F67"/>
    <w:rsid w:val="00046B51"/>
    <w:rsid w:val="00047328"/>
    <w:rsid w:val="00051F35"/>
    <w:rsid w:val="00052BC5"/>
    <w:rsid w:val="00057D6A"/>
    <w:rsid w:val="00062258"/>
    <w:rsid w:val="00063EDE"/>
    <w:rsid w:val="00064F0A"/>
    <w:rsid w:val="000650C1"/>
    <w:rsid w:val="00066B8C"/>
    <w:rsid w:val="000715F0"/>
    <w:rsid w:val="00080177"/>
    <w:rsid w:val="000856C3"/>
    <w:rsid w:val="00092160"/>
    <w:rsid w:val="000954F9"/>
    <w:rsid w:val="00095684"/>
    <w:rsid w:val="00097026"/>
    <w:rsid w:val="000A09D5"/>
    <w:rsid w:val="000A26B5"/>
    <w:rsid w:val="000A3ABE"/>
    <w:rsid w:val="000B599C"/>
    <w:rsid w:val="000C1A78"/>
    <w:rsid w:val="000C37EA"/>
    <w:rsid w:val="000C40AA"/>
    <w:rsid w:val="000C4A03"/>
    <w:rsid w:val="000C7D86"/>
    <w:rsid w:val="000D2C30"/>
    <w:rsid w:val="000D4441"/>
    <w:rsid w:val="000E6127"/>
    <w:rsid w:val="000F2A6F"/>
    <w:rsid w:val="000F4361"/>
    <w:rsid w:val="000F4B76"/>
    <w:rsid w:val="000F5F14"/>
    <w:rsid w:val="000F6946"/>
    <w:rsid w:val="00107B03"/>
    <w:rsid w:val="0011151F"/>
    <w:rsid w:val="00112B98"/>
    <w:rsid w:val="00115D76"/>
    <w:rsid w:val="001272A6"/>
    <w:rsid w:val="00127E58"/>
    <w:rsid w:val="00130D66"/>
    <w:rsid w:val="0013569F"/>
    <w:rsid w:val="00140000"/>
    <w:rsid w:val="00141BF3"/>
    <w:rsid w:val="00142135"/>
    <w:rsid w:val="0015051B"/>
    <w:rsid w:val="00152498"/>
    <w:rsid w:val="00161154"/>
    <w:rsid w:val="00162A8C"/>
    <w:rsid w:val="00167005"/>
    <w:rsid w:val="00176EBE"/>
    <w:rsid w:val="00176EFC"/>
    <w:rsid w:val="00191BA5"/>
    <w:rsid w:val="001956CA"/>
    <w:rsid w:val="00197AD3"/>
    <w:rsid w:val="00197BED"/>
    <w:rsid w:val="001A6883"/>
    <w:rsid w:val="001C6F2B"/>
    <w:rsid w:val="001C7BA8"/>
    <w:rsid w:val="001D3155"/>
    <w:rsid w:val="001D6977"/>
    <w:rsid w:val="001E49FA"/>
    <w:rsid w:val="001E771E"/>
    <w:rsid w:val="001E7C2F"/>
    <w:rsid w:val="001F121D"/>
    <w:rsid w:val="001F3CF8"/>
    <w:rsid w:val="001F6011"/>
    <w:rsid w:val="00204654"/>
    <w:rsid w:val="0021781E"/>
    <w:rsid w:val="002332F7"/>
    <w:rsid w:val="00244136"/>
    <w:rsid w:val="00250622"/>
    <w:rsid w:val="0025142B"/>
    <w:rsid w:val="002557A3"/>
    <w:rsid w:val="00260E27"/>
    <w:rsid w:val="00262AD7"/>
    <w:rsid w:val="00262E6D"/>
    <w:rsid w:val="00263FC3"/>
    <w:rsid w:val="00266390"/>
    <w:rsid w:val="00267D9C"/>
    <w:rsid w:val="00284029"/>
    <w:rsid w:val="0029054C"/>
    <w:rsid w:val="002923C5"/>
    <w:rsid w:val="00295779"/>
    <w:rsid w:val="00295B9B"/>
    <w:rsid w:val="002A1BA6"/>
    <w:rsid w:val="002A7979"/>
    <w:rsid w:val="002C70E3"/>
    <w:rsid w:val="002D526D"/>
    <w:rsid w:val="002D7DF5"/>
    <w:rsid w:val="002E18FC"/>
    <w:rsid w:val="002E1DD7"/>
    <w:rsid w:val="002E2996"/>
    <w:rsid w:val="002E3B9C"/>
    <w:rsid w:val="002E4B04"/>
    <w:rsid w:val="002F2306"/>
    <w:rsid w:val="00300270"/>
    <w:rsid w:val="003024F3"/>
    <w:rsid w:val="003041D2"/>
    <w:rsid w:val="003074CC"/>
    <w:rsid w:val="00312F3D"/>
    <w:rsid w:val="003201C0"/>
    <w:rsid w:val="003303D2"/>
    <w:rsid w:val="003317C5"/>
    <w:rsid w:val="00336580"/>
    <w:rsid w:val="0034021F"/>
    <w:rsid w:val="003449D4"/>
    <w:rsid w:val="003471C3"/>
    <w:rsid w:val="003473A3"/>
    <w:rsid w:val="00350EE6"/>
    <w:rsid w:val="003516A7"/>
    <w:rsid w:val="003557E1"/>
    <w:rsid w:val="003628B0"/>
    <w:rsid w:val="00364FC3"/>
    <w:rsid w:val="0036512C"/>
    <w:rsid w:val="00365A09"/>
    <w:rsid w:val="0036718A"/>
    <w:rsid w:val="00371D1B"/>
    <w:rsid w:val="003808E6"/>
    <w:rsid w:val="00384C76"/>
    <w:rsid w:val="003A1399"/>
    <w:rsid w:val="003A266A"/>
    <w:rsid w:val="003A335C"/>
    <w:rsid w:val="003A36F6"/>
    <w:rsid w:val="003A39A3"/>
    <w:rsid w:val="003A4761"/>
    <w:rsid w:val="003B0D56"/>
    <w:rsid w:val="003B29C5"/>
    <w:rsid w:val="003B33BE"/>
    <w:rsid w:val="003B4A2B"/>
    <w:rsid w:val="003B5F5A"/>
    <w:rsid w:val="003B71F2"/>
    <w:rsid w:val="003C595F"/>
    <w:rsid w:val="003C71AC"/>
    <w:rsid w:val="003D3D54"/>
    <w:rsid w:val="003D4A16"/>
    <w:rsid w:val="003D5893"/>
    <w:rsid w:val="003D5FBE"/>
    <w:rsid w:val="003E6F50"/>
    <w:rsid w:val="003F3497"/>
    <w:rsid w:val="003F3FA2"/>
    <w:rsid w:val="003F62AE"/>
    <w:rsid w:val="0040114F"/>
    <w:rsid w:val="00406925"/>
    <w:rsid w:val="00407079"/>
    <w:rsid w:val="00407118"/>
    <w:rsid w:val="00410C12"/>
    <w:rsid w:val="004134F4"/>
    <w:rsid w:val="00413AED"/>
    <w:rsid w:val="00417CED"/>
    <w:rsid w:val="00422721"/>
    <w:rsid w:val="00425769"/>
    <w:rsid w:val="00427BBD"/>
    <w:rsid w:val="00430FEF"/>
    <w:rsid w:val="00434F6B"/>
    <w:rsid w:val="0043663F"/>
    <w:rsid w:val="004411BD"/>
    <w:rsid w:val="00442096"/>
    <w:rsid w:val="004456D3"/>
    <w:rsid w:val="0044584A"/>
    <w:rsid w:val="0045285B"/>
    <w:rsid w:val="00455A98"/>
    <w:rsid w:val="004607B3"/>
    <w:rsid w:val="00462EA8"/>
    <w:rsid w:val="00467392"/>
    <w:rsid w:val="0047758F"/>
    <w:rsid w:val="004824C5"/>
    <w:rsid w:val="00492D63"/>
    <w:rsid w:val="00496BAA"/>
    <w:rsid w:val="004A0787"/>
    <w:rsid w:val="004A1F48"/>
    <w:rsid w:val="004A2478"/>
    <w:rsid w:val="004B4C1C"/>
    <w:rsid w:val="004B6E06"/>
    <w:rsid w:val="004C04C1"/>
    <w:rsid w:val="004C1A41"/>
    <w:rsid w:val="004C6A1F"/>
    <w:rsid w:val="004C6C4F"/>
    <w:rsid w:val="004D1AA2"/>
    <w:rsid w:val="004D3B7D"/>
    <w:rsid w:val="004D6B32"/>
    <w:rsid w:val="004E2464"/>
    <w:rsid w:val="00514F3E"/>
    <w:rsid w:val="00515D86"/>
    <w:rsid w:val="005204A6"/>
    <w:rsid w:val="00522DEF"/>
    <w:rsid w:val="005236C0"/>
    <w:rsid w:val="00523776"/>
    <w:rsid w:val="00526444"/>
    <w:rsid w:val="00526CE1"/>
    <w:rsid w:val="00530515"/>
    <w:rsid w:val="00532029"/>
    <w:rsid w:val="00532827"/>
    <w:rsid w:val="00534286"/>
    <w:rsid w:val="0054167B"/>
    <w:rsid w:val="005422FD"/>
    <w:rsid w:val="00544680"/>
    <w:rsid w:val="00546B17"/>
    <w:rsid w:val="005503F6"/>
    <w:rsid w:val="0055652F"/>
    <w:rsid w:val="005600ED"/>
    <w:rsid w:val="005624AE"/>
    <w:rsid w:val="005625D9"/>
    <w:rsid w:val="0056283A"/>
    <w:rsid w:val="0057056C"/>
    <w:rsid w:val="005726E8"/>
    <w:rsid w:val="00581D8E"/>
    <w:rsid w:val="00582B8A"/>
    <w:rsid w:val="00590068"/>
    <w:rsid w:val="00592C99"/>
    <w:rsid w:val="0059478B"/>
    <w:rsid w:val="0059490B"/>
    <w:rsid w:val="005A0974"/>
    <w:rsid w:val="005A71FB"/>
    <w:rsid w:val="005B08F1"/>
    <w:rsid w:val="005B5C76"/>
    <w:rsid w:val="005C11A3"/>
    <w:rsid w:val="005C2998"/>
    <w:rsid w:val="005D4A21"/>
    <w:rsid w:val="005E03F1"/>
    <w:rsid w:val="005E1D59"/>
    <w:rsid w:val="005F15F2"/>
    <w:rsid w:val="005F208D"/>
    <w:rsid w:val="005F3EF1"/>
    <w:rsid w:val="005F5C3D"/>
    <w:rsid w:val="0060159D"/>
    <w:rsid w:val="00602413"/>
    <w:rsid w:val="0060580B"/>
    <w:rsid w:val="00605DF7"/>
    <w:rsid w:val="00606FCB"/>
    <w:rsid w:val="006123DD"/>
    <w:rsid w:val="00613426"/>
    <w:rsid w:val="006134C0"/>
    <w:rsid w:val="00614066"/>
    <w:rsid w:val="0061476D"/>
    <w:rsid w:val="006148E4"/>
    <w:rsid w:val="00624231"/>
    <w:rsid w:val="00624C25"/>
    <w:rsid w:val="00627CD7"/>
    <w:rsid w:val="006302F7"/>
    <w:rsid w:val="006338E3"/>
    <w:rsid w:val="0065415A"/>
    <w:rsid w:val="00656B45"/>
    <w:rsid w:val="00667151"/>
    <w:rsid w:val="006740FC"/>
    <w:rsid w:val="00682558"/>
    <w:rsid w:val="006871BB"/>
    <w:rsid w:val="006960CB"/>
    <w:rsid w:val="006A0F94"/>
    <w:rsid w:val="006A39F1"/>
    <w:rsid w:val="006A615A"/>
    <w:rsid w:val="006B68D1"/>
    <w:rsid w:val="006C3C7F"/>
    <w:rsid w:val="006C453C"/>
    <w:rsid w:val="006C710D"/>
    <w:rsid w:val="006C78B6"/>
    <w:rsid w:val="006D1082"/>
    <w:rsid w:val="006E1080"/>
    <w:rsid w:val="006E3D5E"/>
    <w:rsid w:val="006F0C12"/>
    <w:rsid w:val="006F19ED"/>
    <w:rsid w:val="006F4104"/>
    <w:rsid w:val="006F4548"/>
    <w:rsid w:val="006F4628"/>
    <w:rsid w:val="00710545"/>
    <w:rsid w:val="00716286"/>
    <w:rsid w:val="007176FB"/>
    <w:rsid w:val="00723C9C"/>
    <w:rsid w:val="00725B49"/>
    <w:rsid w:val="007404B3"/>
    <w:rsid w:val="007405BA"/>
    <w:rsid w:val="0074065B"/>
    <w:rsid w:val="0075770C"/>
    <w:rsid w:val="0076444E"/>
    <w:rsid w:val="00765324"/>
    <w:rsid w:val="00765A6B"/>
    <w:rsid w:val="00765DE9"/>
    <w:rsid w:val="0077014C"/>
    <w:rsid w:val="00774A56"/>
    <w:rsid w:val="007825CC"/>
    <w:rsid w:val="007867A2"/>
    <w:rsid w:val="00790C29"/>
    <w:rsid w:val="00793A45"/>
    <w:rsid w:val="0079516D"/>
    <w:rsid w:val="007A064E"/>
    <w:rsid w:val="007A069D"/>
    <w:rsid w:val="007A4519"/>
    <w:rsid w:val="007B1FD3"/>
    <w:rsid w:val="007B5B34"/>
    <w:rsid w:val="007C4C4E"/>
    <w:rsid w:val="007C7D37"/>
    <w:rsid w:val="007D129B"/>
    <w:rsid w:val="007D2395"/>
    <w:rsid w:val="007D44A7"/>
    <w:rsid w:val="007D6E03"/>
    <w:rsid w:val="007E302D"/>
    <w:rsid w:val="007E4FAE"/>
    <w:rsid w:val="007E64AC"/>
    <w:rsid w:val="007E68E4"/>
    <w:rsid w:val="007E6A31"/>
    <w:rsid w:val="007F1D75"/>
    <w:rsid w:val="007F2262"/>
    <w:rsid w:val="007F3D6E"/>
    <w:rsid w:val="007F4CAE"/>
    <w:rsid w:val="0080132F"/>
    <w:rsid w:val="00803F13"/>
    <w:rsid w:val="00807D9E"/>
    <w:rsid w:val="00810B79"/>
    <w:rsid w:val="00814C54"/>
    <w:rsid w:val="00815275"/>
    <w:rsid w:val="0081720E"/>
    <w:rsid w:val="00821A08"/>
    <w:rsid w:val="00821F38"/>
    <w:rsid w:val="008276B9"/>
    <w:rsid w:val="008347A8"/>
    <w:rsid w:val="0083588D"/>
    <w:rsid w:val="008369EE"/>
    <w:rsid w:val="00840F58"/>
    <w:rsid w:val="0084169B"/>
    <w:rsid w:val="00841D30"/>
    <w:rsid w:val="0085434C"/>
    <w:rsid w:val="00855892"/>
    <w:rsid w:val="00861071"/>
    <w:rsid w:val="00861255"/>
    <w:rsid w:val="0086209E"/>
    <w:rsid w:val="00862FCA"/>
    <w:rsid w:val="00867BE9"/>
    <w:rsid w:val="00877974"/>
    <w:rsid w:val="00877BB5"/>
    <w:rsid w:val="0088378F"/>
    <w:rsid w:val="008905AA"/>
    <w:rsid w:val="0089364C"/>
    <w:rsid w:val="00895D07"/>
    <w:rsid w:val="0089672C"/>
    <w:rsid w:val="00897AB1"/>
    <w:rsid w:val="008A1B77"/>
    <w:rsid w:val="008A1D00"/>
    <w:rsid w:val="008B095C"/>
    <w:rsid w:val="008B1953"/>
    <w:rsid w:val="008B4FBF"/>
    <w:rsid w:val="008B5485"/>
    <w:rsid w:val="008B7792"/>
    <w:rsid w:val="008C757D"/>
    <w:rsid w:val="008D1B41"/>
    <w:rsid w:val="00903DBE"/>
    <w:rsid w:val="00904879"/>
    <w:rsid w:val="00910C63"/>
    <w:rsid w:val="00930448"/>
    <w:rsid w:val="0095007B"/>
    <w:rsid w:val="00951DE9"/>
    <w:rsid w:val="00953C14"/>
    <w:rsid w:val="00954CC0"/>
    <w:rsid w:val="00955B46"/>
    <w:rsid w:val="009604EE"/>
    <w:rsid w:val="00963871"/>
    <w:rsid w:val="00967059"/>
    <w:rsid w:val="00971D2D"/>
    <w:rsid w:val="009727DC"/>
    <w:rsid w:val="00974075"/>
    <w:rsid w:val="009747D6"/>
    <w:rsid w:val="00986145"/>
    <w:rsid w:val="00991E4D"/>
    <w:rsid w:val="009A1885"/>
    <w:rsid w:val="009A7EF6"/>
    <w:rsid w:val="009B01FD"/>
    <w:rsid w:val="009C5026"/>
    <w:rsid w:val="009C7F75"/>
    <w:rsid w:val="009D0DBB"/>
    <w:rsid w:val="009D1E9E"/>
    <w:rsid w:val="009D3ECF"/>
    <w:rsid w:val="009D6A36"/>
    <w:rsid w:val="009E202D"/>
    <w:rsid w:val="009E3ADB"/>
    <w:rsid w:val="00A0306C"/>
    <w:rsid w:val="00A03831"/>
    <w:rsid w:val="00A038F4"/>
    <w:rsid w:val="00A0465C"/>
    <w:rsid w:val="00A16CE0"/>
    <w:rsid w:val="00A16FBD"/>
    <w:rsid w:val="00A22433"/>
    <w:rsid w:val="00A22EFE"/>
    <w:rsid w:val="00A24FC1"/>
    <w:rsid w:val="00A270F9"/>
    <w:rsid w:val="00A2727A"/>
    <w:rsid w:val="00A312B4"/>
    <w:rsid w:val="00A338FC"/>
    <w:rsid w:val="00A45880"/>
    <w:rsid w:val="00A51F2F"/>
    <w:rsid w:val="00A6423A"/>
    <w:rsid w:val="00A7034E"/>
    <w:rsid w:val="00A72A49"/>
    <w:rsid w:val="00A72CAC"/>
    <w:rsid w:val="00A73547"/>
    <w:rsid w:val="00A743A9"/>
    <w:rsid w:val="00A84005"/>
    <w:rsid w:val="00A84CB9"/>
    <w:rsid w:val="00A87BBD"/>
    <w:rsid w:val="00A901A0"/>
    <w:rsid w:val="00A93FF1"/>
    <w:rsid w:val="00A968C4"/>
    <w:rsid w:val="00AA0704"/>
    <w:rsid w:val="00AA0768"/>
    <w:rsid w:val="00AA3B1E"/>
    <w:rsid w:val="00AA3C53"/>
    <w:rsid w:val="00AA4549"/>
    <w:rsid w:val="00AA4C6D"/>
    <w:rsid w:val="00AA5E0B"/>
    <w:rsid w:val="00AA6D67"/>
    <w:rsid w:val="00AB7BE3"/>
    <w:rsid w:val="00AC1AB7"/>
    <w:rsid w:val="00AC23B5"/>
    <w:rsid w:val="00AC2447"/>
    <w:rsid w:val="00AD1D9A"/>
    <w:rsid w:val="00AD6847"/>
    <w:rsid w:val="00AE18B0"/>
    <w:rsid w:val="00AF30DB"/>
    <w:rsid w:val="00AF472C"/>
    <w:rsid w:val="00AF4FB9"/>
    <w:rsid w:val="00AF7BFC"/>
    <w:rsid w:val="00B077F7"/>
    <w:rsid w:val="00B10DBA"/>
    <w:rsid w:val="00B1232D"/>
    <w:rsid w:val="00B13035"/>
    <w:rsid w:val="00B213B9"/>
    <w:rsid w:val="00B35E05"/>
    <w:rsid w:val="00B361DD"/>
    <w:rsid w:val="00B40339"/>
    <w:rsid w:val="00B40BCE"/>
    <w:rsid w:val="00B42363"/>
    <w:rsid w:val="00B428FA"/>
    <w:rsid w:val="00B43E62"/>
    <w:rsid w:val="00B55200"/>
    <w:rsid w:val="00B63D55"/>
    <w:rsid w:val="00B6576A"/>
    <w:rsid w:val="00B6683F"/>
    <w:rsid w:val="00B70ACA"/>
    <w:rsid w:val="00B75323"/>
    <w:rsid w:val="00B75623"/>
    <w:rsid w:val="00B76133"/>
    <w:rsid w:val="00B770FF"/>
    <w:rsid w:val="00B80623"/>
    <w:rsid w:val="00B820AE"/>
    <w:rsid w:val="00B85129"/>
    <w:rsid w:val="00B85753"/>
    <w:rsid w:val="00B86EEA"/>
    <w:rsid w:val="00B87D26"/>
    <w:rsid w:val="00BA1C4B"/>
    <w:rsid w:val="00BA5A88"/>
    <w:rsid w:val="00BA7C15"/>
    <w:rsid w:val="00BB0F61"/>
    <w:rsid w:val="00BB18DF"/>
    <w:rsid w:val="00BB2DE4"/>
    <w:rsid w:val="00BB6468"/>
    <w:rsid w:val="00BB6558"/>
    <w:rsid w:val="00BC1749"/>
    <w:rsid w:val="00BC1F35"/>
    <w:rsid w:val="00BC2AB1"/>
    <w:rsid w:val="00BC2C56"/>
    <w:rsid w:val="00BC2FD5"/>
    <w:rsid w:val="00BC4E74"/>
    <w:rsid w:val="00BD23E3"/>
    <w:rsid w:val="00BD5CC2"/>
    <w:rsid w:val="00BD79FD"/>
    <w:rsid w:val="00BD7AF7"/>
    <w:rsid w:val="00BE0C49"/>
    <w:rsid w:val="00BE1054"/>
    <w:rsid w:val="00BE41B2"/>
    <w:rsid w:val="00BE41C9"/>
    <w:rsid w:val="00BE4AC9"/>
    <w:rsid w:val="00BE7463"/>
    <w:rsid w:val="00BF69C6"/>
    <w:rsid w:val="00C01CBE"/>
    <w:rsid w:val="00C04C34"/>
    <w:rsid w:val="00C060F5"/>
    <w:rsid w:val="00C11040"/>
    <w:rsid w:val="00C12E69"/>
    <w:rsid w:val="00C13702"/>
    <w:rsid w:val="00C14918"/>
    <w:rsid w:val="00C15ED6"/>
    <w:rsid w:val="00C177C0"/>
    <w:rsid w:val="00C17D68"/>
    <w:rsid w:val="00C2004E"/>
    <w:rsid w:val="00C201B6"/>
    <w:rsid w:val="00C20243"/>
    <w:rsid w:val="00C21424"/>
    <w:rsid w:val="00C21E32"/>
    <w:rsid w:val="00C220FC"/>
    <w:rsid w:val="00C23445"/>
    <w:rsid w:val="00C23883"/>
    <w:rsid w:val="00C270B1"/>
    <w:rsid w:val="00C2716F"/>
    <w:rsid w:val="00C33D2A"/>
    <w:rsid w:val="00C3767C"/>
    <w:rsid w:val="00C435E8"/>
    <w:rsid w:val="00C4368F"/>
    <w:rsid w:val="00C46232"/>
    <w:rsid w:val="00C47149"/>
    <w:rsid w:val="00C5021A"/>
    <w:rsid w:val="00C52A74"/>
    <w:rsid w:val="00C53121"/>
    <w:rsid w:val="00C55280"/>
    <w:rsid w:val="00C63E59"/>
    <w:rsid w:val="00C66D71"/>
    <w:rsid w:val="00C7631D"/>
    <w:rsid w:val="00C8140F"/>
    <w:rsid w:val="00C82F1C"/>
    <w:rsid w:val="00C831C3"/>
    <w:rsid w:val="00C83B78"/>
    <w:rsid w:val="00C855EB"/>
    <w:rsid w:val="00C86053"/>
    <w:rsid w:val="00C8776F"/>
    <w:rsid w:val="00C877A1"/>
    <w:rsid w:val="00CA510E"/>
    <w:rsid w:val="00CA5805"/>
    <w:rsid w:val="00CB5CB4"/>
    <w:rsid w:val="00CC146B"/>
    <w:rsid w:val="00CC2FA3"/>
    <w:rsid w:val="00CC3E20"/>
    <w:rsid w:val="00CC53A1"/>
    <w:rsid w:val="00CC662E"/>
    <w:rsid w:val="00CD0E73"/>
    <w:rsid w:val="00CD2173"/>
    <w:rsid w:val="00CE41E8"/>
    <w:rsid w:val="00CE553F"/>
    <w:rsid w:val="00CE6867"/>
    <w:rsid w:val="00CE7BD2"/>
    <w:rsid w:val="00CF1B4F"/>
    <w:rsid w:val="00CF7231"/>
    <w:rsid w:val="00D02318"/>
    <w:rsid w:val="00D03900"/>
    <w:rsid w:val="00D058D3"/>
    <w:rsid w:val="00D0688A"/>
    <w:rsid w:val="00D07547"/>
    <w:rsid w:val="00D10D91"/>
    <w:rsid w:val="00D14325"/>
    <w:rsid w:val="00D22FD7"/>
    <w:rsid w:val="00D23249"/>
    <w:rsid w:val="00D2325E"/>
    <w:rsid w:val="00D25468"/>
    <w:rsid w:val="00D31081"/>
    <w:rsid w:val="00D34F3A"/>
    <w:rsid w:val="00D412BB"/>
    <w:rsid w:val="00D44A74"/>
    <w:rsid w:val="00D459A1"/>
    <w:rsid w:val="00D515BC"/>
    <w:rsid w:val="00D51EE0"/>
    <w:rsid w:val="00D52916"/>
    <w:rsid w:val="00D53F06"/>
    <w:rsid w:val="00D616E6"/>
    <w:rsid w:val="00D7020D"/>
    <w:rsid w:val="00D71B73"/>
    <w:rsid w:val="00D72124"/>
    <w:rsid w:val="00D722CB"/>
    <w:rsid w:val="00D77853"/>
    <w:rsid w:val="00D77FB7"/>
    <w:rsid w:val="00D8447E"/>
    <w:rsid w:val="00D849D9"/>
    <w:rsid w:val="00D86CE9"/>
    <w:rsid w:val="00D90305"/>
    <w:rsid w:val="00D96446"/>
    <w:rsid w:val="00D96ECC"/>
    <w:rsid w:val="00DA55CA"/>
    <w:rsid w:val="00DA7304"/>
    <w:rsid w:val="00DB03E5"/>
    <w:rsid w:val="00DB084C"/>
    <w:rsid w:val="00DB5CB3"/>
    <w:rsid w:val="00DD196E"/>
    <w:rsid w:val="00DD3284"/>
    <w:rsid w:val="00DE177A"/>
    <w:rsid w:val="00DE3C5B"/>
    <w:rsid w:val="00DE3E21"/>
    <w:rsid w:val="00DE57ED"/>
    <w:rsid w:val="00DE5DEE"/>
    <w:rsid w:val="00DE6734"/>
    <w:rsid w:val="00DF11F8"/>
    <w:rsid w:val="00DF4C4C"/>
    <w:rsid w:val="00E079CF"/>
    <w:rsid w:val="00E13A9F"/>
    <w:rsid w:val="00E2299B"/>
    <w:rsid w:val="00E24B43"/>
    <w:rsid w:val="00E307A3"/>
    <w:rsid w:val="00E335EF"/>
    <w:rsid w:val="00E33AD2"/>
    <w:rsid w:val="00E356C3"/>
    <w:rsid w:val="00E43C89"/>
    <w:rsid w:val="00E44982"/>
    <w:rsid w:val="00E468EF"/>
    <w:rsid w:val="00E5309D"/>
    <w:rsid w:val="00E54EBD"/>
    <w:rsid w:val="00E57589"/>
    <w:rsid w:val="00E6276E"/>
    <w:rsid w:val="00E658EE"/>
    <w:rsid w:val="00E66C53"/>
    <w:rsid w:val="00E717D9"/>
    <w:rsid w:val="00E73688"/>
    <w:rsid w:val="00E73830"/>
    <w:rsid w:val="00E77CB1"/>
    <w:rsid w:val="00E82D36"/>
    <w:rsid w:val="00E83841"/>
    <w:rsid w:val="00E8419A"/>
    <w:rsid w:val="00E859E2"/>
    <w:rsid w:val="00E85DEC"/>
    <w:rsid w:val="00E96326"/>
    <w:rsid w:val="00E97F1A"/>
    <w:rsid w:val="00EB2A5A"/>
    <w:rsid w:val="00EB2FF0"/>
    <w:rsid w:val="00EB7F2E"/>
    <w:rsid w:val="00EC1841"/>
    <w:rsid w:val="00EC4CCB"/>
    <w:rsid w:val="00EC5F78"/>
    <w:rsid w:val="00ED29F4"/>
    <w:rsid w:val="00ED3EA7"/>
    <w:rsid w:val="00ED5450"/>
    <w:rsid w:val="00ED5620"/>
    <w:rsid w:val="00EE0BE7"/>
    <w:rsid w:val="00EE49F4"/>
    <w:rsid w:val="00EE5923"/>
    <w:rsid w:val="00EE6D6F"/>
    <w:rsid w:val="00EE759C"/>
    <w:rsid w:val="00EF69FA"/>
    <w:rsid w:val="00F003D4"/>
    <w:rsid w:val="00F00783"/>
    <w:rsid w:val="00F0298A"/>
    <w:rsid w:val="00F0349F"/>
    <w:rsid w:val="00F03C81"/>
    <w:rsid w:val="00F03F0A"/>
    <w:rsid w:val="00F17AF3"/>
    <w:rsid w:val="00F31054"/>
    <w:rsid w:val="00F31207"/>
    <w:rsid w:val="00F33A6A"/>
    <w:rsid w:val="00F36B17"/>
    <w:rsid w:val="00F41C4B"/>
    <w:rsid w:val="00F41FB8"/>
    <w:rsid w:val="00F46FBB"/>
    <w:rsid w:val="00F46FEB"/>
    <w:rsid w:val="00F551C4"/>
    <w:rsid w:val="00F61C1C"/>
    <w:rsid w:val="00F66167"/>
    <w:rsid w:val="00F70B60"/>
    <w:rsid w:val="00F70D94"/>
    <w:rsid w:val="00F758A8"/>
    <w:rsid w:val="00F76D4E"/>
    <w:rsid w:val="00F772A8"/>
    <w:rsid w:val="00F8050C"/>
    <w:rsid w:val="00F86DC3"/>
    <w:rsid w:val="00F90E5D"/>
    <w:rsid w:val="00F91651"/>
    <w:rsid w:val="00FA08C2"/>
    <w:rsid w:val="00FA1E7B"/>
    <w:rsid w:val="00FB1DC4"/>
    <w:rsid w:val="00FB2332"/>
    <w:rsid w:val="00FB262F"/>
    <w:rsid w:val="00FB6278"/>
    <w:rsid w:val="00FC7A7D"/>
    <w:rsid w:val="00FD203D"/>
    <w:rsid w:val="00FE5EBD"/>
    <w:rsid w:val="00FF3B28"/>
    <w:rsid w:val="00FF623A"/>
    <w:rsid w:val="00FF6B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509D9"/>
  <w14:defaultImageDpi w14:val="330"/>
  <w15:docId w15:val="{3777F4E9-AD94-48F7-951E-8312E45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2F"/>
    <w:rPr>
      <w:rFonts w:asciiTheme="majorHAnsi" w:hAnsiTheme="majorHAn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unhideWhenUsed/>
    <w:rsid w:val="0080132F"/>
  </w:style>
  <w:style w:type="character" w:customStyle="1" w:styleId="FotnotetekstTegn">
    <w:name w:val="Fotnotetekst Tegn"/>
    <w:basedOn w:val="Standardskriftforavsnitt"/>
    <w:link w:val="Fotnotetekst"/>
    <w:uiPriority w:val="99"/>
    <w:rsid w:val="0080132F"/>
    <w:rPr>
      <w:rFonts w:asciiTheme="majorHAnsi" w:hAnsiTheme="majorHAnsi"/>
    </w:rPr>
  </w:style>
  <w:style w:type="character" w:styleId="Fotnotereferanse">
    <w:name w:val="footnote reference"/>
    <w:basedOn w:val="Standardskriftforavsnitt"/>
    <w:uiPriority w:val="99"/>
    <w:unhideWhenUsed/>
    <w:rsid w:val="0080132F"/>
    <w:rPr>
      <w:vertAlign w:val="superscript"/>
    </w:rPr>
  </w:style>
  <w:style w:type="paragraph" w:styleId="Listeavsnitt">
    <w:name w:val="List Paragraph"/>
    <w:basedOn w:val="Normal"/>
    <w:uiPriority w:val="34"/>
    <w:qFormat/>
    <w:rsid w:val="00903DBE"/>
    <w:pPr>
      <w:ind w:left="720"/>
      <w:contextualSpacing/>
    </w:pPr>
  </w:style>
  <w:style w:type="character" w:styleId="Merknadsreferanse">
    <w:name w:val="annotation reference"/>
    <w:basedOn w:val="Standardskriftforavsnitt"/>
    <w:uiPriority w:val="99"/>
    <w:semiHidden/>
    <w:unhideWhenUsed/>
    <w:rsid w:val="00C66D71"/>
    <w:rPr>
      <w:sz w:val="18"/>
      <w:szCs w:val="18"/>
    </w:rPr>
  </w:style>
  <w:style w:type="paragraph" w:styleId="Merknadstekst">
    <w:name w:val="annotation text"/>
    <w:basedOn w:val="Normal"/>
    <w:link w:val="MerknadstekstTegn"/>
    <w:uiPriority w:val="99"/>
    <w:semiHidden/>
    <w:unhideWhenUsed/>
    <w:rsid w:val="00C66D71"/>
  </w:style>
  <w:style w:type="character" w:customStyle="1" w:styleId="MerknadstekstTegn">
    <w:name w:val="Merknadstekst Tegn"/>
    <w:basedOn w:val="Standardskriftforavsnitt"/>
    <w:link w:val="Merknadstekst"/>
    <w:uiPriority w:val="99"/>
    <w:semiHidden/>
    <w:rsid w:val="00C66D71"/>
    <w:rPr>
      <w:rFonts w:asciiTheme="majorHAnsi" w:hAnsiTheme="majorHAnsi"/>
    </w:rPr>
  </w:style>
  <w:style w:type="paragraph" w:styleId="Kommentaremne">
    <w:name w:val="annotation subject"/>
    <w:basedOn w:val="Merknadstekst"/>
    <w:next w:val="Merknadstekst"/>
    <w:link w:val="KommentaremneTegn"/>
    <w:uiPriority w:val="99"/>
    <w:semiHidden/>
    <w:unhideWhenUsed/>
    <w:rsid w:val="00C66D71"/>
    <w:rPr>
      <w:b/>
      <w:bCs/>
      <w:sz w:val="20"/>
      <w:szCs w:val="20"/>
    </w:rPr>
  </w:style>
  <w:style w:type="character" w:customStyle="1" w:styleId="KommentaremneTegn">
    <w:name w:val="Kommentaremne Tegn"/>
    <w:basedOn w:val="MerknadstekstTegn"/>
    <w:link w:val="Kommentaremne"/>
    <w:uiPriority w:val="99"/>
    <w:semiHidden/>
    <w:rsid w:val="00C66D71"/>
    <w:rPr>
      <w:rFonts w:asciiTheme="majorHAnsi" w:hAnsiTheme="majorHAnsi"/>
      <w:b/>
      <w:bCs/>
      <w:sz w:val="20"/>
      <w:szCs w:val="20"/>
    </w:rPr>
  </w:style>
  <w:style w:type="paragraph" w:styleId="Bobletekst">
    <w:name w:val="Balloon Text"/>
    <w:basedOn w:val="Normal"/>
    <w:link w:val="BobletekstTegn"/>
    <w:uiPriority w:val="99"/>
    <w:semiHidden/>
    <w:unhideWhenUsed/>
    <w:rsid w:val="00C66D7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66D71"/>
    <w:rPr>
      <w:rFonts w:ascii="Lucida Grande" w:hAnsi="Lucida Grande" w:cs="Lucida Grande"/>
      <w:sz w:val="18"/>
      <w:szCs w:val="18"/>
    </w:rPr>
  </w:style>
  <w:style w:type="character" w:styleId="Hyperkobling">
    <w:name w:val="Hyperlink"/>
    <w:basedOn w:val="Standardskriftforavsnitt"/>
    <w:uiPriority w:val="99"/>
    <w:unhideWhenUsed/>
    <w:rsid w:val="00592C99"/>
    <w:rPr>
      <w:color w:val="0000FF" w:themeColor="hyperlink"/>
      <w:u w:val="single"/>
    </w:rPr>
  </w:style>
  <w:style w:type="table" w:styleId="Tabellrutenett">
    <w:name w:val="Table Grid"/>
    <w:basedOn w:val="Vanligtabell"/>
    <w:uiPriority w:val="59"/>
    <w:rsid w:val="00BD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F758A8"/>
  </w:style>
  <w:style w:type="paragraph" w:styleId="Bunntekst">
    <w:name w:val="footer"/>
    <w:basedOn w:val="Normal"/>
    <w:link w:val="BunntekstTegn"/>
    <w:uiPriority w:val="99"/>
    <w:unhideWhenUsed/>
    <w:rsid w:val="00B43E62"/>
    <w:pPr>
      <w:tabs>
        <w:tab w:val="center" w:pos="4536"/>
        <w:tab w:val="right" w:pos="9072"/>
      </w:tabs>
    </w:pPr>
  </w:style>
  <w:style w:type="character" w:customStyle="1" w:styleId="BunntekstTegn">
    <w:name w:val="Bunntekst Tegn"/>
    <w:basedOn w:val="Standardskriftforavsnitt"/>
    <w:link w:val="Bunntekst"/>
    <w:uiPriority w:val="99"/>
    <w:rsid w:val="00B43E62"/>
    <w:rPr>
      <w:rFonts w:asciiTheme="majorHAnsi" w:hAnsiTheme="majorHAnsi"/>
    </w:rPr>
  </w:style>
  <w:style w:type="character" w:styleId="Sidetall">
    <w:name w:val="page number"/>
    <w:basedOn w:val="Standardskriftforavsnitt"/>
    <w:uiPriority w:val="99"/>
    <w:semiHidden/>
    <w:unhideWhenUsed/>
    <w:rsid w:val="00B43E62"/>
  </w:style>
  <w:style w:type="paragraph" w:styleId="Revisjon">
    <w:name w:val="Revision"/>
    <w:hidden/>
    <w:uiPriority w:val="99"/>
    <w:semiHidden/>
    <w:rsid w:val="00BC1749"/>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983">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73946319">
      <w:bodyDiv w:val="1"/>
      <w:marLeft w:val="0"/>
      <w:marRight w:val="0"/>
      <w:marTop w:val="0"/>
      <w:marBottom w:val="0"/>
      <w:divBdr>
        <w:top w:val="none" w:sz="0" w:space="0" w:color="auto"/>
        <w:left w:val="none" w:sz="0" w:space="0" w:color="auto"/>
        <w:bottom w:val="none" w:sz="0" w:space="0" w:color="auto"/>
        <w:right w:val="none" w:sz="0" w:space="0" w:color="auto"/>
      </w:divBdr>
    </w:div>
    <w:div w:id="426074728">
      <w:bodyDiv w:val="1"/>
      <w:marLeft w:val="0"/>
      <w:marRight w:val="0"/>
      <w:marTop w:val="0"/>
      <w:marBottom w:val="0"/>
      <w:divBdr>
        <w:top w:val="none" w:sz="0" w:space="0" w:color="auto"/>
        <w:left w:val="none" w:sz="0" w:space="0" w:color="auto"/>
        <w:bottom w:val="none" w:sz="0" w:space="0" w:color="auto"/>
        <w:right w:val="none" w:sz="0" w:space="0" w:color="auto"/>
      </w:divBdr>
    </w:div>
    <w:div w:id="542595255">
      <w:bodyDiv w:val="1"/>
      <w:marLeft w:val="0"/>
      <w:marRight w:val="0"/>
      <w:marTop w:val="0"/>
      <w:marBottom w:val="0"/>
      <w:divBdr>
        <w:top w:val="none" w:sz="0" w:space="0" w:color="auto"/>
        <w:left w:val="none" w:sz="0" w:space="0" w:color="auto"/>
        <w:bottom w:val="none" w:sz="0" w:space="0" w:color="auto"/>
        <w:right w:val="none" w:sz="0" w:space="0" w:color="auto"/>
      </w:divBdr>
    </w:div>
    <w:div w:id="601183432">
      <w:bodyDiv w:val="1"/>
      <w:marLeft w:val="0"/>
      <w:marRight w:val="0"/>
      <w:marTop w:val="0"/>
      <w:marBottom w:val="0"/>
      <w:divBdr>
        <w:top w:val="none" w:sz="0" w:space="0" w:color="auto"/>
        <w:left w:val="none" w:sz="0" w:space="0" w:color="auto"/>
        <w:bottom w:val="none" w:sz="0" w:space="0" w:color="auto"/>
        <w:right w:val="none" w:sz="0" w:space="0" w:color="auto"/>
      </w:divBdr>
    </w:div>
    <w:div w:id="908417014">
      <w:bodyDiv w:val="1"/>
      <w:marLeft w:val="0"/>
      <w:marRight w:val="0"/>
      <w:marTop w:val="0"/>
      <w:marBottom w:val="0"/>
      <w:divBdr>
        <w:top w:val="none" w:sz="0" w:space="0" w:color="auto"/>
        <w:left w:val="none" w:sz="0" w:space="0" w:color="auto"/>
        <w:bottom w:val="none" w:sz="0" w:space="0" w:color="auto"/>
        <w:right w:val="none" w:sz="0" w:space="0" w:color="auto"/>
      </w:divBdr>
    </w:div>
    <w:div w:id="986208342">
      <w:bodyDiv w:val="1"/>
      <w:marLeft w:val="0"/>
      <w:marRight w:val="0"/>
      <w:marTop w:val="0"/>
      <w:marBottom w:val="0"/>
      <w:divBdr>
        <w:top w:val="none" w:sz="0" w:space="0" w:color="auto"/>
        <w:left w:val="none" w:sz="0" w:space="0" w:color="auto"/>
        <w:bottom w:val="none" w:sz="0" w:space="0" w:color="auto"/>
        <w:right w:val="none" w:sz="0" w:space="0" w:color="auto"/>
      </w:divBdr>
    </w:div>
    <w:div w:id="1039356083">
      <w:bodyDiv w:val="1"/>
      <w:marLeft w:val="0"/>
      <w:marRight w:val="0"/>
      <w:marTop w:val="0"/>
      <w:marBottom w:val="0"/>
      <w:divBdr>
        <w:top w:val="none" w:sz="0" w:space="0" w:color="auto"/>
        <w:left w:val="none" w:sz="0" w:space="0" w:color="auto"/>
        <w:bottom w:val="none" w:sz="0" w:space="0" w:color="auto"/>
        <w:right w:val="none" w:sz="0" w:space="0" w:color="auto"/>
      </w:divBdr>
    </w:div>
    <w:div w:id="1055155436">
      <w:bodyDiv w:val="1"/>
      <w:marLeft w:val="0"/>
      <w:marRight w:val="0"/>
      <w:marTop w:val="0"/>
      <w:marBottom w:val="0"/>
      <w:divBdr>
        <w:top w:val="none" w:sz="0" w:space="0" w:color="auto"/>
        <w:left w:val="none" w:sz="0" w:space="0" w:color="auto"/>
        <w:bottom w:val="none" w:sz="0" w:space="0" w:color="auto"/>
        <w:right w:val="none" w:sz="0" w:space="0" w:color="auto"/>
      </w:divBdr>
    </w:div>
    <w:div w:id="1145732691">
      <w:bodyDiv w:val="1"/>
      <w:marLeft w:val="0"/>
      <w:marRight w:val="0"/>
      <w:marTop w:val="0"/>
      <w:marBottom w:val="0"/>
      <w:divBdr>
        <w:top w:val="none" w:sz="0" w:space="0" w:color="auto"/>
        <w:left w:val="none" w:sz="0" w:space="0" w:color="auto"/>
        <w:bottom w:val="none" w:sz="0" w:space="0" w:color="auto"/>
        <w:right w:val="none" w:sz="0" w:space="0" w:color="auto"/>
      </w:divBdr>
    </w:div>
    <w:div w:id="1190294134">
      <w:bodyDiv w:val="1"/>
      <w:marLeft w:val="0"/>
      <w:marRight w:val="0"/>
      <w:marTop w:val="0"/>
      <w:marBottom w:val="0"/>
      <w:divBdr>
        <w:top w:val="none" w:sz="0" w:space="0" w:color="auto"/>
        <w:left w:val="none" w:sz="0" w:space="0" w:color="auto"/>
        <w:bottom w:val="none" w:sz="0" w:space="0" w:color="auto"/>
        <w:right w:val="none" w:sz="0" w:space="0" w:color="auto"/>
      </w:divBdr>
    </w:div>
    <w:div w:id="1249735418">
      <w:bodyDiv w:val="1"/>
      <w:marLeft w:val="0"/>
      <w:marRight w:val="0"/>
      <w:marTop w:val="0"/>
      <w:marBottom w:val="0"/>
      <w:divBdr>
        <w:top w:val="none" w:sz="0" w:space="0" w:color="auto"/>
        <w:left w:val="none" w:sz="0" w:space="0" w:color="auto"/>
        <w:bottom w:val="none" w:sz="0" w:space="0" w:color="auto"/>
        <w:right w:val="none" w:sz="0" w:space="0" w:color="auto"/>
      </w:divBdr>
    </w:div>
    <w:div w:id="1313682807">
      <w:bodyDiv w:val="1"/>
      <w:marLeft w:val="0"/>
      <w:marRight w:val="0"/>
      <w:marTop w:val="0"/>
      <w:marBottom w:val="0"/>
      <w:divBdr>
        <w:top w:val="none" w:sz="0" w:space="0" w:color="auto"/>
        <w:left w:val="none" w:sz="0" w:space="0" w:color="auto"/>
        <w:bottom w:val="none" w:sz="0" w:space="0" w:color="auto"/>
        <w:right w:val="none" w:sz="0" w:space="0" w:color="auto"/>
      </w:divBdr>
    </w:div>
    <w:div w:id="1340698193">
      <w:bodyDiv w:val="1"/>
      <w:marLeft w:val="0"/>
      <w:marRight w:val="0"/>
      <w:marTop w:val="0"/>
      <w:marBottom w:val="0"/>
      <w:divBdr>
        <w:top w:val="none" w:sz="0" w:space="0" w:color="auto"/>
        <w:left w:val="none" w:sz="0" w:space="0" w:color="auto"/>
        <w:bottom w:val="none" w:sz="0" w:space="0" w:color="auto"/>
        <w:right w:val="none" w:sz="0" w:space="0" w:color="auto"/>
      </w:divBdr>
    </w:div>
    <w:div w:id="1434203545">
      <w:bodyDiv w:val="1"/>
      <w:marLeft w:val="0"/>
      <w:marRight w:val="0"/>
      <w:marTop w:val="0"/>
      <w:marBottom w:val="0"/>
      <w:divBdr>
        <w:top w:val="none" w:sz="0" w:space="0" w:color="auto"/>
        <w:left w:val="none" w:sz="0" w:space="0" w:color="auto"/>
        <w:bottom w:val="none" w:sz="0" w:space="0" w:color="auto"/>
        <w:right w:val="none" w:sz="0" w:space="0" w:color="auto"/>
      </w:divBdr>
    </w:div>
    <w:div w:id="1503543342">
      <w:bodyDiv w:val="1"/>
      <w:marLeft w:val="0"/>
      <w:marRight w:val="0"/>
      <w:marTop w:val="0"/>
      <w:marBottom w:val="0"/>
      <w:divBdr>
        <w:top w:val="none" w:sz="0" w:space="0" w:color="auto"/>
        <w:left w:val="none" w:sz="0" w:space="0" w:color="auto"/>
        <w:bottom w:val="none" w:sz="0" w:space="0" w:color="auto"/>
        <w:right w:val="none" w:sz="0" w:space="0" w:color="auto"/>
      </w:divBdr>
    </w:div>
    <w:div w:id="1753117000">
      <w:bodyDiv w:val="1"/>
      <w:marLeft w:val="0"/>
      <w:marRight w:val="0"/>
      <w:marTop w:val="0"/>
      <w:marBottom w:val="0"/>
      <w:divBdr>
        <w:top w:val="none" w:sz="0" w:space="0" w:color="auto"/>
        <w:left w:val="none" w:sz="0" w:space="0" w:color="auto"/>
        <w:bottom w:val="none" w:sz="0" w:space="0" w:color="auto"/>
        <w:right w:val="none" w:sz="0" w:space="0" w:color="auto"/>
      </w:divBdr>
    </w:div>
    <w:div w:id="1768309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i.no/rapporter-og-statistikk/nokkeltall-og-statistikk/ansatte-i-sta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gjeringen.no/globalassets/upload/ud/vedlegg/europa/nou/meldst5_ud_eng.pdf" TargetMode="External"/><Relationship Id="rId4" Type="http://schemas.openxmlformats.org/officeDocument/2006/relationships/settings" Target="settings.xml"/><Relationship Id="rId9" Type="http://schemas.openxmlformats.org/officeDocument/2006/relationships/hyperlink" Target="https://www.difi.no/rapport/2016/08/utviklingen-i-antall-ansatte-i-sentral-statsforvaltn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fi.no/rapporter-og-statistikk/nokkeltall-og-statistikk/ansatte-i-sta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1F09-53E3-4FCA-95AE-81AC3731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10535</Words>
  <Characters>55840</Characters>
  <Application>Microsoft Office Word</Application>
  <DocSecurity>0</DocSecurity>
  <Lines>465</Lines>
  <Paragraphs>132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 Name</dc:creator>
  <cp:keywords/>
  <dc:description/>
  <cp:lastModifiedBy>Jarle Trondal</cp:lastModifiedBy>
  <cp:revision>4</cp:revision>
  <cp:lastPrinted>2017-04-24T08:49:00Z</cp:lastPrinted>
  <dcterms:created xsi:type="dcterms:W3CDTF">2017-04-24T08:43:00Z</dcterms:created>
  <dcterms:modified xsi:type="dcterms:W3CDTF">2017-04-26T12:41:00Z</dcterms:modified>
</cp:coreProperties>
</file>