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F23" w:rsidRPr="008D1F23" w:rsidRDefault="008D1F23" w:rsidP="008D1F23">
      <w:pPr>
        <w:spacing w:after="0" w:line="480" w:lineRule="auto"/>
        <w:rPr>
          <w:rFonts w:ascii="Calibri" w:eastAsia="Times New Roman" w:hAnsi="Calibri" w:cs="Calibri"/>
          <w:b/>
          <w:bCs/>
          <w:sz w:val="28"/>
          <w:szCs w:val="28"/>
          <w:lang w:val="en-US" w:eastAsia="en-GB"/>
        </w:rPr>
      </w:pPr>
      <w:r w:rsidRPr="008D1F23">
        <w:rPr>
          <w:rFonts w:ascii="Calibri" w:eastAsia="Times New Roman" w:hAnsi="Calibri" w:cs="Calibri"/>
          <w:b/>
          <w:bCs/>
          <w:sz w:val="28"/>
          <w:szCs w:val="28"/>
          <w:lang w:val="en-US" w:eastAsia="en-GB"/>
        </w:rPr>
        <w:t>Public Administration of the European Union</w:t>
      </w:r>
    </w:p>
    <w:p w:rsidR="008D1F23" w:rsidRPr="008D1F23" w:rsidRDefault="008D1F23" w:rsidP="008D1F23">
      <w:pPr>
        <w:spacing w:after="0" w:line="480" w:lineRule="auto"/>
        <w:rPr>
          <w:rFonts w:ascii="Calibri" w:eastAsia="Times New Roman" w:hAnsi="Calibri" w:cs="Calibri"/>
          <w:i/>
          <w:sz w:val="24"/>
          <w:szCs w:val="24"/>
          <w:lang w:val="en-GB" w:eastAsia="en-GB"/>
        </w:rPr>
      </w:pPr>
      <w:r w:rsidRPr="008D1F23">
        <w:rPr>
          <w:rFonts w:ascii="Calibri" w:eastAsia="Times New Roman" w:hAnsi="Calibri" w:cs="Calibri"/>
          <w:i/>
          <w:sz w:val="24"/>
          <w:szCs w:val="24"/>
          <w:lang w:val="en-GB" w:eastAsia="en-GB"/>
        </w:rPr>
        <w:t>Jarle Trondal</w:t>
      </w:r>
    </w:p>
    <w:p w:rsidR="008D1F23" w:rsidRPr="008D1F23" w:rsidRDefault="008D1F23" w:rsidP="008D1F23">
      <w:pPr>
        <w:pBdr>
          <w:bottom w:val="single" w:sz="4" w:space="1" w:color="auto"/>
        </w:pBdr>
        <w:spacing w:after="200" w:line="276" w:lineRule="auto"/>
        <w:rPr>
          <w:i/>
          <w:lang w:val="en-GB"/>
        </w:rPr>
      </w:pPr>
      <w:r w:rsidRPr="008D1F23">
        <w:rPr>
          <w:i/>
          <w:lang w:val="en-GB"/>
        </w:rPr>
        <w:t>Paper prepared for the EUSA Fifteenth Biennial Conference, May 4-6, 2017, Miami Florida.</w:t>
      </w:r>
    </w:p>
    <w:p w:rsidR="008D1F23" w:rsidRPr="008D1F23" w:rsidRDefault="008D1F23" w:rsidP="008D1F23">
      <w:pPr>
        <w:spacing w:after="0" w:line="480" w:lineRule="auto"/>
        <w:rPr>
          <w:rFonts w:ascii="Calibri" w:eastAsia="Times New Roman" w:hAnsi="Calibri" w:cs="Times New Roman"/>
          <w:lang w:val="en-GB" w:eastAsia="en-GB"/>
        </w:rPr>
      </w:pPr>
    </w:p>
    <w:p w:rsidR="008D1F23" w:rsidRPr="008D1F23" w:rsidRDefault="008D1F23" w:rsidP="008D1F23">
      <w:pPr>
        <w:spacing w:after="0" w:line="480" w:lineRule="auto"/>
        <w:rPr>
          <w:rFonts w:ascii="Calibri" w:eastAsia="Times New Roman" w:hAnsi="Calibri" w:cs="Times New Roman"/>
          <w:b/>
          <w:sz w:val="28"/>
          <w:szCs w:val="28"/>
          <w:lang w:val="en-GB" w:eastAsia="en-GB"/>
        </w:rPr>
      </w:pPr>
      <w:r w:rsidRPr="008D1F23">
        <w:rPr>
          <w:rFonts w:ascii="Calibri" w:eastAsia="Times New Roman" w:hAnsi="Calibri" w:cs="Times New Roman"/>
          <w:b/>
          <w:sz w:val="28"/>
          <w:szCs w:val="28"/>
          <w:lang w:val="en-GB" w:eastAsia="en-GB"/>
        </w:rPr>
        <w:t>Abstract</w:t>
      </w:r>
    </w:p>
    <w:p w:rsidR="008D1F23" w:rsidRPr="008D1F23" w:rsidRDefault="008D1F23" w:rsidP="008D1F23">
      <w:pPr>
        <w:spacing w:after="200" w:line="276" w:lineRule="auto"/>
        <w:rPr>
          <w:rFonts w:cstheme="minorHAnsi"/>
          <w:sz w:val="24"/>
          <w:szCs w:val="24"/>
          <w:lang w:val="en-US"/>
        </w:rPr>
      </w:pPr>
      <w:r w:rsidRPr="008D1F23">
        <w:rPr>
          <w:rFonts w:cstheme="minorHAnsi"/>
          <w:sz w:val="24"/>
          <w:szCs w:val="24"/>
          <w:lang w:val="en-US"/>
        </w:rPr>
        <w:t xml:space="preserve">Throughout history the EU has faced shifting hostile and uncertain environments, and responded by erecting turbulent organizational solutions of various kinds. To capture the complexity of EUs institutional responses to internal and external challenges, this paper suggests organized turbulence as a conceptual tool-kit. Organized turbulence is captured by the supply of independent and integrated organizational capacities within EU´s multilevel executive system. Multilevel governance involves a multiplicity of centers of authority and succeeding governance ambiguities for national actors. Studying organized turbulence opens an opportunity to rethink governance in turbulent core-executive systems more generally. In EU´s multilevel governance system policy processes at one level tend to create challenges and dilemmas at lower levels. These governance challenges and dilemmas increasingly affect contemporary European core-executive governance where the inherent state prerogative to formulate and implement public policy is subject to an emergent independent and integrated EU core executive system. </w:t>
      </w:r>
    </w:p>
    <w:p w:rsidR="008D1F23" w:rsidRPr="008D1F23" w:rsidRDefault="008D1F23" w:rsidP="008D1F23">
      <w:pPr>
        <w:spacing w:after="0" w:line="480" w:lineRule="auto"/>
        <w:rPr>
          <w:rFonts w:ascii="Calibri" w:eastAsia="Times New Roman" w:hAnsi="Calibri" w:cs="Times New Roman"/>
          <w:lang w:val="en-US" w:eastAsia="en-GB"/>
        </w:rPr>
      </w:pPr>
    </w:p>
    <w:p w:rsidR="008D1F23" w:rsidRPr="008D1F23" w:rsidRDefault="008D1F23" w:rsidP="008D1F23">
      <w:pPr>
        <w:spacing w:after="0" w:line="480" w:lineRule="auto"/>
        <w:rPr>
          <w:rFonts w:ascii="Calibri" w:eastAsia="Times New Roman" w:hAnsi="Calibri" w:cs="Times New Roman"/>
          <w:b/>
          <w:sz w:val="28"/>
          <w:szCs w:val="28"/>
          <w:lang w:val="en-GB" w:eastAsia="en-GB"/>
        </w:rPr>
      </w:pPr>
      <w:r w:rsidRPr="008D1F23">
        <w:rPr>
          <w:rFonts w:ascii="Calibri" w:eastAsia="Times New Roman" w:hAnsi="Calibri" w:cs="Times New Roman"/>
          <w:b/>
          <w:sz w:val="28"/>
          <w:szCs w:val="28"/>
          <w:lang w:val="en-GB" w:eastAsia="en-GB"/>
        </w:rPr>
        <w:t>Introduction</w:t>
      </w:r>
    </w:p>
    <w:p w:rsidR="008D1F23" w:rsidRPr="008D1F23" w:rsidRDefault="008D1F23" w:rsidP="008D1F23">
      <w:pPr>
        <w:spacing w:after="0" w:line="480" w:lineRule="auto"/>
        <w:rPr>
          <w:rFonts w:ascii="Calibri" w:eastAsia="Times New Roman" w:hAnsi="Calibri" w:cs="Times New Roman"/>
          <w:sz w:val="24"/>
          <w:szCs w:val="24"/>
          <w:lang w:val="en-GB" w:eastAsia="nb-NO"/>
        </w:rPr>
      </w:pPr>
      <w:r w:rsidRPr="008D1F23">
        <w:rPr>
          <w:rFonts w:cstheme="minorHAnsi"/>
          <w:sz w:val="24"/>
          <w:szCs w:val="24"/>
          <w:lang w:val="en-US"/>
        </w:rPr>
        <w:t xml:space="preserve">In a multilevel governance system such as the European Union (EU) policy processes at one level may create centrifugal challenges and dilemmas at lower levels. Multilevel governance involves a multiplicity of regulatory regimes (e.g. Harlow and Rawlings 2014) and succeeding governance ambiguities for national actors. This paper aims to unravel those regulatory challenges and ensuring governance dilemmas that face contemporary European public administration. These challenges and dilemmas are captured in this paper by the term turbulence. The overarching question is: How to reconcile strong integration and coherence of a common European polity while at the same time upholding strong national coordination and control? Strong coordination across levels may arguably counteract strong coordination </w:t>
      </w:r>
      <w:r w:rsidRPr="008D1F23">
        <w:rPr>
          <w:rFonts w:cstheme="minorHAnsi"/>
          <w:sz w:val="24"/>
          <w:szCs w:val="24"/>
          <w:lang w:val="en-US"/>
        </w:rPr>
        <w:lastRenderedPageBreak/>
        <w:t xml:space="preserve">at the national level. This ‘coordination dilemma’ has been largely ignored in the literatures on EU network governance and national ‘joined-up government’ reforms, respectively. </w:t>
      </w:r>
      <w:r w:rsidRPr="008D1F23">
        <w:rPr>
          <w:rFonts w:ascii="Calibri" w:eastAsia="SimSun" w:hAnsi="Calibri" w:cs="Times New Roman"/>
          <w:sz w:val="24"/>
          <w:szCs w:val="24"/>
          <w:lang w:val="en-US" w:eastAsia="zh-CN"/>
        </w:rPr>
        <w:t xml:space="preserve">The tension between, on the one hand, central steering and policy coordination across levels of government and, on the other, regional/local autonomy and coordination is a well-known topic in research on federal states and central-local relations within unitary states (e.g. Fenna 2012). However, the underlying organizational </w:t>
      </w:r>
      <w:r w:rsidRPr="008D1F23">
        <w:rPr>
          <w:rFonts w:ascii="Calibri" w:eastAsia="SimSun" w:hAnsi="Calibri" w:cs="Times New Roman"/>
          <w:i/>
          <w:sz w:val="24"/>
          <w:szCs w:val="24"/>
          <w:lang w:val="en-US" w:eastAsia="zh-CN"/>
        </w:rPr>
        <w:t>mechanisms</w:t>
      </w:r>
      <w:r w:rsidRPr="008D1F23">
        <w:rPr>
          <w:rFonts w:ascii="Calibri" w:eastAsia="SimSun" w:hAnsi="Calibri" w:cs="Times New Roman"/>
          <w:sz w:val="24"/>
          <w:szCs w:val="24"/>
          <w:lang w:val="en-US" w:eastAsia="zh-CN"/>
        </w:rPr>
        <w:t xml:space="preserve"> of the ‘coordination dilemma’, seem underspecified so far (Egeberg and Trondal 2015a). This paper presents </w:t>
      </w:r>
      <w:r w:rsidRPr="008D1F23">
        <w:rPr>
          <w:rFonts w:ascii="Calibri" w:eastAsia="SimSun" w:hAnsi="Calibri" w:cs="Times New Roman"/>
          <w:i/>
          <w:sz w:val="24"/>
          <w:szCs w:val="24"/>
          <w:lang w:val="en-US" w:eastAsia="zh-CN"/>
        </w:rPr>
        <w:t>organized turbulence</w:t>
      </w:r>
      <w:r w:rsidRPr="008D1F23">
        <w:rPr>
          <w:rFonts w:ascii="Calibri" w:eastAsia="SimSun" w:hAnsi="Calibri" w:cs="Times New Roman"/>
          <w:sz w:val="24"/>
          <w:szCs w:val="24"/>
          <w:lang w:val="en-US" w:eastAsia="zh-CN"/>
        </w:rPr>
        <w:t xml:space="preserve"> as one theoretical route to understand this dilemma. </w:t>
      </w:r>
      <w:r w:rsidRPr="008D1F23">
        <w:rPr>
          <w:rFonts w:ascii="Calibri" w:eastAsia="Times New Roman" w:hAnsi="Calibri" w:cs="Times New Roman"/>
          <w:sz w:val="24"/>
          <w:szCs w:val="24"/>
          <w:lang w:val="en-GB" w:eastAsia="nb-NO"/>
        </w:rPr>
        <w:t xml:space="preserve">The turbulence of governance systems is assessed by analysing degrees of institutional </w:t>
      </w:r>
      <w:r w:rsidRPr="008D1F23">
        <w:rPr>
          <w:rFonts w:ascii="Calibri" w:eastAsia="Times New Roman" w:hAnsi="Calibri" w:cs="Times New Roman"/>
          <w:i/>
          <w:sz w:val="24"/>
          <w:szCs w:val="24"/>
          <w:lang w:val="en-GB" w:eastAsia="nb-NO"/>
        </w:rPr>
        <w:t>independence</w:t>
      </w:r>
      <w:r w:rsidRPr="008D1F23">
        <w:rPr>
          <w:rFonts w:ascii="Calibri" w:eastAsia="Times New Roman" w:hAnsi="Calibri" w:cs="Times New Roman"/>
          <w:sz w:val="24"/>
          <w:szCs w:val="24"/>
          <w:lang w:val="en-GB" w:eastAsia="nb-NO"/>
        </w:rPr>
        <w:t xml:space="preserve"> (Verhoest et al. 2012) and degrees of </w:t>
      </w:r>
      <w:r w:rsidRPr="008D1F23">
        <w:rPr>
          <w:rFonts w:ascii="Calibri" w:eastAsia="Times New Roman" w:hAnsi="Calibri" w:cs="Times New Roman"/>
          <w:i/>
          <w:sz w:val="24"/>
          <w:szCs w:val="24"/>
          <w:lang w:val="en-GB" w:eastAsia="nb-NO"/>
        </w:rPr>
        <w:t>integration</w:t>
      </w:r>
      <w:r w:rsidRPr="008D1F23">
        <w:rPr>
          <w:rFonts w:ascii="Calibri" w:eastAsia="Times New Roman" w:hAnsi="Calibri" w:cs="Times New Roman"/>
          <w:sz w:val="24"/>
          <w:szCs w:val="24"/>
          <w:lang w:val="en-GB" w:eastAsia="nb-NO"/>
        </w:rPr>
        <w:t xml:space="preserve"> of its parts (March 1999). Organized turbulence in this paper covers (i) the development of administrative capacities that make the Commission able to act relatively independent from pre-existing administrative orders at national level; and (ii) that these administrative capacities are able to integrate non-majoritarian institutions at some length.</w:t>
      </w:r>
    </w:p>
    <w:p w:rsidR="008D1F23" w:rsidRPr="008D1F23" w:rsidRDefault="008D1F23" w:rsidP="008D1F23">
      <w:pPr>
        <w:spacing w:after="0" w:line="480" w:lineRule="auto"/>
        <w:rPr>
          <w:rFonts w:ascii="Calibri" w:eastAsia="Times New Roman" w:hAnsi="Calibri" w:cs="Times New Roman"/>
          <w:sz w:val="24"/>
          <w:szCs w:val="24"/>
          <w:lang w:val="en-GB" w:eastAsia="nb-NO"/>
        </w:rPr>
      </w:pPr>
    </w:p>
    <w:p w:rsidR="008D1F23" w:rsidRPr="008D1F23" w:rsidRDefault="008D1F23" w:rsidP="008D1F23">
      <w:pPr>
        <w:spacing w:after="0" w:line="480" w:lineRule="auto"/>
        <w:rPr>
          <w:rFonts w:ascii="Calibri" w:eastAsia="Times New Roman" w:hAnsi="Calibri" w:cs="Times New Roman"/>
          <w:sz w:val="24"/>
          <w:szCs w:val="24"/>
          <w:lang w:val="en-GB" w:eastAsia="nb-NO"/>
        </w:rPr>
      </w:pPr>
      <w:r w:rsidRPr="008D1F23">
        <w:rPr>
          <w:rFonts w:ascii="Calibri" w:eastAsia="Times New Roman" w:hAnsi="Calibri" w:cs="Times New Roman"/>
          <w:sz w:val="24"/>
          <w:szCs w:val="24"/>
          <w:lang w:val="en-GB" w:eastAsia="nb-NO"/>
        </w:rPr>
        <w:t>Administrative capacities generate the power ‘to actually do things’ (Fukuyama 2014: 52). Essential</w:t>
      </w:r>
      <w:r w:rsidRPr="008D1F23">
        <w:rPr>
          <w:rFonts w:ascii="Calibri" w:eastAsia="Times New Roman" w:hAnsi="Calibri" w:cs="Times New Roman"/>
          <w:sz w:val="24"/>
          <w:szCs w:val="24"/>
          <w:lang w:val="en-US" w:eastAsia="nb-NO"/>
        </w:rPr>
        <w:t xml:space="preserve"> to this paper is </w:t>
      </w:r>
      <w:r w:rsidRPr="008D1F23">
        <w:rPr>
          <w:rFonts w:ascii="Calibri" w:eastAsia="Times New Roman" w:hAnsi="Calibri" w:cs="Times New Roman"/>
          <w:sz w:val="24"/>
          <w:szCs w:val="24"/>
          <w:lang w:val="en-GB" w:eastAsia="nb-NO"/>
        </w:rPr>
        <w:t>the</w:t>
      </w:r>
      <w:r w:rsidRPr="008D1F23">
        <w:rPr>
          <w:rFonts w:ascii="Calibri" w:eastAsia="Times New Roman" w:hAnsi="Calibri" w:cs="Times New Roman"/>
          <w:sz w:val="24"/>
          <w:szCs w:val="24"/>
          <w:lang w:val="en-US" w:eastAsia="nb-NO"/>
        </w:rPr>
        <w:t xml:space="preserve"> </w:t>
      </w:r>
      <w:r w:rsidRPr="008D1F23">
        <w:rPr>
          <w:rFonts w:ascii="Calibri" w:eastAsia="Times New Roman" w:hAnsi="Calibri" w:cs="Times New Roman"/>
          <w:sz w:val="24"/>
          <w:szCs w:val="24"/>
          <w:lang w:val="en-GB" w:eastAsia="nb-NO"/>
        </w:rPr>
        <w:t>extent</w:t>
      </w:r>
      <w:r w:rsidRPr="008D1F23">
        <w:rPr>
          <w:rFonts w:ascii="Calibri" w:eastAsia="Times New Roman" w:hAnsi="Calibri" w:cs="Times New Roman"/>
          <w:sz w:val="24"/>
          <w:szCs w:val="24"/>
          <w:lang w:val="en-US" w:eastAsia="nb-NO"/>
        </w:rPr>
        <w:t xml:space="preserve"> to which a</w:t>
      </w:r>
      <w:r w:rsidRPr="008D1F23">
        <w:rPr>
          <w:rFonts w:ascii="Calibri" w:eastAsia="Times New Roman" w:hAnsi="Calibri" w:cs="Times New Roman"/>
          <w:sz w:val="24"/>
          <w:szCs w:val="24"/>
          <w:lang w:val="en-GB" w:eastAsia="nb-NO"/>
        </w:rPr>
        <w:t>n</w:t>
      </w:r>
      <w:r w:rsidRPr="008D1F23">
        <w:rPr>
          <w:rFonts w:ascii="Calibri" w:eastAsia="Times New Roman" w:hAnsi="Calibri" w:cs="Times New Roman"/>
          <w:sz w:val="24"/>
          <w:szCs w:val="24"/>
          <w:lang w:val="en-US" w:eastAsia="nb-NO"/>
        </w:rPr>
        <w:t xml:space="preserve"> </w:t>
      </w:r>
      <w:r w:rsidRPr="008D1F23">
        <w:rPr>
          <w:rFonts w:ascii="Calibri" w:eastAsia="Times New Roman" w:hAnsi="Calibri" w:cs="Times New Roman"/>
          <w:sz w:val="24"/>
          <w:szCs w:val="24"/>
          <w:lang w:val="en-GB" w:eastAsia="nb-NO"/>
        </w:rPr>
        <w:t xml:space="preserve">organizational capacity is established independently </w:t>
      </w:r>
      <w:r w:rsidRPr="008D1F23">
        <w:rPr>
          <w:rFonts w:ascii="Calibri" w:eastAsia="Times New Roman" w:hAnsi="Calibri" w:cs="Times New Roman"/>
          <w:sz w:val="24"/>
          <w:szCs w:val="24"/>
          <w:lang w:val="en-US" w:eastAsia="nb-NO"/>
        </w:rPr>
        <w:t xml:space="preserve">from </w:t>
      </w:r>
      <w:r w:rsidRPr="008D1F23">
        <w:rPr>
          <w:rFonts w:ascii="Calibri" w:eastAsia="Times New Roman" w:hAnsi="Calibri" w:cs="Times New Roman"/>
          <w:sz w:val="24"/>
          <w:szCs w:val="24"/>
          <w:lang w:val="en-GB" w:eastAsia="nb-NO"/>
        </w:rPr>
        <w:t>key components of</w:t>
      </w:r>
      <w:r w:rsidRPr="008D1F23">
        <w:rPr>
          <w:rFonts w:ascii="Calibri" w:eastAsia="Times New Roman" w:hAnsi="Calibri" w:cs="Times New Roman"/>
          <w:sz w:val="24"/>
          <w:szCs w:val="24"/>
          <w:lang w:val="en-US" w:eastAsia="nb-NO"/>
        </w:rPr>
        <w:t xml:space="preserve"> an </w:t>
      </w:r>
      <w:r w:rsidRPr="008D1F23">
        <w:rPr>
          <w:rFonts w:ascii="Calibri" w:eastAsia="Times New Roman" w:hAnsi="Calibri" w:cs="Times New Roman"/>
          <w:sz w:val="24"/>
          <w:szCs w:val="24"/>
          <w:lang w:val="en-GB" w:eastAsia="nb-NO"/>
        </w:rPr>
        <w:t xml:space="preserve">inherent administrative </w:t>
      </w:r>
      <w:r w:rsidRPr="008D1F23">
        <w:rPr>
          <w:rFonts w:ascii="Calibri" w:eastAsia="Times New Roman" w:hAnsi="Calibri" w:cs="Times New Roman"/>
          <w:sz w:val="24"/>
          <w:szCs w:val="24"/>
          <w:lang w:val="en-US" w:eastAsia="nb-NO"/>
        </w:rPr>
        <w:t>order</w:t>
      </w:r>
      <w:r w:rsidRPr="008D1F23">
        <w:rPr>
          <w:rFonts w:ascii="Calibri" w:eastAsia="Times New Roman" w:hAnsi="Calibri" w:cs="Times New Roman"/>
          <w:sz w:val="24"/>
          <w:szCs w:val="24"/>
          <w:lang w:val="en-GB" w:eastAsia="nb-NO"/>
        </w:rPr>
        <w:t xml:space="preserve"> (Madison 1788)</w:t>
      </w:r>
      <w:r w:rsidRPr="008D1F23">
        <w:rPr>
          <w:rFonts w:ascii="Calibri" w:eastAsia="Times New Roman" w:hAnsi="Calibri" w:cs="Times New Roman"/>
          <w:sz w:val="24"/>
          <w:szCs w:val="24"/>
          <w:lang w:val="en-US" w:eastAsia="nb-NO"/>
        </w:rPr>
        <w:t xml:space="preserve">. This requirement </w:t>
      </w:r>
      <w:r w:rsidRPr="008D1F23">
        <w:rPr>
          <w:rFonts w:ascii="Calibri" w:eastAsia="Times New Roman" w:hAnsi="Calibri" w:cs="Times New Roman"/>
          <w:sz w:val="24"/>
          <w:szCs w:val="24"/>
          <w:lang w:val="en-GB" w:eastAsia="nb-NO"/>
        </w:rPr>
        <w:t xml:space="preserve">squares with Rothstein’s call for impartial government in the exercise of public power (Rothstein and Teorell 2012: 17). Essentially in our context is not </w:t>
      </w:r>
      <w:r w:rsidRPr="008D1F23">
        <w:rPr>
          <w:rFonts w:ascii="Calibri" w:eastAsia="Times New Roman" w:hAnsi="Calibri" w:cs="Times New Roman"/>
          <w:i/>
          <w:sz w:val="24"/>
          <w:szCs w:val="24"/>
          <w:lang w:val="en-GB" w:eastAsia="nb-NO"/>
        </w:rPr>
        <w:t>any</w:t>
      </w:r>
      <w:r w:rsidRPr="008D1F23">
        <w:rPr>
          <w:rFonts w:ascii="Calibri" w:eastAsia="Times New Roman" w:hAnsi="Calibri" w:cs="Times New Roman"/>
          <w:sz w:val="24"/>
          <w:szCs w:val="24"/>
          <w:lang w:val="en-GB" w:eastAsia="nb-NO"/>
        </w:rPr>
        <w:t xml:space="preserve"> kind of impartiality, but the EU administration’s impartiality/independence vis-à-vis member-state governments. What matters is the extent to which the EU administrative system in practice is relatively </w:t>
      </w:r>
      <w:r w:rsidRPr="008D1F23">
        <w:rPr>
          <w:rFonts w:ascii="Calibri" w:eastAsia="Times New Roman" w:hAnsi="Calibri" w:cs="Times New Roman"/>
          <w:i/>
          <w:sz w:val="24"/>
          <w:szCs w:val="24"/>
          <w:lang w:val="en-GB" w:eastAsia="nb-NO"/>
        </w:rPr>
        <w:t>independent</w:t>
      </w:r>
      <w:r w:rsidRPr="008D1F23">
        <w:rPr>
          <w:rFonts w:ascii="Calibri" w:eastAsia="Times New Roman" w:hAnsi="Calibri" w:cs="Times New Roman"/>
          <w:sz w:val="24"/>
          <w:szCs w:val="24"/>
          <w:lang w:val="en-GB" w:eastAsia="nb-NO"/>
        </w:rPr>
        <w:t xml:space="preserve"> from key components of an intergovernmental administrative </w:t>
      </w:r>
      <w:r w:rsidRPr="008D1F23">
        <w:rPr>
          <w:rFonts w:ascii="Calibri" w:eastAsia="Times New Roman" w:hAnsi="Calibri" w:cs="Times New Roman"/>
          <w:sz w:val="24"/>
          <w:szCs w:val="24"/>
          <w:lang w:val="en-GB" w:eastAsia="nb-NO"/>
        </w:rPr>
        <w:lastRenderedPageBreak/>
        <w:t xml:space="preserve">order, not whether it is independent in general. A second requirement is how </w:t>
      </w:r>
      <w:r w:rsidRPr="008D1F23">
        <w:rPr>
          <w:rFonts w:ascii="Calibri" w:eastAsia="Times New Roman" w:hAnsi="Calibri" w:cs="Times New Roman"/>
          <w:i/>
          <w:sz w:val="24"/>
          <w:szCs w:val="24"/>
          <w:lang w:val="en-GB" w:eastAsia="nb-NO"/>
        </w:rPr>
        <w:t>internally integrated</w:t>
      </w:r>
      <w:r w:rsidRPr="008D1F23">
        <w:rPr>
          <w:rFonts w:ascii="Calibri" w:eastAsia="Times New Roman" w:hAnsi="Calibri" w:cs="Times New Roman"/>
          <w:sz w:val="24"/>
          <w:szCs w:val="24"/>
          <w:lang w:val="en-GB" w:eastAsia="nb-NO"/>
        </w:rPr>
        <w:t xml:space="preserve"> this EU administration is.</w:t>
      </w:r>
    </w:p>
    <w:p w:rsidR="008D1F23" w:rsidRPr="008D1F23" w:rsidRDefault="008D1F23" w:rsidP="008D1F23">
      <w:pPr>
        <w:spacing w:after="0" w:line="480" w:lineRule="auto"/>
        <w:rPr>
          <w:rFonts w:ascii="Calibri" w:eastAsia="Times New Roman" w:hAnsi="Calibri" w:cs="Times New Roman"/>
          <w:sz w:val="24"/>
          <w:szCs w:val="24"/>
          <w:lang w:val="en-GB" w:eastAsia="nb-NO"/>
        </w:rPr>
      </w:pPr>
    </w:p>
    <w:p w:rsidR="008D1F23" w:rsidRPr="008D1F23" w:rsidRDefault="008D1F23" w:rsidP="008D1F23">
      <w:pPr>
        <w:spacing w:after="0" w:line="480" w:lineRule="auto"/>
        <w:rPr>
          <w:rFonts w:ascii="Calibri" w:eastAsia="Times New Roman" w:hAnsi="Calibri" w:cs="Times New Roman"/>
          <w:sz w:val="24"/>
          <w:szCs w:val="24"/>
          <w:lang w:val="en-GB" w:eastAsia="nb-NO"/>
        </w:rPr>
      </w:pPr>
      <w:r w:rsidRPr="008D1F23">
        <w:rPr>
          <w:rFonts w:ascii="Calibri" w:eastAsia="Times New Roman" w:hAnsi="Calibri" w:cs="Times New Roman"/>
          <w:sz w:val="24"/>
          <w:szCs w:val="24"/>
          <w:lang w:val="en-GB" w:eastAsia="nb-NO"/>
        </w:rPr>
        <w:t xml:space="preserve">Formulating and implementing public policy in Europe has been a prerogative for national administrations under the assumption that administrative sovereignty is essential to safeguard state sovereignty (Genschel and Jachtenfuchs 2014). The sovereignty of the state has been supplied by ‘the </w:t>
      </w:r>
      <w:r w:rsidRPr="008D1F23">
        <w:rPr>
          <w:rFonts w:ascii="Calibri" w:eastAsia="Times New Roman" w:hAnsi="Calibri" w:cs="Calibri"/>
          <w:sz w:val="24"/>
          <w:szCs w:val="24"/>
          <w:lang w:val="en-GB" w:eastAsia="nb-NO"/>
        </w:rPr>
        <w:t xml:space="preserve">[administrative] </w:t>
      </w:r>
      <w:r w:rsidRPr="008D1F23">
        <w:rPr>
          <w:rFonts w:ascii="Calibri" w:eastAsia="Times New Roman" w:hAnsi="Calibri" w:cs="Times New Roman"/>
          <w:sz w:val="24"/>
          <w:szCs w:val="24"/>
          <w:lang w:val="en-GB" w:eastAsia="nb-NO"/>
        </w:rPr>
        <w:t>capacity of the state to effectively achieve the chosen policy outcomes’ (Matthews 2012: 281).</w:t>
      </w:r>
      <w:r w:rsidRPr="008D1F23">
        <w:rPr>
          <w:rFonts w:ascii="Calibri" w:eastAsia="Times New Roman" w:hAnsi="Calibri" w:cs="Times New Roman"/>
          <w:sz w:val="21"/>
          <w:szCs w:val="21"/>
          <w:lang w:val="en-GB" w:eastAsia="nb-NO"/>
        </w:rPr>
        <w:t xml:space="preserve"> </w:t>
      </w:r>
      <w:r w:rsidRPr="008D1F23">
        <w:rPr>
          <w:rFonts w:ascii="Calibri" w:eastAsia="Times New Roman" w:hAnsi="Calibri" w:cs="Times New Roman"/>
          <w:sz w:val="24"/>
          <w:szCs w:val="24"/>
          <w:lang w:val="en-GB" w:eastAsia="nb-NO"/>
        </w:rPr>
        <w:t>This paper explores how these prerogatives have become complemented with the rise administrative capacities within the EU institutions. This paper illuminates that these capacities are found primarily within the Commission, however, supported by an increased parallel administration consisting of both EU level and national level agencies. Capacity building may strengthen the Commission’s capacity</w:t>
      </w:r>
      <w:r w:rsidRPr="008D1F23">
        <w:rPr>
          <w:rFonts w:ascii="Calibri" w:eastAsia="Times New Roman" w:hAnsi="Calibri" w:cs="Times New Roman"/>
          <w:sz w:val="24"/>
          <w:szCs w:val="24"/>
          <w:lang w:val="en-US" w:eastAsia="nb-NO"/>
        </w:rPr>
        <w:t xml:space="preserve"> to </w:t>
      </w:r>
      <w:r w:rsidRPr="008D1F23">
        <w:rPr>
          <w:rFonts w:ascii="Calibri" w:eastAsia="Times New Roman" w:hAnsi="Calibri" w:cs="Times New Roman"/>
          <w:sz w:val="24"/>
          <w:szCs w:val="24"/>
          <w:lang w:val="en-GB" w:eastAsia="nb-NO"/>
        </w:rPr>
        <w:t>independent policy formulation</w:t>
      </w:r>
      <w:r w:rsidRPr="008D1F23">
        <w:rPr>
          <w:rFonts w:ascii="Calibri" w:eastAsia="Times New Roman" w:hAnsi="Calibri" w:cs="Times New Roman"/>
          <w:sz w:val="24"/>
          <w:szCs w:val="24"/>
          <w:lang w:val="en-US" w:eastAsia="nb-NO"/>
        </w:rPr>
        <w:t>,</w:t>
      </w:r>
      <w:r w:rsidRPr="008D1F23">
        <w:rPr>
          <w:rFonts w:ascii="Calibri" w:eastAsia="Times New Roman" w:hAnsi="Calibri" w:cs="Times New Roman"/>
          <w:sz w:val="24"/>
          <w:szCs w:val="24"/>
          <w:lang w:val="en-GB" w:eastAsia="nb-NO"/>
        </w:rPr>
        <w:t xml:space="preserve"> managing decentralized policy implementation</w:t>
      </w:r>
      <w:r w:rsidRPr="008D1F23">
        <w:rPr>
          <w:rFonts w:ascii="Calibri" w:eastAsia="Times New Roman" w:hAnsi="Calibri" w:cs="Times New Roman"/>
          <w:sz w:val="24"/>
          <w:szCs w:val="24"/>
          <w:lang w:val="en-US" w:eastAsia="nb-NO"/>
        </w:rPr>
        <w:t xml:space="preserve">, and </w:t>
      </w:r>
      <w:r w:rsidRPr="008D1F23">
        <w:rPr>
          <w:rFonts w:ascii="Calibri" w:eastAsia="Times New Roman" w:hAnsi="Calibri" w:cs="Times New Roman"/>
          <w:sz w:val="24"/>
          <w:szCs w:val="24"/>
          <w:lang w:val="en-GB" w:eastAsia="nb-NO"/>
        </w:rPr>
        <w:t xml:space="preserve">strengthen its capability </w:t>
      </w:r>
      <w:r w:rsidRPr="008D1F23">
        <w:rPr>
          <w:rFonts w:ascii="Calibri" w:eastAsia="Times New Roman" w:hAnsi="Calibri" w:cs="Times New Roman"/>
          <w:sz w:val="24"/>
          <w:szCs w:val="24"/>
          <w:lang w:val="en-US" w:eastAsia="nb-NO"/>
        </w:rPr>
        <w:t xml:space="preserve">to </w:t>
      </w:r>
      <w:r w:rsidRPr="008D1F23">
        <w:rPr>
          <w:rFonts w:ascii="Calibri" w:eastAsia="Times New Roman" w:hAnsi="Calibri" w:cs="Times New Roman"/>
          <w:sz w:val="24"/>
          <w:szCs w:val="24"/>
          <w:lang w:val="en-GB" w:eastAsia="nb-NO"/>
        </w:rPr>
        <w:t xml:space="preserve">draw common lessons </w:t>
      </w:r>
      <w:r w:rsidRPr="008D1F23">
        <w:rPr>
          <w:rFonts w:ascii="Calibri" w:eastAsia="Times New Roman" w:hAnsi="Calibri" w:cs="Times New Roman"/>
          <w:sz w:val="24"/>
          <w:szCs w:val="24"/>
          <w:lang w:val="en-US" w:eastAsia="nb-NO"/>
        </w:rPr>
        <w:t xml:space="preserve">from </w:t>
      </w:r>
      <w:r w:rsidRPr="008D1F23">
        <w:rPr>
          <w:rFonts w:ascii="Calibri" w:eastAsia="Times New Roman" w:hAnsi="Calibri" w:cs="Times New Roman"/>
          <w:sz w:val="24"/>
          <w:szCs w:val="24"/>
          <w:lang w:val="en-GB" w:eastAsia="nb-NO"/>
        </w:rPr>
        <w:t>experience</w:t>
      </w:r>
      <w:r w:rsidRPr="008D1F23">
        <w:rPr>
          <w:rFonts w:ascii="Calibri" w:eastAsia="Times New Roman" w:hAnsi="Calibri" w:cs="Times New Roman"/>
          <w:sz w:val="24"/>
          <w:szCs w:val="24"/>
          <w:lang w:val="en-US" w:eastAsia="nb-NO"/>
        </w:rPr>
        <w:t xml:space="preserve">. This </w:t>
      </w:r>
      <w:r w:rsidRPr="008D1F23">
        <w:rPr>
          <w:rFonts w:ascii="Calibri" w:eastAsia="Times New Roman" w:hAnsi="Calibri" w:cs="Times New Roman"/>
          <w:sz w:val="24"/>
          <w:szCs w:val="24"/>
          <w:lang w:val="en-GB" w:eastAsia="nb-NO"/>
        </w:rPr>
        <w:t>may also strengthen the Commission’s capacity to integrate</w:t>
      </w:r>
      <w:r w:rsidRPr="008D1F23">
        <w:rPr>
          <w:rFonts w:ascii="Calibri" w:eastAsia="Times New Roman" w:hAnsi="Calibri" w:cs="Times New Roman"/>
          <w:sz w:val="24"/>
          <w:szCs w:val="24"/>
          <w:lang w:val="en-US" w:eastAsia="nb-NO"/>
        </w:rPr>
        <w:t xml:space="preserve"> </w:t>
      </w:r>
      <w:r w:rsidRPr="008D1F23">
        <w:rPr>
          <w:rFonts w:ascii="Calibri" w:eastAsia="Times New Roman" w:hAnsi="Calibri" w:cs="Times New Roman"/>
          <w:sz w:val="24"/>
          <w:szCs w:val="24"/>
          <w:lang w:val="en-GB" w:eastAsia="nb-NO"/>
        </w:rPr>
        <w:t>domestic</w:t>
      </w:r>
      <w:r w:rsidRPr="008D1F23">
        <w:rPr>
          <w:rFonts w:ascii="Calibri" w:eastAsia="Times New Roman" w:hAnsi="Calibri" w:cs="Times New Roman"/>
          <w:sz w:val="24"/>
          <w:szCs w:val="24"/>
          <w:lang w:val="en-US" w:eastAsia="nb-NO"/>
        </w:rPr>
        <w:t xml:space="preserve"> </w:t>
      </w:r>
      <w:r w:rsidRPr="008D1F23">
        <w:rPr>
          <w:rFonts w:ascii="Calibri" w:eastAsia="Times New Roman" w:hAnsi="Calibri" w:cs="Times New Roman"/>
          <w:sz w:val="24"/>
          <w:szCs w:val="24"/>
          <w:lang w:val="en-GB" w:eastAsia="nb-NO"/>
        </w:rPr>
        <w:t>non-majoritarian</w:t>
      </w:r>
      <w:r w:rsidRPr="008D1F23">
        <w:rPr>
          <w:rFonts w:ascii="Calibri" w:eastAsia="Times New Roman" w:hAnsi="Calibri" w:cs="Times New Roman"/>
          <w:sz w:val="24"/>
          <w:szCs w:val="24"/>
          <w:lang w:val="en-US" w:eastAsia="nb-NO"/>
        </w:rPr>
        <w:t xml:space="preserve"> </w:t>
      </w:r>
      <w:r w:rsidRPr="008D1F23">
        <w:rPr>
          <w:rFonts w:ascii="Calibri" w:eastAsia="Times New Roman" w:hAnsi="Calibri" w:cs="Times New Roman"/>
          <w:sz w:val="24"/>
          <w:szCs w:val="24"/>
          <w:lang w:val="en-GB" w:eastAsia="nb-NO"/>
        </w:rPr>
        <w:t>institutions as part of the centre</w:t>
      </w:r>
      <w:r w:rsidRPr="008D1F23">
        <w:rPr>
          <w:rFonts w:ascii="Calibri" w:eastAsia="Times New Roman" w:hAnsi="Calibri" w:cs="Times New Roman"/>
          <w:sz w:val="24"/>
          <w:szCs w:val="24"/>
          <w:lang w:val="en-US" w:eastAsia="nb-NO"/>
        </w:rPr>
        <w:t>.</w:t>
      </w:r>
      <w:r w:rsidRPr="008D1F23">
        <w:rPr>
          <w:rFonts w:ascii="Calibri" w:eastAsia="Times New Roman" w:hAnsi="Calibri" w:cs="Times New Roman"/>
          <w:sz w:val="24"/>
          <w:szCs w:val="24"/>
          <w:lang w:val="en-GB" w:eastAsia="nb-NO"/>
        </w:rPr>
        <w:t xml:space="preserve"> </w:t>
      </w:r>
    </w:p>
    <w:p w:rsidR="008D1F23" w:rsidRPr="008D1F23" w:rsidRDefault="008D1F23" w:rsidP="008D1F23">
      <w:pPr>
        <w:spacing w:after="0" w:line="480" w:lineRule="auto"/>
        <w:rPr>
          <w:rFonts w:ascii="Calibri" w:eastAsia="Times New Roman" w:hAnsi="Calibri" w:cs="Times New Roman"/>
          <w:sz w:val="24"/>
          <w:szCs w:val="24"/>
          <w:lang w:val="en-GB" w:eastAsia="nb-NO"/>
        </w:rPr>
      </w:pPr>
    </w:p>
    <w:p w:rsidR="008D1F23" w:rsidRPr="008D1F23" w:rsidRDefault="008D1F23" w:rsidP="008D1F23">
      <w:pPr>
        <w:spacing w:after="0" w:line="480" w:lineRule="auto"/>
        <w:rPr>
          <w:rFonts w:ascii="Calibri" w:eastAsia="Times New Roman" w:hAnsi="Calibri" w:cs="Times New Roman"/>
          <w:sz w:val="24"/>
          <w:szCs w:val="24"/>
          <w:lang w:val="en-GB" w:eastAsia="nb-NO"/>
        </w:rPr>
      </w:pPr>
      <w:r w:rsidRPr="008D1F23">
        <w:rPr>
          <w:rFonts w:ascii="Calibri" w:eastAsia="Times New Roman" w:hAnsi="Calibri" w:cs="Times New Roman"/>
          <w:sz w:val="24"/>
          <w:szCs w:val="24"/>
          <w:lang w:val="en-GB" w:eastAsia="nb-NO"/>
        </w:rPr>
        <w:t xml:space="preserve">In addition, this paper suggests that the recent European economic and governance crisis has not distorted the fundamentals of this system, but rather reinforced core elements of it through incremental organizational layering. This has resulted in what Wrong (2015) calls ‘creeping supranationalism’, which is institutionally embedded into the EU administrative fabric. Illustrative of this, even the new Eurozone governance architecture largely builds on pre-existing organizational solutions and governance patterns, largely strengthening the role of existing institutions. This can be seen at three levels: (i) a sustained role of the </w:t>
      </w:r>
      <w:r w:rsidRPr="008D1F23">
        <w:rPr>
          <w:rFonts w:ascii="Calibri" w:eastAsia="Times New Roman" w:hAnsi="Calibri" w:cs="Times New Roman"/>
          <w:sz w:val="24"/>
          <w:szCs w:val="24"/>
          <w:lang w:val="en-GB" w:eastAsia="nb-NO"/>
        </w:rPr>
        <w:lastRenderedPageBreak/>
        <w:t>Commission, i.e. in controlling and socializing member-states economic policy (Bauer and Becker 2014; Zeitlin and Vanhercke 2014), (ii) increased agencification of the EU and an increased role of depoliticised non-majoritarian institutions such as the European Central Bank (Caparaso et al. 2014; Hodson 2014), and (iii) stronger ties between EU-level and domestic-level institutions and public governance processes (Laffan 2016).</w:t>
      </w:r>
    </w:p>
    <w:p w:rsidR="008D1F23" w:rsidRPr="008D1F23" w:rsidRDefault="008D1F23" w:rsidP="008D1F23">
      <w:pPr>
        <w:spacing w:after="0" w:line="480" w:lineRule="auto"/>
        <w:rPr>
          <w:rFonts w:ascii="Calibri" w:eastAsia="Times New Roman" w:hAnsi="Calibri" w:cs="Times New Roman"/>
          <w:sz w:val="24"/>
          <w:szCs w:val="24"/>
          <w:lang w:val="en-GB" w:eastAsia="nb-NO"/>
        </w:rPr>
      </w:pPr>
    </w:p>
    <w:p w:rsidR="008D1F23" w:rsidRPr="008D1F23" w:rsidRDefault="008D1F23" w:rsidP="008D1F23">
      <w:pPr>
        <w:spacing w:after="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Based on a rich body of primary data, two empirical observations are highlighted: First, the supply of organizational capacities inside the Commission has become steadily strengthened over a 60 years’ period. This paper thus contends the ‘weakening of the Commission’ myth and claims that ‘the …. Commission lack</w:t>
      </w:r>
      <w:r w:rsidRPr="008D1F23">
        <w:rPr>
          <w:rFonts w:ascii="Calibri" w:eastAsia="Times New Roman" w:hAnsi="Calibri" w:cs="Calibri"/>
          <w:sz w:val="24"/>
          <w:szCs w:val="24"/>
          <w:lang w:val="en-GB" w:eastAsia="en-GB"/>
        </w:rPr>
        <w:t>[s] powerful, independent sources of authority …’ (Peterson and Shackleton 2012: 16).</w:t>
      </w:r>
      <w:r w:rsidRPr="008D1F23">
        <w:rPr>
          <w:rFonts w:ascii="Calibri" w:eastAsia="Times New Roman" w:hAnsi="Calibri" w:cs="Times New Roman"/>
          <w:sz w:val="24"/>
          <w:szCs w:val="24"/>
          <w:lang w:val="en-GB" w:eastAsia="en-GB"/>
        </w:rPr>
        <w:t xml:space="preserve"> At present, most organizational capacities are concentrated within policy DGs, however, increasingly supplemented with a more powerful Precedency and Secretariat General (SG). Essentially, this supply of organizational capacities inside the Commission administration has enabled Commission officials to act fairly independently of domestic government institutions. Secondly, the supply of organizational capacities inside the Commission is positively associated with the integration of agencies at EU and national level across levels of governance. In sum, this has created a turbulent multi-level EU administration.</w:t>
      </w:r>
    </w:p>
    <w:p w:rsidR="008D1F23" w:rsidRPr="008D1F23" w:rsidRDefault="008D1F23" w:rsidP="008D1F23">
      <w:pPr>
        <w:spacing w:after="0" w:line="480" w:lineRule="auto"/>
        <w:rPr>
          <w:rFonts w:ascii="Calibri" w:eastAsia="Times New Roman" w:hAnsi="Calibri" w:cs="Times New Roman"/>
          <w:sz w:val="24"/>
          <w:szCs w:val="24"/>
          <w:lang w:val="en-GB" w:eastAsia="en-GB"/>
        </w:rPr>
      </w:pPr>
    </w:p>
    <w:p w:rsidR="008D1F23" w:rsidRPr="008D1F23" w:rsidRDefault="008D1F23" w:rsidP="008D1F23">
      <w:pPr>
        <w:spacing w:after="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The paper proceeds in the following stages. The next section conceptualizes the turbulent nature of the EU administration and outlines an organizational theory approach to explain European integration of public administration and its wider implications. The subsequent empirical section goes in two steps: The first step examines capacity building within the Commission and how Commission officials make use of these capacities during every-day </w:t>
      </w:r>
      <w:r w:rsidRPr="008D1F23">
        <w:rPr>
          <w:rFonts w:ascii="Calibri" w:eastAsia="Times New Roman" w:hAnsi="Calibri" w:cs="Times New Roman"/>
          <w:sz w:val="24"/>
          <w:szCs w:val="24"/>
          <w:lang w:val="en-GB" w:eastAsia="en-GB"/>
        </w:rPr>
        <w:lastRenderedPageBreak/>
        <w:t>work. The second step analyses the extent to which and how non-majoritarian institutions (both EU and national agencies) relate to the Commission and in practice tend to supply the Commission with extended administrative capacities.</w:t>
      </w:r>
    </w:p>
    <w:p w:rsidR="008D1F23" w:rsidRPr="008D1F23" w:rsidRDefault="008D1F23" w:rsidP="008D1F23">
      <w:pPr>
        <w:spacing w:after="0" w:line="480" w:lineRule="auto"/>
        <w:rPr>
          <w:rFonts w:ascii="Calibri" w:eastAsia="Times New Roman" w:hAnsi="Calibri" w:cs="Times New Roman"/>
          <w:sz w:val="24"/>
          <w:szCs w:val="24"/>
          <w:lang w:val="en-GB" w:eastAsia="en-GB"/>
        </w:rPr>
      </w:pPr>
    </w:p>
    <w:p w:rsidR="008D1F23" w:rsidRPr="008D1F23" w:rsidRDefault="008D1F23" w:rsidP="008D1F23">
      <w:pPr>
        <w:spacing w:after="0" w:line="480" w:lineRule="auto"/>
        <w:rPr>
          <w:rFonts w:ascii="Calibri" w:eastAsia="Times New Roman" w:hAnsi="Calibri" w:cs="Times New Roman"/>
          <w:b/>
          <w:sz w:val="28"/>
          <w:szCs w:val="28"/>
          <w:lang w:val="en-GB" w:eastAsia="en-GB"/>
        </w:rPr>
      </w:pPr>
      <w:r w:rsidRPr="008D1F23">
        <w:rPr>
          <w:rFonts w:ascii="Calibri" w:eastAsia="Times New Roman" w:hAnsi="Calibri" w:cs="Times New Roman"/>
          <w:b/>
          <w:sz w:val="28"/>
          <w:szCs w:val="28"/>
          <w:lang w:val="en-GB" w:eastAsia="en-GB"/>
        </w:rPr>
        <w:t>Theorizing public administration in the EU</w:t>
      </w:r>
    </w:p>
    <w:p w:rsidR="008D1F23" w:rsidRPr="008D1F23" w:rsidRDefault="008D1F23" w:rsidP="008D1F23">
      <w:pPr>
        <w:spacing w:after="0" w:line="480" w:lineRule="auto"/>
        <w:rPr>
          <w:rFonts w:ascii="Calibri" w:eastAsia="Times New Roman" w:hAnsi="Calibri" w:cs="Times New Roman"/>
          <w:sz w:val="24"/>
          <w:szCs w:val="24"/>
          <w:lang w:val="en-GB" w:eastAsia="en-GB"/>
        </w:rPr>
      </w:pPr>
      <w:r w:rsidRPr="008D1F23">
        <w:rPr>
          <w:rFonts w:ascii="Calibri" w:eastAsia="Times New Roman" w:hAnsi="Calibri" w:cs="Calibri"/>
          <w:sz w:val="24"/>
          <w:szCs w:val="24"/>
          <w:lang w:val="en-GB" w:eastAsia="en-GB"/>
        </w:rPr>
        <w:t xml:space="preserve">How can the public administration of the EU be theorized? This section suggests that the concept of turbulence may be one valuable toolkit. So, how can we operationalize turbulence in context of the EU administration? This section suggests two proxies of organized turbulence: First, the level and organization of administrative </w:t>
      </w:r>
      <w:r w:rsidRPr="008D1F23">
        <w:rPr>
          <w:rFonts w:ascii="Calibri" w:eastAsia="Times New Roman" w:hAnsi="Calibri" w:cs="Calibri"/>
          <w:i/>
          <w:sz w:val="24"/>
          <w:szCs w:val="24"/>
          <w:lang w:val="en-GB" w:eastAsia="en-GB"/>
        </w:rPr>
        <w:t>capacities</w:t>
      </w:r>
      <w:r w:rsidRPr="008D1F23">
        <w:rPr>
          <w:rFonts w:ascii="Calibri" w:eastAsia="Times New Roman" w:hAnsi="Calibri" w:cs="Calibri"/>
          <w:sz w:val="24"/>
          <w:szCs w:val="24"/>
          <w:lang w:val="en-GB" w:eastAsia="en-GB"/>
        </w:rPr>
        <w:t xml:space="preserve"> of the EU administration,</w:t>
      </w:r>
      <w:r w:rsidRPr="008D1F23">
        <w:rPr>
          <w:rFonts w:ascii="Calibri" w:eastAsia="Times New Roman" w:hAnsi="Calibri" w:cs="Times New Roman"/>
          <w:sz w:val="24"/>
          <w:szCs w:val="24"/>
          <w:lang w:val="en-GB" w:eastAsia="en-GB"/>
        </w:rPr>
        <w:t xml:space="preserve"> and secondly the degree to which these capacities become </w:t>
      </w:r>
      <w:r w:rsidRPr="008D1F23">
        <w:rPr>
          <w:rFonts w:ascii="Calibri" w:eastAsia="Times New Roman" w:hAnsi="Calibri" w:cs="Times New Roman"/>
          <w:i/>
          <w:sz w:val="24"/>
          <w:szCs w:val="24"/>
          <w:lang w:val="en-GB" w:eastAsia="en-GB"/>
        </w:rPr>
        <w:t>integrated</w:t>
      </w:r>
      <w:r w:rsidRPr="008D1F23">
        <w:rPr>
          <w:rFonts w:ascii="Calibri" w:eastAsia="Times New Roman" w:hAnsi="Calibri" w:cs="Times New Roman"/>
          <w:sz w:val="24"/>
          <w:szCs w:val="24"/>
          <w:lang w:val="en-GB" w:eastAsia="en-GB"/>
        </w:rPr>
        <w:t xml:space="preserve"> as such (see Trondal and Peters 2013). </w:t>
      </w:r>
    </w:p>
    <w:p w:rsidR="008D1F23" w:rsidRPr="008D1F23" w:rsidRDefault="008D1F23" w:rsidP="008D1F23">
      <w:pPr>
        <w:spacing w:after="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 </w:t>
      </w:r>
    </w:p>
    <w:p w:rsidR="008D1F23" w:rsidRPr="008D1F23" w:rsidRDefault="008D1F23" w:rsidP="008D1F23">
      <w:pPr>
        <w:spacing w:after="0" w:line="480" w:lineRule="auto"/>
        <w:rPr>
          <w:rFonts w:ascii="Calibri" w:eastAsia="Times New Roman" w:hAnsi="Calibri" w:cs="Times New Roman"/>
          <w:sz w:val="24"/>
          <w:szCs w:val="24"/>
          <w:lang w:val="en-GB" w:eastAsia="nb-NO"/>
        </w:rPr>
      </w:pPr>
      <w:r w:rsidRPr="008D1F23">
        <w:rPr>
          <w:rFonts w:ascii="Calibri" w:eastAsia="Times New Roman" w:hAnsi="Calibri" w:cs="Times New Roman"/>
          <w:sz w:val="24"/>
          <w:szCs w:val="24"/>
          <w:lang w:val="en-GB" w:eastAsia="nb-NO"/>
        </w:rPr>
        <w:t xml:space="preserve">Turbulence is not mere periodic and temporary exogenous phases that organizations encounter, but also enduring features embedded into organizations. While implicit recognition of turbulence within organizations has a long historical path, the idea of organized turbulence has rarely been explicitly theorized (see Ansell et al. 2016). Organized turbulence arises from enduring tensions within organizations, which produce ambiguity about what problems, solutions, and consequences to attend to at any time, and what actors are deemed legitimate and efficient. Organizations and organized systems tend to live with turbulence of various kinds – of which some are subject to design (i.e. by establishing organizational compromises of various kinds) – while others are subject to organizational evolution. Notably, </w:t>
      </w:r>
      <w:r w:rsidRPr="008D1F23">
        <w:rPr>
          <w:rFonts w:ascii="Calibri" w:eastAsia="Times New Roman" w:hAnsi="Calibri" w:cs="Times New Roman"/>
          <w:i/>
          <w:sz w:val="24"/>
          <w:szCs w:val="24"/>
          <w:lang w:val="en-GB" w:eastAsia="nb-NO"/>
        </w:rPr>
        <w:t>political organizations</w:t>
      </w:r>
      <w:r w:rsidRPr="008D1F23">
        <w:rPr>
          <w:rFonts w:ascii="Calibri" w:eastAsia="Times New Roman" w:hAnsi="Calibri" w:cs="Times New Roman"/>
          <w:sz w:val="24"/>
          <w:szCs w:val="24"/>
          <w:lang w:val="en-GB" w:eastAsia="nb-NO"/>
        </w:rPr>
        <w:t xml:space="preserve"> are of a different kind than private organizations in this regard. Political organizations are ‘created in order to handle conflicts …’ (Jacobsson et al. 2015: 35) and are thereby turbulent by design. Organized democracies have an </w:t>
      </w:r>
      <w:r w:rsidRPr="008D1F23">
        <w:rPr>
          <w:rFonts w:ascii="Calibri" w:eastAsia="Times New Roman" w:hAnsi="Calibri" w:cs="Times New Roman"/>
          <w:sz w:val="24"/>
          <w:szCs w:val="24"/>
          <w:lang w:val="en-GB" w:eastAsia="nb-NO"/>
        </w:rPr>
        <w:lastRenderedPageBreak/>
        <w:t xml:space="preserve">embedded partisan responsiveness to a host of different cleavages of conflict (Rokkan 1999), which private organizations clearly have not. Cyert and March (1963) suggested three mechanisms for how the firm may resolve conflicts: through local rationalities, through acceptable-level decision rules, and through sequential attention to goals. Political organizations do not always </w:t>
      </w:r>
      <w:r w:rsidRPr="008D1F23">
        <w:rPr>
          <w:rFonts w:ascii="Calibri" w:eastAsia="Times New Roman" w:hAnsi="Calibri" w:cs="Times New Roman"/>
          <w:i/>
          <w:sz w:val="24"/>
          <w:szCs w:val="24"/>
          <w:lang w:val="en-GB" w:eastAsia="nb-NO"/>
        </w:rPr>
        <w:t>solve</w:t>
      </w:r>
      <w:r w:rsidRPr="008D1F23">
        <w:rPr>
          <w:rFonts w:ascii="Calibri" w:eastAsia="Times New Roman" w:hAnsi="Calibri" w:cs="Times New Roman"/>
          <w:sz w:val="24"/>
          <w:szCs w:val="24"/>
          <w:lang w:val="en-GB" w:eastAsia="nb-NO"/>
        </w:rPr>
        <w:t xml:space="preserve"> problems, but cope with them through organizational (re)design. This is materialized in the organizational fabric of central administrations through the vertical and horizontal specialization of ministerial departments, through procedures for the recruitment of staff, through the geographical location of offices, through time rules for budgeting, and so on. In addition, this paper also shows that organized turbulence has certain consequences for what we term turbulence of scale. The organized turbulence inside the EU administration may have certain consequences for organized turbulence within member-state administrations, thus creating turbulence of scale. Turbulence at one level (in this paper at the EU level) may have consequences for organizational interaction across levels (in this paper towards member-state agencies). The attempts of one actor to manage/limit turbulence (i.e. within the European Commission (Commission)) may have turbulence-increasing consequences for others (i.e. member-state governments).</w:t>
      </w:r>
    </w:p>
    <w:p w:rsidR="008D1F23" w:rsidRPr="008D1F23" w:rsidRDefault="008D1F23" w:rsidP="008D1F23">
      <w:pPr>
        <w:spacing w:after="200" w:line="480" w:lineRule="auto"/>
        <w:rPr>
          <w:rFonts w:cs="Calibri"/>
          <w:sz w:val="24"/>
          <w:szCs w:val="24"/>
          <w:lang w:val="en-GB"/>
        </w:rPr>
      </w:pPr>
    </w:p>
    <w:p w:rsidR="008D1F23" w:rsidRPr="008D1F23" w:rsidRDefault="008D1F23" w:rsidP="008D1F23">
      <w:pPr>
        <w:spacing w:after="200" w:line="480" w:lineRule="auto"/>
        <w:rPr>
          <w:sz w:val="24"/>
          <w:szCs w:val="24"/>
          <w:lang w:val="en-US"/>
        </w:rPr>
      </w:pPr>
      <w:r w:rsidRPr="008D1F23">
        <w:rPr>
          <w:rFonts w:cs="Calibri"/>
          <w:sz w:val="24"/>
          <w:szCs w:val="24"/>
          <w:lang w:val="en-GB"/>
        </w:rPr>
        <w:t>B</w:t>
      </w:r>
      <w:r w:rsidRPr="008D1F23">
        <w:rPr>
          <w:rFonts w:cs="Calibri"/>
          <w:sz w:val="24"/>
          <w:szCs w:val="24"/>
          <w:lang w:val="en-US"/>
        </w:rPr>
        <w:t>uilding on prior work in organization theory and political science, we argue that turbulence occurs</w:t>
      </w:r>
      <w:r w:rsidRPr="008D1F23">
        <w:rPr>
          <w:rFonts w:cs="Calibri"/>
          <w:i/>
          <w:sz w:val="24"/>
          <w:szCs w:val="24"/>
          <w:lang w:val="en-US"/>
        </w:rPr>
        <w:t xml:space="preserve"> where the interaction of events, demands and support is experienced as highly variable, inconsistent, unexpected, and/or unpredictable. </w:t>
      </w:r>
      <w:r w:rsidRPr="008D1F23">
        <w:rPr>
          <w:rFonts w:cs="Calibri"/>
          <w:sz w:val="24"/>
          <w:szCs w:val="24"/>
          <w:lang w:val="en-US"/>
        </w:rPr>
        <w:t xml:space="preserve">We also extend previous discussions of turbulence by arguing that it is not merely an environmental property but also a key attribute of organizations and organized systems (see Ansell et al. 2017; Rosenau 1990). In organization theory, the traditional image is one of organizations adapting to turbulent environments. But the reverse is possible as well: turbulence within organization </w:t>
      </w:r>
      <w:r w:rsidRPr="008D1F23">
        <w:rPr>
          <w:rFonts w:cs="Calibri"/>
          <w:sz w:val="24"/>
          <w:szCs w:val="24"/>
          <w:lang w:val="en-US"/>
        </w:rPr>
        <w:lastRenderedPageBreak/>
        <w:t xml:space="preserve">or institutions may project that turbulence onto the broader environment in which they operate. Organizational and environmental turbulence may also interact, deepening overall turbulence (Ansell et al. 2016). There has been an unawareness of how turbulence may be an </w:t>
      </w:r>
      <w:r w:rsidRPr="008D1F23">
        <w:rPr>
          <w:rFonts w:cs="Calibri"/>
          <w:i/>
          <w:sz w:val="24"/>
          <w:szCs w:val="24"/>
          <w:lang w:val="en-US"/>
        </w:rPr>
        <w:t>endogenous</w:t>
      </w:r>
      <w:r w:rsidRPr="008D1F23">
        <w:rPr>
          <w:rFonts w:cs="Calibri"/>
          <w:sz w:val="24"/>
          <w:szCs w:val="24"/>
          <w:lang w:val="en-US"/>
        </w:rPr>
        <w:t xml:space="preserve"> property of organizations. Government ministries, for example, are subject to complex external demands and bound by public obligations; they must be responsive to rapidly shifting changes in public opinion, electoral outcomes and accountability practices and standards; and they are dependent upon legislatures for budgets and authority. In short, turbulence is embedded into their very organizational fabric. </w:t>
      </w:r>
      <w:r w:rsidRPr="008D1F23">
        <w:rPr>
          <w:sz w:val="24"/>
          <w:szCs w:val="24"/>
          <w:lang w:val="en-US"/>
        </w:rPr>
        <w:t xml:space="preserve">Building on this prior work, we argue that organized turbulence arises from enduring tensions </w:t>
      </w:r>
      <w:r w:rsidRPr="008D1F23">
        <w:rPr>
          <w:i/>
          <w:sz w:val="24"/>
          <w:szCs w:val="24"/>
          <w:lang w:val="en-US"/>
        </w:rPr>
        <w:t>within</w:t>
      </w:r>
      <w:r w:rsidRPr="008D1F23">
        <w:rPr>
          <w:sz w:val="24"/>
          <w:szCs w:val="24"/>
          <w:lang w:val="en-US"/>
        </w:rPr>
        <w:t xml:space="preserve"> organizations, which produce ambiguity about what problems, solutions, and consequences to attend to at any time, and what actors are deemed legitimate and efficient. </w:t>
      </w:r>
    </w:p>
    <w:p w:rsidR="008D1F23" w:rsidRPr="008D1F23" w:rsidRDefault="008D1F23" w:rsidP="008D1F23">
      <w:pPr>
        <w:spacing w:after="200" w:line="480" w:lineRule="auto"/>
        <w:rPr>
          <w:rFonts w:cs="Calibri"/>
          <w:sz w:val="24"/>
          <w:szCs w:val="24"/>
          <w:lang w:val="en-US"/>
        </w:rPr>
      </w:pPr>
    </w:p>
    <w:p w:rsidR="008D1F23" w:rsidRPr="008D1F23" w:rsidRDefault="008D1F23" w:rsidP="008D1F23">
      <w:pPr>
        <w:spacing w:after="0" w:line="480" w:lineRule="auto"/>
        <w:rPr>
          <w:rFonts w:ascii="Calibri" w:eastAsia="Times New Roman" w:hAnsi="Calibri" w:cs="Times New Roman"/>
          <w:sz w:val="24"/>
          <w:szCs w:val="24"/>
          <w:lang w:val="en-US" w:eastAsia="en-GB"/>
        </w:rPr>
      </w:pPr>
      <w:r w:rsidRPr="008D1F23">
        <w:rPr>
          <w:rFonts w:eastAsia="Times New Roman" w:cs="Calibri"/>
          <w:sz w:val="24"/>
          <w:szCs w:val="24"/>
          <w:lang w:val="en-US" w:eastAsia="de-DE"/>
        </w:rPr>
        <w:t>Following a recent stock-taking study of the European administrative system (Trondal and Peters 2013), the administrative order in Europe is indeed coined by certain turbulent organizational configurations (Benz 2015; Heidbreder 2015). It has been suggested that the turbulent nature of the European administrative system may be captured by at least two proxies: institutional independence and integration. Whereas the first proxy is essential in order to capture administrative order transformation (that transcends the Westphalian administrative order based on administrative sovereignty among national administrations), the second proxy is important in order to gauge how well coordinated administrations are, and how it relates to surrounding administrations – notably how the EU administration relates to national administrations.</w:t>
      </w:r>
    </w:p>
    <w:p w:rsidR="008D1F23" w:rsidRPr="008D1F23" w:rsidRDefault="008D1F23" w:rsidP="008D1F23">
      <w:pPr>
        <w:spacing w:after="0" w:line="480" w:lineRule="auto"/>
        <w:ind w:left="720"/>
        <w:rPr>
          <w:rFonts w:eastAsia="Times New Roman" w:cs="Calibri"/>
          <w:sz w:val="24"/>
          <w:szCs w:val="24"/>
          <w:lang w:val="en-US" w:eastAsia="de-DE"/>
        </w:rPr>
      </w:pPr>
      <w:r w:rsidRPr="008D1F23">
        <w:rPr>
          <w:rFonts w:ascii="Calibri" w:eastAsia="Times New Roman" w:hAnsi="Calibri" w:cs="Times New Roman"/>
          <w:b/>
          <w:i/>
          <w:sz w:val="24"/>
          <w:szCs w:val="24"/>
          <w:lang w:val="en-GB" w:eastAsia="en-GB"/>
        </w:rPr>
        <w:lastRenderedPageBreak/>
        <w:t>Independent administrative capacity:</w:t>
      </w:r>
      <w:r w:rsidRPr="008D1F23">
        <w:rPr>
          <w:rFonts w:ascii="Calibri" w:eastAsia="Times New Roman" w:hAnsi="Calibri" w:cs="Times New Roman"/>
          <w:sz w:val="24"/>
          <w:szCs w:val="24"/>
          <w:lang w:val="en-GB" w:eastAsia="en-GB"/>
        </w:rPr>
        <w:t xml:space="preserve"> First, organized turbulence is captured by the rise of an </w:t>
      </w:r>
      <w:r w:rsidRPr="008D1F23">
        <w:rPr>
          <w:rFonts w:ascii="Calibri" w:eastAsia="Times New Roman" w:hAnsi="Calibri" w:cs="Times New Roman"/>
          <w:i/>
          <w:sz w:val="24"/>
          <w:szCs w:val="24"/>
          <w:lang w:val="en-GB" w:eastAsia="en-GB"/>
        </w:rPr>
        <w:t>independent</w:t>
      </w:r>
      <w:r w:rsidRPr="008D1F23">
        <w:rPr>
          <w:rFonts w:ascii="Calibri" w:eastAsia="Times New Roman" w:hAnsi="Calibri" w:cs="Times New Roman"/>
          <w:sz w:val="24"/>
          <w:szCs w:val="24"/>
          <w:lang w:val="en-GB" w:eastAsia="en-GB"/>
        </w:rPr>
        <w:t xml:space="preserve"> administrative capacity (Fukuyama 2014: 61). Administrative independence requires the possession of one’s ‘own’ administration, thereby not solely relying on the administrative capacities of others – such as member-state governments (Zurn 2012: 731). In a European context, this necessitates the rise of separate administrative capacities at the ‘European’ level that are able to act relatively independent from member-state government institutions. </w:t>
      </w:r>
      <w:r w:rsidRPr="008D1F23">
        <w:rPr>
          <w:rFonts w:eastAsia="Times New Roman" w:cs="Calibri"/>
          <w:sz w:val="24"/>
          <w:szCs w:val="24"/>
          <w:lang w:val="en-US" w:eastAsia="de-DE"/>
        </w:rPr>
        <w:t xml:space="preserve">Administrative independence involves the existence of separate administrative capacities, recruitment based on merit – and not nationality -, and essentially that this administrative capacity is able to have a separate will (to set its own agenda) and to have a separate ability (to implement). In addition to in-house capacities, the Commission is supplied with auxiliary capacities composed of expert committees (ECs) and EU agencies. Independent administrative capacities will subsequently enable the independent development and implementation of public policy. </w:t>
      </w:r>
    </w:p>
    <w:p w:rsidR="008D1F23" w:rsidRPr="008D1F23" w:rsidRDefault="008D1F23" w:rsidP="008D1F23">
      <w:pPr>
        <w:numPr>
          <w:ilvl w:val="1"/>
          <w:numId w:val="4"/>
        </w:numPr>
        <w:spacing w:after="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We also assume a positive relationship between administrative independence and turbulence: The more independent the EU administration becomes, the more turbulent the overall EU administration would be. By contrast, a ‘dependent’ EU administration would imply a less turbulent administrative system merely relying on administrations of the member-states and their overall sovereign capacities.</w:t>
      </w:r>
    </w:p>
    <w:p w:rsidR="008D1F23" w:rsidRPr="008D1F23" w:rsidRDefault="008D1F23" w:rsidP="008D1F23">
      <w:pPr>
        <w:numPr>
          <w:ilvl w:val="0"/>
          <w:numId w:val="4"/>
        </w:numPr>
        <w:spacing w:after="0" w:line="480" w:lineRule="auto"/>
        <w:rPr>
          <w:rFonts w:ascii="Calibri" w:eastAsia="Times New Roman" w:hAnsi="Calibri" w:cs="Times New Roman"/>
          <w:sz w:val="24"/>
          <w:szCs w:val="24"/>
          <w:lang w:val="en-GB" w:eastAsia="en-GB"/>
        </w:rPr>
      </w:pPr>
      <w:r w:rsidRPr="008D1F23">
        <w:rPr>
          <w:rFonts w:ascii="Calibri" w:eastAsia="Times New Roman" w:hAnsi="Calibri" w:cs="Times New Roman"/>
          <w:b/>
          <w:i/>
          <w:sz w:val="24"/>
          <w:szCs w:val="24"/>
          <w:lang w:val="en-GB" w:eastAsia="en-GB"/>
        </w:rPr>
        <w:t>Integration of administrative capacities:</w:t>
      </w:r>
      <w:r w:rsidRPr="008D1F23">
        <w:rPr>
          <w:rFonts w:ascii="Calibri" w:eastAsia="Times New Roman" w:hAnsi="Calibri" w:cs="Times New Roman"/>
          <w:sz w:val="24"/>
          <w:szCs w:val="24"/>
          <w:lang w:val="en-GB" w:eastAsia="en-GB"/>
        </w:rPr>
        <w:t xml:space="preserve"> Secondly, organized turbulence is captured by the </w:t>
      </w:r>
      <w:r w:rsidRPr="008D1F23">
        <w:rPr>
          <w:rFonts w:ascii="Calibri" w:eastAsia="Times New Roman" w:hAnsi="Calibri" w:cs="Times New Roman"/>
          <w:i/>
          <w:sz w:val="24"/>
          <w:szCs w:val="24"/>
          <w:lang w:val="en-GB" w:eastAsia="en-GB"/>
        </w:rPr>
        <w:t>integration</w:t>
      </w:r>
      <w:r w:rsidRPr="008D1F23">
        <w:rPr>
          <w:rFonts w:ascii="Calibri" w:eastAsia="Times New Roman" w:hAnsi="Calibri" w:cs="Times New Roman"/>
          <w:sz w:val="24"/>
          <w:szCs w:val="24"/>
          <w:lang w:val="en-GB" w:eastAsia="en-GB"/>
        </w:rPr>
        <w:t xml:space="preserve"> of administrative capacities across government institutions and levels of government. This entails the integration of majoritarian (here: the Commission) and non-majoritarian institutions (here: agencies) into one common </w:t>
      </w:r>
      <w:r w:rsidRPr="008D1F23">
        <w:rPr>
          <w:rFonts w:ascii="Calibri" w:eastAsia="Times New Roman" w:hAnsi="Calibri" w:cs="Times New Roman"/>
          <w:sz w:val="24"/>
          <w:szCs w:val="24"/>
          <w:lang w:val="en-GB" w:eastAsia="en-GB"/>
        </w:rPr>
        <w:lastRenderedPageBreak/>
        <w:t xml:space="preserve">administrative resource. Such administrative integration may affect how majoritarian institutions in practice influence the implementation of public policy by non-majoritarian institutions. Examples would be the integration of administrative capacities of the Commission and EU agencies, and/or the integration of administrative capacities of the Commission and domestic agencies. Administrative capacity building in the Commission might also expand its capacity to integrate horizontal administrative networks (e.g. Heidbreder 2015). </w:t>
      </w:r>
    </w:p>
    <w:p w:rsidR="008D1F23" w:rsidRPr="008D1F23" w:rsidRDefault="008D1F23" w:rsidP="008D1F23">
      <w:pPr>
        <w:numPr>
          <w:ilvl w:val="1"/>
          <w:numId w:val="4"/>
        </w:numPr>
        <w:spacing w:after="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We also assume a positive relationship between administrative integration and turbulence: The more integrated the administrative components become, the more turbulent the overall administrative system would be. By contrast, a lack of integration of administrative resources would imply a less turbulent administrative system merely relying on administrations of the member-states and their sovereign capacities.</w:t>
      </w:r>
    </w:p>
    <w:p w:rsidR="008D1F23" w:rsidRPr="008D1F23" w:rsidRDefault="008D1F23" w:rsidP="008D1F23">
      <w:pPr>
        <w:spacing w:after="0" w:line="480" w:lineRule="auto"/>
        <w:rPr>
          <w:rFonts w:ascii="Calibri" w:eastAsia="Times New Roman" w:hAnsi="Calibri" w:cs="Times New Roman"/>
          <w:sz w:val="24"/>
          <w:szCs w:val="24"/>
          <w:lang w:val="en-GB" w:eastAsia="en-GB"/>
        </w:rPr>
      </w:pPr>
    </w:p>
    <w:p w:rsidR="008D1F23" w:rsidRPr="008D1F23" w:rsidRDefault="008D1F23" w:rsidP="008D1F23">
      <w:pPr>
        <w:spacing w:after="0" w:line="480" w:lineRule="auto"/>
        <w:rPr>
          <w:rFonts w:ascii="Calibri" w:eastAsia="Times New Roman" w:hAnsi="Calibri" w:cs="Calibri"/>
          <w:sz w:val="24"/>
          <w:szCs w:val="24"/>
          <w:lang w:val="en-GB" w:eastAsia="en-GB"/>
        </w:rPr>
      </w:pPr>
      <w:r w:rsidRPr="008D1F23">
        <w:rPr>
          <w:rFonts w:ascii="Calibri" w:eastAsia="Times New Roman" w:hAnsi="Calibri" w:cs="Calibri"/>
          <w:sz w:val="24"/>
          <w:szCs w:val="24"/>
          <w:lang w:val="en-GB" w:eastAsia="en-GB"/>
        </w:rPr>
        <w:t xml:space="preserve">Organizational theory can be used to explain variation in both administrative independence and integration. Formal organizations temporarily settle issues about ‘tasks, authority, power, and accountability’ (Olsen 2010: 37). Formal rules systematically bias the decision-making behaviour of civil servants, eventually biasing the formulation and execution of public policy the decision-making behaviour of civil servants (Barnett and Finnemore 2004: 3). An organizational approach claims that both continuity and change of organizations and the behaviour of organizational members are biased by organizational structures (Ansell and Weber 1999). </w:t>
      </w:r>
    </w:p>
    <w:p w:rsidR="008D1F23" w:rsidRPr="008D1F23" w:rsidRDefault="008D1F23" w:rsidP="008D1F23">
      <w:pPr>
        <w:spacing w:after="0" w:line="480" w:lineRule="auto"/>
        <w:rPr>
          <w:rFonts w:ascii="Calibri" w:eastAsia="Times New Roman" w:hAnsi="Calibri" w:cs="Calibri"/>
          <w:sz w:val="24"/>
          <w:szCs w:val="24"/>
          <w:lang w:val="en-GB" w:eastAsia="en-GB"/>
        </w:rPr>
      </w:pPr>
    </w:p>
    <w:p w:rsidR="008D1F23" w:rsidRPr="008D1F23" w:rsidRDefault="008D1F23" w:rsidP="008D1F23">
      <w:pPr>
        <w:spacing w:after="0" w:line="480" w:lineRule="auto"/>
        <w:rPr>
          <w:rFonts w:ascii="Calibri" w:eastAsia="Times New Roman" w:hAnsi="Calibri" w:cs="Calibri"/>
          <w:sz w:val="24"/>
          <w:szCs w:val="24"/>
          <w:lang w:val="en-GB" w:eastAsia="nb-NO"/>
        </w:rPr>
      </w:pPr>
      <w:r w:rsidRPr="008D1F23">
        <w:rPr>
          <w:rFonts w:ascii="Calibri" w:eastAsia="Times New Roman" w:hAnsi="Calibri" w:cs="Calibri"/>
          <w:sz w:val="24"/>
          <w:szCs w:val="24"/>
          <w:lang w:val="en-GB" w:eastAsia="nb-NO"/>
        </w:rPr>
        <w:lastRenderedPageBreak/>
        <w:t>organizational approach suggests that the supply of organizational capacities have certain implications for how organisations and humans act. An organizational approach assumes that organizational capacity-building supply government institutions with leverage to act independently and to integrate external institutions into its orbit. This approach departs from the assumption that organizational structures mobilize biases in public policy because formal organizations supply cognitive and normative shortcuts and categories that simplify and guide decision-makers’ behaviour (Schattschneider 1975; Simon 1957). Organizations supply cognitive maps that simplify and categorize complex information, offer procedures for reducing transaction costs, give regulative norms that add cues for appropriate behaviour as well as physical boundaries and temporal rhythms that guide decision-makers’ perceptions of relevance with respect to public policy (March and Olsen 1998). By carving organizations into vertical hierarchies of rank and command the decision-making behaviour evoked by civil servants is assumed to be guided by political-administrative hierarchies through disciplination and control (Lægreid and Olsen 1978: 31). Decision-making processes within government systems are the result of hierarchical imposition and horizontal departmentalization of organizational roles where mutually exclusive groups of participants, problems, alternatives and solutions reside. According to this perspective the decision-making behaviour of ‘Eurocrats’ in an EU administrative system is likely to reflect their primary organizational embedment into roles and rules. T</w:t>
      </w:r>
      <w:r w:rsidRPr="008D1F23">
        <w:rPr>
          <w:rFonts w:ascii="Calibri" w:eastAsia="Times New Roman" w:hAnsi="Calibri" w:cs="Calibri"/>
          <w:sz w:val="24"/>
          <w:szCs w:val="24"/>
          <w:lang w:val="en-GB" w:eastAsia="en-GB"/>
        </w:rPr>
        <w:t xml:space="preserve">wo empirical predictions follow: </w:t>
      </w:r>
    </w:p>
    <w:p w:rsidR="008D1F23" w:rsidRPr="008D1F23" w:rsidRDefault="008D1F23" w:rsidP="008D1F23">
      <w:pPr>
        <w:spacing w:after="0" w:line="480" w:lineRule="auto"/>
        <w:rPr>
          <w:rFonts w:ascii="Calibri" w:eastAsia="Times New Roman" w:hAnsi="Calibri" w:cs="Calibri"/>
          <w:sz w:val="24"/>
          <w:szCs w:val="24"/>
          <w:lang w:val="en-GB" w:eastAsia="en-GB"/>
        </w:rPr>
      </w:pPr>
      <w:r w:rsidRPr="008D1F23">
        <w:rPr>
          <w:rFonts w:ascii="Calibri" w:eastAsia="Times New Roman" w:hAnsi="Calibri" w:cs="Calibri"/>
          <w:sz w:val="24"/>
          <w:szCs w:val="24"/>
          <w:lang w:val="en-GB" w:eastAsia="en-GB"/>
        </w:rPr>
        <w:t xml:space="preserve"> </w:t>
      </w:r>
    </w:p>
    <w:p w:rsidR="008D1F23" w:rsidRPr="008D1F23" w:rsidRDefault="008D1F23" w:rsidP="008D1F23">
      <w:pPr>
        <w:spacing w:after="0" w:line="480" w:lineRule="auto"/>
        <w:rPr>
          <w:rFonts w:ascii="Calibri" w:eastAsia="Times New Roman" w:hAnsi="Calibri" w:cs="Calibri"/>
          <w:sz w:val="24"/>
          <w:szCs w:val="24"/>
          <w:lang w:val="en-GB" w:eastAsia="nb-NO"/>
        </w:rPr>
      </w:pPr>
      <w:r w:rsidRPr="008D1F23">
        <w:rPr>
          <w:rFonts w:ascii="Calibri" w:eastAsia="Times New Roman" w:hAnsi="Calibri" w:cs="Calibri"/>
          <w:i/>
          <w:sz w:val="24"/>
          <w:szCs w:val="24"/>
          <w:lang w:val="en-GB" w:eastAsia="en-GB"/>
        </w:rPr>
        <w:t>First, on administrative independence</w:t>
      </w:r>
      <w:r w:rsidRPr="008D1F23">
        <w:rPr>
          <w:rFonts w:ascii="Calibri" w:eastAsia="Times New Roman" w:hAnsi="Calibri" w:cs="Calibri"/>
          <w:sz w:val="24"/>
          <w:szCs w:val="24"/>
          <w:lang w:val="en-GB" w:eastAsia="en-GB"/>
        </w:rPr>
        <w:t>: The supply of independent administrative capacities is necessary for government institutions to act and to affect how other institutions act.</w:t>
      </w:r>
      <w:r w:rsidRPr="008D1F23">
        <w:rPr>
          <w:rFonts w:ascii="Calibri" w:eastAsia="Times New Roman" w:hAnsi="Calibri" w:cs="Calibri"/>
          <w:sz w:val="24"/>
          <w:szCs w:val="24"/>
          <w:lang w:val="en-GB" w:eastAsia="nb-NO"/>
        </w:rPr>
        <w:t xml:space="preserve"> Because officials spend most of their time and energy in organizational sub-units (Whyte 1956: 47), they may be expected to primarily attend to their sub-unit and less towards </w:t>
      </w:r>
      <w:r w:rsidRPr="008D1F23">
        <w:rPr>
          <w:rFonts w:ascii="Calibri" w:eastAsia="Times New Roman" w:hAnsi="Calibri" w:cs="Calibri"/>
          <w:sz w:val="24"/>
          <w:szCs w:val="24"/>
          <w:lang w:val="en-GB" w:eastAsia="nb-NO"/>
        </w:rPr>
        <w:lastRenderedPageBreak/>
        <w:t xml:space="preserve">organizations as wholes (Ashford and Johnson 2001: 36). Subsequently, Commission bureaucrats are likely to attend primarily to their Commission DGs rather than to the concerns of member-state governments. They are expected to evoke an ‘inward-looking’ behavioural pattern geared towards their ‘own’ sub-units and task environments. Commission officials are expected to evoke the classical Weberian civil-servant virtues of being party-politically neutral, attaching identity towards their unit, division and portfolio, and abiding by administrative rules and proper procedures (Richards and Smith 2004). </w:t>
      </w:r>
    </w:p>
    <w:p w:rsidR="008D1F23" w:rsidRPr="008D1F23" w:rsidRDefault="008D1F23" w:rsidP="008D1F23">
      <w:pPr>
        <w:spacing w:after="0" w:line="480" w:lineRule="auto"/>
        <w:rPr>
          <w:rFonts w:ascii="Calibri" w:eastAsia="Times New Roman" w:hAnsi="Calibri" w:cs="Calibri"/>
          <w:sz w:val="24"/>
          <w:szCs w:val="24"/>
          <w:lang w:val="en-GB" w:eastAsia="nb-NO"/>
        </w:rPr>
      </w:pPr>
    </w:p>
    <w:p w:rsidR="008D1F23" w:rsidRPr="008D1F23" w:rsidRDefault="008D1F23" w:rsidP="008D1F23">
      <w:pPr>
        <w:spacing w:after="0" w:line="480" w:lineRule="auto"/>
        <w:rPr>
          <w:rFonts w:ascii="Calibri" w:eastAsia="Times New Roman" w:hAnsi="Calibri" w:cs="Calibri"/>
          <w:sz w:val="24"/>
          <w:szCs w:val="24"/>
          <w:lang w:val="en-GB" w:eastAsia="nb-NO"/>
        </w:rPr>
      </w:pPr>
      <w:r w:rsidRPr="008D1F23">
        <w:rPr>
          <w:rFonts w:ascii="Calibri" w:eastAsia="Times New Roman" w:hAnsi="Calibri" w:cs="Calibri"/>
          <w:i/>
          <w:sz w:val="24"/>
          <w:szCs w:val="24"/>
          <w:lang w:val="en-GB" w:eastAsia="nb-NO"/>
        </w:rPr>
        <w:t>Secondly, on administrative integration</w:t>
      </w:r>
      <w:r w:rsidRPr="008D1F23">
        <w:rPr>
          <w:rFonts w:ascii="Calibri" w:eastAsia="Times New Roman" w:hAnsi="Calibri" w:cs="Calibri"/>
          <w:sz w:val="24"/>
          <w:szCs w:val="24"/>
          <w:lang w:val="en-GB" w:eastAsia="nb-NO"/>
        </w:rPr>
        <w:t xml:space="preserve">: Organizational capacity installed within majoritarian institutions may supply them with a capacity to </w:t>
      </w:r>
      <w:r w:rsidRPr="008D1F23">
        <w:rPr>
          <w:rFonts w:ascii="Calibri" w:eastAsia="Times New Roman" w:hAnsi="Calibri" w:cs="Calibri"/>
          <w:i/>
          <w:sz w:val="24"/>
          <w:szCs w:val="24"/>
          <w:lang w:val="en-GB" w:eastAsia="nb-NO"/>
        </w:rPr>
        <w:t>integrate</w:t>
      </w:r>
      <w:r w:rsidRPr="008D1F23">
        <w:rPr>
          <w:rFonts w:ascii="Calibri" w:eastAsia="Times New Roman" w:hAnsi="Calibri" w:cs="Calibri"/>
          <w:sz w:val="24"/>
          <w:szCs w:val="24"/>
          <w:lang w:val="en-GB" w:eastAsia="nb-NO"/>
        </w:rPr>
        <w:t xml:space="preserve"> non-majoritarian institutions (such as agencies subordinated to ministerial departments). Organizational capacity within majoritarian institutions may for example contribute to mutual adjustment and reduction of decisional errors within non-majoritarian institutions (Landau 1969: 351). By contrast, a lack of organizational capacity may reduce its capacity to integrate and guide subordinated non-majoritarian institutions. One implication of lacking administrative capacities may be increased independence for non-majoritarian institutions and thereby a vertical disintegration of the administrative apparatus on a broader scale (Fukuyama 2014). Concomitantly, the supply of administrative capacities inside the Commission is expected to increase the likelihood that signals sent from the Commission will be ascribed importance by officials in EU agencies and domestic agencies. Administrative integration is thus expected to be supplied by the independent administrative capacities of the Commission. </w:t>
      </w:r>
    </w:p>
    <w:p w:rsidR="008D1F23" w:rsidRPr="008D1F23" w:rsidRDefault="008D1F23" w:rsidP="008D1F23">
      <w:pPr>
        <w:spacing w:after="0" w:line="480" w:lineRule="auto"/>
        <w:rPr>
          <w:rFonts w:ascii="Calibri" w:eastAsia="Times New Roman" w:hAnsi="Calibri" w:cs="Calibri"/>
          <w:sz w:val="24"/>
          <w:szCs w:val="24"/>
          <w:lang w:val="en-GB" w:eastAsia="nb-NO"/>
        </w:rPr>
      </w:pPr>
    </w:p>
    <w:p w:rsidR="008D1F23" w:rsidRPr="008D1F23" w:rsidRDefault="008D1F23" w:rsidP="008D1F23">
      <w:pPr>
        <w:spacing w:after="0" w:line="480" w:lineRule="auto"/>
        <w:rPr>
          <w:rFonts w:ascii="Calibri" w:eastAsia="Times New Roman" w:hAnsi="Calibri" w:cs="Calibri"/>
          <w:sz w:val="24"/>
          <w:szCs w:val="24"/>
          <w:lang w:val="en-GB" w:eastAsia="nb-NO"/>
        </w:rPr>
      </w:pPr>
      <w:r w:rsidRPr="008D1F23">
        <w:rPr>
          <w:rFonts w:ascii="Calibri" w:eastAsia="Times New Roman" w:hAnsi="Calibri" w:cs="Calibri"/>
          <w:sz w:val="24"/>
          <w:szCs w:val="24"/>
          <w:lang w:val="en-GB" w:eastAsia="nb-NO"/>
        </w:rPr>
        <w:t xml:space="preserve">More specifically, </w:t>
      </w:r>
      <w:r w:rsidRPr="008D1F23">
        <w:rPr>
          <w:rFonts w:ascii="Calibri" w:eastAsia="Times New Roman" w:hAnsi="Calibri" w:cs="Calibri"/>
          <w:sz w:val="24"/>
          <w:szCs w:val="24"/>
          <w:lang w:val="en-GB" w:eastAsia="en-GB"/>
        </w:rPr>
        <w:t xml:space="preserve">administrative </w:t>
      </w:r>
      <w:r w:rsidRPr="008D1F23">
        <w:rPr>
          <w:rFonts w:ascii="Calibri" w:eastAsia="Times New Roman" w:hAnsi="Calibri" w:cs="Calibri"/>
          <w:i/>
          <w:sz w:val="24"/>
          <w:szCs w:val="24"/>
          <w:lang w:val="en-GB" w:eastAsia="en-GB"/>
        </w:rPr>
        <w:t>integration</w:t>
      </w:r>
      <w:r w:rsidRPr="008D1F23">
        <w:rPr>
          <w:rFonts w:ascii="Calibri" w:eastAsia="Times New Roman" w:hAnsi="Calibri" w:cs="Calibri"/>
          <w:sz w:val="24"/>
          <w:szCs w:val="24"/>
          <w:lang w:val="en-GB" w:eastAsia="en-GB"/>
        </w:rPr>
        <w:t xml:space="preserve"> across levels of government may be expected to assume </w:t>
      </w:r>
      <w:r w:rsidRPr="008D1F23">
        <w:rPr>
          <w:rFonts w:ascii="Calibri" w:eastAsia="Times New Roman" w:hAnsi="Calibri" w:cs="Calibri"/>
          <w:i/>
          <w:sz w:val="24"/>
          <w:szCs w:val="24"/>
          <w:lang w:val="en-GB" w:eastAsia="en-GB"/>
        </w:rPr>
        <w:t>sectoral</w:t>
      </w:r>
      <w:r w:rsidRPr="008D1F23">
        <w:rPr>
          <w:rFonts w:ascii="Calibri" w:eastAsia="Times New Roman" w:hAnsi="Calibri" w:cs="Calibri"/>
          <w:sz w:val="24"/>
          <w:szCs w:val="24"/>
          <w:lang w:val="en-GB" w:eastAsia="en-GB"/>
        </w:rPr>
        <w:t xml:space="preserve"> characteristics. This assumption derives from the premise that the </w:t>
      </w:r>
      <w:r w:rsidRPr="008D1F23">
        <w:rPr>
          <w:rFonts w:ascii="Calibri" w:eastAsia="Times New Roman" w:hAnsi="Calibri" w:cs="Calibri"/>
          <w:sz w:val="24"/>
          <w:szCs w:val="24"/>
          <w:lang w:val="en-GB" w:eastAsia="en-GB"/>
        </w:rPr>
        <w:lastRenderedPageBreak/>
        <w:t xml:space="preserve">behaviour, role and identity perceptions evoked by government officials are expected to be primarily directed towards those administrative units that are the primary supplier of relevant decision premises. It is thus likely that administrative integration is supplemented by the organisational capacities of government sub-units at both levels of government. One empirical implication is administrative integration along sectoral lines, for example between Commission DGs and agency sub-units. </w:t>
      </w:r>
    </w:p>
    <w:p w:rsidR="008D1F23" w:rsidRPr="008D1F23" w:rsidRDefault="008D1F23" w:rsidP="008D1F23">
      <w:pPr>
        <w:spacing w:after="0" w:line="480" w:lineRule="auto"/>
        <w:rPr>
          <w:rFonts w:ascii="Calibri" w:eastAsia="Times New Roman" w:hAnsi="Calibri" w:cs="Times New Roman"/>
          <w:sz w:val="24"/>
          <w:szCs w:val="24"/>
          <w:lang w:val="en-GB" w:eastAsia="en-GB"/>
        </w:rPr>
      </w:pPr>
    </w:p>
    <w:p w:rsidR="008D1F23" w:rsidRPr="008D1F23" w:rsidRDefault="008D1F23" w:rsidP="008D1F23">
      <w:pPr>
        <w:spacing w:after="0" w:line="480" w:lineRule="auto"/>
        <w:rPr>
          <w:rFonts w:ascii="Calibri" w:eastAsia="Times New Roman" w:hAnsi="Calibri" w:cs="Times New Roman"/>
          <w:b/>
          <w:sz w:val="28"/>
          <w:szCs w:val="28"/>
          <w:lang w:val="en-GB" w:eastAsia="en-GB"/>
        </w:rPr>
      </w:pPr>
      <w:r w:rsidRPr="008D1F23">
        <w:rPr>
          <w:rFonts w:ascii="Calibri" w:eastAsia="Times New Roman" w:hAnsi="Calibri" w:cs="Times New Roman"/>
          <w:b/>
          <w:sz w:val="28"/>
          <w:szCs w:val="28"/>
          <w:lang w:val="en-GB" w:eastAsia="en-GB"/>
        </w:rPr>
        <w:t>Data and methods</w:t>
      </w:r>
    </w:p>
    <w:p w:rsidR="008D1F23" w:rsidRPr="008D1F23" w:rsidRDefault="008D1F23" w:rsidP="008D1F23">
      <w:pPr>
        <w:spacing w:after="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The empirical observations benefit from three separate data sources: One interview study of Commission officials, one study on the role of EU agencies, and finally one survey among domestic agency officials. </w:t>
      </w:r>
    </w:p>
    <w:p w:rsidR="008D1F23" w:rsidRPr="008D1F23" w:rsidRDefault="008D1F23" w:rsidP="008D1F23">
      <w:pPr>
        <w:spacing w:after="0" w:line="480" w:lineRule="auto"/>
        <w:rPr>
          <w:rFonts w:ascii="Calibri" w:eastAsia="Times New Roman" w:hAnsi="Calibri" w:cs="Times New Roman"/>
          <w:sz w:val="24"/>
          <w:szCs w:val="24"/>
          <w:lang w:val="en-GB" w:eastAsia="en-GB"/>
        </w:rPr>
      </w:pPr>
    </w:p>
    <w:p w:rsidR="008D1F23" w:rsidRPr="008D1F23" w:rsidRDefault="008D1F23" w:rsidP="008D1F23">
      <w:pPr>
        <w:spacing w:after="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First, assessing Commission autonomy is done by the use of semi-structured interview data among permanent Commission administrators (ADs) (N=24) and contracted Commission officials (N=50). The interviews were carried out during 2006 and 2007 in Brussels. The questions posed in the interviews were directed at measuring the </w:t>
      </w:r>
      <w:r w:rsidRPr="008D1F23">
        <w:rPr>
          <w:rFonts w:ascii="Calibri" w:eastAsia="Times New Roman" w:hAnsi="Calibri" w:cs="Times New Roman"/>
          <w:i/>
          <w:sz w:val="24"/>
          <w:szCs w:val="24"/>
          <w:lang w:val="en-GB" w:eastAsia="en-GB"/>
        </w:rPr>
        <w:t>perceptions</w:t>
      </w:r>
      <w:r w:rsidRPr="008D1F23">
        <w:rPr>
          <w:rFonts w:ascii="Calibri" w:eastAsia="Times New Roman" w:hAnsi="Calibri" w:cs="Times New Roman"/>
          <w:sz w:val="24"/>
          <w:szCs w:val="24"/>
          <w:lang w:val="en-GB" w:eastAsia="en-GB"/>
        </w:rPr>
        <w:t xml:space="preserve"> of civil servants with respect to their decision-making behaviour, and role and identity perceptions. One caveat is warranted: This data set covers two Commission DGs (DG Trade and the Secretariat General) and a fairly small sample of officials compared to the universe of ADs. Concomitantly, the selected cases merely serve as </w:t>
      </w:r>
      <w:r w:rsidRPr="008D1F23">
        <w:rPr>
          <w:rFonts w:ascii="Calibri" w:eastAsia="Times New Roman" w:hAnsi="Calibri" w:cs="Times New Roman"/>
          <w:i/>
          <w:sz w:val="24"/>
          <w:szCs w:val="24"/>
          <w:lang w:val="en-GB" w:eastAsia="en-GB"/>
        </w:rPr>
        <w:t>illustrative devices</w:t>
      </w:r>
      <w:r w:rsidRPr="008D1F23">
        <w:rPr>
          <w:rFonts w:ascii="Calibri" w:eastAsia="Times New Roman" w:hAnsi="Calibri" w:cs="Times New Roman"/>
          <w:sz w:val="24"/>
          <w:szCs w:val="24"/>
          <w:lang w:val="en-GB" w:eastAsia="en-GB"/>
        </w:rPr>
        <w:t xml:space="preserve">. (The original data are presented in Trondal 2010.) </w:t>
      </w:r>
    </w:p>
    <w:p w:rsidR="008D1F23" w:rsidRPr="008D1F23" w:rsidRDefault="008D1F23" w:rsidP="008D1F23">
      <w:pPr>
        <w:spacing w:after="0" w:line="480" w:lineRule="auto"/>
        <w:rPr>
          <w:rFonts w:ascii="Calibri" w:eastAsia="Times New Roman" w:hAnsi="Calibri" w:cs="Times New Roman"/>
          <w:sz w:val="24"/>
          <w:szCs w:val="24"/>
          <w:lang w:val="en-GB" w:eastAsia="en-GB"/>
        </w:rPr>
      </w:pPr>
    </w:p>
    <w:p w:rsidR="008D1F23" w:rsidRPr="008D1F23" w:rsidRDefault="008D1F23" w:rsidP="008D1F23">
      <w:pPr>
        <w:spacing w:after="0" w:line="480" w:lineRule="auto"/>
        <w:rPr>
          <w:rFonts w:ascii="Calibri" w:eastAsia="Times New Roman" w:hAnsi="Calibri" w:cs="Calibri"/>
          <w:sz w:val="24"/>
          <w:szCs w:val="24"/>
          <w:lang w:val="en-GB" w:eastAsia="nb-NO"/>
        </w:rPr>
      </w:pPr>
      <w:r w:rsidRPr="008D1F23">
        <w:rPr>
          <w:rFonts w:ascii="Calibri" w:eastAsia="Times New Roman" w:hAnsi="Calibri" w:cs="Calibri"/>
          <w:sz w:val="24"/>
          <w:szCs w:val="24"/>
          <w:lang w:val="en-GB" w:eastAsia="en-GB"/>
        </w:rPr>
        <w:t>Secondly, administrative integration between the Commission and EU agencies are documented on the basis of Commission and EU-agency documents.</w:t>
      </w:r>
      <w:r w:rsidRPr="008D1F23">
        <w:rPr>
          <w:rFonts w:ascii="Times New Roman" w:eastAsia="Times New Roman" w:hAnsi="Times New Roman" w:cs="Times New Roman"/>
          <w:sz w:val="24"/>
          <w:szCs w:val="24"/>
          <w:lang w:val="en-GB" w:eastAsia="en-GB"/>
        </w:rPr>
        <w:t xml:space="preserve"> </w:t>
      </w:r>
      <w:r w:rsidRPr="008D1F23">
        <w:rPr>
          <w:rFonts w:ascii="Calibri" w:eastAsia="Times New Roman" w:hAnsi="Calibri" w:cs="Calibri"/>
          <w:sz w:val="24"/>
          <w:szCs w:val="24"/>
          <w:lang w:val="en-GB" w:eastAsia="en-GB"/>
        </w:rPr>
        <w:t xml:space="preserve">One primary source is </w:t>
      </w:r>
      <w:r w:rsidRPr="008D1F23">
        <w:rPr>
          <w:rFonts w:ascii="Calibri" w:eastAsia="Times New Roman" w:hAnsi="Calibri" w:cs="Calibri"/>
          <w:sz w:val="24"/>
          <w:szCs w:val="24"/>
          <w:lang w:val="en-GB" w:eastAsia="en-GB"/>
        </w:rPr>
        <w:lastRenderedPageBreak/>
        <w:t>the Annual Activity Reports (AARs) of Commission DGs. These AARs were systematically searched through electronically in order to detect and extract text concerning EU agencies. The aim was to map to what extent and how such agencies are mentioned and agency activities reported on by each DG. The AARs for both 2005 and 2012 were accessed through the Commission’s official website.</w:t>
      </w:r>
      <w:r w:rsidRPr="008D1F23">
        <w:rPr>
          <w:rFonts w:ascii="Times New Roman" w:eastAsia="Times New Roman" w:hAnsi="Times New Roman" w:cs="Times New Roman"/>
          <w:sz w:val="24"/>
          <w:szCs w:val="24"/>
          <w:lang w:val="en-GB" w:eastAsia="en-GB"/>
        </w:rPr>
        <w:t xml:space="preserve"> </w:t>
      </w:r>
      <w:r w:rsidRPr="008D1F23">
        <w:rPr>
          <w:rFonts w:ascii="Calibri" w:eastAsia="Times New Roman" w:hAnsi="Calibri" w:cs="Calibri"/>
          <w:sz w:val="24"/>
          <w:szCs w:val="24"/>
          <w:lang w:val="en-GB" w:eastAsia="en-GB"/>
        </w:rPr>
        <w:t>The data sources also consist of other Commission documents such as ‘analytical fiches’. The ‘analytical fiches’ are used in this study to tap the EU’s policy on EU agencies. Authored by the Commission, these papers may come to over-emphasize the role of the Commission. However, the Commission has been assigned the task to prepare the policy documents in this area, leading up to an inter-institutional agreement or understanding. (The original data are presented in Egeberg et al. 2015.)</w:t>
      </w:r>
    </w:p>
    <w:p w:rsidR="008D1F23" w:rsidRPr="008D1F23" w:rsidRDefault="008D1F23" w:rsidP="008D1F23">
      <w:pPr>
        <w:spacing w:after="0" w:line="480" w:lineRule="auto"/>
        <w:rPr>
          <w:rFonts w:ascii="Calibri" w:eastAsia="Times New Roman" w:hAnsi="Calibri" w:cs="Times New Roman"/>
          <w:sz w:val="24"/>
          <w:szCs w:val="24"/>
          <w:lang w:val="en-GB" w:eastAsia="en-GB"/>
        </w:rPr>
      </w:pPr>
    </w:p>
    <w:p w:rsidR="008D1F23" w:rsidRPr="008D1F23" w:rsidRDefault="008D1F23" w:rsidP="008D1F23">
      <w:pPr>
        <w:spacing w:after="0" w:line="480" w:lineRule="auto"/>
        <w:rPr>
          <w:rFonts w:ascii="Calibri" w:eastAsia="Times New Roman" w:hAnsi="Calibri" w:cs="Calibri"/>
          <w:sz w:val="24"/>
          <w:szCs w:val="20"/>
          <w:lang w:val="en-US" w:eastAsia="nb-NO"/>
        </w:rPr>
      </w:pPr>
      <w:r w:rsidRPr="008D1F23">
        <w:rPr>
          <w:rFonts w:ascii="Calibri" w:eastAsia="Times New Roman" w:hAnsi="Calibri" w:cs="Calibri"/>
          <w:sz w:val="24"/>
          <w:szCs w:val="24"/>
          <w:lang w:val="en-GB" w:eastAsia="en-GB"/>
        </w:rPr>
        <w:t>Thirdly, to assess administrative integration between the Commission and national agencies, survey data were collected among officials in national agencies</w:t>
      </w:r>
      <w:r w:rsidRPr="008D1F23">
        <w:rPr>
          <w:rFonts w:ascii="Calibri" w:eastAsia="Times New Roman" w:hAnsi="Calibri" w:cs="Calibri"/>
          <w:sz w:val="24"/>
          <w:szCs w:val="20"/>
          <w:lang w:val="en-US" w:eastAsia="nb-NO"/>
        </w:rPr>
        <w:t xml:space="preserve"> in the Norwegian central administration. The survey was conducted as an online survey by the Norwegian Social Science Data Service encompassing officials from all Norwegian subordinated agencies (51 in total). The survey was distributed to a random selection of </w:t>
      </w:r>
      <w:r w:rsidRPr="008D1F23">
        <w:rPr>
          <w:rFonts w:ascii="Calibri" w:eastAsia="Times New Roman" w:hAnsi="Calibri" w:cs="Calibri"/>
          <w:i/>
          <w:sz w:val="24"/>
          <w:szCs w:val="20"/>
          <w:lang w:val="en-US" w:eastAsia="nb-NO"/>
        </w:rPr>
        <w:t>every third</w:t>
      </w:r>
      <w:r w:rsidRPr="008D1F23">
        <w:rPr>
          <w:rFonts w:ascii="Calibri" w:eastAsia="Times New Roman" w:hAnsi="Calibri" w:cs="Calibri"/>
          <w:sz w:val="24"/>
          <w:szCs w:val="20"/>
          <w:lang w:val="en-US" w:eastAsia="nb-NO"/>
        </w:rPr>
        <w:t xml:space="preserve"> official at the ‘A-level’ with at least one year in office. The total number of responses at the agency level is 1452, giving a response rate of 59. Norway is not a member of the EU and, accordingly, Norwegian politicians and officials are not taking part in the formal decision-making processes within EU institutions. However, due to the European Economic Area (EEA) and Schengen agreements, Norway is obliged to implement most of the EU’s hard law as regards the internal market and border control. If one focuses on the </w:t>
      </w:r>
      <w:r w:rsidRPr="008D1F23">
        <w:rPr>
          <w:rFonts w:ascii="Calibri" w:eastAsia="Times New Roman" w:hAnsi="Calibri" w:cs="Calibri"/>
          <w:i/>
          <w:sz w:val="24"/>
          <w:szCs w:val="20"/>
          <w:lang w:val="en-US" w:eastAsia="nb-NO"/>
        </w:rPr>
        <w:t>practicing</w:t>
      </w:r>
      <w:r w:rsidRPr="008D1F23">
        <w:rPr>
          <w:rFonts w:ascii="Calibri" w:eastAsia="Times New Roman" w:hAnsi="Calibri" w:cs="Calibri"/>
          <w:sz w:val="24"/>
          <w:szCs w:val="20"/>
          <w:lang w:val="en-US" w:eastAsia="nb-NO"/>
        </w:rPr>
        <w:t xml:space="preserve"> of EU legislation (and not on policy formulation), Norway can be considered in most respects to be comparable to EU member states (Egeberg and Trondal 1999). Arguably, given its ‘quasi-membership’, Norway might </w:t>
      </w:r>
      <w:r w:rsidRPr="008D1F23">
        <w:rPr>
          <w:rFonts w:ascii="Calibri" w:eastAsia="Times New Roman" w:hAnsi="Calibri" w:cs="Calibri"/>
          <w:sz w:val="24"/>
          <w:szCs w:val="20"/>
          <w:lang w:val="en-US" w:eastAsia="nb-NO"/>
        </w:rPr>
        <w:lastRenderedPageBreak/>
        <w:t xml:space="preserve">even be seen as a </w:t>
      </w:r>
      <w:r w:rsidRPr="008D1F23">
        <w:rPr>
          <w:rFonts w:ascii="Calibri" w:eastAsia="Times New Roman" w:hAnsi="Calibri" w:cs="Calibri"/>
          <w:i/>
          <w:sz w:val="24"/>
          <w:szCs w:val="20"/>
          <w:lang w:val="en-US" w:eastAsia="nb-NO"/>
        </w:rPr>
        <w:t>critical case</w:t>
      </w:r>
      <w:r w:rsidRPr="008D1F23">
        <w:rPr>
          <w:rFonts w:ascii="Calibri" w:eastAsia="Times New Roman" w:hAnsi="Calibri" w:cs="Calibri"/>
          <w:sz w:val="24"/>
          <w:szCs w:val="20"/>
          <w:lang w:val="en-US" w:eastAsia="nb-NO"/>
        </w:rPr>
        <w:t xml:space="preserve"> in the sense that if administrative integration is observed in this case, we may have reason to believe that an </w:t>
      </w:r>
      <w:r w:rsidRPr="008D1F23">
        <w:rPr>
          <w:rFonts w:ascii="Calibri" w:eastAsia="Times New Roman" w:hAnsi="Calibri" w:cs="Calibri"/>
          <w:i/>
          <w:sz w:val="24"/>
          <w:szCs w:val="20"/>
          <w:lang w:val="en-US" w:eastAsia="nb-NO"/>
        </w:rPr>
        <w:t>integration</w:t>
      </w:r>
      <w:r w:rsidRPr="008D1F23">
        <w:rPr>
          <w:rFonts w:ascii="Calibri" w:eastAsia="Times New Roman" w:hAnsi="Calibri" w:cs="Calibri"/>
          <w:sz w:val="24"/>
          <w:szCs w:val="20"/>
          <w:lang w:val="en-US" w:eastAsia="nb-NO"/>
        </w:rPr>
        <w:t xml:space="preserve"> of domestic agencies in the EU administrative system will be observed in the EU member-states as well, other things being equal. (The original data set is presented in Egeberg and Trondal 2009.)</w:t>
      </w:r>
    </w:p>
    <w:p w:rsidR="008D1F23" w:rsidRPr="008D1F23" w:rsidRDefault="008D1F23" w:rsidP="008D1F23">
      <w:pPr>
        <w:spacing w:after="0" w:line="480" w:lineRule="auto"/>
        <w:rPr>
          <w:rFonts w:ascii="Calibri" w:eastAsia="Times New Roman" w:hAnsi="Calibri" w:cs="Times New Roman"/>
          <w:sz w:val="24"/>
          <w:szCs w:val="24"/>
          <w:lang w:val="en-GB" w:eastAsia="en-GB"/>
        </w:rPr>
      </w:pPr>
    </w:p>
    <w:p w:rsidR="008D1F23" w:rsidRPr="008D1F23" w:rsidRDefault="008D1F23" w:rsidP="008D1F23">
      <w:pPr>
        <w:spacing w:after="0" w:line="480" w:lineRule="auto"/>
        <w:rPr>
          <w:rFonts w:ascii="Calibri" w:eastAsia="Times New Roman" w:hAnsi="Calibri" w:cs="Times New Roman"/>
          <w:sz w:val="24"/>
          <w:szCs w:val="24"/>
          <w:lang w:val="en-GB" w:eastAsia="en-GB"/>
        </w:rPr>
      </w:pPr>
    </w:p>
    <w:p w:rsidR="008D1F23" w:rsidRPr="008D1F23" w:rsidRDefault="008D1F23" w:rsidP="008D1F23">
      <w:pPr>
        <w:spacing w:after="0" w:line="480" w:lineRule="auto"/>
        <w:rPr>
          <w:rFonts w:ascii="Calibri" w:eastAsia="Times New Roman" w:hAnsi="Calibri" w:cs="Times New Roman"/>
          <w:b/>
          <w:sz w:val="28"/>
          <w:szCs w:val="28"/>
          <w:lang w:val="en-GB" w:eastAsia="en-GB"/>
        </w:rPr>
      </w:pPr>
      <w:r w:rsidRPr="008D1F23">
        <w:rPr>
          <w:rFonts w:ascii="Calibri" w:eastAsia="Times New Roman" w:hAnsi="Calibri" w:cs="Times New Roman"/>
          <w:b/>
          <w:sz w:val="28"/>
          <w:szCs w:val="28"/>
          <w:lang w:val="en-GB" w:eastAsia="en-GB"/>
        </w:rPr>
        <w:t>The EU administrative system</w:t>
      </w:r>
    </w:p>
    <w:p w:rsidR="008D1F23" w:rsidRPr="008D1F23" w:rsidRDefault="008D1F23" w:rsidP="008D1F23">
      <w:pPr>
        <w:spacing w:after="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The first part of this section examines the supply of administrative capacities at disposal to the Commission and how these resources contribute to Commission independence. The second part analyses how subordinate agencies (both EU and national) are integrated into the orbit of the Commission and in practice tend to supply the Commission with additional administrative capacities. </w:t>
      </w:r>
    </w:p>
    <w:p w:rsidR="008D1F23" w:rsidRPr="008D1F23" w:rsidRDefault="008D1F23" w:rsidP="008D1F23">
      <w:pPr>
        <w:spacing w:after="0" w:line="480" w:lineRule="auto"/>
        <w:rPr>
          <w:rFonts w:ascii="Calibri" w:eastAsia="Times New Roman" w:hAnsi="Calibri" w:cs="Times New Roman"/>
          <w:sz w:val="28"/>
          <w:szCs w:val="28"/>
          <w:lang w:val="en-GB" w:eastAsia="en-GB"/>
        </w:rPr>
      </w:pPr>
    </w:p>
    <w:p w:rsidR="008D1F23" w:rsidRPr="008D1F23" w:rsidRDefault="008D1F23" w:rsidP="008D1F23">
      <w:pPr>
        <w:spacing w:after="0" w:line="480" w:lineRule="auto"/>
        <w:rPr>
          <w:rFonts w:ascii="Calibri" w:eastAsia="Times New Roman" w:hAnsi="Calibri" w:cs="Times New Roman"/>
          <w:b/>
          <w:sz w:val="24"/>
          <w:szCs w:val="24"/>
          <w:lang w:val="en-GB" w:eastAsia="en-GB"/>
        </w:rPr>
      </w:pPr>
      <w:r w:rsidRPr="008D1F23">
        <w:rPr>
          <w:rFonts w:ascii="Calibri" w:eastAsia="Times New Roman" w:hAnsi="Calibri" w:cs="Times New Roman"/>
          <w:b/>
          <w:sz w:val="24"/>
          <w:szCs w:val="24"/>
          <w:lang w:val="en-GB" w:eastAsia="en-GB"/>
        </w:rPr>
        <w:t>Step I: Independent administrative capacities</w:t>
      </w:r>
    </w:p>
    <w:p w:rsidR="008D1F23" w:rsidRPr="008D1F23" w:rsidRDefault="008D1F23" w:rsidP="008D1F23">
      <w:pPr>
        <w:spacing w:after="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The administrative capacities of the Commission have steadily increased during a 60 years period. There is no evidence of a reduction in this capacity building inside the Commission at any point of time. Beyond quantitative growth of the apparatus, however, the overall organizational architecture of the Commission administration has remained largely untouched during the same time period. In short, the supply of administrative capacities has increased substantially whilst the organizational structures inside the Commission has been characterised by overall continuity. Moreover, the economic crisis has not put Commission capacities on a halt (Bauer and Becker 2014). By contrast, the crisis has increased the administrative capacities in the Commission to draft and conduct country-specific </w:t>
      </w:r>
      <w:r w:rsidRPr="008D1F23">
        <w:rPr>
          <w:rFonts w:ascii="Calibri" w:eastAsia="Times New Roman" w:hAnsi="Calibri" w:cs="Times New Roman"/>
          <w:sz w:val="24"/>
          <w:szCs w:val="24"/>
          <w:lang w:val="en-GB" w:eastAsia="en-GB"/>
        </w:rPr>
        <w:lastRenderedPageBreak/>
        <w:t xml:space="preserve">recommendations as part of the annual growth estimates. Still, the crisis has not fundamentally questioned how the Commission is organized. </w:t>
      </w:r>
    </w:p>
    <w:p w:rsidR="008D1F23" w:rsidRPr="008D1F23" w:rsidRDefault="008D1F23" w:rsidP="008D1F23">
      <w:pPr>
        <w:spacing w:after="0" w:line="480" w:lineRule="auto"/>
        <w:rPr>
          <w:rFonts w:ascii="Calibri" w:eastAsia="Times New Roman" w:hAnsi="Calibri" w:cs="Times New Roman"/>
          <w:sz w:val="24"/>
          <w:szCs w:val="24"/>
          <w:lang w:val="en-GB" w:eastAsia="en-GB"/>
        </w:rPr>
      </w:pPr>
    </w:p>
    <w:p w:rsidR="008D1F23" w:rsidRPr="008D1F23" w:rsidRDefault="008D1F23" w:rsidP="008D1F23">
      <w:pPr>
        <w:spacing w:after="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Despite public criticism toward the ‘Brussels bureaucracy’ – first triggered by the resignation of the Santer Commission in 1999 – the Commission administration has continued to expand largely by stealth, and probably despite public resistance. The Commission was established in 1957 under the leadership of President Hallstein, succeeding the High Authority under the presidency of Jean Monnet (1952-1957). It was Hallstein’s idea to organise the Commission into ‘vertical columns’ (Dumoulin 2007: 221; Loth and Bitsch 2007). Following Hallstein’s ideas, from 1957 the Commission was horizontally organized with a total of nine DGs, numbered I to IX. Émile Noël, the long-term Secretary-General of the Commission, recalls that President Hallstein had clear ideas about the organization of the Commission: he wanted a ‘great administration’, both strong and hierarchical (Duchêne 1994; Dumoulin 2007: 221). Today’s Commission administration totals around 40 DGs on an average. The Commission personnel increased from 280 officials in 1953 (the High Authority) to 680 in 1957. When the Hallstein Commission was established in 1957, the original estimate was that the Commission needed some 1,000 to 2,000 officials. However, already by December 1958 there were 1,051 officials (Bitsch 2007: 58; Dumoulin 2007: 219). The staffing of the first Commission was officially completed by 1961. The number of officials reached 2,892 in 1967 – at the time of the merger of the three Commissions – and by 1972 the Commission had a total of 5,778 officials (Dumoulin 2007: 220). Yet, staff members grew more slowly in the Commission than in the other EU institutions (Mangenot and Seidel 2014: 64).</w:t>
      </w:r>
    </w:p>
    <w:p w:rsidR="008D1F23" w:rsidRPr="008D1F23" w:rsidRDefault="008D1F23" w:rsidP="008D1F23">
      <w:pPr>
        <w:spacing w:after="0" w:line="480" w:lineRule="auto"/>
        <w:rPr>
          <w:rFonts w:ascii="Calibri" w:eastAsia="Times New Roman" w:hAnsi="Calibri" w:cs="Times New Roman"/>
          <w:sz w:val="24"/>
          <w:szCs w:val="24"/>
          <w:lang w:val="en-GB" w:eastAsia="en-GB"/>
        </w:rPr>
      </w:pPr>
    </w:p>
    <w:p w:rsidR="008D1F23" w:rsidRPr="008D1F23" w:rsidRDefault="008D1F23" w:rsidP="008D1F23">
      <w:pPr>
        <w:spacing w:after="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lastRenderedPageBreak/>
        <w:t xml:space="preserve">Whereas by 1953 the Commission was dominated by short-term seconded officials from the member-states, today the Commission is mostly staffed by permanent officials with long-term careers. For example, in 2000, 19 out of 22 Directors-General had tenure within the Commission of more than ten years (Georgakakis and Lassalle 2007: 12). Since the last enlargement more than 4,000 new civil servants from the new member-states have joined the Commission (Kurpas et al. 2008: 46). Despite Jean Monnet’s early vision of creating a small Commission mostly hired on secondment contracts and intentionally not exceeding 200 officials, the present Commission houses around 35,000 officials. Of this workforce only ADs who take part in the policy-making processes (totalling approximately 12,000) are studied here. Divided by the number of DGs in the Commission, there are on average approximately 300 ADs per DG (Statistical Bulletin of Commission Staff 01/2012). </w:t>
      </w:r>
    </w:p>
    <w:p w:rsidR="008D1F23" w:rsidRPr="008D1F23" w:rsidRDefault="008D1F23" w:rsidP="008D1F23">
      <w:pPr>
        <w:spacing w:after="0" w:line="480" w:lineRule="auto"/>
        <w:rPr>
          <w:rFonts w:ascii="Calibri" w:eastAsia="Times New Roman" w:hAnsi="Calibri" w:cs="Times New Roman"/>
          <w:sz w:val="24"/>
          <w:szCs w:val="24"/>
          <w:lang w:val="en-GB" w:eastAsia="en-GB"/>
        </w:rPr>
      </w:pPr>
    </w:p>
    <w:p w:rsidR="008D1F23" w:rsidRPr="008D1F23" w:rsidRDefault="008D1F23" w:rsidP="008D1F23">
      <w:pPr>
        <w:tabs>
          <w:tab w:val="left" w:pos="7797"/>
        </w:tabs>
        <w:spacing w:after="0" w:line="480" w:lineRule="auto"/>
        <w:rPr>
          <w:rFonts w:ascii="Calibri" w:eastAsia="Times New Roman" w:hAnsi="Calibri" w:cs="Calibri"/>
          <w:sz w:val="24"/>
          <w:szCs w:val="24"/>
          <w:lang w:val="en-GB" w:eastAsia="en-GB"/>
        </w:rPr>
      </w:pPr>
      <w:r w:rsidRPr="008D1F23">
        <w:rPr>
          <w:rFonts w:ascii="Calibri" w:eastAsia="Times New Roman" w:hAnsi="Calibri" w:cs="Calibri"/>
          <w:sz w:val="24"/>
          <w:szCs w:val="24"/>
          <w:lang w:val="en-GB" w:eastAsia="en-GB"/>
        </w:rPr>
        <w:t xml:space="preserve">The largest increase in staff has happened post-1990, partly due to increased workload caused by the ‘communitarisation’ of ever more policy areas, and partly due to the enlargements in 1994 and 2004. The large Commission staff also reflects continuous legislative activity of the Prodi and Barroso Commissions from 2000 to 2014, including strengthened emphasis on policy implementation. The Commission in general seems not to do ‘less’. However, the Commission seems to put greater ‘focus on the implementation of what is already in place’ (Kurpas et al. 2008: 20). Thus, the need for implementation capacities at the Community level </w:t>
      </w:r>
      <w:r w:rsidRPr="008D1F23">
        <w:rPr>
          <w:rFonts w:ascii="Calibri" w:eastAsia="Times New Roman" w:hAnsi="Calibri" w:cs="Calibri"/>
          <w:i/>
          <w:sz w:val="24"/>
          <w:szCs w:val="24"/>
          <w:lang w:val="en-GB" w:eastAsia="en-GB"/>
        </w:rPr>
        <w:t>and</w:t>
      </w:r>
      <w:r w:rsidRPr="008D1F23">
        <w:rPr>
          <w:rFonts w:ascii="Calibri" w:eastAsia="Times New Roman" w:hAnsi="Calibri" w:cs="Calibri"/>
          <w:sz w:val="24"/>
          <w:szCs w:val="24"/>
          <w:lang w:val="en-GB" w:eastAsia="en-GB"/>
        </w:rPr>
        <w:t xml:space="preserve"> at the national level has become ever more crucial. </w:t>
      </w:r>
    </w:p>
    <w:p w:rsidR="008D1F23" w:rsidRPr="008D1F23" w:rsidRDefault="008D1F23" w:rsidP="008D1F23">
      <w:pPr>
        <w:tabs>
          <w:tab w:val="left" w:pos="7797"/>
        </w:tabs>
        <w:spacing w:after="0" w:line="480" w:lineRule="auto"/>
        <w:rPr>
          <w:rFonts w:ascii="Calibri" w:eastAsia="Times New Roman" w:hAnsi="Calibri" w:cs="Calibri"/>
          <w:sz w:val="24"/>
          <w:szCs w:val="24"/>
          <w:lang w:val="en-GB" w:eastAsia="en-GB"/>
        </w:rPr>
      </w:pPr>
    </w:p>
    <w:p w:rsidR="008D1F23" w:rsidRPr="008D1F23" w:rsidRDefault="008D1F23" w:rsidP="008D1F23">
      <w:pPr>
        <w:spacing w:after="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The Commission administration has recently experienced capacity building by stealth around the President and the SG. The ambition has been to make the SG into the administrative command centre for the President (Barroso 2009 and 2011; Kassim et al. 2013; Kassim </w:t>
      </w:r>
      <w:r w:rsidRPr="008D1F23">
        <w:rPr>
          <w:rFonts w:ascii="Calibri" w:eastAsia="Times New Roman" w:hAnsi="Calibri" w:cs="Times New Roman"/>
          <w:sz w:val="24"/>
          <w:szCs w:val="24"/>
          <w:lang w:val="en-GB" w:eastAsia="en-GB"/>
        </w:rPr>
        <w:lastRenderedPageBreak/>
        <w:t>2006). This trend has particularly been witnessed throughout the Barroso Presidency, but also the new Juncker Commission has suggested staff increase of the SG to support the new team of Vise Presidents. The recent crises that has hit the EU has also accelerated the processes of presidentialization of the Commission (Becker et al. 2016). Yet, most Commission officials in practice tend to orient their behaviour, role perceptions and identities towards the DGs, directorates and units. Centre ambitions of the Presidency thus seem somewhat modified throughout policy DGs largely due to the portfolio specialization of the DGs (Hartlapp et al. 2014; Trondal 2012). The most prevalent behavioural logic among Commission officials is a portfolio logic, which is largely indifferent to Presidential commands and an administrative logic of hierarchy. Yet, new data shows an increased top-down character of decision-making in the new Juncker Commission (Becker et al. 2016).</w:t>
      </w:r>
    </w:p>
    <w:p w:rsidR="008D1F23" w:rsidRPr="008D1F23" w:rsidRDefault="008D1F23" w:rsidP="008D1F23">
      <w:pPr>
        <w:spacing w:after="0" w:line="480" w:lineRule="auto"/>
        <w:rPr>
          <w:rFonts w:ascii="Calibri" w:eastAsia="Times New Roman" w:hAnsi="Calibri" w:cs="Times New Roman"/>
          <w:sz w:val="24"/>
          <w:szCs w:val="24"/>
          <w:lang w:val="en-GB" w:eastAsia="en-GB"/>
        </w:rPr>
      </w:pPr>
    </w:p>
    <w:p w:rsidR="008D1F23" w:rsidRPr="008D1F23" w:rsidRDefault="008D1F23" w:rsidP="008D1F23">
      <w:pPr>
        <w:spacing w:after="0" w:line="480" w:lineRule="auto"/>
        <w:rPr>
          <w:rFonts w:ascii="Calibri" w:eastAsia="Times New Roman" w:hAnsi="Calibri" w:cs="Calibri"/>
          <w:sz w:val="24"/>
          <w:szCs w:val="24"/>
          <w:lang w:val="en-GB" w:eastAsia="en-GB"/>
        </w:rPr>
      </w:pPr>
      <w:r w:rsidRPr="008D1F23">
        <w:rPr>
          <w:rFonts w:ascii="Calibri" w:eastAsia="Times New Roman" w:hAnsi="Calibri" w:cs="Calibri"/>
          <w:sz w:val="24"/>
          <w:szCs w:val="24"/>
          <w:lang w:val="en-GB" w:eastAsia="en-GB"/>
        </w:rPr>
        <w:t>The supply of administrative capacity inside the Commission has indeed certain behavioural implications among staff members. In short, administrative structures seem to safeguard Commission independence. Reflecting the independent administrative capacities supplied by the Commission administration, officials of different ranks in the Commission hierarchy, as well as officials across different DGs, tend to act fairly independently of member-state influence both as regards decision-making behaviour, role perceptions and identities. Recent studies suggest that Commission staff obtain most of their decision-relevant information from within the Commission (Ellinas and Suleimann 2012) and that the essential parts of policy proposals is supplied by the lead DGs (Hartlapp et al. 2014). Illustrative of this, Hustedt and Seyfried (2015) shows that DGs differ in how they perceive problems and problem saliency, and also that the importance of the SG is perceived differently across DGs.</w:t>
      </w:r>
    </w:p>
    <w:p w:rsidR="008D1F23" w:rsidRPr="008D1F23" w:rsidRDefault="008D1F23" w:rsidP="008D1F23">
      <w:pPr>
        <w:spacing w:after="0" w:line="480" w:lineRule="auto"/>
        <w:rPr>
          <w:rFonts w:ascii="Calibri" w:eastAsia="Times New Roman" w:hAnsi="Calibri" w:cs="Calibri"/>
          <w:sz w:val="24"/>
          <w:szCs w:val="24"/>
          <w:lang w:val="en-GB" w:eastAsia="en-GB"/>
        </w:rPr>
      </w:pPr>
    </w:p>
    <w:p w:rsidR="008D1F23" w:rsidRPr="008D1F23" w:rsidRDefault="008D1F23" w:rsidP="008D1F23">
      <w:pPr>
        <w:spacing w:after="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lastRenderedPageBreak/>
        <w:t xml:space="preserve">The administrative capacities supplied in the Commission even profoundly affect temporary Commission officials (SNEs). Being hired by the Commission for a maximum of six years and having an ambiguous organizational affiliation to the Commission during the contract period, the emergence of portfolio roles and identity perceptions among SNEs would serve as a valuable illustration in this regard (Trondal 2004; Murdoch and Trondal 2013). Our data suggests that SNEs tend to be attached to the Commission organization quite quickly upon arrival in Brussels, viewing themselves as ‘ordinary’ Commission officials. A study of </w:t>
      </w:r>
      <w:r w:rsidRPr="008D1F23">
        <w:rPr>
          <w:rFonts w:ascii="Calibri" w:eastAsia="Times New Roman" w:hAnsi="Calibri" w:cs="Times New Roman"/>
          <w:i/>
          <w:sz w:val="24"/>
          <w:szCs w:val="24"/>
          <w:lang w:val="en-GB" w:eastAsia="en-GB"/>
        </w:rPr>
        <w:t>current</w:t>
      </w:r>
      <w:r w:rsidRPr="008D1F23">
        <w:rPr>
          <w:rFonts w:ascii="Calibri" w:eastAsia="Times New Roman" w:hAnsi="Calibri" w:cs="Times New Roman"/>
          <w:sz w:val="24"/>
          <w:szCs w:val="24"/>
          <w:lang w:val="en-GB" w:eastAsia="en-GB"/>
        </w:rPr>
        <w:t xml:space="preserve"> and </w:t>
      </w:r>
      <w:r w:rsidRPr="008D1F23">
        <w:rPr>
          <w:rFonts w:ascii="Calibri" w:eastAsia="Times New Roman" w:hAnsi="Calibri" w:cs="Times New Roman"/>
          <w:i/>
          <w:sz w:val="24"/>
          <w:szCs w:val="24"/>
          <w:lang w:val="en-GB" w:eastAsia="en-GB"/>
        </w:rPr>
        <w:t>former</w:t>
      </w:r>
      <w:r w:rsidRPr="008D1F23">
        <w:rPr>
          <w:rFonts w:ascii="Calibri" w:eastAsia="Times New Roman" w:hAnsi="Calibri" w:cs="Times New Roman"/>
          <w:sz w:val="24"/>
          <w:szCs w:val="24"/>
          <w:lang w:val="en-GB" w:eastAsia="en-GB"/>
        </w:rPr>
        <w:t xml:space="preserve"> SNEs demonstrate that these officials direct their </w:t>
      </w:r>
      <w:r w:rsidRPr="008D1F23">
        <w:rPr>
          <w:rFonts w:ascii="Calibri" w:eastAsia="Times New Roman" w:hAnsi="Calibri" w:cs="Times New Roman"/>
          <w:i/>
          <w:sz w:val="24"/>
          <w:szCs w:val="24"/>
          <w:lang w:val="en-GB" w:eastAsia="en-GB"/>
        </w:rPr>
        <w:t>primary</w:t>
      </w:r>
      <w:r w:rsidRPr="008D1F23">
        <w:rPr>
          <w:rFonts w:ascii="Calibri" w:eastAsia="Times New Roman" w:hAnsi="Calibri" w:cs="Times New Roman"/>
          <w:sz w:val="24"/>
          <w:szCs w:val="24"/>
          <w:lang w:val="en-GB" w:eastAsia="en-GB"/>
        </w:rPr>
        <w:t xml:space="preserve"> allegiances towards Commission DGs and sub-units and only secondary allegiances towards their parent ministries and agencies back home (Trondal et al. 2008). Quite similar to permanent ADs, portfolio loyalties are strong among SNEs. In sum, the ‘silo thinking’ is supplied throughout the Commission services by the horizontal specialization of the Commission structure. </w:t>
      </w:r>
    </w:p>
    <w:p w:rsidR="008D1F23" w:rsidRPr="008D1F23" w:rsidRDefault="008D1F23" w:rsidP="008D1F23">
      <w:pPr>
        <w:spacing w:after="0" w:line="480" w:lineRule="auto"/>
        <w:rPr>
          <w:rFonts w:ascii="Calibri" w:eastAsia="Times New Roman" w:hAnsi="Calibri" w:cs="Times New Roman"/>
          <w:sz w:val="24"/>
          <w:szCs w:val="24"/>
          <w:lang w:val="en-GB" w:eastAsia="en-GB"/>
        </w:rPr>
      </w:pPr>
    </w:p>
    <w:p w:rsidR="008D1F23" w:rsidRPr="008D1F23" w:rsidRDefault="008D1F23" w:rsidP="008D1F23">
      <w:pPr>
        <w:spacing w:after="0" w:line="480" w:lineRule="auto"/>
        <w:rPr>
          <w:rFonts w:ascii="Calibri" w:eastAsia="Times New Roman" w:hAnsi="Calibri" w:cs="Times New Roman"/>
          <w:i/>
          <w:sz w:val="24"/>
          <w:szCs w:val="24"/>
          <w:lang w:val="en-GB" w:eastAsia="en-GB"/>
        </w:rPr>
      </w:pPr>
      <w:r w:rsidRPr="008D1F23">
        <w:rPr>
          <w:rFonts w:ascii="Calibri" w:eastAsia="Times New Roman" w:hAnsi="Calibri" w:cs="Times New Roman"/>
          <w:sz w:val="24"/>
          <w:szCs w:val="24"/>
          <w:lang w:val="en-GB" w:eastAsia="en-GB"/>
        </w:rPr>
        <w:t xml:space="preserve">The next sub-section shows that this organizational capacity in addition supplies the Commission with a capacity to integrate non-majoritarian institutions. </w:t>
      </w:r>
    </w:p>
    <w:p w:rsidR="008D1F23" w:rsidRPr="008D1F23" w:rsidRDefault="008D1F23" w:rsidP="008D1F23">
      <w:pPr>
        <w:spacing w:after="0" w:line="480" w:lineRule="auto"/>
        <w:rPr>
          <w:rFonts w:ascii="Calibri" w:eastAsia="Times New Roman" w:hAnsi="Calibri" w:cs="Times New Roman"/>
          <w:sz w:val="24"/>
          <w:szCs w:val="24"/>
          <w:lang w:val="en-GB" w:eastAsia="en-GB"/>
        </w:rPr>
      </w:pPr>
    </w:p>
    <w:p w:rsidR="008D1F23" w:rsidRPr="008D1F23" w:rsidRDefault="008D1F23" w:rsidP="008D1F23">
      <w:pPr>
        <w:spacing w:after="0" w:line="480" w:lineRule="auto"/>
        <w:rPr>
          <w:rFonts w:ascii="Calibri" w:eastAsia="Times New Roman" w:hAnsi="Calibri" w:cs="Times New Roman"/>
          <w:b/>
          <w:sz w:val="24"/>
          <w:szCs w:val="24"/>
          <w:lang w:val="en-GB" w:eastAsia="en-GB"/>
        </w:rPr>
      </w:pPr>
      <w:r w:rsidRPr="008D1F23">
        <w:rPr>
          <w:rFonts w:ascii="Calibri" w:eastAsia="Times New Roman" w:hAnsi="Calibri" w:cs="Times New Roman"/>
          <w:b/>
          <w:sz w:val="24"/>
          <w:szCs w:val="24"/>
          <w:lang w:val="en-GB" w:eastAsia="en-GB"/>
        </w:rPr>
        <w:t xml:space="preserve">Step II: The integration of administrative capacities </w:t>
      </w:r>
    </w:p>
    <w:p w:rsidR="008D1F23" w:rsidRPr="008D1F23" w:rsidRDefault="008D1F23" w:rsidP="008D1F23">
      <w:pPr>
        <w:spacing w:after="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This sub-section shows that the Commission in practice is supplied with auxiliary administrative capacities. Emphasise here is on the role of EU agencies and domestic agencies.</w:t>
      </w:r>
      <w:r w:rsidRPr="008D1F23">
        <w:rPr>
          <w:rFonts w:ascii="Calibri" w:eastAsia="Times New Roman" w:hAnsi="Calibri" w:cs="Times New Roman"/>
          <w:sz w:val="24"/>
          <w:szCs w:val="24"/>
          <w:vertAlign w:val="superscript"/>
          <w:lang w:val="en-GB" w:eastAsia="en-GB"/>
        </w:rPr>
        <w:endnoteReference w:id="1"/>
      </w:r>
      <w:r w:rsidRPr="008D1F23">
        <w:rPr>
          <w:rFonts w:ascii="Calibri" w:eastAsia="Times New Roman" w:hAnsi="Calibri" w:cs="Times New Roman"/>
          <w:sz w:val="24"/>
          <w:szCs w:val="24"/>
          <w:lang w:val="en-GB" w:eastAsia="en-GB"/>
        </w:rPr>
        <w:t xml:space="preserve"> </w:t>
      </w:r>
    </w:p>
    <w:p w:rsidR="008D1F23" w:rsidRPr="008D1F23" w:rsidRDefault="008D1F23" w:rsidP="008D1F23">
      <w:pPr>
        <w:spacing w:after="0" w:line="480" w:lineRule="auto"/>
        <w:rPr>
          <w:rFonts w:ascii="Calibri" w:eastAsia="Times New Roman" w:hAnsi="Calibri" w:cs="Times New Roman"/>
          <w:sz w:val="24"/>
          <w:szCs w:val="24"/>
          <w:lang w:val="en-GB" w:eastAsia="en-GB"/>
        </w:rPr>
      </w:pPr>
    </w:p>
    <w:p w:rsidR="008D1F23" w:rsidRPr="008D1F23" w:rsidRDefault="008D1F23" w:rsidP="008D1F23">
      <w:pPr>
        <w:spacing w:after="0" w:line="480" w:lineRule="auto"/>
        <w:rPr>
          <w:rFonts w:ascii="Calibri" w:eastAsia="Times New Roman" w:hAnsi="Calibri" w:cs="Calibri"/>
          <w:sz w:val="24"/>
          <w:szCs w:val="24"/>
          <w:lang w:val="en-US" w:eastAsia="en-GB"/>
        </w:rPr>
      </w:pPr>
      <w:r w:rsidRPr="008D1F23">
        <w:rPr>
          <w:rFonts w:ascii="Calibri" w:eastAsia="Times New Roman" w:hAnsi="Calibri" w:cs="Calibri"/>
          <w:b/>
          <w:i/>
          <w:sz w:val="24"/>
          <w:szCs w:val="24"/>
          <w:lang w:val="en-US" w:eastAsia="en-GB"/>
        </w:rPr>
        <w:t>EU agencies:</w:t>
      </w:r>
      <w:r w:rsidRPr="008D1F23">
        <w:rPr>
          <w:rFonts w:ascii="Calibri" w:eastAsia="Times New Roman" w:hAnsi="Calibri" w:cs="Calibri"/>
          <w:sz w:val="24"/>
          <w:szCs w:val="24"/>
          <w:lang w:val="en-US" w:eastAsia="en-GB"/>
        </w:rPr>
        <w:t xml:space="preserve"> The establishment of agencies at the EU level, so-called EU agencies, has mainly taken place during the last 20 years. The establishment of EU agencies may be</w:t>
      </w:r>
    </w:p>
    <w:p w:rsidR="008D1F23" w:rsidRPr="008D1F23" w:rsidRDefault="008D1F23" w:rsidP="008D1F23">
      <w:pPr>
        <w:spacing w:after="0" w:line="480" w:lineRule="auto"/>
        <w:rPr>
          <w:rFonts w:ascii="Calibri" w:eastAsia="Times New Roman" w:hAnsi="Calibri" w:cs="Calibri"/>
          <w:sz w:val="24"/>
          <w:szCs w:val="24"/>
          <w:lang w:val="en-US" w:eastAsia="en-GB"/>
        </w:rPr>
      </w:pPr>
      <w:r w:rsidRPr="008D1F23">
        <w:rPr>
          <w:rFonts w:ascii="Calibri" w:eastAsia="Times New Roman" w:hAnsi="Calibri" w:cs="Calibri"/>
          <w:sz w:val="24"/>
          <w:szCs w:val="24"/>
          <w:lang w:val="en-US" w:eastAsia="en-GB"/>
        </w:rPr>
        <w:t>regarded as a compromise between functional needs for more regulatory capacity at</w:t>
      </w:r>
    </w:p>
    <w:p w:rsidR="008D1F23" w:rsidRPr="008D1F23" w:rsidRDefault="008D1F23" w:rsidP="008D1F23">
      <w:pPr>
        <w:spacing w:after="0" w:line="480" w:lineRule="auto"/>
        <w:rPr>
          <w:rFonts w:ascii="Calibri" w:eastAsia="Times New Roman" w:hAnsi="Calibri" w:cs="Calibri"/>
          <w:sz w:val="24"/>
          <w:szCs w:val="24"/>
          <w:lang w:val="en-US" w:eastAsia="en-GB"/>
        </w:rPr>
      </w:pPr>
      <w:r w:rsidRPr="008D1F23">
        <w:rPr>
          <w:rFonts w:ascii="Calibri" w:eastAsia="Times New Roman" w:hAnsi="Calibri" w:cs="Calibri"/>
          <w:sz w:val="24"/>
          <w:szCs w:val="24"/>
          <w:lang w:val="en-US" w:eastAsia="en-GB"/>
        </w:rPr>
        <w:lastRenderedPageBreak/>
        <w:t>the European level, on one hand, and the member states’ reluctance to transfer more</w:t>
      </w:r>
    </w:p>
    <w:p w:rsidR="008D1F23" w:rsidRPr="008D1F23" w:rsidRDefault="008D1F23" w:rsidP="008D1F23">
      <w:pPr>
        <w:spacing w:after="0" w:line="480" w:lineRule="auto"/>
        <w:rPr>
          <w:rFonts w:ascii="Calibri" w:eastAsia="Times New Roman" w:hAnsi="Calibri" w:cs="Calibri"/>
          <w:b/>
          <w:sz w:val="24"/>
          <w:szCs w:val="24"/>
          <w:lang w:val="en-GB" w:eastAsia="en-GB"/>
        </w:rPr>
      </w:pPr>
      <w:r w:rsidRPr="008D1F23">
        <w:rPr>
          <w:rFonts w:ascii="Calibri" w:eastAsia="Times New Roman" w:hAnsi="Calibri" w:cs="Calibri"/>
          <w:sz w:val="24"/>
          <w:szCs w:val="24"/>
          <w:lang w:val="en-US" w:eastAsia="en-GB"/>
        </w:rPr>
        <w:t xml:space="preserve">power to the European Commission, on the other (Kelemen 2002). </w:t>
      </w:r>
      <w:r w:rsidRPr="008D1F23">
        <w:rPr>
          <w:rFonts w:ascii="Calibri" w:eastAsia="Times New Roman" w:hAnsi="Calibri" w:cs="Calibri"/>
          <w:sz w:val="24"/>
          <w:szCs w:val="24"/>
          <w:lang w:val="en-GB" w:eastAsia="en-GB"/>
        </w:rPr>
        <w:t xml:space="preserve">The accumulated administrative capacities of EU agencies may be assessed by considering their number and size. At least three waves of agency formation at the EU level can be distinguished – the initial one in 1975, a second one from 1990 to 1999, and the third from 2000 to present (Trondal and Jeppesen 2008). Several of the currently existing agencies are granted some amount of formal decision-making power, while the remaining agencies have tasks such as information gathering, technical support and administration (Groenleer 2009). Most EU agencies have restricted </w:t>
      </w:r>
      <w:r w:rsidRPr="008D1F23">
        <w:rPr>
          <w:rFonts w:ascii="Calibri" w:eastAsia="Times New Roman" w:hAnsi="Calibri" w:cs="Calibri"/>
          <w:i/>
          <w:sz w:val="24"/>
          <w:szCs w:val="24"/>
          <w:lang w:val="en-GB" w:eastAsia="en-GB"/>
        </w:rPr>
        <w:t>de jure</w:t>
      </w:r>
      <w:r w:rsidRPr="008D1F23">
        <w:rPr>
          <w:rFonts w:ascii="Calibri" w:eastAsia="Times New Roman" w:hAnsi="Calibri" w:cs="Calibri"/>
          <w:sz w:val="24"/>
          <w:szCs w:val="24"/>
          <w:lang w:val="en-GB" w:eastAsia="en-GB"/>
        </w:rPr>
        <w:t xml:space="preserve"> powers, particularly with regard to making decisions. The European Aviation Safety Agency (EASA) is one example where great expectations were partly dashed. When planned and established, EASA was expected to acquire major rulemaking powers. The result, however, suggests that EASA has received much less </w:t>
      </w:r>
      <w:r w:rsidRPr="008D1F23">
        <w:rPr>
          <w:rFonts w:ascii="Calibri" w:eastAsia="Times New Roman" w:hAnsi="Calibri" w:cs="Calibri"/>
          <w:i/>
          <w:sz w:val="24"/>
          <w:szCs w:val="24"/>
          <w:lang w:val="en-GB" w:eastAsia="en-GB"/>
        </w:rPr>
        <w:t>de jure</w:t>
      </w:r>
      <w:r w:rsidRPr="008D1F23">
        <w:rPr>
          <w:rFonts w:ascii="Calibri" w:eastAsia="Times New Roman" w:hAnsi="Calibri" w:cs="Calibri"/>
          <w:sz w:val="24"/>
          <w:szCs w:val="24"/>
          <w:lang w:val="en-GB" w:eastAsia="en-GB"/>
        </w:rPr>
        <w:t xml:space="preserve"> powers in this regard (Schout 2012).</w:t>
      </w:r>
      <w:r w:rsidRPr="008D1F23">
        <w:rPr>
          <w:rFonts w:ascii="Calibri" w:eastAsia="Times New Roman" w:hAnsi="Calibri" w:cs="Calibri"/>
          <w:b/>
          <w:sz w:val="24"/>
          <w:szCs w:val="24"/>
          <w:lang w:val="en-GB" w:eastAsia="en-GB"/>
        </w:rPr>
        <w:t xml:space="preserve"> </w:t>
      </w:r>
    </w:p>
    <w:p w:rsidR="008D1F23" w:rsidRPr="008D1F23" w:rsidRDefault="008D1F23" w:rsidP="008D1F23">
      <w:pPr>
        <w:spacing w:after="0" w:line="480" w:lineRule="auto"/>
        <w:rPr>
          <w:rFonts w:ascii="Calibri" w:eastAsia="Times New Roman" w:hAnsi="Calibri" w:cs="Calibri"/>
          <w:b/>
          <w:sz w:val="24"/>
          <w:szCs w:val="24"/>
          <w:lang w:val="en-GB" w:eastAsia="en-GB"/>
        </w:rPr>
      </w:pPr>
    </w:p>
    <w:p w:rsidR="008D1F23" w:rsidRPr="008D1F23" w:rsidRDefault="008D1F23" w:rsidP="008D1F23">
      <w:pPr>
        <w:spacing w:after="0" w:line="480" w:lineRule="auto"/>
        <w:rPr>
          <w:rFonts w:ascii="Calibri" w:eastAsia="Times New Roman" w:hAnsi="Calibri" w:cs="Times New Roman"/>
          <w:sz w:val="24"/>
          <w:szCs w:val="24"/>
          <w:lang w:val="en-US" w:eastAsia="en-GB"/>
        </w:rPr>
      </w:pPr>
      <w:r w:rsidRPr="008D1F23">
        <w:rPr>
          <w:rFonts w:ascii="Calibri" w:eastAsia="Times New Roman" w:hAnsi="Calibri" w:cs="Calibri"/>
          <w:sz w:val="24"/>
          <w:szCs w:val="24"/>
          <w:lang w:val="en-GB" w:eastAsia="en-GB"/>
        </w:rPr>
        <w:t>Despite a significant increase in the supply of independent administrative capacities in the Commission, the same time period has witnessed a quantitative increase in the total number of EU agencies, EU agency staff and budgets. Since 2008 the pace has accelerated even further, especially in 2010 and 2011 with the advent of the new European Supervisory Authorities in the financial services area</w:t>
      </w:r>
      <w:r w:rsidRPr="008D1F23">
        <w:rPr>
          <w:rFonts w:ascii="Calibri" w:eastAsia="Times New Roman" w:hAnsi="Calibri" w:cs="Calibri"/>
          <w:i/>
          <w:sz w:val="24"/>
          <w:szCs w:val="24"/>
          <w:lang w:val="en-GB" w:eastAsia="en-GB"/>
        </w:rPr>
        <w:t xml:space="preserve">. </w:t>
      </w:r>
      <w:r w:rsidRPr="008D1F23">
        <w:rPr>
          <w:rFonts w:ascii="Calibri" w:eastAsia="Times New Roman" w:hAnsi="Calibri" w:cs="Calibri"/>
          <w:sz w:val="24"/>
          <w:szCs w:val="24"/>
          <w:lang w:val="en-GB" w:eastAsia="en-GB"/>
        </w:rPr>
        <w:t xml:space="preserve">These new agencies have added not only in terms of quantity but also in terms of their nature and their powers, some of which are quite novel and far-reaching. Together these agencies spend over one billion Euros per year, and employ more than 5,000 staff. Parallel to the continuous growth of administrative capacity in the Commission, there is thus far also evidence of continuous growth of administrative capacities in EU agencies </w:t>
      </w:r>
      <w:r w:rsidRPr="008D1F23">
        <w:rPr>
          <w:rFonts w:ascii="Calibri" w:eastAsia="Times New Roman" w:hAnsi="Calibri" w:cs="Times New Roman"/>
          <w:sz w:val="24"/>
          <w:szCs w:val="24"/>
          <w:lang w:val="en-US" w:eastAsia="en-GB"/>
        </w:rPr>
        <w:t>(Busuioc et al. 2012; Rittberger and Wonka 2011).</w:t>
      </w:r>
    </w:p>
    <w:p w:rsidR="008D1F23" w:rsidRPr="008D1F23" w:rsidRDefault="008D1F23" w:rsidP="008D1F23">
      <w:pPr>
        <w:spacing w:after="0" w:line="480" w:lineRule="auto"/>
        <w:rPr>
          <w:rFonts w:ascii="Calibri" w:eastAsia="Times New Roman" w:hAnsi="Calibri" w:cs="Times New Roman"/>
          <w:sz w:val="24"/>
          <w:szCs w:val="24"/>
          <w:lang w:val="en-GB" w:eastAsia="en-GB"/>
        </w:rPr>
      </w:pPr>
    </w:p>
    <w:p w:rsidR="008D1F23" w:rsidRPr="008D1F23" w:rsidRDefault="008D1F23" w:rsidP="008D1F23">
      <w:pPr>
        <w:spacing w:after="0" w:line="480" w:lineRule="auto"/>
        <w:rPr>
          <w:rFonts w:ascii="Calibri" w:eastAsia="Times New Roman" w:hAnsi="Calibri" w:cs="Times New Roman"/>
          <w:sz w:val="24"/>
          <w:szCs w:val="24"/>
          <w:lang w:val="en-US" w:eastAsia="en-GB"/>
        </w:rPr>
      </w:pPr>
      <w:r w:rsidRPr="008D1F23">
        <w:rPr>
          <w:rFonts w:ascii="Calibri" w:eastAsia="Times New Roman" w:hAnsi="Calibri" w:cs="Times New Roman"/>
          <w:sz w:val="24"/>
          <w:szCs w:val="24"/>
          <w:lang w:val="en-US" w:eastAsia="en-GB"/>
        </w:rPr>
        <w:t>The Commission sees EU agencies as ‘partners’ of the Commission and its DGs. EU agencies are seen as integral parts of the Commission. One early testimony of this integral policy frame was the ‘White Paper on Governance’ issued in 2001 which called for the Commission to control and monitor EU agencies (European Commission 2001). As one illustration, the White Paper emphasized that agency staff should fall under the same staff regulations as ordinary Commission ADs. Agency autonomy was sacrificed for the Union’s need for integrated and uniform administration.</w:t>
      </w:r>
      <w:r w:rsidRPr="008D1F23">
        <w:rPr>
          <w:rFonts w:ascii="Times New Roman" w:eastAsia="Times New Roman" w:hAnsi="Times New Roman" w:cs="Times New Roman"/>
          <w:sz w:val="24"/>
          <w:szCs w:val="24"/>
          <w:lang w:val="en-GB" w:eastAsia="en-GB"/>
        </w:rPr>
        <w:t xml:space="preserve"> </w:t>
      </w:r>
      <w:r w:rsidRPr="008D1F23">
        <w:rPr>
          <w:rFonts w:ascii="Calibri" w:eastAsia="Times New Roman" w:hAnsi="Calibri" w:cs="Times New Roman"/>
          <w:sz w:val="24"/>
          <w:szCs w:val="24"/>
          <w:lang w:val="en-US" w:eastAsia="en-GB"/>
        </w:rPr>
        <w:t>The ‘Analytical Fiches’ reveals the Commission’s policy of close integration of the Commission DGs and ‘their’ agencies. The semantic twins applied by the Commission are ‘partner’ and ‘parent’ agencies, where ‘partner’ suggests a more equal role between the agencies and the Commission while ‘parent’ advises a more superior role of the Commission vis-à-vis EU agencies. The Commission even argues that the ‘parent’ role of the Commission has become greater than envisaged (Analytical Fiche Nr. 31: 4).</w:t>
      </w:r>
      <w:r w:rsidRPr="008D1F23">
        <w:rPr>
          <w:rFonts w:ascii="Times New Roman" w:eastAsia="Times New Roman" w:hAnsi="Times New Roman" w:cs="Times New Roman"/>
          <w:sz w:val="24"/>
          <w:szCs w:val="24"/>
          <w:lang w:val="en-GB" w:eastAsia="en-GB"/>
        </w:rPr>
        <w:t xml:space="preserve"> </w:t>
      </w:r>
      <w:r w:rsidRPr="008D1F23">
        <w:rPr>
          <w:rFonts w:ascii="Calibri" w:eastAsia="Times New Roman" w:hAnsi="Calibri" w:cs="Times New Roman"/>
          <w:sz w:val="24"/>
          <w:szCs w:val="24"/>
          <w:lang w:val="en-US" w:eastAsia="en-GB"/>
        </w:rPr>
        <w:t>In short, the Commission promotes tight relationships between Commission DGs and ‘their’ EU agencies. The Commission frames EU agencies as integral to Commission activities, not as free-floating bodies.</w:t>
      </w:r>
    </w:p>
    <w:p w:rsidR="008D1F23" w:rsidRPr="008D1F23" w:rsidRDefault="008D1F23" w:rsidP="008D1F23">
      <w:pPr>
        <w:spacing w:after="0" w:line="480" w:lineRule="auto"/>
        <w:rPr>
          <w:rFonts w:ascii="Calibri" w:eastAsia="Times New Roman" w:hAnsi="Calibri" w:cs="Times New Roman"/>
          <w:sz w:val="24"/>
          <w:szCs w:val="24"/>
          <w:lang w:val="en-US" w:eastAsia="en-GB"/>
        </w:rPr>
      </w:pPr>
    </w:p>
    <w:p w:rsidR="008D1F23" w:rsidRPr="008D1F23" w:rsidRDefault="008D1F23" w:rsidP="008D1F23">
      <w:pPr>
        <w:spacing w:after="0" w:line="480" w:lineRule="auto"/>
        <w:rPr>
          <w:rFonts w:ascii="Calibri" w:eastAsia="Times New Roman" w:hAnsi="Calibri" w:cs="Times New Roman"/>
          <w:sz w:val="24"/>
          <w:szCs w:val="24"/>
          <w:lang w:val="en-US" w:eastAsia="en-GB"/>
        </w:rPr>
      </w:pPr>
      <w:r w:rsidRPr="008D1F23">
        <w:rPr>
          <w:rFonts w:ascii="Calibri" w:eastAsia="Times New Roman" w:hAnsi="Calibri" w:cs="Times New Roman"/>
          <w:sz w:val="24"/>
          <w:szCs w:val="24"/>
          <w:lang w:val="en-US" w:eastAsia="en-GB"/>
        </w:rPr>
        <w:t xml:space="preserve">A recent study (Egeberg et al. 2015) also shows how the Commission itself has tidily allocated the so-called regulatory (or decentralized) EU agencies </w:t>
      </w:r>
      <w:r w:rsidRPr="008D1F23">
        <w:rPr>
          <w:rFonts w:ascii="Calibri" w:eastAsia="Times New Roman" w:hAnsi="Calibri" w:cs="Times New Roman"/>
          <w:i/>
          <w:sz w:val="24"/>
          <w:szCs w:val="24"/>
          <w:lang w:val="en-US" w:eastAsia="en-GB"/>
        </w:rPr>
        <w:t>among certain DGs</w:t>
      </w:r>
      <w:r w:rsidRPr="008D1F23">
        <w:rPr>
          <w:rFonts w:ascii="Calibri" w:eastAsia="Times New Roman" w:hAnsi="Calibri" w:cs="Times New Roman"/>
          <w:sz w:val="24"/>
          <w:szCs w:val="24"/>
          <w:lang w:val="en-US" w:eastAsia="en-GB"/>
        </w:rPr>
        <w:t>.</w:t>
      </w:r>
      <w:r w:rsidRPr="008D1F23">
        <w:rPr>
          <w:rFonts w:ascii="Times New Roman" w:eastAsia="Times New Roman" w:hAnsi="Times New Roman" w:cs="Times New Roman"/>
          <w:sz w:val="24"/>
          <w:szCs w:val="24"/>
          <w:lang w:val="en-GB" w:eastAsia="en-GB"/>
        </w:rPr>
        <w:t xml:space="preserve"> </w:t>
      </w:r>
      <w:r w:rsidRPr="008D1F23">
        <w:rPr>
          <w:rFonts w:ascii="Calibri" w:eastAsia="Times New Roman" w:hAnsi="Calibri" w:cs="Times New Roman"/>
          <w:sz w:val="24"/>
          <w:szCs w:val="24"/>
          <w:lang w:val="en-US" w:eastAsia="en-GB"/>
        </w:rPr>
        <w:t xml:space="preserve">By content-analyzing DG Annual Activity Reports (2012), this study found that in 91 per cent of the cases, the DGs mention ‘supervision’ and ‘monitoring’ of ‘their’ agencies as part of their activities during the year. In 72 per cent of the cases, the DGs speak of themselves as ‘parent DG’ or ‘responsible DG’. Together, these observations indicate that there exists, or should exist in the eyes of the Commission, a kind of hierarchical relationship between the DG and </w:t>
      </w:r>
      <w:r w:rsidRPr="008D1F23">
        <w:rPr>
          <w:rFonts w:ascii="Calibri" w:eastAsia="Times New Roman" w:hAnsi="Calibri" w:cs="Times New Roman"/>
          <w:sz w:val="24"/>
          <w:szCs w:val="24"/>
          <w:lang w:val="en-US" w:eastAsia="en-GB"/>
        </w:rPr>
        <w:lastRenderedPageBreak/>
        <w:t>the agency. The term ‘partner DG’, on the other hand, which signals a more horizontal relationship, only appears in a minority of cases. Moreover, only in relation to four agencies’, the DG is considered solely as a ‘partner DG’. Interestingly, and most commonly, the term ‘partner DG’ operates in tandem with ‘parent DG’. This linguistic ambiguity probably reflects some power ambiguity as regards the governance structures surrounding EU agencies.</w:t>
      </w:r>
    </w:p>
    <w:p w:rsidR="008D1F23" w:rsidRPr="008D1F23" w:rsidRDefault="008D1F23" w:rsidP="008D1F23">
      <w:pPr>
        <w:spacing w:after="0" w:line="480" w:lineRule="auto"/>
        <w:rPr>
          <w:rFonts w:ascii="Calibri" w:eastAsia="Times New Roman" w:hAnsi="Calibri" w:cs="Times New Roman"/>
          <w:b/>
          <w:sz w:val="24"/>
          <w:szCs w:val="24"/>
          <w:lang w:val="en-US" w:eastAsia="en-GB"/>
        </w:rPr>
      </w:pPr>
    </w:p>
    <w:p w:rsidR="008D1F23" w:rsidRPr="008D1F23" w:rsidRDefault="008D1F23" w:rsidP="008D1F23">
      <w:pPr>
        <w:spacing w:after="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In sum, the supply of administrative capacities inside the Commission is positively associated with the </w:t>
      </w:r>
      <w:r w:rsidRPr="008D1F23">
        <w:rPr>
          <w:rFonts w:ascii="Calibri" w:eastAsia="Times New Roman" w:hAnsi="Calibri" w:cs="Times New Roman"/>
          <w:i/>
          <w:sz w:val="24"/>
          <w:szCs w:val="24"/>
          <w:lang w:val="en-GB" w:eastAsia="en-GB"/>
        </w:rPr>
        <w:t>integration</w:t>
      </w:r>
      <w:r w:rsidRPr="008D1F23">
        <w:rPr>
          <w:rFonts w:ascii="Calibri" w:eastAsia="Times New Roman" w:hAnsi="Calibri" w:cs="Times New Roman"/>
          <w:sz w:val="24"/>
          <w:szCs w:val="24"/>
          <w:lang w:val="en-GB" w:eastAsia="en-GB"/>
        </w:rPr>
        <w:t xml:space="preserve"> of Commission DGs and EU agencies, and thus the accumulation of overall organizational turbulence inside the EU administrative system.</w:t>
      </w:r>
    </w:p>
    <w:p w:rsidR="008D1F23" w:rsidRPr="008D1F23" w:rsidRDefault="008D1F23" w:rsidP="008D1F23">
      <w:pPr>
        <w:spacing w:after="0" w:line="480" w:lineRule="auto"/>
        <w:rPr>
          <w:rFonts w:ascii="Calibri" w:eastAsia="Times New Roman" w:hAnsi="Calibri" w:cs="Times New Roman"/>
          <w:sz w:val="24"/>
          <w:szCs w:val="24"/>
          <w:lang w:val="en-GB" w:eastAsia="en-GB"/>
        </w:rPr>
      </w:pPr>
    </w:p>
    <w:p w:rsidR="008D1F23" w:rsidRPr="008D1F23" w:rsidRDefault="008D1F23" w:rsidP="008D1F23">
      <w:pPr>
        <w:spacing w:after="0" w:line="480" w:lineRule="auto"/>
        <w:rPr>
          <w:rFonts w:ascii="Calibri" w:eastAsia="Times New Roman" w:hAnsi="Calibri" w:cs="Calibri"/>
          <w:sz w:val="24"/>
          <w:szCs w:val="20"/>
          <w:lang w:val="en-US" w:eastAsia="nb-NO"/>
        </w:rPr>
      </w:pPr>
      <w:r w:rsidRPr="008D1F23">
        <w:rPr>
          <w:rFonts w:ascii="Calibri" w:eastAsia="Times New Roman" w:hAnsi="Calibri" w:cs="Times New Roman"/>
          <w:b/>
          <w:i/>
          <w:sz w:val="24"/>
          <w:szCs w:val="24"/>
          <w:lang w:val="en-US" w:eastAsia="en-GB"/>
        </w:rPr>
        <w:t>Domestic agencies:</w:t>
      </w:r>
      <w:r w:rsidRPr="008D1F23">
        <w:rPr>
          <w:rFonts w:ascii="Calibri" w:eastAsia="Times New Roman" w:hAnsi="Calibri" w:cs="Times New Roman"/>
          <w:sz w:val="24"/>
          <w:szCs w:val="24"/>
          <w:lang w:val="en-US" w:eastAsia="en-GB"/>
        </w:rPr>
        <w:t xml:space="preserve"> The European Commission does not ‘own’ or possess administrative infrastructure (agencies) at lower levels of authority. However, studies show that national implementing authorities, such as agencies, work so closely together with the previously mentioned EU bodies that national agencies in practice function as direct implementing authorities for EU legislation. In practice, this role challenges national administrative sovereignty quite fundamentally (Egeberg and Trondal 2015b). </w:t>
      </w:r>
      <w:r w:rsidRPr="008D1F23">
        <w:rPr>
          <w:rFonts w:ascii="Calibri" w:eastAsia="Times New Roman" w:hAnsi="Calibri" w:cs="Times New Roman"/>
          <w:sz w:val="24"/>
          <w:szCs w:val="24"/>
          <w:lang w:val="en-GB" w:eastAsia="en-GB"/>
        </w:rPr>
        <w:t>National agencies in practise seem to supply the Commission with relevant administrative capacities, particularly in their application of EU hard law (Egeberg and Trondal 2009) but also at the policy-development stage (Bach et al. 2015). Domestic agencies tend to be integrated by the Commission, particularly if the Commission supply relevant organizational capacities. Even</w:t>
      </w:r>
      <w:r w:rsidRPr="008D1F23">
        <w:rPr>
          <w:rFonts w:ascii="Calibri" w:eastAsia="Times New Roman" w:hAnsi="Calibri" w:cs="Times New Roman"/>
          <w:sz w:val="24"/>
          <w:szCs w:val="24"/>
          <w:lang w:val="en-US" w:eastAsia="en-GB"/>
        </w:rPr>
        <w:t xml:space="preserve"> the daily practicing of EU legislation at the national level is no longer solely in the hands of national governments although the role of ministerial departments is pivotal. Egeberg and Trondal (2009) show that the Commission takes actively part in the practicing of EU legislation at </w:t>
      </w:r>
      <w:r w:rsidRPr="008D1F23">
        <w:rPr>
          <w:rFonts w:ascii="Calibri" w:eastAsia="Times New Roman" w:hAnsi="Calibri" w:cs="Times New Roman"/>
          <w:sz w:val="24"/>
          <w:szCs w:val="24"/>
          <w:lang w:val="en-US" w:eastAsia="en-GB"/>
        </w:rPr>
        <w:lastRenderedPageBreak/>
        <w:t xml:space="preserve">national level. </w:t>
      </w:r>
      <w:r w:rsidRPr="008D1F23">
        <w:rPr>
          <w:rFonts w:ascii="Calibri" w:eastAsia="Times New Roman" w:hAnsi="Calibri" w:cs="Calibri"/>
          <w:sz w:val="24"/>
          <w:szCs w:val="20"/>
          <w:lang w:val="en-GB" w:eastAsia="nb-NO"/>
        </w:rPr>
        <w:t>T</w:t>
      </w:r>
      <w:r w:rsidRPr="008D1F23">
        <w:rPr>
          <w:rFonts w:ascii="Calibri" w:eastAsia="Times New Roman" w:hAnsi="Calibri" w:cs="Calibri"/>
          <w:sz w:val="24"/>
          <w:szCs w:val="20"/>
          <w:lang w:val="en-US" w:eastAsia="nb-NO"/>
        </w:rPr>
        <w:t xml:space="preserve">able 1 demonstrates the extent to which legislation that originates from EU decisions (‘hard law’) is </w:t>
      </w:r>
      <w:r w:rsidRPr="008D1F23">
        <w:rPr>
          <w:rFonts w:ascii="Calibri" w:eastAsia="Times New Roman" w:hAnsi="Calibri" w:cs="Calibri"/>
          <w:i/>
          <w:sz w:val="24"/>
          <w:szCs w:val="20"/>
          <w:lang w:val="en-US" w:eastAsia="nb-NO"/>
        </w:rPr>
        <w:t>practiced</w:t>
      </w:r>
      <w:r w:rsidRPr="008D1F23">
        <w:rPr>
          <w:rFonts w:ascii="Calibri" w:eastAsia="Times New Roman" w:hAnsi="Calibri" w:cs="Calibri"/>
          <w:sz w:val="24"/>
          <w:szCs w:val="20"/>
          <w:lang w:val="en-US" w:eastAsia="nb-NO"/>
        </w:rPr>
        <w:t xml:space="preserve"> by domestic agency officials. </w:t>
      </w:r>
    </w:p>
    <w:p w:rsidR="008D1F23" w:rsidRPr="008D1F23" w:rsidRDefault="008D1F23" w:rsidP="008D1F23">
      <w:pPr>
        <w:spacing w:after="0" w:line="480" w:lineRule="auto"/>
        <w:rPr>
          <w:rFonts w:ascii="Calibri" w:eastAsia="Times New Roman" w:hAnsi="Calibri" w:cs="Calibri"/>
          <w:sz w:val="24"/>
          <w:szCs w:val="20"/>
          <w:lang w:val="en-US" w:eastAsia="nb-NO"/>
        </w:rPr>
      </w:pPr>
    </w:p>
    <w:p w:rsidR="008D1F23" w:rsidRPr="008D1F23" w:rsidRDefault="008D1F23" w:rsidP="008D1F23">
      <w:pPr>
        <w:spacing w:after="200" w:line="480" w:lineRule="auto"/>
        <w:rPr>
          <w:rFonts w:ascii="Calibri" w:hAnsi="Calibri" w:cs="Calibri"/>
          <w:b/>
          <w:caps/>
          <w:szCs w:val="20"/>
          <w:lang w:val="en-US" w:eastAsia="nb-NO"/>
        </w:rPr>
      </w:pPr>
      <w:r w:rsidRPr="008D1F23">
        <w:rPr>
          <w:rFonts w:ascii="Calibri" w:hAnsi="Calibri" w:cs="Calibri"/>
          <w:b/>
          <w:szCs w:val="20"/>
          <w:lang w:val="en-US" w:eastAsia="nb-NO"/>
        </w:rPr>
        <w:t>Table</w:t>
      </w:r>
      <w:r w:rsidRPr="008D1F23">
        <w:rPr>
          <w:rFonts w:ascii="Calibri" w:hAnsi="Calibri" w:cs="Calibri"/>
          <w:b/>
          <w:caps/>
          <w:szCs w:val="20"/>
          <w:lang w:val="en-US" w:eastAsia="nb-NO"/>
        </w:rPr>
        <w:t xml:space="preserve"> 1 </w:t>
      </w:r>
      <w:r w:rsidRPr="008D1F23">
        <w:rPr>
          <w:rFonts w:ascii="Calibri" w:hAnsi="Calibri" w:cs="Calibri"/>
          <w:b/>
          <w:szCs w:val="20"/>
          <w:lang w:val="en-US" w:eastAsia="nb-NO"/>
        </w:rPr>
        <w:t xml:space="preserve">Percent of agency officials who report that national agencies </w:t>
      </w:r>
      <w:r w:rsidRPr="008D1F23">
        <w:rPr>
          <w:rFonts w:ascii="Calibri" w:hAnsi="Calibri" w:cs="Calibri"/>
          <w:b/>
          <w:szCs w:val="20"/>
          <w:u w:val="single"/>
          <w:lang w:val="en-US" w:eastAsia="nb-NO"/>
        </w:rPr>
        <w:t>practice</w:t>
      </w:r>
      <w:r w:rsidRPr="008D1F23">
        <w:rPr>
          <w:rFonts w:ascii="Calibri" w:hAnsi="Calibri" w:cs="Calibri"/>
          <w:b/>
          <w:szCs w:val="20"/>
          <w:lang w:val="en-US" w:eastAsia="nb-NO"/>
        </w:rPr>
        <w:t xml:space="preserve"> laws and rules that originate from EU decisions within their own issue area</w:t>
      </w:r>
      <w:r w:rsidRPr="008D1F23">
        <w:rPr>
          <w:rFonts w:ascii="Calibri" w:hAnsi="Calibri" w:cs="Calibri"/>
          <w:b/>
          <w:caps/>
          <w:szCs w:val="20"/>
          <w:lang w:val="en-US" w:eastAsia="nb-N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838"/>
        <w:gridCol w:w="1896"/>
        <w:gridCol w:w="1931"/>
      </w:tblGrid>
      <w:tr w:rsidR="008D1F23" w:rsidRPr="008D1F23" w:rsidTr="006E14D6">
        <w:trPr>
          <w:jc w:val="center"/>
        </w:trPr>
        <w:tc>
          <w:tcPr>
            <w:tcW w:w="1852" w:type="dxa"/>
          </w:tcPr>
          <w:p w:rsidR="008D1F23" w:rsidRPr="008D1F23" w:rsidRDefault="008D1F23" w:rsidP="008D1F23">
            <w:pPr>
              <w:spacing w:after="200" w:line="480" w:lineRule="auto"/>
              <w:jc w:val="center"/>
              <w:rPr>
                <w:rFonts w:ascii="Calibri" w:hAnsi="Calibri" w:cs="Calibri"/>
                <w:b/>
                <w:szCs w:val="20"/>
                <w:lang w:val="en-US" w:eastAsia="nb-NO"/>
              </w:rPr>
            </w:pPr>
            <w:r w:rsidRPr="008D1F23">
              <w:rPr>
                <w:rFonts w:ascii="Calibri" w:hAnsi="Calibri" w:cs="Calibri"/>
                <w:b/>
                <w:szCs w:val="20"/>
                <w:lang w:val="en-US" w:eastAsia="nb-NO"/>
              </w:rPr>
              <w:t>Yes</w:t>
            </w:r>
          </w:p>
        </w:tc>
        <w:tc>
          <w:tcPr>
            <w:tcW w:w="1838" w:type="dxa"/>
          </w:tcPr>
          <w:p w:rsidR="008D1F23" w:rsidRPr="008D1F23" w:rsidRDefault="008D1F23" w:rsidP="008D1F23">
            <w:pPr>
              <w:spacing w:after="200" w:line="480" w:lineRule="auto"/>
              <w:jc w:val="center"/>
              <w:rPr>
                <w:rFonts w:ascii="Calibri" w:hAnsi="Calibri" w:cs="Calibri"/>
                <w:b/>
                <w:szCs w:val="20"/>
                <w:lang w:val="en-US" w:eastAsia="nb-NO"/>
              </w:rPr>
            </w:pPr>
            <w:r w:rsidRPr="008D1F23">
              <w:rPr>
                <w:rFonts w:ascii="Calibri" w:hAnsi="Calibri" w:cs="Calibri"/>
                <w:b/>
                <w:szCs w:val="20"/>
                <w:lang w:val="en-US" w:eastAsia="nb-NO"/>
              </w:rPr>
              <w:t>No</w:t>
            </w:r>
          </w:p>
        </w:tc>
        <w:tc>
          <w:tcPr>
            <w:tcW w:w="1896" w:type="dxa"/>
          </w:tcPr>
          <w:p w:rsidR="008D1F23" w:rsidRPr="008D1F23" w:rsidRDefault="008D1F23" w:rsidP="008D1F23">
            <w:pPr>
              <w:spacing w:after="200" w:line="480" w:lineRule="auto"/>
              <w:jc w:val="center"/>
              <w:rPr>
                <w:rFonts w:ascii="Calibri" w:hAnsi="Calibri" w:cs="Calibri"/>
                <w:b/>
                <w:szCs w:val="20"/>
                <w:lang w:val="en-US" w:eastAsia="nb-NO"/>
              </w:rPr>
            </w:pPr>
            <w:r w:rsidRPr="008D1F23">
              <w:rPr>
                <w:rFonts w:ascii="Calibri" w:hAnsi="Calibri" w:cs="Calibri"/>
                <w:b/>
                <w:szCs w:val="20"/>
                <w:lang w:val="en-US" w:eastAsia="nb-NO"/>
              </w:rPr>
              <w:t>Do not know</w:t>
            </w:r>
          </w:p>
        </w:tc>
        <w:tc>
          <w:tcPr>
            <w:tcW w:w="1931" w:type="dxa"/>
          </w:tcPr>
          <w:p w:rsidR="008D1F23" w:rsidRPr="008D1F23" w:rsidRDefault="008D1F23" w:rsidP="008D1F23">
            <w:pPr>
              <w:spacing w:after="200" w:line="480" w:lineRule="auto"/>
              <w:jc w:val="center"/>
              <w:rPr>
                <w:rFonts w:ascii="Calibri" w:hAnsi="Calibri" w:cs="Calibri"/>
                <w:b/>
                <w:szCs w:val="20"/>
                <w:lang w:val="en-US" w:eastAsia="nb-NO"/>
              </w:rPr>
            </w:pPr>
            <w:r w:rsidRPr="008D1F23">
              <w:rPr>
                <w:rFonts w:ascii="Calibri" w:hAnsi="Calibri" w:cs="Calibri"/>
                <w:b/>
                <w:szCs w:val="20"/>
                <w:lang w:val="en-US" w:eastAsia="nb-NO"/>
              </w:rPr>
              <w:t>Total</w:t>
            </w:r>
          </w:p>
        </w:tc>
      </w:tr>
      <w:tr w:rsidR="008D1F23" w:rsidRPr="008D1F23" w:rsidTr="006E14D6">
        <w:trPr>
          <w:jc w:val="center"/>
        </w:trPr>
        <w:tc>
          <w:tcPr>
            <w:tcW w:w="1852" w:type="dxa"/>
          </w:tcPr>
          <w:p w:rsidR="008D1F23" w:rsidRPr="008D1F23" w:rsidRDefault="008D1F23" w:rsidP="008D1F23">
            <w:pPr>
              <w:spacing w:after="200" w:line="480" w:lineRule="auto"/>
              <w:jc w:val="center"/>
              <w:rPr>
                <w:rFonts w:ascii="Calibri" w:hAnsi="Calibri" w:cs="Calibri"/>
                <w:szCs w:val="20"/>
                <w:lang w:val="en-US" w:eastAsia="nb-NO"/>
              </w:rPr>
            </w:pPr>
            <w:r w:rsidRPr="008D1F23">
              <w:rPr>
                <w:rFonts w:ascii="Calibri" w:hAnsi="Calibri" w:cs="Calibri"/>
                <w:szCs w:val="20"/>
                <w:lang w:val="en-US" w:eastAsia="nb-NO"/>
              </w:rPr>
              <w:t>61</w:t>
            </w:r>
          </w:p>
        </w:tc>
        <w:tc>
          <w:tcPr>
            <w:tcW w:w="1838" w:type="dxa"/>
          </w:tcPr>
          <w:p w:rsidR="008D1F23" w:rsidRPr="008D1F23" w:rsidRDefault="008D1F23" w:rsidP="008D1F23">
            <w:pPr>
              <w:spacing w:after="200" w:line="480" w:lineRule="auto"/>
              <w:jc w:val="center"/>
              <w:rPr>
                <w:rFonts w:ascii="Calibri" w:hAnsi="Calibri" w:cs="Calibri"/>
                <w:szCs w:val="20"/>
                <w:lang w:val="en-US" w:eastAsia="nb-NO"/>
              </w:rPr>
            </w:pPr>
            <w:r w:rsidRPr="008D1F23">
              <w:rPr>
                <w:rFonts w:ascii="Calibri" w:hAnsi="Calibri" w:cs="Calibri"/>
                <w:szCs w:val="20"/>
                <w:lang w:val="en-US" w:eastAsia="nb-NO"/>
              </w:rPr>
              <w:t>13</w:t>
            </w:r>
          </w:p>
        </w:tc>
        <w:tc>
          <w:tcPr>
            <w:tcW w:w="1896" w:type="dxa"/>
          </w:tcPr>
          <w:p w:rsidR="008D1F23" w:rsidRPr="008D1F23" w:rsidRDefault="008D1F23" w:rsidP="008D1F23">
            <w:pPr>
              <w:spacing w:after="200" w:line="480" w:lineRule="auto"/>
              <w:jc w:val="center"/>
              <w:rPr>
                <w:rFonts w:ascii="Calibri" w:hAnsi="Calibri" w:cs="Calibri"/>
                <w:szCs w:val="20"/>
                <w:lang w:val="en-US" w:eastAsia="nb-NO"/>
              </w:rPr>
            </w:pPr>
            <w:r w:rsidRPr="008D1F23">
              <w:rPr>
                <w:rFonts w:ascii="Calibri" w:hAnsi="Calibri" w:cs="Calibri"/>
                <w:szCs w:val="20"/>
                <w:lang w:val="en-US" w:eastAsia="nb-NO"/>
              </w:rPr>
              <w:t>26</w:t>
            </w:r>
          </w:p>
        </w:tc>
        <w:tc>
          <w:tcPr>
            <w:tcW w:w="1931" w:type="dxa"/>
          </w:tcPr>
          <w:p w:rsidR="008D1F23" w:rsidRPr="008D1F23" w:rsidRDefault="008D1F23" w:rsidP="008D1F23">
            <w:pPr>
              <w:spacing w:after="200" w:line="480" w:lineRule="auto"/>
              <w:jc w:val="center"/>
              <w:rPr>
                <w:rFonts w:ascii="Calibri" w:hAnsi="Calibri" w:cs="Calibri"/>
                <w:szCs w:val="20"/>
                <w:lang w:val="en-US" w:eastAsia="nb-NO"/>
              </w:rPr>
            </w:pPr>
            <w:r w:rsidRPr="008D1F23">
              <w:rPr>
                <w:rFonts w:ascii="Calibri" w:hAnsi="Calibri" w:cs="Calibri"/>
                <w:szCs w:val="20"/>
                <w:lang w:val="en-US" w:eastAsia="nb-NO"/>
              </w:rPr>
              <w:t>100 (974)</w:t>
            </w:r>
          </w:p>
        </w:tc>
      </w:tr>
    </w:tbl>
    <w:p w:rsidR="008D1F23" w:rsidRPr="008D1F23" w:rsidRDefault="008D1F23" w:rsidP="008D1F23">
      <w:pPr>
        <w:spacing w:after="200" w:line="480" w:lineRule="auto"/>
        <w:rPr>
          <w:rFonts w:ascii="Calibri" w:hAnsi="Calibri" w:cs="Calibri"/>
          <w:i/>
          <w:sz w:val="20"/>
          <w:szCs w:val="20"/>
          <w:lang w:val="en-US" w:eastAsia="nb-NO"/>
        </w:rPr>
      </w:pPr>
      <w:r w:rsidRPr="008D1F23">
        <w:rPr>
          <w:rFonts w:ascii="Calibri" w:hAnsi="Calibri" w:cs="Calibri"/>
          <w:i/>
          <w:sz w:val="20"/>
          <w:szCs w:val="20"/>
          <w:lang w:val="en-US" w:eastAsia="nb-NO"/>
        </w:rPr>
        <w:t>* The table includes those officials who report being affected by the EU ‘to a fairly little extent’ or more</w:t>
      </w:r>
    </w:p>
    <w:p w:rsidR="008D1F23" w:rsidRPr="008D1F23" w:rsidRDefault="008D1F23" w:rsidP="008D1F23">
      <w:pPr>
        <w:spacing w:after="0" w:line="480" w:lineRule="auto"/>
        <w:jc w:val="center"/>
        <w:rPr>
          <w:rFonts w:ascii="Calibri" w:eastAsia="Times New Roman" w:hAnsi="Calibri" w:cs="Calibri"/>
          <w:sz w:val="24"/>
          <w:szCs w:val="20"/>
          <w:lang w:val="en-US" w:eastAsia="nb-NO"/>
        </w:rPr>
      </w:pPr>
    </w:p>
    <w:p w:rsidR="008D1F23" w:rsidRPr="008D1F23" w:rsidRDefault="008D1F23" w:rsidP="008D1F23">
      <w:pPr>
        <w:spacing w:after="0" w:line="480" w:lineRule="auto"/>
        <w:rPr>
          <w:rFonts w:ascii="Calibri" w:eastAsia="Times New Roman" w:hAnsi="Calibri" w:cs="Calibri"/>
          <w:sz w:val="24"/>
          <w:szCs w:val="20"/>
          <w:lang w:val="en-US" w:eastAsia="nb-NO"/>
        </w:rPr>
      </w:pPr>
      <w:r w:rsidRPr="008D1F23">
        <w:rPr>
          <w:rFonts w:ascii="Calibri" w:eastAsia="Times New Roman" w:hAnsi="Calibri" w:cs="Calibri"/>
          <w:sz w:val="24"/>
          <w:szCs w:val="20"/>
          <w:lang w:val="en-US" w:eastAsia="nb-NO"/>
        </w:rPr>
        <w:t xml:space="preserve">Table 1 suggests that a vast majority of domestic agency personnel who find themselves affected by the EU confirm that EU legislation is practiced within their issue area. In the following, only this group of agency officials (594) is included in the analysis. Egeberg and Trondal (2009) also show similar findings among ministry personnel: 46 percent of ministry officials report that EU legislation is implemented at the agency level within their particular issue area. </w:t>
      </w:r>
    </w:p>
    <w:p w:rsidR="008D1F23" w:rsidRPr="008D1F23" w:rsidRDefault="008D1F23" w:rsidP="008D1F23">
      <w:pPr>
        <w:spacing w:after="0" w:line="480" w:lineRule="auto"/>
        <w:rPr>
          <w:rFonts w:ascii="Calibri" w:eastAsia="Times New Roman" w:hAnsi="Calibri" w:cs="Calibri"/>
          <w:sz w:val="24"/>
          <w:szCs w:val="20"/>
          <w:lang w:val="en-US" w:eastAsia="nb-NO"/>
        </w:rPr>
      </w:pPr>
    </w:p>
    <w:p w:rsidR="008D1F23" w:rsidRPr="008D1F23" w:rsidRDefault="008D1F23" w:rsidP="008D1F23">
      <w:pPr>
        <w:spacing w:after="0" w:line="480" w:lineRule="auto"/>
        <w:rPr>
          <w:rFonts w:ascii="Calibri" w:eastAsia="Times New Roman" w:hAnsi="Calibri" w:cs="Calibri"/>
          <w:sz w:val="24"/>
          <w:szCs w:val="20"/>
          <w:lang w:val="en-US" w:eastAsia="nb-NO"/>
        </w:rPr>
      </w:pPr>
      <w:r w:rsidRPr="008D1F23">
        <w:rPr>
          <w:rFonts w:ascii="Calibri" w:eastAsia="Times New Roman" w:hAnsi="Calibri" w:cs="Calibri"/>
          <w:sz w:val="24"/>
          <w:szCs w:val="20"/>
          <w:lang w:val="en-US" w:eastAsia="nb-NO"/>
        </w:rPr>
        <w:t xml:space="preserve">Table 2 reveals the extent to which different institutions and actors are deemed important with respect to influencing how EU ‘hard law’ is being practiced by domestic agencies. </w:t>
      </w:r>
    </w:p>
    <w:p w:rsidR="008D1F23" w:rsidRPr="008D1F23" w:rsidRDefault="008D1F23" w:rsidP="008D1F23">
      <w:pPr>
        <w:spacing w:after="0" w:line="480" w:lineRule="auto"/>
        <w:rPr>
          <w:rFonts w:ascii="Calibri" w:eastAsia="Times New Roman" w:hAnsi="Calibri" w:cs="Calibri"/>
          <w:sz w:val="24"/>
          <w:szCs w:val="20"/>
          <w:lang w:val="en-US" w:eastAsia="nb-NO"/>
        </w:rPr>
      </w:pPr>
    </w:p>
    <w:p w:rsidR="008D1F23" w:rsidRPr="008D1F23" w:rsidRDefault="008D1F23" w:rsidP="008D1F23">
      <w:pPr>
        <w:spacing w:after="0" w:line="480" w:lineRule="auto"/>
        <w:rPr>
          <w:rFonts w:ascii="Calibri" w:eastAsia="Times New Roman" w:hAnsi="Calibri" w:cs="Calibri"/>
          <w:sz w:val="24"/>
          <w:szCs w:val="20"/>
          <w:lang w:val="en-US" w:eastAsia="nb-NO"/>
        </w:rPr>
      </w:pPr>
    </w:p>
    <w:p w:rsidR="008D1F23" w:rsidRPr="008D1F23" w:rsidRDefault="008D1F23" w:rsidP="008D1F23">
      <w:pPr>
        <w:spacing w:after="0" w:line="480" w:lineRule="auto"/>
        <w:rPr>
          <w:rFonts w:ascii="Calibri" w:eastAsia="Times New Roman" w:hAnsi="Calibri" w:cs="Calibri"/>
          <w:sz w:val="24"/>
          <w:szCs w:val="20"/>
          <w:lang w:val="en-US" w:eastAsia="nb-NO"/>
        </w:rPr>
      </w:pPr>
    </w:p>
    <w:p w:rsidR="008D1F23" w:rsidRPr="008D1F23" w:rsidRDefault="008D1F23" w:rsidP="008D1F23">
      <w:pPr>
        <w:spacing w:after="0" w:line="480" w:lineRule="auto"/>
        <w:rPr>
          <w:rFonts w:ascii="Calibri" w:eastAsia="Times New Roman" w:hAnsi="Calibri" w:cs="Calibri"/>
          <w:sz w:val="24"/>
          <w:szCs w:val="20"/>
          <w:lang w:val="en-US" w:eastAsia="nb-NO"/>
        </w:rPr>
      </w:pPr>
    </w:p>
    <w:p w:rsidR="008D1F23" w:rsidRPr="008D1F23" w:rsidRDefault="008D1F23" w:rsidP="008D1F23">
      <w:pPr>
        <w:spacing w:after="200" w:line="480" w:lineRule="auto"/>
        <w:rPr>
          <w:rFonts w:ascii="Calibri" w:hAnsi="Calibri" w:cs="Calibri"/>
          <w:b/>
          <w:caps/>
          <w:vertAlign w:val="superscript"/>
          <w:lang w:val="en-US" w:eastAsia="nb-NO"/>
        </w:rPr>
      </w:pPr>
      <w:r w:rsidRPr="008D1F23">
        <w:rPr>
          <w:rFonts w:ascii="Calibri" w:hAnsi="Calibri" w:cs="Calibri"/>
          <w:b/>
          <w:szCs w:val="20"/>
          <w:lang w:val="en-US" w:eastAsia="nb-NO"/>
        </w:rPr>
        <w:lastRenderedPageBreak/>
        <w:t>Table</w:t>
      </w:r>
      <w:r w:rsidRPr="008D1F23">
        <w:rPr>
          <w:rFonts w:ascii="Calibri" w:hAnsi="Calibri" w:cs="Calibri"/>
          <w:b/>
          <w:caps/>
          <w:szCs w:val="20"/>
          <w:lang w:val="en-US" w:eastAsia="nb-NO"/>
        </w:rPr>
        <w:t xml:space="preserve"> 2</w:t>
      </w:r>
      <w:r w:rsidRPr="008D1F23">
        <w:rPr>
          <w:rFonts w:ascii="Calibri" w:hAnsi="Calibri" w:cs="Calibri"/>
          <w:b/>
          <w:szCs w:val="20"/>
          <w:lang w:val="en-US" w:eastAsia="nb-NO"/>
        </w:rPr>
        <w:t xml:space="preserve"> Percent of agency officials reporting that the following institutions and actors are </w:t>
      </w:r>
      <w:r w:rsidRPr="008D1F23">
        <w:rPr>
          <w:rFonts w:ascii="Calibri" w:hAnsi="Calibri" w:cs="Calibri"/>
          <w:b/>
          <w:szCs w:val="20"/>
          <w:u w:val="single"/>
          <w:lang w:val="en-US" w:eastAsia="nb-NO"/>
        </w:rPr>
        <w:t>important</w:t>
      </w:r>
      <w:r w:rsidRPr="008D1F23">
        <w:rPr>
          <w:rFonts w:ascii="Calibri" w:hAnsi="Calibri" w:cs="Calibri"/>
          <w:b/>
          <w:szCs w:val="20"/>
          <w:lang w:val="en-US" w:eastAsia="nb-NO"/>
        </w:rPr>
        <w:t xml:space="preserve"> with respect to influence national agencies’ practicing of EU ‘hard law </w:t>
      </w:r>
      <w:r w:rsidRPr="008D1F23">
        <w:rPr>
          <w:rFonts w:ascii="Calibri" w:hAnsi="Calibri" w:cs="Calibri"/>
          <w:b/>
          <w:caps/>
          <w:vertAlign w:val="superscript"/>
          <w:lang w:val="en-US" w:eastAsia="nb-NO"/>
        </w:rPr>
        <w:t>a,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3417"/>
      </w:tblGrid>
      <w:tr w:rsidR="008D1F23" w:rsidRPr="008D1F23" w:rsidTr="006E14D6">
        <w:tc>
          <w:tcPr>
            <w:tcW w:w="5781" w:type="dxa"/>
          </w:tcPr>
          <w:p w:rsidR="008D1F23" w:rsidRPr="008D1F23" w:rsidRDefault="008D1F23" w:rsidP="008D1F23">
            <w:pPr>
              <w:spacing w:after="200" w:line="480" w:lineRule="auto"/>
              <w:rPr>
                <w:rFonts w:ascii="Calibri" w:hAnsi="Calibri" w:cs="Calibri"/>
                <w:szCs w:val="20"/>
                <w:lang w:val="en-US" w:eastAsia="nb-NO"/>
              </w:rPr>
            </w:pPr>
            <w:r w:rsidRPr="008D1F23">
              <w:rPr>
                <w:rFonts w:ascii="Calibri" w:hAnsi="Calibri" w:cs="Calibri"/>
                <w:szCs w:val="20"/>
                <w:lang w:val="en-US" w:eastAsia="nb-NO"/>
              </w:rPr>
              <w:t xml:space="preserve">Ministry </w:t>
            </w:r>
          </w:p>
          <w:p w:rsidR="008D1F23" w:rsidRPr="008D1F23" w:rsidRDefault="008D1F23" w:rsidP="008D1F23">
            <w:pPr>
              <w:spacing w:after="200" w:line="480" w:lineRule="auto"/>
              <w:rPr>
                <w:rFonts w:ascii="Calibri" w:hAnsi="Calibri" w:cs="Calibri"/>
                <w:szCs w:val="20"/>
                <w:lang w:val="en-US" w:eastAsia="nb-NO"/>
              </w:rPr>
            </w:pPr>
            <w:r w:rsidRPr="008D1F23">
              <w:rPr>
                <w:rFonts w:ascii="Calibri" w:hAnsi="Calibri" w:cs="Calibri"/>
                <w:szCs w:val="20"/>
                <w:lang w:val="en-US" w:eastAsia="nb-NO"/>
              </w:rPr>
              <w:t xml:space="preserve">National agency </w:t>
            </w:r>
          </w:p>
          <w:p w:rsidR="008D1F23" w:rsidRPr="008D1F23" w:rsidRDefault="008D1F23" w:rsidP="008D1F23">
            <w:pPr>
              <w:spacing w:after="200" w:line="480" w:lineRule="auto"/>
              <w:rPr>
                <w:rFonts w:ascii="Calibri" w:hAnsi="Calibri" w:cs="Calibri"/>
                <w:szCs w:val="20"/>
                <w:lang w:val="en-US" w:eastAsia="nb-NO"/>
              </w:rPr>
            </w:pPr>
            <w:r w:rsidRPr="008D1F23">
              <w:rPr>
                <w:rFonts w:ascii="Calibri" w:hAnsi="Calibri" w:cs="Calibri"/>
                <w:szCs w:val="20"/>
                <w:lang w:val="en-US" w:eastAsia="nb-NO"/>
              </w:rPr>
              <w:t>European Commission (EC)</w:t>
            </w:r>
          </w:p>
          <w:p w:rsidR="008D1F23" w:rsidRPr="008D1F23" w:rsidRDefault="008D1F23" w:rsidP="008D1F23">
            <w:pPr>
              <w:spacing w:after="200" w:line="480" w:lineRule="auto"/>
              <w:rPr>
                <w:rFonts w:ascii="Calibri" w:hAnsi="Calibri" w:cs="Calibri"/>
                <w:szCs w:val="20"/>
                <w:lang w:val="en-US" w:eastAsia="nb-NO"/>
              </w:rPr>
            </w:pPr>
            <w:r w:rsidRPr="008D1F23">
              <w:rPr>
                <w:rFonts w:ascii="Calibri" w:hAnsi="Calibri" w:cs="Calibri"/>
                <w:szCs w:val="20"/>
                <w:lang w:val="en-US" w:eastAsia="nb-NO"/>
              </w:rPr>
              <w:t>EFTA Surveillance Authority (ESA)*</w:t>
            </w:r>
          </w:p>
          <w:p w:rsidR="008D1F23" w:rsidRPr="008D1F23" w:rsidRDefault="008D1F23" w:rsidP="008D1F23">
            <w:pPr>
              <w:spacing w:after="200" w:line="480" w:lineRule="auto"/>
              <w:rPr>
                <w:rFonts w:ascii="Calibri" w:hAnsi="Calibri" w:cs="Calibri"/>
                <w:szCs w:val="20"/>
                <w:lang w:val="en-US" w:eastAsia="nb-NO"/>
              </w:rPr>
            </w:pPr>
            <w:r w:rsidRPr="008D1F23">
              <w:rPr>
                <w:rFonts w:ascii="Calibri" w:hAnsi="Calibri" w:cs="Calibri"/>
                <w:szCs w:val="20"/>
                <w:lang w:val="en-US" w:eastAsia="nb-NO"/>
              </w:rPr>
              <w:t>EC and ESA combined</w:t>
            </w:r>
          </w:p>
          <w:p w:rsidR="008D1F23" w:rsidRPr="008D1F23" w:rsidRDefault="008D1F23" w:rsidP="008D1F23">
            <w:pPr>
              <w:spacing w:after="200" w:line="480" w:lineRule="auto"/>
              <w:rPr>
                <w:rFonts w:ascii="Calibri" w:hAnsi="Calibri" w:cs="Calibri"/>
                <w:szCs w:val="20"/>
                <w:lang w:val="en-US" w:eastAsia="nb-NO"/>
              </w:rPr>
            </w:pPr>
            <w:r w:rsidRPr="008D1F23">
              <w:rPr>
                <w:rFonts w:ascii="Calibri" w:hAnsi="Calibri" w:cs="Calibri"/>
                <w:szCs w:val="20"/>
                <w:lang w:val="en-US" w:eastAsia="nb-NO"/>
              </w:rPr>
              <w:t>‘Sister agencies’ in other countries</w:t>
            </w:r>
          </w:p>
          <w:p w:rsidR="008D1F23" w:rsidRPr="008D1F23" w:rsidRDefault="008D1F23" w:rsidP="008D1F23">
            <w:pPr>
              <w:spacing w:after="200" w:line="480" w:lineRule="auto"/>
              <w:rPr>
                <w:rFonts w:ascii="Calibri" w:hAnsi="Calibri" w:cs="Calibri"/>
                <w:szCs w:val="20"/>
                <w:lang w:val="en-US" w:eastAsia="nb-NO"/>
              </w:rPr>
            </w:pPr>
            <w:r w:rsidRPr="008D1F23">
              <w:rPr>
                <w:rFonts w:ascii="Calibri" w:hAnsi="Calibri" w:cs="Calibri"/>
                <w:szCs w:val="20"/>
                <w:lang w:val="en-US" w:eastAsia="nb-NO"/>
              </w:rPr>
              <w:t>EU-level agencies</w:t>
            </w:r>
          </w:p>
        </w:tc>
        <w:tc>
          <w:tcPr>
            <w:tcW w:w="3507" w:type="dxa"/>
          </w:tcPr>
          <w:p w:rsidR="008D1F23" w:rsidRPr="008D1F23" w:rsidRDefault="008D1F23" w:rsidP="008D1F23">
            <w:pPr>
              <w:spacing w:after="200" w:line="480" w:lineRule="auto"/>
              <w:jc w:val="center"/>
              <w:rPr>
                <w:rFonts w:ascii="Calibri" w:hAnsi="Calibri" w:cs="Calibri"/>
                <w:szCs w:val="20"/>
                <w:lang w:val="en-US" w:eastAsia="nb-NO"/>
              </w:rPr>
            </w:pPr>
            <w:r w:rsidRPr="008D1F23">
              <w:rPr>
                <w:rFonts w:ascii="Calibri" w:hAnsi="Calibri" w:cs="Calibri"/>
                <w:szCs w:val="20"/>
                <w:lang w:val="en-US" w:eastAsia="nb-NO"/>
              </w:rPr>
              <w:t>67</w:t>
            </w:r>
          </w:p>
          <w:p w:rsidR="008D1F23" w:rsidRPr="008D1F23" w:rsidRDefault="008D1F23" w:rsidP="008D1F23">
            <w:pPr>
              <w:spacing w:after="200" w:line="480" w:lineRule="auto"/>
              <w:jc w:val="center"/>
              <w:rPr>
                <w:rFonts w:ascii="Calibri" w:hAnsi="Calibri" w:cs="Calibri"/>
                <w:szCs w:val="20"/>
                <w:lang w:val="en-US" w:eastAsia="nb-NO"/>
              </w:rPr>
            </w:pPr>
            <w:r w:rsidRPr="008D1F23">
              <w:rPr>
                <w:rFonts w:ascii="Calibri" w:hAnsi="Calibri" w:cs="Calibri"/>
                <w:szCs w:val="20"/>
                <w:lang w:val="en-US" w:eastAsia="nb-NO"/>
              </w:rPr>
              <w:t>66</w:t>
            </w:r>
          </w:p>
          <w:p w:rsidR="008D1F23" w:rsidRPr="008D1F23" w:rsidRDefault="008D1F23" w:rsidP="008D1F23">
            <w:pPr>
              <w:spacing w:after="200" w:line="480" w:lineRule="auto"/>
              <w:jc w:val="center"/>
              <w:rPr>
                <w:rFonts w:ascii="Calibri" w:hAnsi="Calibri" w:cs="Calibri"/>
                <w:szCs w:val="20"/>
                <w:lang w:val="en-US" w:eastAsia="nb-NO"/>
              </w:rPr>
            </w:pPr>
            <w:r w:rsidRPr="008D1F23">
              <w:rPr>
                <w:rFonts w:ascii="Calibri" w:hAnsi="Calibri" w:cs="Calibri"/>
                <w:szCs w:val="20"/>
                <w:lang w:val="en-US" w:eastAsia="nb-NO"/>
              </w:rPr>
              <w:t>43</w:t>
            </w:r>
          </w:p>
          <w:p w:rsidR="008D1F23" w:rsidRPr="008D1F23" w:rsidRDefault="008D1F23" w:rsidP="008D1F23">
            <w:pPr>
              <w:spacing w:after="200" w:line="480" w:lineRule="auto"/>
              <w:jc w:val="center"/>
              <w:rPr>
                <w:rFonts w:ascii="Calibri" w:hAnsi="Calibri" w:cs="Calibri"/>
                <w:szCs w:val="20"/>
                <w:lang w:val="en-US" w:eastAsia="nb-NO"/>
              </w:rPr>
            </w:pPr>
            <w:r w:rsidRPr="008D1F23">
              <w:rPr>
                <w:rFonts w:ascii="Calibri" w:hAnsi="Calibri" w:cs="Calibri"/>
                <w:szCs w:val="20"/>
                <w:lang w:val="en-US" w:eastAsia="nb-NO"/>
              </w:rPr>
              <w:t>36</w:t>
            </w:r>
          </w:p>
          <w:p w:rsidR="008D1F23" w:rsidRPr="008D1F23" w:rsidRDefault="008D1F23" w:rsidP="008D1F23">
            <w:pPr>
              <w:spacing w:after="200" w:line="480" w:lineRule="auto"/>
              <w:jc w:val="center"/>
              <w:rPr>
                <w:rFonts w:ascii="Calibri" w:hAnsi="Calibri" w:cs="Calibri"/>
                <w:szCs w:val="20"/>
                <w:lang w:val="en-US" w:eastAsia="nb-NO"/>
              </w:rPr>
            </w:pPr>
            <w:r w:rsidRPr="008D1F23">
              <w:rPr>
                <w:rFonts w:ascii="Calibri" w:hAnsi="Calibri" w:cs="Calibri"/>
                <w:szCs w:val="20"/>
                <w:lang w:val="en-US" w:eastAsia="nb-NO"/>
              </w:rPr>
              <w:t>51</w:t>
            </w:r>
          </w:p>
          <w:p w:rsidR="008D1F23" w:rsidRPr="008D1F23" w:rsidRDefault="008D1F23" w:rsidP="008D1F23">
            <w:pPr>
              <w:spacing w:after="200" w:line="480" w:lineRule="auto"/>
              <w:jc w:val="center"/>
              <w:rPr>
                <w:rFonts w:ascii="Calibri" w:hAnsi="Calibri" w:cs="Calibri"/>
                <w:szCs w:val="20"/>
                <w:lang w:val="en-US" w:eastAsia="nb-NO"/>
              </w:rPr>
            </w:pPr>
            <w:r w:rsidRPr="008D1F23">
              <w:rPr>
                <w:rFonts w:ascii="Calibri" w:hAnsi="Calibri" w:cs="Calibri"/>
                <w:szCs w:val="20"/>
                <w:lang w:val="en-US" w:eastAsia="nb-NO"/>
              </w:rPr>
              <w:t>32</w:t>
            </w:r>
          </w:p>
          <w:p w:rsidR="008D1F23" w:rsidRPr="008D1F23" w:rsidRDefault="008D1F23" w:rsidP="008D1F23">
            <w:pPr>
              <w:spacing w:after="200" w:line="480" w:lineRule="auto"/>
              <w:jc w:val="center"/>
              <w:rPr>
                <w:rFonts w:ascii="Calibri" w:hAnsi="Calibri" w:cs="Calibri"/>
                <w:szCs w:val="20"/>
                <w:lang w:val="en-US" w:eastAsia="nb-NO"/>
              </w:rPr>
            </w:pPr>
            <w:r w:rsidRPr="008D1F23">
              <w:rPr>
                <w:rFonts w:ascii="Calibri" w:hAnsi="Calibri" w:cs="Calibri"/>
                <w:szCs w:val="20"/>
                <w:lang w:val="en-US" w:eastAsia="nb-NO"/>
              </w:rPr>
              <w:t>23</w:t>
            </w:r>
          </w:p>
        </w:tc>
      </w:tr>
      <w:tr w:rsidR="008D1F23" w:rsidRPr="008D1F23" w:rsidTr="006E14D6">
        <w:tc>
          <w:tcPr>
            <w:tcW w:w="5781" w:type="dxa"/>
          </w:tcPr>
          <w:p w:rsidR="008D1F23" w:rsidRPr="008D1F23" w:rsidRDefault="008D1F23" w:rsidP="008D1F23">
            <w:pPr>
              <w:spacing w:after="200" w:line="480" w:lineRule="auto"/>
              <w:rPr>
                <w:rFonts w:ascii="Calibri" w:hAnsi="Calibri" w:cs="Calibri"/>
                <w:szCs w:val="20"/>
                <w:lang w:val="en-US" w:eastAsia="nb-NO"/>
              </w:rPr>
            </w:pPr>
            <w:r w:rsidRPr="008D1F23">
              <w:rPr>
                <w:rFonts w:ascii="Calibri" w:hAnsi="Calibri" w:cs="Calibri"/>
                <w:szCs w:val="20"/>
                <w:lang w:val="en-US" w:eastAsia="nb-NO"/>
              </w:rPr>
              <w:t>Mean N</w:t>
            </w:r>
          </w:p>
        </w:tc>
        <w:tc>
          <w:tcPr>
            <w:tcW w:w="3507" w:type="dxa"/>
          </w:tcPr>
          <w:p w:rsidR="008D1F23" w:rsidRPr="008D1F23" w:rsidRDefault="008D1F23" w:rsidP="008D1F23">
            <w:pPr>
              <w:spacing w:after="200" w:line="480" w:lineRule="auto"/>
              <w:jc w:val="center"/>
              <w:rPr>
                <w:rFonts w:ascii="Calibri" w:hAnsi="Calibri" w:cs="Calibri"/>
                <w:szCs w:val="20"/>
                <w:lang w:val="en-US" w:eastAsia="nb-NO"/>
              </w:rPr>
            </w:pPr>
            <w:r w:rsidRPr="008D1F23">
              <w:rPr>
                <w:rFonts w:ascii="Calibri" w:hAnsi="Calibri" w:cs="Calibri"/>
                <w:szCs w:val="20"/>
                <w:lang w:val="en-US" w:eastAsia="nb-NO"/>
              </w:rPr>
              <w:t>572</w:t>
            </w:r>
          </w:p>
        </w:tc>
      </w:tr>
    </w:tbl>
    <w:p w:rsidR="008D1F23" w:rsidRPr="008D1F23" w:rsidRDefault="008D1F23" w:rsidP="008D1F23">
      <w:pPr>
        <w:numPr>
          <w:ilvl w:val="0"/>
          <w:numId w:val="6"/>
        </w:numPr>
        <w:spacing w:after="0" w:line="480" w:lineRule="auto"/>
        <w:ind w:left="714" w:hanging="357"/>
        <w:rPr>
          <w:rFonts w:ascii="Calibri" w:hAnsi="Calibri" w:cs="Calibri"/>
          <w:i/>
          <w:sz w:val="20"/>
          <w:szCs w:val="20"/>
          <w:lang w:val="en-US" w:eastAsia="nb-NO"/>
        </w:rPr>
      </w:pPr>
      <w:r w:rsidRPr="008D1F23">
        <w:rPr>
          <w:rFonts w:ascii="Calibri" w:hAnsi="Calibri" w:cs="Calibri"/>
          <w:i/>
          <w:sz w:val="20"/>
          <w:szCs w:val="20"/>
          <w:lang w:val="en-US" w:eastAsia="nb-NO"/>
        </w:rPr>
        <w:t>This table includes those officials who report that national agencies practice laws and rules that originate from EU decisions (‘hard law’) within their own issue area.</w:t>
      </w:r>
    </w:p>
    <w:p w:rsidR="008D1F23" w:rsidRPr="008D1F23" w:rsidRDefault="008D1F23" w:rsidP="008D1F23">
      <w:pPr>
        <w:numPr>
          <w:ilvl w:val="0"/>
          <w:numId w:val="6"/>
        </w:numPr>
        <w:spacing w:after="0" w:line="480" w:lineRule="auto"/>
        <w:ind w:left="714" w:hanging="357"/>
        <w:rPr>
          <w:rFonts w:ascii="Calibri" w:hAnsi="Calibri" w:cs="Calibri"/>
          <w:i/>
          <w:sz w:val="20"/>
          <w:szCs w:val="20"/>
          <w:lang w:val="en-US" w:eastAsia="nb-NO"/>
        </w:rPr>
      </w:pPr>
      <w:r w:rsidRPr="008D1F23">
        <w:rPr>
          <w:rFonts w:ascii="Calibri" w:hAnsi="Calibri" w:cs="Calibri"/>
          <w:i/>
          <w:sz w:val="20"/>
          <w:szCs w:val="20"/>
          <w:lang w:val="en-US" w:eastAsia="nb-NO"/>
        </w:rPr>
        <w:t>This table combines value 1 and 2 on the following six-point scale: very important (value 1), fairly important (value 2), both/and (value 3), fairly unimportant (value 4), very unimportant (value 5), do not know (value 6).</w:t>
      </w:r>
    </w:p>
    <w:p w:rsidR="008D1F23" w:rsidRPr="008D1F23" w:rsidRDefault="008D1F23" w:rsidP="008D1F23">
      <w:pPr>
        <w:spacing w:after="200" w:line="480" w:lineRule="auto"/>
        <w:ind w:left="357"/>
        <w:rPr>
          <w:rFonts w:ascii="Calibri" w:hAnsi="Calibri" w:cs="Calibri"/>
          <w:i/>
          <w:sz w:val="20"/>
          <w:szCs w:val="20"/>
          <w:lang w:val="en-US" w:eastAsia="nb-NO"/>
        </w:rPr>
      </w:pPr>
      <w:r w:rsidRPr="008D1F23">
        <w:rPr>
          <w:rFonts w:ascii="Calibri" w:hAnsi="Calibri" w:cs="Calibri"/>
          <w:i/>
          <w:sz w:val="20"/>
          <w:szCs w:val="20"/>
          <w:lang w:val="en-US" w:eastAsia="nb-NO"/>
        </w:rPr>
        <w:t xml:space="preserve">*)   ESA has the role of monitoring implementation of EU ‘hard law’ in the EEA member states Norway,   </w:t>
      </w:r>
    </w:p>
    <w:p w:rsidR="008D1F23" w:rsidRPr="008D1F23" w:rsidRDefault="008D1F23" w:rsidP="008D1F23">
      <w:pPr>
        <w:spacing w:after="200" w:line="480" w:lineRule="auto"/>
        <w:ind w:left="357"/>
        <w:rPr>
          <w:rFonts w:ascii="Calibri" w:hAnsi="Calibri" w:cs="Calibri"/>
          <w:i/>
          <w:sz w:val="20"/>
          <w:szCs w:val="20"/>
          <w:lang w:val="en-US" w:eastAsia="nb-NO"/>
        </w:rPr>
      </w:pPr>
      <w:r w:rsidRPr="008D1F23">
        <w:rPr>
          <w:rFonts w:ascii="Calibri" w:hAnsi="Calibri" w:cs="Calibri"/>
          <w:i/>
          <w:sz w:val="20"/>
          <w:szCs w:val="20"/>
          <w:lang w:val="en-US" w:eastAsia="nb-NO"/>
        </w:rPr>
        <w:t xml:space="preserve">      Iceland and Lichtenstein. </w:t>
      </w:r>
    </w:p>
    <w:p w:rsidR="008D1F23" w:rsidRPr="008D1F23" w:rsidRDefault="008D1F23" w:rsidP="008D1F23">
      <w:pPr>
        <w:spacing w:after="0" w:line="480" w:lineRule="auto"/>
        <w:rPr>
          <w:rFonts w:ascii="Calibri" w:eastAsia="Times New Roman" w:hAnsi="Calibri" w:cs="Calibri"/>
          <w:sz w:val="24"/>
          <w:szCs w:val="20"/>
          <w:lang w:val="en-US" w:eastAsia="nb-NO"/>
        </w:rPr>
      </w:pPr>
    </w:p>
    <w:p w:rsidR="008D1F23" w:rsidRPr="008D1F23" w:rsidRDefault="008D1F23" w:rsidP="008D1F23">
      <w:pPr>
        <w:spacing w:after="0" w:line="480" w:lineRule="auto"/>
        <w:rPr>
          <w:rFonts w:ascii="Calibri" w:eastAsia="Times New Roman" w:hAnsi="Calibri" w:cs="Calibri"/>
          <w:sz w:val="24"/>
          <w:szCs w:val="20"/>
          <w:lang w:val="en-US" w:eastAsia="nb-NO"/>
        </w:rPr>
      </w:pPr>
      <w:r w:rsidRPr="008D1F23">
        <w:rPr>
          <w:rFonts w:ascii="Calibri" w:eastAsia="Times New Roman" w:hAnsi="Calibri" w:cs="Calibri"/>
          <w:sz w:val="24"/>
          <w:szCs w:val="20"/>
          <w:lang w:val="en-US" w:eastAsia="nb-NO"/>
        </w:rPr>
        <w:t xml:space="preserve">Domestic agencies </w:t>
      </w:r>
      <w:r w:rsidRPr="008D1F23">
        <w:rPr>
          <w:rFonts w:ascii="Calibri" w:eastAsia="Times New Roman" w:hAnsi="Calibri" w:cs="Calibri"/>
          <w:sz w:val="24"/>
          <w:szCs w:val="20"/>
          <w:lang w:val="en-GB" w:eastAsia="nb-NO"/>
        </w:rPr>
        <w:t>organised</w:t>
      </w:r>
      <w:r w:rsidRPr="008D1F23">
        <w:rPr>
          <w:rFonts w:ascii="Calibri" w:eastAsia="Times New Roman" w:hAnsi="Calibri" w:cs="Calibri"/>
          <w:sz w:val="24"/>
          <w:szCs w:val="20"/>
          <w:lang w:val="en-US" w:eastAsia="nb-NO"/>
        </w:rPr>
        <w:t xml:space="preserve"> at arm’s length from ministerial departments enjoy a certain level of autonomy as regards their exercise of discretion: almost two-thirds consider the executive agency itself to be important in this respect. The role of ‘sister agencies’ in other countries reflect the role of horizontal administrative networks. Also, respondents agree that </w:t>
      </w:r>
      <w:r w:rsidRPr="008D1F23">
        <w:rPr>
          <w:rFonts w:ascii="Calibri" w:eastAsia="Times New Roman" w:hAnsi="Calibri" w:cs="Calibri"/>
          <w:sz w:val="24"/>
          <w:szCs w:val="20"/>
          <w:lang w:val="en-US" w:eastAsia="nb-NO"/>
        </w:rPr>
        <w:lastRenderedPageBreak/>
        <w:t xml:space="preserve">the ‘parent ministry’ is the most influential external body. The importance of the ministry is to some extent dependent upon its supply of </w:t>
      </w:r>
      <w:r w:rsidRPr="008D1F23">
        <w:rPr>
          <w:rFonts w:ascii="Calibri" w:eastAsia="Times New Roman" w:hAnsi="Calibri" w:cs="Calibri"/>
          <w:sz w:val="24"/>
          <w:szCs w:val="20"/>
          <w:lang w:val="en-GB" w:eastAsia="nb-NO"/>
        </w:rPr>
        <w:t>organizational</w:t>
      </w:r>
      <w:r w:rsidRPr="008D1F23">
        <w:rPr>
          <w:rFonts w:ascii="Calibri" w:eastAsia="Times New Roman" w:hAnsi="Calibri" w:cs="Calibri"/>
          <w:sz w:val="24"/>
          <w:szCs w:val="20"/>
          <w:lang w:val="en-US" w:eastAsia="nb-NO"/>
        </w:rPr>
        <w:t xml:space="preserve"> capacity. ‘Parent ministries’ that contain units that are ‘duplicating’ units found in the agencies are deemed more powerful by agency officials than ministries without such units (Pearson’s r=.21**). Secondly, national agency o</w:t>
      </w:r>
      <w:r w:rsidRPr="008D1F23">
        <w:rPr>
          <w:rFonts w:ascii="Calibri" w:eastAsia="Times New Roman" w:hAnsi="Calibri" w:cs="Calibri"/>
          <w:sz w:val="24"/>
          <w:szCs w:val="24"/>
          <w:lang w:val="en-US" w:eastAsia="en-GB"/>
        </w:rPr>
        <w:t>fficials report that the second most important external institutions at the stage of practicing EU legislation are the Commission and the EFTA Surveillance Authority (ESA). While the Commission is responsible for monitoring implementation of EU policies at the national level and, if necessary, activating sanction mechanisms within the EU, ESA has similar responsibility as regards the EEA countries. ESA strives to copy Commission procedures and ways of behavior in these respects but does not take part in the policy process at various stages in the way the Commission does (Martens 2010). Together the two ‘sister executives’ may supply considerable administrative capacity of relevance for domestic agencies.</w:t>
      </w:r>
      <w:r w:rsidRPr="008D1F23">
        <w:rPr>
          <w:rFonts w:ascii="Calibri" w:eastAsia="Times New Roman" w:hAnsi="Calibri" w:cs="Calibri"/>
          <w:sz w:val="24"/>
          <w:szCs w:val="20"/>
          <w:lang w:val="en-US" w:eastAsia="nb-NO"/>
        </w:rPr>
        <w:t xml:space="preserve"> Finally, national agency officials who report that the Commission is important as regards their implementation practices also tend to have direct contacts with the Commission (Pearson’s r=.20**). In the same vein, those who consider EU agencies as important tend to interact directly with these bodies (Pearson’s r=.37**). </w:t>
      </w:r>
    </w:p>
    <w:p w:rsidR="008D1F23" w:rsidRPr="008D1F23" w:rsidRDefault="008D1F23" w:rsidP="008D1F23">
      <w:pPr>
        <w:spacing w:after="0" w:line="480" w:lineRule="auto"/>
        <w:rPr>
          <w:rFonts w:ascii="Calibri" w:eastAsia="Times New Roman" w:hAnsi="Calibri" w:cs="Calibri"/>
          <w:sz w:val="24"/>
          <w:szCs w:val="20"/>
          <w:lang w:val="en-US" w:eastAsia="nb-NO"/>
        </w:rPr>
      </w:pPr>
    </w:p>
    <w:p w:rsidR="008D1F23" w:rsidRPr="008D1F23" w:rsidRDefault="008D1F23" w:rsidP="008D1F23">
      <w:pPr>
        <w:spacing w:after="0" w:line="480" w:lineRule="auto"/>
        <w:rPr>
          <w:rFonts w:ascii="Calibri" w:eastAsia="Times New Roman" w:hAnsi="Calibri" w:cs="Calibri"/>
          <w:sz w:val="24"/>
          <w:szCs w:val="20"/>
          <w:lang w:val="en-US" w:eastAsia="nb-NO"/>
        </w:rPr>
      </w:pPr>
      <w:r w:rsidRPr="008D1F23">
        <w:rPr>
          <w:rFonts w:ascii="Calibri" w:eastAsia="Times New Roman" w:hAnsi="Calibri" w:cs="Calibri"/>
          <w:sz w:val="24"/>
          <w:szCs w:val="20"/>
          <w:lang w:val="en-US" w:eastAsia="nb-NO"/>
        </w:rPr>
        <w:t xml:space="preserve">The results indicate that the Commission, and to some extent EU agencies as well, actively take part in the practicing of EU legislation at the national level. Thus, the supply of administrative capacities inside the Commission is positively associated with the integration of public administration across levels of government, and thus the accumulation of organizational turbulence in the EU administrative system. </w:t>
      </w:r>
    </w:p>
    <w:p w:rsidR="008D1F23" w:rsidRPr="008D1F23" w:rsidRDefault="008D1F23" w:rsidP="008D1F23">
      <w:pPr>
        <w:spacing w:after="0" w:line="480" w:lineRule="auto"/>
        <w:rPr>
          <w:rFonts w:ascii="Calibri" w:eastAsia="Times New Roman" w:hAnsi="Calibri" w:cs="Calibri"/>
          <w:sz w:val="24"/>
          <w:szCs w:val="20"/>
          <w:lang w:val="en-US" w:eastAsia="nb-NO"/>
        </w:rPr>
      </w:pPr>
    </w:p>
    <w:p w:rsidR="008D1F23" w:rsidRPr="008D1F23" w:rsidRDefault="008D1F23" w:rsidP="008D1F23">
      <w:pPr>
        <w:spacing w:after="0" w:line="480" w:lineRule="auto"/>
        <w:rPr>
          <w:rFonts w:ascii="Calibri" w:eastAsia="Times New Roman" w:hAnsi="Calibri" w:cs="Calibri"/>
          <w:sz w:val="24"/>
          <w:szCs w:val="20"/>
          <w:lang w:val="en-US" w:eastAsia="nb-NO"/>
        </w:rPr>
      </w:pPr>
    </w:p>
    <w:p w:rsidR="008D1F23" w:rsidRPr="008D1F23" w:rsidRDefault="008D1F23" w:rsidP="008D1F23">
      <w:pPr>
        <w:spacing w:after="0" w:line="480" w:lineRule="auto"/>
        <w:rPr>
          <w:rFonts w:ascii="Calibri" w:eastAsia="Times New Roman" w:hAnsi="Calibri" w:cs="Times New Roman"/>
          <w:b/>
          <w:sz w:val="28"/>
          <w:szCs w:val="28"/>
          <w:lang w:val="en-GB" w:eastAsia="en-GB"/>
        </w:rPr>
      </w:pPr>
      <w:r w:rsidRPr="008D1F23">
        <w:rPr>
          <w:rFonts w:ascii="Calibri" w:eastAsia="Times New Roman" w:hAnsi="Calibri" w:cs="Times New Roman"/>
          <w:b/>
          <w:sz w:val="28"/>
          <w:szCs w:val="28"/>
          <w:lang w:val="en-GB" w:eastAsia="en-GB"/>
        </w:rPr>
        <w:lastRenderedPageBreak/>
        <w:t>Conclusions</w:t>
      </w:r>
    </w:p>
    <w:p w:rsidR="008D1F23" w:rsidRPr="008D1F23" w:rsidRDefault="008D1F23" w:rsidP="008D1F23">
      <w:pPr>
        <w:spacing w:after="0" w:line="480" w:lineRule="auto"/>
        <w:rPr>
          <w:rFonts w:ascii="Calibri" w:eastAsia="Times New Roman" w:hAnsi="Calibri" w:cs="Times New Roman"/>
          <w:sz w:val="24"/>
          <w:szCs w:val="24"/>
          <w:lang w:val="en-GB" w:eastAsia="nb-NO"/>
        </w:rPr>
      </w:pPr>
      <w:r w:rsidRPr="008D1F23">
        <w:rPr>
          <w:rFonts w:ascii="Calibri" w:eastAsia="Times New Roman" w:hAnsi="Calibri" w:cs="Times New Roman"/>
          <w:sz w:val="24"/>
          <w:szCs w:val="24"/>
          <w:lang w:val="en-GB" w:eastAsia="nb-NO"/>
        </w:rPr>
        <w:t xml:space="preserve">This paper reports the how the inherent state prerogative to formulate and implement public policy is subject to an emergent and turbulent EU administration coined by administrative independence and integration. It is suggested that the turbulent nature of the EU administration can be captured by looking at the supply of </w:t>
      </w:r>
      <w:r w:rsidRPr="008D1F23">
        <w:rPr>
          <w:rFonts w:ascii="Calibri" w:eastAsia="Times New Roman" w:hAnsi="Calibri" w:cs="Times New Roman"/>
          <w:i/>
          <w:sz w:val="24"/>
          <w:szCs w:val="24"/>
          <w:lang w:val="en-GB" w:eastAsia="nb-NO"/>
        </w:rPr>
        <w:t>independent</w:t>
      </w:r>
      <w:r w:rsidRPr="008D1F23">
        <w:rPr>
          <w:rFonts w:ascii="Calibri" w:eastAsia="Times New Roman" w:hAnsi="Calibri" w:cs="Times New Roman"/>
          <w:sz w:val="24"/>
          <w:szCs w:val="24"/>
          <w:lang w:val="en-GB" w:eastAsia="nb-NO"/>
        </w:rPr>
        <w:t xml:space="preserve"> and </w:t>
      </w:r>
      <w:r w:rsidRPr="008D1F23">
        <w:rPr>
          <w:rFonts w:ascii="Calibri" w:eastAsia="Times New Roman" w:hAnsi="Calibri" w:cs="Times New Roman"/>
          <w:i/>
          <w:sz w:val="24"/>
          <w:szCs w:val="24"/>
          <w:lang w:val="en-GB" w:eastAsia="nb-NO"/>
        </w:rPr>
        <w:t>integrated</w:t>
      </w:r>
      <w:r w:rsidRPr="008D1F23">
        <w:rPr>
          <w:rFonts w:ascii="Calibri" w:eastAsia="Times New Roman" w:hAnsi="Calibri" w:cs="Times New Roman"/>
          <w:sz w:val="24"/>
          <w:szCs w:val="24"/>
          <w:lang w:val="en-GB" w:eastAsia="nb-NO"/>
        </w:rPr>
        <w:t xml:space="preserve"> bureaucratic capacities at a ‘European level’. This paper has demonstrated that the supply of administrative capacities inside the Commission is positively associated with the integration of non-majoritarian institutions, notably agencies at EU and national levels. Administrative independence and integration arguably is conducive to organized turbulence of the EU administration on a broader scale. </w:t>
      </w:r>
    </w:p>
    <w:p w:rsidR="008D1F23" w:rsidRPr="008D1F23" w:rsidRDefault="008D1F23" w:rsidP="008D1F23">
      <w:pPr>
        <w:spacing w:after="0" w:line="480" w:lineRule="auto"/>
        <w:rPr>
          <w:rFonts w:ascii="Calibri" w:eastAsia="Times New Roman" w:hAnsi="Calibri" w:cs="Times New Roman"/>
          <w:sz w:val="24"/>
          <w:szCs w:val="24"/>
          <w:lang w:val="en-GB" w:eastAsia="nb-NO"/>
        </w:rPr>
      </w:pPr>
    </w:p>
    <w:p w:rsidR="008D1F23" w:rsidRPr="008D1F23" w:rsidRDefault="008D1F23" w:rsidP="008D1F23">
      <w:pPr>
        <w:spacing w:after="0" w:line="480" w:lineRule="auto"/>
        <w:rPr>
          <w:rFonts w:ascii="Calibri" w:eastAsia="Times New Roman" w:hAnsi="Calibri" w:cs="Times New Roman"/>
          <w:sz w:val="24"/>
          <w:szCs w:val="24"/>
          <w:lang w:val="en-GB" w:eastAsia="nb-NO"/>
        </w:rPr>
      </w:pPr>
      <w:r w:rsidRPr="008D1F23">
        <w:rPr>
          <w:rFonts w:ascii="Calibri" w:eastAsia="Times New Roman" w:hAnsi="Calibri" w:cs="Times New Roman"/>
          <w:sz w:val="24"/>
          <w:szCs w:val="24"/>
          <w:lang w:val="en-GB" w:eastAsia="nb-NO"/>
        </w:rPr>
        <w:t>In greater detail, this paper shows that the supply of administrative capacities inside the Commission has become steadily extended over a 60 years’ period. At present, most administrative capacities in the Commission are concentrated within policy DGs, however, increasingly supplemented with a more powerful Secretariat General.</w:t>
      </w:r>
      <w:r w:rsidRPr="008D1F23">
        <w:rPr>
          <w:rFonts w:ascii="Calibri" w:eastAsia="Times New Roman" w:hAnsi="Calibri" w:cs="Times New Roman"/>
          <w:sz w:val="24"/>
          <w:szCs w:val="24"/>
          <w:lang w:val="en-US" w:eastAsia="nb-NO"/>
        </w:rPr>
        <w:t xml:space="preserve"> </w:t>
      </w:r>
      <w:r w:rsidRPr="008D1F23">
        <w:rPr>
          <w:rFonts w:ascii="Calibri" w:eastAsia="Times New Roman" w:hAnsi="Calibri" w:cs="Times New Roman"/>
          <w:sz w:val="24"/>
          <w:szCs w:val="24"/>
          <w:lang w:val="en-GB" w:eastAsia="nb-NO"/>
        </w:rPr>
        <w:t>This supply of administrative capacities inside the Commission also enables Commission officials to act fairly independently of domestic government institutions. Moreover, these capacities also supply the Commission with a capacity to integrate non-majoritarian institutions by stealth. Compared to the gradual increase of capacities in the Commission, the supply of organizational capacities in non-majoritarian institutions outside the Commission has happened more recently. These</w:t>
      </w:r>
      <w:r w:rsidRPr="008D1F23">
        <w:rPr>
          <w:rFonts w:ascii="Calibri" w:eastAsia="Times New Roman" w:hAnsi="Calibri" w:cs="Times New Roman"/>
          <w:sz w:val="24"/>
          <w:szCs w:val="24"/>
          <w:lang w:val="en-US" w:eastAsia="nb-NO"/>
        </w:rPr>
        <w:t xml:space="preserve"> </w:t>
      </w:r>
      <w:r w:rsidRPr="008D1F23">
        <w:rPr>
          <w:rFonts w:ascii="Calibri" w:eastAsia="Times New Roman" w:hAnsi="Calibri" w:cs="Times New Roman"/>
          <w:sz w:val="24"/>
          <w:szCs w:val="24"/>
          <w:lang w:val="en-GB" w:eastAsia="nb-NO"/>
        </w:rPr>
        <w:t>consist primarily of</w:t>
      </w:r>
      <w:r w:rsidRPr="008D1F23">
        <w:rPr>
          <w:rFonts w:ascii="Calibri" w:eastAsia="Times New Roman" w:hAnsi="Calibri" w:cs="Times New Roman"/>
          <w:sz w:val="24"/>
          <w:szCs w:val="24"/>
          <w:lang w:val="en-US" w:eastAsia="nb-NO"/>
        </w:rPr>
        <w:t xml:space="preserve"> EU </w:t>
      </w:r>
      <w:r w:rsidRPr="008D1F23">
        <w:rPr>
          <w:rFonts w:ascii="Calibri" w:eastAsia="Times New Roman" w:hAnsi="Calibri" w:cs="Times New Roman"/>
          <w:sz w:val="24"/>
          <w:szCs w:val="24"/>
          <w:lang w:val="en-GB" w:eastAsia="nb-NO"/>
        </w:rPr>
        <w:t>agencies and</w:t>
      </w:r>
      <w:r w:rsidRPr="008D1F23">
        <w:rPr>
          <w:rFonts w:ascii="Calibri" w:eastAsia="Times New Roman" w:hAnsi="Calibri" w:cs="Times New Roman"/>
          <w:sz w:val="24"/>
          <w:szCs w:val="24"/>
          <w:lang w:val="en-US" w:eastAsia="nb-NO"/>
        </w:rPr>
        <w:t xml:space="preserve"> </w:t>
      </w:r>
      <w:r w:rsidRPr="008D1F23">
        <w:rPr>
          <w:rFonts w:ascii="Calibri" w:eastAsia="Times New Roman" w:hAnsi="Calibri" w:cs="Times New Roman"/>
          <w:sz w:val="24"/>
          <w:szCs w:val="24"/>
          <w:lang w:val="en-GB" w:eastAsia="nb-NO"/>
        </w:rPr>
        <w:t>domestic agencies</w:t>
      </w:r>
      <w:r w:rsidRPr="008D1F23">
        <w:rPr>
          <w:rFonts w:ascii="Calibri" w:eastAsia="Times New Roman" w:hAnsi="Calibri" w:cs="Times New Roman"/>
          <w:sz w:val="24"/>
          <w:szCs w:val="24"/>
          <w:lang w:val="en-US" w:eastAsia="nb-NO"/>
        </w:rPr>
        <w:t>.</w:t>
      </w:r>
      <w:r w:rsidRPr="008D1F23">
        <w:rPr>
          <w:rFonts w:ascii="Calibri" w:eastAsia="Times New Roman" w:hAnsi="Calibri" w:cs="Times New Roman"/>
          <w:sz w:val="24"/>
          <w:szCs w:val="24"/>
          <w:lang w:val="en-GB" w:eastAsia="nb-NO"/>
        </w:rPr>
        <w:t xml:space="preserve"> Capacity building through the creation of genuinely European public administration has strengthened the Commission’s ability to set independent policy agendas, shape the implementation of these, and strengthen its capability to draw common lessons from </w:t>
      </w:r>
      <w:r w:rsidRPr="008D1F23">
        <w:rPr>
          <w:rFonts w:ascii="Calibri" w:eastAsia="Times New Roman" w:hAnsi="Calibri" w:cs="Times New Roman"/>
          <w:sz w:val="24"/>
          <w:szCs w:val="24"/>
          <w:lang w:val="en-GB" w:eastAsia="nb-NO"/>
        </w:rPr>
        <w:lastRenderedPageBreak/>
        <w:t>experience. This has also supplied the Commission with a capacity to integrate domestic government institutions – and their staffs -, and thus integrate a European public administration on a broader scale (see Bauer and Trondal 2015; Egeberg and Trondal 2015a; Overeem and Sager 2015; Trondal and Peters 2013). Both factors have potentially put domestic administrative sovereignty under pressure.</w:t>
      </w:r>
    </w:p>
    <w:p w:rsidR="008D1F23" w:rsidRPr="008D1F23" w:rsidRDefault="008D1F23" w:rsidP="008D1F23">
      <w:pPr>
        <w:spacing w:after="0" w:line="480" w:lineRule="auto"/>
        <w:rPr>
          <w:rFonts w:ascii="Calibri" w:eastAsia="Times New Roman" w:hAnsi="Calibri" w:cs="Times New Roman"/>
          <w:sz w:val="24"/>
          <w:szCs w:val="24"/>
          <w:lang w:val="en-GB" w:eastAsia="nb-NO"/>
        </w:rPr>
      </w:pPr>
    </w:p>
    <w:p w:rsidR="008D1F23" w:rsidRPr="008D1F23" w:rsidRDefault="008D1F23" w:rsidP="008D1F23">
      <w:pPr>
        <w:spacing w:after="0" w:line="480" w:lineRule="auto"/>
        <w:rPr>
          <w:rFonts w:ascii="Calibri" w:eastAsia="Times New Roman" w:hAnsi="Calibri" w:cs="Times New Roman"/>
          <w:b/>
          <w:sz w:val="28"/>
          <w:szCs w:val="28"/>
          <w:lang w:val="en-GB" w:eastAsia="en-GB"/>
        </w:rPr>
      </w:pPr>
      <w:r w:rsidRPr="008D1F23">
        <w:rPr>
          <w:rFonts w:ascii="Calibri" w:eastAsia="Times New Roman" w:hAnsi="Calibri" w:cs="Times New Roman"/>
          <w:b/>
          <w:sz w:val="28"/>
          <w:szCs w:val="28"/>
          <w:lang w:val="en-GB" w:eastAsia="en-GB"/>
        </w:rPr>
        <w:t>Notes</w:t>
      </w:r>
    </w:p>
    <w:p w:rsidR="008D1F23" w:rsidRPr="008D1F23" w:rsidRDefault="008D1F23" w:rsidP="008D1F23">
      <w:pPr>
        <w:numPr>
          <w:ilvl w:val="0"/>
          <w:numId w:val="8"/>
        </w:numPr>
        <w:spacing w:after="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The author would like to thank Carolyn Ban, Philipp Genschel, Markus Jachtenfuchs, Eva Heidbreder, Adrienne Hèritier, Nicolas Jabko, Anand Menon, Berthold Rittberger, Fritz Scharpf, Susanne Schmidt, and Arndt Wonka for comments to a previous version of this paper. Previous versions were presented at the workshops ‘Beyond the Regulatory Polity? The European Integration of Core State Powers’, Hertie School of Governance, Berlin, June 2011 and Delmenhorst, March 2012.</w:t>
      </w:r>
    </w:p>
    <w:p w:rsidR="008D1F23" w:rsidRPr="008D1F23" w:rsidRDefault="008D1F23" w:rsidP="008D1F23">
      <w:pPr>
        <w:numPr>
          <w:ilvl w:val="0"/>
          <w:numId w:val="8"/>
        </w:numPr>
        <w:spacing w:after="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Additional observations along similar lines have been made on integration of Commission services and the European Parliament administration (Egeberg et al. 2013) and the European External Action Service (Henokl 2015).</w:t>
      </w:r>
    </w:p>
    <w:p w:rsidR="008D1F23" w:rsidRPr="008D1F23" w:rsidRDefault="008D1F23" w:rsidP="008D1F23">
      <w:pPr>
        <w:spacing w:after="0" w:line="480" w:lineRule="auto"/>
        <w:rPr>
          <w:rFonts w:ascii="Calibri" w:eastAsia="Times New Roman" w:hAnsi="Calibri" w:cs="Times New Roman"/>
          <w:sz w:val="24"/>
          <w:szCs w:val="24"/>
          <w:lang w:val="en-GB" w:eastAsia="en-GB"/>
        </w:rPr>
      </w:pPr>
    </w:p>
    <w:p w:rsidR="008D1F23" w:rsidRPr="008D1F23" w:rsidRDefault="008D1F23" w:rsidP="008D1F23">
      <w:pPr>
        <w:spacing w:after="0" w:line="480" w:lineRule="auto"/>
        <w:rPr>
          <w:rFonts w:ascii="Calibri" w:eastAsia="Times New Roman" w:hAnsi="Calibri" w:cs="Times New Roman"/>
          <w:b/>
          <w:sz w:val="28"/>
          <w:szCs w:val="28"/>
          <w:lang w:val="en-GB" w:eastAsia="en-GB"/>
        </w:rPr>
      </w:pPr>
      <w:r w:rsidRPr="008D1F23">
        <w:rPr>
          <w:rFonts w:ascii="Calibri" w:eastAsia="Times New Roman" w:hAnsi="Calibri" w:cs="Times New Roman"/>
          <w:b/>
          <w:sz w:val="28"/>
          <w:szCs w:val="28"/>
          <w:lang w:val="en-GB" w:eastAsia="en-GB"/>
        </w:rPr>
        <w:t>References</w:t>
      </w:r>
    </w:p>
    <w:p w:rsidR="008D1F23" w:rsidRPr="008D1F23" w:rsidRDefault="008D1F23" w:rsidP="008D1F23">
      <w:pPr>
        <w:spacing w:before="120" w:after="120" w:line="480" w:lineRule="auto"/>
        <w:rPr>
          <w:rFonts w:ascii="Calibri" w:eastAsia="Times New Roman" w:hAnsi="Calibri" w:cs="Times New Roman"/>
          <w:sz w:val="24"/>
          <w:szCs w:val="24"/>
          <w:lang w:val="en-GB"/>
        </w:rPr>
      </w:pPr>
      <w:r w:rsidRPr="008D1F23">
        <w:rPr>
          <w:rFonts w:ascii="Calibri" w:eastAsia="Times New Roman" w:hAnsi="Calibri" w:cs="Times New Roman"/>
          <w:sz w:val="24"/>
          <w:szCs w:val="24"/>
          <w:lang w:val="en-GB"/>
        </w:rPr>
        <w:t xml:space="preserve">Ansell, C., Trondal, J. and Ogard, M. (eds.) (2016). </w:t>
      </w:r>
      <w:r w:rsidRPr="008D1F23">
        <w:rPr>
          <w:rFonts w:ascii="Calibri" w:eastAsia="Times New Roman" w:hAnsi="Calibri" w:cs="Times New Roman"/>
          <w:i/>
          <w:sz w:val="24"/>
          <w:szCs w:val="24"/>
          <w:lang w:val="en-GB"/>
        </w:rPr>
        <w:t>Governance in Turbulent</w:t>
      </w:r>
      <w:r w:rsidRPr="008D1F23">
        <w:rPr>
          <w:rFonts w:ascii="Calibri" w:eastAsia="Times New Roman" w:hAnsi="Calibri" w:cs="Times New Roman"/>
          <w:sz w:val="24"/>
          <w:szCs w:val="24"/>
          <w:lang w:val="en-GB"/>
        </w:rPr>
        <w:t xml:space="preserve"> Times (Oxford: Oxford University Press).</w:t>
      </w:r>
    </w:p>
    <w:p w:rsidR="008D1F23" w:rsidRPr="008D1F23" w:rsidRDefault="008D1F23" w:rsidP="008D1F23">
      <w:pPr>
        <w:spacing w:before="120" w:after="120" w:line="480" w:lineRule="auto"/>
        <w:rPr>
          <w:rFonts w:ascii="Calibri" w:eastAsia="Times New Roman" w:hAnsi="Calibri" w:cs="Times New Roman"/>
          <w:sz w:val="24"/>
          <w:szCs w:val="24"/>
          <w:lang w:val="en-GB"/>
        </w:rPr>
      </w:pPr>
      <w:r w:rsidRPr="008D1F23">
        <w:rPr>
          <w:rFonts w:ascii="Calibri" w:eastAsia="Times New Roman" w:hAnsi="Calibri" w:cs="Times New Roman"/>
          <w:sz w:val="24"/>
          <w:szCs w:val="24"/>
          <w:lang w:val="en-GB"/>
        </w:rPr>
        <w:t xml:space="preserve">Ansell, C. and Weber, S. (1999). “Organizing international politics: Sovereignty and open systems”. </w:t>
      </w:r>
      <w:r w:rsidRPr="008D1F23">
        <w:rPr>
          <w:rFonts w:ascii="Calibri" w:eastAsia="Times New Roman" w:hAnsi="Calibri" w:cs="Times New Roman"/>
          <w:i/>
          <w:sz w:val="24"/>
          <w:szCs w:val="24"/>
          <w:lang w:val="en-GB"/>
        </w:rPr>
        <w:t>International Political Science Review</w:t>
      </w:r>
      <w:r w:rsidRPr="008D1F23">
        <w:rPr>
          <w:rFonts w:ascii="Calibri" w:eastAsia="Times New Roman" w:hAnsi="Calibri" w:cs="Times New Roman"/>
          <w:sz w:val="24"/>
          <w:szCs w:val="24"/>
          <w:lang w:val="en-GB"/>
        </w:rPr>
        <w:t xml:space="preserve"> 20(1): 73-93.</w:t>
      </w:r>
    </w:p>
    <w:p w:rsidR="008D1F23" w:rsidRPr="008D1F23" w:rsidRDefault="008D1F23" w:rsidP="008D1F23">
      <w:pPr>
        <w:spacing w:before="120" w:after="120" w:line="480" w:lineRule="auto"/>
        <w:rPr>
          <w:rFonts w:ascii="Calibri" w:eastAsia="Times New Roman" w:hAnsi="Calibri" w:cs="Times New Roman"/>
          <w:sz w:val="24"/>
          <w:szCs w:val="24"/>
          <w:lang w:val="en-GB"/>
        </w:rPr>
      </w:pPr>
      <w:r w:rsidRPr="008D1F23">
        <w:rPr>
          <w:rFonts w:ascii="Calibri" w:eastAsia="Times New Roman" w:hAnsi="Calibri" w:cs="Times New Roman"/>
          <w:sz w:val="24"/>
          <w:szCs w:val="24"/>
          <w:lang w:val="en-GB"/>
        </w:rPr>
        <w:lastRenderedPageBreak/>
        <w:t xml:space="preserve">Ashford, B.E. and Johnson, S.A. (2001). “Which Hat to Wear? The relative salience of multiple identities in organizational contexts”. in Hogg, M.A. and Terry, D.J. (eds.). </w:t>
      </w:r>
      <w:r w:rsidRPr="008D1F23">
        <w:rPr>
          <w:rFonts w:ascii="Calibri" w:eastAsia="Times New Roman" w:hAnsi="Calibri" w:cs="Times New Roman"/>
          <w:i/>
          <w:sz w:val="24"/>
          <w:szCs w:val="24"/>
          <w:lang w:val="en-GB"/>
        </w:rPr>
        <w:t>Social Identity Processes in Organizational Contexts</w:t>
      </w:r>
      <w:r w:rsidRPr="008D1F23">
        <w:rPr>
          <w:rFonts w:ascii="Calibri" w:eastAsia="Times New Roman" w:hAnsi="Calibri" w:cs="Times New Roman"/>
          <w:sz w:val="24"/>
          <w:szCs w:val="24"/>
          <w:lang w:val="en-GB"/>
        </w:rPr>
        <w:t xml:space="preserve"> (Ann Arbor: Psychology Press).</w:t>
      </w:r>
    </w:p>
    <w:p w:rsidR="008D1F23" w:rsidRPr="008D1F23" w:rsidRDefault="008D1F23" w:rsidP="008D1F23">
      <w:pPr>
        <w:spacing w:before="120" w:after="120" w:line="480" w:lineRule="auto"/>
        <w:rPr>
          <w:rFonts w:ascii="Calibri" w:eastAsia="Times New Roman" w:hAnsi="Calibri" w:cs="Times New Roman"/>
          <w:sz w:val="24"/>
          <w:szCs w:val="24"/>
          <w:lang w:val="en-GB"/>
        </w:rPr>
      </w:pPr>
      <w:r w:rsidRPr="008D1F23">
        <w:rPr>
          <w:rFonts w:ascii="Calibri" w:eastAsia="Times New Roman" w:hAnsi="Calibri" w:cs="Times New Roman"/>
          <w:sz w:val="24"/>
          <w:szCs w:val="24"/>
          <w:lang w:val="en-GB"/>
        </w:rPr>
        <w:t xml:space="preserve">Bach, T., Ruffing, E. and Yesilkagit, K. (2015). “The differential empowering effects of Europeanization on the autonomy of national agencies”. </w:t>
      </w:r>
      <w:r w:rsidRPr="008D1F23">
        <w:rPr>
          <w:rFonts w:ascii="Calibri" w:eastAsia="Times New Roman" w:hAnsi="Calibri" w:cs="Times New Roman"/>
          <w:i/>
          <w:sz w:val="24"/>
          <w:szCs w:val="24"/>
          <w:lang w:val="en-GB"/>
        </w:rPr>
        <w:t>Governance</w:t>
      </w:r>
      <w:r w:rsidRPr="008D1F23">
        <w:rPr>
          <w:rFonts w:ascii="Calibri" w:eastAsia="Times New Roman" w:hAnsi="Calibri" w:cs="Times New Roman"/>
          <w:sz w:val="24"/>
          <w:szCs w:val="24"/>
          <w:lang w:val="en-GB"/>
        </w:rPr>
        <w:t xml:space="preserve"> 28(3): 285-304.</w:t>
      </w:r>
    </w:p>
    <w:p w:rsidR="008D1F23" w:rsidRPr="008D1F23" w:rsidRDefault="008D1F23" w:rsidP="008D1F23">
      <w:pPr>
        <w:spacing w:after="0" w:line="480" w:lineRule="auto"/>
        <w:ind w:left="851" w:hanging="851"/>
        <w:rPr>
          <w:rFonts w:ascii="Calibri" w:eastAsia="Times New Roman" w:hAnsi="Calibri" w:cs="Calibri"/>
          <w:sz w:val="24"/>
          <w:szCs w:val="24"/>
          <w:lang w:val="en-GB"/>
        </w:rPr>
      </w:pPr>
      <w:r w:rsidRPr="008D1F23">
        <w:rPr>
          <w:rFonts w:ascii="Calibri" w:eastAsia="Times New Roman" w:hAnsi="Calibri" w:cs="Calibri"/>
          <w:sz w:val="24"/>
          <w:szCs w:val="24"/>
        </w:rPr>
        <w:t xml:space="preserve">Barnett, M. and Finnemore, M. (2004). </w:t>
      </w:r>
      <w:r w:rsidRPr="008D1F23">
        <w:rPr>
          <w:rFonts w:ascii="Calibri" w:eastAsia="Times New Roman" w:hAnsi="Calibri" w:cs="Calibri"/>
          <w:i/>
          <w:sz w:val="24"/>
          <w:szCs w:val="24"/>
          <w:lang w:val="en-GB"/>
        </w:rPr>
        <w:t xml:space="preserve">Rules for The World </w:t>
      </w:r>
      <w:r w:rsidRPr="008D1F23">
        <w:rPr>
          <w:rFonts w:ascii="Calibri" w:eastAsia="Times New Roman" w:hAnsi="Calibri" w:cs="Calibri"/>
          <w:sz w:val="24"/>
          <w:szCs w:val="24"/>
          <w:lang w:val="en-GB"/>
        </w:rPr>
        <w:t>(thaca: Cornell University Press).</w:t>
      </w:r>
    </w:p>
    <w:p w:rsidR="008D1F23" w:rsidRPr="008D1F23" w:rsidRDefault="008D1F23" w:rsidP="008D1F23">
      <w:pPr>
        <w:spacing w:before="120" w:after="120" w:line="480" w:lineRule="auto"/>
        <w:rPr>
          <w:rFonts w:ascii="Calibri" w:eastAsia="Times New Roman" w:hAnsi="Calibri" w:cs="Times New Roman"/>
          <w:sz w:val="24"/>
          <w:szCs w:val="24"/>
          <w:lang w:val="en-GB"/>
        </w:rPr>
      </w:pPr>
      <w:r w:rsidRPr="008D1F23">
        <w:rPr>
          <w:rFonts w:ascii="Calibri" w:eastAsia="Times New Roman" w:hAnsi="Calibri" w:cs="Times New Roman"/>
          <w:sz w:val="24"/>
          <w:szCs w:val="24"/>
          <w:lang w:val="en-GB"/>
        </w:rPr>
        <w:t xml:space="preserve">Barroso, J.M. (2009). </w:t>
      </w:r>
      <w:r w:rsidRPr="008D1F23">
        <w:rPr>
          <w:rFonts w:ascii="Calibri" w:eastAsia="Times New Roman" w:hAnsi="Calibri" w:cs="Times New Roman"/>
          <w:i/>
          <w:sz w:val="24"/>
          <w:szCs w:val="24"/>
          <w:lang w:val="en-GB"/>
        </w:rPr>
        <w:t>Political guidelines for the next Commission</w:t>
      </w:r>
      <w:r w:rsidRPr="008D1F23">
        <w:rPr>
          <w:rFonts w:ascii="Calibri" w:eastAsia="Times New Roman" w:hAnsi="Calibri" w:cs="Times New Roman"/>
          <w:sz w:val="24"/>
          <w:szCs w:val="24"/>
          <w:lang w:val="en-GB"/>
        </w:rPr>
        <w:t xml:space="preserve"> (Brussels: European Commission).</w:t>
      </w:r>
    </w:p>
    <w:p w:rsidR="008D1F23" w:rsidRPr="008D1F23" w:rsidRDefault="008D1F23" w:rsidP="008D1F23">
      <w:pPr>
        <w:spacing w:before="120" w:after="120" w:line="480" w:lineRule="auto"/>
        <w:rPr>
          <w:rFonts w:ascii="Calibri" w:eastAsia="Times New Roman" w:hAnsi="Calibri" w:cs="Times New Roman"/>
          <w:sz w:val="24"/>
          <w:szCs w:val="24"/>
          <w:lang w:val="en-GB"/>
        </w:rPr>
      </w:pPr>
      <w:r w:rsidRPr="008D1F23">
        <w:rPr>
          <w:rFonts w:ascii="Calibri" w:eastAsia="Times New Roman" w:hAnsi="Calibri" w:cs="Times New Roman"/>
          <w:sz w:val="24"/>
          <w:szCs w:val="24"/>
          <w:lang w:val="en-GB"/>
        </w:rPr>
        <w:t>Barroso, J.M. (2011) “Debate on economic governance”. European Parliament, Strasbourg, 16 November 2011.</w:t>
      </w:r>
    </w:p>
    <w:p w:rsidR="008D1F23" w:rsidRPr="008D1F23" w:rsidRDefault="008D1F23" w:rsidP="008D1F23">
      <w:pPr>
        <w:widowControl w:val="0"/>
        <w:spacing w:before="120" w:after="120" w:line="480" w:lineRule="auto"/>
        <w:rPr>
          <w:rFonts w:ascii="Calibri" w:eastAsia="Times New Roman" w:hAnsi="Calibri" w:cs="Times New Roman"/>
          <w:sz w:val="24"/>
          <w:szCs w:val="24"/>
          <w:lang w:val="en-GB"/>
        </w:rPr>
      </w:pPr>
      <w:r w:rsidRPr="008D1F23">
        <w:rPr>
          <w:rFonts w:ascii="Calibri" w:eastAsia="Times New Roman" w:hAnsi="Calibri" w:cs="Times New Roman"/>
          <w:sz w:val="24"/>
          <w:szCs w:val="24"/>
          <w:lang w:val="en-GB"/>
        </w:rPr>
        <w:t xml:space="preserve">Bauer, M.W. and Becker, S. (2014). “The unexpected winner of the crisis: The European Commission’s strengthened role in economic governance”. </w:t>
      </w:r>
      <w:r w:rsidRPr="008D1F23">
        <w:rPr>
          <w:rFonts w:ascii="Calibri" w:eastAsia="Times New Roman" w:hAnsi="Calibri" w:cs="Times New Roman"/>
          <w:i/>
          <w:sz w:val="24"/>
          <w:szCs w:val="24"/>
          <w:lang w:val="en-GB"/>
        </w:rPr>
        <w:t>Journal of European Integration</w:t>
      </w:r>
      <w:r w:rsidRPr="008D1F23">
        <w:rPr>
          <w:rFonts w:ascii="Calibri" w:eastAsia="Times New Roman" w:hAnsi="Calibri" w:cs="Times New Roman"/>
          <w:sz w:val="24"/>
          <w:szCs w:val="24"/>
          <w:lang w:val="en-GB"/>
        </w:rPr>
        <w:t xml:space="preserve"> 36(3): 213-229.</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Bauer, M.W. and Trondal, J. (2015). “The administrative system of the European Union”. In Bauer M.W., and Trondal, J. (eds.). </w:t>
      </w:r>
      <w:r w:rsidRPr="008D1F23">
        <w:rPr>
          <w:rFonts w:ascii="Calibri" w:eastAsia="Times New Roman" w:hAnsi="Calibri" w:cs="Times New Roman"/>
          <w:i/>
          <w:sz w:val="24"/>
          <w:szCs w:val="24"/>
          <w:lang w:val="en-GB" w:eastAsia="en-GB"/>
        </w:rPr>
        <w:t>The Palgrave Handbook of the European Administrative System</w:t>
      </w:r>
      <w:r w:rsidRPr="008D1F23">
        <w:rPr>
          <w:rFonts w:ascii="Calibri" w:eastAsia="Times New Roman" w:hAnsi="Calibri" w:cs="Times New Roman"/>
          <w:sz w:val="24"/>
          <w:szCs w:val="24"/>
          <w:lang w:val="en-GB" w:eastAsia="en-GB"/>
        </w:rPr>
        <w:t xml:space="preserve"> (Houndmills: Palgrave Macmillan).</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Becker, S., M.W. Bauer, S. Connolly and H. Kassim (2016). “The Commission: boxed in and constrained, but still an engine of integration”. </w:t>
      </w:r>
      <w:r w:rsidRPr="008D1F23">
        <w:rPr>
          <w:rFonts w:ascii="Calibri" w:eastAsia="Times New Roman" w:hAnsi="Calibri" w:cs="Times New Roman"/>
          <w:i/>
          <w:sz w:val="24"/>
          <w:szCs w:val="24"/>
          <w:lang w:val="en-GB" w:eastAsia="en-GB"/>
        </w:rPr>
        <w:t>West European Politics</w:t>
      </w:r>
      <w:r w:rsidRPr="008D1F23">
        <w:rPr>
          <w:rFonts w:ascii="Calibri" w:eastAsia="Times New Roman" w:hAnsi="Calibri" w:cs="Times New Roman"/>
          <w:sz w:val="24"/>
          <w:szCs w:val="24"/>
          <w:lang w:val="en-GB" w:eastAsia="en-GB"/>
        </w:rPr>
        <w:t xml:space="preserve"> 39(5): 1011-1031.</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Bitsch, M.-T. (2007). “The Hallstein Commission 1958-1967”. In Dumoulin, M. (ed.). </w:t>
      </w:r>
      <w:r w:rsidRPr="008D1F23">
        <w:rPr>
          <w:rFonts w:ascii="Calibri" w:eastAsia="Times New Roman" w:hAnsi="Calibri" w:cs="Times New Roman"/>
          <w:i/>
          <w:sz w:val="24"/>
          <w:szCs w:val="24"/>
          <w:lang w:val="en-GB" w:eastAsia="en-GB"/>
        </w:rPr>
        <w:t>The European Commission, 1958-72. History and memories</w:t>
      </w:r>
      <w:r w:rsidRPr="008D1F23">
        <w:rPr>
          <w:rFonts w:ascii="Calibri" w:eastAsia="Times New Roman" w:hAnsi="Calibri" w:cs="Times New Roman"/>
          <w:sz w:val="24"/>
          <w:szCs w:val="24"/>
          <w:lang w:val="en-GB" w:eastAsia="en-GB"/>
        </w:rPr>
        <w:t xml:space="preserve"> (Brussels: European Commission). </w:t>
      </w:r>
    </w:p>
    <w:p w:rsidR="008D1F23" w:rsidRPr="008D1F23" w:rsidRDefault="008D1F23" w:rsidP="008D1F23">
      <w:pPr>
        <w:spacing w:before="120" w:after="120" w:line="480" w:lineRule="auto"/>
        <w:rPr>
          <w:rFonts w:ascii="Calibri" w:eastAsia="Times New Roman" w:hAnsi="Calibri" w:cs="Times New Roman"/>
          <w:sz w:val="24"/>
          <w:szCs w:val="24"/>
          <w:lang w:val="en-GB" w:eastAsia="nb-NO"/>
        </w:rPr>
      </w:pPr>
      <w:r w:rsidRPr="008D1F23">
        <w:rPr>
          <w:rFonts w:ascii="Calibri" w:eastAsia="Times New Roman" w:hAnsi="Calibri" w:cs="Times New Roman"/>
          <w:sz w:val="24"/>
          <w:szCs w:val="24"/>
          <w:lang w:val="en-GB" w:eastAsia="nb-NO"/>
        </w:rPr>
        <w:t xml:space="preserve">Busuioc, M., Groenleer, M. and Trondal, J. (eds.) (2012). </w:t>
      </w:r>
      <w:r w:rsidRPr="008D1F23">
        <w:rPr>
          <w:rFonts w:ascii="Calibri" w:eastAsia="Times New Roman" w:hAnsi="Calibri" w:cs="Times New Roman"/>
          <w:i/>
          <w:sz w:val="24"/>
          <w:szCs w:val="24"/>
          <w:lang w:val="en-GB" w:eastAsia="nb-NO"/>
        </w:rPr>
        <w:t>The Agency Phenomenon in the European Union</w:t>
      </w:r>
      <w:r w:rsidRPr="008D1F23">
        <w:rPr>
          <w:rFonts w:ascii="Calibri" w:eastAsia="Times New Roman" w:hAnsi="Calibri" w:cs="Times New Roman"/>
          <w:sz w:val="24"/>
          <w:szCs w:val="24"/>
          <w:lang w:val="en-GB" w:eastAsia="nb-NO"/>
        </w:rPr>
        <w:t xml:space="preserve"> (Manchester: Manchester University Press).</w:t>
      </w:r>
    </w:p>
    <w:p w:rsidR="008D1F23" w:rsidRPr="008D1F23" w:rsidRDefault="008D1F23" w:rsidP="008D1F23">
      <w:pPr>
        <w:spacing w:before="120" w:after="120" w:line="480" w:lineRule="auto"/>
        <w:rPr>
          <w:rFonts w:ascii="Calibri" w:eastAsia="Times New Roman" w:hAnsi="Calibri" w:cs="Times New Roman"/>
          <w:sz w:val="24"/>
          <w:szCs w:val="24"/>
          <w:lang w:val="en-GB" w:eastAsia="nb-NO"/>
        </w:rPr>
      </w:pPr>
      <w:r w:rsidRPr="008D1F23">
        <w:rPr>
          <w:rFonts w:ascii="Calibri" w:eastAsia="Times New Roman" w:hAnsi="Calibri" w:cs="Times New Roman"/>
          <w:sz w:val="24"/>
          <w:szCs w:val="24"/>
          <w:lang w:val="en-GB" w:eastAsia="nb-NO"/>
        </w:rPr>
        <w:lastRenderedPageBreak/>
        <w:t xml:space="preserve">Caparaso, J.A., Kim, M.-h., Durrett, W.N. and Wesley, R.B. (2014). “Still the regulatory state? The European Union and the financial crisis”. </w:t>
      </w:r>
      <w:r w:rsidRPr="008D1F23">
        <w:rPr>
          <w:rFonts w:ascii="Calibri" w:eastAsia="Times New Roman" w:hAnsi="Calibri" w:cs="Times New Roman"/>
          <w:i/>
          <w:sz w:val="24"/>
          <w:szCs w:val="24"/>
          <w:lang w:val="en-GB" w:eastAsia="nb-NO"/>
        </w:rPr>
        <w:t>Journal of European Public Policy</w:t>
      </w:r>
      <w:r w:rsidRPr="008D1F23">
        <w:rPr>
          <w:rFonts w:ascii="Calibri" w:eastAsia="Times New Roman" w:hAnsi="Calibri" w:cs="Times New Roman"/>
          <w:sz w:val="24"/>
          <w:szCs w:val="24"/>
          <w:lang w:val="en-GB" w:eastAsia="nb-NO"/>
        </w:rPr>
        <w:t xml:space="preserve"> DOI: 10.1080/13501736.2014.988638.</w:t>
      </w:r>
    </w:p>
    <w:p w:rsidR="008D1F23" w:rsidRPr="008D1F23" w:rsidRDefault="008D1F23" w:rsidP="008D1F23">
      <w:pPr>
        <w:spacing w:before="120" w:after="120" w:line="480" w:lineRule="auto"/>
        <w:rPr>
          <w:rFonts w:ascii="Calibri" w:eastAsia="Times New Roman" w:hAnsi="Calibri" w:cs="Times New Roman"/>
          <w:sz w:val="24"/>
          <w:szCs w:val="24"/>
          <w:lang w:val="en-GB" w:eastAsia="nb-NO"/>
        </w:rPr>
      </w:pPr>
      <w:r w:rsidRPr="008D1F23">
        <w:rPr>
          <w:rFonts w:ascii="Calibri" w:eastAsia="Times New Roman" w:hAnsi="Calibri" w:cs="Times New Roman"/>
          <w:sz w:val="24"/>
          <w:szCs w:val="24"/>
          <w:lang w:val="en-GB" w:eastAsia="nb-NO"/>
        </w:rPr>
        <w:t xml:space="preserve">Cyert, R.M. and March, J.G. (1963). </w:t>
      </w:r>
      <w:r w:rsidRPr="008D1F23">
        <w:rPr>
          <w:rFonts w:ascii="Calibri" w:eastAsia="Times New Roman" w:hAnsi="Calibri" w:cs="Times New Roman"/>
          <w:i/>
          <w:sz w:val="24"/>
          <w:szCs w:val="24"/>
          <w:lang w:val="en-GB" w:eastAsia="nb-NO"/>
        </w:rPr>
        <w:t>A Behavioral Theory of the Firm</w:t>
      </w:r>
      <w:r w:rsidRPr="008D1F23">
        <w:rPr>
          <w:rFonts w:ascii="Calibri" w:eastAsia="Times New Roman" w:hAnsi="Calibri" w:cs="Times New Roman"/>
          <w:sz w:val="24"/>
          <w:szCs w:val="24"/>
          <w:lang w:val="en-GB" w:eastAsia="nb-NO"/>
        </w:rPr>
        <w:t xml:space="preserve"> (Englewood Cliffs, NJ: Prentice-Hall).</w:t>
      </w:r>
    </w:p>
    <w:p w:rsidR="008D1F23" w:rsidRPr="008D1F23" w:rsidRDefault="008D1F23" w:rsidP="008D1F23">
      <w:pPr>
        <w:spacing w:before="120" w:after="120" w:line="480" w:lineRule="auto"/>
        <w:rPr>
          <w:rFonts w:ascii="Calibri" w:eastAsia="Times New Roman" w:hAnsi="Calibri" w:cs="Times New Roman"/>
          <w:sz w:val="24"/>
          <w:szCs w:val="24"/>
          <w:lang w:val="en-GB"/>
        </w:rPr>
      </w:pPr>
      <w:r w:rsidRPr="008D1F23">
        <w:rPr>
          <w:rFonts w:ascii="Calibri" w:eastAsia="Times New Roman" w:hAnsi="Calibri" w:cs="Times New Roman"/>
          <w:sz w:val="24"/>
          <w:szCs w:val="24"/>
          <w:lang w:val="en-GB"/>
        </w:rPr>
        <w:t xml:space="preserve">Duchêne, F. (1994). </w:t>
      </w:r>
      <w:r w:rsidRPr="008D1F23">
        <w:rPr>
          <w:rFonts w:ascii="Calibri" w:eastAsia="Times New Roman" w:hAnsi="Calibri" w:cs="Times New Roman"/>
          <w:i/>
          <w:sz w:val="24"/>
          <w:szCs w:val="24"/>
          <w:lang w:val="en-GB"/>
        </w:rPr>
        <w:t>Jean Monnet. The first statesman of interdependence</w:t>
      </w:r>
      <w:r w:rsidRPr="008D1F23">
        <w:rPr>
          <w:rFonts w:ascii="Calibri" w:eastAsia="Times New Roman" w:hAnsi="Calibri" w:cs="Times New Roman"/>
          <w:sz w:val="24"/>
          <w:szCs w:val="24"/>
          <w:lang w:val="en-GB"/>
        </w:rPr>
        <w:t xml:space="preserve"> (New York: W.W. Norton &amp; Company).</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Dumoulin, M. (ed.) (2007). </w:t>
      </w:r>
      <w:r w:rsidRPr="008D1F23">
        <w:rPr>
          <w:rFonts w:ascii="Calibri" w:eastAsia="Times New Roman" w:hAnsi="Calibri" w:cs="Times New Roman"/>
          <w:i/>
          <w:sz w:val="24"/>
          <w:szCs w:val="24"/>
          <w:lang w:val="en-GB" w:eastAsia="en-GB"/>
        </w:rPr>
        <w:t>The European Commission, 1958-72. History and memories</w:t>
      </w:r>
      <w:r w:rsidRPr="008D1F23">
        <w:rPr>
          <w:rFonts w:ascii="Calibri" w:eastAsia="Times New Roman" w:hAnsi="Calibri" w:cs="Times New Roman"/>
          <w:sz w:val="24"/>
          <w:szCs w:val="24"/>
          <w:lang w:val="en-GB" w:eastAsia="en-GB"/>
        </w:rPr>
        <w:t xml:space="preserve"> (Brussels: European Commission). </w:t>
      </w:r>
    </w:p>
    <w:p w:rsidR="008D1F23" w:rsidRPr="008D1F23" w:rsidRDefault="008D1F23" w:rsidP="008D1F23">
      <w:pPr>
        <w:spacing w:before="120" w:after="120" w:line="480" w:lineRule="auto"/>
        <w:rPr>
          <w:rFonts w:ascii="Calibri" w:eastAsia="Times New Roman" w:hAnsi="Calibri" w:cs="Times New Roman"/>
          <w:sz w:val="24"/>
          <w:szCs w:val="24"/>
          <w:lang w:val="en-US" w:eastAsia="en-GB"/>
        </w:rPr>
      </w:pPr>
      <w:r w:rsidRPr="008D1F23">
        <w:rPr>
          <w:rFonts w:ascii="Calibri" w:eastAsia="Times New Roman" w:hAnsi="Calibri" w:cs="Times New Roman"/>
          <w:sz w:val="24"/>
          <w:szCs w:val="24"/>
          <w:lang w:val="en-US" w:eastAsia="en-GB"/>
        </w:rPr>
        <w:t xml:space="preserve">Egeberg, M., Gornitzka, Å., Trondal, J. and Johannessen, M. (2013). “Parliamentary staff. Unpacking the behaviour of officials in the European Parliament”. </w:t>
      </w:r>
      <w:r w:rsidRPr="008D1F23">
        <w:rPr>
          <w:rFonts w:ascii="Calibri" w:eastAsia="Times New Roman" w:hAnsi="Calibri" w:cs="Times New Roman"/>
          <w:i/>
          <w:sz w:val="24"/>
          <w:szCs w:val="24"/>
          <w:lang w:val="en-US" w:eastAsia="en-GB"/>
        </w:rPr>
        <w:t xml:space="preserve">Journal of European Public Policy </w:t>
      </w:r>
      <w:r w:rsidRPr="008D1F23">
        <w:rPr>
          <w:rFonts w:ascii="Calibri" w:eastAsia="Times New Roman" w:hAnsi="Calibri" w:cs="Times New Roman"/>
          <w:sz w:val="24"/>
          <w:szCs w:val="24"/>
          <w:lang w:val="en-US" w:eastAsia="en-GB"/>
        </w:rPr>
        <w:t xml:space="preserve">20(4): 495-514. </w:t>
      </w:r>
    </w:p>
    <w:p w:rsidR="008D1F23" w:rsidRPr="008D1F23" w:rsidRDefault="008D1F23" w:rsidP="008D1F23">
      <w:pPr>
        <w:spacing w:before="120" w:after="120" w:line="480" w:lineRule="auto"/>
        <w:rPr>
          <w:rFonts w:ascii="Calibri" w:eastAsia="Times New Roman" w:hAnsi="Calibri" w:cs="Times New Roman"/>
          <w:sz w:val="24"/>
          <w:szCs w:val="24"/>
          <w:lang w:val="en-US"/>
        </w:rPr>
      </w:pPr>
      <w:r w:rsidRPr="008D1F23">
        <w:rPr>
          <w:rFonts w:ascii="Calibri" w:eastAsia="Times New Roman" w:hAnsi="Calibri" w:cs="Times New Roman"/>
          <w:sz w:val="24"/>
          <w:szCs w:val="24"/>
          <w:lang w:val="en-GB" w:bidi="he-IL"/>
        </w:rPr>
        <w:t xml:space="preserve">Egeberg, M. and Trondal, J. </w:t>
      </w:r>
      <w:r w:rsidRPr="008D1F23">
        <w:rPr>
          <w:rFonts w:ascii="Calibri" w:eastAsia="Times New Roman" w:hAnsi="Calibri" w:cs="Times New Roman"/>
          <w:sz w:val="24"/>
          <w:szCs w:val="24"/>
          <w:lang w:val="en-US"/>
        </w:rPr>
        <w:t xml:space="preserve">(1999). “Differentiated integration in Europe: the case of the EEA country Norway”. </w:t>
      </w:r>
      <w:r w:rsidRPr="008D1F23">
        <w:rPr>
          <w:rFonts w:ascii="Calibri" w:eastAsia="Times New Roman" w:hAnsi="Calibri" w:cs="Times New Roman"/>
          <w:i/>
          <w:sz w:val="24"/>
          <w:szCs w:val="24"/>
          <w:lang w:val="en-US"/>
        </w:rPr>
        <w:t>Journal of Common Market Studies</w:t>
      </w:r>
      <w:r w:rsidRPr="008D1F23">
        <w:rPr>
          <w:rFonts w:ascii="Calibri" w:eastAsia="Times New Roman" w:hAnsi="Calibri" w:cs="Times New Roman"/>
          <w:sz w:val="24"/>
          <w:szCs w:val="24"/>
          <w:lang w:val="en-US"/>
        </w:rPr>
        <w:t xml:space="preserve"> 37 (1): 133-142.</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Egeberg, M. and Trondal, J. (2009). “National agencies in the European administrative space. Government driven, Commission driven or networked?”. </w:t>
      </w:r>
      <w:r w:rsidRPr="008D1F23">
        <w:rPr>
          <w:rFonts w:ascii="Calibri" w:eastAsia="Times New Roman" w:hAnsi="Calibri" w:cs="Times New Roman"/>
          <w:i/>
          <w:sz w:val="24"/>
          <w:szCs w:val="24"/>
          <w:lang w:val="en-GB" w:eastAsia="en-GB"/>
        </w:rPr>
        <w:t>Public Administration</w:t>
      </w:r>
      <w:r w:rsidRPr="008D1F23">
        <w:rPr>
          <w:rFonts w:ascii="Calibri" w:eastAsia="Times New Roman" w:hAnsi="Calibri" w:cs="Times New Roman"/>
          <w:sz w:val="24"/>
          <w:szCs w:val="24"/>
          <w:lang w:val="en-GB" w:eastAsia="en-GB"/>
        </w:rPr>
        <w:t xml:space="preserve"> 87 (4): 779-790.</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Egeberg, M. and Trondal, J. (2015a). “National administrative sovereignty. Under pressure”. In Eriksen, E.O. and Fossum, J.E. (eds.). </w:t>
      </w:r>
      <w:r w:rsidRPr="008D1F23">
        <w:rPr>
          <w:rFonts w:ascii="Calibri" w:eastAsia="Times New Roman" w:hAnsi="Calibri" w:cs="Times New Roman"/>
          <w:i/>
          <w:sz w:val="24"/>
          <w:szCs w:val="24"/>
          <w:lang w:val="en-GB" w:eastAsia="en-GB"/>
        </w:rPr>
        <w:t xml:space="preserve">The European Union’s Non-Members. Independence under hegemony? </w:t>
      </w:r>
      <w:r w:rsidRPr="008D1F23">
        <w:rPr>
          <w:rFonts w:ascii="Calibri" w:eastAsia="Times New Roman" w:hAnsi="Calibri" w:cs="Times New Roman"/>
          <w:sz w:val="24"/>
          <w:szCs w:val="24"/>
          <w:lang w:val="en-GB" w:eastAsia="en-GB"/>
        </w:rPr>
        <w:t>(Abingdon: Routledge).</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lastRenderedPageBreak/>
        <w:t>Egeberg, M. and Trondal, J. (2015b). “Why strong coordination at one level of government is incompatible with strong coordination across levels (and how to live with it). The case of the European Union”. Paper presented at the Annual EGPA Conference, Toulouse.</w:t>
      </w:r>
    </w:p>
    <w:p w:rsidR="008D1F23" w:rsidRPr="008D1F23" w:rsidRDefault="008D1F23" w:rsidP="008D1F23">
      <w:pPr>
        <w:spacing w:before="120" w:after="120" w:line="480" w:lineRule="auto"/>
        <w:rPr>
          <w:rFonts w:ascii="Calibri" w:eastAsia="Times New Roman" w:hAnsi="Calibri" w:cs="Calibri"/>
          <w:b/>
          <w:sz w:val="28"/>
          <w:szCs w:val="20"/>
          <w:lang w:val="en-US" w:eastAsia="nb-NO"/>
        </w:rPr>
      </w:pPr>
      <w:r w:rsidRPr="008D1F23">
        <w:rPr>
          <w:rFonts w:ascii="Calibri" w:eastAsia="Times New Roman" w:hAnsi="Calibri" w:cs="Calibri"/>
          <w:sz w:val="24"/>
          <w:szCs w:val="20"/>
          <w:lang w:val="en-GB" w:eastAsia="nb-NO"/>
        </w:rPr>
        <w:t xml:space="preserve">Egeberg, M., Trondal, J. and Vestlund, N.M. (2015). “The quest for order: unravelling the relationship between the European Commission and European Union agencies”. </w:t>
      </w:r>
      <w:r w:rsidRPr="008D1F23">
        <w:rPr>
          <w:rFonts w:ascii="Calibri" w:eastAsia="Times New Roman" w:hAnsi="Calibri" w:cs="Calibri"/>
          <w:i/>
          <w:sz w:val="24"/>
          <w:szCs w:val="20"/>
          <w:lang w:val="en-GB" w:eastAsia="nb-NO"/>
        </w:rPr>
        <w:t>Journal of European Public Policy</w:t>
      </w:r>
      <w:r w:rsidRPr="008D1F23">
        <w:rPr>
          <w:rFonts w:ascii="Calibri" w:eastAsia="Times New Roman" w:hAnsi="Calibri" w:cs="Calibri"/>
          <w:sz w:val="24"/>
          <w:szCs w:val="20"/>
          <w:lang w:val="en-GB" w:eastAsia="nb-NO"/>
        </w:rPr>
        <w:t xml:space="preserve"> 22(5): 609-629.</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Ellinas, A.A. and Suleiman, E. (2012). </w:t>
      </w:r>
      <w:r w:rsidRPr="008D1F23">
        <w:rPr>
          <w:rFonts w:ascii="Calibri" w:eastAsia="Times New Roman" w:hAnsi="Calibri" w:cs="Times New Roman"/>
          <w:i/>
          <w:sz w:val="24"/>
          <w:szCs w:val="24"/>
          <w:lang w:val="en-GB" w:eastAsia="en-GB"/>
        </w:rPr>
        <w:t>The European Commission and Bureaucratic Autonomy</w:t>
      </w:r>
      <w:r w:rsidRPr="008D1F23">
        <w:rPr>
          <w:rFonts w:ascii="Calibri" w:eastAsia="Times New Roman" w:hAnsi="Calibri" w:cs="Times New Roman"/>
          <w:sz w:val="24"/>
          <w:szCs w:val="24"/>
          <w:lang w:val="en-GB" w:eastAsia="en-GB"/>
        </w:rPr>
        <w:t xml:space="preserve"> (Cambridge: Cambridge University Press).</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European Commission (2001). </w:t>
      </w:r>
      <w:r w:rsidRPr="008D1F23">
        <w:rPr>
          <w:rFonts w:ascii="Calibri" w:eastAsia="Times New Roman" w:hAnsi="Calibri" w:cs="Times New Roman"/>
          <w:i/>
          <w:sz w:val="24"/>
          <w:szCs w:val="24"/>
          <w:lang w:val="en-GB" w:eastAsia="en-GB"/>
        </w:rPr>
        <w:t>European Governance. A White Paper</w:t>
      </w:r>
      <w:r w:rsidRPr="008D1F23">
        <w:rPr>
          <w:rFonts w:ascii="Calibri" w:eastAsia="Times New Roman" w:hAnsi="Calibri" w:cs="Times New Roman"/>
          <w:sz w:val="24"/>
          <w:szCs w:val="24"/>
          <w:lang w:val="en-GB" w:eastAsia="en-GB"/>
        </w:rPr>
        <w:t>. COM(2001) 428 final.</w:t>
      </w:r>
    </w:p>
    <w:p w:rsidR="008D1F23" w:rsidRPr="008D1F23" w:rsidRDefault="008D1F23" w:rsidP="008D1F23">
      <w:pPr>
        <w:spacing w:after="200" w:line="480" w:lineRule="auto"/>
        <w:rPr>
          <w:rFonts w:ascii="Calibri" w:eastAsia="SimSun" w:hAnsi="Calibri" w:cs="Times New Roman"/>
          <w:sz w:val="24"/>
          <w:szCs w:val="24"/>
          <w:lang w:val="en-US" w:eastAsia="zh-CN"/>
        </w:rPr>
      </w:pPr>
      <w:r w:rsidRPr="008D1F23">
        <w:rPr>
          <w:rFonts w:ascii="Calibri" w:eastAsia="SimSun" w:hAnsi="Calibri" w:cs="Times New Roman"/>
          <w:sz w:val="24"/>
          <w:szCs w:val="24"/>
          <w:lang w:val="en-US" w:eastAsia="zh-CN"/>
        </w:rPr>
        <w:t xml:space="preserve">Fenna, A. (2012). “Federalism and intergovernmental coordination”. In Peters, B.G. and Pierre, J. (eds.). </w:t>
      </w:r>
      <w:r w:rsidRPr="008D1F23">
        <w:rPr>
          <w:rFonts w:ascii="Calibri" w:eastAsia="SimSun" w:hAnsi="Calibri" w:cs="Times New Roman"/>
          <w:i/>
          <w:sz w:val="24"/>
          <w:szCs w:val="24"/>
          <w:lang w:val="en-US" w:eastAsia="zh-CN"/>
        </w:rPr>
        <w:t>The Sage Handbook of Public Administration</w:t>
      </w:r>
      <w:r w:rsidRPr="008D1F23">
        <w:rPr>
          <w:rFonts w:ascii="Calibri" w:eastAsia="SimSun" w:hAnsi="Calibri" w:cs="Times New Roman"/>
          <w:sz w:val="24"/>
          <w:szCs w:val="24"/>
          <w:lang w:val="en-US" w:eastAsia="zh-CN"/>
        </w:rPr>
        <w:t xml:space="preserve"> (London: SAGE).</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Fukuyama, F. (2014). </w:t>
      </w:r>
      <w:r w:rsidRPr="008D1F23">
        <w:rPr>
          <w:rFonts w:ascii="Calibri" w:eastAsia="Times New Roman" w:hAnsi="Calibri" w:cs="Times New Roman"/>
          <w:i/>
          <w:sz w:val="24"/>
          <w:szCs w:val="24"/>
          <w:lang w:val="en-GB" w:eastAsia="en-GB"/>
        </w:rPr>
        <w:t>Political Order and Political Decay</w:t>
      </w:r>
      <w:r w:rsidRPr="008D1F23">
        <w:rPr>
          <w:rFonts w:ascii="Calibri" w:eastAsia="Times New Roman" w:hAnsi="Calibri" w:cs="Times New Roman"/>
          <w:sz w:val="24"/>
          <w:szCs w:val="24"/>
          <w:lang w:val="en-GB" w:eastAsia="en-GB"/>
        </w:rPr>
        <w:t xml:space="preserve"> (New York: Farrar, Straus and Giroux).</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Genschel, P. and Jachtenfuchs, M. (eds.) (2014). </w:t>
      </w:r>
      <w:r w:rsidRPr="008D1F23">
        <w:rPr>
          <w:rFonts w:ascii="Calibri" w:eastAsia="Times New Roman" w:hAnsi="Calibri" w:cs="Times New Roman"/>
          <w:i/>
          <w:sz w:val="24"/>
          <w:szCs w:val="24"/>
          <w:lang w:val="en-GB" w:eastAsia="en-GB"/>
        </w:rPr>
        <w:t>Beyond the Regulatory Polity</w:t>
      </w:r>
      <w:r w:rsidRPr="008D1F23">
        <w:rPr>
          <w:rFonts w:ascii="Calibri" w:eastAsia="Times New Roman" w:hAnsi="Calibri" w:cs="Times New Roman"/>
          <w:sz w:val="24"/>
          <w:szCs w:val="24"/>
          <w:lang w:val="en-GB" w:eastAsia="en-GB"/>
        </w:rPr>
        <w:t>? (Oxford: Oxford University Press).</w:t>
      </w:r>
    </w:p>
    <w:p w:rsidR="008D1F23" w:rsidRPr="008D1F23" w:rsidRDefault="008D1F23" w:rsidP="008D1F23">
      <w:pPr>
        <w:spacing w:before="120" w:after="120" w:line="480" w:lineRule="auto"/>
        <w:rPr>
          <w:rFonts w:ascii="Calibri" w:eastAsia="Times New Roman" w:hAnsi="Calibri" w:cs="Times New Roman"/>
          <w:sz w:val="24"/>
          <w:szCs w:val="24"/>
          <w:lang w:val="en-US" w:eastAsia="en-GB"/>
        </w:rPr>
      </w:pPr>
      <w:r w:rsidRPr="008D1F23">
        <w:rPr>
          <w:rFonts w:ascii="Calibri" w:eastAsia="Times New Roman" w:hAnsi="Calibri" w:cs="Times New Roman"/>
          <w:sz w:val="24"/>
          <w:szCs w:val="24"/>
          <w:lang w:val="en-US" w:eastAsia="en-GB"/>
        </w:rPr>
        <w:t xml:space="preserve">Georgakakis, D. and Lassalle, M. de (2007). “Who are the Directors-General? European construction and Administrative careers in the Commission”. Paper presented at ‘EU-Consent workshop, 21-22 June, Paris, 2006. </w:t>
      </w:r>
    </w:p>
    <w:p w:rsidR="008D1F23" w:rsidRPr="008D1F23" w:rsidRDefault="008D1F23" w:rsidP="008D1F23">
      <w:pPr>
        <w:spacing w:before="120" w:after="120" w:line="480" w:lineRule="auto"/>
        <w:rPr>
          <w:rFonts w:ascii="Calibri" w:eastAsia="Times New Roman" w:hAnsi="Calibri" w:cs="Times New Roman"/>
          <w:sz w:val="24"/>
          <w:szCs w:val="24"/>
          <w:lang w:val="en-US"/>
        </w:rPr>
      </w:pPr>
      <w:r w:rsidRPr="008D1F23">
        <w:rPr>
          <w:rFonts w:ascii="Calibri" w:eastAsia="Times New Roman" w:hAnsi="Calibri" w:cs="Times New Roman"/>
          <w:sz w:val="24"/>
          <w:szCs w:val="24"/>
          <w:lang w:val="en-US"/>
        </w:rPr>
        <w:t xml:space="preserve">Groenleer, M. (2009). </w:t>
      </w:r>
      <w:r w:rsidRPr="008D1F23">
        <w:rPr>
          <w:rFonts w:ascii="Calibri" w:eastAsia="Times New Roman" w:hAnsi="Calibri" w:cs="Times New Roman"/>
          <w:i/>
          <w:sz w:val="24"/>
          <w:szCs w:val="24"/>
          <w:lang w:val="en-US"/>
        </w:rPr>
        <w:t>The Autonomy of European Union Agencies.</w:t>
      </w:r>
      <w:r w:rsidRPr="008D1F23">
        <w:rPr>
          <w:rFonts w:ascii="Calibri" w:eastAsia="Times New Roman" w:hAnsi="Calibri" w:cs="Times New Roman"/>
          <w:sz w:val="24"/>
          <w:szCs w:val="24"/>
          <w:lang w:val="en-US"/>
        </w:rPr>
        <w:t xml:space="preserve"> PhD Thesis (Amsterdam: Eburon). </w:t>
      </w:r>
    </w:p>
    <w:p w:rsidR="008D1F23" w:rsidRPr="008D1F23" w:rsidRDefault="008D1F23" w:rsidP="008D1F23">
      <w:pPr>
        <w:spacing w:before="120" w:after="120" w:line="480" w:lineRule="auto"/>
        <w:rPr>
          <w:rFonts w:ascii="Calibri" w:eastAsia="Times New Roman" w:hAnsi="Calibri" w:cs="Times New Roman"/>
          <w:sz w:val="24"/>
          <w:szCs w:val="24"/>
          <w:lang w:val="en-US"/>
        </w:rPr>
      </w:pPr>
      <w:r w:rsidRPr="008D1F23">
        <w:rPr>
          <w:rFonts w:ascii="Calibri" w:eastAsia="Times New Roman" w:hAnsi="Calibri" w:cs="Times New Roman"/>
          <w:sz w:val="24"/>
          <w:szCs w:val="24"/>
          <w:lang w:val="en-US"/>
        </w:rPr>
        <w:t xml:space="preserve">Harlow, C. and Rawlings, R. (2014). </w:t>
      </w:r>
      <w:r w:rsidRPr="008D1F23">
        <w:rPr>
          <w:rFonts w:ascii="Calibri" w:eastAsia="Times New Roman" w:hAnsi="Calibri" w:cs="Times New Roman"/>
          <w:i/>
          <w:sz w:val="24"/>
          <w:szCs w:val="24"/>
          <w:lang w:val="en-US"/>
        </w:rPr>
        <w:t>Process and Procedure in EU Administration</w:t>
      </w:r>
      <w:r w:rsidRPr="008D1F23">
        <w:rPr>
          <w:rFonts w:ascii="Calibri" w:eastAsia="Times New Roman" w:hAnsi="Calibri" w:cs="Times New Roman"/>
          <w:sz w:val="24"/>
          <w:szCs w:val="24"/>
          <w:lang w:val="en-US"/>
        </w:rPr>
        <w:t xml:space="preserve"> (Oxford: Hart Publishing). </w:t>
      </w:r>
    </w:p>
    <w:p w:rsidR="008D1F23" w:rsidRPr="008D1F23" w:rsidRDefault="008D1F23" w:rsidP="008D1F23">
      <w:pPr>
        <w:spacing w:before="120" w:after="120" w:line="480" w:lineRule="auto"/>
        <w:rPr>
          <w:rFonts w:ascii="Calibri" w:eastAsia="Times New Roman" w:hAnsi="Calibri" w:cs="Times New Roman"/>
          <w:sz w:val="24"/>
          <w:szCs w:val="24"/>
          <w:lang w:val="en-US"/>
        </w:rPr>
      </w:pPr>
      <w:r w:rsidRPr="008D1F23">
        <w:rPr>
          <w:rFonts w:ascii="Calibri" w:eastAsia="Times New Roman" w:hAnsi="Calibri" w:cs="Times New Roman"/>
          <w:sz w:val="24"/>
          <w:szCs w:val="24"/>
          <w:lang w:val="en-US"/>
        </w:rPr>
        <w:lastRenderedPageBreak/>
        <w:t xml:space="preserve">Hartlapp, M., Metz, J. and Rauh, C. (2014). </w:t>
      </w:r>
      <w:r w:rsidRPr="008D1F23">
        <w:rPr>
          <w:rFonts w:ascii="Calibri" w:eastAsia="Times New Roman" w:hAnsi="Calibri" w:cs="Times New Roman"/>
          <w:i/>
          <w:sz w:val="24"/>
          <w:szCs w:val="24"/>
          <w:lang w:val="en-US"/>
        </w:rPr>
        <w:t>Which Policy for Europe?</w:t>
      </w:r>
      <w:r w:rsidRPr="008D1F23">
        <w:rPr>
          <w:rFonts w:ascii="Calibri" w:eastAsia="Times New Roman" w:hAnsi="Calibri" w:cs="Times New Roman"/>
          <w:sz w:val="24"/>
          <w:szCs w:val="24"/>
          <w:lang w:val="en-US"/>
        </w:rPr>
        <w:t xml:space="preserve"> (Oxford: Oxford University Press). </w:t>
      </w:r>
    </w:p>
    <w:p w:rsidR="008D1F23" w:rsidRPr="008D1F23" w:rsidRDefault="008D1F23" w:rsidP="008D1F23">
      <w:pPr>
        <w:spacing w:before="120" w:after="120" w:line="480" w:lineRule="auto"/>
        <w:rPr>
          <w:rFonts w:ascii="Calibri" w:eastAsia="Times New Roman" w:hAnsi="Calibri" w:cs="Times New Roman"/>
          <w:sz w:val="24"/>
          <w:szCs w:val="24"/>
          <w:lang w:val="en-US"/>
        </w:rPr>
      </w:pPr>
      <w:r w:rsidRPr="008D1F23">
        <w:rPr>
          <w:rFonts w:ascii="Calibri" w:eastAsia="Times New Roman" w:hAnsi="Calibri" w:cs="Times New Roman"/>
          <w:sz w:val="24"/>
          <w:szCs w:val="24"/>
          <w:lang w:val="en-US"/>
        </w:rPr>
        <w:t xml:space="preserve">Heidbreder, E.G. (2015). “Horizontal capacity pooling: Direct, decentralized, joint policy execution”. In Bauer, M.W. and Trondal, J. (eds.). </w:t>
      </w:r>
      <w:r w:rsidRPr="008D1F23">
        <w:rPr>
          <w:rFonts w:ascii="Calibri" w:eastAsia="Times New Roman" w:hAnsi="Calibri" w:cs="Times New Roman"/>
          <w:i/>
          <w:sz w:val="24"/>
          <w:szCs w:val="24"/>
          <w:lang w:val="en-US"/>
        </w:rPr>
        <w:t>The Palgrave Handbook of the European Administrative System</w:t>
      </w:r>
      <w:r w:rsidRPr="008D1F23">
        <w:rPr>
          <w:rFonts w:ascii="Calibri" w:eastAsia="Times New Roman" w:hAnsi="Calibri" w:cs="Times New Roman"/>
          <w:sz w:val="24"/>
          <w:szCs w:val="24"/>
          <w:lang w:val="en-US"/>
        </w:rPr>
        <w:t xml:space="preserve"> (Houndmills: Palgrave Macmillan).</w:t>
      </w:r>
    </w:p>
    <w:p w:rsidR="008D1F23" w:rsidRPr="008D1F23" w:rsidRDefault="008D1F23" w:rsidP="008D1F23">
      <w:pPr>
        <w:spacing w:before="120" w:after="120" w:line="480" w:lineRule="auto"/>
        <w:rPr>
          <w:rFonts w:ascii="Calibri" w:eastAsia="Times New Roman" w:hAnsi="Calibri" w:cs="Calibri"/>
          <w:iCs/>
          <w:sz w:val="24"/>
          <w:szCs w:val="24"/>
          <w:lang w:val="en-GB"/>
        </w:rPr>
      </w:pPr>
      <w:r w:rsidRPr="008D1F23">
        <w:rPr>
          <w:rFonts w:ascii="Calibri" w:eastAsia="Times New Roman" w:hAnsi="Calibri" w:cs="Calibri"/>
          <w:sz w:val="24"/>
          <w:szCs w:val="24"/>
          <w:lang w:val="en-GB"/>
        </w:rPr>
        <w:t xml:space="preserve">Henökl, T. (2015). “How do EU Foreign Policy-Makers decide? Institutional orientations within the European External Action Service”. </w:t>
      </w:r>
      <w:hyperlink r:id="rId7" w:history="1">
        <w:r w:rsidRPr="008D1F23">
          <w:rPr>
            <w:rFonts w:ascii="Calibri" w:eastAsia="Times New Roman" w:hAnsi="Calibri" w:cs="Calibri"/>
            <w:i/>
            <w:iCs/>
            <w:sz w:val="24"/>
            <w:szCs w:val="24"/>
            <w:lang w:val="en-GB"/>
          </w:rPr>
          <w:t xml:space="preserve">West European Politics </w:t>
        </w:r>
      </w:hyperlink>
      <w:r w:rsidRPr="008D1F23">
        <w:rPr>
          <w:rFonts w:ascii="Times New Roman" w:eastAsia="Times New Roman" w:hAnsi="Times New Roman" w:cs="Times New Roman"/>
          <w:sz w:val="24"/>
          <w:szCs w:val="24"/>
          <w:lang w:val="en-GB"/>
        </w:rPr>
        <w:t xml:space="preserve"> </w:t>
      </w:r>
      <w:r w:rsidRPr="008D1F23">
        <w:rPr>
          <w:rFonts w:ascii="Calibri" w:eastAsia="Times New Roman" w:hAnsi="Calibri" w:cs="Calibri"/>
          <w:iCs/>
          <w:sz w:val="24"/>
          <w:szCs w:val="24"/>
          <w:lang w:val="en-GB"/>
        </w:rPr>
        <w:t xml:space="preserve">38(3): 679-708. </w:t>
      </w:r>
    </w:p>
    <w:p w:rsidR="008D1F23" w:rsidRPr="008D1F23" w:rsidRDefault="008D1F23" w:rsidP="008D1F23">
      <w:pPr>
        <w:spacing w:before="120" w:after="120" w:line="480" w:lineRule="auto"/>
        <w:rPr>
          <w:rFonts w:ascii="Calibri" w:eastAsia="Times New Roman" w:hAnsi="Calibri" w:cs="Times New Roman"/>
          <w:sz w:val="24"/>
          <w:szCs w:val="24"/>
          <w:lang w:val="en-US"/>
        </w:rPr>
      </w:pPr>
      <w:r w:rsidRPr="008D1F23">
        <w:rPr>
          <w:rFonts w:ascii="Calibri" w:eastAsia="Times New Roman" w:hAnsi="Calibri" w:cs="Times New Roman"/>
          <w:sz w:val="24"/>
          <w:szCs w:val="24"/>
          <w:lang w:val="en-US"/>
        </w:rPr>
        <w:t xml:space="preserve">Hodson, D. (2014). “Eurozone governance: Recovery, reticence and reform”. </w:t>
      </w:r>
      <w:r w:rsidRPr="008D1F23">
        <w:rPr>
          <w:rFonts w:ascii="Calibri" w:eastAsia="Times New Roman" w:hAnsi="Calibri" w:cs="Times New Roman"/>
          <w:i/>
          <w:sz w:val="24"/>
          <w:szCs w:val="24"/>
          <w:lang w:val="en-US"/>
        </w:rPr>
        <w:t>Journal of Common Market Studies</w:t>
      </w:r>
      <w:r w:rsidRPr="008D1F23">
        <w:rPr>
          <w:rFonts w:ascii="Calibri" w:eastAsia="Times New Roman" w:hAnsi="Calibri" w:cs="Times New Roman"/>
          <w:sz w:val="24"/>
          <w:szCs w:val="24"/>
          <w:lang w:val="en-US"/>
        </w:rPr>
        <w:t xml:space="preserve"> DOI: 10.111/jcms.12170.</w:t>
      </w:r>
    </w:p>
    <w:p w:rsidR="008D1F23" w:rsidRPr="008D1F23" w:rsidRDefault="008D1F23" w:rsidP="008D1F23">
      <w:pPr>
        <w:spacing w:before="120" w:after="120" w:line="480" w:lineRule="auto"/>
        <w:rPr>
          <w:rFonts w:ascii="Calibri" w:eastAsia="Times New Roman" w:hAnsi="Calibri" w:cs="Times New Roman"/>
          <w:sz w:val="24"/>
          <w:szCs w:val="24"/>
          <w:lang w:val="en-US"/>
        </w:rPr>
      </w:pPr>
      <w:r w:rsidRPr="008D1F23">
        <w:rPr>
          <w:rFonts w:ascii="Calibri" w:eastAsia="Times New Roman" w:hAnsi="Calibri" w:cs="Times New Roman"/>
          <w:sz w:val="24"/>
          <w:szCs w:val="24"/>
          <w:lang w:val="en-US"/>
        </w:rPr>
        <w:t xml:space="preserve">Hustedt, T. and Seyfried, M. (2015). “Co-ordination across internal organizational boundaries: how the EU Commission co-ordinates climate policies”. </w:t>
      </w:r>
      <w:r w:rsidRPr="008D1F23">
        <w:rPr>
          <w:rFonts w:ascii="Calibri" w:eastAsia="Times New Roman" w:hAnsi="Calibri" w:cs="Times New Roman"/>
          <w:i/>
          <w:sz w:val="24"/>
          <w:szCs w:val="24"/>
          <w:lang w:val="en-US"/>
        </w:rPr>
        <w:t>Journal of European Public Policy</w:t>
      </w:r>
      <w:r w:rsidRPr="008D1F23">
        <w:rPr>
          <w:rFonts w:ascii="Calibri" w:eastAsia="Times New Roman" w:hAnsi="Calibri" w:cs="Times New Roman"/>
          <w:sz w:val="24"/>
          <w:szCs w:val="24"/>
          <w:lang w:val="en-US"/>
        </w:rPr>
        <w:t>, DOI: 10.1080/13501763.2015.1074605</w:t>
      </w:r>
    </w:p>
    <w:p w:rsidR="008D1F23" w:rsidRPr="008D1F23" w:rsidRDefault="008D1F23" w:rsidP="008D1F23">
      <w:pPr>
        <w:spacing w:before="120" w:after="120" w:line="480" w:lineRule="auto"/>
        <w:rPr>
          <w:rFonts w:ascii="Calibri" w:eastAsia="Times New Roman" w:hAnsi="Calibri" w:cs="Times New Roman"/>
          <w:sz w:val="24"/>
          <w:szCs w:val="24"/>
          <w:lang w:val="en-US"/>
        </w:rPr>
      </w:pPr>
      <w:r w:rsidRPr="008D1F23">
        <w:rPr>
          <w:rFonts w:ascii="Calibri" w:eastAsia="Times New Roman" w:hAnsi="Calibri" w:cs="Times New Roman"/>
          <w:sz w:val="24"/>
          <w:szCs w:val="24"/>
          <w:lang w:val="en-US"/>
        </w:rPr>
        <w:t xml:space="preserve">Jacobsson, B., Pierre, J. and Sundstrom, G. (2015). </w:t>
      </w:r>
      <w:r w:rsidRPr="008D1F23">
        <w:rPr>
          <w:rFonts w:ascii="Calibri" w:eastAsia="Times New Roman" w:hAnsi="Calibri" w:cs="Times New Roman"/>
          <w:i/>
          <w:sz w:val="24"/>
          <w:szCs w:val="24"/>
          <w:lang w:val="en-US"/>
        </w:rPr>
        <w:t>Governing the Embedded State</w:t>
      </w:r>
      <w:r w:rsidRPr="008D1F23">
        <w:rPr>
          <w:rFonts w:ascii="Calibri" w:eastAsia="Times New Roman" w:hAnsi="Calibri" w:cs="Times New Roman"/>
          <w:sz w:val="24"/>
          <w:szCs w:val="24"/>
          <w:lang w:val="en-US"/>
        </w:rPr>
        <w:t xml:space="preserve"> (Oxford: Oxford University Press).</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Kassim, H. (2006). “The Secretariat General of the European Commission”. In Spence, D. (ed.). </w:t>
      </w:r>
      <w:r w:rsidRPr="008D1F23">
        <w:rPr>
          <w:rFonts w:ascii="Calibri" w:eastAsia="Times New Roman" w:hAnsi="Calibri" w:cs="Times New Roman"/>
          <w:i/>
          <w:sz w:val="24"/>
          <w:szCs w:val="24"/>
          <w:lang w:val="en-GB" w:eastAsia="en-GB"/>
        </w:rPr>
        <w:t>The European Commission</w:t>
      </w:r>
      <w:r w:rsidRPr="008D1F23">
        <w:rPr>
          <w:rFonts w:ascii="Calibri" w:eastAsia="Times New Roman" w:hAnsi="Calibri" w:cs="Times New Roman"/>
          <w:sz w:val="24"/>
          <w:szCs w:val="24"/>
          <w:lang w:val="en-GB" w:eastAsia="en-GB"/>
        </w:rPr>
        <w:t xml:space="preserve"> (London: John Harper Publishing). </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Kelemen, R.D. (2002). “The politics of ‘Eurocratic’ structure and the new European agencies”. </w:t>
      </w:r>
      <w:r w:rsidRPr="008D1F23">
        <w:rPr>
          <w:rFonts w:ascii="Calibri" w:eastAsia="Times New Roman" w:hAnsi="Calibri" w:cs="Times New Roman"/>
          <w:i/>
          <w:sz w:val="24"/>
          <w:szCs w:val="24"/>
          <w:lang w:val="en-GB" w:eastAsia="en-GB"/>
        </w:rPr>
        <w:t>West European Politics</w:t>
      </w:r>
      <w:r w:rsidRPr="008D1F23">
        <w:rPr>
          <w:rFonts w:ascii="Calibri" w:eastAsia="Times New Roman" w:hAnsi="Calibri" w:cs="Times New Roman"/>
          <w:sz w:val="24"/>
          <w:szCs w:val="24"/>
          <w:lang w:val="en-GB" w:eastAsia="en-GB"/>
        </w:rPr>
        <w:t xml:space="preserve"> 25(4): 93-118.</w:t>
      </w:r>
    </w:p>
    <w:p w:rsidR="008D1F23" w:rsidRPr="008D1F23" w:rsidRDefault="008D1F23" w:rsidP="008D1F23">
      <w:pPr>
        <w:spacing w:before="120" w:after="120" w:line="480" w:lineRule="auto"/>
        <w:rPr>
          <w:rFonts w:ascii="Calibri" w:eastAsia="Times New Roman" w:hAnsi="Calibri" w:cs="Times New Roman"/>
          <w:sz w:val="24"/>
          <w:szCs w:val="24"/>
          <w:lang w:val="en-GB"/>
        </w:rPr>
      </w:pPr>
      <w:r w:rsidRPr="008D1F23">
        <w:rPr>
          <w:rFonts w:ascii="Calibri" w:eastAsia="Times New Roman" w:hAnsi="Calibri" w:cs="Times New Roman"/>
          <w:sz w:val="24"/>
          <w:szCs w:val="24"/>
          <w:lang w:val="en-GB"/>
        </w:rPr>
        <w:t xml:space="preserve">Kurpas, S., Grøn, C. and Kacsynski, P.M. (2008). </w:t>
      </w:r>
      <w:r w:rsidRPr="008D1F23">
        <w:rPr>
          <w:rFonts w:ascii="Calibri" w:eastAsia="Times New Roman" w:hAnsi="Calibri" w:cs="Times New Roman"/>
          <w:i/>
          <w:sz w:val="24"/>
          <w:szCs w:val="24"/>
          <w:lang w:val="en-GB"/>
        </w:rPr>
        <w:t>The European Commission after enlargement: Does more add up to less?</w:t>
      </w:r>
      <w:r w:rsidRPr="008D1F23">
        <w:rPr>
          <w:rFonts w:ascii="Calibri" w:eastAsia="Times New Roman" w:hAnsi="Calibri" w:cs="Times New Roman"/>
          <w:sz w:val="24"/>
          <w:szCs w:val="24"/>
          <w:lang w:val="en-GB"/>
        </w:rPr>
        <w:t xml:space="preserve"> (Brussels: CEPS Special Report). </w:t>
      </w:r>
    </w:p>
    <w:p w:rsidR="008D1F23" w:rsidRPr="008D1F23" w:rsidRDefault="008D1F23" w:rsidP="008D1F23">
      <w:pPr>
        <w:spacing w:before="120" w:after="120" w:line="480" w:lineRule="auto"/>
        <w:rPr>
          <w:rFonts w:ascii="Calibri" w:eastAsia="Times New Roman" w:hAnsi="Calibri" w:cs="Times New Roman"/>
          <w:sz w:val="24"/>
          <w:szCs w:val="24"/>
        </w:rPr>
      </w:pPr>
      <w:r w:rsidRPr="008D1F23">
        <w:rPr>
          <w:rFonts w:ascii="Calibri" w:eastAsia="Times New Roman" w:hAnsi="Calibri" w:cs="Times New Roman"/>
          <w:sz w:val="24"/>
          <w:szCs w:val="24"/>
          <w:lang w:val="en-GB"/>
        </w:rPr>
        <w:t xml:space="preserve">Landau, M. (1969). “Redundancy, rationality, and the problem of duplication and overlap”. </w:t>
      </w:r>
      <w:r w:rsidRPr="008D1F23">
        <w:rPr>
          <w:rFonts w:ascii="Calibri" w:eastAsia="Times New Roman" w:hAnsi="Calibri" w:cs="Times New Roman"/>
          <w:i/>
          <w:sz w:val="24"/>
          <w:szCs w:val="24"/>
        </w:rPr>
        <w:t>Public Administration Review</w:t>
      </w:r>
      <w:r w:rsidRPr="008D1F23">
        <w:rPr>
          <w:rFonts w:ascii="Calibri" w:eastAsia="Times New Roman" w:hAnsi="Calibri" w:cs="Times New Roman"/>
          <w:sz w:val="24"/>
          <w:szCs w:val="24"/>
        </w:rPr>
        <w:t xml:space="preserve"> 29: 346-358.</w:t>
      </w:r>
    </w:p>
    <w:p w:rsidR="008D1F23" w:rsidRPr="008D1F23" w:rsidRDefault="008D1F23" w:rsidP="008D1F23">
      <w:pPr>
        <w:spacing w:before="120" w:after="120" w:line="480" w:lineRule="auto"/>
        <w:rPr>
          <w:rFonts w:ascii="Calibri" w:eastAsia="Times New Roman" w:hAnsi="Calibri" w:cs="Times New Roman"/>
          <w:sz w:val="24"/>
          <w:szCs w:val="20"/>
          <w:lang w:eastAsia="nb-NO"/>
        </w:rPr>
      </w:pPr>
      <w:r w:rsidRPr="008D1F23">
        <w:rPr>
          <w:rFonts w:ascii="Calibri" w:eastAsia="Times New Roman" w:hAnsi="Calibri" w:cs="Times New Roman"/>
          <w:sz w:val="24"/>
          <w:szCs w:val="20"/>
          <w:lang w:eastAsia="nb-NO"/>
        </w:rPr>
        <w:lastRenderedPageBreak/>
        <w:t xml:space="preserve">Laegreid, P. and Olsen, J.P. (1978). </w:t>
      </w:r>
      <w:r w:rsidRPr="008D1F23">
        <w:rPr>
          <w:rFonts w:ascii="Calibri" w:eastAsia="Times New Roman" w:hAnsi="Calibri" w:cs="Times New Roman"/>
          <w:i/>
          <w:sz w:val="24"/>
          <w:szCs w:val="20"/>
          <w:lang w:eastAsia="nb-NO"/>
        </w:rPr>
        <w:t>Byråkrati og beslutninger</w:t>
      </w:r>
      <w:r w:rsidRPr="008D1F23">
        <w:rPr>
          <w:rFonts w:ascii="Calibri" w:eastAsia="Times New Roman" w:hAnsi="Calibri" w:cs="Times New Roman"/>
          <w:sz w:val="24"/>
          <w:szCs w:val="20"/>
          <w:lang w:eastAsia="nb-NO"/>
        </w:rPr>
        <w:t xml:space="preserve"> (Bergen: Universitetsforlaget).</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Loth, W. and Bitsch, M.-T. (2007). “The Hallstein Commission 1958-67”. In Dumoulin. M. (ed.). </w:t>
      </w:r>
      <w:r w:rsidRPr="008D1F23">
        <w:rPr>
          <w:rFonts w:ascii="Calibri" w:eastAsia="Times New Roman" w:hAnsi="Calibri" w:cs="Times New Roman"/>
          <w:i/>
          <w:sz w:val="24"/>
          <w:szCs w:val="24"/>
          <w:lang w:val="en-GB" w:eastAsia="en-GB"/>
        </w:rPr>
        <w:t>The European Commission, 1958-72. History and memories</w:t>
      </w:r>
      <w:r w:rsidRPr="008D1F23">
        <w:rPr>
          <w:rFonts w:ascii="Calibri" w:eastAsia="Times New Roman" w:hAnsi="Calibri" w:cs="Times New Roman"/>
          <w:sz w:val="24"/>
          <w:szCs w:val="24"/>
          <w:lang w:val="en-GB" w:eastAsia="en-GB"/>
        </w:rPr>
        <w:t xml:space="preserve"> (Brussels: European Commission). </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Laffan, B. (2016). “Europe’s union in crisis: tested and contested”. </w:t>
      </w:r>
      <w:r w:rsidRPr="008D1F23">
        <w:rPr>
          <w:rFonts w:ascii="Calibri" w:eastAsia="Times New Roman" w:hAnsi="Calibri" w:cs="Times New Roman"/>
          <w:i/>
          <w:sz w:val="24"/>
          <w:szCs w:val="24"/>
          <w:lang w:val="en-GB" w:eastAsia="en-GB"/>
        </w:rPr>
        <w:t>West European Politics</w:t>
      </w:r>
      <w:r w:rsidRPr="008D1F23">
        <w:rPr>
          <w:rFonts w:ascii="Calibri" w:eastAsia="Times New Roman" w:hAnsi="Calibri" w:cs="Times New Roman"/>
          <w:sz w:val="24"/>
          <w:szCs w:val="24"/>
          <w:lang w:val="en-GB" w:eastAsia="en-GB"/>
        </w:rPr>
        <w:t xml:space="preserve"> 39(5): 915-932.</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Madison, J. (1788). “The influence of the state and federal governments compared”. In Madison, J., Hamilton, A. and John, J. (eds.). </w:t>
      </w:r>
      <w:r w:rsidRPr="008D1F23">
        <w:rPr>
          <w:rFonts w:ascii="Calibri" w:eastAsia="Times New Roman" w:hAnsi="Calibri" w:cs="Times New Roman"/>
          <w:i/>
          <w:sz w:val="24"/>
          <w:szCs w:val="24"/>
          <w:lang w:val="en-GB" w:eastAsia="en-GB"/>
        </w:rPr>
        <w:t>The Federalist Papers</w:t>
      </w:r>
      <w:r w:rsidRPr="008D1F23">
        <w:rPr>
          <w:rFonts w:ascii="Calibri" w:eastAsia="Times New Roman" w:hAnsi="Calibri" w:cs="Times New Roman"/>
          <w:sz w:val="24"/>
          <w:szCs w:val="24"/>
          <w:lang w:val="en-GB" w:eastAsia="en-GB"/>
        </w:rPr>
        <w:t xml:space="preserve"> (New York: SoHo Books).</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eastAsia="en-GB"/>
        </w:rPr>
        <w:t xml:space="preserve">Mangenot, M. and Seidel, K. (2014). </w:t>
      </w:r>
      <w:r w:rsidRPr="008D1F23">
        <w:rPr>
          <w:rFonts w:ascii="Calibri" w:eastAsia="Times New Roman" w:hAnsi="Calibri" w:cs="Times New Roman"/>
          <w:sz w:val="24"/>
          <w:szCs w:val="24"/>
          <w:lang w:val="en-GB" w:eastAsia="en-GB"/>
        </w:rPr>
        <w:t xml:space="preserve">“Consolidating the European civil service”. In Bussiere, E., Dujardin, V., Dumoulin, M., Ludlow, P., Brouwer, J.W. and Tilly, P. (eds.). </w:t>
      </w:r>
      <w:r w:rsidRPr="008D1F23">
        <w:rPr>
          <w:rFonts w:ascii="Calibri" w:eastAsia="Times New Roman" w:hAnsi="Calibri" w:cs="Times New Roman"/>
          <w:i/>
          <w:sz w:val="24"/>
          <w:szCs w:val="24"/>
          <w:lang w:val="en-GB" w:eastAsia="en-GB"/>
        </w:rPr>
        <w:t>The European Commission. 1973-86. History and Memories of an Institution (</w:t>
      </w:r>
      <w:r w:rsidRPr="008D1F23">
        <w:rPr>
          <w:rFonts w:ascii="Calibri" w:eastAsia="Times New Roman" w:hAnsi="Calibri" w:cs="Times New Roman"/>
          <w:sz w:val="24"/>
          <w:szCs w:val="24"/>
          <w:lang w:val="en-GB" w:eastAsia="en-GB"/>
        </w:rPr>
        <w:t>Brussels: European Commission).</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March, J.G. (1999). “A learning perspective on the network dynamics of institutional integration”. In Egeberg, M. and Lægreid, P. (eds.). </w:t>
      </w:r>
      <w:r w:rsidRPr="008D1F23">
        <w:rPr>
          <w:rFonts w:ascii="Calibri" w:eastAsia="Times New Roman" w:hAnsi="Calibri" w:cs="Times New Roman"/>
          <w:i/>
          <w:sz w:val="24"/>
          <w:szCs w:val="24"/>
          <w:lang w:val="en-GB" w:eastAsia="en-GB"/>
        </w:rPr>
        <w:t>Organizing Political Institutions</w:t>
      </w:r>
      <w:r w:rsidRPr="008D1F23">
        <w:rPr>
          <w:rFonts w:ascii="Calibri" w:eastAsia="Times New Roman" w:hAnsi="Calibri" w:cs="Times New Roman"/>
          <w:sz w:val="24"/>
          <w:szCs w:val="24"/>
          <w:lang w:val="en-GB" w:eastAsia="en-GB"/>
        </w:rPr>
        <w:t xml:space="preserve"> (Oslo: Scandinavian University Press).</w:t>
      </w:r>
    </w:p>
    <w:p w:rsidR="008D1F23" w:rsidRPr="008D1F23" w:rsidRDefault="008D1F23" w:rsidP="008D1F23">
      <w:pPr>
        <w:spacing w:before="120" w:after="120" w:line="480" w:lineRule="auto"/>
        <w:rPr>
          <w:rFonts w:ascii="Calibri" w:eastAsia="Times New Roman" w:hAnsi="Calibri" w:cs="Calibri"/>
          <w:sz w:val="24"/>
          <w:szCs w:val="24"/>
          <w:lang w:val="en-US" w:eastAsia="nb-NO"/>
        </w:rPr>
      </w:pPr>
      <w:r w:rsidRPr="008D1F23">
        <w:rPr>
          <w:rFonts w:ascii="Calibri" w:eastAsia="Times New Roman" w:hAnsi="Calibri" w:cs="Calibri"/>
          <w:sz w:val="24"/>
          <w:szCs w:val="24"/>
          <w:lang w:val="en-GB" w:eastAsia="nb-NO" w:bidi="he-IL"/>
        </w:rPr>
        <w:t xml:space="preserve">March, J. G. and Olsen, J.P. </w:t>
      </w:r>
      <w:r w:rsidRPr="008D1F23">
        <w:rPr>
          <w:rFonts w:ascii="Calibri" w:eastAsia="Times New Roman" w:hAnsi="Calibri" w:cs="Calibri"/>
          <w:sz w:val="24"/>
          <w:szCs w:val="24"/>
          <w:lang w:val="en-US" w:eastAsia="nb-NO"/>
        </w:rPr>
        <w:t xml:space="preserve">(1998). “The Institutional Dynamics of International Political Orders”. </w:t>
      </w:r>
      <w:r w:rsidRPr="008D1F23">
        <w:rPr>
          <w:rFonts w:ascii="Calibri" w:eastAsia="Times New Roman" w:hAnsi="Calibri" w:cs="Calibri"/>
          <w:i/>
          <w:sz w:val="24"/>
          <w:szCs w:val="24"/>
          <w:lang w:val="en-US" w:eastAsia="nb-NO"/>
        </w:rPr>
        <w:t>International Organization</w:t>
      </w:r>
      <w:r w:rsidRPr="008D1F23">
        <w:rPr>
          <w:rFonts w:ascii="Calibri" w:eastAsia="Times New Roman" w:hAnsi="Calibri" w:cs="Calibri"/>
          <w:sz w:val="24"/>
          <w:szCs w:val="24"/>
          <w:lang w:val="en-US" w:eastAsia="nb-NO"/>
        </w:rPr>
        <w:t xml:space="preserve"> 52 (4): 943-969.</w:t>
      </w:r>
    </w:p>
    <w:p w:rsidR="008D1F23" w:rsidRPr="008D1F23" w:rsidRDefault="008D1F23" w:rsidP="008D1F23">
      <w:pPr>
        <w:spacing w:before="240" w:after="60" w:line="480" w:lineRule="auto"/>
        <w:outlineLvl w:val="4"/>
        <w:rPr>
          <w:rFonts w:ascii="Calibri" w:eastAsia="Calibri" w:hAnsi="Calibri" w:cs="Calibri"/>
          <w:sz w:val="24"/>
          <w:szCs w:val="24"/>
          <w:lang w:val="en-GB"/>
        </w:rPr>
      </w:pPr>
      <w:r w:rsidRPr="008D1F23">
        <w:rPr>
          <w:rFonts w:ascii="Calibri" w:eastAsia="Times New Roman" w:hAnsi="Calibri" w:cs="Calibri"/>
          <w:bCs/>
          <w:iCs/>
          <w:sz w:val="24"/>
          <w:szCs w:val="24"/>
          <w:lang w:val="en-GB" w:eastAsia="en-GB"/>
        </w:rPr>
        <w:t>Martens, M. (2010).</w:t>
      </w:r>
      <w:r w:rsidRPr="008D1F23">
        <w:rPr>
          <w:rFonts w:ascii="Calibri" w:eastAsia="Times New Roman" w:hAnsi="Calibri" w:cs="Calibri"/>
          <w:bCs/>
          <w:i/>
          <w:iCs/>
          <w:sz w:val="24"/>
          <w:szCs w:val="24"/>
          <w:lang w:val="en-GB" w:eastAsia="en-GB"/>
        </w:rPr>
        <w:t xml:space="preserve"> Organized administrative integration. The role of agencies in the European administrative system. </w:t>
      </w:r>
      <w:r w:rsidRPr="008D1F23">
        <w:rPr>
          <w:rFonts w:ascii="Calibri" w:eastAsia="Times New Roman" w:hAnsi="Calibri" w:cs="Calibri"/>
          <w:bCs/>
          <w:iCs/>
          <w:sz w:val="24"/>
          <w:szCs w:val="24"/>
          <w:lang w:val="en-GB" w:eastAsia="en-GB"/>
        </w:rPr>
        <w:t>PhD Thesis (University of Oslo).</w:t>
      </w:r>
    </w:p>
    <w:p w:rsidR="008D1F23" w:rsidRPr="008D1F23" w:rsidRDefault="008D1F23" w:rsidP="008D1F23">
      <w:pPr>
        <w:spacing w:after="0" w:line="480" w:lineRule="auto"/>
        <w:rPr>
          <w:rFonts w:ascii="Calibri" w:eastAsia="Calibri" w:hAnsi="Calibri" w:cs="Calibri"/>
          <w:sz w:val="24"/>
          <w:szCs w:val="24"/>
          <w:lang w:val="en-GB"/>
        </w:rPr>
      </w:pPr>
      <w:r w:rsidRPr="008D1F23">
        <w:rPr>
          <w:rFonts w:ascii="Calibri" w:eastAsia="Calibri" w:hAnsi="Calibri" w:cs="Calibri"/>
          <w:sz w:val="24"/>
          <w:szCs w:val="24"/>
          <w:lang w:val="en-GB"/>
        </w:rPr>
        <w:t xml:space="preserve">Matthews, F. (2012). “Governance and state capacity”. In Levi-Faur, D. (ed.). </w:t>
      </w:r>
      <w:r w:rsidRPr="008D1F23">
        <w:rPr>
          <w:rFonts w:ascii="Calibri" w:eastAsia="Calibri" w:hAnsi="Calibri" w:cs="Calibri"/>
          <w:i/>
          <w:sz w:val="24"/>
          <w:szCs w:val="24"/>
          <w:lang w:val="en-GB"/>
        </w:rPr>
        <w:t>The Oxford Handbook of Governance</w:t>
      </w:r>
      <w:r w:rsidRPr="008D1F23">
        <w:rPr>
          <w:rFonts w:ascii="Calibri" w:eastAsia="Calibri" w:hAnsi="Calibri" w:cs="Calibri"/>
          <w:sz w:val="24"/>
          <w:szCs w:val="24"/>
          <w:lang w:val="en-GB"/>
        </w:rPr>
        <w:t xml:space="preserve"> (Oxford: Oxford University Press).</w:t>
      </w:r>
    </w:p>
    <w:p w:rsidR="008D1F23" w:rsidRPr="008D1F23" w:rsidRDefault="008D1F23" w:rsidP="008D1F23">
      <w:pPr>
        <w:spacing w:before="120" w:after="120" w:line="480" w:lineRule="auto"/>
        <w:rPr>
          <w:rFonts w:ascii="Calibri" w:eastAsia="Times New Roman" w:hAnsi="Calibri" w:cs="Calibri"/>
          <w:sz w:val="24"/>
          <w:szCs w:val="24"/>
          <w:lang w:val="en-GB" w:eastAsia="nb-NO"/>
        </w:rPr>
      </w:pPr>
      <w:r w:rsidRPr="008D1F23">
        <w:rPr>
          <w:rFonts w:ascii="Calibri" w:eastAsia="Times New Roman" w:hAnsi="Calibri" w:cs="Calibri"/>
          <w:sz w:val="24"/>
          <w:szCs w:val="24"/>
          <w:lang w:val="en-GB" w:eastAsia="nb-NO"/>
        </w:rPr>
        <w:lastRenderedPageBreak/>
        <w:t xml:space="preserve">Murdoch, Z. and Trondal, J. (2013). “Contracted Government. Unveiling the European Commission’s contracted staff”. </w:t>
      </w:r>
      <w:r w:rsidRPr="008D1F23">
        <w:rPr>
          <w:rFonts w:ascii="Calibri" w:eastAsia="Times New Roman" w:hAnsi="Calibri" w:cs="Calibri"/>
          <w:i/>
          <w:sz w:val="24"/>
          <w:szCs w:val="24"/>
          <w:lang w:val="en-GB" w:eastAsia="nb-NO"/>
        </w:rPr>
        <w:t>West European Politics</w:t>
      </w:r>
      <w:r w:rsidRPr="008D1F23">
        <w:rPr>
          <w:rFonts w:ascii="Calibri" w:eastAsia="Times New Roman" w:hAnsi="Calibri" w:cs="Calibri"/>
          <w:sz w:val="24"/>
          <w:szCs w:val="24"/>
          <w:lang w:val="en-GB" w:eastAsia="nb-NO"/>
        </w:rPr>
        <w:t xml:space="preserve"> 36(1): 1-21.</w:t>
      </w:r>
    </w:p>
    <w:p w:rsidR="008D1F23" w:rsidRPr="008D1F23" w:rsidRDefault="008D1F23" w:rsidP="008D1F23">
      <w:pPr>
        <w:widowControl w:val="0"/>
        <w:spacing w:before="120" w:after="120" w:line="480" w:lineRule="auto"/>
        <w:ind w:left="360" w:hanging="360"/>
        <w:rPr>
          <w:rFonts w:ascii="Calibri" w:eastAsia="Times New Roman" w:hAnsi="Calibri" w:cs="Calibri"/>
          <w:sz w:val="24"/>
          <w:szCs w:val="24"/>
          <w:lang w:val="en-GB" w:eastAsia="en-GB"/>
        </w:rPr>
      </w:pPr>
      <w:r w:rsidRPr="008D1F23">
        <w:rPr>
          <w:rFonts w:ascii="Calibri" w:eastAsia="Times New Roman" w:hAnsi="Calibri" w:cs="Calibri"/>
          <w:sz w:val="24"/>
          <w:szCs w:val="24"/>
          <w:lang w:val="en-GB" w:eastAsia="en-GB"/>
        </w:rPr>
        <w:t xml:space="preserve">Olsen, J.P. (2010). </w:t>
      </w:r>
      <w:r w:rsidRPr="008D1F23">
        <w:rPr>
          <w:rFonts w:ascii="Calibri" w:eastAsia="Times New Roman" w:hAnsi="Calibri" w:cs="Calibri"/>
          <w:i/>
          <w:sz w:val="24"/>
          <w:szCs w:val="24"/>
          <w:lang w:val="en-GB" w:eastAsia="en-GB"/>
        </w:rPr>
        <w:t>Governing through Institutional Building</w:t>
      </w:r>
      <w:r w:rsidRPr="008D1F23">
        <w:rPr>
          <w:rFonts w:ascii="Calibri" w:eastAsia="Times New Roman" w:hAnsi="Calibri" w:cs="Calibri"/>
          <w:sz w:val="24"/>
          <w:szCs w:val="24"/>
          <w:lang w:val="en-GB" w:eastAsia="en-GB"/>
        </w:rPr>
        <w:t xml:space="preserve"> (Oxford: Oxford University Press).</w:t>
      </w:r>
    </w:p>
    <w:p w:rsidR="008D1F23" w:rsidRPr="008D1F23" w:rsidRDefault="008D1F23" w:rsidP="008D1F23">
      <w:pPr>
        <w:widowControl w:val="0"/>
        <w:spacing w:before="120" w:after="120" w:line="480" w:lineRule="auto"/>
        <w:rPr>
          <w:rFonts w:ascii="Calibri" w:eastAsia="Times New Roman" w:hAnsi="Calibri" w:cs="Calibri"/>
          <w:sz w:val="24"/>
          <w:szCs w:val="24"/>
          <w:lang w:val="en-GB" w:eastAsia="en-GB"/>
        </w:rPr>
      </w:pPr>
      <w:r w:rsidRPr="008D1F23">
        <w:rPr>
          <w:rFonts w:ascii="Calibri" w:eastAsia="Times New Roman" w:hAnsi="Calibri" w:cs="Calibri"/>
          <w:sz w:val="24"/>
          <w:szCs w:val="24"/>
          <w:lang w:val="en-GB" w:eastAsia="en-GB"/>
        </w:rPr>
        <w:t xml:space="preserve">Overeem, P. and Sager, F. (2015). “Conclusions: Common ground for a common future?”. In F. Sager and Overeem, P. (eds.). </w:t>
      </w:r>
      <w:r w:rsidRPr="008D1F23">
        <w:rPr>
          <w:rFonts w:ascii="Calibri" w:eastAsia="Times New Roman" w:hAnsi="Calibri" w:cs="Calibri"/>
          <w:i/>
          <w:sz w:val="24"/>
          <w:szCs w:val="24"/>
          <w:lang w:val="en-GB" w:eastAsia="en-GB"/>
        </w:rPr>
        <w:t>The European Public Servant</w:t>
      </w:r>
      <w:r w:rsidRPr="008D1F23">
        <w:rPr>
          <w:rFonts w:ascii="Calibri" w:eastAsia="Times New Roman" w:hAnsi="Calibri" w:cs="Calibri"/>
          <w:sz w:val="24"/>
          <w:szCs w:val="24"/>
          <w:lang w:val="en-GB" w:eastAsia="en-GB"/>
        </w:rPr>
        <w:t xml:space="preserve"> (Colchester: ECPR Press).</w:t>
      </w:r>
    </w:p>
    <w:p w:rsidR="008D1F23" w:rsidRPr="008D1F23" w:rsidRDefault="008D1F23" w:rsidP="008D1F23">
      <w:pPr>
        <w:widowControl w:val="0"/>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Peterson, J. and Shackleton, M. (2012). “The EU institutions: an overview”. In Peterson, J. and Schacleton, M. (eds.). </w:t>
      </w:r>
      <w:r w:rsidRPr="008D1F23">
        <w:rPr>
          <w:rFonts w:ascii="Calibri" w:eastAsia="Times New Roman" w:hAnsi="Calibri" w:cs="Times New Roman"/>
          <w:i/>
          <w:sz w:val="24"/>
          <w:szCs w:val="24"/>
          <w:lang w:val="en-GB" w:eastAsia="en-GB"/>
        </w:rPr>
        <w:t>The Institutions of the European Union</w:t>
      </w:r>
      <w:r w:rsidRPr="008D1F23">
        <w:rPr>
          <w:rFonts w:ascii="Calibri" w:eastAsia="Times New Roman" w:hAnsi="Calibri" w:cs="Times New Roman"/>
          <w:sz w:val="24"/>
          <w:szCs w:val="24"/>
          <w:lang w:val="en-GB" w:eastAsia="en-GB"/>
        </w:rPr>
        <w:t xml:space="preserve"> (Oxford: Oxford University Press).</w:t>
      </w:r>
    </w:p>
    <w:p w:rsidR="008D1F23" w:rsidRPr="008D1F23" w:rsidRDefault="008D1F23" w:rsidP="008D1F23">
      <w:pPr>
        <w:spacing w:before="120" w:after="120" w:line="480" w:lineRule="auto"/>
        <w:rPr>
          <w:rFonts w:ascii="Calibri" w:eastAsia="Times New Roman" w:hAnsi="Calibri" w:cs="Times New Roman"/>
          <w:sz w:val="24"/>
          <w:szCs w:val="24"/>
          <w:lang w:val="en-GB"/>
        </w:rPr>
      </w:pPr>
      <w:r w:rsidRPr="008D1F23">
        <w:rPr>
          <w:rFonts w:ascii="Calibri" w:eastAsia="Times New Roman" w:hAnsi="Calibri" w:cs="Times New Roman"/>
          <w:sz w:val="24"/>
          <w:szCs w:val="24"/>
          <w:lang w:val="en-GB"/>
        </w:rPr>
        <w:t xml:space="preserve">Richards, D. and Smith, M.J. (2004). “Interpreting the world of political elites”. </w:t>
      </w:r>
      <w:r w:rsidRPr="008D1F23">
        <w:rPr>
          <w:rFonts w:ascii="Calibri" w:eastAsia="Times New Roman" w:hAnsi="Calibri" w:cs="Times New Roman"/>
          <w:i/>
          <w:sz w:val="24"/>
          <w:szCs w:val="24"/>
          <w:lang w:val="en-GB"/>
        </w:rPr>
        <w:t>Public Administration</w:t>
      </w:r>
      <w:r w:rsidRPr="008D1F23">
        <w:rPr>
          <w:rFonts w:ascii="Calibri" w:eastAsia="Times New Roman" w:hAnsi="Calibri" w:cs="Times New Roman"/>
          <w:sz w:val="24"/>
          <w:szCs w:val="24"/>
          <w:lang w:val="en-GB"/>
        </w:rPr>
        <w:t xml:space="preserve"> 82 (4): 777-800.</w:t>
      </w:r>
    </w:p>
    <w:p w:rsidR="008D1F23" w:rsidRPr="008D1F23" w:rsidRDefault="008D1F23" w:rsidP="008D1F23">
      <w:pPr>
        <w:spacing w:before="120" w:after="120" w:line="480" w:lineRule="auto"/>
        <w:rPr>
          <w:rFonts w:ascii="Calibri" w:eastAsia="Times New Roman" w:hAnsi="Calibri" w:cs="Times New Roman"/>
          <w:sz w:val="24"/>
          <w:szCs w:val="24"/>
          <w:lang w:val="en-GB"/>
        </w:rPr>
      </w:pPr>
      <w:r w:rsidRPr="008D1F23">
        <w:rPr>
          <w:rFonts w:ascii="Calibri" w:eastAsia="Times New Roman" w:hAnsi="Calibri" w:cs="Times New Roman"/>
          <w:sz w:val="24"/>
          <w:szCs w:val="24"/>
          <w:lang w:val="en-GB"/>
        </w:rPr>
        <w:t xml:space="preserve">Rittberger, B. and Wonka, A. (2011). “Introduction: agency governance in the European Union”. </w:t>
      </w:r>
      <w:r w:rsidRPr="008D1F23">
        <w:rPr>
          <w:rFonts w:ascii="Calibri" w:eastAsia="Times New Roman" w:hAnsi="Calibri" w:cs="Times New Roman"/>
          <w:i/>
          <w:sz w:val="24"/>
          <w:szCs w:val="24"/>
          <w:lang w:val="en-GB"/>
        </w:rPr>
        <w:t>Journal of European Public Policy</w:t>
      </w:r>
      <w:r w:rsidRPr="008D1F23">
        <w:rPr>
          <w:rFonts w:ascii="Calibri" w:eastAsia="Times New Roman" w:hAnsi="Calibri" w:cs="Times New Roman"/>
          <w:sz w:val="24"/>
          <w:szCs w:val="24"/>
          <w:lang w:val="en-GB"/>
        </w:rPr>
        <w:t xml:space="preserve"> 18 (6): 780-789.</w:t>
      </w:r>
    </w:p>
    <w:p w:rsidR="008D1F23" w:rsidRPr="008D1F23" w:rsidRDefault="008D1F23" w:rsidP="008D1F23">
      <w:pPr>
        <w:widowControl w:val="0"/>
        <w:spacing w:before="120" w:after="120" w:line="480" w:lineRule="auto"/>
        <w:rPr>
          <w:rFonts w:ascii="Calibri" w:eastAsia="Times New Roman" w:hAnsi="Calibri" w:cs="Calibri"/>
          <w:sz w:val="24"/>
          <w:szCs w:val="24"/>
          <w:lang w:val="en-GB"/>
        </w:rPr>
      </w:pPr>
      <w:r w:rsidRPr="008D1F23">
        <w:rPr>
          <w:rFonts w:ascii="Calibri" w:eastAsia="Times New Roman" w:hAnsi="Calibri" w:cs="Calibri"/>
          <w:sz w:val="24"/>
          <w:szCs w:val="24"/>
        </w:rPr>
        <w:t>Rohtstein, B. and Teorell, J. (2012).</w:t>
      </w:r>
      <w:r w:rsidRPr="008D1F23">
        <w:rPr>
          <w:rFonts w:ascii="Consolas" w:eastAsia="Times New Roman" w:hAnsi="Consolas" w:cs="Calibri"/>
          <w:sz w:val="21"/>
          <w:szCs w:val="21"/>
        </w:rPr>
        <w:t xml:space="preserve"> </w:t>
      </w:r>
      <w:r w:rsidRPr="008D1F23">
        <w:rPr>
          <w:rFonts w:ascii="Consolas" w:eastAsia="Times New Roman" w:hAnsi="Consolas" w:cs="Calibri"/>
          <w:sz w:val="21"/>
          <w:szCs w:val="21"/>
          <w:lang w:val="en-US"/>
        </w:rPr>
        <w:t>«</w:t>
      </w:r>
      <w:r w:rsidRPr="008D1F23">
        <w:rPr>
          <w:rFonts w:ascii="Calibri" w:eastAsia="Times New Roman" w:hAnsi="Calibri" w:cs="Calibri"/>
          <w:sz w:val="24"/>
          <w:szCs w:val="24"/>
          <w:lang w:val="en"/>
        </w:rPr>
        <w:t xml:space="preserve">What is quality of government? A theory of impartial government institutions”. </w:t>
      </w:r>
      <w:r w:rsidRPr="008D1F23">
        <w:rPr>
          <w:rFonts w:ascii="Calibri" w:eastAsia="Times New Roman" w:hAnsi="Calibri" w:cs="Calibri"/>
          <w:i/>
          <w:sz w:val="24"/>
          <w:szCs w:val="24"/>
          <w:lang w:val="en"/>
        </w:rPr>
        <w:t>Governance</w:t>
      </w:r>
      <w:r w:rsidRPr="008D1F23">
        <w:rPr>
          <w:rFonts w:ascii="Calibri" w:eastAsia="Times New Roman" w:hAnsi="Calibri" w:cs="Calibri"/>
          <w:sz w:val="24"/>
          <w:szCs w:val="24"/>
          <w:lang w:val="en"/>
        </w:rPr>
        <w:t xml:space="preserve"> 21(2): 165–190.</w:t>
      </w:r>
    </w:p>
    <w:p w:rsidR="008D1F23" w:rsidRPr="008D1F23" w:rsidRDefault="008D1F23" w:rsidP="008D1F23">
      <w:pPr>
        <w:spacing w:before="120" w:after="120" w:line="480" w:lineRule="auto"/>
        <w:rPr>
          <w:rFonts w:ascii="Calibri" w:eastAsia="Times New Roman" w:hAnsi="Calibri" w:cs="Calibri"/>
          <w:sz w:val="24"/>
          <w:szCs w:val="24"/>
          <w:lang w:val="en-GB" w:eastAsia="nb-NO"/>
        </w:rPr>
      </w:pPr>
      <w:r w:rsidRPr="008D1F23">
        <w:rPr>
          <w:rFonts w:ascii="Calibri" w:eastAsia="Times New Roman" w:hAnsi="Calibri" w:cs="Calibri"/>
          <w:sz w:val="24"/>
          <w:szCs w:val="24"/>
          <w:lang w:val="en-GB" w:eastAsia="nb-NO"/>
        </w:rPr>
        <w:t xml:space="preserve">Rokkan, S. (1999). </w:t>
      </w:r>
      <w:r w:rsidRPr="008D1F23">
        <w:rPr>
          <w:rFonts w:ascii="Calibri" w:eastAsia="Times New Roman" w:hAnsi="Calibri" w:cs="Calibri"/>
          <w:i/>
          <w:sz w:val="24"/>
          <w:szCs w:val="24"/>
          <w:lang w:val="en-GB" w:eastAsia="nb-NO"/>
        </w:rPr>
        <w:t>State Formation, Nation-Building and Mass Politics in Europe</w:t>
      </w:r>
      <w:r w:rsidRPr="008D1F23">
        <w:rPr>
          <w:rFonts w:ascii="Calibri" w:eastAsia="Times New Roman" w:hAnsi="Calibri" w:cs="Calibri"/>
          <w:sz w:val="24"/>
          <w:szCs w:val="24"/>
          <w:lang w:val="en-GB" w:eastAsia="nb-NO"/>
        </w:rPr>
        <w:t xml:space="preserve"> (Oxford: Oxford University Press).</w:t>
      </w:r>
    </w:p>
    <w:p w:rsidR="008D1F23" w:rsidRPr="008D1F23" w:rsidRDefault="008D1F23" w:rsidP="008D1F23">
      <w:pPr>
        <w:spacing w:before="120" w:after="120" w:line="480" w:lineRule="auto"/>
        <w:rPr>
          <w:rFonts w:ascii="Calibri" w:eastAsia="Times New Roman" w:hAnsi="Calibri" w:cs="Calibri"/>
          <w:sz w:val="24"/>
          <w:szCs w:val="24"/>
          <w:lang w:val="en-GB" w:eastAsia="nb-NO"/>
        </w:rPr>
      </w:pPr>
      <w:r w:rsidRPr="008D1F23">
        <w:rPr>
          <w:rFonts w:ascii="Calibri" w:eastAsia="Times New Roman" w:hAnsi="Calibri" w:cs="Calibri"/>
          <w:sz w:val="24"/>
          <w:szCs w:val="24"/>
          <w:lang w:val="en-GB" w:eastAsia="nb-NO"/>
        </w:rPr>
        <w:t xml:space="preserve">Rosenau, J.N. (1990). </w:t>
      </w:r>
      <w:r w:rsidRPr="008D1F23">
        <w:rPr>
          <w:rFonts w:ascii="Calibri" w:eastAsia="Times New Roman" w:hAnsi="Calibri" w:cs="Calibri"/>
          <w:i/>
          <w:sz w:val="24"/>
          <w:szCs w:val="24"/>
          <w:lang w:val="en-GB" w:eastAsia="nb-NO"/>
        </w:rPr>
        <w:t>Turbulence in World Politics</w:t>
      </w:r>
      <w:r w:rsidRPr="008D1F23">
        <w:rPr>
          <w:rFonts w:ascii="Calibri" w:eastAsia="Times New Roman" w:hAnsi="Calibri" w:cs="Calibri"/>
          <w:sz w:val="24"/>
          <w:szCs w:val="24"/>
          <w:lang w:val="en-GB" w:eastAsia="nb-NO"/>
        </w:rPr>
        <w:t xml:space="preserve"> (Princeton: Princeton University Press).</w:t>
      </w:r>
    </w:p>
    <w:p w:rsidR="008D1F23" w:rsidRPr="008D1F23" w:rsidRDefault="008D1F23" w:rsidP="008D1F23">
      <w:pPr>
        <w:spacing w:before="120" w:after="120" w:line="480" w:lineRule="auto"/>
        <w:rPr>
          <w:rFonts w:ascii="Calibri" w:eastAsia="Times New Roman" w:hAnsi="Calibri" w:cs="Calibri"/>
          <w:sz w:val="24"/>
          <w:szCs w:val="24"/>
          <w:lang w:val="en-GB" w:eastAsia="nb-NO"/>
        </w:rPr>
      </w:pPr>
      <w:r w:rsidRPr="008D1F23">
        <w:rPr>
          <w:rFonts w:ascii="Calibri" w:eastAsia="Times New Roman" w:hAnsi="Calibri" w:cs="Calibri"/>
          <w:sz w:val="24"/>
          <w:szCs w:val="24"/>
          <w:lang w:val="en-GB" w:eastAsia="nb-NO"/>
        </w:rPr>
        <w:t xml:space="preserve">Schattschneider, E.E. (1975). </w:t>
      </w:r>
      <w:r w:rsidRPr="008D1F23">
        <w:rPr>
          <w:rFonts w:ascii="Calibri" w:eastAsia="Times New Roman" w:hAnsi="Calibri" w:cs="Calibri"/>
          <w:i/>
          <w:sz w:val="24"/>
          <w:szCs w:val="24"/>
          <w:lang w:val="en-GB" w:eastAsia="nb-NO"/>
        </w:rPr>
        <w:t>The Semisovereign People. A Realist’s View of Democracy in America</w:t>
      </w:r>
      <w:r w:rsidRPr="008D1F23">
        <w:rPr>
          <w:rFonts w:ascii="Calibri" w:eastAsia="Times New Roman" w:hAnsi="Calibri" w:cs="Calibri"/>
          <w:sz w:val="24"/>
          <w:szCs w:val="24"/>
          <w:lang w:val="en-GB" w:eastAsia="nb-NO"/>
        </w:rPr>
        <w:t xml:space="preserve"> (Forth Worth: Harcourt Brace Jovanovich College Publishers).</w:t>
      </w:r>
    </w:p>
    <w:p w:rsidR="008D1F23" w:rsidRPr="008D1F23" w:rsidRDefault="008D1F23" w:rsidP="008D1F23">
      <w:pPr>
        <w:spacing w:before="120" w:after="120" w:line="480" w:lineRule="auto"/>
        <w:rPr>
          <w:rFonts w:ascii="Calibri" w:eastAsia="Times New Roman" w:hAnsi="Calibri" w:cs="Calibri"/>
          <w:sz w:val="24"/>
          <w:szCs w:val="24"/>
          <w:lang w:val="en-GB" w:eastAsia="nb-NO"/>
        </w:rPr>
      </w:pPr>
      <w:r w:rsidRPr="008D1F23">
        <w:rPr>
          <w:rFonts w:ascii="Calibri" w:eastAsia="Times New Roman" w:hAnsi="Calibri" w:cs="Calibri"/>
          <w:sz w:val="24"/>
          <w:szCs w:val="24"/>
          <w:lang w:val="en-GB" w:eastAsia="nb-NO"/>
        </w:rPr>
        <w:t xml:space="preserve">Schout, A. (2012). “Changing the EU’s institutional landscape? The added value of an agency”. In Busuioc, M., Groenleer, M. and Trondal, J. (eds.). </w:t>
      </w:r>
      <w:r w:rsidRPr="008D1F23">
        <w:rPr>
          <w:rFonts w:ascii="Calibri" w:eastAsia="Times New Roman" w:hAnsi="Calibri" w:cs="Calibri"/>
          <w:i/>
          <w:sz w:val="24"/>
          <w:szCs w:val="24"/>
          <w:lang w:val="en-GB" w:eastAsia="nb-NO"/>
        </w:rPr>
        <w:t>The Agency Phenomenon in the European Union</w:t>
      </w:r>
      <w:r w:rsidRPr="008D1F23">
        <w:rPr>
          <w:rFonts w:ascii="Calibri" w:eastAsia="Times New Roman" w:hAnsi="Calibri" w:cs="Calibri"/>
          <w:sz w:val="24"/>
          <w:szCs w:val="24"/>
          <w:lang w:val="en-GB" w:eastAsia="nb-NO"/>
        </w:rPr>
        <w:t xml:space="preserve"> (Manchester: Manchester University Press).</w:t>
      </w:r>
    </w:p>
    <w:p w:rsidR="008D1F23" w:rsidRPr="008D1F23" w:rsidRDefault="008D1F23" w:rsidP="008D1F23">
      <w:pPr>
        <w:spacing w:before="120" w:after="120" w:line="480" w:lineRule="auto"/>
        <w:rPr>
          <w:rFonts w:ascii="Calibri" w:eastAsia="Times New Roman" w:hAnsi="Calibri" w:cs="Times New Roman"/>
          <w:sz w:val="24"/>
          <w:szCs w:val="24"/>
          <w:lang w:val="en-GB"/>
        </w:rPr>
      </w:pPr>
      <w:r w:rsidRPr="008D1F23">
        <w:rPr>
          <w:rFonts w:ascii="Calibri" w:eastAsia="Times New Roman" w:hAnsi="Calibri" w:cs="Times New Roman"/>
          <w:sz w:val="24"/>
          <w:szCs w:val="24"/>
          <w:lang w:val="en-GB"/>
        </w:rPr>
        <w:lastRenderedPageBreak/>
        <w:t xml:space="preserve">Simon, H. (1957). </w:t>
      </w:r>
      <w:r w:rsidRPr="008D1F23">
        <w:rPr>
          <w:rFonts w:ascii="Calibri" w:eastAsia="Times New Roman" w:hAnsi="Calibri" w:cs="Times New Roman"/>
          <w:i/>
          <w:sz w:val="24"/>
          <w:szCs w:val="24"/>
          <w:lang w:val="en-GB"/>
        </w:rPr>
        <w:t>Administrative Behavior</w:t>
      </w:r>
      <w:r w:rsidRPr="008D1F23">
        <w:rPr>
          <w:rFonts w:ascii="Calibri" w:eastAsia="Times New Roman" w:hAnsi="Calibri" w:cs="Times New Roman"/>
          <w:sz w:val="24"/>
          <w:szCs w:val="24"/>
          <w:lang w:val="en-GB"/>
        </w:rPr>
        <w:t>. Second Edition (New York: Macmillan).</w:t>
      </w:r>
    </w:p>
    <w:p w:rsidR="008D1F23" w:rsidRPr="008D1F23" w:rsidRDefault="008D1F23" w:rsidP="008D1F23">
      <w:pPr>
        <w:spacing w:before="120" w:after="120" w:line="480" w:lineRule="auto"/>
        <w:rPr>
          <w:rFonts w:ascii="Calibri" w:eastAsia="Times New Roman" w:hAnsi="Calibri" w:cs="Calibri"/>
          <w:color w:val="1E1738"/>
          <w:sz w:val="24"/>
          <w:szCs w:val="24"/>
          <w:lang w:val="en-GB"/>
        </w:rPr>
      </w:pPr>
      <w:r w:rsidRPr="008D1F23">
        <w:rPr>
          <w:rFonts w:ascii="Calibri" w:eastAsia="Times New Roman" w:hAnsi="Calibri" w:cs="Calibri"/>
          <w:i/>
          <w:sz w:val="24"/>
          <w:szCs w:val="24"/>
          <w:lang w:val="en-GB"/>
        </w:rPr>
        <w:t>Statistical Bulletin of Commission Staff</w:t>
      </w:r>
      <w:r w:rsidRPr="008D1F23">
        <w:rPr>
          <w:rFonts w:ascii="Calibri" w:eastAsia="Times New Roman" w:hAnsi="Calibri" w:cs="Calibri"/>
          <w:sz w:val="24"/>
          <w:szCs w:val="24"/>
          <w:lang w:val="en-GB"/>
        </w:rPr>
        <w:t xml:space="preserve"> (2012). Brussels: T</w:t>
      </w:r>
      <w:r w:rsidRPr="008D1F23">
        <w:rPr>
          <w:rFonts w:ascii="Calibri" w:eastAsia="Times New Roman" w:hAnsi="Calibri" w:cs="Calibri"/>
          <w:color w:val="1E1738"/>
          <w:sz w:val="24"/>
          <w:szCs w:val="24"/>
          <w:lang w:val="en-GB"/>
        </w:rPr>
        <w:t xml:space="preserve">he Directorate-General for Personnel and Administration. </w:t>
      </w:r>
    </w:p>
    <w:p w:rsidR="008D1F23" w:rsidRPr="008D1F23" w:rsidRDefault="008D1F23" w:rsidP="008D1F23">
      <w:pPr>
        <w:spacing w:before="120" w:after="120" w:line="480" w:lineRule="auto"/>
        <w:rPr>
          <w:rFonts w:ascii="Calibri" w:eastAsia="Times New Roman" w:hAnsi="Calibri" w:cs="Calibri"/>
          <w:sz w:val="24"/>
          <w:szCs w:val="20"/>
          <w:lang w:val="en-GB" w:eastAsia="nb-NO"/>
        </w:rPr>
      </w:pPr>
      <w:r w:rsidRPr="008D1F23">
        <w:rPr>
          <w:rFonts w:ascii="Calibri" w:eastAsia="Times New Roman" w:hAnsi="Calibri" w:cs="Calibri"/>
          <w:sz w:val="24"/>
          <w:szCs w:val="20"/>
          <w:lang w:val="en-GB" w:eastAsia="nb-NO"/>
        </w:rPr>
        <w:t xml:space="preserve">Trondal, J. (2004). “Political Dynamics of the Parallel Administration of the European Commission”. In Smith, A. (ed.). </w:t>
      </w:r>
      <w:r w:rsidRPr="008D1F23">
        <w:rPr>
          <w:rFonts w:ascii="Calibri" w:eastAsia="Times New Roman" w:hAnsi="Calibri" w:cs="Calibri"/>
          <w:i/>
          <w:sz w:val="24"/>
          <w:szCs w:val="20"/>
          <w:lang w:val="en-GB" w:eastAsia="nb-NO"/>
        </w:rPr>
        <w:t>Policies and the European Commission. Actors, interdependences, legitimacy</w:t>
      </w:r>
      <w:r w:rsidRPr="008D1F23">
        <w:rPr>
          <w:rFonts w:ascii="Calibri" w:eastAsia="Times New Roman" w:hAnsi="Calibri" w:cs="Calibri"/>
          <w:sz w:val="24"/>
          <w:szCs w:val="20"/>
          <w:lang w:val="en-GB" w:eastAsia="nb-NO"/>
        </w:rPr>
        <w:t xml:space="preserve"> (London: Routledge). </w:t>
      </w:r>
    </w:p>
    <w:p w:rsidR="008D1F23" w:rsidRPr="008D1F23" w:rsidRDefault="008D1F23" w:rsidP="008D1F23">
      <w:pPr>
        <w:spacing w:before="120" w:after="120" w:line="480" w:lineRule="auto"/>
        <w:rPr>
          <w:rFonts w:ascii="Calibri" w:eastAsia="Times New Roman" w:hAnsi="Calibri" w:cs="Calibri"/>
          <w:sz w:val="24"/>
          <w:szCs w:val="24"/>
          <w:lang w:val="en-GB"/>
        </w:rPr>
      </w:pPr>
      <w:r w:rsidRPr="008D1F23">
        <w:rPr>
          <w:rFonts w:ascii="Calibri" w:eastAsia="Times New Roman" w:hAnsi="Calibri" w:cs="Calibri"/>
          <w:sz w:val="24"/>
          <w:szCs w:val="24"/>
          <w:lang w:val="en-GB"/>
        </w:rPr>
        <w:t xml:space="preserve">Trondal, J. (2010). </w:t>
      </w:r>
      <w:r w:rsidRPr="008D1F23">
        <w:rPr>
          <w:rFonts w:ascii="Calibri" w:eastAsia="Times New Roman" w:hAnsi="Calibri" w:cs="Calibri"/>
          <w:i/>
          <w:sz w:val="24"/>
          <w:szCs w:val="24"/>
          <w:lang w:val="en-GB"/>
        </w:rPr>
        <w:t>An Emergent European Executive Order</w:t>
      </w:r>
      <w:r w:rsidRPr="008D1F23">
        <w:rPr>
          <w:rFonts w:ascii="Calibri" w:eastAsia="Times New Roman" w:hAnsi="Calibri" w:cs="Calibri"/>
          <w:sz w:val="24"/>
          <w:szCs w:val="24"/>
          <w:lang w:val="en-GB"/>
        </w:rPr>
        <w:t xml:space="preserve"> (Oxford: Oxford University Press).</w:t>
      </w:r>
    </w:p>
    <w:p w:rsidR="008D1F23" w:rsidRPr="008D1F23" w:rsidRDefault="008D1F23" w:rsidP="008D1F23">
      <w:pPr>
        <w:spacing w:before="120" w:after="120" w:line="480" w:lineRule="auto"/>
        <w:rPr>
          <w:rFonts w:ascii="Calibri" w:eastAsia="Times New Roman" w:hAnsi="Calibri" w:cs="Calibri"/>
          <w:sz w:val="24"/>
          <w:szCs w:val="24"/>
          <w:lang w:val="en-GB" w:eastAsia="nb-NO"/>
        </w:rPr>
      </w:pPr>
      <w:r w:rsidRPr="008D1F23">
        <w:rPr>
          <w:rFonts w:ascii="Calibri" w:eastAsia="Times New Roman" w:hAnsi="Calibri" w:cs="Calibri"/>
          <w:sz w:val="24"/>
          <w:szCs w:val="24"/>
          <w:lang w:val="en-GB" w:eastAsia="nb-NO"/>
        </w:rPr>
        <w:t xml:space="preserve">Trondal, J. (2012). “On Bureaucratic Centre Formation in Government Institutions. Lessons from the European Commission”. </w:t>
      </w:r>
      <w:r w:rsidRPr="008D1F23">
        <w:rPr>
          <w:rFonts w:ascii="Calibri" w:eastAsia="Times New Roman" w:hAnsi="Calibri" w:cs="Calibri"/>
          <w:i/>
          <w:sz w:val="24"/>
          <w:szCs w:val="24"/>
          <w:lang w:val="en-GB" w:eastAsia="nb-NO"/>
        </w:rPr>
        <w:t>International Review of Administrative Sciences</w:t>
      </w:r>
      <w:r w:rsidRPr="008D1F23">
        <w:rPr>
          <w:rFonts w:ascii="Calibri" w:eastAsia="Times New Roman" w:hAnsi="Calibri" w:cs="Calibri"/>
          <w:sz w:val="24"/>
          <w:szCs w:val="24"/>
          <w:lang w:val="en-GB" w:eastAsia="nb-NO"/>
        </w:rPr>
        <w:t xml:space="preserve"> 78(3): 425-445. </w:t>
      </w:r>
    </w:p>
    <w:p w:rsidR="008D1F23" w:rsidRPr="008D1F23" w:rsidRDefault="008D1F23" w:rsidP="008D1F23">
      <w:pPr>
        <w:spacing w:before="120" w:after="120" w:line="480" w:lineRule="auto"/>
        <w:rPr>
          <w:rFonts w:ascii="Calibri" w:eastAsia="Times New Roman" w:hAnsi="Calibri" w:cs="Calibri"/>
          <w:sz w:val="24"/>
          <w:szCs w:val="20"/>
          <w:lang w:val="en-GB" w:eastAsia="nb-NO"/>
        </w:rPr>
      </w:pPr>
      <w:r w:rsidRPr="008D1F23">
        <w:rPr>
          <w:rFonts w:ascii="Calibri" w:eastAsia="Times New Roman" w:hAnsi="Calibri" w:cs="Calibri"/>
          <w:sz w:val="24"/>
          <w:szCs w:val="20"/>
          <w:lang w:val="en-GB" w:eastAsia="nb-NO"/>
        </w:rPr>
        <w:t xml:space="preserve">Trondal, J. and Jeppesen, L. (2008). “Images of Agency Governance in the European Union”. </w:t>
      </w:r>
      <w:r w:rsidRPr="008D1F23">
        <w:rPr>
          <w:rFonts w:ascii="Calibri" w:eastAsia="Times New Roman" w:hAnsi="Calibri" w:cs="Calibri"/>
          <w:i/>
          <w:sz w:val="24"/>
          <w:szCs w:val="20"/>
          <w:lang w:val="en-GB" w:eastAsia="nb-NO"/>
        </w:rPr>
        <w:t>West European Politics</w:t>
      </w:r>
      <w:r w:rsidRPr="008D1F23">
        <w:rPr>
          <w:rFonts w:ascii="Calibri" w:eastAsia="Times New Roman" w:hAnsi="Calibri" w:cs="Calibri"/>
          <w:sz w:val="24"/>
          <w:szCs w:val="20"/>
          <w:lang w:val="en-GB" w:eastAsia="nb-NO"/>
        </w:rPr>
        <w:t xml:space="preserve"> 31(3): 417-441. </w:t>
      </w:r>
    </w:p>
    <w:p w:rsidR="008D1F23" w:rsidRPr="008D1F23" w:rsidRDefault="008D1F23" w:rsidP="008D1F23">
      <w:pPr>
        <w:spacing w:before="120" w:after="120" w:line="480" w:lineRule="auto"/>
        <w:rPr>
          <w:rFonts w:ascii="Calibri" w:eastAsia="Times New Roman" w:hAnsi="Calibri" w:cs="Times New Roman"/>
          <w:sz w:val="24"/>
          <w:szCs w:val="24"/>
          <w:lang w:val="en-GB"/>
        </w:rPr>
      </w:pPr>
      <w:r w:rsidRPr="008D1F23">
        <w:rPr>
          <w:rFonts w:ascii="Calibri" w:eastAsia="Times New Roman" w:hAnsi="Calibri" w:cs="Times New Roman"/>
          <w:sz w:val="24"/>
          <w:szCs w:val="24"/>
        </w:rPr>
        <w:t xml:space="preserve">Trondal, J., van den Berg, C. and Suvarierol, S. (2008). </w:t>
      </w:r>
      <w:r w:rsidRPr="008D1F23">
        <w:rPr>
          <w:rFonts w:ascii="Calibri" w:eastAsia="Times New Roman" w:hAnsi="Calibri" w:cs="Times New Roman"/>
          <w:sz w:val="24"/>
          <w:szCs w:val="24"/>
          <w:lang w:val="en-US"/>
        </w:rPr>
        <w:t>«</w:t>
      </w:r>
      <w:r w:rsidRPr="008D1F23">
        <w:rPr>
          <w:rFonts w:ascii="Calibri" w:eastAsia="Times New Roman" w:hAnsi="Calibri" w:cs="Times New Roman"/>
          <w:sz w:val="24"/>
          <w:szCs w:val="24"/>
          <w:lang w:val="en-GB"/>
        </w:rPr>
        <w:t xml:space="preserve">The compound machinery of government. The case of seconded officials in the European Commission”. </w:t>
      </w:r>
      <w:r w:rsidRPr="008D1F23">
        <w:rPr>
          <w:rFonts w:ascii="Calibri" w:eastAsia="Times New Roman" w:hAnsi="Calibri" w:cs="Times New Roman"/>
          <w:i/>
          <w:sz w:val="24"/>
          <w:szCs w:val="24"/>
          <w:lang w:val="en-GB"/>
        </w:rPr>
        <w:t>Governance</w:t>
      </w:r>
      <w:r w:rsidRPr="008D1F23">
        <w:rPr>
          <w:rFonts w:ascii="Calibri" w:eastAsia="Times New Roman" w:hAnsi="Calibri" w:cs="Times New Roman"/>
          <w:sz w:val="24"/>
          <w:szCs w:val="24"/>
          <w:lang w:val="en-GB"/>
        </w:rPr>
        <w:t xml:space="preserve"> 21 (2): 253-74.</w:t>
      </w:r>
    </w:p>
    <w:p w:rsidR="008D1F23" w:rsidRPr="008D1F23" w:rsidRDefault="008D1F23" w:rsidP="008D1F23">
      <w:pPr>
        <w:spacing w:before="120" w:after="120" w:line="480" w:lineRule="auto"/>
        <w:rPr>
          <w:rFonts w:ascii="Calibri" w:eastAsia="Times New Roman" w:hAnsi="Calibri" w:cs="Times New Roman"/>
          <w:sz w:val="24"/>
          <w:szCs w:val="24"/>
          <w:lang w:val="en-GB"/>
        </w:rPr>
      </w:pPr>
      <w:r w:rsidRPr="008D1F23">
        <w:rPr>
          <w:rFonts w:ascii="Calibri" w:eastAsia="Times New Roman" w:hAnsi="Calibri" w:cs="Times New Roman"/>
          <w:sz w:val="24"/>
          <w:szCs w:val="24"/>
          <w:lang w:val="en-GB"/>
        </w:rPr>
        <w:t xml:space="preserve">Verhoest, K., Van Thiel, S., Bouckaert, G. and Lægreid, P. (2012). </w:t>
      </w:r>
      <w:r w:rsidRPr="008D1F23">
        <w:rPr>
          <w:rFonts w:ascii="Calibri" w:eastAsia="Times New Roman" w:hAnsi="Calibri" w:cs="Times New Roman"/>
          <w:i/>
          <w:sz w:val="24"/>
          <w:szCs w:val="24"/>
          <w:lang w:val="en-GB"/>
        </w:rPr>
        <w:t>Government Agencies. Practices and Lessons from 30 Countries</w:t>
      </w:r>
      <w:r w:rsidRPr="008D1F23">
        <w:rPr>
          <w:rFonts w:ascii="Calibri" w:eastAsia="Times New Roman" w:hAnsi="Calibri" w:cs="Times New Roman"/>
          <w:sz w:val="24"/>
          <w:szCs w:val="24"/>
          <w:lang w:val="en-GB"/>
        </w:rPr>
        <w:t xml:space="preserve"> (Houndmills: Palgrave Macmillan).</w:t>
      </w:r>
    </w:p>
    <w:p w:rsidR="008D1F23" w:rsidRPr="008D1F23" w:rsidRDefault="008D1F23" w:rsidP="008D1F23">
      <w:pPr>
        <w:spacing w:before="120" w:after="120" w:line="480" w:lineRule="auto"/>
        <w:rPr>
          <w:rFonts w:ascii="Calibri" w:eastAsia="Times New Roman" w:hAnsi="Calibri" w:cs="Times New Roman"/>
          <w:sz w:val="24"/>
          <w:szCs w:val="24"/>
          <w:lang w:val="en-GB"/>
        </w:rPr>
      </w:pPr>
      <w:r w:rsidRPr="008D1F23">
        <w:rPr>
          <w:rFonts w:ascii="Calibri" w:eastAsia="Times New Roman" w:hAnsi="Calibri" w:cs="Times New Roman"/>
          <w:sz w:val="24"/>
          <w:szCs w:val="24"/>
          <w:lang w:val="en-GB"/>
        </w:rPr>
        <w:t xml:space="preserve">Wallace, H. (1993). “European governance in turbulent times”. </w:t>
      </w:r>
      <w:r w:rsidRPr="008D1F23">
        <w:rPr>
          <w:rFonts w:ascii="Calibri" w:eastAsia="Times New Roman" w:hAnsi="Calibri" w:cs="Times New Roman"/>
          <w:i/>
          <w:sz w:val="24"/>
          <w:szCs w:val="24"/>
          <w:lang w:val="en-GB"/>
        </w:rPr>
        <w:t xml:space="preserve">Journal of Common Market Studies </w:t>
      </w:r>
      <w:r w:rsidRPr="008D1F23">
        <w:rPr>
          <w:rFonts w:ascii="Calibri" w:eastAsia="Times New Roman" w:hAnsi="Calibri" w:cs="Times New Roman"/>
          <w:sz w:val="24"/>
          <w:szCs w:val="24"/>
          <w:lang w:val="en-GB"/>
        </w:rPr>
        <w:t>31(3): 293-303.</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 xml:space="preserve">Whyte, J. (1956), </w:t>
      </w:r>
      <w:r w:rsidRPr="008D1F23">
        <w:rPr>
          <w:rFonts w:ascii="Calibri" w:eastAsia="Times New Roman" w:hAnsi="Calibri" w:cs="Times New Roman"/>
          <w:i/>
          <w:sz w:val="24"/>
          <w:szCs w:val="24"/>
          <w:lang w:val="en-GB" w:eastAsia="en-GB"/>
        </w:rPr>
        <w:t>The Organization Man</w:t>
      </w:r>
      <w:r w:rsidRPr="008D1F23">
        <w:rPr>
          <w:rFonts w:ascii="Calibri" w:eastAsia="Times New Roman" w:hAnsi="Calibri" w:cs="Times New Roman"/>
          <w:sz w:val="24"/>
          <w:szCs w:val="24"/>
          <w:lang w:val="en-GB" w:eastAsia="en-GB"/>
        </w:rPr>
        <w:t xml:space="preserve"> (Philadelphia: University of Pennsylvania Press).</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lastRenderedPageBreak/>
        <w:t xml:space="preserve">Wong, R. (2015) ‘Creeping supranationalism. The EU and ASEAN experiences’, in L. Brennan and P. Murry (eds.) </w:t>
      </w:r>
      <w:r w:rsidRPr="008D1F23">
        <w:rPr>
          <w:rFonts w:ascii="Calibri" w:eastAsia="Times New Roman" w:hAnsi="Calibri" w:cs="Times New Roman"/>
          <w:i/>
          <w:sz w:val="24"/>
          <w:szCs w:val="24"/>
          <w:lang w:val="en-GB" w:eastAsia="en-GB"/>
        </w:rPr>
        <w:t>Drivers of Integration and Regionalism in Europe and Asia</w:t>
      </w:r>
      <w:r w:rsidRPr="008D1F23">
        <w:rPr>
          <w:rFonts w:ascii="Calibri" w:eastAsia="Times New Roman" w:hAnsi="Calibri" w:cs="Times New Roman"/>
          <w:sz w:val="24"/>
          <w:szCs w:val="24"/>
          <w:lang w:val="en-GB" w:eastAsia="en-GB"/>
        </w:rPr>
        <w:t>. Comparative Perspectives. London: Routledge.</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Zeitlin, J.H.l and Vanhercke, B. (2014). “Socializing the European semester? Economic governance and social policy coordination in Europe 2020”. Report prepared for the Swedish Institute of European Studies (SIEPS).</w:t>
      </w:r>
    </w:p>
    <w:p w:rsidR="008D1F23" w:rsidRPr="008D1F23" w:rsidRDefault="008D1F23" w:rsidP="008D1F23">
      <w:pPr>
        <w:spacing w:before="120" w:after="120" w:line="480" w:lineRule="auto"/>
        <w:rPr>
          <w:rFonts w:ascii="Calibri" w:eastAsia="Times New Roman" w:hAnsi="Calibri" w:cs="Times New Roman"/>
          <w:sz w:val="24"/>
          <w:szCs w:val="24"/>
          <w:lang w:val="en-GB" w:eastAsia="en-GB"/>
        </w:rPr>
      </w:pPr>
      <w:r w:rsidRPr="008D1F23">
        <w:rPr>
          <w:rFonts w:ascii="Calibri" w:eastAsia="Times New Roman" w:hAnsi="Calibri" w:cs="Times New Roman"/>
          <w:sz w:val="24"/>
          <w:szCs w:val="24"/>
          <w:lang w:val="en-GB" w:eastAsia="en-GB"/>
        </w:rPr>
        <w:t>Zurn, M. (2012). “Global governance as multi-level governance”. I</w:t>
      </w:r>
      <w:r w:rsidRPr="008D1F23">
        <w:rPr>
          <w:rFonts w:ascii="Calibri" w:eastAsia="Calibri" w:hAnsi="Calibri" w:cs="Calibri"/>
          <w:sz w:val="24"/>
          <w:szCs w:val="24"/>
          <w:lang w:val="en-GB"/>
        </w:rPr>
        <w:t xml:space="preserve">n D. Levi-Faur (ed.). </w:t>
      </w:r>
      <w:r w:rsidRPr="008D1F23">
        <w:rPr>
          <w:rFonts w:ascii="Calibri" w:eastAsia="Calibri" w:hAnsi="Calibri" w:cs="Calibri"/>
          <w:i/>
          <w:sz w:val="24"/>
          <w:szCs w:val="24"/>
          <w:lang w:val="en-GB"/>
        </w:rPr>
        <w:t>The Oxford Handbook of Governance</w:t>
      </w:r>
      <w:r w:rsidRPr="008D1F23">
        <w:rPr>
          <w:rFonts w:ascii="Calibri" w:eastAsia="Calibri" w:hAnsi="Calibri" w:cs="Calibri"/>
          <w:sz w:val="24"/>
          <w:szCs w:val="24"/>
          <w:lang w:val="en-GB"/>
        </w:rPr>
        <w:t xml:space="preserve"> (Oxford: Oxford University Press).</w:t>
      </w:r>
    </w:p>
    <w:p w:rsidR="00D560CE" w:rsidRDefault="00D560CE">
      <w:bookmarkStart w:id="0" w:name="_GoBack"/>
      <w:bookmarkEnd w:id="0"/>
    </w:p>
    <w:sectPr w:rsidR="00D560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BE3" w:rsidRDefault="00591BE3" w:rsidP="008D1F23">
      <w:pPr>
        <w:spacing w:after="0" w:line="240" w:lineRule="auto"/>
      </w:pPr>
      <w:r>
        <w:separator/>
      </w:r>
    </w:p>
  </w:endnote>
  <w:endnote w:type="continuationSeparator" w:id="0">
    <w:p w:rsidR="00591BE3" w:rsidRDefault="00591BE3" w:rsidP="008D1F23">
      <w:pPr>
        <w:spacing w:after="0" w:line="240" w:lineRule="auto"/>
      </w:pPr>
      <w:r>
        <w:continuationSeparator/>
      </w:r>
    </w:p>
  </w:endnote>
  <w:endnote w:id="1">
    <w:p w:rsidR="008D1F23" w:rsidRPr="00CC1D43" w:rsidRDefault="008D1F23" w:rsidP="008D1F23">
      <w:pPr>
        <w:pStyle w:val="Slut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BE3" w:rsidRDefault="00591BE3" w:rsidP="008D1F23">
      <w:pPr>
        <w:spacing w:after="0" w:line="240" w:lineRule="auto"/>
      </w:pPr>
      <w:r>
        <w:separator/>
      </w:r>
    </w:p>
  </w:footnote>
  <w:footnote w:type="continuationSeparator" w:id="0">
    <w:p w:rsidR="00591BE3" w:rsidRDefault="00591BE3" w:rsidP="008D1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AA9"/>
    <w:multiLevelType w:val="hybridMultilevel"/>
    <w:tmpl w:val="6C149B6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B630FE"/>
    <w:multiLevelType w:val="hybridMultilevel"/>
    <w:tmpl w:val="CF8EFA26"/>
    <w:lvl w:ilvl="0" w:tplc="24C60A0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955A5"/>
    <w:multiLevelType w:val="hybridMultilevel"/>
    <w:tmpl w:val="CAEC402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A85808"/>
    <w:multiLevelType w:val="hybridMultilevel"/>
    <w:tmpl w:val="77AA47C6"/>
    <w:lvl w:ilvl="0" w:tplc="67CC777E">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52F01050"/>
    <w:multiLevelType w:val="hybridMultilevel"/>
    <w:tmpl w:val="E6422204"/>
    <w:lvl w:ilvl="0" w:tplc="4BDC92B8">
      <w:start w:val="1"/>
      <w:numFmt w:val="lowerLetter"/>
      <w:lvlText w:val="%1."/>
      <w:lvlJc w:val="left"/>
      <w:pPr>
        <w:tabs>
          <w:tab w:val="num" w:pos="360"/>
        </w:tabs>
        <w:ind w:left="360" w:hanging="360"/>
      </w:pPr>
      <w:rPr>
        <w:rFonts w:hint="default"/>
      </w:rPr>
    </w:lvl>
    <w:lvl w:ilvl="1" w:tplc="04140019">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B14C6598">
      <w:start w:val="2"/>
      <w:numFmt w:val="decimal"/>
      <w:lvlText w:val="(%6)"/>
      <w:lvlJc w:val="left"/>
      <w:pPr>
        <w:tabs>
          <w:tab w:val="num" w:pos="4140"/>
        </w:tabs>
        <w:ind w:left="4140" w:hanging="360"/>
      </w:pPr>
      <w:rPr>
        <w:rFonts w:hint="default"/>
        <w:u w:val="single"/>
      </w:rPr>
    </w:lvl>
    <w:lvl w:ilvl="6" w:tplc="75C0EB3A">
      <w:start w:val="1"/>
      <w:numFmt w:val="upperRoman"/>
      <w:lvlText w:val="(%7)"/>
      <w:lvlJc w:val="left"/>
      <w:pPr>
        <w:tabs>
          <w:tab w:val="num" w:pos="5040"/>
        </w:tabs>
        <w:ind w:left="5040" w:hanging="720"/>
      </w:pPr>
      <w:rPr>
        <w:rFonts w:hint="default"/>
        <w:u w:val="single"/>
      </w:r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15:restartNumberingAfterBreak="0">
    <w:nsid w:val="6F2A5E7E"/>
    <w:multiLevelType w:val="hybridMultilevel"/>
    <w:tmpl w:val="579C877C"/>
    <w:lvl w:ilvl="0" w:tplc="191810DE">
      <w:start w:val="1"/>
      <w:numFmt w:val="lowerLetter"/>
      <w:lvlText w:val="%1)"/>
      <w:lvlJc w:val="left"/>
      <w:pPr>
        <w:tabs>
          <w:tab w:val="num" w:pos="720"/>
        </w:tabs>
        <w:ind w:left="720" w:hanging="360"/>
      </w:pPr>
      <w:rPr>
        <w:rFonts w:hint="default"/>
        <w:i/>
        <w:sz w:val="20"/>
        <w:szCs w:val="2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71CE3E9A"/>
    <w:multiLevelType w:val="hybridMultilevel"/>
    <w:tmpl w:val="1DCCA2CE"/>
    <w:lvl w:ilvl="0" w:tplc="04140011">
      <w:start w:val="1"/>
      <w:numFmt w:val="decimal"/>
      <w:lvlText w:val="%1)"/>
      <w:lvlJc w:val="left"/>
      <w:pPr>
        <w:tabs>
          <w:tab w:val="num" w:pos="360"/>
        </w:tabs>
        <w:ind w:left="360" w:hanging="360"/>
      </w:pPr>
      <w:rPr>
        <w:rFonts w:hint="default"/>
      </w:rPr>
    </w:lvl>
    <w:lvl w:ilvl="1" w:tplc="396E7C5C">
      <w:start w:val="1"/>
      <w:numFmt w:val="decimal"/>
      <w:lvlText w:val="%2)"/>
      <w:lvlJc w:val="left"/>
      <w:pPr>
        <w:tabs>
          <w:tab w:val="num" w:pos="1080"/>
        </w:tabs>
        <w:ind w:left="1080" w:hanging="360"/>
      </w:pPr>
      <w:rPr>
        <w:rFonts w:hint="default"/>
      </w:rPr>
    </w:lvl>
    <w:lvl w:ilvl="2" w:tplc="5BCCFD18">
      <w:start w:val="1"/>
      <w:numFmt w:val="decimal"/>
      <w:lvlText w:val="%3."/>
      <w:lvlJc w:val="left"/>
      <w:pPr>
        <w:tabs>
          <w:tab w:val="num" w:pos="1980"/>
        </w:tabs>
        <w:ind w:left="1980" w:hanging="360"/>
      </w:pPr>
      <w:rPr>
        <w:rFonts w:hint="default"/>
      </w:r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7" w15:restartNumberingAfterBreak="0">
    <w:nsid w:val="7A5D1219"/>
    <w:multiLevelType w:val="hybridMultilevel"/>
    <w:tmpl w:val="7B1A2FE6"/>
    <w:lvl w:ilvl="0" w:tplc="ADAC1246">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23"/>
    <w:rsid w:val="00591BE3"/>
    <w:rsid w:val="008D1F23"/>
    <w:rsid w:val="00D560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03525-D5A5-432D-B9BB-948C6B5C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5">
    <w:name w:val="heading 5"/>
    <w:basedOn w:val="Normal"/>
    <w:next w:val="Normal"/>
    <w:link w:val="Overskrift5Tegn"/>
    <w:unhideWhenUsed/>
    <w:qFormat/>
    <w:rsid w:val="008D1F23"/>
    <w:pPr>
      <w:spacing w:before="240" w:after="60" w:line="240" w:lineRule="auto"/>
      <w:outlineLvl w:val="4"/>
    </w:pPr>
    <w:rPr>
      <w:rFonts w:ascii="Calibri" w:eastAsia="Times New Roman" w:hAnsi="Calibri" w:cs="Times New Roman"/>
      <w:b/>
      <w:bCs/>
      <w:i/>
      <w:iCs/>
      <w:sz w:val="26"/>
      <w:szCs w:val="26"/>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5Tegn">
    <w:name w:val="Overskrift 5 Tegn"/>
    <w:basedOn w:val="Standardskriftforavsnitt"/>
    <w:link w:val="Overskrift5"/>
    <w:rsid w:val="008D1F23"/>
    <w:rPr>
      <w:rFonts w:ascii="Calibri" w:eastAsia="Times New Roman" w:hAnsi="Calibri" w:cs="Times New Roman"/>
      <w:b/>
      <w:bCs/>
      <w:i/>
      <w:iCs/>
      <w:sz w:val="26"/>
      <w:szCs w:val="26"/>
      <w:lang w:val="en-GB" w:eastAsia="en-GB"/>
    </w:rPr>
  </w:style>
  <w:style w:type="numbering" w:customStyle="1" w:styleId="Ingenliste1">
    <w:name w:val="Ingen liste1"/>
    <w:next w:val="Ingenliste"/>
    <w:uiPriority w:val="99"/>
    <w:semiHidden/>
    <w:unhideWhenUsed/>
    <w:rsid w:val="008D1F23"/>
  </w:style>
  <w:style w:type="numbering" w:customStyle="1" w:styleId="Ingenliste11">
    <w:name w:val="Ingen liste11"/>
    <w:next w:val="Ingenliste"/>
    <w:semiHidden/>
    <w:unhideWhenUsed/>
    <w:rsid w:val="008D1F23"/>
  </w:style>
  <w:style w:type="character" w:customStyle="1" w:styleId="RentekstTegn">
    <w:name w:val="Ren tekst Tegn"/>
    <w:link w:val="Rentekst"/>
    <w:semiHidden/>
    <w:locked/>
    <w:rsid w:val="008D1F23"/>
    <w:rPr>
      <w:rFonts w:ascii="Consolas" w:hAnsi="Consolas"/>
      <w:sz w:val="21"/>
      <w:szCs w:val="21"/>
    </w:rPr>
  </w:style>
  <w:style w:type="paragraph" w:styleId="Rentekst">
    <w:name w:val="Plain Text"/>
    <w:basedOn w:val="Normal"/>
    <w:link w:val="RentekstTegn"/>
    <w:semiHidden/>
    <w:rsid w:val="008D1F23"/>
    <w:pPr>
      <w:spacing w:after="0" w:line="240" w:lineRule="auto"/>
    </w:pPr>
    <w:rPr>
      <w:rFonts w:ascii="Consolas" w:hAnsi="Consolas"/>
      <w:sz w:val="21"/>
      <w:szCs w:val="21"/>
    </w:rPr>
  </w:style>
  <w:style w:type="character" w:customStyle="1" w:styleId="RentekstTegn1">
    <w:name w:val="Ren tekst Tegn1"/>
    <w:basedOn w:val="Standardskriftforavsnitt"/>
    <w:uiPriority w:val="99"/>
    <w:semiHidden/>
    <w:rsid w:val="008D1F23"/>
    <w:rPr>
      <w:rFonts w:ascii="Consolas" w:hAnsi="Consolas"/>
      <w:sz w:val="21"/>
      <w:szCs w:val="21"/>
    </w:rPr>
  </w:style>
  <w:style w:type="paragraph" w:styleId="Sluttnotetekst">
    <w:name w:val="endnote text"/>
    <w:basedOn w:val="Normal"/>
    <w:link w:val="SluttnotetekstTegn"/>
    <w:uiPriority w:val="99"/>
    <w:semiHidden/>
    <w:rsid w:val="008D1F23"/>
    <w:pPr>
      <w:spacing w:after="0" w:line="240" w:lineRule="auto"/>
    </w:pPr>
    <w:rPr>
      <w:rFonts w:ascii="Verdana" w:eastAsia="Times New Roman" w:hAnsi="Verdana" w:cs="Times New Roman"/>
      <w:sz w:val="20"/>
      <w:szCs w:val="20"/>
      <w:lang w:val="en-US"/>
    </w:rPr>
  </w:style>
  <w:style w:type="character" w:customStyle="1" w:styleId="SluttnotetekstTegn">
    <w:name w:val="Sluttnotetekst Tegn"/>
    <w:basedOn w:val="Standardskriftforavsnitt"/>
    <w:link w:val="Sluttnotetekst"/>
    <w:uiPriority w:val="99"/>
    <w:semiHidden/>
    <w:rsid w:val="008D1F23"/>
    <w:rPr>
      <w:rFonts w:ascii="Verdana" w:eastAsia="Times New Roman" w:hAnsi="Verdana" w:cs="Times New Roman"/>
      <w:sz w:val="20"/>
      <w:szCs w:val="20"/>
      <w:lang w:val="en-US"/>
    </w:rPr>
  </w:style>
  <w:style w:type="character" w:styleId="Sluttnotereferanse">
    <w:name w:val="endnote reference"/>
    <w:uiPriority w:val="99"/>
    <w:semiHidden/>
    <w:rsid w:val="008D1F23"/>
    <w:rPr>
      <w:vertAlign w:val="superscript"/>
    </w:rPr>
  </w:style>
  <w:style w:type="paragraph" w:styleId="Bunntekst">
    <w:name w:val="footer"/>
    <w:basedOn w:val="Normal"/>
    <w:link w:val="BunntekstTegn"/>
    <w:uiPriority w:val="99"/>
    <w:rsid w:val="008D1F23"/>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BunntekstTegn">
    <w:name w:val="Bunntekst Tegn"/>
    <w:basedOn w:val="Standardskriftforavsnitt"/>
    <w:link w:val="Bunntekst"/>
    <w:uiPriority w:val="99"/>
    <w:rsid w:val="008D1F23"/>
    <w:rPr>
      <w:rFonts w:ascii="Times New Roman" w:eastAsia="Times New Roman" w:hAnsi="Times New Roman" w:cs="Times New Roman"/>
      <w:sz w:val="24"/>
      <w:szCs w:val="24"/>
      <w:lang w:val="en-GB" w:eastAsia="en-GB"/>
    </w:rPr>
  </w:style>
  <w:style w:type="character" w:styleId="Sidetall">
    <w:name w:val="page number"/>
    <w:basedOn w:val="Standardskriftforavsnitt"/>
    <w:rsid w:val="008D1F23"/>
  </w:style>
  <w:style w:type="paragraph" w:styleId="Brdtekst">
    <w:name w:val="Body Text"/>
    <w:basedOn w:val="Normal"/>
    <w:link w:val="BrdtekstTegn"/>
    <w:rsid w:val="008D1F23"/>
    <w:pPr>
      <w:spacing w:after="0" w:line="360" w:lineRule="auto"/>
      <w:jc w:val="both"/>
    </w:pPr>
    <w:rPr>
      <w:rFonts w:ascii="Times New Roman" w:eastAsia="Times New Roman" w:hAnsi="Times New Roman" w:cs="Times New Roman"/>
      <w:sz w:val="24"/>
      <w:szCs w:val="24"/>
      <w:lang w:val="en-GB"/>
    </w:rPr>
  </w:style>
  <w:style w:type="character" w:customStyle="1" w:styleId="BrdtekstTegn">
    <w:name w:val="Brødtekst Tegn"/>
    <w:basedOn w:val="Standardskriftforavsnitt"/>
    <w:link w:val="Brdtekst"/>
    <w:rsid w:val="008D1F23"/>
    <w:rPr>
      <w:rFonts w:ascii="Times New Roman" w:eastAsia="Times New Roman" w:hAnsi="Times New Roman" w:cs="Times New Roman"/>
      <w:sz w:val="24"/>
      <w:szCs w:val="24"/>
      <w:lang w:val="en-GB"/>
    </w:rPr>
  </w:style>
  <w:style w:type="paragraph" w:styleId="Bobletekst">
    <w:name w:val="Balloon Text"/>
    <w:basedOn w:val="Normal"/>
    <w:link w:val="BobletekstTegn"/>
    <w:semiHidden/>
    <w:rsid w:val="008D1F23"/>
    <w:pPr>
      <w:spacing w:after="0" w:line="240" w:lineRule="auto"/>
    </w:pPr>
    <w:rPr>
      <w:rFonts w:ascii="Tahoma" w:eastAsia="Times New Roman" w:hAnsi="Tahoma" w:cs="Tahoma"/>
      <w:sz w:val="16"/>
      <w:szCs w:val="16"/>
      <w:lang w:val="en-GB" w:eastAsia="en-GB"/>
    </w:rPr>
  </w:style>
  <w:style w:type="character" w:customStyle="1" w:styleId="BobletekstTegn">
    <w:name w:val="Bobletekst Tegn"/>
    <w:basedOn w:val="Standardskriftforavsnitt"/>
    <w:link w:val="Bobletekst"/>
    <w:semiHidden/>
    <w:rsid w:val="008D1F23"/>
    <w:rPr>
      <w:rFonts w:ascii="Tahoma" w:eastAsia="Times New Roman" w:hAnsi="Tahoma" w:cs="Tahoma"/>
      <w:sz w:val="16"/>
      <w:szCs w:val="16"/>
      <w:lang w:val="en-GB" w:eastAsia="en-GB"/>
    </w:rPr>
  </w:style>
  <w:style w:type="paragraph" w:styleId="Topptekst">
    <w:name w:val="header"/>
    <w:basedOn w:val="Normal"/>
    <w:link w:val="TopptekstTegn"/>
    <w:rsid w:val="008D1F23"/>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TopptekstTegn">
    <w:name w:val="Topptekst Tegn"/>
    <w:basedOn w:val="Standardskriftforavsnitt"/>
    <w:link w:val="Topptekst"/>
    <w:rsid w:val="008D1F23"/>
    <w:rPr>
      <w:rFonts w:ascii="Times New Roman" w:eastAsia="Times New Roman" w:hAnsi="Times New Roman" w:cs="Times New Roman"/>
      <w:sz w:val="24"/>
      <w:szCs w:val="24"/>
      <w:lang w:val="en-GB" w:eastAsia="en-GB"/>
    </w:rPr>
  </w:style>
  <w:style w:type="character" w:styleId="Utheving">
    <w:name w:val="Emphasis"/>
    <w:uiPriority w:val="20"/>
    <w:qFormat/>
    <w:rsid w:val="008D1F23"/>
    <w:rPr>
      <w:i/>
      <w:iCs/>
    </w:rPr>
  </w:style>
  <w:style w:type="character" w:customStyle="1" w:styleId="medium-font1">
    <w:name w:val="medium-font1"/>
    <w:rsid w:val="008D1F23"/>
    <w:rPr>
      <w:sz w:val="19"/>
      <w:szCs w:val="19"/>
    </w:rPr>
  </w:style>
  <w:style w:type="character" w:customStyle="1" w:styleId="TegnTegn3">
    <w:name w:val="Tegn Tegn3"/>
    <w:semiHidden/>
    <w:locked/>
    <w:rsid w:val="008D1F23"/>
    <w:rPr>
      <w:rFonts w:ascii="Consolas" w:hAnsi="Consolas"/>
      <w:sz w:val="21"/>
      <w:szCs w:val="21"/>
      <w:lang w:bidi="ar-SA"/>
    </w:rPr>
  </w:style>
  <w:style w:type="character" w:styleId="Merknadsreferanse">
    <w:name w:val="annotation reference"/>
    <w:rsid w:val="008D1F23"/>
    <w:rPr>
      <w:sz w:val="16"/>
      <w:szCs w:val="16"/>
    </w:rPr>
  </w:style>
  <w:style w:type="paragraph" w:styleId="Merknadstekst">
    <w:name w:val="annotation text"/>
    <w:basedOn w:val="Normal"/>
    <w:link w:val="MerknadstekstTegn"/>
    <w:rsid w:val="008D1F23"/>
    <w:pPr>
      <w:spacing w:after="0" w:line="240" w:lineRule="auto"/>
    </w:pPr>
    <w:rPr>
      <w:rFonts w:ascii="Times New Roman" w:eastAsia="Times New Roman" w:hAnsi="Times New Roman" w:cs="Times New Roman"/>
      <w:sz w:val="20"/>
      <w:szCs w:val="20"/>
      <w:lang w:val="en-GB" w:eastAsia="en-GB"/>
    </w:rPr>
  </w:style>
  <w:style w:type="character" w:customStyle="1" w:styleId="MerknadstekstTegn">
    <w:name w:val="Merknadstekst Tegn"/>
    <w:basedOn w:val="Standardskriftforavsnitt"/>
    <w:link w:val="Merknadstekst"/>
    <w:rsid w:val="008D1F23"/>
    <w:rPr>
      <w:rFonts w:ascii="Times New Roman" w:eastAsia="Times New Roman" w:hAnsi="Times New Roman" w:cs="Times New Roman"/>
      <w:sz w:val="20"/>
      <w:szCs w:val="20"/>
      <w:lang w:val="en-GB" w:eastAsia="en-GB"/>
    </w:rPr>
  </w:style>
  <w:style w:type="paragraph" w:styleId="NormalWeb">
    <w:name w:val="Normal (Web)"/>
    <w:basedOn w:val="Normal"/>
    <w:rsid w:val="008D1F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kobling">
    <w:name w:val="Hyperlink"/>
    <w:uiPriority w:val="99"/>
    <w:unhideWhenUsed/>
    <w:rsid w:val="008D1F23"/>
    <w:rPr>
      <w:strike w:val="0"/>
      <w:dstrike w:val="0"/>
      <w:color w:val="00759A"/>
      <w:u w:val="none"/>
      <w:effect w:val="none"/>
    </w:rPr>
  </w:style>
  <w:style w:type="character" w:customStyle="1" w:styleId="maintitle">
    <w:name w:val="maintitle"/>
    <w:rsid w:val="008D1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ankcass.com/jnls/we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9189</Words>
  <Characters>48707</Characters>
  <Application>Microsoft Office Word</Application>
  <DocSecurity>0</DocSecurity>
  <Lines>405</Lines>
  <Paragraphs>115</Paragraphs>
  <ScaleCrop>false</ScaleCrop>
  <HeadingPairs>
    <vt:vector size="2" baseType="variant">
      <vt:variant>
        <vt:lpstr>Tittel</vt:lpstr>
      </vt:variant>
      <vt:variant>
        <vt:i4>1</vt:i4>
      </vt:variant>
    </vt:vector>
  </HeadingPairs>
  <TitlesOfParts>
    <vt:vector size="1" baseType="lpstr">
      <vt:lpstr/>
    </vt:vector>
  </TitlesOfParts>
  <Company>Universitetet i Agder</Company>
  <LinksUpToDate>false</LinksUpToDate>
  <CharactersWithSpaces>57781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Trondal</dc:creator>
  <cp:keywords/>
  <dc:description/>
  <cp:lastModifiedBy>Jarle Trondal</cp:lastModifiedBy>
  <cp:revision>1</cp:revision>
  <dcterms:created xsi:type="dcterms:W3CDTF">2017-04-26T15:28:00Z</dcterms:created>
  <dcterms:modified xsi:type="dcterms:W3CDTF">2017-04-26T15:28:00Z</dcterms:modified>
</cp:coreProperties>
</file>