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023F" w14:textId="4837115E" w:rsidR="00D639A1" w:rsidRPr="00E53DD1" w:rsidRDefault="00DA7CB4" w:rsidP="007B6918">
      <w:pPr>
        <w:pStyle w:val="Title"/>
        <w:jc w:val="center"/>
        <w:rPr>
          <w:rFonts w:ascii="Palatino Linotype" w:hAnsi="Palatino Linotype"/>
          <w:sz w:val="32"/>
          <w:lang w:val="en-US"/>
        </w:rPr>
      </w:pPr>
      <w:r w:rsidRPr="00E53DD1">
        <w:rPr>
          <w:rFonts w:ascii="Palatino Linotype" w:hAnsi="Palatino Linotype"/>
          <w:sz w:val="32"/>
          <w:lang w:val="en-US"/>
        </w:rPr>
        <w:t xml:space="preserve">How Much Is Enough? </w:t>
      </w:r>
      <w:r w:rsidR="00A8769C" w:rsidRPr="00E53DD1">
        <w:rPr>
          <w:rFonts w:ascii="Palatino Linotype" w:hAnsi="Palatino Linotype"/>
          <w:sz w:val="32"/>
          <w:lang w:val="en-US"/>
        </w:rPr>
        <w:t>Transparency Demands in Trade Negotiations: the case of TTIP</w:t>
      </w:r>
    </w:p>
    <w:p w14:paraId="7BA6B9F1" w14:textId="77777777" w:rsidR="007B6918" w:rsidRPr="00E53DD1" w:rsidRDefault="007B6918" w:rsidP="007B6918">
      <w:pPr>
        <w:rPr>
          <w:rFonts w:ascii="Palatino Linotype" w:hAnsi="Palatino Linotype"/>
          <w:lang w:val="en-US"/>
        </w:rPr>
      </w:pPr>
    </w:p>
    <w:p w14:paraId="46385C0B" w14:textId="77777777" w:rsidR="007B6918" w:rsidRPr="00E53DD1" w:rsidRDefault="007B6918" w:rsidP="007B6918">
      <w:pPr>
        <w:rPr>
          <w:rFonts w:ascii="Palatino Linotype" w:hAnsi="Palatino Linotype"/>
          <w:lang w:val="en-US"/>
        </w:rPr>
      </w:pPr>
    </w:p>
    <w:p w14:paraId="7B2FF7D2" w14:textId="77777777" w:rsidR="007B6918" w:rsidRPr="00E53DD1" w:rsidRDefault="007B6918" w:rsidP="007B6918">
      <w:pPr>
        <w:rPr>
          <w:rFonts w:ascii="Palatino Linotype" w:hAnsi="Palatino Linotype"/>
          <w:lang w:val="en-US"/>
        </w:rPr>
      </w:pPr>
    </w:p>
    <w:p w14:paraId="70A2FF67" w14:textId="77777777" w:rsidR="00DA7CB4" w:rsidRPr="00E53DD1" w:rsidRDefault="00DA7CB4" w:rsidP="007B6918">
      <w:pPr>
        <w:jc w:val="center"/>
        <w:rPr>
          <w:rFonts w:ascii="Palatino Linotype" w:hAnsi="Palatino Linotype"/>
          <w:lang w:val="en-US"/>
        </w:rPr>
      </w:pPr>
    </w:p>
    <w:p w14:paraId="382D0E6D" w14:textId="77777777" w:rsidR="00DA7CB4" w:rsidRPr="00E53DD1" w:rsidRDefault="00DA7CB4" w:rsidP="007B6918">
      <w:pPr>
        <w:jc w:val="center"/>
        <w:rPr>
          <w:rFonts w:ascii="Palatino Linotype" w:hAnsi="Palatino Linotype"/>
          <w:i/>
          <w:sz w:val="24"/>
          <w:lang w:val="en-US"/>
        </w:rPr>
      </w:pPr>
      <w:r w:rsidRPr="00E53DD1">
        <w:rPr>
          <w:rFonts w:ascii="Palatino Linotype" w:hAnsi="Palatino Linotype"/>
          <w:i/>
          <w:sz w:val="24"/>
          <w:lang w:val="en-US"/>
        </w:rPr>
        <w:t>Niels Gheyle &amp; Ferdi De Ville</w:t>
      </w:r>
    </w:p>
    <w:p w14:paraId="6B07B15C" w14:textId="70EF4520" w:rsidR="007B6918" w:rsidRPr="00E53DD1" w:rsidRDefault="007B6918" w:rsidP="007B6918">
      <w:pPr>
        <w:jc w:val="center"/>
        <w:rPr>
          <w:rFonts w:ascii="Palatino Linotype" w:hAnsi="Palatino Linotype"/>
          <w:sz w:val="24"/>
          <w:lang w:val="en-US"/>
        </w:rPr>
      </w:pPr>
      <w:r w:rsidRPr="00E53DD1">
        <w:rPr>
          <w:rFonts w:ascii="Palatino Linotype" w:hAnsi="Palatino Linotype"/>
          <w:sz w:val="24"/>
          <w:lang w:val="en-US"/>
        </w:rPr>
        <w:t>Centre for EU Studies, Ghent University</w:t>
      </w:r>
    </w:p>
    <w:p w14:paraId="212BFFB3" w14:textId="77777777" w:rsidR="007B6918" w:rsidRPr="00E53DD1" w:rsidRDefault="007B6918" w:rsidP="007B6918">
      <w:pPr>
        <w:jc w:val="center"/>
        <w:rPr>
          <w:rFonts w:ascii="Palatino Linotype" w:hAnsi="Palatino Linotype"/>
          <w:sz w:val="24"/>
          <w:lang w:val="en-US"/>
        </w:rPr>
      </w:pPr>
      <w:r w:rsidRPr="00E53DD1">
        <w:rPr>
          <w:rFonts w:ascii="Palatino Linotype" w:hAnsi="Palatino Linotype"/>
          <w:sz w:val="24"/>
          <w:lang w:val="en-US"/>
        </w:rPr>
        <w:t>Paper prepared for the EUSA Conference 2017, M</w:t>
      </w:r>
      <w:bookmarkStart w:id="0" w:name="_GoBack"/>
      <w:bookmarkEnd w:id="0"/>
      <w:r w:rsidRPr="00E53DD1">
        <w:rPr>
          <w:rFonts w:ascii="Palatino Linotype" w:hAnsi="Palatino Linotype"/>
          <w:sz w:val="24"/>
          <w:lang w:val="en-US"/>
        </w:rPr>
        <w:t>iami, 4-6 May</w:t>
      </w:r>
    </w:p>
    <w:p w14:paraId="2FFD3172" w14:textId="77777777" w:rsidR="007B6918" w:rsidRPr="00E53DD1" w:rsidRDefault="007B6918" w:rsidP="007B6918">
      <w:pPr>
        <w:jc w:val="center"/>
        <w:rPr>
          <w:rFonts w:ascii="Palatino Linotype" w:hAnsi="Palatino Linotype"/>
          <w:lang w:val="en-US"/>
        </w:rPr>
      </w:pPr>
    </w:p>
    <w:p w14:paraId="7A432DB8" w14:textId="77777777" w:rsidR="007B6918" w:rsidRPr="00E53DD1" w:rsidRDefault="007B6918" w:rsidP="007B6918">
      <w:pPr>
        <w:jc w:val="center"/>
        <w:rPr>
          <w:rFonts w:ascii="Palatino Linotype" w:hAnsi="Palatino Linotype"/>
          <w:lang w:val="en-US"/>
        </w:rPr>
      </w:pPr>
    </w:p>
    <w:p w14:paraId="263BD184" w14:textId="03A2125A" w:rsidR="007B6918" w:rsidRDefault="007B6918" w:rsidP="007B6918">
      <w:pPr>
        <w:jc w:val="center"/>
        <w:rPr>
          <w:rFonts w:ascii="Palatino Linotype" w:hAnsi="Palatino Linotype"/>
          <w:lang w:val="en-US"/>
        </w:rPr>
      </w:pPr>
      <w:r w:rsidRPr="00E53DD1">
        <w:rPr>
          <w:rFonts w:ascii="Palatino Linotype" w:hAnsi="Palatino Linotype"/>
          <w:lang w:val="en-US"/>
        </w:rPr>
        <w:t>Draft – Do not cite without permission of the authors, comments greatly appreciated.</w:t>
      </w:r>
    </w:p>
    <w:p w14:paraId="04CF0F7C" w14:textId="505FB501" w:rsidR="00E53DD1" w:rsidRPr="00E53DD1" w:rsidRDefault="00E53DD1" w:rsidP="007B6918">
      <w:pPr>
        <w:jc w:val="center"/>
        <w:rPr>
          <w:rFonts w:ascii="Palatino Linotype" w:hAnsi="Palatino Linotype"/>
          <w:i/>
          <w:lang w:val="en-US"/>
        </w:rPr>
      </w:pPr>
      <w:r w:rsidRPr="00E53DD1">
        <w:rPr>
          <w:rFonts w:ascii="Palatino Linotype" w:hAnsi="Palatino Linotype"/>
          <w:i/>
          <w:lang w:val="en-US"/>
        </w:rPr>
        <w:t xml:space="preserve">Disclaimer: reference section is largely incomplete due to </w:t>
      </w:r>
      <w:r w:rsidR="00F864A6">
        <w:rPr>
          <w:rFonts w:ascii="Palatino Linotype" w:hAnsi="Palatino Linotype"/>
          <w:i/>
          <w:lang w:val="en-US"/>
        </w:rPr>
        <w:t>lack of time</w:t>
      </w:r>
      <w:r w:rsidRPr="00E53DD1">
        <w:rPr>
          <w:rFonts w:ascii="Palatino Linotype" w:hAnsi="Palatino Linotype"/>
          <w:i/>
          <w:lang w:val="en-US"/>
        </w:rPr>
        <w:t>, but this should (hopefully) not inhibit the reading</w:t>
      </w:r>
    </w:p>
    <w:p w14:paraId="62D6867C" w14:textId="77777777" w:rsidR="007B6918" w:rsidRPr="00E53DD1" w:rsidRDefault="007B6918" w:rsidP="007B6918">
      <w:pPr>
        <w:rPr>
          <w:rFonts w:ascii="Palatino Linotype" w:hAnsi="Palatino Linotype"/>
          <w:lang w:val="en-US"/>
        </w:rPr>
      </w:pPr>
    </w:p>
    <w:p w14:paraId="7E3DE48D" w14:textId="77777777" w:rsidR="007B6918" w:rsidRPr="00E53DD1" w:rsidRDefault="007B6918" w:rsidP="007B6918">
      <w:pPr>
        <w:rPr>
          <w:rFonts w:ascii="Palatino Linotype" w:hAnsi="Palatino Linotype"/>
          <w:lang w:val="en-US"/>
        </w:rPr>
      </w:pPr>
    </w:p>
    <w:p w14:paraId="183444B6" w14:textId="5FE17637" w:rsidR="00DA7CB4" w:rsidRPr="00E53DD1" w:rsidRDefault="00DA7CB4" w:rsidP="007B6918">
      <w:pPr>
        <w:pStyle w:val="Heading1"/>
        <w:jc w:val="both"/>
        <w:rPr>
          <w:rFonts w:ascii="Palatino Linotype" w:hAnsi="Palatino Linotype"/>
          <w:color w:val="auto"/>
          <w:lang w:val="en-US"/>
        </w:rPr>
      </w:pPr>
      <w:r w:rsidRPr="00E53DD1">
        <w:rPr>
          <w:rFonts w:ascii="Palatino Linotype" w:hAnsi="Palatino Linotype"/>
          <w:color w:val="auto"/>
          <w:lang w:val="en-US"/>
        </w:rPr>
        <w:t>Abstract</w:t>
      </w:r>
    </w:p>
    <w:p w14:paraId="2303C62E" w14:textId="17E07CC6" w:rsidR="007B6918" w:rsidRPr="00E53DD1" w:rsidRDefault="00C0692A" w:rsidP="00C5355B">
      <w:pPr>
        <w:jc w:val="both"/>
        <w:rPr>
          <w:rFonts w:ascii="Palatino Linotype" w:hAnsi="Palatino Linotype"/>
          <w:lang w:val="en-US"/>
        </w:rPr>
      </w:pPr>
      <w:r w:rsidRPr="00E53DD1">
        <w:rPr>
          <w:rFonts w:ascii="Palatino Linotype" w:hAnsi="Palatino Linotype"/>
          <w:lang w:val="en-US"/>
        </w:rPr>
        <w:t xml:space="preserve">Transparency has been a central issue in the debate about the Transatlantic Trade and Investment Partnership (TTIP), especially at the side of the European Union (EU). The lack of </w:t>
      </w:r>
      <w:r w:rsidR="000D0A81" w:rsidRPr="00E53DD1">
        <w:rPr>
          <w:rFonts w:ascii="Palatino Linotype" w:hAnsi="Palatino Linotype"/>
          <w:lang w:val="en-US"/>
        </w:rPr>
        <w:t>transparency</w:t>
      </w:r>
      <w:r w:rsidRPr="00E53DD1">
        <w:rPr>
          <w:rFonts w:ascii="Palatino Linotype" w:hAnsi="Palatino Linotype"/>
          <w:lang w:val="en-US"/>
        </w:rPr>
        <w:t xml:space="preserve"> in the negotiating process has been one of the main criticisms of civil society organizations (CSOs). The European Commission has tried to gain support for the negotiations </w:t>
      </w:r>
      <w:r w:rsidR="002C08B7" w:rsidRPr="00E53DD1">
        <w:rPr>
          <w:rFonts w:ascii="Palatino Linotype" w:hAnsi="Palatino Linotype"/>
          <w:lang w:val="en-US"/>
        </w:rPr>
        <w:t xml:space="preserve">through </w:t>
      </w:r>
      <w:r w:rsidRPr="00E53DD1">
        <w:rPr>
          <w:rFonts w:ascii="Palatino Linotype" w:hAnsi="Palatino Linotype"/>
          <w:lang w:val="en-US"/>
        </w:rPr>
        <w:t xml:space="preserve">various ‘transparency initiatives’. Nonetheless, criticism by CSOs with regard to TTIP in general and the lack of transparency in specific </w:t>
      </w:r>
      <w:r w:rsidR="000D0A81" w:rsidRPr="00E53DD1">
        <w:rPr>
          <w:rFonts w:ascii="Palatino Linotype" w:hAnsi="Palatino Linotype"/>
          <w:lang w:val="en-US"/>
        </w:rPr>
        <w:t>still remained prevalent</w:t>
      </w:r>
      <w:r w:rsidRPr="00E53DD1">
        <w:rPr>
          <w:rFonts w:ascii="Palatino Linotype" w:hAnsi="Palatino Linotype"/>
          <w:lang w:val="en-US"/>
        </w:rPr>
        <w:t xml:space="preserve">. In this article, we aim to explain this gap between </w:t>
      </w:r>
      <w:r w:rsidR="000D0A81" w:rsidRPr="00E53DD1">
        <w:rPr>
          <w:rFonts w:ascii="Palatino Linotype" w:hAnsi="Palatino Linotype"/>
          <w:lang w:val="en-US"/>
        </w:rPr>
        <w:t>the existence of various transparency initiatives</w:t>
      </w:r>
      <w:r w:rsidRPr="00E53DD1">
        <w:rPr>
          <w:rFonts w:ascii="Palatino Linotype" w:hAnsi="Palatino Linotype"/>
          <w:lang w:val="en-US"/>
        </w:rPr>
        <w:t xml:space="preserve"> </w:t>
      </w:r>
      <w:r w:rsidR="000D0A81" w:rsidRPr="00E53DD1">
        <w:rPr>
          <w:rFonts w:ascii="Palatino Linotype" w:hAnsi="Palatino Linotype"/>
          <w:lang w:val="en-US"/>
        </w:rPr>
        <w:t xml:space="preserve">implemented by the European Commission </w:t>
      </w:r>
      <w:r w:rsidRPr="00E53DD1">
        <w:rPr>
          <w:rFonts w:ascii="Palatino Linotype" w:hAnsi="Palatino Linotype"/>
          <w:lang w:val="en-US"/>
        </w:rPr>
        <w:t xml:space="preserve">in TTIP </w:t>
      </w:r>
      <w:r w:rsidR="000D0A81" w:rsidRPr="00E53DD1">
        <w:rPr>
          <w:rFonts w:ascii="Palatino Linotype" w:hAnsi="Palatino Linotype"/>
          <w:lang w:val="en-US"/>
        </w:rPr>
        <w:t xml:space="preserve">on the one hand, and the expectations </w:t>
      </w:r>
      <w:r w:rsidRPr="00E53DD1">
        <w:rPr>
          <w:rFonts w:ascii="Palatino Linotype" w:hAnsi="Palatino Linotype"/>
          <w:lang w:val="en-US"/>
        </w:rPr>
        <w:t>at the side of European CSOs</w:t>
      </w:r>
      <w:r w:rsidR="000D0A81" w:rsidRPr="00E53DD1">
        <w:rPr>
          <w:rFonts w:ascii="Palatino Linotype" w:hAnsi="Palatino Linotype"/>
          <w:lang w:val="en-US"/>
        </w:rPr>
        <w:t xml:space="preserve"> on the other hand</w:t>
      </w:r>
      <w:r w:rsidRPr="00E53DD1">
        <w:rPr>
          <w:rFonts w:ascii="Palatino Linotype" w:hAnsi="Palatino Linotype"/>
          <w:lang w:val="en-US"/>
        </w:rPr>
        <w:t xml:space="preserve">. Theoretically, we rely on literature about </w:t>
      </w:r>
      <w:r w:rsidR="00A8769C" w:rsidRPr="00E53DD1">
        <w:rPr>
          <w:rFonts w:ascii="Palatino Linotype" w:hAnsi="Palatino Linotype"/>
          <w:lang w:val="en-US"/>
        </w:rPr>
        <w:t xml:space="preserve">the </w:t>
      </w:r>
      <w:r w:rsidRPr="00E53DD1">
        <w:rPr>
          <w:rFonts w:ascii="Palatino Linotype" w:hAnsi="Palatino Linotype"/>
          <w:lang w:val="en-US"/>
        </w:rPr>
        <w:t xml:space="preserve">authority, legitimacy and transparency of international </w:t>
      </w:r>
      <w:r w:rsidR="002C08B7" w:rsidRPr="00E53DD1">
        <w:rPr>
          <w:rFonts w:ascii="Palatino Linotype" w:hAnsi="Palatino Linotype"/>
          <w:lang w:val="en-US"/>
        </w:rPr>
        <w:t>governance</w:t>
      </w:r>
      <w:r w:rsidR="00C64BA7" w:rsidRPr="00E53DD1">
        <w:rPr>
          <w:rFonts w:ascii="Palatino Linotype" w:hAnsi="Palatino Linotype"/>
          <w:lang w:val="en-US"/>
        </w:rPr>
        <w:t xml:space="preserve">, including in the trade </w:t>
      </w:r>
      <w:r w:rsidR="002C08B7" w:rsidRPr="00E53DD1">
        <w:rPr>
          <w:rFonts w:ascii="Palatino Linotype" w:hAnsi="Palatino Linotype"/>
          <w:lang w:val="en-US"/>
        </w:rPr>
        <w:t>regime</w:t>
      </w:r>
      <w:r w:rsidRPr="00E53DD1">
        <w:rPr>
          <w:rFonts w:ascii="Palatino Linotype" w:hAnsi="Palatino Linotype"/>
          <w:lang w:val="en-US"/>
        </w:rPr>
        <w:t xml:space="preserve">. Methodologically, we </w:t>
      </w:r>
      <w:r w:rsidR="00C64BA7" w:rsidRPr="00E53DD1">
        <w:rPr>
          <w:rFonts w:ascii="Palatino Linotype" w:hAnsi="Palatino Linotype"/>
          <w:lang w:val="en-US"/>
        </w:rPr>
        <w:t>perform</w:t>
      </w:r>
      <w:r w:rsidRPr="00E53DD1">
        <w:rPr>
          <w:rFonts w:ascii="Palatino Linotype" w:hAnsi="Palatino Linotype"/>
          <w:lang w:val="en-US"/>
        </w:rPr>
        <w:t xml:space="preserve"> a content analysis of transparency documents </w:t>
      </w:r>
      <w:r w:rsidR="00C64BA7" w:rsidRPr="00E53DD1">
        <w:rPr>
          <w:rFonts w:ascii="Palatino Linotype" w:hAnsi="Palatino Linotype"/>
          <w:lang w:val="en-US"/>
        </w:rPr>
        <w:t xml:space="preserve">produced </w:t>
      </w:r>
      <w:r w:rsidRPr="00E53DD1">
        <w:rPr>
          <w:rFonts w:ascii="Palatino Linotype" w:hAnsi="Palatino Linotype"/>
          <w:lang w:val="en-US"/>
        </w:rPr>
        <w:t xml:space="preserve">by the European Commission and CSOs, mainly in response to a European Ombudsman consultation, </w:t>
      </w:r>
      <w:r w:rsidR="00C64BA7" w:rsidRPr="00E53DD1">
        <w:rPr>
          <w:rFonts w:ascii="Palatino Linotype" w:hAnsi="Palatino Linotype"/>
          <w:lang w:val="en-US"/>
        </w:rPr>
        <w:t xml:space="preserve">complemented by a number of </w:t>
      </w:r>
      <w:r w:rsidR="00A8769C" w:rsidRPr="00E53DD1">
        <w:rPr>
          <w:rFonts w:ascii="Palatino Linotype" w:hAnsi="Palatino Linotype"/>
          <w:lang w:val="en-US"/>
        </w:rPr>
        <w:t xml:space="preserve">targeted </w:t>
      </w:r>
      <w:r w:rsidR="00C64BA7" w:rsidRPr="00E53DD1">
        <w:rPr>
          <w:rFonts w:ascii="Palatino Linotype" w:hAnsi="Palatino Linotype"/>
          <w:lang w:val="en-US"/>
        </w:rPr>
        <w:t>interviews. We find that the gap between the</w:t>
      </w:r>
      <w:r w:rsidR="00C333F6" w:rsidRPr="00E53DD1">
        <w:rPr>
          <w:rFonts w:ascii="Palatino Linotype" w:hAnsi="Palatino Linotype"/>
          <w:lang w:val="en-US"/>
        </w:rPr>
        <w:t xml:space="preserve"> TTIP</w:t>
      </w:r>
      <w:r w:rsidR="00C64BA7" w:rsidRPr="00E53DD1">
        <w:rPr>
          <w:rFonts w:ascii="Palatino Linotype" w:hAnsi="Palatino Linotype"/>
          <w:lang w:val="en-US"/>
        </w:rPr>
        <w:t xml:space="preserve"> transparency initiatives and the expectations of CSOs can be explained by </w:t>
      </w:r>
      <w:r w:rsidR="007B6918" w:rsidRPr="00E53DD1">
        <w:rPr>
          <w:rFonts w:ascii="Palatino Linotype" w:hAnsi="Palatino Linotype"/>
          <w:lang w:val="en-US"/>
        </w:rPr>
        <w:t>fundamentally different world views about accountability in world politics, in which transparency plays a crucial role.</w:t>
      </w:r>
    </w:p>
    <w:p w14:paraId="2775E70A" w14:textId="77777777" w:rsidR="007B6918" w:rsidRPr="00E53DD1" w:rsidRDefault="007B6918" w:rsidP="00C5355B">
      <w:pPr>
        <w:jc w:val="both"/>
        <w:rPr>
          <w:rFonts w:ascii="Palatino Linotype" w:hAnsi="Palatino Linotype"/>
          <w:lang w:val="en-US"/>
        </w:rPr>
      </w:pPr>
    </w:p>
    <w:p w14:paraId="712D412C" w14:textId="77777777" w:rsidR="007B6918" w:rsidRPr="00E53DD1" w:rsidRDefault="007B6918" w:rsidP="00C5355B">
      <w:pPr>
        <w:jc w:val="both"/>
        <w:rPr>
          <w:rFonts w:ascii="Palatino Linotype" w:hAnsi="Palatino Linotype"/>
          <w:lang w:val="en-US"/>
        </w:rPr>
      </w:pPr>
    </w:p>
    <w:p w14:paraId="30172AD0" w14:textId="12603FD1" w:rsidR="00DA7CB4" w:rsidRPr="00E53DD1" w:rsidRDefault="00080796" w:rsidP="00C5355B">
      <w:pPr>
        <w:pStyle w:val="Heading1"/>
        <w:jc w:val="both"/>
        <w:rPr>
          <w:rFonts w:ascii="Palatino Linotype" w:hAnsi="Palatino Linotype"/>
          <w:color w:val="auto"/>
          <w:lang w:val="en-US"/>
        </w:rPr>
      </w:pPr>
      <w:r w:rsidRPr="00E53DD1">
        <w:rPr>
          <w:rFonts w:ascii="Palatino Linotype" w:hAnsi="Palatino Linotype"/>
          <w:color w:val="auto"/>
          <w:lang w:val="en-US"/>
        </w:rPr>
        <w:t xml:space="preserve">I – </w:t>
      </w:r>
      <w:r w:rsidR="00DA7CB4" w:rsidRPr="00E53DD1">
        <w:rPr>
          <w:rFonts w:ascii="Palatino Linotype" w:hAnsi="Palatino Linotype"/>
          <w:color w:val="auto"/>
          <w:lang w:val="en-US"/>
        </w:rPr>
        <w:t>Introduction</w:t>
      </w:r>
    </w:p>
    <w:p w14:paraId="425EB0DE" w14:textId="5D3B73B5" w:rsidR="003B0126" w:rsidRPr="00E53DD1" w:rsidRDefault="000D0A81" w:rsidP="003B0126">
      <w:pPr>
        <w:jc w:val="both"/>
        <w:rPr>
          <w:rFonts w:ascii="Palatino Linotype" w:hAnsi="Palatino Linotype" w:cs="Segoe UI"/>
          <w:lang w:val="en-GB"/>
        </w:rPr>
      </w:pPr>
      <w:r w:rsidRPr="00E53DD1">
        <w:rPr>
          <w:rFonts w:ascii="Palatino Linotype" w:hAnsi="Palatino Linotype" w:cs="Segoe UI"/>
          <w:lang w:val="en-GB"/>
        </w:rPr>
        <w:t>The</w:t>
      </w:r>
      <w:r w:rsidR="003B0126" w:rsidRPr="00E53DD1">
        <w:rPr>
          <w:rFonts w:ascii="Palatino Linotype" w:hAnsi="Palatino Linotype" w:cs="Segoe UI"/>
          <w:lang w:val="en-GB"/>
        </w:rPr>
        <w:t xml:space="preserve"> negotiations between the </w:t>
      </w:r>
      <w:r w:rsidR="001B23F4" w:rsidRPr="00E53DD1">
        <w:rPr>
          <w:rFonts w:ascii="Palatino Linotype" w:hAnsi="Palatino Linotype" w:cs="Segoe UI"/>
          <w:lang w:val="en-GB"/>
        </w:rPr>
        <w:t>European Union (</w:t>
      </w:r>
      <w:r w:rsidR="003B0126" w:rsidRPr="00E53DD1">
        <w:rPr>
          <w:rFonts w:ascii="Palatino Linotype" w:hAnsi="Palatino Linotype" w:cs="Segoe UI"/>
          <w:lang w:val="en-GB"/>
        </w:rPr>
        <w:t>EU</w:t>
      </w:r>
      <w:r w:rsidR="001B23F4" w:rsidRPr="00E53DD1">
        <w:rPr>
          <w:rFonts w:ascii="Palatino Linotype" w:hAnsi="Palatino Linotype" w:cs="Segoe UI"/>
          <w:lang w:val="en-GB"/>
        </w:rPr>
        <w:t>)</w:t>
      </w:r>
      <w:r w:rsidR="003B0126" w:rsidRPr="00E53DD1">
        <w:rPr>
          <w:rFonts w:ascii="Palatino Linotype" w:hAnsi="Palatino Linotype" w:cs="Segoe UI"/>
          <w:lang w:val="en-GB"/>
        </w:rPr>
        <w:t xml:space="preserve"> and the</w:t>
      </w:r>
      <w:r w:rsidR="001B23F4" w:rsidRPr="00E53DD1">
        <w:rPr>
          <w:rFonts w:ascii="Palatino Linotype" w:hAnsi="Palatino Linotype" w:cs="Segoe UI"/>
          <w:lang w:val="en-GB"/>
        </w:rPr>
        <w:t xml:space="preserve"> United States</w:t>
      </w:r>
      <w:r w:rsidR="003B0126" w:rsidRPr="00E53DD1">
        <w:rPr>
          <w:rFonts w:ascii="Palatino Linotype" w:hAnsi="Palatino Linotype" w:cs="Segoe UI"/>
          <w:lang w:val="en-GB"/>
        </w:rPr>
        <w:t xml:space="preserve"> </w:t>
      </w:r>
      <w:r w:rsidR="001B23F4" w:rsidRPr="00E53DD1">
        <w:rPr>
          <w:rFonts w:ascii="Palatino Linotype" w:hAnsi="Palatino Linotype" w:cs="Segoe UI"/>
          <w:lang w:val="en-GB"/>
        </w:rPr>
        <w:t>(</w:t>
      </w:r>
      <w:r w:rsidR="003B0126" w:rsidRPr="00E53DD1">
        <w:rPr>
          <w:rFonts w:ascii="Palatino Linotype" w:hAnsi="Palatino Linotype" w:cs="Segoe UI"/>
          <w:lang w:val="en-GB"/>
        </w:rPr>
        <w:t>US</w:t>
      </w:r>
      <w:r w:rsidR="001B23F4" w:rsidRPr="00E53DD1">
        <w:rPr>
          <w:rFonts w:ascii="Palatino Linotype" w:hAnsi="Palatino Linotype" w:cs="Segoe UI"/>
          <w:lang w:val="en-GB"/>
        </w:rPr>
        <w:t>)</w:t>
      </w:r>
      <w:r w:rsidRPr="00E53DD1">
        <w:rPr>
          <w:rFonts w:ascii="Palatino Linotype" w:hAnsi="Palatino Linotype" w:cs="Segoe UI"/>
          <w:lang w:val="en-GB"/>
        </w:rPr>
        <w:t xml:space="preserve"> on the Transatlantic Trade and Investment Partnership (TTIP)</w:t>
      </w:r>
      <w:r w:rsidR="003B0126" w:rsidRPr="00E53DD1">
        <w:rPr>
          <w:rFonts w:ascii="Palatino Linotype" w:hAnsi="Palatino Linotype" w:cs="Segoe UI"/>
          <w:lang w:val="en-GB"/>
        </w:rPr>
        <w:t xml:space="preserve"> have led to </w:t>
      </w:r>
      <w:r w:rsidR="00A8769C" w:rsidRPr="00E53DD1">
        <w:rPr>
          <w:rFonts w:ascii="Palatino Linotype" w:hAnsi="Palatino Linotype" w:cs="Segoe UI"/>
          <w:lang w:val="en-GB"/>
        </w:rPr>
        <w:t xml:space="preserve">an </w:t>
      </w:r>
      <w:r w:rsidR="003B0126" w:rsidRPr="00E53DD1">
        <w:rPr>
          <w:rFonts w:ascii="Palatino Linotype" w:hAnsi="Palatino Linotype" w:cs="Segoe UI"/>
          <w:lang w:val="en-GB"/>
        </w:rPr>
        <w:t>unprecedented public debate, especially at the European side of the Atlantic. ‘Transparency’ has been central to this debate, in (at least) two respects. It has</w:t>
      </w:r>
      <w:r w:rsidR="00A8769C" w:rsidRPr="00E53DD1">
        <w:rPr>
          <w:rFonts w:ascii="Palatino Linotype" w:hAnsi="Palatino Linotype" w:cs="Segoe UI"/>
          <w:lang w:val="en-GB"/>
        </w:rPr>
        <w:t xml:space="preserve"> first of all</w:t>
      </w:r>
      <w:r w:rsidR="003B0126" w:rsidRPr="00E53DD1">
        <w:rPr>
          <w:rFonts w:ascii="Palatino Linotype" w:hAnsi="Palatino Linotype" w:cs="Segoe UI"/>
          <w:lang w:val="en-GB"/>
        </w:rPr>
        <w:t xml:space="preserve"> been one of the main criticisms expressed by civil society organisations (CSOs) towards these negotiations. Early on</w:t>
      </w:r>
      <w:r w:rsidR="00074E8D" w:rsidRPr="00E53DD1">
        <w:rPr>
          <w:rFonts w:ascii="Palatino Linotype" w:hAnsi="Palatino Linotype" w:cs="Segoe UI"/>
          <w:lang w:val="en-GB"/>
        </w:rPr>
        <w:t xml:space="preserve"> already</w:t>
      </w:r>
      <w:r w:rsidR="003B0126" w:rsidRPr="00E53DD1">
        <w:rPr>
          <w:rFonts w:ascii="Palatino Linotype" w:hAnsi="Palatino Linotype" w:cs="Segoe UI"/>
          <w:lang w:val="en-GB"/>
        </w:rPr>
        <w:t>, in November 2013, more than 80 organisations from the EU and the US wrote a letter to</w:t>
      </w:r>
      <w:r w:rsidRPr="00E53DD1">
        <w:rPr>
          <w:rFonts w:ascii="Palatino Linotype" w:hAnsi="Palatino Linotype" w:cs="Segoe UI"/>
          <w:lang w:val="en-GB"/>
        </w:rPr>
        <w:t xml:space="preserve"> the</w:t>
      </w:r>
      <w:r w:rsidR="003B0126" w:rsidRPr="00E53DD1">
        <w:rPr>
          <w:rFonts w:ascii="Palatino Linotype" w:hAnsi="Palatino Linotype" w:cs="Segoe UI"/>
          <w:lang w:val="en-GB"/>
        </w:rPr>
        <w:t xml:space="preserve"> then Presidents Barack Obama, José Manuel Barroso and Herman Van Rompuy expressing their ‘opposition to the use of </w:t>
      </w:r>
      <w:r w:rsidR="003B0126" w:rsidRPr="00E53DD1">
        <w:rPr>
          <w:rFonts w:ascii="Palatino Linotype" w:hAnsi="Palatino Linotype" w:cs="Segoe UI"/>
          <w:i/>
          <w:lang w:val="en-GB"/>
        </w:rPr>
        <w:t>behind-closed-door trade negotiations</w:t>
      </w:r>
      <w:r w:rsidR="003B0126" w:rsidRPr="00E53DD1">
        <w:rPr>
          <w:rFonts w:ascii="Palatino Linotype" w:hAnsi="Palatino Linotype" w:cs="Segoe UI"/>
          <w:lang w:val="en-GB"/>
        </w:rPr>
        <w:t xml:space="preserve"> to change and lower public interest measures for the sake of commercial interest’ (Public Citizen et al. 2013</w:t>
      </w:r>
      <w:r w:rsidR="00C64BA7" w:rsidRPr="00E53DD1">
        <w:rPr>
          <w:rFonts w:ascii="Palatino Linotype" w:hAnsi="Palatino Linotype" w:cs="Segoe UI"/>
          <w:lang w:val="en-GB"/>
        </w:rPr>
        <w:t>, emphasis added</w:t>
      </w:r>
      <w:r w:rsidR="003B0126" w:rsidRPr="00E53DD1">
        <w:rPr>
          <w:rFonts w:ascii="Palatino Linotype" w:hAnsi="Palatino Linotype" w:cs="Segoe UI"/>
          <w:lang w:val="en-GB"/>
        </w:rPr>
        <w:t xml:space="preserve">). Together with the substantial issues of regulatory cooperation and investment protection, the alleged lack of transparency of the negotiations would be central in the large majority of CSOs’ campaigns. </w:t>
      </w:r>
    </w:p>
    <w:p w14:paraId="28715983" w14:textId="6536B2DC" w:rsidR="003B0126" w:rsidRPr="00E53DD1" w:rsidRDefault="00A8769C" w:rsidP="003B0126">
      <w:pPr>
        <w:jc w:val="both"/>
        <w:rPr>
          <w:rFonts w:ascii="Palatino Linotype" w:hAnsi="Palatino Linotype" w:cs="Segoe UI"/>
          <w:lang w:val="en-GB"/>
        </w:rPr>
      </w:pPr>
      <w:r w:rsidRPr="00E53DD1">
        <w:rPr>
          <w:rFonts w:ascii="Palatino Linotype" w:hAnsi="Palatino Linotype" w:cs="Segoe UI"/>
          <w:lang w:val="en-GB"/>
        </w:rPr>
        <w:t>Secondly, p</w:t>
      </w:r>
      <w:r w:rsidR="003B0126" w:rsidRPr="00E53DD1">
        <w:rPr>
          <w:rFonts w:ascii="Palatino Linotype" w:hAnsi="Palatino Linotype" w:cs="Segoe UI"/>
          <w:lang w:val="en-GB"/>
        </w:rPr>
        <w:t xml:space="preserve">artly in response to these criticisms, increasing transparency has been the </w:t>
      </w:r>
      <w:r w:rsidR="000D0A81" w:rsidRPr="00E53DD1">
        <w:rPr>
          <w:rFonts w:ascii="Palatino Linotype" w:hAnsi="Palatino Linotype" w:cs="Segoe UI"/>
          <w:lang w:val="en-GB"/>
        </w:rPr>
        <w:t>main</w:t>
      </w:r>
      <w:r w:rsidR="003B0126" w:rsidRPr="00E53DD1">
        <w:rPr>
          <w:rFonts w:ascii="Palatino Linotype" w:hAnsi="Palatino Linotype" w:cs="Segoe UI"/>
          <w:lang w:val="en-GB"/>
        </w:rPr>
        <w:t xml:space="preserve"> response of the European Commission to (re)gain support for the negotiations. In the mission letter to his future Commissioner for Trade Cecilia Malmström, the current President of the European Commission Jean-Claude Juncker wrote ‘I will ask you to enhance transparency towards citizens and the European Parliament during all steps of the negotiations [of TTIP]’ (Juncker 2014: 4). During her hearing before the</w:t>
      </w:r>
      <w:r w:rsidR="00EC7461" w:rsidRPr="00E53DD1">
        <w:rPr>
          <w:rFonts w:ascii="Palatino Linotype" w:hAnsi="Palatino Linotype" w:cs="Segoe UI"/>
          <w:lang w:val="en-GB"/>
        </w:rPr>
        <w:t xml:space="preserve"> European</w:t>
      </w:r>
      <w:r w:rsidR="003B0126" w:rsidRPr="00E53DD1">
        <w:rPr>
          <w:rFonts w:ascii="Palatino Linotype" w:hAnsi="Palatino Linotype" w:cs="Segoe UI"/>
          <w:lang w:val="en-GB"/>
        </w:rPr>
        <w:t xml:space="preserve"> Parliament, </w:t>
      </w:r>
      <w:r w:rsidR="000D0A81" w:rsidRPr="00E53DD1">
        <w:rPr>
          <w:rFonts w:ascii="Palatino Linotype" w:hAnsi="Palatino Linotype" w:cs="Segoe UI"/>
          <w:lang w:val="en-GB"/>
        </w:rPr>
        <w:t xml:space="preserve">the </w:t>
      </w:r>
      <w:r w:rsidR="003B0126" w:rsidRPr="00E53DD1">
        <w:rPr>
          <w:rFonts w:ascii="Palatino Linotype" w:hAnsi="Palatino Linotype" w:cs="Segoe UI"/>
          <w:lang w:val="en-GB"/>
        </w:rPr>
        <w:t>Commissioner-designate Malmström stated that her second principle (the first being ‘trade policy must be driven by the interests of citizens’) would be that ‘trade negotiations must be open and transparent, to allow all interested people and groups to understand what is on the table so that they can express their views’ (European Parliament 2014: 6). Underlining the importance</w:t>
      </w:r>
      <w:r w:rsidR="000D0A81" w:rsidRPr="00E53DD1">
        <w:rPr>
          <w:rFonts w:ascii="Palatino Linotype" w:hAnsi="Palatino Linotype" w:cs="Segoe UI"/>
          <w:lang w:val="en-GB"/>
        </w:rPr>
        <w:t xml:space="preserve"> of transparency</w:t>
      </w:r>
      <w:r w:rsidR="003B0126" w:rsidRPr="00E53DD1">
        <w:rPr>
          <w:rFonts w:ascii="Palatino Linotype" w:hAnsi="Palatino Linotype" w:cs="Segoe UI"/>
          <w:lang w:val="en-GB"/>
        </w:rPr>
        <w:t>, in its very first weeks in office, the European Commission launched a ‘transparency initiative’ committing to publishing information on meetings of its Commissioners and senior officials and providing greater access to documents relating to TTIP (European Commission 2014). As a final example, making trade policy more transparent was one of the three pillars</w:t>
      </w:r>
      <w:r w:rsidR="00074E8D" w:rsidRPr="00E53DD1">
        <w:rPr>
          <w:rStyle w:val="FootnoteReference"/>
          <w:rFonts w:ascii="Palatino Linotype" w:hAnsi="Palatino Linotype" w:cs="Segoe UI"/>
          <w:lang w:val="en-GB"/>
        </w:rPr>
        <w:footnoteReference w:id="1"/>
      </w:r>
      <w:r w:rsidR="003B0126" w:rsidRPr="00E53DD1">
        <w:rPr>
          <w:rFonts w:ascii="Palatino Linotype" w:hAnsi="Palatino Linotype" w:cs="Segoe UI"/>
          <w:lang w:val="en-GB"/>
        </w:rPr>
        <w:t xml:space="preserve"> in the current Commission’s trade policy</w:t>
      </w:r>
      <w:r w:rsidR="00D639A1" w:rsidRPr="00E53DD1">
        <w:rPr>
          <w:rFonts w:ascii="Palatino Linotype" w:hAnsi="Palatino Linotype" w:cs="Segoe UI"/>
          <w:lang w:val="en-GB"/>
        </w:rPr>
        <w:t xml:space="preserve"> strategy</w:t>
      </w:r>
      <w:r w:rsidR="00074E8D" w:rsidRPr="00E53DD1">
        <w:rPr>
          <w:rFonts w:ascii="Palatino Linotype" w:hAnsi="Palatino Linotype" w:cs="Segoe UI"/>
          <w:lang w:val="en-GB"/>
        </w:rPr>
        <w:t xml:space="preserve"> “Trade for all”(European Commission, </w:t>
      </w:r>
      <w:r w:rsidR="003B0126" w:rsidRPr="00E53DD1">
        <w:rPr>
          <w:rFonts w:ascii="Palatino Linotype" w:hAnsi="Palatino Linotype" w:cs="Segoe UI"/>
          <w:lang w:val="en-GB"/>
        </w:rPr>
        <w:t xml:space="preserve">2015).  </w:t>
      </w:r>
    </w:p>
    <w:p w14:paraId="1F195B0C" w14:textId="3703B3C5" w:rsidR="003B0126" w:rsidRPr="00E53DD1" w:rsidRDefault="000D0A81" w:rsidP="003B0126">
      <w:pPr>
        <w:jc w:val="both"/>
        <w:rPr>
          <w:rFonts w:ascii="Palatino Linotype" w:hAnsi="Palatino Linotype" w:cs="Segoe UI"/>
          <w:lang w:val="en-GB"/>
        </w:rPr>
      </w:pPr>
      <w:r w:rsidRPr="00E53DD1">
        <w:rPr>
          <w:rFonts w:ascii="Palatino Linotype" w:hAnsi="Palatino Linotype" w:cs="Segoe UI"/>
          <w:lang w:val="en-GB"/>
        </w:rPr>
        <w:t>Nevertheless</w:t>
      </w:r>
      <w:r w:rsidR="003B0126" w:rsidRPr="00E53DD1">
        <w:rPr>
          <w:rFonts w:ascii="Palatino Linotype" w:hAnsi="Palatino Linotype" w:cs="Segoe UI"/>
          <w:lang w:val="en-GB"/>
        </w:rPr>
        <w:t xml:space="preserve">, </w:t>
      </w:r>
      <w:r w:rsidRPr="00E53DD1">
        <w:rPr>
          <w:rFonts w:ascii="Palatino Linotype" w:hAnsi="Palatino Linotype" w:cs="Segoe UI"/>
          <w:lang w:val="en-GB"/>
        </w:rPr>
        <w:t>criticism</w:t>
      </w:r>
      <w:r w:rsidR="00D639A1" w:rsidRPr="00E53DD1">
        <w:rPr>
          <w:rFonts w:ascii="Palatino Linotype" w:hAnsi="Palatino Linotype" w:cs="Segoe UI"/>
          <w:lang w:val="en-GB"/>
        </w:rPr>
        <w:t xml:space="preserve"> with regard</w:t>
      </w:r>
      <w:r w:rsidR="003B0126" w:rsidRPr="00E53DD1">
        <w:rPr>
          <w:rFonts w:ascii="Palatino Linotype" w:hAnsi="Palatino Linotype" w:cs="Segoe UI"/>
          <w:lang w:val="en-GB"/>
        </w:rPr>
        <w:t xml:space="preserve"> to the (lack of) transparency of the TTIP </w:t>
      </w:r>
      <w:r w:rsidRPr="00E53DD1">
        <w:rPr>
          <w:rFonts w:ascii="Palatino Linotype" w:hAnsi="Palatino Linotype" w:cs="Segoe UI"/>
          <w:lang w:val="en-GB"/>
        </w:rPr>
        <w:t>negotiations</w:t>
      </w:r>
      <w:r w:rsidR="003B0126" w:rsidRPr="00E53DD1">
        <w:rPr>
          <w:rFonts w:ascii="Palatino Linotype" w:hAnsi="Palatino Linotype" w:cs="Segoe UI"/>
          <w:lang w:val="en-GB"/>
        </w:rPr>
        <w:t xml:space="preserve">, </w:t>
      </w:r>
      <w:r w:rsidRPr="00E53DD1">
        <w:rPr>
          <w:rFonts w:ascii="Palatino Linotype" w:hAnsi="Palatino Linotype" w:cs="Segoe UI"/>
          <w:lang w:val="en-GB"/>
        </w:rPr>
        <w:t>and</w:t>
      </w:r>
      <w:r w:rsidR="003B0126" w:rsidRPr="00E53DD1">
        <w:rPr>
          <w:rFonts w:ascii="Palatino Linotype" w:hAnsi="Palatino Linotype" w:cs="Segoe UI"/>
          <w:lang w:val="en-GB"/>
        </w:rPr>
        <w:t xml:space="preserve"> scepticism about the negotiations in general</w:t>
      </w:r>
      <w:r w:rsidRPr="00E53DD1">
        <w:rPr>
          <w:rFonts w:ascii="Palatino Linotype" w:hAnsi="Palatino Linotype" w:cs="Segoe UI"/>
          <w:lang w:val="en-GB"/>
        </w:rPr>
        <w:t xml:space="preserve"> have not withered away</w:t>
      </w:r>
      <w:r w:rsidR="003B0126" w:rsidRPr="00E53DD1">
        <w:rPr>
          <w:rFonts w:ascii="Palatino Linotype" w:hAnsi="Palatino Linotype" w:cs="Segoe UI"/>
          <w:lang w:val="en-GB"/>
        </w:rPr>
        <w:t>. According to trade union confederations of the EU and the US ‘[t]he transparency we have called f</w:t>
      </w:r>
      <w:r w:rsidR="00074E8D" w:rsidRPr="00E53DD1">
        <w:rPr>
          <w:rFonts w:ascii="Palatino Linotype" w:hAnsi="Palatino Linotype" w:cs="Segoe UI"/>
          <w:lang w:val="en-GB"/>
        </w:rPr>
        <w:t xml:space="preserve">or has not been achieved’ (ETUC, </w:t>
      </w:r>
      <w:r w:rsidR="003B0126" w:rsidRPr="00E53DD1">
        <w:rPr>
          <w:rFonts w:ascii="Palatino Linotype" w:hAnsi="Palatino Linotype" w:cs="Segoe UI"/>
          <w:lang w:val="en-GB"/>
        </w:rPr>
        <w:t>2016). Greenpeace (2016) released leaked documents ‘to bring some much needed transparency to the debate on TTIP’. The German Green MEP Sven Giegold (2015) called the promised transparency around TTIP ‘a sham’</w:t>
      </w:r>
      <w:r w:rsidR="00074E8D" w:rsidRPr="00E53DD1">
        <w:rPr>
          <w:rFonts w:ascii="Palatino Linotype" w:hAnsi="Palatino Linotype" w:cs="Segoe UI"/>
          <w:lang w:val="en-GB"/>
        </w:rPr>
        <w:t>,</w:t>
      </w:r>
      <w:r w:rsidR="003B0126" w:rsidRPr="00E53DD1">
        <w:rPr>
          <w:rFonts w:ascii="Palatino Linotype" w:hAnsi="Palatino Linotype" w:cs="Segoe UI"/>
          <w:lang w:val="en-GB"/>
        </w:rPr>
        <w:t xml:space="preserve"> w</w:t>
      </w:r>
      <w:r w:rsidR="00074E8D" w:rsidRPr="00E53DD1">
        <w:rPr>
          <w:rFonts w:ascii="Palatino Linotype" w:hAnsi="Palatino Linotype" w:cs="Segoe UI"/>
          <w:lang w:val="en-GB"/>
        </w:rPr>
        <w:t>hile even T</w:t>
      </w:r>
      <w:r w:rsidR="003B0126" w:rsidRPr="00E53DD1">
        <w:rPr>
          <w:rFonts w:ascii="Palatino Linotype" w:hAnsi="Palatino Linotype" w:cs="Segoe UI"/>
          <w:lang w:val="en-GB"/>
        </w:rPr>
        <w:t xml:space="preserve">he Economist (2016) concluded that ‘[t]ransparency concerns were ignored’. </w:t>
      </w:r>
    </w:p>
    <w:p w14:paraId="322E5256" w14:textId="2FF663E3" w:rsidR="00D639A1" w:rsidRPr="00E53DD1" w:rsidRDefault="003B0126" w:rsidP="00C5355B">
      <w:pPr>
        <w:jc w:val="both"/>
        <w:rPr>
          <w:rFonts w:ascii="Palatino Linotype" w:hAnsi="Palatino Linotype" w:cs="Segoe UI"/>
          <w:lang w:val="en-GB"/>
        </w:rPr>
      </w:pPr>
      <w:r w:rsidRPr="00E53DD1">
        <w:rPr>
          <w:rFonts w:ascii="Palatino Linotype" w:hAnsi="Palatino Linotype" w:cs="Segoe UI"/>
          <w:lang w:val="en-GB"/>
        </w:rPr>
        <w:t xml:space="preserve">In this article, we aim to explain why the transparency initiatives of the European Commission in TTIP have not succeeded in reducing criticisms on and increasing support for the </w:t>
      </w:r>
      <w:r w:rsidRPr="00E53DD1">
        <w:rPr>
          <w:rFonts w:ascii="Palatino Linotype" w:hAnsi="Palatino Linotype" w:cs="Segoe UI"/>
          <w:lang w:val="en-GB"/>
        </w:rPr>
        <w:lastRenderedPageBreak/>
        <w:t xml:space="preserve">negotiations. </w:t>
      </w:r>
      <w:r w:rsidR="00FB4509" w:rsidRPr="00E53DD1">
        <w:rPr>
          <w:rFonts w:ascii="Palatino Linotype" w:hAnsi="Palatino Linotype" w:cs="Segoe UI"/>
          <w:lang w:val="en-GB"/>
        </w:rPr>
        <w:t xml:space="preserve">We question whether the mismatch between the transparency initiatives by the Commission and the demands by CSOs arises due to a </w:t>
      </w:r>
      <w:r w:rsidR="005F679B" w:rsidRPr="00E53DD1">
        <w:rPr>
          <w:rFonts w:ascii="Palatino Linotype" w:hAnsi="Palatino Linotype" w:cs="Segoe UI"/>
          <w:lang w:val="en-GB"/>
        </w:rPr>
        <w:t>mere lack of documents (both in amount and comprehensiveness) that were promised (but not delivered), or because of fundamental</w:t>
      </w:r>
      <w:r w:rsidR="00FB4509" w:rsidRPr="00E53DD1">
        <w:rPr>
          <w:rFonts w:ascii="Palatino Linotype" w:hAnsi="Palatino Linotype" w:cs="Segoe UI"/>
          <w:lang w:val="en-GB"/>
        </w:rPr>
        <w:t xml:space="preserve"> difference</w:t>
      </w:r>
      <w:r w:rsidR="005F679B" w:rsidRPr="00E53DD1">
        <w:rPr>
          <w:rFonts w:ascii="Palatino Linotype" w:hAnsi="Palatino Linotype" w:cs="Segoe UI"/>
          <w:lang w:val="en-GB"/>
        </w:rPr>
        <w:t>s</w:t>
      </w:r>
      <w:r w:rsidR="00FB4509" w:rsidRPr="00E53DD1">
        <w:rPr>
          <w:rFonts w:ascii="Palatino Linotype" w:hAnsi="Palatino Linotype" w:cs="Segoe UI"/>
          <w:lang w:val="en-GB"/>
        </w:rPr>
        <w:t xml:space="preserve"> </w:t>
      </w:r>
      <w:r w:rsidR="005F679B" w:rsidRPr="00E53DD1">
        <w:rPr>
          <w:rFonts w:ascii="Palatino Linotype" w:hAnsi="Palatino Linotype" w:cs="Segoe UI"/>
          <w:lang w:val="en-GB"/>
        </w:rPr>
        <w:t>of what</w:t>
      </w:r>
      <w:r w:rsidR="00FB4509" w:rsidRPr="00E53DD1">
        <w:rPr>
          <w:rFonts w:ascii="Palatino Linotype" w:hAnsi="Palatino Linotype" w:cs="Segoe UI"/>
          <w:lang w:val="en-GB"/>
        </w:rPr>
        <w:t xml:space="preserve"> </w:t>
      </w:r>
      <w:r w:rsidR="005F679B" w:rsidRPr="00E53DD1">
        <w:rPr>
          <w:rFonts w:ascii="Palatino Linotype" w:hAnsi="Palatino Linotype" w:cs="Segoe UI"/>
          <w:lang w:val="en-GB"/>
        </w:rPr>
        <w:t>transparency in international negotiations means.</w:t>
      </w:r>
      <w:r w:rsidR="00FB4509" w:rsidRPr="00E53DD1">
        <w:rPr>
          <w:rFonts w:ascii="Palatino Linotype" w:hAnsi="Palatino Linotype" w:cs="Segoe UI"/>
          <w:lang w:val="en-GB"/>
        </w:rPr>
        <w:t xml:space="preserve"> </w:t>
      </w:r>
      <w:r w:rsidRPr="00E53DD1">
        <w:rPr>
          <w:rFonts w:ascii="Palatino Linotype" w:hAnsi="Palatino Linotype" w:cs="Segoe UI"/>
          <w:lang w:val="en-GB"/>
        </w:rPr>
        <w:t xml:space="preserve">Theoretically, we </w:t>
      </w:r>
      <w:r w:rsidR="005F679B" w:rsidRPr="00E53DD1">
        <w:rPr>
          <w:rFonts w:ascii="Palatino Linotype" w:hAnsi="Palatino Linotype" w:cs="Segoe UI"/>
          <w:lang w:val="en-GB"/>
        </w:rPr>
        <w:t xml:space="preserve">step back and </w:t>
      </w:r>
      <w:r w:rsidRPr="00E53DD1">
        <w:rPr>
          <w:rFonts w:ascii="Palatino Linotype" w:hAnsi="Palatino Linotype" w:cs="Segoe UI"/>
          <w:lang w:val="en-GB"/>
        </w:rPr>
        <w:t xml:space="preserve">draw upon insights into the relationship between transparency and legitimacy in global governance, of which trade agreements are part. Methodologically, we perform a content analysis of the European Commission’s official documents on transparency in TTIP and </w:t>
      </w:r>
      <w:r w:rsidR="005F679B" w:rsidRPr="00E53DD1">
        <w:rPr>
          <w:rFonts w:ascii="Palatino Linotype" w:hAnsi="Palatino Linotype" w:cs="Segoe UI"/>
          <w:lang w:val="en-GB"/>
        </w:rPr>
        <w:t xml:space="preserve">– above all – </w:t>
      </w:r>
      <w:r w:rsidRPr="00E53DD1">
        <w:rPr>
          <w:rFonts w:ascii="Palatino Linotype" w:hAnsi="Palatino Linotype" w:cs="Segoe UI"/>
          <w:lang w:val="en-GB"/>
        </w:rPr>
        <w:t>of more than fifty responses by organisations to the European Ombudsman’s public consultation in relation to the tra</w:t>
      </w:r>
      <w:r w:rsidR="005F679B" w:rsidRPr="00E53DD1">
        <w:rPr>
          <w:rFonts w:ascii="Palatino Linotype" w:hAnsi="Palatino Linotype" w:cs="Segoe UI"/>
          <w:lang w:val="en-GB"/>
        </w:rPr>
        <w:t>nsparency of these negotiations</w:t>
      </w:r>
      <w:r w:rsidRPr="00E53DD1">
        <w:rPr>
          <w:rFonts w:ascii="Palatino Linotype" w:hAnsi="Palatino Linotype" w:cs="Segoe UI"/>
          <w:lang w:val="en-GB"/>
        </w:rPr>
        <w:t xml:space="preserve">. This analysis has been complemented by a number of targeted interviews with key representatives of civil society organisations active in TTIP and of the European Commission.  </w:t>
      </w:r>
    </w:p>
    <w:p w14:paraId="75394BE2" w14:textId="5D2377A6" w:rsidR="00DA7CB4" w:rsidRPr="00E53DD1" w:rsidRDefault="00DA7CB4" w:rsidP="00C5355B">
      <w:pPr>
        <w:jc w:val="both"/>
        <w:rPr>
          <w:rFonts w:ascii="Palatino Linotype" w:hAnsi="Palatino Linotype" w:cs="Segoe UI"/>
          <w:lang w:val="en-GB"/>
        </w:rPr>
      </w:pPr>
    </w:p>
    <w:p w14:paraId="322122B3" w14:textId="2717C73C" w:rsidR="00DA7CB4" w:rsidRPr="00E53DD1" w:rsidRDefault="00080796" w:rsidP="00C5355B">
      <w:pPr>
        <w:pStyle w:val="Heading1"/>
        <w:jc w:val="both"/>
        <w:rPr>
          <w:rFonts w:ascii="Palatino Linotype" w:hAnsi="Palatino Linotype"/>
          <w:color w:val="auto"/>
          <w:lang w:val="en-US"/>
        </w:rPr>
      </w:pPr>
      <w:r w:rsidRPr="00E53DD1">
        <w:rPr>
          <w:rFonts w:ascii="Palatino Linotype" w:hAnsi="Palatino Linotype"/>
          <w:color w:val="auto"/>
          <w:lang w:val="en-US"/>
        </w:rPr>
        <w:t xml:space="preserve">II – </w:t>
      </w:r>
      <w:r w:rsidR="00BD2B23" w:rsidRPr="00E53DD1">
        <w:rPr>
          <w:rFonts w:ascii="Palatino Linotype" w:hAnsi="Palatino Linotype"/>
          <w:color w:val="auto"/>
          <w:lang w:val="en-US"/>
        </w:rPr>
        <w:t>Authority, Legitimacy and Transparency Claims</w:t>
      </w:r>
    </w:p>
    <w:p w14:paraId="121CE62B" w14:textId="77777777" w:rsidR="009A3251" w:rsidRPr="00E53DD1" w:rsidRDefault="009A3251" w:rsidP="00C5355B">
      <w:pPr>
        <w:jc w:val="both"/>
        <w:rPr>
          <w:rFonts w:ascii="Palatino Linotype" w:hAnsi="Palatino Linotype" w:cs="Segoe UI"/>
          <w:lang w:val="en-GB"/>
        </w:rPr>
      </w:pPr>
    </w:p>
    <w:p w14:paraId="2C4C9C82" w14:textId="15FF326B" w:rsidR="009A3251" w:rsidRPr="00E53DD1" w:rsidRDefault="009A3251" w:rsidP="00C5355B">
      <w:pPr>
        <w:jc w:val="both"/>
        <w:rPr>
          <w:rFonts w:ascii="Palatino Linotype" w:hAnsi="Palatino Linotype" w:cs="Segoe UI"/>
          <w:lang w:val="en-GB"/>
        </w:rPr>
      </w:pPr>
      <w:r w:rsidRPr="00E53DD1">
        <w:rPr>
          <w:rFonts w:ascii="Palatino Linotype" w:hAnsi="Palatino Linotype" w:cs="Segoe UI"/>
          <w:lang w:val="en-GB"/>
        </w:rPr>
        <w:t>To understand why transparency claims</w:t>
      </w:r>
      <w:r w:rsidR="00022BF0" w:rsidRPr="00E53DD1">
        <w:rPr>
          <w:rFonts w:ascii="Palatino Linotype" w:hAnsi="Palatino Linotype" w:cs="Segoe UI"/>
          <w:lang w:val="en-GB"/>
        </w:rPr>
        <w:t xml:space="preserve"> towards international organizations are addressed in the first place, we shortly outline the (literature on the) changing nature of international organisations (IOs) since the post-war period – especially in trade policy. This reveals that transparency claims – as part of a broader call for democratic principles in IOs – </w:t>
      </w:r>
      <w:r w:rsidR="008E1E9B" w:rsidRPr="00E53DD1">
        <w:rPr>
          <w:rFonts w:ascii="Palatino Linotype" w:hAnsi="Palatino Linotype" w:cs="Segoe UI"/>
          <w:lang w:val="en-GB"/>
        </w:rPr>
        <w:t>run in parallel with</w:t>
      </w:r>
      <w:r w:rsidR="00022BF0" w:rsidRPr="00E53DD1">
        <w:rPr>
          <w:rFonts w:ascii="Palatino Linotype" w:hAnsi="Palatino Linotype" w:cs="Segoe UI"/>
          <w:lang w:val="en-GB"/>
        </w:rPr>
        <w:t xml:space="preserve"> their increasing political authority</w:t>
      </w:r>
      <w:r w:rsidR="00022BF0" w:rsidRPr="00E53DD1">
        <w:rPr>
          <w:rStyle w:val="FootnoteReference"/>
          <w:rFonts w:ascii="Palatino Linotype" w:hAnsi="Palatino Linotype" w:cs="Arial"/>
          <w:lang w:val="en-GB"/>
        </w:rPr>
        <w:footnoteReference w:id="2"/>
      </w:r>
      <w:r w:rsidR="00022BF0" w:rsidRPr="00E53DD1">
        <w:rPr>
          <w:rFonts w:ascii="Palatino Linotype" w:hAnsi="Palatino Linotype" w:cs="Segoe UI"/>
          <w:lang w:val="en-GB"/>
        </w:rPr>
        <w:t xml:space="preserve"> and have </w:t>
      </w:r>
      <w:r w:rsidR="008E1E9B" w:rsidRPr="00E53DD1">
        <w:rPr>
          <w:rFonts w:ascii="Palatino Linotype" w:hAnsi="Palatino Linotype" w:cs="Segoe UI"/>
          <w:lang w:val="en-GB"/>
        </w:rPr>
        <w:t xml:space="preserve">(also </w:t>
      </w:r>
      <w:r w:rsidR="00022BF0" w:rsidRPr="00E53DD1">
        <w:rPr>
          <w:rFonts w:ascii="Palatino Linotype" w:hAnsi="Palatino Linotype" w:cs="Segoe UI"/>
          <w:lang w:val="en-GB"/>
        </w:rPr>
        <w:t>in the past</w:t>
      </w:r>
      <w:r w:rsidR="008E1E9B" w:rsidRPr="00E53DD1">
        <w:rPr>
          <w:rFonts w:ascii="Palatino Linotype" w:hAnsi="Palatino Linotype" w:cs="Segoe UI"/>
          <w:lang w:val="en-GB"/>
        </w:rPr>
        <w:t>)</w:t>
      </w:r>
      <w:r w:rsidR="00022BF0" w:rsidRPr="00E53DD1">
        <w:rPr>
          <w:rFonts w:ascii="Palatino Linotype" w:hAnsi="Palatino Linotype" w:cs="Segoe UI"/>
          <w:lang w:val="en-GB"/>
        </w:rPr>
        <w:t xml:space="preserve"> </w:t>
      </w:r>
      <w:r w:rsidR="008E1E9B" w:rsidRPr="00E53DD1">
        <w:rPr>
          <w:rFonts w:ascii="Palatino Linotype" w:hAnsi="Palatino Linotype" w:cs="Segoe UI"/>
          <w:lang w:val="en-GB"/>
        </w:rPr>
        <w:t>fuelled</w:t>
      </w:r>
      <w:r w:rsidR="00022BF0" w:rsidRPr="00E53DD1">
        <w:rPr>
          <w:rFonts w:ascii="Palatino Linotype" w:hAnsi="Palatino Linotype" w:cs="Segoe UI"/>
          <w:lang w:val="en-GB"/>
        </w:rPr>
        <w:t xml:space="preserve"> the politicization of global governance. </w:t>
      </w:r>
      <w:r w:rsidRPr="00E53DD1">
        <w:rPr>
          <w:rFonts w:ascii="Palatino Linotype" w:hAnsi="Palatino Linotype" w:cs="Arial"/>
          <w:lang w:val="en-GB"/>
        </w:rPr>
        <w:t>In turn, institutions have</w:t>
      </w:r>
      <w:r w:rsidR="005C34DC" w:rsidRPr="00E53DD1">
        <w:rPr>
          <w:rFonts w:ascii="Palatino Linotype" w:hAnsi="Palatino Linotype" w:cs="Arial"/>
          <w:lang w:val="en-GB"/>
        </w:rPr>
        <w:t xml:space="preserve"> (shown to have)</w:t>
      </w:r>
      <w:r w:rsidRPr="00E53DD1">
        <w:rPr>
          <w:rFonts w:ascii="Palatino Linotype" w:hAnsi="Palatino Linotype" w:cs="Arial"/>
          <w:lang w:val="en-GB"/>
        </w:rPr>
        <w:t xml:space="preserve"> an incentive to respond to these calls, which has brought transparency to the fore.</w:t>
      </w:r>
    </w:p>
    <w:p w14:paraId="02533E34" w14:textId="77777777" w:rsidR="00EE70BE" w:rsidRPr="00E53DD1" w:rsidRDefault="00EE70BE" w:rsidP="00C5355B">
      <w:pPr>
        <w:jc w:val="both"/>
        <w:rPr>
          <w:rFonts w:ascii="Palatino Linotype" w:hAnsi="Palatino Linotype" w:cs="Segoe UI"/>
          <w:b/>
          <w:lang w:val="en-GB"/>
        </w:rPr>
      </w:pPr>
    </w:p>
    <w:p w14:paraId="7AB11B23" w14:textId="4F8F8C01" w:rsidR="009E224E" w:rsidRPr="00E53DD1" w:rsidRDefault="00BD2B23" w:rsidP="00E53DD1">
      <w:pPr>
        <w:pStyle w:val="Heading2"/>
        <w:numPr>
          <w:ilvl w:val="0"/>
          <w:numId w:val="10"/>
        </w:numPr>
        <w:jc w:val="both"/>
        <w:rPr>
          <w:rFonts w:ascii="Palatino Linotype" w:hAnsi="Palatino Linotype"/>
          <w:color w:val="auto"/>
          <w:lang w:val="en-GB"/>
        </w:rPr>
      </w:pPr>
      <w:r w:rsidRPr="00E53DD1">
        <w:rPr>
          <w:rFonts w:ascii="Palatino Linotype" w:hAnsi="Palatino Linotype"/>
          <w:color w:val="auto"/>
          <w:lang w:val="en-GB"/>
        </w:rPr>
        <w:t xml:space="preserve">The changing nature of </w:t>
      </w:r>
      <w:r w:rsidR="003C00B5" w:rsidRPr="00E53DD1">
        <w:rPr>
          <w:rFonts w:ascii="Palatino Linotype" w:hAnsi="Palatino Linotype"/>
          <w:color w:val="auto"/>
          <w:lang w:val="en-GB"/>
        </w:rPr>
        <w:t>political (trade) authority above the nation state</w:t>
      </w:r>
    </w:p>
    <w:p w14:paraId="4E860D5B" w14:textId="77777777" w:rsidR="00EE70BE" w:rsidRPr="00E53DD1" w:rsidRDefault="00EE70BE" w:rsidP="00C5355B">
      <w:pPr>
        <w:jc w:val="both"/>
        <w:rPr>
          <w:rFonts w:ascii="Palatino Linotype" w:hAnsi="Palatino Linotype" w:cs="Segoe UI"/>
          <w:b/>
          <w:lang w:val="en-GB"/>
        </w:rPr>
      </w:pPr>
    </w:p>
    <w:p w14:paraId="3D122B9A" w14:textId="333DA02C" w:rsidR="00130EC4" w:rsidRPr="00E53DD1" w:rsidRDefault="005C34DC" w:rsidP="00C5355B">
      <w:pPr>
        <w:jc w:val="both"/>
        <w:rPr>
          <w:rFonts w:ascii="Palatino Linotype" w:hAnsi="Palatino Linotype" w:cs="Segoe UI"/>
          <w:lang w:val="en-GB"/>
        </w:rPr>
      </w:pPr>
      <w:r w:rsidRPr="00E53DD1">
        <w:rPr>
          <w:rFonts w:ascii="Palatino Linotype" w:hAnsi="Palatino Linotype" w:cs="Segoe UI"/>
          <w:lang w:val="en-GB"/>
        </w:rPr>
        <w:t xml:space="preserve">During </w:t>
      </w:r>
      <w:r w:rsidR="00DB72F2" w:rsidRPr="00E53DD1">
        <w:rPr>
          <w:rFonts w:ascii="Palatino Linotype" w:hAnsi="Palatino Linotype" w:cs="Segoe UI"/>
          <w:lang w:val="en-GB"/>
        </w:rPr>
        <w:t xml:space="preserve">the </w:t>
      </w:r>
      <w:r w:rsidR="006D08B6" w:rsidRPr="00E53DD1">
        <w:rPr>
          <w:rFonts w:ascii="Palatino Linotype" w:hAnsi="Palatino Linotype" w:cs="Segoe UI"/>
          <w:lang w:val="en-GB"/>
        </w:rPr>
        <w:t>first</w:t>
      </w:r>
      <w:r w:rsidR="00DB72F2" w:rsidRPr="00E53DD1">
        <w:rPr>
          <w:rFonts w:ascii="Palatino Linotype" w:hAnsi="Palatino Linotype" w:cs="Segoe UI"/>
          <w:lang w:val="en-GB"/>
        </w:rPr>
        <w:t xml:space="preserve"> </w:t>
      </w:r>
      <w:r w:rsidRPr="00E53DD1">
        <w:rPr>
          <w:rFonts w:ascii="Palatino Linotype" w:hAnsi="Palatino Linotype" w:cs="Segoe UI"/>
          <w:lang w:val="en-GB"/>
        </w:rPr>
        <w:t>decades</w:t>
      </w:r>
      <w:r w:rsidR="00DB72F2" w:rsidRPr="00E53DD1">
        <w:rPr>
          <w:rFonts w:ascii="Palatino Linotype" w:hAnsi="Palatino Linotype" w:cs="Segoe UI"/>
          <w:lang w:val="en-GB"/>
        </w:rPr>
        <w:t xml:space="preserve"> of the post-war peri</w:t>
      </w:r>
      <w:r w:rsidR="00BD2B23" w:rsidRPr="00E53DD1">
        <w:rPr>
          <w:rFonts w:ascii="Palatino Linotype" w:hAnsi="Palatino Linotype" w:cs="Segoe UI"/>
          <w:lang w:val="en-GB"/>
        </w:rPr>
        <w:t>od, international institutions</w:t>
      </w:r>
      <w:r w:rsidR="00BD2B23" w:rsidRPr="00E53DD1">
        <w:rPr>
          <w:rStyle w:val="FootnoteReference"/>
          <w:rFonts w:ascii="Palatino Linotype" w:hAnsi="Palatino Linotype" w:cs="Segoe UI"/>
          <w:lang w:val="en-GB"/>
        </w:rPr>
        <w:footnoteReference w:id="3"/>
      </w:r>
      <w:r w:rsidR="00BD2B23" w:rsidRPr="00E53DD1">
        <w:rPr>
          <w:rFonts w:ascii="Palatino Linotype" w:hAnsi="Palatino Linotype" w:cs="Segoe UI"/>
          <w:lang w:val="en-GB"/>
        </w:rPr>
        <w:t xml:space="preserve"> </w:t>
      </w:r>
      <w:r w:rsidR="00DB72F2" w:rsidRPr="00E53DD1">
        <w:rPr>
          <w:rFonts w:ascii="Palatino Linotype" w:hAnsi="Palatino Linotype" w:cs="Segoe UI"/>
          <w:lang w:val="en-GB"/>
        </w:rPr>
        <w:t xml:space="preserve">were mainly seen as (and established to be) facilitating </w:t>
      </w:r>
      <w:r w:rsidR="00E777CB" w:rsidRPr="00E53DD1">
        <w:rPr>
          <w:rFonts w:ascii="Palatino Linotype" w:hAnsi="Palatino Linotype" w:cs="Segoe UI"/>
          <w:lang w:val="en-GB"/>
        </w:rPr>
        <w:t>coordination between states</w:t>
      </w:r>
      <w:r w:rsidR="00DB72F2" w:rsidRPr="00E53DD1">
        <w:rPr>
          <w:rFonts w:ascii="Palatino Linotype" w:hAnsi="Palatino Linotype" w:cs="Segoe UI"/>
          <w:lang w:val="en-GB"/>
        </w:rPr>
        <w:t>, while still allowing for national policy space</w:t>
      </w:r>
      <w:r w:rsidR="00A80814" w:rsidRPr="00E53DD1">
        <w:rPr>
          <w:rFonts w:ascii="Palatino Linotype" w:hAnsi="Palatino Linotype" w:cs="Segoe UI"/>
          <w:lang w:val="en-GB"/>
        </w:rPr>
        <w:t xml:space="preserve"> to preserve domestic stability</w:t>
      </w:r>
      <w:r w:rsidR="00DB72F2" w:rsidRPr="00E53DD1">
        <w:rPr>
          <w:rFonts w:ascii="Palatino Linotype" w:hAnsi="Palatino Linotype" w:cs="Segoe UI"/>
          <w:lang w:val="en-GB"/>
        </w:rPr>
        <w:t xml:space="preserve"> (</w:t>
      </w:r>
      <w:r w:rsidR="00E777CB" w:rsidRPr="00E53DD1">
        <w:rPr>
          <w:rFonts w:ascii="Palatino Linotype" w:hAnsi="Palatino Linotype" w:cs="Segoe UI"/>
          <w:lang w:val="en-GB"/>
        </w:rPr>
        <w:t xml:space="preserve">Keohane &amp; Nye, 2001; </w:t>
      </w:r>
      <w:r w:rsidR="00DB72F2" w:rsidRPr="00E53DD1">
        <w:rPr>
          <w:rFonts w:ascii="Palatino Linotype" w:hAnsi="Palatino Linotype" w:cs="Segoe UI"/>
          <w:lang w:val="en-GB"/>
        </w:rPr>
        <w:t>Zürn, 2004).</w:t>
      </w:r>
      <w:r w:rsidR="00A80814" w:rsidRPr="00E53DD1">
        <w:rPr>
          <w:rFonts w:ascii="Palatino Linotype" w:hAnsi="Palatino Linotype" w:cs="Segoe UI"/>
          <w:lang w:val="en-GB"/>
        </w:rPr>
        <w:t xml:space="preserve"> </w:t>
      </w:r>
      <w:r w:rsidR="00DB72F2" w:rsidRPr="00E53DD1">
        <w:rPr>
          <w:rFonts w:ascii="Palatino Linotype" w:hAnsi="Palatino Linotype" w:cs="Segoe UI"/>
          <w:lang w:val="en-GB"/>
        </w:rPr>
        <w:t>The fundamental rationale underlying their establishment lies in what John Ruggie (1982) famously dubbed ‘embedded liberalism’: oriented towards</w:t>
      </w:r>
      <w:r w:rsidR="00E17284" w:rsidRPr="00E53DD1">
        <w:rPr>
          <w:rFonts w:ascii="Palatino Linotype" w:hAnsi="Palatino Linotype" w:cs="Segoe UI"/>
          <w:lang w:val="en-GB"/>
        </w:rPr>
        <w:t xml:space="preserve"> liberal multilater</w:t>
      </w:r>
      <w:r w:rsidR="006D08B6" w:rsidRPr="00E53DD1">
        <w:rPr>
          <w:rFonts w:ascii="Palatino Linotype" w:hAnsi="Palatino Linotype" w:cs="Segoe UI"/>
          <w:lang w:val="en-GB"/>
        </w:rPr>
        <w:t>a</w:t>
      </w:r>
      <w:r w:rsidR="00E17284" w:rsidRPr="00E53DD1">
        <w:rPr>
          <w:rFonts w:ascii="Palatino Linotype" w:hAnsi="Palatino Linotype" w:cs="Segoe UI"/>
          <w:lang w:val="en-GB"/>
        </w:rPr>
        <w:t>lism</w:t>
      </w:r>
      <w:r w:rsidR="00DB72F2" w:rsidRPr="00E53DD1">
        <w:rPr>
          <w:rFonts w:ascii="Palatino Linotype" w:hAnsi="Palatino Linotype" w:cs="Segoe UI"/>
          <w:lang w:val="en-GB"/>
        </w:rPr>
        <w:t xml:space="preserve">, but with national political systems still in the driving seat </w:t>
      </w:r>
      <w:r w:rsidR="00C174E1" w:rsidRPr="00E53DD1">
        <w:rPr>
          <w:rFonts w:ascii="Palatino Linotype" w:hAnsi="Palatino Linotype" w:cs="Segoe UI"/>
          <w:lang w:val="en-GB"/>
        </w:rPr>
        <w:t xml:space="preserve">as </w:t>
      </w:r>
      <w:r w:rsidR="00DB72F2" w:rsidRPr="00E53DD1">
        <w:rPr>
          <w:rFonts w:ascii="Palatino Linotype" w:hAnsi="Palatino Linotype" w:cs="Segoe UI"/>
          <w:lang w:val="en-GB"/>
        </w:rPr>
        <w:t>shock absorbers</w:t>
      </w:r>
      <w:r w:rsidR="00F534B9" w:rsidRPr="00E53DD1">
        <w:rPr>
          <w:rFonts w:ascii="Palatino Linotype" w:hAnsi="Palatino Linotype" w:cs="Segoe UI"/>
          <w:lang w:val="en-GB"/>
        </w:rPr>
        <w:t xml:space="preserve"> (</w:t>
      </w:r>
      <w:r w:rsidR="00660CD5" w:rsidRPr="00E53DD1">
        <w:rPr>
          <w:rFonts w:ascii="Palatino Linotype" w:hAnsi="Palatino Linotype" w:cs="Segoe UI"/>
          <w:lang w:val="en-GB"/>
        </w:rPr>
        <w:t xml:space="preserve">see </w:t>
      </w:r>
      <w:r w:rsidR="00F534B9" w:rsidRPr="00E53DD1">
        <w:rPr>
          <w:rFonts w:ascii="Palatino Linotype" w:hAnsi="Palatino Linotype" w:cs="Segoe UI"/>
          <w:lang w:val="en-GB"/>
        </w:rPr>
        <w:t xml:space="preserve">e.g. the establishment of welfare systems </w:t>
      </w:r>
      <w:r w:rsidR="000828DB" w:rsidRPr="00E53DD1">
        <w:rPr>
          <w:rFonts w:ascii="Palatino Linotype" w:hAnsi="Palatino Linotype" w:cs="Segoe UI"/>
          <w:lang w:val="en-GB"/>
        </w:rPr>
        <w:t>as a complement</w:t>
      </w:r>
      <w:r w:rsidR="00F534B9" w:rsidRPr="00E53DD1">
        <w:rPr>
          <w:rFonts w:ascii="Palatino Linotype" w:hAnsi="Palatino Linotype" w:cs="Segoe UI"/>
          <w:lang w:val="en-GB"/>
        </w:rPr>
        <w:t xml:space="preserve"> to falling trade barriers, Rodrik, 1999)</w:t>
      </w:r>
      <w:r w:rsidR="00DB72F2" w:rsidRPr="00E53DD1">
        <w:rPr>
          <w:rFonts w:ascii="Palatino Linotype" w:hAnsi="Palatino Linotype" w:cs="Segoe UI"/>
          <w:lang w:val="en-GB"/>
        </w:rPr>
        <w:t>.</w:t>
      </w:r>
      <w:r w:rsidR="00A80814" w:rsidRPr="00E53DD1">
        <w:rPr>
          <w:rFonts w:ascii="Palatino Linotype" w:hAnsi="Palatino Linotype" w:cs="Segoe UI"/>
          <w:lang w:val="en-GB"/>
        </w:rPr>
        <w:t xml:space="preserve"> The mode of governance accompanied with this </w:t>
      </w:r>
      <w:r w:rsidR="00D639A1" w:rsidRPr="00E53DD1">
        <w:rPr>
          <w:rFonts w:ascii="Palatino Linotype" w:hAnsi="Palatino Linotype" w:cs="Segoe UI"/>
          <w:lang w:val="en-GB"/>
        </w:rPr>
        <w:t xml:space="preserve">paradigm </w:t>
      </w:r>
      <w:r w:rsidR="000828DB" w:rsidRPr="00E53DD1">
        <w:rPr>
          <w:rFonts w:ascii="Palatino Linotype" w:hAnsi="Palatino Linotype" w:cs="Segoe UI"/>
          <w:lang w:val="en-GB"/>
        </w:rPr>
        <w:t>has been</w:t>
      </w:r>
      <w:r w:rsidR="00A80814" w:rsidRPr="00E53DD1">
        <w:rPr>
          <w:rFonts w:ascii="Palatino Linotype" w:hAnsi="Palatino Linotype" w:cs="Segoe UI"/>
          <w:lang w:val="en-GB"/>
        </w:rPr>
        <w:t xml:space="preserve"> </w:t>
      </w:r>
      <w:r w:rsidR="00C174E1" w:rsidRPr="00E53DD1">
        <w:rPr>
          <w:rFonts w:ascii="Palatino Linotype" w:hAnsi="Palatino Linotype" w:cs="Segoe UI"/>
          <w:lang w:val="en-GB"/>
        </w:rPr>
        <w:t>labelled</w:t>
      </w:r>
      <w:r w:rsidR="00A80814" w:rsidRPr="00E53DD1">
        <w:rPr>
          <w:rFonts w:ascii="Palatino Linotype" w:hAnsi="Palatino Linotype" w:cs="Segoe UI"/>
          <w:lang w:val="en-GB"/>
        </w:rPr>
        <w:t xml:space="preserve"> ‘executive multilateralism’: “</w:t>
      </w:r>
      <w:r w:rsidR="00A80814" w:rsidRPr="00E53DD1">
        <w:rPr>
          <w:rFonts w:ascii="Palatino Linotype" w:hAnsi="Palatino Linotype" w:cs="Segoe UI"/>
          <w:i/>
          <w:lang w:val="en-GB"/>
        </w:rPr>
        <w:t>governmental representatives from different countries coordinate their policies internationally, but with little national parliamentary control and away from public scrutiny</w:t>
      </w:r>
      <w:r w:rsidR="00A80814" w:rsidRPr="00E53DD1">
        <w:rPr>
          <w:rFonts w:ascii="Palatino Linotype" w:hAnsi="Palatino Linotype" w:cs="Segoe UI"/>
          <w:lang w:val="en-GB"/>
        </w:rPr>
        <w:t>” (Zürn, 2004).</w:t>
      </w:r>
      <w:r w:rsidR="00DB72F2" w:rsidRPr="00E53DD1">
        <w:rPr>
          <w:rFonts w:ascii="Palatino Linotype" w:hAnsi="Palatino Linotype" w:cs="Segoe UI"/>
          <w:lang w:val="en-GB"/>
        </w:rPr>
        <w:t xml:space="preserve"> </w:t>
      </w:r>
      <w:r w:rsidR="0095761A" w:rsidRPr="00E53DD1">
        <w:rPr>
          <w:rFonts w:ascii="Palatino Linotype" w:hAnsi="Palatino Linotype" w:cs="Segoe UI"/>
          <w:lang w:val="en-GB"/>
        </w:rPr>
        <w:t>International</w:t>
      </w:r>
      <w:r w:rsidR="00E777CB" w:rsidRPr="00E53DD1">
        <w:rPr>
          <w:rFonts w:ascii="Palatino Linotype" w:hAnsi="Palatino Linotype" w:cs="Segoe UI"/>
          <w:lang w:val="en-GB"/>
        </w:rPr>
        <w:t xml:space="preserve"> organizations </w:t>
      </w:r>
      <w:r w:rsidR="00C174E1" w:rsidRPr="00E53DD1">
        <w:rPr>
          <w:rFonts w:ascii="Palatino Linotype" w:hAnsi="Palatino Linotype" w:cs="Segoe UI"/>
          <w:lang w:val="en-GB"/>
        </w:rPr>
        <w:t xml:space="preserve">hence </w:t>
      </w:r>
      <w:r w:rsidR="00E777CB" w:rsidRPr="00E53DD1">
        <w:rPr>
          <w:rFonts w:ascii="Palatino Linotype" w:hAnsi="Palatino Linotype" w:cs="Segoe UI"/>
          <w:lang w:val="en-GB"/>
        </w:rPr>
        <w:t xml:space="preserve">operated </w:t>
      </w:r>
      <w:r w:rsidR="006D08B6" w:rsidRPr="00E53DD1">
        <w:rPr>
          <w:rFonts w:ascii="Palatino Linotype" w:hAnsi="Palatino Linotype" w:cs="Segoe UI"/>
          <w:lang w:val="en-GB"/>
        </w:rPr>
        <w:t xml:space="preserve">more </w:t>
      </w:r>
      <w:r w:rsidR="00E777CB" w:rsidRPr="00E53DD1">
        <w:rPr>
          <w:rFonts w:ascii="Palatino Linotype" w:hAnsi="Palatino Linotype" w:cs="Segoe UI"/>
          <w:lang w:val="en-GB"/>
        </w:rPr>
        <w:t xml:space="preserve">as ‘clubs’ of negotiators who </w:t>
      </w:r>
      <w:r w:rsidR="00130EC4" w:rsidRPr="00E53DD1">
        <w:rPr>
          <w:rFonts w:ascii="Palatino Linotype" w:hAnsi="Palatino Linotype" w:cs="Segoe UI"/>
          <w:lang w:val="en-GB"/>
        </w:rPr>
        <w:t>worked</w:t>
      </w:r>
      <w:r w:rsidR="00E777CB" w:rsidRPr="00E53DD1">
        <w:rPr>
          <w:rFonts w:ascii="Palatino Linotype" w:hAnsi="Palatino Linotype" w:cs="Segoe UI"/>
          <w:lang w:val="en-GB"/>
        </w:rPr>
        <w:t xml:space="preserve"> in technically </w:t>
      </w:r>
      <w:r w:rsidR="00E777CB" w:rsidRPr="00E53DD1">
        <w:rPr>
          <w:rFonts w:ascii="Palatino Linotype" w:hAnsi="Palatino Linotype" w:cs="Segoe UI"/>
          <w:lang w:val="en-GB"/>
        </w:rPr>
        <w:lastRenderedPageBreak/>
        <w:t>advanced bargaining sessions with each other behind closed doors (Keohane &amp; Nye, 2001</w:t>
      </w:r>
      <w:r w:rsidR="000828DB" w:rsidRPr="00E53DD1">
        <w:rPr>
          <w:rFonts w:ascii="Palatino Linotype" w:hAnsi="Palatino Linotype" w:cs="Segoe UI"/>
          <w:lang w:val="en-GB"/>
        </w:rPr>
        <w:t>; Hocking, 2004</w:t>
      </w:r>
      <w:r w:rsidR="00E777CB" w:rsidRPr="00E53DD1">
        <w:rPr>
          <w:rFonts w:ascii="Palatino Linotype" w:hAnsi="Palatino Linotype" w:cs="Segoe UI"/>
          <w:lang w:val="en-GB"/>
        </w:rPr>
        <w:t xml:space="preserve">). </w:t>
      </w:r>
    </w:p>
    <w:p w14:paraId="429DFB12" w14:textId="425DEE18" w:rsidR="00DB72F2" w:rsidRPr="00E53DD1" w:rsidRDefault="00130EC4" w:rsidP="00C5355B">
      <w:pPr>
        <w:jc w:val="both"/>
        <w:rPr>
          <w:rFonts w:ascii="Palatino Linotype" w:hAnsi="Palatino Linotype" w:cs="Segoe UI"/>
          <w:lang w:val="en-US"/>
        </w:rPr>
      </w:pPr>
      <w:r w:rsidRPr="00E53DD1">
        <w:rPr>
          <w:rFonts w:ascii="Palatino Linotype" w:hAnsi="Palatino Linotype" w:cs="Segoe UI"/>
          <w:lang w:val="en-US"/>
        </w:rPr>
        <w:t xml:space="preserve">In response to the changing nature and complexity of societal problems however (see Zürn, 2004), the overall political authority of </w:t>
      </w:r>
      <w:r w:rsidRPr="00E53DD1">
        <w:rPr>
          <w:rFonts w:ascii="Palatino Linotype" w:hAnsi="Palatino Linotype" w:cs="Segoe UI"/>
          <w:lang w:val="en-GB"/>
        </w:rPr>
        <w:t>international institutions – the ability to make legally binding decisions for states – has risen over the years (Cooper et al., 2008; Zürn et al., 2012). Organizations such as the IMF, the World Bank and the WTO increasingly had an i</w:t>
      </w:r>
      <w:r w:rsidR="007C6EDA" w:rsidRPr="00E53DD1">
        <w:rPr>
          <w:rFonts w:ascii="Palatino Linotype" w:hAnsi="Palatino Linotype" w:cs="Segoe UI"/>
          <w:lang w:val="en-GB"/>
        </w:rPr>
        <w:t xml:space="preserve">mpact on so-called behind-the-border issues (Woods &amp; Narlikar, 2001; Zürn, 2004; Young, 2006). </w:t>
      </w:r>
      <w:r w:rsidR="00D10D98" w:rsidRPr="00E53DD1">
        <w:rPr>
          <w:rFonts w:ascii="Palatino Linotype" w:hAnsi="Palatino Linotype" w:cs="Segoe UI"/>
          <w:lang w:val="en-GB"/>
        </w:rPr>
        <w:t xml:space="preserve">The European Union as well has over the years been bestowed with additional competences in different domains. </w:t>
      </w:r>
    </w:p>
    <w:p w14:paraId="32A47F5D" w14:textId="66C58FE5" w:rsidR="007C6EDA" w:rsidRPr="00E53DD1" w:rsidRDefault="00914B90" w:rsidP="00C5355B">
      <w:pPr>
        <w:jc w:val="both"/>
        <w:rPr>
          <w:rFonts w:ascii="Palatino Linotype" w:hAnsi="Palatino Linotype" w:cs="Segoe UI"/>
          <w:lang w:val="en-GB"/>
        </w:rPr>
      </w:pPr>
      <w:r w:rsidRPr="00E53DD1">
        <w:rPr>
          <w:rFonts w:ascii="Palatino Linotype" w:hAnsi="Palatino Linotype" w:cs="Segoe UI"/>
          <w:lang w:val="en-GB"/>
        </w:rPr>
        <w:t xml:space="preserve">Over time, awareness of these issues </w:t>
      </w:r>
      <w:r w:rsidR="00660CD5" w:rsidRPr="00E53DD1">
        <w:rPr>
          <w:rFonts w:ascii="Palatino Linotype" w:hAnsi="Palatino Linotype" w:cs="Segoe UI"/>
          <w:lang w:val="en-GB"/>
        </w:rPr>
        <w:t>led</w:t>
      </w:r>
      <w:r w:rsidR="00985FE8" w:rsidRPr="00E53DD1">
        <w:rPr>
          <w:rFonts w:ascii="Palatino Linotype" w:hAnsi="Palatino Linotype" w:cs="Segoe UI"/>
          <w:lang w:val="en-GB"/>
        </w:rPr>
        <w:t xml:space="preserve"> new players </w:t>
      </w:r>
      <w:r w:rsidR="00660CD5" w:rsidRPr="00E53DD1">
        <w:rPr>
          <w:rFonts w:ascii="Palatino Linotype" w:hAnsi="Palatino Linotype" w:cs="Segoe UI"/>
          <w:lang w:val="en-GB"/>
        </w:rPr>
        <w:t>to</w:t>
      </w:r>
      <w:r w:rsidR="00985FE8" w:rsidRPr="00E53DD1">
        <w:rPr>
          <w:rFonts w:ascii="Palatino Linotype" w:hAnsi="Palatino Linotype" w:cs="Segoe UI"/>
          <w:lang w:val="en-GB"/>
        </w:rPr>
        <w:t xml:space="preserve"> the global scene. </w:t>
      </w:r>
      <w:r w:rsidR="00F54C93" w:rsidRPr="00E53DD1">
        <w:rPr>
          <w:rFonts w:ascii="Palatino Linotype" w:hAnsi="Palatino Linotype" w:cs="Segoe UI"/>
          <w:lang w:val="en-GB"/>
        </w:rPr>
        <w:t>Besides</w:t>
      </w:r>
      <w:r w:rsidR="00985FE8" w:rsidRPr="00E53DD1">
        <w:rPr>
          <w:rFonts w:ascii="Palatino Linotype" w:hAnsi="Palatino Linotype" w:cs="Segoe UI"/>
          <w:lang w:val="en-GB"/>
        </w:rPr>
        <w:t xml:space="preserve"> developing countries (with often diametrically opposed agendas),</w:t>
      </w:r>
      <w:r w:rsidR="007C6EDA" w:rsidRPr="00E53DD1">
        <w:rPr>
          <w:rFonts w:ascii="Palatino Linotype" w:hAnsi="Palatino Linotype" w:cs="Segoe UI"/>
          <w:lang w:val="en-GB"/>
        </w:rPr>
        <w:t xml:space="preserve"> it was</w:t>
      </w:r>
      <w:r w:rsidR="00985FE8" w:rsidRPr="00E53DD1">
        <w:rPr>
          <w:rFonts w:ascii="Palatino Linotype" w:hAnsi="Palatino Linotype" w:cs="Segoe UI"/>
          <w:lang w:val="en-GB"/>
        </w:rPr>
        <w:t xml:space="preserve"> </w:t>
      </w:r>
      <w:r w:rsidR="00471B35" w:rsidRPr="00E53DD1">
        <w:rPr>
          <w:rFonts w:ascii="Palatino Linotype" w:hAnsi="Palatino Linotype" w:cs="Segoe UI"/>
          <w:lang w:val="en-GB"/>
        </w:rPr>
        <w:t>above all</w:t>
      </w:r>
      <w:r w:rsidR="00F54C93" w:rsidRPr="00E53DD1">
        <w:rPr>
          <w:rFonts w:ascii="Palatino Linotype" w:hAnsi="Palatino Linotype" w:cs="Segoe UI"/>
          <w:lang w:val="en-GB"/>
        </w:rPr>
        <w:t xml:space="preserve"> </w:t>
      </w:r>
      <w:r w:rsidR="00985FE8" w:rsidRPr="00E53DD1">
        <w:rPr>
          <w:rFonts w:ascii="Palatino Linotype" w:hAnsi="Palatino Linotype" w:cs="Segoe UI"/>
          <w:lang w:val="en-GB"/>
        </w:rPr>
        <w:t xml:space="preserve">non-state actors (business associations, trade unions, NGOs) </w:t>
      </w:r>
      <w:r w:rsidR="007C6EDA" w:rsidRPr="00E53DD1">
        <w:rPr>
          <w:rFonts w:ascii="Palatino Linotype" w:hAnsi="Palatino Linotype" w:cs="Segoe UI"/>
          <w:lang w:val="en-GB"/>
        </w:rPr>
        <w:t xml:space="preserve">that </w:t>
      </w:r>
      <w:r w:rsidR="00105EC6" w:rsidRPr="00E53DD1">
        <w:rPr>
          <w:rFonts w:ascii="Palatino Linotype" w:hAnsi="Palatino Linotype" w:cs="Segoe UI"/>
          <w:lang w:val="en-GB"/>
        </w:rPr>
        <w:t xml:space="preserve">gradually </w:t>
      </w:r>
      <w:r w:rsidR="00660CD5" w:rsidRPr="00E53DD1">
        <w:rPr>
          <w:rFonts w:ascii="Palatino Linotype" w:hAnsi="Palatino Linotype" w:cs="Segoe UI"/>
          <w:lang w:val="en-GB"/>
        </w:rPr>
        <w:t>directed</w:t>
      </w:r>
      <w:r w:rsidR="00F54C93" w:rsidRPr="00E53DD1">
        <w:rPr>
          <w:rFonts w:ascii="Palatino Linotype" w:hAnsi="Palatino Linotype" w:cs="Segoe UI"/>
          <w:lang w:val="en-GB"/>
        </w:rPr>
        <w:t xml:space="preserve"> their attention to the global level</w:t>
      </w:r>
      <w:r w:rsidR="00985FE8" w:rsidRPr="00E53DD1">
        <w:rPr>
          <w:rFonts w:ascii="Palatino Linotype" w:hAnsi="Palatino Linotype" w:cs="Segoe UI"/>
          <w:lang w:val="en-GB"/>
        </w:rPr>
        <w:t>. Especially NGOs became</w:t>
      </w:r>
      <w:r w:rsidRPr="00E53DD1">
        <w:rPr>
          <w:rFonts w:ascii="Palatino Linotype" w:hAnsi="Palatino Linotype" w:cs="Segoe UI"/>
          <w:lang w:val="en-GB"/>
        </w:rPr>
        <w:t xml:space="preserve"> increasingly</w:t>
      </w:r>
      <w:r w:rsidR="00985FE8" w:rsidRPr="00E53DD1">
        <w:rPr>
          <w:rFonts w:ascii="Palatino Linotype" w:hAnsi="Palatino Linotype" w:cs="Segoe UI"/>
          <w:lang w:val="en-GB"/>
        </w:rPr>
        <w:t xml:space="preserve"> aware of the</w:t>
      </w:r>
      <w:r w:rsidRPr="00E53DD1">
        <w:rPr>
          <w:rFonts w:ascii="Palatino Linotype" w:hAnsi="Palatino Linotype" w:cs="Segoe UI"/>
          <w:lang w:val="en-GB"/>
        </w:rPr>
        <w:t xml:space="preserve"> impact these institutions</w:t>
      </w:r>
      <w:r w:rsidR="00660CD5" w:rsidRPr="00E53DD1">
        <w:rPr>
          <w:rFonts w:ascii="Palatino Linotype" w:hAnsi="Palatino Linotype" w:cs="Segoe UI"/>
          <w:lang w:val="en-GB"/>
        </w:rPr>
        <w:t xml:space="preserve"> had</w:t>
      </w:r>
      <w:r w:rsidRPr="00E53DD1">
        <w:rPr>
          <w:rFonts w:ascii="Palatino Linotype" w:hAnsi="Palatino Linotype" w:cs="Segoe UI"/>
          <w:lang w:val="en-GB"/>
        </w:rPr>
        <w:t xml:space="preserve"> and the</w:t>
      </w:r>
      <w:r w:rsidR="00985FE8" w:rsidRPr="00E53DD1">
        <w:rPr>
          <w:rFonts w:ascii="Palatino Linotype" w:hAnsi="Palatino Linotype" w:cs="Segoe UI"/>
          <w:lang w:val="en-GB"/>
        </w:rPr>
        <w:t xml:space="preserve"> issue linkages between </w:t>
      </w:r>
      <w:r w:rsidR="00C2059B" w:rsidRPr="00E53DD1">
        <w:rPr>
          <w:rFonts w:ascii="Palatino Linotype" w:hAnsi="Palatino Linotype" w:cs="Segoe UI"/>
          <w:lang w:val="en-GB"/>
        </w:rPr>
        <w:t>different</w:t>
      </w:r>
      <w:r w:rsidR="00B32855" w:rsidRPr="00E53DD1">
        <w:rPr>
          <w:rFonts w:ascii="Palatino Linotype" w:hAnsi="Palatino Linotype" w:cs="Segoe UI"/>
          <w:lang w:val="en-GB"/>
        </w:rPr>
        <w:t xml:space="preserve"> areas of their concern</w:t>
      </w:r>
      <w:r w:rsidR="00C2059B" w:rsidRPr="00E53DD1">
        <w:rPr>
          <w:rFonts w:ascii="Palatino Linotype" w:hAnsi="Palatino Linotype" w:cs="Segoe UI"/>
          <w:lang w:val="en-GB"/>
        </w:rPr>
        <w:t xml:space="preserve">. </w:t>
      </w:r>
      <w:r w:rsidR="00F54C93" w:rsidRPr="00E53DD1">
        <w:rPr>
          <w:rFonts w:ascii="Palatino Linotype" w:hAnsi="Palatino Linotype" w:cs="Segoe UI"/>
          <w:lang w:val="en-GB"/>
        </w:rPr>
        <w:t>Together</w:t>
      </w:r>
      <w:r w:rsidR="00C2059B" w:rsidRPr="00E53DD1">
        <w:rPr>
          <w:rFonts w:ascii="Palatino Linotype" w:hAnsi="Palatino Linotype" w:cs="Segoe UI"/>
          <w:lang w:val="en-GB"/>
        </w:rPr>
        <w:t xml:space="preserve"> with the increasing spread of democratic norms, and attempts to implement these at</w:t>
      </w:r>
      <w:r w:rsidR="00512018" w:rsidRPr="00E53DD1">
        <w:rPr>
          <w:rFonts w:ascii="Palatino Linotype" w:hAnsi="Palatino Linotype" w:cs="Segoe UI"/>
          <w:lang w:val="en-GB"/>
        </w:rPr>
        <w:t xml:space="preserve"> the</w:t>
      </w:r>
      <w:r w:rsidR="00C2059B" w:rsidRPr="00E53DD1">
        <w:rPr>
          <w:rFonts w:ascii="Palatino Linotype" w:hAnsi="Palatino Linotype" w:cs="Segoe UI"/>
          <w:lang w:val="en-GB"/>
        </w:rPr>
        <w:t xml:space="preserve"> international level, this evolution has </w:t>
      </w:r>
      <w:r w:rsidR="007C6EDA" w:rsidRPr="00E53DD1">
        <w:rPr>
          <w:rFonts w:ascii="Palatino Linotype" w:hAnsi="Palatino Linotype" w:cs="Segoe UI"/>
          <w:lang w:val="en-GB"/>
        </w:rPr>
        <w:t>led</w:t>
      </w:r>
      <w:r w:rsidR="00C2059B" w:rsidRPr="00E53DD1">
        <w:rPr>
          <w:rFonts w:ascii="Palatino Linotype" w:hAnsi="Palatino Linotype" w:cs="Segoe UI"/>
          <w:lang w:val="en-GB"/>
        </w:rPr>
        <w:t xml:space="preserve"> </w:t>
      </w:r>
      <w:r w:rsidR="007C6EDA" w:rsidRPr="00E53DD1">
        <w:rPr>
          <w:rFonts w:ascii="Palatino Linotype" w:hAnsi="Palatino Linotype" w:cs="Segoe UI"/>
          <w:lang w:val="en-GB"/>
        </w:rPr>
        <w:t>to</w:t>
      </w:r>
      <w:r w:rsidR="00C2059B" w:rsidRPr="00E53DD1">
        <w:rPr>
          <w:rFonts w:ascii="Palatino Linotype" w:hAnsi="Palatino Linotype" w:cs="Segoe UI"/>
          <w:lang w:val="en-GB"/>
        </w:rPr>
        <w:t xml:space="preserve"> </w:t>
      </w:r>
      <w:r w:rsidR="007C6EDA" w:rsidRPr="00E53DD1">
        <w:rPr>
          <w:rFonts w:ascii="Palatino Linotype" w:hAnsi="Palatino Linotype" w:cs="Segoe UI"/>
          <w:lang w:val="en-GB"/>
        </w:rPr>
        <w:t>ongoing</w:t>
      </w:r>
      <w:r w:rsidR="00C2059B" w:rsidRPr="00E53DD1">
        <w:rPr>
          <w:rFonts w:ascii="Palatino Linotype" w:hAnsi="Palatino Linotype" w:cs="Segoe UI"/>
          <w:lang w:val="en-GB"/>
        </w:rPr>
        <w:t xml:space="preserve"> criticism of “undemocratic” global institutions (Keohane &amp; Nye, 2001)</w:t>
      </w:r>
      <w:r w:rsidR="00EB496B" w:rsidRPr="00E53DD1">
        <w:rPr>
          <w:rFonts w:ascii="Palatino Linotype" w:hAnsi="Palatino Linotype" w:cs="Segoe UI"/>
          <w:lang w:val="en-GB"/>
        </w:rPr>
        <w:t>.</w:t>
      </w:r>
      <w:r w:rsidR="00936F50" w:rsidRPr="00E53DD1">
        <w:rPr>
          <w:rFonts w:ascii="Palatino Linotype" w:hAnsi="Palatino Linotype" w:cs="Segoe UI"/>
          <w:lang w:val="en-GB"/>
        </w:rPr>
        <w:t xml:space="preserve"> In a sense this criticism </w:t>
      </w:r>
      <w:r w:rsidR="00660CD5" w:rsidRPr="00E53DD1">
        <w:rPr>
          <w:rFonts w:ascii="Palatino Linotype" w:hAnsi="Palatino Linotype" w:cs="Segoe UI"/>
          <w:lang w:val="en-GB"/>
        </w:rPr>
        <w:t>is</w:t>
      </w:r>
      <w:r w:rsidR="00022BF0" w:rsidRPr="00E53DD1">
        <w:rPr>
          <w:rFonts w:ascii="Palatino Linotype" w:hAnsi="Palatino Linotype" w:cs="Segoe UI"/>
          <w:lang w:val="en-GB"/>
        </w:rPr>
        <w:t xml:space="preserve"> a</w:t>
      </w:r>
      <w:r w:rsidR="00660CD5" w:rsidRPr="00E53DD1">
        <w:rPr>
          <w:rFonts w:ascii="Palatino Linotype" w:hAnsi="Palatino Linotype" w:cs="Segoe UI"/>
          <w:lang w:val="en-GB"/>
        </w:rPr>
        <w:t xml:space="preserve"> </w:t>
      </w:r>
      <w:r w:rsidR="0022370E" w:rsidRPr="00E53DD1">
        <w:rPr>
          <w:rFonts w:ascii="Palatino Linotype" w:hAnsi="Palatino Linotype" w:cs="Segoe UI"/>
          <w:lang w:val="en-GB"/>
        </w:rPr>
        <w:t xml:space="preserve">testimony </w:t>
      </w:r>
      <w:r w:rsidR="00660CD5" w:rsidRPr="00E53DD1">
        <w:rPr>
          <w:rFonts w:ascii="Palatino Linotype" w:hAnsi="Palatino Linotype" w:cs="Segoe UI"/>
          <w:lang w:val="en-GB"/>
        </w:rPr>
        <w:t>of</w:t>
      </w:r>
      <w:r w:rsidR="00936F50" w:rsidRPr="00E53DD1">
        <w:rPr>
          <w:rFonts w:ascii="Palatino Linotype" w:hAnsi="Palatino Linotype" w:cs="Segoe UI"/>
          <w:lang w:val="en-GB"/>
        </w:rPr>
        <w:t xml:space="preserve"> their importance</w:t>
      </w:r>
      <w:r w:rsidR="00660CD5" w:rsidRPr="00E53DD1">
        <w:rPr>
          <w:rFonts w:ascii="Palatino Linotype" w:hAnsi="Palatino Linotype" w:cs="Segoe UI"/>
          <w:lang w:val="en-GB"/>
        </w:rPr>
        <w:t xml:space="preserve">, </w:t>
      </w:r>
      <w:r w:rsidR="00512018" w:rsidRPr="00E53DD1">
        <w:rPr>
          <w:rFonts w:ascii="Palatino Linotype" w:hAnsi="Palatino Linotype" w:cs="Segoe UI"/>
          <w:lang w:val="en-GB"/>
        </w:rPr>
        <w:t>resulting in evaluations</w:t>
      </w:r>
      <w:r w:rsidR="00936F50" w:rsidRPr="00E53DD1">
        <w:rPr>
          <w:rFonts w:ascii="Palatino Linotype" w:hAnsi="Palatino Linotype" w:cs="Segoe UI"/>
          <w:lang w:val="en-GB"/>
        </w:rPr>
        <w:t xml:space="preserve"> not only </w:t>
      </w:r>
      <w:r w:rsidR="00512018" w:rsidRPr="00E53DD1">
        <w:rPr>
          <w:rFonts w:ascii="Palatino Linotype" w:hAnsi="Palatino Linotype" w:cs="Segoe UI"/>
          <w:lang w:val="en-GB"/>
        </w:rPr>
        <w:t xml:space="preserve">of </w:t>
      </w:r>
      <w:r w:rsidR="00936F50" w:rsidRPr="00E53DD1">
        <w:rPr>
          <w:rFonts w:ascii="Palatino Linotype" w:hAnsi="Palatino Linotype" w:cs="Segoe UI"/>
          <w:lang w:val="en-GB"/>
        </w:rPr>
        <w:t xml:space="preserve">the policies they produce, but also </w:t>
      </w:r>
      <w:r w:rsidR="00512018" w:rsidRPr="00E53DD1">
        <w:rPr>
          <w:rFonts w:ascii="Palatino Linotype" w:hAnsi="Palatino Linotype" w:cs="Segoe UI"/>
          <w:lang w:val="en-GB"/>
        </w:rPr>
        <w:t xml:space="preserve">of </w:t>
      </w:r>
      <w:r w:rsidR="00936F50" w:rsidRPr="00E53DD1">
        <w:rPr>
          <w:rFonts w:ascii="Palatino Linotype" w:hAnsi="Palatino Linotype" w:cs="Segoe UI"/>
          <w:lang w:val="en-GB"/>
        </w:rPr>
        <w:t>the procedural element of policy-making (ibid.).</w:t>
      </w:r>
      <w:r w:rsidRPr="00E53DD1">
        <w:rPr>
          <w:rFonts w:ascii="Palatino Linotype" w:hAnsi="Palatino Linotype" w:cs="Segoe UI"/>
          <w:lang w:val="en-GB"/>
        </w:rPr>
        <w:t xml:space="preserve"> </w:t>
      </w:r>
      <w:r w:rsidR="00B32855" w:rsidRPr="00E53DD1">
        <w:rPr>
          <w:rFonts w:ascii="Palatino Linotype" w:hAnsi="Palatino Linotype" w:cs="Segoe UI"/>
          <w:lang w:val="en-GB"/>
        </w:rPr>
        <w:t>As Zürn (2004</w:t>
      </w:r>
      <w:r w:rsidR="00F87B1E" w:rsidRPr="00E53DD1">
        <w:rPr>
          <w:rFonts w:ascii="Palatino Linotype" w:hAnsi="Palatino Linotype" w:cs="Segoe UI"/>
          <w:lang w:val="en-GB"/>
        </w:rPr>
        <w:t xml:space="preserve">: </w:t>
      </w:r>
      <w:r w:rsidR="00E1440D" w:rsidRPr="00E53DD1">
        <w:rPr>
          <w:rFonts w:ascii="Palatino Linotype" w:hAnsi="Palatino Linotype" w:cs="Segoe UI"/>
          <w:lang w:val="en-GB"/>
        </w:rPr>
        <w:t>29</w:t>
      </w:r>
      <w:r w:rsidR="00B32855" w:rsidRPr="00E53DD1">
        <w:rPr>
          <w:rFonts w:ascii="Palatino Linotype" w:hAnsi="Palatino Linotype" w:cs="Segoe UI"/>
          <w:lang w:val="en-GB"/>
        </w:rPr>
        <w:t>) sharply put it:</w:t>
      </w:r>
      <w:r w:rsidRPr="00E53DD1">
        <w:rPr>
          <w:rFonts w:ascii="Palatino Linotype" w:hAnsi="Palatino Linotype" w:cs="Segoe UI"/>
          <w:lang w:val="en-GB"/>
        </w:rPr>
        <w:t xml:space="preserve"> “the more int</w:t>
      </w:r>
      <w:r w:rsidR="00067F46" w:rsidRPr="00E53DD1">
        <w:rPr>
          <w:rFonts w:ascii="Palatino Linotype" w:hAnsi="Palatino Linotype" w:cs="Segoe UI"/>
          <w:lang w:val="en-GB"/>
        </w:rPr>
        <w:t>rusive these institutions become</w:t>
      </w:r>
      <w:r w:rsidRPr="00E53DD1">
        <w:rPr>
          <w:rFonts w:ascii="Palatino Linotype" w:hAnsi="Palatino Linotype" w:cs="Segoe UI"/>
          <w:lang w:val="en-GB"/>
        </w:rPr>
        <w:t>, the more justified and intense the demands will be for their democratization”</w:t>
      </w:r>
      <w:r w:rsidR="00B32855" w:rsidRPr="00E53DD1">
        <w:rPr>
          <w:rFonts w:ascii="Palatino Linotype" w:hAnsi="Palatino Linotype" w:cs="Segoe UI"/>
          <w:lang w:val="en-GB"/>
        </w:rPr>
        <w:t>.</w:t>
      </w:r>
    </w:p>
    <w:p w14:paraId="0B112FAA" w14:textId="26879476" w:rsidR="003C00B5" w:rsidRPr="00E53DD1" w:rsidRDefault="00B32855" w:rsidP="00C5355B">
      <w:pPr>
        <w:jc w:val="both"/>
        <w:rPr>
          <w:rFonts w:ascii="Palatino Linotype" w:hAnsi="Palatino Linotype" w:cs="Segoe UI"/>
          <w:lang w:val="en-GB"/>
        </w:rPr>
      </w:pPr>
      <w:r w:rsidRPr="00E53DD1">
        <w:rPr>
          <w:rFonts w:ascii="Palatino Linotype" w:hAnsi="Palatino Linotype" w:cs="Segoe UI"/>
          <w:lang w:val="en-GB"/>
        </w:rPr>
        <w:t>At several periods, these claims have led to the politicization of global governance (issues), which can be defined as “</w:t>
      </w:r>
      <w:r w:rsidRPr="00E53DD1">
        <w:rPr>
          <w:rFonts w:ascii="Palatino Linotype" w:hAnsi="Palatino Linotype"/>
          <w:i/>
          <w:lang w:val="en-US"/>
        </w:rPr>
        <w:t>an increase in polarization of opinions, interests or values and the extent to which they are publicly advanced towards the process of policy formulation</w:t>
      </w:r>
      <w:r w:rsidR="00022BF0" w:rsidRPr="00E53DD1">
        <w:rPr>
          <w:rFonts w:ascii="Palatino Linotype" w:hAnsi="Palatino Linotype"/>
          <w:i/>
          <w:lang w:val="en-US"/>
        </w:rPr>
        <w:t>”</w:t>
      </w:r>
      <w:r w:rsidRPr="00E53DD1">
        <w:rPr>
          <w:rFonts w:ascii="Palatino Linotype" w:hAnsi="Palatino Linotype"/>
          <w:i/>
          <w:lang w:val="en-US"/>
        </w:rPr>
        <w:t xml:space="preserve"> </w:t>
      </w:r>
      <w:r w:rsidRPr="00E53DD1">
        <w:rPr>
          <w:rFonts w:ascii="Palatino Linotype" w:hAnsi="Palatino Linotype"/>
          <w:lang w:val="en-US"/>
        </w:rPr>
        <w:t>(De Wilde, 2011)</w:t>
      </w:r>
      <w:r w:rsidR="007C6EDA" w:rsidRPr="00E53DD1">
        <w:rPr>
          <w:rStyle w:val="FootnoteReference"/>
          <w:rFonts w:ascii="Palatino Linotype" w:hAnsi="Palatino Linotype"/>
          <w:lang w:val="en-US"/>
        </w:rPr>
        <w:footnoteReference w:id="4"/>
      </w:r>
      <w:r w:rsidRPr="00E53DD1">
        <w:rPr>
          <w:rFonts w:ascii="Palatino Linotype" w:hAnsi="Palatino Linotype" w:cs="Segoe UI"/>
          <w:lang w:val="en-GB"/>
        </w:rPr>
        <w:t xml:space="preserve">. While public criticism may linger throughout the years and have an incremental impact, it is particularly during </w:t>
      </w:r>
      <w:r w:rsidR="004C4652" w:rsidRPr="00E53DD1">
        <w:rPr>
          <w:rFonts w:ascii="Palatino Linotype" w:hAnsi="Palatino Linotype" w:cs="Segoe UI"/>
          <w:lang w:val="en-GB"/>
        </w:rPr>
        <w:t>heavily politicized episodes –</w:t>
      </w:r>
      <w:r w:rsidR="007C6EDA" w:rsidRPr="00E53DD1">
        <w:rPr>
          <w:rFonts w:ascii="Palatino Linotype" w:hAnsi="Palatino Linotype" w:cs="Segoe UI"/>
          <w:lang w:val="en-GB"/>
        </w:rPr>
        <w:t xml:space="preserve"> evidenced in </w:t>
      </w:r>
      <w:r w:rsidR="004C4652" w:rsidRPr="00E53DD1">
        <w:rPr>
          <w:rFonts w:ascii="Palatino Linotype" w:hAnsi="Palatino Linotype" w:cs="Segoe UI"/>
          <w:lang w:val="en-GB"/>
        </w:rPr>
        <w:t>parliamentary, media, and protest arenas</w:t>
      </w:r>
      <w:r w:rsidR="007C6EDA" w:rsidRPr="00E53DD1">
        <w:rPr>
          <w:rStyle w:val="FootnoteReference"/>
          <w:rFonts w:ascii="Palatino Linotype" w:hAnsi="Palatino Linotype" w:cs="Segoe UI"/>
          <w:lang w:val="en-GB"/>
        </w:rPr>
        <w:footnoteReference w:id="5"/>
      </w:r>
      <w:r w:rsidR="004C4652" w:rsidRPr="00E53DD1">
        <w:rPr>
          <w:rFonts w:ascii="Palatino Linotype" w:hAnsi="Palatino Linotype" w:cs="Segoe UI"/>
          <w:lang w:val="en-GB"/>
        </w:rPr>
        <w:t xml:space="preserve"> –</w:t>
      </w:r>
      <w:r w:rsidRPr="00E53DD1">
        <w:rPr>
          <w:rFonts w:ascii="Palatino Linotype" w:hAnsi="Palatino Linotype" w:cs="Segoe UI"/>
          <w:lang w:val="en-GB"/>
        </w:rPr>
        <w:t xml:space="preserve"> that questions about </w:t>
      </w:r>
      <w:r w:rsidR="00D8485C" w:rsidRPr="00E53DD1">
        <w:rPr>
          <w:rFonts w:ascii="Palatino Linotype" w:hAnsi="Palatino Linotype" w:cs="Segoe UI"/>
          <w:lang w:val="en-GB"/>
        </w:rPr>
        <w:t>the</w:t>
      </w:r>
      <w:r w:rsidRPr="00E53DD1">
        <w:rPr>
          <w:rFonts w:ascii="Palatino Linotype" w:hAnsi="Palatino Linotype" w:cs="Segoe UI"/>
          <w:lang w:val="en-GB"/>
        </w:rPr>
        <w:t xml:space="preserve"> legitimacy of these institutions and the decisions they take are frequently </w:t>
      </w:r>
      <w:r w:rsidR="00512018" w:rsidRPr="00E53DD1">
        <w:rPr>
          <w:rFonts w:ascii="Palatino Linotype" w:hAnsi="Palatino Linotype" w:cs="Segoe UI"/>
          <w:lang w:val="en-GB"/>
        </w:rPr>
        <w:t xml:space="preserve">raised </w:t>
      </w:r>
      <w:r w:rsidRPr="00E53DD1">
        <w:rPr>
          <w:rFonts w:ascii="Palatino Linotype" w:hAnsi="Palatino Linotype" w:cs="Segoe UI"/>
          <w:lang w:val="en-GB"/>
        </w:rPr>
        <w:t>and</w:t>
      </w:r>
      <w:r w:rsidR="00067F46" w:rsidRPr="00E53DD1">
        <w:rPr>
          <w:rFonts w:ascii="Palatino Linotype" w:hAnsi="Palatino Linotype" w:cs="Segoe UI"/>
          <w:lang w:val="en-GB"/>
        </w:rPr>
        <w:t xml:space="preserve"> – above all –</w:t>
      </w:r>
      <w:r w:rsidRPr="00E53DD1">
        <w:rPr>
          <w:rFonts w:ascii="Palatino Linotype" w:hAnsi="Palatino Linotype" w:cs="Segoe UI"/>
          <w:lang w:val="en-GB"/>
        </w:rPr>
        <w:t xml:space="preserve"> reach a wider public (De Wilde, 2011; Smythe &amp; Smith, 2006; Statham &amp; Trenz, 2015; Woods &amp; Narlikar, 2001).</w:t>
      </w:r>
    </w:p>
    <w:p w14:paraId="6F1CEB7B" w14:textId="5C4EC8B6" w:rsidR="007E09DE" w:rsidRPr="00E53DD1" w:rsidRDefault="00C2059B" w:rsidP="00C5355B">
      <w:pPr>
        <w:jc w:val="both"/>
        <w:rPr>
          <w:rFonts w:ascii="Palatino Linotype" w:hAnsi="Palatino Linotype" w:cs="Arial"/>
          <w:lang w:val="en-GB"/>
        </w:rPr>
      </w:pPr>
      <w:r w:rsidRPr="00E53DD1">
        <w:rPr>
          <w:rFonts w:ascii="Palatino Linotype" w:hAnsi="Palatino Linotype" w:cs="Segoe UI"/>
          <w:lang w:val="en-GB"/>
        </w:rPr>
        <w:t xml:space="preserve">The trade policy </w:t>
      </w:r>
      <w:r w:rsidR="002F13AD" w:rsidRPr="00E53DD1">
        <w:rPr>
          <w:rFonts w:ascii="Palatino Linotype" w:hAnsi="Palatino Linotype" w:cs="Segoe UI"/>
          <w:lang w:val="en-GB"/>
        </w:rPr>
        <w:t>domain</w:t>
      </w:r>
      <w:r w:rsidRPr="00E53DD1">
        <w:rPr>
          <w:rFonts w:ascii="Palatino Linotype" w:hAnsi="Palatino Linotype" w:cs="Segoe UI"/>
          <w:lang w:val="en-GB"/>
        </w:rPr>
        <w:t xml:space="preserve"> is perhaps the best example to illustrate </w:t>
      </w:r>
      <w:r w:rsidR="00D10D98" w:rsidRPr="00E53DD1">
        <w:rPr>
          <w:rFonts w:ascii="Palatino Linotype" w:hAnsi="Palatino Linotype" w:cs="Segoe UI"/>
          <w:lang w:val="en-GB"/>
        </w:rPr>
        <w:t>this</w:t>
      </w:r>
      <w:r w:rsidR="00067F46" w:rsidRPr="00E53DD1">
        <w:rPr>
          <w:rFonts w:ascii="Palatino Linotype" w:hAnsi="Palatino Linotype" w:cs="Segoe UI"/>
          <w:lang w:val="en-GB"/>
        </w:rPr>
        <w:t xml:space="preserve"> </w:t>
      </w:r>
      <w:r w:rsidR="00850A1C" w:rsidRPr="00E53DD1">
        <w:rPr>
          <w:rFonts w:ascii="Palatino Linotype" w:hAnsi="Palatino Linotype" w:cs="Segoe UI"/>
          <w:lang w:val="en-GB"/>
        </w:rPr>
        <w:t xml:space="preserve">increasing behind-the-border </w:t>
      </w:r>
      <w:r w:rsidR="003C00B5" w:rsidRPr="00E53DD1">
        <w:rPr>
          <w:rFonts w:ascii="Palatino Linotype" w:hAnsi="Palatino Linotype" w:cs="Segoe UI"/>
          <w:lang w:val="en-GB"/>
        </w:rPr>
        <w:t>nature</w:t>
      </w:r>
      <w:r w:rsidR="00850A1C" w:rsidRPr="00E53DD1">
        <w:rPr>
          <w:rFonts w:ascii="Palatino Linotype" w:hAnsi="Palatino Linotype" w:cs="Segoe UI"/>
          <w:lang w:val="en-GB"/>
        </w:rPr>
        <w:t xml:space="preserve"> of </w:t>
      </w:r>
      <w:r w:rsidR="00701129" w:rsidRPr="00E53DD1">
        <w:rPr>
          <w:rFonts w:ascii="Palatino Linotype" w:hAnsi="Palatino Linotype" w:cs="Segoe UI"/>
          <w:lang w:val="en-GB"/>
        </w:rPr>
        <w:t xml:space="preserve">governance structures </w:t>
      </w:r>
      <w:r w:rsidR="003C00B5" w:rsidRPr="00E53DD1">
        <w:rPr>
          <w:rFonts w:ascii="Palatino Linotype" w:hAnsi="Palatino Linotype" w:cs="Segoe UI"/>
          <w:lang w:val="en-GB"/>
        </w:rPr>
        <w:t>and the subsequent calls for democratization</w:t>
      </w:r>
      <w:r w:rsidRPr="00E53DD1">
        <w:rPr>
          <w:rFonts w:ascii="Palatino Linotype" w:hAnsi="Palatino Linotype" w:cs="Segoe UI"/>
          <w:lang w:val="en-GB"/>
        </w:rPr>
        <w:t>.</w:t>
      </w:r>
      <w:r w:rsidR="0089612D" w:rsidRPr="00E53DD1">
        <w:rPr>
          <w:rFonts w:ascii="Palatino Linotype" w:hAnsi="Palatino Linotype" w:cs="Segoe UI"/>
          <w:lang w:val="en-GB"/>
        </w:rPr>
        <w:t xml:space="preserve"> </w:t>
      </w:r>
      <w:r w:rsidRPr="00E53DD1">
        <w:rPr>
          <w:rFonts w:ascii="Palatino Linotype" w:hAnsi="Palatino Linotype" w:cs="Arial"/>
          <w:lang w:val="en-GB"/>
        </w:rPr>
        <w:t xml:space="preserve">The </w:t>
      </w:r>
      <w:r w:rsidR="0089612D" w:rsidRPr="00E53DD1">
        <w:rPr>
          <w:rFonts w:ascii="Palatino Linotype" w:hAnsi="Palatino Linotype" w:cs="Arial"/>
          <w:lang w:val="en-GB"/>
        </w:rPr>
        <w:t>establishment of the</w:t>
      </w:r>
      <w:r w:rsidRPr="00E53DD1">
        <w:rPr>
          <w:rFonts w:ascii="Palatino Linotype" w:hAnsi="Palatino Linotype" w:cs="Arial"/>
          <w:lang w:val="en-GB"/>
        </w:rPr>
        <w:t xml:space="preserve"> </w:t>
      </w:r>
      <w:r w:rsidR="0089612D" w:rsidRPr="00E53DD1">
        <w:rPr>
          <w:rFonts w:ascii="Palatino Linotype" w:hAnsi="Palatino Linotype" w:cs="Arial"/>
          <w:lang w:val="en-GB"/>
        </w:rPr>
        <w:t>WTO</w:t>
      </w:r>
      <w:r w:rsidR="00F170B7" w:rsidRPr="00E53DD1">
        <w:rPr>
          <w:rFonts w:ascii="Palatino Linotype" w:hAnsi="Palatino Linotype" w:cs="Arial"/>
          <w:lang w:val="en-GB"/>
        </w:rPr>
        <w:t xml:space="preserve"> in 1995</w:t>
      </w:r>
      <w:r w:rsidR="0089612D" w:rsidRPr="00E53DD1">
        <w:rPr>
          <w:rFonts w:ascii="Palatino Linotype" w:hAnsi="Palatino Linotype" w:cs="Arial"/>
          <w:lang w:val="en-GB"/>
        </w:rPr>
        <w:t>, however,</w:t>
      </w:r>
      <w:r w:rsidR="00F170B7" w:rsidRPr="00E53DD1">
        <w:rPr>
          <w:rFonts w:ascii="Palatino Linotype" w:hAnsi="Palatino Linotype" w:cs="Arial"/>
          <w:lang w:val="en-GB"/>
        </w:rPr>
        <w:t xml:space="preserve"> </w:t>
      </w:r>
      <w:r w:rsidR="0089612D" w:rsidRPr="00E53DD1">
        <w:rPr>
          <w:rFonts w:ascii="Palatino Linotype" w:hAnsi="Palatino Linotype" w:cs="Arial"/>
          <w:lang w:val="en-GB"/>
        </w:rPr>
        <w:t>was</w:t>
      </w:r>
      <w:r w:rsidR="00EB496B" w:rsidRPr="00E53DD1">
        <w:rPr>
          <w:rFonts w:ascii="Palatino Linotype" w:hAnsi="Palatino Linotype" w:cs="Arial"/>
          <w:lang w:val="en-GB"/>
        </w:rPr>
        <w:t xml:space="preserve"> exemplary of </w:t>
      </w:r>
      <w:r w:rsidR="003C00B5" w:rsidRPr="00E53DD1">
        <w:rPr>
          <w:rFonts w:ascii="Palatino Linotype" w:hAnsi="Palatino Linotype" w:cs="Arial"/>
          <w:lang w:val="en-GB"/>
        </w:rPr>
        <w:t>both the</w:t>
      </w:r>
      <w:r w:rsidRPr="00E53DD1">
        <w:rPr>
          <w:rFonts w:ascii="Palatino Linotype" w:hAnsi="Palatino Linotype" w:cs="Arial"/>
          <w:lang w:val="en-GB"/>
        </w:rPr>
        <w:t xml:space="preserve"> legalization of trade policy (</w:t>
      </w:r>
      <w:r w:rsidR="00850A1C" w:rsidRPr="00E53DD1">
        <w:rPr>
          <w:rFonts w:ascii="Palatino Linotype" w:hAnsi="Palatino Linotype" w:cs="Arial"/>
          <w:lang w:val="en-GB"/>
        </w:rPr>
        <w:t>most notably through the</w:t>
      </w:r>
      <w:r w:rsidR="003C00B5" w:rsidRPr="00E53DD1">
        <w:rPr>
          <w:rFonts w:ascii="Palatino Linotype" w:hAnsi="Palatino Linotype" w:cs="Arial"/>
          <w:lang w:val="en-GB"/>
        </w:rPr>
        <w:t xml:space="preserve"> Dispute Settlement Body) and the</w:t>
      </w:r>
      <w:r w:rsidRPr="00E53DD1">
        <w:rPr>
          <w:rFonts w:ascii="Palatino Linotype" w:hAnsi="Palatino Linotype" w:cs="Arial"/>
          <w:lang w:val="en-GB"/>
        </w:rPr>
        <w:t xml:space="preserve"> continued broadening of the scope</w:t>
      </w:r>
      <w:r w:rsidR="00EB496B" w:rsidRPr="00E53DD1">
        <w:rPr>
          <w:rFonts w:ascii="Palatino Linotype" w:hAnsi="Palatino Linotype" w:cs="Arial"/>
          <w:lang w:val="en-GB"/>
        </w:rPr>
        <w:t xml:space="preserve"> and depth</w:t>
      </w:r>
      <w:r w:rsidRPr="00E53DD1">
        <w:rPr>
          <w:rFonts w:ascii="Palatino Linotype" w:hAnsi="Palatino Linotype" w:cs="Arial"/>
          <w:lang w:val="en-GB"/>
        </w:rPr>
        <w:t xml:space="preserve"> of international trade regulation</w:t>
      </w:r>
      <w:r w:rsidR="00975218" w:rsidRPr="00E53DD1">
        <w:rPr>
          <w:rFonts w:ascii="Palatino Linotype" w:hAnsi="Palatino Linotype" w:cs="Arial"/>
          <w:lang w:val="en-GB"/>
        </w:rPr>
        <w:t xml:space="preserve"> (</w:t>
      </w:r>
      <w:r w:rsidR="008D54CB" w:rsidRPr="00E53DD1">
        <w:rPr>
          <w:rFonts w:ascii="Palatino Linotype" w:hAnsi="Palatino Linotype" w:cs="Arial"/>
          <w:lang w:val="en-GB"/>
        </w:rPr>
        <w:t>Araujo, 2016</w:t>
      </w:r>
      <w:r w:rsidR="00EB496B" w:rsidRPr="00E53DD1">
        <w:rPr>
          <w:rFonts w:ascii="Palatino Linotype" w:hAnsi="Palatino Linotype" w:cs="Arial"/>
          <w:lang w:val="en-GB"/>
        </w:rPr>
        <w:t xml:space="preserve">; </w:t>
      </w:r>
      <w:r w:rsidR="00B41A25" w:rsidRPr="00E53DD1">
        <w:rPr>
          <w:rFonts w:ascii="Palatino Linotype" w:hAnsi="Palatino Linotype" w:cs="Arial"/>
          <w:lang w:val="en-GB"/>
        </w:rPr>
        <w:t xml:space="preserve">Lamy, 2016; </w:t>
      </w:r>
      <w:r w:rsidR="00975218" w:rsidRPr="00E53DD1">
        <w:rPr>
          <w:rFonts w:ascii="Palatino Linotype" w:hAnsi="Palatino Linotype" w:cs="Arial"/>
          <w:lang w:val="en-GB"/>
        </w:rPr>
        <w:t>Roederer-Rynning, 2017</w:t>
      </w:r>
      <w:r w:rsidRPr="00E53DD1">
        <w:rPr>
          <w:rFonts w:ascii="Palatino Linotype" w:hAnsi="Palatino Linotype" w:cs="Arial"/>
          <w:lang w:val="en-GB"/>
        </w:rPr>
        <w:t>).</w:t>
      </w:r>
      <w:r w:rsidR="007E09DE" w:rsidRPr="00E53DD1">
        <w:rPr>
          <w:rFonts w:ascii="Palatino Linotype" w:hAnsi="Palatino Linotype" w:cs="Arial"/>
          <w:lang w:val="en-GB"/>
        </w:rPr>
        <w:t xml:space="preserve"> </w:t>
      </w:r>
      <w:r w:rsidR="00850A1C" w:rsidRPr="00E53DD1">
        <w:rPr>
          <w:rFonts w:ascii="Palatino Linotype" w:hAnsi="Palatino Linotype" w:cs="Arial"/>
          <w:lang w:val="en-GB"/>
        </w:rPr>
        <w:t>On the one hand</w:t>
      </w:r>
      <w:r w:rsidR="005B2852" w:rsidRPr="00E53DD1">
        <w:rPr>
          <w:rFonts w:ascii="Palatino Linotype" w:hAnsi="Palatino Linotype" w:cs="Arial"/>
          <w:lang w:val="en-GB"/>
        </w:rPr>
        <w:t xml:space="preserve">, </w:t>
      </w:r>
      <w:r w:rsidR="00425416" w:rsidRPr="00E53DD1">
        <w:rPr>
          <w:rFonts w:ascii="Palatino Linotype" w:hAnsi="Palatino Linotype" w:cs="Arial"/>
          <w:lang w:val="en-GB"/>
        </w:rPr>
        <w:t>new issue</w:t>
      </w:r>
      <w:r w:rsidR="0022370E" w:rsidRPr="00E53DD1">
        <w:rPr>
          <w:rFonts w:ascii="Palatino Linotype" w:hAnsi="Palatino Linotype" w:cs="Arial"/>
          <w:lang w:val="en-GB"/>
        </w:rPr>
        <w:t>s</w:t>
      </w:r>
      <w:r w:rsidR="00425416" w:rsidRPr="00E53DD1">
        <w:rPr>
          <w:rFonts w:ascii="Palatino Linotype" w:hAnsi="Palatino Linotype" w:cs="Arial"/>
          <w:lang w:val="en-GB"/>
        </w:rPr>
        <w:t xml:space="preserve"> </w:t>
      </w:r>
      <w:r w:rsidR="005B2852" w:rsidRPr="00E53DD1">
        <w:rPr>
          <w:rFonts w:ascii="Palatino Linotype" w:hAnsi="Palatino Linotype" w:cs="Arial"/>
          <w:lang w:val="en-GB"/>
        </w:rPr>
        <w:t>have become</w:t>
      </w:r>
      <w:r w:rsidR="007E09DE" w:rsidRPr="00E53DD1">
        <w:rPr>
          <w:rFonts w:ascii="Palatino Linotype" w:hAnsi="Palatino Linotype" w:cs="Arial"/>
          <w:lang w:val="en-GB"/>
        </w:rPr>
        <w:t xml:space="preserve"> </w:t>
      </w:r>
      <w:r w:rsidR="00850A1C" w:rsidRPr="00E53DD1">
        <w:rPr>
          <w:rFonts w:ascii="Palatino Linotype" w:hAnsi="Palatino Linotype" w:cs="Arial"/>
          <w:lang w:val="en-GB"/>
        </w:rPr>
        <w:t>part of</w:t>
      </w:r>
      <w:r w:rsidR="007E09DE" w:rsidRPr="00E53DD1">
        <w:rPr>
          <w:rFonts w:ascii="Palatino Linotype" w:hAnsi="Palatino Linotype" w:cs="Arial"/>
          <w:lang w:val="en-GB"/>
        </w:rPr>
        <w:t xml:space="preserve"> trade negotiation</w:t>
      </w:r>
      <w:r w:rsidR="00850A1C" w:rsidRPr="00E53DD1">
        <w:rPr>
          <w:rFonts w:ascii="Palatino Linotype" w:hAnsi="Palatino Linotype" w:cs="Arial"/>
          <w:lang w:val="en-GB"/>
        </w:rPr>
        <w:t>s, such as services, investment or</w:t>
      </w:r>
      <w:r w:rsidR="007E09DE" w:rsidRPr="00E53DD1">
        <w:rPr>
          <w:rFonts w:ascii="Palatino Linotype" w:hAnsi="Palatino Linotype" w:cs="Arial"/>
          <w:lang w:val="en-GB"/>
        </w:rPr>
        <w:t xml:space="preserve"> intellectual property rights. The breakdown of multilateral talks in Cancun</w:t>
      </w:r>
      <w:r w:rsidR="00850A1C" w:rsidRPr="00E53DD1">
        <w:rPr>
          <w:rFonts w:ascii="Palatino Linotype" w:hAnsi="Palatino Linotype" w:cs="Arial"/>
          <w:lang w:val="en-GB"/>
        </w:rPr>
        <w:t xml:space="preserve"> (2003)</w:t>
      </w:r>
      <w:r w:rsidR="007E09DE" w:rsidRPr="00E53DD1">
        <w:rPr>
          <w:rFonts w:ascii="Palatino Linotype" w:hAnsi="Palatino Linotype" w:cs="Arial"/>
          <w:lang w:val="en-GB"/>
        </w:rPr>
        <w:t xml:space="preserve"> over the so-called Singapore issues (investment, procurement, trade facilitation and competition) </w:t>
      </w:r>
      <w:r w:rsidR="00850A1C" w:rsidRPr="00E53DD1">
        <w:rPr>
          <w:rFonts w:ascii="Palatino Linotype" w:hAnsi="Palatino Linotype" w:cs="Arial"/>
          <w:lang w:val="en-GB"/>
        </w:rPr>
        <w:t xml:space="preserve">already </w:t>
      </w:r>
      <w:r w:rsidR="005B2852" w:rsidRPr="00E53DD1">
        <w:rPr>
          <w:rFonts w:ascii="Palatino Linotype" w:hAnsi="Palatino Linotype" w:cs="Arial"/>
          <w:lang w:val="en-GB"/>
        </w:rPr>
        <w:t>showed</w:t>
      </w:r>
      <w:r w:rsidR="007E09DE" w:rsidRPr="00E53DD1">
        <w:rPr>
          <w:rFonts w:ascii="Palatino Linotype" w:hAnsi="Palatino Linotype" w:cs="Arial"/>
          <w:lang w:val="en-GB"/>
        </w:rPr>
        <w:t xml:space="preserve"> </w:t>
      </w:r>
      <w:r w:rsidR="00850A1C" w:rsidRPr="00E53DD1">
        <w:rPr>
          <w:rFonts w:ascii="Palatino Linotype" w:hAnsi="Palatino Linotype" w:cs="Arial"/>
          <w:lang w:val="en-GB"/>
        </w:rPr>
        <w:t xml:space="preserve">that this evolution was not met enthusiastically by all </w:t>
      </w:r>
      <w:r w:rsidR="00850A1C" w:rsidRPr="00E53DD1">
        <w:rPr>
          <w:rFonts w:ascii="Palatino Linotype" w:hAnsi="Palatino Linotype" w:cs="Arial"/>
          <w:lang w:val="en-GB"/>
        </w:rPr>
        <w:lastRenderedPageBreak/>
        <w:t>partners (</w:t>
      </w:r>
      <w:r w:rsidR="00425416" w:rsidRPr="00E53DD1">
        <w:rPr>
          <w:rFonts w:ascii="Palatino Linotype" w:hAnsi="Palatino Linotype" w:cs="Arial"/>
          <w:lang w:val="en-GB"/>
        </w:rPr>
        <w:t>Narlikar &amp; Wilkinson 2004</w:t>
      </w:r>
      <w:r w:rsidR="00850A1C" w:rsidRPr="00E53DD1">
        <w:rPr>
          <w:rFonts w:ascii="Palatino Linotype" w:hAnsi="Palatino Linotype" w:cs="Arial"/>
          <w:lang w:val="en-GB"/>
        </w:rPr>
        <w:t>)</w:t>
      </w:r>
      <w:r w:rsidR="007E09DE" w:rsidRPr="00E53DD1">
        <w:rPr>
          <w:rFonts w:ascii="Palatino Linotype" w:hAnsi="Palatino Linotype" w:cs="Arial"/>
          <w:lang w:val="en-GB"/>
        </w:rPr>
        <w:t xml:space="preserve">. </w:t>
      </w:r>
      <w:r w:rsidR="00850A1C" w:rsidRPr="00E53DD1">
        <w:rPr>
          <w:rFonts w:ascii="Palatino Linotype" w:hAnsi="Palatino Linotype" w:cs="Arial"/>
          <w:lang w:val="en-GB"/>
        </w:rPr>
        <w:t>On the other hand</w:t>
      </w:r>
      <w:r w:rsidR="007E09DE" w:rsidRPr="00E53DD1">
        <w:rPr>
          <w:rFonts w:ascii="Palatino Linotype" w:hAnsi="Palatino Linotype" w:cs="Arial"/>
          <w:lang w:val="en-GB"/>
        </w:rPr>
        <w:t xml:space="preserve">, and more generally, the notion of what constitutes a ‘trade barrier’ has conceptually </w:t>
      </w:r>
      <w:r w:rsidR="003C00B5" w:rsidRPr="00E53DD1">
        <w:rPr>
          <w:rFonts w:ascii="Palatino Linotype" w:hAnsi="Palatino Linotype" w:cs="Arial"/>
          <w:lang w:val="en-GB"/>
        </w:rPr>
        <w:t>been stretched</w:t>
      </w:r>
      <w:r w:rsidR="00850A1C" w:rsidRPr="00E53DD1">
        <w:rPr>
          <w:rFonts w:ascii="Palatino Linotype" w:hAnsi="Palatino Linotype" w:cs="Arial"/>
          <w:lang w:val="en-GB"/>
        </w:rPr>
        <w:t xml:space="preserve"> over the years</w:t>
      </w:r>
      <w:r w:rsidR="007E09DE" w:rsidRPr="00E53DD1">
        <w:rPr>
          <w:rFonts w:ascii="Palatino Linotype" w:hAnsi="Palatino Linotype" w:cs="Arial"/>
          <w:lang w:val="en-GB"/>
        </w:rPr>
        <w:t>, leading to an expansion of the category of “</w:t>
      </w:r>
      <w:r w:rsidR="00CF1A47" w:rsidRPr="00E53DD1">
        <w:rPr>
          <w:rFonts w:ascii="Palatino Linotype" w:hAnsi="Palatino Linotype" w:cs="Arial"/>
          <w:lang w:val="en-GB"/>
        </w:rPr>
        <w:t>trade distortions</w:t>
      </w:r>
      <w:r w:rsidR="00850A1C" w:rsidRPr="00E53DD1">
        <w:rPr>
          <w:rFonts w:ascii="Palatino Linotype" w:hAnsi="Palatino Linotype" w:cs="Arial"/>
          <w:lang w:val="en-GB"/>
        </w:rPr>
        <w:t xml:space="preserve">” to </w:t>
      </w:r>
      <w:r w:rsidR="003C00B5" w:rsidRPr="00E53DD1">
        <w:rPr>
          <w:rFonts w:ascii="Palatino Linotype" w:hAnsi="Palatino Linotype" w:cs="Arial"/>
          <w:lang w:val="en-GB"/>
        </w:rPr>
        <w:t>be “</w:t>
      </w:r>
      <w:r w:rsidR="00425416" w:rsidRPr="00E53DD1">
        <w:rPr>
          <w:rFonts w:ascii="Palatino Linotype" w:hAnsi="Palatino Linotype" w:cs="Arial"/>
          <w:lang w:val="en-GB"/>
        </w:rPr>
        <w:t xml:space="preserve">equated in practice with the existence of a commercially significant institution or regulatory </w:t>
      </w:r>
      <w:r w:rsidR="00425416" w:rsidRPr="00E53DD1">
        <w:rPr>
          <w:rFonts w:ascii="Palatino Linotype" w:hAnsi="Palatino Linotype" w:cs="Arial"/>
          <w:i/>
          <w:lang w:val="en-GB"/>
        </w:rPr>
        <w:t>difference</w:t>
      </w:r>
      <w:r w:rsidR="00425416" w:rsidRPr="00E53DD1">
        <w:rPr>
          <w:rFonts w:ascii="Palatino Linotype" w:hAnsi="Palatino Linotype" w:cs="Arial"/>
          <w:lang w:val="en-GB"/>
        </w:rPr>
        <w:t xml:space="preserve"> between countries</w:t>
      </w:r>
      <w:r w:rsidR="003C00B5" w:rsidRPr="00E53DD1">
        <w:rPr>
          <w:rFonts w:ascii="Palatino Linotype" w:hAnsi="Palatino Linotype" w:cs="Arial"/>
          <w:lang w:val="en-GB"/>
        </w:rPr>
        <w:t>”</w:t>
      </w:r>
      <w:r w:rsidR="00850A1C" w:rsidRPr="00E53DD1">
        <w:rPr>
          <w:rFonts w:ascii="Palatino Linotype" w:hAnsi="Palatino Linotype" w:cs="Arial"/>
          <w:lang w:val="en-GB"/>
        </w:rPr>
        <w:t xml:space="preserve"> (Lang, </w:t>
      </w:r>
      <w:r w:rsidR="00425416" w:rsidRPr="00E53DD1">
        <w:rPr>
          <w:rFonts w:ascii="Palatino Linotype" w:hAnsi="Palatino Linotype" w:cs="Arial"/>
          <w:lang w:val="en-GB"/>
        </w:rPr>
        <w:t>2011: 226-227, emphasis added</w:t>
      </w:r>
      <w:r w:rsidR="00850A1C" w:rsidRPr="00E53DD1">
        <w:rPr>
          <w:rFonts w:ascii="Palatino Linotype" w:hAnsi="Palatino Linotype" w:cs="Arial"/>
          <w:lang w:val="en-GB"/>
        </w:rPr>
        <w:t xml:space="preserve">; Winslett, 2016). </w:t>
      </w:r>
      <w:r w:rsidR="00425416" w:rsidRPr="00E53DD1">
        <w:rPr>
          <w:rFonts w:ascii="Palatino Linotype" w:hAnsi="Palatino Linotype" w:cs="Arial"/>
          <w:lang w:val="en-GB"/>
        </w:rPr>
        <w:t xml:space="preserve">In that way, domestic regulations that </w:t>
      </w:r>
      <w:r w:rsidR="00CF1A47" w:rsidRPr="00E53DD1">
        <w:rPr>
          <w:rFonts w:ascii="Palatino Linotype" w:hAnsi="Palatino Linotype" w:cs="Arial"/>
          <w:lang w:val="en-GB"/>
        </w:rPr>
        <w:t>reflect societal preferences in areas such as social, environmental or health protection have increasingly been redefined as “non-tariff barriers”</w:t>
      </w:r>
      <w:r w:rsidR="003C00B5" w:rsidRPr="00E53DD1">
        <w:rPr>
          <w:rFonts w:ascii="Palatino Linotype" w:hAnsi="Palatino Linotype" w:cs="Arial"/>
          <w:lang w:val="en-GB"/>
        </w:rPr>
        <w:t xml:space="preserve"> and have thus appeared on the negotiating table</w:t>
      </w:r>
      <w:r w:rsidR="0033324E" w:rsidRPr="00E53DD1">
        <w:rPr>
          <w:rFonts w:ascii="Palatino Linotype" w:hAnsi="Palatino Linotype" w:cs="Arial"/>
          <w:lang w:val="en-GB"/>
        </w:rPr>
        <w:t>.</w:t>
      </w:r>
    </w:p>
    <w:p w14:paraId="544C6A0C" w14:textId="5D384B5D" w:rsidR="005B2852" w:rsidRPr="00E53DD1" w:rsidRDefault="0089612D" w:rsidP="00C5355B">
      <w:pPr>
        <w:jc w:val="both"/>
        <w:rPr>
          <w:rFonts w:ascii="Palatino Linotype" w:hAnsi="Palatino Linotype" w:cs="Arial"/>
          <w:lang w:val="en-GB"/>
        </w:rPr>
      </w:pPr>
      <w:r w:rsidRPr="00E53DD1">
        <w:rPr>
          <w:rFonts w:ascii="Palatino Linotype" w:hAnsi="Palatino Linotype" w:cs="Arial"/>
          <w:lang w:val="en-GB"/>
        </w:rPr>
        <w:t xml:space="preserve">The traditional opaqueness of </w:t>
      </w:r>
      <w:r w:rsidR="00D10D98" w:rsidRPr="00E53DD1">
        <w:rPr>
          <w:rFonts w:ascii="Palatino Linotype" w:hAnsi="Palatino Linotype" w:cs="Arial"/>
          <w:lang w:val="en-GB"/>
        </w:rPr>
        <w:t xml:space="preserve">the GATT and WTO, which was pervasive throughout the trade regime for a long time, </w:t>
      </w:r>
      <w:r w:rsidRPr="00E53DD1">
        <w:rPr>
          <w:rFonts w:ascii="Palatino Linotype" w:hAnsi="Palatino Linotype" w:cs="Arial"/>
          <w:lang w:val="en-GB"/>
        </w:rPr>
        <w:t>came under increasing strain</w:t>
      </w:r>
      <w:r w:rsidR="00D10D98" w:rsidRPr="00E53DD1">
        <w:rPr>
          <w:rFonts w:ascii="Palatino Linotype" w:hAnsi="Palatino Linotype" w:cs="Arial"/>
          <w:lang w:val="en-GB"/>
        </w:rPr>
        <w:t xml:space="preserve"> (Florini, 2003)</w:t>
      </w:r>
      <w:r w:rsidRPr="00E53DD1">
        <w:rPr>
          <w:rFonts w:ascii="Palatino Linotype" w:hAnsi="Palatino Linotype" w:cs="Arial"/>
          <w:lang w:val="en-GB"/>
        </w:rPr>
        <w:t>. A</w:t>
      </w:r>
      <w:r w:rsidR="00C2059B" w:rsidRPr="00E53DD1">
        <w:rPr>
          <w:rFonts w:ascii="Palatino Linotype" w:hAnsi="Palatino Linotype" w:cs="Arial"/>
          <w:lang w:val="en-GB"/>
        </w:rPr>
        <w:t>wareness</w:t>
      </w:r>
      <w:r w:rsidR="007E09DE" w:rsidRPr="00E53DD1">
        <w:rPr>
          <w:rFonts w:ascii="Palatino Linotype" w:hAnsi="Palatino Linotype" w:cs="Arial"/>
          <w:lang w:val="en-GB"/>
        </w:rPr>
        <w:t xml:space="preserve"> of this </w:t>
      </w:r>
      <w:r w:rsidR="0033324E" w:rsidRPr="00E53DD1">
        <w:rPr>
          <w:rFonts w:ascii="Palatino Linotype" w:hAnsi="Palatino Linotype" w:cs="Arial"/>
          <w:lang w:val="en-GB"/>
        </w:rPr>
        <w:t xml:space="preserve">increased intrusion </w:t>
      </w:r>
      <w:r w:rsidR="00130418" w:rsidRPr="00E53DD1">
        <w:rPr>
          <w:rFonts w:ascii="Palatino Linotype" w:hAnsi="Palatino Linotype" w:cs="Arial"/>
          <w:lang w:val="en-GB"/>
        </w:rPr>
        <w:t>has gradually led to the involvement</w:t>
      </w:r>
      <w:r w:rsidR="00A2587A" w:rsidRPr="00E53DD1">
        <w:rPr>
          <w:rFonts w:ascii="Palatino Linotype" w:hAnsi="Palatino Linotype" w:cs="Arial"/>
          <w:lang w:val="en-GB"/>
        </w:rPr>
        <w:t xml:space="preserve"> of new actors on the </w:t>
      </w:r>
      <w:r w:rsidR="0033324E" w:rsidRPr="00E53DD1">
        <w:rPr>
          <w:rFonts w:ascii="Palatino Linotype" w:hAnsi="Palatino Linotype" w:cs="Arial"/>
          <w:lang w:val="en-GB"/>
        </w:rPr>
        <w:t xml:space="preserve">international trade </w:t>
      </w:r>
      <w:r w:rsidR="00A2587A" w:rsidRPr="00E53DD1">
        <w:rPr>
          <w:rFonts w:ascii="Palatino Linotype" w:hAnsi="Palatino Linotype" w:cs="Arial"/>
          <w:lang w:val="en-GB"/>
        </w:rPr>
        <w:t>scene, such as legislative bodies,</w:t>
      </w:r>
      <w:r w:rsidR="007E09DE" w:rsidRPr="00E53DD1">
        <w:rPr>
          <w:rFonts w:ascii="Palatino Linotype" w:hAnsi="Palatino Linotype" w:cs="Arial"/>
          <w:lang w:val="en-GB"/>
        </w:rPr>
        <w:t xml:space="preserve"> </w:t>
      </w:r>
      <w:r w:rsidR="00130418" w:rsidRPr="00E53DD1">
        <w:rPr>
          <w:rFonts w:ascii="Palatino Linotype" w:hAnsi="Palatino Linotype" w:cs="Arial"/>
          <w:lang w:val="en-GB"/>
        </w:rPr>
        <w:t>trade unions</w:t>
      </w:r>
      <w:r w:rsidR="007E09DE" w:rsidRPr="00E53DD1">
        <w:rPr>
          <w:rFonts w:ascii="Palatino Linotype" w:hAnsi="Palatino Linotype" w:cs="Arial"/>
          <w:lang w:val="en-GB"/>
        </w:rPr>
        <w:t xml:space="preserve">, but above all </w:t>
      </w:r>
      <w:r w:rsidR="00C2059B" w:rsidRPr="00E53DD1">
        <w:rPr>
          <w:rFonts w:ascii="Palatino Linotype" w:hAnsi="Palatino Linotype" w:cs="Arial"/>
          <w:lang w:val="en-GB"/>
        </w:rPr>
        <w:t>several civil society</w:t>
      </w:r>
      <w:r w:rsidR="001A0962" w:rsidRPr="00E53DD1">
        <w:rPr>
          <w:rFonts w:ascii="Palatino Linotype" w:hAnsi="Palatino Linotype" w:cs="Arial"/>
          <w:lang w:val="en-GB"/>
        </w:rPr>
        <w:t xml:space="preserve"> </w:t>
      </w:r>
      <w:r w:rsidR="003C00B5" w:rsidRPr="00E53DD1">
        <w:rPr>
          <w:rFonts w:ascii="Palatino Linotype" w:hAnsi="Palatino Linotype" w:cs="Arial"/>
          <w:lang w:val="en-GB"/>
        </w:rPr>
        <w:t>– mostly devel</w:t>
      </w:r>
      <w:r w:rsidR="001A0962" w:rsidRPr="00E53DD1">
        <w:rPr>
          <w:rFonts w:ascii="Palatino Linotype" w:hAnsi="Palatino Linotype" w:cs="Arial"/>
          <w:lang w:val="en-GB"/>
        </w:rPr>
        <w:t>opment and environmental – organizations</w:t>
      </w:r>
      <w:r w:rsidR="00C2059B" w:rsidRPr="00E53DD1">
        <w:rPr>
          <w:rFonts w:ascii="Palatino Linotype" w:hAnsi="Palatino Linotype" w:cs="Arial"/>
          <w:lang w:val="en-GB"/>
        </w:rPr>
        <w:t xml:space="preserve"> </w:t>
      </w:r>
      <w:r w:rsidR="00130418" w:rsidRPr="00E53DD1">
        <w:rPr>
          <w:rFonts w:ascii="Palatino Linotype" w:hAnsi="Palatino Linotype" w:cs="Arial"/>
          <w:lang w:val="en-GB"/>
        </w:rPr>
        <w:t>(Young, 2006</w:t>
      </w:r>
      <w:r w:rsidR="00C2059B" w:rsidRPr="00E53DD1">
        <w:rPr>
          <w:rFonts w:ascii="Palatino Linotype" w:hAnsi="Palatino Linotype" w:cs="Arial"/>
          <w:lang w:val="en-GB"/>
        </w:rPr>
        <w:t>)</w:t>
      </w:r>
      <w:r w:rsidR="003C00B5" w:rsidRPr="00E53DD1">
        <w:rPr>
          <w:rFonts w:ascii="Palatino Linotype" w:hAnsi="Palatino Linotype" w:cs="Arial"/>
          <w:lang w:val="en-GB"/>
        </w:rPr>
        <w:t>.</w:t>
      </w:r>
      <w:r w:rsidR="00EC6B62" w:rsidRPr="00E53DD1">
        <w:rPr>
          <w:rFonts w:ascii="Palatino Linotype" w:hAnsi="Palatino Linotype" w:cs="Arial"/>
          <w:lang w:val="en-GB"/>
        </w:rPr>
        <w:t xml:space="preserve"> </w:t>
      </w:r>
      <w:r w:rsidR="00A2587A" w:rsidRPr="00E53DD1">
        <w:rPr>
          <w:rFonts w:ascii="Palatino Linotype" w:hAnsi="Palatino Linotype" w:cs="Arial"/>
          <w:lang w:val="en-GB"/>
        </w:rPr>
        <w:t>Through the latter, so-called</w:t>
      </w:r>
      <w:r w:rsidR="005B2852" w:rsidRPr="00E53DD1">
        <w:rPr>
          <w:rFonts w:ascii="Palatino Linotype" w:hAnsi="Palatino Linotype" w:cs="Arial"/>
          <w:lang w:val="en-GB"/>
        </w:rPr>
        <w:t xml:space="preserve"> ‘transnational advocacy networks’ of civil society activists have actively put themselves forward as representatives of the wider </w:t>
      </w:r>
      <w:r w:rsidR="001A0962" w:rsidRPr="00E53DD1">
        <w:rPr>
          <w:rFonts w:ascii="Palatino Linotype" w:hAnsi="Palatino Linotype" w:cs="Arial"/>
          <w:lang w:val="en-GB"/>
        </w:rPr>
        <w:t>public</w:t>
      </w:r>
      <w:r w:rsidR="005B2852" w:rsidRPr="00E53DD1">
        <w:rPr>
          <w:rFonts w:ascii="Palatino Linotype" w:hAnsi="Palatino Linotype" w:cs="Arial"/>
          <w:lang w:val="en-GB"/>
        </w:rPr>
        <w:t xml:space="preserve"> and started contesting the trade governance structure and negotiations</w:t>
      </w:r>
      <w:r w:rsidR="00130418" w:rsidRPr="00E53DD1">
        <w:rPr>
          <w:rFonts w:ascii="Palatino Linotype" w:hAnsi="Palatino Linotype" w:cs="Arial"/>
          <w:lang w:val="en-GB"/>
        </w:rPr>
        <w:t xml:space="preserve"> </w:t>
      </w:r>
      <w:r w:rsidR="00A2587A" w:rsidRPr="00E53DD1">
        <w:rPr>
          <w:rFonts w:ascii="Palatino Linotype" w:hAnsi="Palatino Linotype" w:cs="Arial"/>
          <w:lang w:val="en-GB"/>
        </w:rPr>
        <w:t>both on substantive and</w:t>
      </w:r>
      <w:r w:rsidR="00130418" w:rsidRPr="00E53DD1">
        <w:rPr>
          <w:rFonts w:ascii="Palatino Linotype" w:hAnsi="Palatino Linotype" w:cs="Arial"/>
          <w:lang w:val="en-GB"/>
        </w:rPr>
        <w:t xml:space="preserve"> democratic grounds</w:t>
      </w:r>
      <w:r w:rsidR="005B2852" w:rsidRPr="00E53DD1">
        <w:rPr>
          <w:rFonts w:ascii="Palatino Linotype" w:hAnsi="Palatino Linotype" w:cs="Arial"/>
          <w:lang w:val="en-GB"/>
        </w:rPr>
        <w:t xml:space="preserve"> (</w:t>
      </w:r>
      <w:r w:rsidR="00130418" w:rsidRPr="00E53DD1">
        <w:rPr>
          <w:rFonts w:ascii="Palatino Linotype" w:hAnsi="Palatino Linotype" w:cs="Arial"/>
          <w:lang w:val="en-GB"/>
        </w:rPr>
        <w:t xml:space="preserve">Keck &amp; Sikkink, </w:t>
      </w:r>
      <w:r w:rsidR="00701129" w:rsidRPr="00E53DD1">
        <w:rPr>
          <w:rFonts w:ascii="Palatino Linotype" w:hAnsi="Palatino Linotype" w:cs="Arial"/>
          <w:lang w:val="en-GB"/>
        </w:rPr>
        <w:t>1999</w:t>
      </w:r>
      <w:r w:rsidR="00130418" w:rsidRPr="00E53DD1">
        <w:rPr>
          <w:rFonts w:ascii="Palatino Linotype" w:hAnsi="Palatino Linotype" w:cs="Arial"/>
          <w:lang w:val="en-GB"/>
        </w:rPr>
        <w:t xml:space="preserve">; </w:t>
      </w:r>
      <w:r w:rsidR="005B2852" w:rsidRPr="00E53DD1">
        <w:rPr>
          <w:rFonts w:ascii="Palatino Linotype" w:hAnsi="Palatino Linotype" w:cs="Arial"/>
          <w:lang w:val="en-GB"/>
        </w:rPr>
        <w:t xml:space="preserve">Aaronson, 2002). </w:t>
      </w:r>
      <w:r w:rsidR="00BD2B23" w:rsidRPr="00E53DD1">
        <w:rPr>
          <w:rFonts w:ascii="Palatino Linotype" w:hAnsi="Palatino Linotype" w:cs="Arial"/>
          <w:lang w:val="en-GB"/>
        </w:rPr>
        <w:t xml:space="preserve">At several moments around the turn of the century </w:t>
      </w:r>
      <w:r w:rsidR="001A0962" w:rsidRPr="00E53DD1">
        <w:rPr>
          <w:rFonts w:ascii="Palatino Linotype" w:hAnsi="Palatino Linotype" w:cs="Arial"/>
          <w:lang w:val="en-GB"/>
        </w:rPr>
        <w:t>these networks were instrumental for the politicization (and subsequent breakdown) of several pluri- and multilateral trade negotiations, such as the</w:t>
      </w:r>
      <w:r w:rsidR="00BD2B23" w:rsidRPr="00E53DD1">
        <w:rPr>
          <w:rFonts w:ascii="Palatino Linotype" w:hAnsi="Palatino Linotype" w:cs="Arial"/>
          <w:lang w:val="en-GB"/>
        </w:rPr>
        <w:t xml:space="preserve"> Multilatera</w:t>
      </w:r>
      <w:r w:rsidR="00130418" w:rsidRPr="00E53DD1">
        <w:rPr>
          <w:rFonts w:ascii="Palatino Linotype" w:hAnsi="Palatino Linotype" w:cs="Arial"/>
          <w:lang w:val="en-GB"/>
        </w:rPr>
        <w:t xml:space="preserve">l Agreement on Investment </w:t>
      </w:r>
      <w:r w:rsidR="00BD2B23" w:rsidRPr="00E53DD1">
        <w:rPr>
          <w:rFonts w:ascii="Palatino Linotype" w:hAnsi="Palatino Linotype" w:cs="Arial"/>
          <w:lang w:val="en-GB"/>
        </w:rPr>
        <w:t xml:space="preserve">and the </w:t>
      </w:r>
      <w:r w:rsidR="005B2852" w:rsidRPr="00E53DD1">
        <w:rPr>
          <w:rFonts w:ascii="Palatino Linotype" w:hAnsi="Palatino Linotype" w:cs="Arial"/>
          <w:lang w:val="en-GB"/>
        </w:rPr>
        <w:t>breakdown of the WTO Ministerial talks in Seattle</w:t>
      </w:r>
      <w:r w:rsidR="00130418" w:rsidRPr="00E53DD1">
        <w:rPr>
          <w:rFonts w:ascii="Palatino Linotype" w:hAnsi="Palatino Linotype" w:cs="Arial"/>
          <w:lang w:val="en-GB"/>
        </w:rPr>
        <w:t xml:space="preserve"> (Smith, 2001</w:t>
      </w:r>
      <w:r w:rsidR="001A0962" w:rsidRPr="00E53DD1">
        <w:rPr>
          <w:rFonts w:ascii="Palatino Linotype" w:hAnsi="Palatino Linotype" w:cs="Arial"/>
          <w:lang w:val="en-GB"/>
        </w:rPr>
        <w:t>; Walter, 2001</w:t>
      </w:r>
      <w:r w:rsidR="00130418" w:rsidRPr="00E53DD1">
        <w:rPr>
          <w:rFonts w:ascii="Palatino Linotype" w:hAnsi="Palatino Linotype" w:cs="Arial"/>
          <w:lang w:val="en-GB"/>
        </w:rPr>
        <w:t>)</w:t>
      </w:r>
      <w:r w:rsidR="00BD2B23" w:rsidRPr="00E53DD1">
        <w:rPr>
          <w:rFonts w:ascii="Palatino Linotype" w:hAnsi="Palatino Linotype" w:cs="Arial"/>
          <w:lang w:val="en-GB"/>
        </w:rPr>
        <w:t>.</w:t>
      </w:r>
      <w:r w:rsidR="00C134D5" w:rsidRPr="00E53DD1">
        <w:rPr>
          <w:rFonts w:ascii="Palatino Linotype" w:hAnsi="Palatino Linotype" w:cs="Arial"/>
          <w:lang w:val="en-GB"/>
        </w:rPr>
        <w:t xml:space="preserve"> </w:t>
      </w:r>
    </w:p>
    <w:p w14:paraId="5A8788DD" w14:textId="61688B84" w:rsidR="001A0962" w:rsidRPr="00E53DD1" w:rsidRDefault="00936F50" w:rsidP="00C5355B">
      <w:pPr>
        <w:jc w:val="both"/>
        <w:rPr>
          <w:rFonts w:ascii="Palatino Linotype" w:hAnsi="Palatino Linotype" w:cs="Arial"/>
          <w:lang w:val="en-GB"/>
        </w:rPr>
      </w:pPr>
      <w:r w:rsidRPr="00E53DD1">
        <w:rPr>
          <w:rFonts w:ascii="Palatino Linotype" w:hAnsi="Palatino Linotype" w:cs="Arial"/>
          <w:lang w:val="en-GB"/>
        </w:rPr>
        <w:t>Besides the general resistance against the neoliberal</w:t>
      </w:r>
      <w:r w:rsidR="00E1440D" w:rsidRPr="00E53DD1">
        <w:rPr>
          <w:rFonts w:ascii="Palatino Linotype" w:hAnsi="Palatino Linotype" w:cs="Arial"/>
          <w:lang w:val="en-GB"/>
        </w:rPr>
        <w:t xml:space="preserve"> agenda of economic globalization</w:t>
      </w:r>
      <w:r w:rsidRPr="00E53DD1">
        <w:rPr>
          <w:rFonts w:ascii="Palatino Linotype" w:hAnsi="Palatino Linotype" w:cs="Arial"/>
          <w:lang w:val="en-GB"/>
        </w:rPr>
        <w:t xml:space="preserve"> these institutions </w:t>
      </w:r>
      <w:r w:rsidR="00E1440D" w:rsidRPr="00E53DD1">
        <w:rPr>
          <w:rFonts w:ascii="Palatino Linotype" w:hAnsi="Palatino Linotype" w:cs="Arial"/>
          <w:lang w:val="en-GB"/>
        </w:rPr>
        <w:t>are claimed to pursue (</w:t>
      </w:r>
      <w:r w:rsidR="000D0580" w:rsidRPr="00E53DD1">
        <w:rPr>
          <w:rFonts w:ascii="Palatino Linotype" w:hAnsi="Palatino Linotype" w:cs="Arial"/>
          <w:lang w:val="en-GB"/>
        </w:rPr>
        <w:t>e.g. Gill 1998</w:t>
      </w:r>
      <w:r w:rsidR="00E1440D" w:rsidRPr="00E53DD1">
        <w:rPr>
          <w:rFonts w:ascii="Palatino Linotype" w:hAnsi="Palatino Linotype" w:cs="Arial"/>
          <w:lang w:val="en-GB"/>
        </w:rPr>
        <w:t>)</w:t>
      </w:r>
      <w:r w:rsidRPr="00E53DD1">
        <w:rPr>
          <w:rFonts w:ascii="Palatino Linotype" w:hAnsi="Palatino Linotype" w:cs="Arial"/>
          <w:lang w:val="en-GB"/>
        </w:rPr>
        <w:t>, a</w:t>
      </w:r>
      <w:r w:rsidR="00513566" w:rsidRPr="00E53DD1">
        <w:rPr>
          <w:rFonts w:ascii="Palatino Linotype" w:hAnsi="Palatino Linotype" w:cs="Arial"/>
          <w:lang w:val="en-GB"/>
        </w:rPr>
        <w:t xml:space="preserve"> recurring </w:t>
      </w:r>
      <w:r w:rsidR="00A278CF" w:rsidRPr="00E53DD1">
        <w:rPr>
          <w:rFonts w:ascii="Palatino Linotype" w:hAnsi="Palatino Linotype" w:cs="Arial"/>
          <w:lang w:val="en-GB"/>
        </w:rPr>
        <w:t>criticism</w:t>
      </w:r>
      <w:r w:rsidR="00E1440D" w:rsidRPr="00E53DD1">
        <w:rPr>
          <w:rFonts w:ascii="Palatino Linotype" w:hAnsi="Palatino Linotype" w:cs="Arial"/>
          <w:lang w:val="en-GB"/>
        </w:rPr>
        <w:t xml:space="preserve"> </w:t>
      </w:r>
      <w:r w:rsidR="00A2587A" w:rsidRPr="00E53DD1">
        <w:rPr>
          <w:rFonts w:ascii="Palatino Linotype" w:hAnsi="Palatino Linotype" w:cs="Arial"/>
          <w:lang w:val="en-GB"/>
        </w:rPr>
        <w:t>since the mid-</w:t>
      </w:r>
      <w:r w:rsidR="00B0730E" w:rsidRPr="00E53DD1">
        <w:rPr>
          <w:rFonts w:ascii="Palatino Linotype" w:hAnsi="Palatino Linotype" w:cs="Arial"/>
          <w:lang w:val="en-GB"/>
        </w:rPr>
        <w:t>19</w:t>
      </w:r>
      <w:r w:rsidR="00A2587A" w:rsidRPr="00E53DD1">
        <w:rPr>
          <w:rFonts w:ascii="Palatino Linotype" w:hAnsi="Palatino Linotype" w:cs="Arial"/>
          <w:lang w:val="en-GB"/>
        </w:rPr>
        <w:t>90s</w:t>
      </w:r>
      <w:r w:rsidR="00513566" w:rsidRPr="00E53DD1">
        <w:rPr>
          <w:rFonts w:ascii="Palatino Linotype" w:hAnsi="Palatino Linotype" w:cs="Arial"/>
          <w:lang w:val="en-GB"/>
        </w:rPr>
        <w:t xml:space="preserve"> </w:t>
      </w:r>
      <w:r w:rsidR="00A278CF" w:rsidRPr="00E53DD1">
        <w:rPr>
          <w:rFonts w:ascii="Palatino Linotype" w:hAnsi="Palatino Linotype" w:cs="Arial"/>
          <w:lang w:val="en-GB"/>
        </w:rPr>
        <w:t>comprises the institutional arran</w:t>
      </w:r>
      <w:r w:rsidR="001A0962" w:rsidRPr="00E53DD1">
        <w:rPr>
          <w:rFonts w:ascii="Palatino Linotype" w:hAnsi="Palatino Linotype" w:cs="Arial"/>
          <w:lang w:val="en-GB"/>
        </w:rPr>
        <w:t>gements of these organizations.</w:t>
      </w:r>
      <w:r w:rsidR="0089612D" w:rsidRPr="00E53DD1">
        <w:rPr>
          <w:rFonts w:ascii="Palatino Linotype" w:hAnsi="Palatino Linotype" w:cs="Arial"/>
          <w:lang w:val="en-GB"/>
        </w:rPr>
        <w:t xml:space="preserve"> Since the chains of accountability linking citizens to the WTO become lengthier and weaker (given that national legislatures became increasingly marginal in these processes, see Jancic, 2016), legitimacy questions </w:t>
      </w:r>
      <w:r w:rsidR="00D10D98" w:rsidRPr="00E53DD1">
        <w:rPr>
          <w:rFonts w:ascii="Palatino Linotype" w:hAnsi="Palatino Linotype" w:cs="Arial"/>
          <w:lang w:val="en-GB"/>
        </w:rPr>
        <w:t>started to pop up</w:t>
      </w:r>
      <w:r w:rsidR="0089612D" w:rsidRPr="00E53DD1">
        <w:rPr>
          <w:rFonts w:ascii="Palatino Linotype" w:hAnsi="Palatino Linotype" w:cs="Arial"/>
          <w:lang w:val="en-GB"/>
        </w:rPr>
        <w:t>.</w:t>
      </w:r>
      <w:r w:rsidR="001A0962" w:rsidRPr="00E53DD1">
        <w:rPr>
          <w:rFonts w:ascii="Palatino Linotype" w:hAnsi="Palatino Linotype" w:cs="Arial"/>
          <w:lang w:val="en-GB"/>
        </w:rPr>
        <w:t xml:space="preserve"> This</w:t>
      </w:r>
      <w:r w:rsidR="00A278CF" w:rsidRPr="00E53DD1">
        <w:rPr>
          <w:rFonts w:ascii="Palatino Linotype" w:hAnsi="Palatino Linotype" w:cs="Arial"/>
          <w:lang w:val="en-GB"/>
        </w:rPr>
        <w:t xml:space="preserve"> </w:t>
      </w:r>
      <w:r w:rsidR="001A0962" w:rsidRPr="00E53DD1">
        <w:rPr>
          <w:rFonts w:ascii="Palatino Linotype" w:hAnsi="Palatino Linotype" w:cs="Arial"/>
          <w:lang w:val="en-GB"/>
        </w:rPr>
        <w:t>involved</w:t>
      </w:r>
      <w:r w:rsidR="00A278CF" w:rsidRPr="00E53DD1">
        <w:rPr>
          <w:rFonts w:ascii="Palatino Linotype" w:hAnsi="Palatino Linotype" w:cs="Arial"/>
          <w:lang w:val="en-GB"/>
        </w:rPr>
        <w:t xml:space="preserve"> demands to</w:t>
      </w:r>
      <w:r w:rsidR="00513566" w:rsidRPr="00E53DD1">
        <w:rPr>
          <w:rFonts w:ascii="Palatino Linotype" w:hAnsi="Palatino Linotype" w:cs="Arial"/>
          <w:lang w:val="en-GB"/>
        </w:rPr>
        <w:t xml:space="preserve"> open up the trade system</w:t>
      </w:r>
      <w:r w:rsidR="00A2587A" w:rsidRPr="00E53DD1">
        <w:rPr>
          <w:rFonts w:ascii="Palatino Linotype" w:hAnsi="Palatino Linotype" w:cs="Arial"/>
          <w:lang w:val="en-GB"/>
        </w:rPr>
        <w:t xml:space="preserve"> </w:t>
      </w:r>
      <w:r w:rsidR="00513566" w:rsidRPr="00E53DD1">
        <w:rPr>
          <w:rFonts w:ascii="Palatino Linotype" w:hAnsi="Palatino Linotype" w:cs="Arial"/>
          <w:lang w:val="en-GB"/>
        </w:rPr>
        <w:t xml:space="preserve">(i.e. make it more transparent) and </w:t>
      </w:r>
      <w:r w:rsidR="00A2587A" w:rsidRPr="00E53DD1">
        <w:rPr>
          <w:rFonts w:ascii="Palatino Linotype" w:hAnsi="Palatino Linotype" w:cs="Arial"/>
          <w:lang w:val="en-GB"/>
        </w:rPr>
        <w:t xml:space="preserve">include </w:t>
      </w:r>
      <w:r w:rsidR="0033324E" w:rsidRPr="00E53DD1">
        <w:rPr>
          <w:rFonts w:ascii="Palatino Linotype" w:hAnsi="Palatino Linotype" w:cs="Arial"/>
          <w:lang w:val="en-GB"/>
        </w:rPr>
        <w:t xml:space="preserve">CSOs </w:t>
      </w:r>
      <w:r w:rsidR="00A2587A" w:rsidRPr="00E53DD1">
        <w:rPr>
          <w:rFonts w:ascii="Palatino Linotype" w:hAnsi="Palatino Linotype" w:cs="Arial"/>
          <w:lang w:val="en-GB"/>
        </w:rPr>
        <w:t>and other non-traditional players in the process</w:t>
      </w:r>
      <w:r w:rsidR="00513566" w:rsidRPr="00E53DD1">
        <w:rPr>
          <w:rFonts w:ascii="Palatino Linotype" w:hAnsi="Palatino Linotype" w:cs="Arial"/>
          <w:lang w:val="en-GB"/>
        </w:rPr>
        <w:t xml:space="preserve"> (</w:t>
      </w:r>
      <w:r w:rsidR="001A0962" w:rsidRPr="00E53DD1">
        <w:rPr>
          <w:rFonts w:ascii="Palatino Linotype" w:hAnsi="Palatino Linotype" w:cs="Arial"/>
          <w:lang w:val="en-GB"/>
        </w:rPr>
        <w:t>Marceau &amp; Hurley, 2012</w:t>
      </w:r>
      <w:r w:rsidR="00513566" w:rsidRPr="00E53DD1">
        <w:rPr>
          <w:rFonts w:ascii="Palatino Linotype" w:hAnsi="Palatino Linotype" w:cs="Arial"/>
          <w:lang w:val="en-GB"/>
        </w:rPr>
        <w:t>). During the ‘Battle of Seattle’,</w:t>
      </w:r>
      <w:r w:rsidR="00D10D98" w:rsidRPr="00E53DD1">
        <w:rPr>
          <w:rFonts w:ascii="Palatino Linotype" w:hAnsi="Palatino Linotype" w:cs="Arial"/>
          <w:lang w:val="en-GB"/>
        </w:rPr>
        <w:t xml:space="preserve"> for example,</w:t>
      </w:r>
      <w:r w:rsidR="00513566" w:rsidRPr="00E53DD1">
        <w:rPr>
          <w:rFonts w:ascii="Palatino Linotype" w:hAnsi="Palatino Linotype" w:cs="Arial"/>
          <w:lang w:val="en-GB"/>
        </w:rPr>
        <w:t xml:space="preserve"> the lack of transparency of the WTO, and the almost total absence of options to participate and voice concerns, were central </w:t>
      </w:r>
      <w:r w:rsidR="008D54CB" w:rsidRPr="00E53DD1">
        <w:rPr>
          <w:rFonts w:ascii="Palatino Linotype" w:hAnsi="Palatino Linotype" w:cs="Arial"/>
          <w:lang w:val="en-GB"/>
        </w:rPr>
        <w:t>claims by the</w:t>
      </w:r>
      <w:r w:rsidRPr="00E53DD1">
        <w:rPr>
          <w:rFonts w:ascii="Palatino Linotype" w:hAnsi="Palatino Linotype" w:cs="Arial"/>
          <w:lang w:val="en-GB"/>
        </w:rPr>
        <w:t xml:space="preserve"> opponents</w:t>
      </w:r>
      <w:r w:rsidR="00513566" w:rsidRPr="00E53DD1">
        <w:rPr>
          <w:rFonts w:ascii="Palatino Linotype" w:hAnsi="Palatino Linotype" w:cs="Arial"/>
          <w:lang w:val="en-GB"/>
        </w:rPr>
        <w:t xml:space="preserve"> (Smythe &amp; Smith, 2006). </w:t>
      </w:r>
      <w:r w:rsidR="001A0962" w:rsidRPr="00E53DD1">
        <w:rPr>
          <w:rFonts w:ascii="Palatino Linotype" w:hAnsi="Palatino Linotype" w:cs="Arial"/>
          <w:lang w:val="en-GB"/>
        </w:rPr>
        <w:t>The EU itself did not escape this criticism – on the contrary.</w:t>
      </w:r>
      <w:r w:rsidR="008B2DBB" w:rsidRPr="00E53DD1">
        <w:rPr>
          <w:rFonts w:ascii="Palatino Linotype" w:hAnsi="Palatino Linotype" w:cs="Arial"/>
          <w:lang w:val="en-GB"/>
        </w:rPr>
        <w:t xml:space="preserve"> Trade policy processes in the EU were informal and dominated by a ‘relatively small expert policy community’ (Woolcock, 2000).</w:t>
      </w:r>
      <w:r w:rsidR="001A0962" w:rsidRPr="00E53DD1">
        <w:rPr>
          <w:rFonts w:ascii="Palatino Linotype" w:hAnsi="Palatino Linotype" w:cs="Arial"/>
          <w:lang w:val="en-GB"/>
        </w:rPr>
        <w:t xml:space="preserve"> A</w:t>
      </w:r>
      <w:r w:rsidR="00513566" w:rsidRPr="00E53DD1">
        <w:rPr>
          <w:rFonts w:ascii="Palatino Linotype" w:hAnsi="Palatino Linotype" w:cs="Arial"/>
          <w:lang w:val="en-GB"/>
        </w:rPr>
        <w:t xml:space="preserve"> </w:t>
      </w:r>
      <w:r w:rsidR="00C134D5" w:rsidRPr="00E53DD1">
        <w:rPr>
          <w:rFonts w:ascii="Palatino Linotype" w:hAnsi="Palatino Linotype" w:cs="Arial"/>
          <w:lang w:val="en-GB"/>
        </w:rPr>
        <w:t xml:space="preserve">combination of politicized episodes of international trade policy, together with the delegation of trade authority to the </w:t>
      </w:r>
      <w:r w:rsidR="0033324E" w:rsidRPr="00E53DD1">
        <w:rPr>
          <w:rFonts w:ascii="Palatino Linotype" w:hAnsi="Palatino Linotype" w:cs="Arial"/>
          <w:lang w:val="en-GB"/>
        </w:rPr>
        <w:t xml:space="preserve">supranational </w:t>
      </w:r>
      <w:r w:rsidR="00C134D5" w:rsidRPr="00E53DD1">
        <w:rPr>
          <w:rFonts w:ascii="Palatino Linotype" w:hAnsi="Palatino Linotype" w:cs="Arial"/>
          <w:lang w:val="en-GB"/>
        </w:rPr>
        <w:t xml:space="preserve">level </w:t>
      </w:r>
      <w:r w:rsidR="005B2852" w:rsidRPr="00E53DD1">
        <w:rPr>
          <w:rFonts w:ascii="Palatino Linotype" w:hAnsi="Palatino Linotype" w:cs="Arial"/>
          <w:lang w:val="en-GB"/>
        </w:rPr>
        <w:t>has made</w:t>
      </w:r>
      <w:r w:rsidR="00C134D5" w:rsidRPr="00E53DD1">
        <w:rPr>
          <w:rFonts w:ascii="Palatino Linotype" w:hAnsi="Palatino Linotype" w:cs="Arial"/>
          <w:lang w:val="en-GB"/>
        </w:rPr>
        <w:t xml:space="preserve"> for a ‘potentially explosive mix’</w:t>
      </w:r>
      <w:r w:rsidR="005B2852" w:rsidRPr="00E53DD1">
        <w:rPr>
          <w:rFonts w:ascii="Palatino Linotype" w:hAnsi="Palatino Linotype" w:cs="Arial"/>
          <w:lang w:val="en-GB"/>
        </w:rPr>
        <w:t xml:space="preserve"> </w:t>
      </w:r>
      <w:r w:rsidR="00C134D5" w:rsidRPr="00E53DD1">
        <w:rPr>
          <w:rFonts w:ascii="Palatino Linotype" w:hAnsi="Palatino Linotype" w:cs="Arial"/>
          <w:lang w:val="en-GB"/>
        </w:rPr>
        <w:t>(Meunier, 2003).</w:t>
      </w:r>
      <w:r w:rsidR="00513566" w:rsidRPr="00E53DD1">
        <w:rPr>
          <w:rFonts w:ascii="Palatino Linotype" w:hAnsi="Palatino Linotype" w:cs="Arial"/>
          <w:lang w:val="en-GB"/>
        </w:rPr>
        <w:t xml:space="preserve"> </w:t>
      </w:r>
    </w:p>
    <w:p w14:paraId="2E6C0F05" w14:textId="3C34DBA8" w:rsidR="001A0962" w:rsidRPr="00E53DD1" w:rsidRDefault="001A0962" w:rsidP="00C5355B">
      <w:pPr>
        <w:jc w:val="both"/>
        <w:rPr>
          <w:rFonts w:ascii="Palatino Linotype" w:hAnsi="Palatino Linotype" w:cs="Arial"/>
          <w:lang w:val="en-GB"/>
        </w:rPr>
      </w:pPr>
      <w:r w:rsidRPr="00E53DD1">
        <w:rPr>
          <w:rFonts w:ascii="Palatino Linotype" w:hAnsi="Palatino Linotype" w:cs="Arial"/>
          <w:lang w:val="en-GB"/>
        </w:rPr>
        <w:t xml:space="preserve">In sum, the </w:t>
      </w:r>
      <w:r w:rsidR="00B41A25" w:rsidRPr="00E53DD1">
        <w:rPr>
          <w:rFonts w:ascii="Palatino Linotype" w:hAnsi="Palatino Linotype" w:cs="Arial"/>
          <w:lang w:val="en-GB"/>
        </w:rPr>
        <w:t>evolution</w:t>
      </w:r>
      <w:r w:rsidRPr="00E53DD1">
        <w:rPr>
          <w:rFonts w:ascii="Palatino Linotype" w:hAnsi="Palatino Linotype" w:cs="Arial"/>
          <w:lang w:val="en-GB"/>
        </w:rPr>
        <w:t xml:space="preserve"> of trade governance above the domestic level (both through the WTO, and through EU trade policy) is exemplary of </w:t>
      </w:r>
      <w:r w:rsidR="00B41A25" w:rsidRPr="00E53DD1">
        <w:rPr>
          <w:rFonts w:ascii="Palatino Linotype" w:hAnsi="Palatino Linotype" w:cs="Arial"/>
          <w:lang w:val="en-GB"/>
        </w:rPr>
        <w:t>a broader</w:t>
      </w:r>
      <w:r w:rsidRPr="00E53DD1">
        <w:rPr>
          <w:rFonts w:ascii="Palatino Linotype" w:hAnsi="Palatino Linotype" w:cs="Arial"/>
          <w:lang w:val="en-GB"/>
        </w:rPr>
        <w:t xml:space="preserve"> trend in global governance</w:t>
      </w:r>
      <w:r w:rsidR="00B41A25" w:rsidRPr="00E53DD1">
        <w:rPr>
          <w:rFonts w:ascii="Palatino Linotype" w:hAnsi="Palatino Linotype" w:cs="Arial"/>
          <w:lang w:val="en-GB"/>
        </w:rPr>
        <w:t xml:space="preserve">, whereby several international organizations have </w:t>
      </w:r>
      <w:r w:rsidR="008B2DBB" w:rsidRPr="00E53DD1">
        <w:rPr>
          <w:rFonts w:ascii="Palatino Linotype" w:hAnsi="Palatino Linotype" w:cs="Arial"/>
          <w:lang w:val="en-GB"/>
        </w:rPr>
        <w:t>gained competences that do no longer stop at the border</w:t>
      </w:r>
      <w:r w:rsidR="00B41A25" w:rsidRPr="00E53DD1">
        <w:rPr>
          <w:rFonts w:ascii="Palatino Linotype" w:hAnsi="Palatino Linotype" w:cs="Arial"/>
          <w:lang w:val="en-GB"/>
        </w:rPr>
        <w:t>. A</w:t>
      </w:r>
      <w:r w:rsidRPr="00E53DD1">
        <w:rPr>
          <w:rFonts w:ascii="Palatino Linotype" w:hAnsi="Palatino Linotype" w:cs="Arial"/>
          <w:lang w:val="en-GB"/>
        </w:rPr>
        <w:t xml:space="preserve"> gradual awareness that trade policy matters</w:t>
      </w:r>
      <w:r w:rsidR="00B41A25" w:rsidRPr="00E53DD1">
        <w:rPr>
          <w:rFonts w:ascii="Palatino Linotype" w:hAnsi="Palatino Linotype" w:cs="Arial"/>
          <w:lang w:val="en-GB"/>
        </w:rPr>
        <w:t xml:space="preserve"> has on several occasions led to politicized episodes, in which the lack of legitimacy and democratic standards has become </w:t>
      </w:r>
      <w:r w:rsidR="008B2DBB" w:rsidRPr="00E53DD1">
        <w:rPr>
          <w:rFonts w:ascii="Palatino Linotype" w:hAnsi="Palatino Linotype" w:cs="Arial"/>
          <w:lang w:val="en-GB"/>
        </w:rPr>
        <w:t xml:space="preserve">fully </w:t>
      </w:r>
      <w:r w:rsidR="00B41A25" w:rsidRPr="00E53DD1">
        <w:rPr>
          <w:rFonts w:ascii="Palatino Linotype" w:hAnsi="Palatino Linotype" w:cs="Arial"/>
          <w:lang w:val="en-GB"/>
        </w:rPr>
        <w:t>manifest and public. In the next section, we show how and why these organizations have responded to these calls.</w:t>
      </w:r>
    </w:p>
    <w:p w14:paraId="5A26E5B9" w14:textId="77777777" w:rsidR="00B27305" w:rsidRPr="00E53DD1" w:rsidRDefault="00B27305" w:rsidP="00C5355B">
      <w:pPr>
        <w:jc w:val="both"/>
        <w:rPr>
          <w:rFonts w:ascii="Palatino Linotype" w:hAnsi="Palatino Linotype" w:cs="Arial"/>
          <w:lang w:val="en-GB"/>
        </w:rPr>
      </w:pPr>
    </w:p>
    <w:p w14:paraId="048946DD" w14:textId="30DB14C3" w:rsidR="003C00B5" w:rsidRPr="00E53DD1" w:rsidRDefault="00130EC4" w:rsidP="00E53DD1">
      <w:pPr>
        <w:pStyle w:val="Heading2"/>
        <w:numPr>
          <w:ilvl w:val="0"/>
          <w:numId w:val="10"/>
        </w:numPr>
        <w:rPr>
          <w:rFonts w:ascii="Palatino Linotype" w:hAnsi="Palatino Linotype"/>
          <w:color w:val="auto"/>
          <w:lang w:val="en-GB"/>
        </w:rPr>
      </w:pPr>
      <w:r w:rsidRPr="00E53DD1">
        <w:rPr>
          <w:rFonts w:ascii="Palatino Linotype" w:hAnsi="Palatino Linotype"/>
          <w:color w:val="auto"/>
          <w:lang w:val="en-GB"/>
        </w:rPr>
        <w:t xml:space="preserve">Transparency, </w:t>
      </w:r>
      <w:r w:rsidR="003C00B5" w:rsidRPr="00E53DD1">
        <w:rPr>
          <w:rFonts w:ascii="Palatino Linotype" w:hAnsi="Palatino Linotype"/>
          <w:color w:val="auto"/>
          <w:lang w:val="en-GB"/>
        </w:rPr>
        <w:t>participation, accountability &amp; l</w:t>
      </w:r>
      <w:r w:rsidRPr="00E53DD1">
        <w:rPr>
          <w:rFonts w:ascii="Palatino Linotype" w:hAnsi="Palatino Linotype"/>
          <w:color w:val="auto"/>
          <w:lang w:val="en-GB"/>
        </w:rPr>
        <w:t>egitimacy</w:t>
      </w:r>
    </w:p>
    <w:p w14:paraId="2147CC71" w14:textId="77777777" w:rsidR="00B27305" w:rsidRPr="00E53DD1" w:rsidRDefault="00B27305" w:rsidP="003C00B5">
      <w:pPr>
        <w:jc w:val="both"/>
        <w:rPr>
          <w:rFonts w:ascii="Palatino Linotype" w:hAnsi="Palatino Linotype" w:cs="Segoe UI"/>
          <w:lang w:val="en-GB"/>
        </w:rPr>
      </w:pPr>
    </w:p>
    <w:p w14:paraId="35928D0C" w14:textId="3C88B538" w:rsidR="00001B54" w:rsidRPr="00E53DD1" w:rsidRDefault="00001B54" w:rsidP="003C00B5">
      <w:pPr>
        <w:jc w:val="both"/>
        <w:rPr>
          <w:rFonts w:ascii="Palatino Linotype" w:hAnsi="Palatino Linotype" w:cs="Segoe UI"/>
          <w:b/>
          <w:lang w:val="en-GB"/>
        </w:rPr>
      </w:pPr>
      <w:r w:rsidRPr="00E53DD1">
        <w:rPr>
          <w:rFonts w:ascii="Palatino Linotype" w:hAnsi="Palatino Linotype" w:cs="Segoe UI"/>
          <w:b/>
          <w:lang w:val="en-GB"/>
        </w:rPr>
        <w:t>Opening up to criticism</w:t>
      </w:r>
    </w:p>
    <w:p w14:paraId="2B77B2CC" w14:textId="79303AC0" w:rsidR="0052696D" w:rsidRPr="00E53DD1" w:rsidRDefault="0052696D" w:rsidP="003C00B5">
      <w:pPr>
        <w:jc w:val="both"/>
        <w:rPr>
          <w:rFonts w:ascii="Palatino Linotype" w:hAnsi="Palatino Linotype" w:cs="Arial"/>
          <w:lang w:val="en-GB"/>
        </w:rPr>
      </w:pPr>
      <w:r w:rsidRPr="00E53DD1">
        <w:rPr>
          <w:rFonts w:ascii="Palatino Linotype" w:hAnsi="Palatino Linotype" w:cs="Segoe UI"/>
          <w:lang w:val="en-GB"/>
        </w:rPr>
        <w:t>An organization’s survival is to a large extent contingent on its</w:t>
      </w:r>
      <w:r w:rsidR="003C00B5" w:rsidRPr="00E53DD1">
        <w:rPr>
          <w:rFonts w:ascii="Palatino Linotype" w:hAnsi="Palatino Linotype" w:cs="Segoe UI"/>
          <w:lang w:val="en-GB"/>
        </w:rPr>
        <w:t xml:space="preserve"> environment to garner support and legitimacy (Tallberg, 2014; Bes, 2017</w:t>
      </w:r>
      <w:r w:rsidRPr="00E53DD1">
        <w:rPr>
          <w:rFonts w:ascii="Palatino Linotype" w:hAnsi="Palatino Linotype" w:cs="Segoe UI"/>
          <w:lang w:val="en-GB"/>
        </w:rPr>
        <w:t>)</w:t>
      </w:r>
      <w:r w:rsidR="003C00B5" w:rsidRPr="00E53DD1">
        <w:rPr>
          <w:rFonts w:ascii="Palatino Linotype" w:hAnsi="Palatino Linotype" w:cs="Segoe UI"/>
          <w:lang w:val="en-GB"/>
        </w:rPr>
        <w:t>.</w:t>
      </w:r>
      <w:r w:rsidRPr="00E53DD1">
        <w:rPr>
          <w:rFonts w:ascii="Palatino Linotype" w:hAnsi="Palatino Linotype" w:cs="Segoe UI"/>
          <w:lang w:val="en-GB"/>
        </w:rPr>
        <w:t xml:space="preserve"> The sociological institutionalism literature argues, for example, that to exercise authority and command compliance, an organization needs legitimacy (Hurd, 1999), hence incentivizing an organization to take measures in the light of public contestation. </w:t>
      </w:r>
      <w:r w:rsidR="00B27305" w:rsidRPr="00E53DD1">
        <w:rPr>
          <w:rFonts w:ascii="Palatino Linotype" w:hAnsi="Palatino Linotype" w:cs="Segoe UI"/>
          <w:lang w:val="en-GB"/>
        </w:rPr>
        <w:t xml:space="preserve">In an overview of possible </w:t>
      </w:r>
      <w:r w:rsidR="003C00B5" w:rsidRPr="00E53DD1">
        <w:rPr>
          <w:rFonts w:ascii="Palatino Linotype" w:hAnsi="Palatino Linotype" w:cs="Segoe UI"/>
          <w:lang w:val="en-GB"/>
        </w:rPr>
        <w:t xml:space="preserve">effects of the politicization of world politics, Zürn (2014) </w:t>
      </w:r>
      <w:r w:rsidR="00B27305" w:rsidRPr="00E53DD1">
        <w:rPr>
          <w:rFonts w:ascii="Palatino Linotype" w:hAnsi="Palatino Linotype" w:cs="Segoe UI"/>
          <w:lang w:val="en-GB"/>
        </w:rPr>
        <w:t>hypothesized</w:t>
      </w:r>
      <w:r w:rsidR="003C00B5" w:rsidRPr="00E53DD1">
        <w:rPr>
          <w:rFonts w:ascii="Palatino Linotype" w:hAnsi="Palatino Linotype" w:cs="Segoe UI"/>
          <w:lang w:val="en-GB"/>
        </w:rPr>
        <w:t xml:space="preserve"> international organizations</w:t>
      </w:r>
      <w:r w:rsidR="00B27305" w:rsidRPr="00E53DD1">
        <w:rPr>
          <w:rFonts w:ascii="Palatino Linotype" w:hAnsi="Palatino Linotype" w:cs="Segoe UI"/>
          <w:lang w:val="en-GB"/>
        </w:rPr>
        <w:t xml:space="preserve"> would</w:t>
      </w:r>
      <w:r w:rsidR="003C00B5" w:rsidRPr="00E53DD1">
        <w:rPr>
          <w:rFonts w:ascii="Palatino Linotype" w:hAnsi="Palatino Linotype" w:cs="Segoe UI"/>
          <w:lang w:val="en-GB"/>
        </w:rPr>
        <w:t xml:space="preserve"> respond with measures to increase their legitimacy, especially in terms of </w:t>
      </w:r>
      <w:r w:rsidR="003C00B5" w:rsidRPr="00E53DD1">
        <w:rPr>
          <w:rFonts w:ascii="Palatino Linotype" w:hAnsi="Palatino Linotype" w:cs="Arial"/>
          <w:i/>
          <w:lang w:val="en-GB"/>
        </w:rPr>
        <w:t>increased formal transparency</w:t>
      </w:r>
      <w:r w:rsidR="003C00B5" w:rsidRPr="00E53DD1">
        <w:rPr>
          <w:rFonts w:ascii="Palatino Linotype" w:hAnsi="Palatino Linotype" w:cs="Arial"/>
          <w:lang w:val="en-GB"/>
        </w:rPr>
        <w:t xml:space="preserve"> and by giving </w:t>
      </w:r>
      <w:r w:rsidR="003C00B5" w:rsidRPr="00E53DD1">
        <w:rPr>
          <w:rFonts w:ascii="Palatino Linotype" w:hAnsi="Palatino Linotype" w:cs="Arial"/>
          <w:i/>
          <w:lang w:val="en-GB"/>
        </w:rPr>
        <w:t>greater access to transnational non-state actors.</w:t>
      </w:r>
      <w:r w:rsidR="00F85B1E" w:rsidRPr="00E53DD1">
        <w:rPr>
          <w:rFonts w:ascii="Palatino Linotype" w:hAnsi="Palatino Linotype" w:cs="Arial"/>
          <w:i/>
          <w:lang w:val="en-GB"/>
        </w:rPr>
        <w:t xml:space="preserve"> </w:t>
      </w:r>
      <w:r w:rsidR="00F85B1E" w:rsidRPr="00E53DD1">
        <w:rPr>
          <w:rFonts w:ascii="Palatino Linotype" w:hAnsi="Palatino Linotype" w:cs="Arial"/>
          <w:lang w:val="en-GB"/>
        </w:rPr>
        <w:t>As Tallberg et al. (2013) show, both these evolutions are prevalent for IOs in the last 30 years.</w:t>
      </w:r>
      <w:r w:rsidR="003C00B5" w:rsidRPr="00E53DD1">
        <w:rPr>
          <w:rFonts w:ascii="Palatino Linotype" w:hAnsi="Palatino Linotype" w:cs="Segoe UI"/>
          <w:lang w:val="en-GB"/>
        </w:rPr>
        <w:t xml:space="preserve"> </w:t>
      </w:r>
      <w:r w:rsidR="00F85B1E" w:rsidRPr="00E53DD1">
        <w:rPr>
          <w:rFonts w:ascii="Palatino Linotype" w:hAnsi="Palatino Linotype" w:cs="Segoe UI"/>
          <w:lang w:val="en-GB"/>
        </w:rPr>
        <w:t>As a result</w:t>
      </w:r>
      <w:r w:rsidR="00275E7F" w:rsidRPr="00E53DD1">
        <w:rPr>
          <w:rFonts w:ascii="Palatino Linotype" w:hAnsi="Palatino Linotype" w:cs="Segoe UI"/>
          <w:lang w:val="en-GB"/>
        </w:rPr>
        <w:t xml:space="preserve">, </w:t>
      </w:r>
      <w:r w:rsidR="00275E7F" w:rsidRPr="00E53DD1">
        <w:rPr>
          <w:rFonts w:ascii="Palatino Linotype" w:hAnsi="Palatino Linotype" w:cs="Arial"/>
          <w:lang w:val="en-GB"/>
        </w:rPr>
        <w:t xml:space="preserve">the standard “delegation” </w:t>
      </w:r>
      <w:r w:rsidR="00275E7F" w:rsidRPr="00E53DD1">
        <w:rPr>
          <w:rFonts w:ascii="Palatino Linotype" w:hAnsi="Palatino Linotype" w:cs="Arial"/>
          <w:i/>
          <w:lang w:val="en-GB"/>
        </w:rPr>
        <w:t>accountability</w:t>
      </w:r>
      <w:r w:rsidR="00275E7F" w:rsidRPr="00E53DD1">
        <w:rPr>
          <w:rFonts w:ascii="Palatino Linotype" w:hAnsi="Palatino Linotype" w:cs="Arial"/>
          <w:lang w:val="en-GB"/>
        </w:rPr>
        <w:t xml:space="preserve"> model in world politics (states entrust international organizations) is shifting to a participation model (those affected by decisions raise demands) (Grant &amp; Keohane, 2005; Zürn, 2014</w:t>
      </w:r>
      <w:r w:rsidR="00F85B1E" w:rsidRPr="00E53DD1">
        <w:rPr>
          <w:rFonts w:ascii="Palatino Linotype" w:hAnsi="Palatino Linotype" w:cs="Arial"/>
          <w:lang w:val="en-GB"/>
        </w:rPr>
        <w:t>; cfr. infra</w:t>
      </w:r>
      <w:r w:rsidR="00275E7F" w:rsidRPr="00E53DD1">
        <w:rPr>
          <w:rFonts w:ascii="Palatino Linotype" w:hAnsi="Palatino Linotype" w:cs="Arial"/>
          <w:lang w:val="en-GB"/>
        </w:rPr>
        <w:t>).</w:t>
      </w:r>
    </w:p>
    <w:p w14:paraId="2D223805" w14:textId="05C45B71" w:rsidR="005F4C1A" w:rsidRPr="00E53DD1" w:rsidRDefault="00F85B1E" w:rsidP="003C00B5">
      <w:pPr>
        <w:jc w:val="both"/>
        <w:rPr>
          <w:rFonts w:ascii="Palatino Linotype" w:hAnsi="Palatino Linotype" w:cs="Segoe UI"/>
          <w:lang w:val="en-GB"/>
        </w:rPr>
      </w:pPr>
      <w:r w:rsidRPr="00E53DD1">
        <w:rPr>
          <w:rFonts w:ascii="Palatino Linotype" w:hAnsi="Palatino Linotype" w:cs="Segoe UI"/>
          <w:lang w:val="en-GB"/>
        </w:rPr>
        <w:t>While g</w:t>
      </w:r>
      <w:r w:rsidR="00F211D7" w:rsidRPr="00E53DD1">
        <w:rPr>
          <w:rFonts w:ascii="Palatino Linotype" w:hAnsi="Palatino Linotype" w:cs="Segoe UI"/>
          <w:lang w:val="en-GB"/>
        </w:rPr>
        <w:t>overnmental legitimacy</w:t>
      </w:r>
      <w:r w:rsidR="00BB2EBD" w:rsidRPr="00E53DD1">
        <w:rPr>
          <w:rFonts w:ascii="Palatino Linotype" w:hAnsi="Palatino Linotype" w:cs="Segoe UI"/>
          <w:lang w:val="en-GB"/>
        </w:rPr>
        <w:t xml:space="preserve"> is commonly decomposed into input and output legitimacy (</w:t>
      </w:r>
      <w:r w:rsidRPr="00E53DD1">
        <w:rPr>
          <w:rFonts w:ascii="Palatino Linotype" w:hAnsi="Palatino Linotype" w:cs="Segoe UI"/>
          <w:lang w:val="en-GB"/>
        </w:rPr>
        <w:t>see Scharpf, 1999), several authors do not expect to see</w:t>
      </w:r>
      <w:r w:rsidR="00BB2EBD" w:rsidRPr="00E53DD1">
        <w:rPr>
          <w:rFonts w:ascii="Palatino Linotype" w:hAnsi="Palatino Linotype" w:cs="Segoe UI"/>
          <w:lang w:val="en-GB"/>
        </w:rPr>
        <w:t xml:space="preserve"> </w:t>
      </w:r>
      <w:r w:rsidR="00357851" w:rsidRPr="00E53DD1">
        <w:rPr>
          <w:rFonts w:ascii="Palatino Linotype" w:hAnsi="Palatino Linotype" w:cs="Segoe UI"/>
          <w:lang w:val="en-GB"/>
        </w:rPr>
        <w:t>a form of ‘democracy writ large’ or global democracy to emerge</w:t>
      </w:r>
      <w:r w:rsidR="00BB2EBD" w:rsidRPr="00E53DD1">
        <w:rPr>
          <w:rFonts w:ascii="Palatino Linotype" w:hAnsi="Palatino Linotype" w:cs="Segoe UI"/>
          <w:lang w:val="en-GB"/>
        </w:rPr>
        <w:t xml:space="preserve"> any time soon</w:t>
      </w:r>
      <w:r w:rsidR="00357851" w:rsidRPr="00E53DD1">
        <w:rPr>
          <w:rFonts w:ascii="Palatino Linotype" w:hAnsi="Palatino Linotype" w:cs="Segoe UI"/>
          <w:lang w:val="en-GB"/>
        </w:rPr>
        <w:t xml:space="preserve"> (Dahl, 1999; Nanz &amp; Steffek, 2004</w:t>
      </w:r>
      <w:r w:rsidR="00BB2EBD" w:rsidRPr="00E53DD1">
        <w:rPr>
          <w:rFonts w:ascii="Palatino Linotype" w:hAnsi="Palatino Linotype" w:cs="Segoe UI"/>
          <w:lang w:val="en-GB"/>
        </w:rPr>
        <w:t xml:space="preserve">; </w:t>
      </w:r>
      <w:r w:rsidR="00357851" w:rsidRPr="00E53DD1">
        <w:rPr>
          <w:rFonts w:ascii="Palatino Linotype" w:hAnsi="Palatino Linotype" w:cs="Segoe UI"/>
          <w:lang w:val="en-GB"/>
        </w:rPr>
        <w:t xml:space="preserve">). </w:t>
      </w:r>
      <w:r w:rsidR="00F211D7" w:rsidRPr="00E53DD1">
        <w:rPr>
          <w:rFonts w:ascii="Palatino Linotype" w:hAnsi="Palatino Linotype" w:cs="Segoe UI"/>
          <w:lang w:val="en-GB"/>
        </w:rPr>
        <w:t>Rather, a form of ‘throughput l</w:t>
      </w:r>
      <w:r w:rsidR="00907D28" w:rsidRPr="00E53DD1">
        <w:rPr>
          <w:rFonts w:ascii="Palatino Linotype" w:hAnsi="Palatino Linotype" w:cs="Segoe UI"/>
          <w:lang w:val="en-GB"/>
        </w:rPr>
        <w:t>egitimacy</w:t>
      </w:r>
      <w:r w:rsidR="00F211D7" w:rsidRPr="00E53DD1">
        <w:rPr>
          <w:rFonts w:ascii="Palatino Linotype" w:hAnsi="Palatino Linotype" w:cs="Segoe UI"/>
          <w:lang w:val="en-GB"/>
        </w:rPr>
        <w:t xml:space="preserve">’ is </w:t>
      </w:r>
      <w:r w:rsidRPr="00E53DD1">
        <w:rPr>
          <w:rFonts w:ascii="Palatino Linotype" w:hAnsi="Palatino Linotype" w:cs="Segoe UI"/>
          <w:lang w:val="en-GB"/>
        </w:rPr>
        <w:t>better suited as a concept to evaluate the legitimacy of global governance. This focuses on</w:t>
      </w:r>
      <w:r w:rsidR="00907D28" w:rsidRPr="00E53DD1">
        <w:rPr>
          <w:rFonts w:ascii="Palatino Linotype" w:hAnsi="Palatino Linotype" w:cs="Segoe UI"/>
          <w:lang w:val="en-GB"/>
        </w:rPr>
        <w:t xml:space="preserve"> </w:t>
      </w:r>
      <w:r w:rsidR="00357851" w:rsidRPr="00E53DD1">
        <w:rPr>
          <w:rFonts w:ascii="Palatino Linotype" w:hAnsi="Palatino Linotype" w:cs="Segoe UI"/>
          <w:lang w:val="en-GB"/>
        </w:rPr>
        <w:t>the decision-making process itself, on the practices that go on inside the ‘black-box’ of policy-making, and hence has different sources</w:t>
      </w:r>
      <w:r w:rsidR="00907D28" w:rsidRPr="00E53DD1">
        <w:rPr>
          <w:rFonts w:ascii="Palatino Linotype" w:hAnsi="Palatino Linotype" w:cs="Segoe UI"/>
          <w:lang w:val="en-GB"/>
        </w:rPr>
        <w:t xml:space="preserve"> such as</w:t>
      </w:r>
      <w:r w:rsidR="00275E7F" w:rsidRPr="00E53DD1">
        <w:rPr>
          <w:rFonts w:ascii="Palatino Linotype" w:hAnsi="Palatino Linotype" w:cs="Segoe UI"/>
          <w:lang w:val="en-GB"/>
        </w:rPr>
        <w:t xml:space="preserve"> </w:t>
      </w:r>
      <w:r w:rsidR="00907D28" w:rsidRPr="00E53DD1">
        <w:rPr>
          <w:rFonts w:ascii="Palatino Linotype" w:hAnsi="Palatino Linotype" w:cs="Segoe UI"/>
          <w:lang w:val="en-GB"/>
        </w:rPr>
        <w:t>transparency, participation and accountability</w:t>
      </w:r>
      <w:r w:rsidR="00275E7F" w:rsidRPr="00E53DD1">
        <w:rPr>
          <w:rFonts w:ascii="Palatino Linotype" w:hAnsi="Palatino Linotype" w:cs="Segoe UI"/>
          <w:lang w:val="en-GB"/>
        </w:rPr>
        <w:t xml:space="preserve"> </w:t>
      </w:r>
      <w:r w:rsidR="00BB2EBD" w:rsidRPr="00E53DD1">
        <w:rPr>
          <w:rFonts w:ascii="Palatino Linotype" w:hAnsi="Palatino Linotype" w:cs="Segoe UI"/>
          <w:lang w:val="en-GB"/>
        </w:rPr>
        <w:t>(Meunier, 2003</w:t>
      </w:r>
      <w:r w:rsidR="00F211D7" w:rsidRPr="00E53DD1">
        <w:rPr>
          <w:rFonts w:ascii="Palatino Linotype" w:hAnsi="Palatino Linotype" w:cs="Segoe UI"/>
          <w:lang w:val="en-GB"/>
        </w:rPr>
        <w:t xml:space="preserve">; </w:t>
      </w:r>
      <w:r w:rsidR="00BB2EBD" w:rsidRPr="00E53DD1">
        <w:rPr>
          <w:rFonts w:ascii="Palatino Linotype" w:hAnsi="Palatino Linotype" w:cs="Segoe UI"/>
          <w:lang w:val="en-GB"/>
        </w:rPr>
        <w:t xml:space="preserve">Schmidt, 2013). </w:t>
      </w:r>
    </w:p>
    <w:p w14:paraId="55F80CE9" w14:textId="1DC1D17F" w:rsidR="005F4C1A" w:rsidRPr="00E53DD1" w:rsidRDefault="005F4C1A" w:rsidP="005F4C1A">
      <w:pPr>
        <w:jc w:val="both"/>
        <w:rPr>
          <w:rFonts w:ascii="Palatino Linotype" w:hAnsi="Palatino Linotype" w:cs="Segoe UI"/>
          <w:lang w:val="en-GB"/>
        </w:rPr>
      </w:pPr>
      <w:r w:rsidRPr="00E53DD1">
        <w:rPr>
          <w:rFonts w:ascii="Palatino Linotype" w:hAnsi="Palatino Linotype" w:cs="Arial"/>
          <w:i/>
          <w:lang w:val="en-GB"/>
        </w:rPr>
        <w:t>Transparency</w:t>
      </w:r>
      <w:r w:rsidRPr="00E53DD1">
        <w:rPr>
          <w:rFonts w:ascii="Palatino Linotype" w:hAnsi="Palatino Linotype" w:cs="Arial"/>
          <w:lang w:val="en-GB"/>
        </w:rPr>
        <w:t xml:space="preserve"> is generally taken to mean public access to information about an organization’s activities and policies (Tallberg, 2014). Definitions are abundant, but they frequently address both (i) access to documents in response to requests, and (ii) an active information policy, whereby information on on-going and future policy is pro-actively disseminated and stored in a public registry (Mas et al., 2013). </w:t>
      </w:r>
      <w:r w:rsidRPr="00E53DD1">
        <w:rPr>
          <w:rFonts w:ascii="Palatino Linotype" w:hAnsi="Palatino Linotype" w:cs="Segoe UI"/>
          <w:i/>
          <w:lang w:val="en-GB"/>
        </w:rPr>
        <w:t>Participation</w:t>
      </w:r>
      <w:r w:rsidRPr="00E53DD1">
        <w:rPr>
          <w:rFonts w:ascii="Palatino Linotype" w:hAnsi="Palatino Linotype" w:cs="Segoe UI"/>
          <w:lang w:val="en-GB"/>
        </w:rPr>
        <w:t xml:space="preserve"> on the other hand refers to “the presence of and activities by non-state actors within institutional mechanisms created by an organization” (Tallberg, 2014). </w:t>
      </w:r>
      <w:r w:rsidRPr="00E53DD1">
        <w:rPr>
          <w:rFonts w:ascii="Palatino Linotype" w:hAnsi="Palatino Linotype" w:cs="Arial"/>
          <w:i/>
          <w:lang w:val="en-GB"/>
        </w:rPr>
        <w:t>A</w:t>
      </w:r>
      <w:r w:rsidRPr="00E53DD1">
        <w:rPr>
          <w:rFonts w:ascii="Palatino Linotype" w:hAnsi="Palatino Linotype" w:cs="Segoe UI"/>
          <w:i/>
          <w:lang w:val="en-GB"/>
        </w:rPr>
        <w:t>ccountability</w:t>
      </w:r>
      <w:r w:rsidRPr="00E53DD1">
        <w:rPr>
          <w:rFonts w:ascii="Palatino Linotype" w:hAnsi="Palatino Linotype" w:cs="Segoe UI"/>
          <w:lang w:val="en-GB"/>
        </w:rPr>
        <w:t xml:space="preserve">, lastly, implies that “some actors have the right to hold other actors to a set of standards, to judge whether they have fulfilled their responsibilities in light of these standards, and to impose sanctions if they determine their responsibilities have not been met” (Grant &amp; Keohane, p. X). </w:t>
      </w:r>
    </w:p>
    <w:p w14:paraId="39349078" w14:textId="2E239709" w:rsidR="007B043F" w:rsidRPr="00E53DD1" w:rsidRDefault="005F4C1A" w:rsidP="005F4C1A">
      <w:pPr>
        <w:jc w:val="both"/>
        <w:rPr>
          <w:rFonts w:ascii="Palatino Linotype" w:hAnsi="Palatino Linotype" w:cs="Segoe UI"/>
          <w:lang w:val="en-GB"/>
        </w:rPr>
      </w:pPr>
      <w:r w:rsidRPr="00E53DD1">
        <w:rPr>
          <w:rFonts w:ascii="Palatino Linotype" w:hAnsi="Palatino Linotype" w:cs="Segoe UI"/>
          <w:lang w:val="en-GB"/>
        </w:rPr>
        <w:t>Not</w:t>
      </w:r>
      <w:r w:rsidR="00F85B1E" w:rsidRPr="00E53DD1">
        <w:rPr>
          <w:rFonts w:ascii="Palatino Linotype" w:hAnsi="Palatino Linotype" w:cs="Segoe UI"/>
          <w:lang w:val="en-GB"/>
        </w:rPr>
        <w:t>withstanding this</w:t>
      </w:r>
      <w:r w:rsidRPr="00E53DD1">
        <w:rPr>
          <w:rFonts w:ascii="Palatino Linotype" w:hAnsi="Palatino Linotype" w:cs="Segoe UI"/>
          <w:lang w:val="en-GB"/>
        </w:rPr>
        <w:t xml:space="preserve"> rather straightforward description of </w:t>
      </w:r>
      <w:r w:rsidR="001A0ED9" w:rsidRPr="00E53DD1">
        <w:rPr>
          <w:rFonts w:ascii="Palatino Linotype" w:hAnsi="Palatino Linotype" w:cs="Segoe UI"/>
          <w:lang w:val="en-GB"/>
        </w:rPr>
        <w:t>the</w:t>
      </w:r>
      <w:r w:rsidR="00F85B1E" w:rsidRPr="00E53DD1">
        <w:rPr>
          <w:rFonts w:ascii="Palatino Linotype" w:hAnsi="Palatino Linotype" w:cs="Segoe UI"/>
          <w:lang w:val="en-GB"/>
        </w:rPr>
        <w:t>se</w:t>
      </w:r>
      <w:r w:rsidRPr="00E53DD1">
        <w:rPr>
          <w:rFonts w:ascii="Palatino Linotype" w:hAnsi="Palatino Linotype" w:cs="Segoe UI"/>
          <w:lang w:val="en-GB"/>
        </w:rPr>
        <w:t xml:space="preserve"> concepts, </w:t>
      </w:r>
      <w:r w:rsidR="001A0ED9" w:rsidRPr="00E53DD1">
        <w:rPr>
          <w:rFonts w:ascii="Palatino Linotype" w:hAnsi="Palatino Linotype" w:cs="Segoe UI"/>
          <w:lang w:val="en-GB"/>
        </w:rPr>
        <w:t xml:space="preserve">they </w:t>
      </w:r>
      <w:r w:rsidRPr="00E53DD1">
        <w:rPr>
          <w:rFonts w:ascii="Palatino Linotype" w:hAnsi="Palatino Linotype" w:cs="Segoe UI"/>
          <w:lang w:val="en-GB"/>
        </w:rPr>
        <w:t xml:space="preserve">are notoriously difficult to </w:t>
      </w:r>
      <w:r w:rsidR="00F85B1E" w:rsidRPr="00E53DD1">
        <w:rPr>
          <w:rFonts w:ascii="Palatino Linotype" w:hAnsi="Palatino Linotype" w:cs="Segoe UI"/>
          <w:lang w:val="en-GB"/>
        </w:rPr>
        <w:t>conceptualize</w:t>
      </w:r>
      <w:r w:rsidRPr="00E53DD1">
        <w:rPr>
          <w:rFonts w:ascii="Palatino Linotype" w:hAnsi="Palatino Linotype" w:cs="Segoe UI"/>
          <w:lang w:val="en-GB"/>
        </w:rPr>
        <w:t>.</w:t>
      </w:r>
      <w:r w:rsidR="001A0ED9" w:rsidRPr="00E53DD1">
        <w:rPr>
          <w:rFonts w:ascii="Palatino Linotype" w:hAnsi="Palatino Linotype" w:cs="Segoe UI"/>
          <w:lang w:val="en-GB"/>
        </w:rPr>
        <w:t xml:space="preserve"> </w:t>
      </w:r>
      <w:r w:rsidR="00F85B1E" w:rsidRPr="00E53DD1">
        <w:rPr>
          <w:rFonts w:ascii="Palatino Linotype" w:hAnsi="Palatino Linotype" w:cs="Segoe UI"/>
          <w:lang w:val="en-GB"/>
        </w:rPr>
        <w:t>They are the kind of ideas</w:t>
      </w:r>
      <w:r w:rsidR="001A0ED9" w:rsidRPr="00E53DD1">
        <w:rPr>
          <w:rFonts w:ascii="Palatino Linotype" w:hAnsi="Palatino Linotype" w:cs="Segoe UI"/>
          <w:lang w:val="en-GB"/>
        </w:rPr>
        <w:t xml:space="preserve"> everyone endorses, while at the same time much confusion and debate persists around them</w:t>
      </w:r>
      <w:r w:rsidR="007B043F" w:rsidRPr="00E53DD1">
        <w:rPr>
          <w:rFonts w:ascii="Palatino Linotype" w:hAnsi="Palatino Linotype" w:cs="Segoe UI"/>
          <w:lang w:val="en-GB"/>
        </w:rPr>
        <w:t xml:space="preserve"> (Heald, 2006; Hood, 2010). Equally important is that they are often in some way perceived as constituting parts of good governance</w:t>
      </w:r>
      <w:r w:rsidR="00F85B1E" w:rsidRPr="00E53DD1">
        <w:rPr>
          <w:rFonts w:ascii="Palatino Linotype" w:hAnsi="Palatino Linotype" w:cs="Segoe UI"/>
          <w:lang w:val="en-GB"/>
        </w:rPr>
        <w:t xml:space="preserve"> (as in the White Paper on Good Governance, for example, which listed openness, participation, responsibility, effectiveness and coherence as founding elements)</w:t>
      </w:r>
      <w:r w:rsidR="007B043F" w:rsidRPr="00E53DD1">
        <w:rPr>
          <w:rFonts w:ascii="Palatino Linotype" w:hAnsi="Palatino Linotype" w:cs="Segoe UI"/>
          <w:lang w:val="en-GB"/>
        </w:rPr>
        <w:t xml:space="preserve">, seemingly without much reflection if they are actually all equally important or complementary. </w:t>
      </w:r>
    </w:p>
    <w:p w14:paraId="10B5C493" w14:textId="6FC2452C" w:rsidR="00260E18" w:rsidRPr="00E53DD1" w:rsidRDefault="007B043F" w:rsidP="005F4C1A">
      <w:pPr>
        <w:jc w:val="both"/>
        <w:rPr>
          <w:rFonts w:ascii="Palatino Linotype" w:hAnsi="Palatino Linotype" w:cs="Arial"/>
          <w:lang w:val="en-GB"/>
        </w:rPr>
      </w:pPr>
      <w:r w:rsidRPr="00E53DD1">
        <w:rPr>
          <w:rFonts w:ascii="Palatino Linotype" w:hAnsi="Palatino Linotype" w:cs="Segoe UI"/>
          <w:lang w:val="en-GB"/>
        </w:rPr>
        <w:lastRenderedPageBreak/>
        <w:t>Hood (2010) illustrates this tension with respect to transparency and accountability. He argues these can be perceived in three ways. First</w:t>
      </w:r>
      <w:r w:rsidR="00260E18" w:rsidRPr="00E53DD1">
        <w:rPr>
          <w:rFonts w:ascii="Palatino Linotype" w:hAnsi="Palatino Linotype" w:cs="Segoe UI"/>
          <w:lang w:val="en-GB"/>
        </w:rPr>
        <w:t>ly</w:t>
      </w:r>
      <w:r w:rsidRPr="00E53DD1">
        <w:rPr>
          <w:rFonts w:ascii="Palatino Linotype" w:hAnsi="Palatino Linotype" w:cs="Segoe UI"/>
          <w:lang w:val="en-GB"/>
        </w:rPr>
        <w:t>, as ‘Siamese twins’: “inextricably intertwined to the point where they cannot be meaningfully distinguished as different things”. The frequency with which these terms are often presented together would in this sense make them individually ra</w:t>
      </w:r>
      <w:r w:rsidR="00260E18" w:rsidRPr="00E53DD1">
        <w:rPr>
          <w:rFonts w:ascii="Palatino Linotype" w:hAnsi="Palatino Linotype" w:cs="Segoe UI"/>
          <w:lang w:val="en-GB"/>
        </w:rPr>
        <w:t>ther meaningless. Secondly, as “matching parts”, meaning that as concepts they can be separated but in reality they often go together. This is a common view, which can be identified with different interpretations of “X contributes to Y”. Mas et al. (2013) argue for example that participation and accountability are</w:t>
      </w:r>
      <w:r w:rsidR="00260E18" w:rsidRPr="00E53DD1">
        <w:rPr>
          <w:rFonts w:ascii="Palatino Linotype" w:hAnsi="Palatino Linotype" w:cs="Arial"/>
          <w:lang w:val="en-GB"/>
        </w:rPr>
        <w:t xml:space="preserve"> </w:t>
      </w:r>
      <w:r w:rsidR="005F4C1A" w:rsidRPr="00E53DD1">
        <w:rPr>
          <w:rFonts w:ascii="Palatino Linotype" w:hAnsi="Palatino Linotype" w:cs="Arial"/>
          <w:lang w:val="en-GB"/>
        </w:rPr>
        <w:t xml:space="preserve">“neither attribute nor content of transparency or transparency itself, but rather </w:t>
      </w:r>
      <w:r w:rsidR="005F4C1A" w:rsidRPr="00E53DD1">
        <w:rPr>
          <w:rFonts w:ascii="Palatino Linotype" w:hAnsi="Palatino Linotype" w:cs="Arial"/>
          <w:i/>
          <w:lang w:val="en-GB"/>
        </w:rPr>
        <w:t>the consequence of</w:t>
      </w:r>
      <w:r w:rsidR="005F4C1A" w:rsidRPr="00E53DD1">
        <w:rPr>
          <w:rFonts w:ascii="Palatino Linotype" w:hAnsi="Palatino Linotype" w:cs="Arial"/>
          <w:lang w:val="en-GB"/>
        </w:rPr>
        <w:t xml:space="preserve"> transparent policy” (ibid.</w:t>
      </w:r>
      <w:r w:rsidR="00260E18" w:rsidRPr="00E53DD1">
        <w:rPr>
          <w:rFonts w:ascii="Palatino Linotype" w:hAnsi="Palatino Linotype" w:cs="Arial"/>
          <w:lang w:val="en-GB"/>
        </w:rPr>
        <w:t>, emphasis added</w:t>
      </w:r>
      <w:r w:rsidR="005F4C1A" w:rsidRPr="00E53DD1">
        <w:rPr>
          <w:rFonts w:ascii="Palatino Linotype" w:hAnsi="Palatino Linotype" w:cs="Arial"/>
          <w:lang w:val="en-GB"/>
        </w:rPr>
        <w:t xml:space="preserve">). Smythe &amp; Smith (2006) concur that transparency </w:t>
      </w:r>
      <w:r w:rsidR="005F4C1A" w:rsidRPr="00E53DD1">
        <w:rPr>
          <w:rFonts w:ascii="Palatino Linotype" w:hAnsi="Palatino Linotype" w:cs="Arial"/>
          <w:i/>
          <w:lang w:val="en-GB"/>
        </w:rPr>
        <w:t>is critical to</w:t>
      </w:r>
      <w:r w:rsidR="005F4C1A" w:rsidRPr="00E53DD1">
        <w:rPr>
          <w:rFonts w:ascii="Palatino Linotype" w:hAnsi="Palatino Linotype" w:cs="Arial"/>
          <w:lang w:val="en-GB"/>
        </w:rPr>
        <w:t xml:space="preserve"> accountability. This is in line with the observation that transparency is seen as a tool or a means, and not an end in itself. The European Commission itself has made explicit in its</w:t>
      </w:r>
      <w:r w:rsidR="00260E18" w:rsidRPr="00E53DD1">
        <w:rPr>
          <w:rFonts w:ascii="Palatino Linotype" w:hAnsi="Palatino Linotype" w:cs="Arial"/>
          <w:lang w:val="en-GB"/>
        </w:rPr>
        <w:t xml:space="preserve"> follow-up report on the</w:t>
      </w:r>
      <w:r w:rsidR="005F4C1A" w:rsidRPr="00E53DD1">
        <w:rPr>
          <w:rFonts w:ascii="Palatino Linotype" w:hAnsi="Palatino Linotype" w:cs="Arial"/>
          <w:lang w:val="en-GB"/>
        </w:rPr>
        <w:t xml:space="preserve"> regulation on access to documents (1049/2001</w:t>
      </w:r>
      <w:r w:rsidR="00260E18" w:rsidRPr="00E53DD1">
        <w:rPr>
          <w:rFonts w:ascii="Palatino Linotype" w:hAnsi="Palatino Linotype" w:cs="Arial"/>
          <w:lang w:val="en-GB"/>
        </w:rPr>
        <w:t xml:space="preserve"> that</w:t>
      </w:r>
      <w:r w:rsidR="005F4C1A" w:rsidRPr="00E53DD1">
        <w:rPr>
          <w:rFonts w:ascii="Palatino Linotype" w:hAnsi="Palatino Linotype" w:cs="Arial"/>
          <w:lang w:val="en-GB"/>
        </w:rPr>
        <w:t xml:space="preserve">): “Transparency is not an aim in itself, but </w:t>
      </w:r>
      <w:r w:rsidR="005F4C1A" w:rsidRPr="00E53DD1">
        <w:rPr>
          <w:rFonts w:ascii="Palatino Linotype" w:hAnsi="Palatino Linotype" w:cs="Arial"/>
          <w:i/>
          <w:lang w:val="en-GB"/>
        </w:rPr>
        <w:t>permits</w:t>
      </w:r>
      <w:r w:rsidR="005F4C1A" w:rsidRPr="00E53DD1">
        <w:rPr>
          <w:rFonts w:ascii="Palatino Linotype" w:hAnsi="Palatino Linotype" w:cs="Arial"/>
          <w:lang w:val="en-GB"/>
        </w:rPr>
        <w:t xml:space="preserve"> increased participation by the public in the decision-making process</w:t>
      </w:r>
      <w:r w:rsidR="00260E18" w:rsidRPr="00E53DD1">
        <w:rPr>
          <w:rFonts w:ascii="Palatino Linotype" w:hAnsi="Palatino Linotype" w:cs="Arial"/>
          <w:lang w:val="en-GB"/>
        </w:rPr>
        <w:t xml:space="preserve"> […]” (European Commission, 2004</w:t>
      </w:r>
      <w:r w:rsidR="005F4C1A" w:rsidRPr="00E53DD1">
        <w:rPr>
          <w:rFonts w:ascii="Palatino Linotype" w:hAnsi="Palatino Linotype" w:cs="Arial"/>
          <w:lang w:val="en-GB"/>
        </w:rPr>
        <w:t xml:space="preserve">). </w:t>
      </w:r>
      <w:r w:rsidR="00260E18" w:rsidRPr="00E53DD1">
        <w:rPr>
          <w:rFonts w:ascii="Palatino Linotype" w:hAnsi="Palatino Linotype" w:cs="Arial"/>
          <w:lang w:val="en-GB"/>
        </w:rPr>
        <w:t>Thirdly, they can be an “awkward couple” as well, meaning that there is inherent tension between them. O’</w:t>
      </w:r>
      <w:r w:rsidR="00B77737" w:rsidRPr="00E53DD1">
        <w:rPr>
          <w:rFonts w:ascii="Palatino Linotype" w:hAnsi="Palatino Linotype" w:cs="Arial"/>
          <w:lang w:val="en-GB"/>
        </w:rPr>
        <w:t xml:space="preserve">Neil (2006), for example shows that formal transparency requirements often lead to ‘box-ticking’ and one-way communication that replaces real accountability in real dialogues. For defenders of the “delegation model” of accountability (cfr. infra; Grant &amp; Keohane, 2005), limiting transparency is even a condition of effective accountability. Furthermore, full transparency can also involve considerable administrative costs (Bes, 2017), an increase in posturing effects (Tallberg, 2014) or the weakening of a bargaining position (Stasavage, 2004), which means </w:t>
      </w:r>
      <w:r w:rsidR="00F85B1E" w:rsidRPr="00E53DD1">
        <w:rPr>
          <w:rFonts w:ascii="Palatino Linotype" w:hAnsi="Palatino Linotype" w:cs="Arial"/>
          <w:lang w:val="en-GB"/>
        </w:rPr>
        <w:t xml:space="preserve">comprehensive </w:t>
      </w:r>
      <w:r w:rsidR="00B77737" w:rsidRPr="00E53DD1">
        <w:rPr>
          <w:rFonts w:ascii="Palatino Linotype" w:hAnsi="Palatino Linotype" w:cs="Arial"/>
          <w:lang w:val="en-GB"/>
        </w:rPr>
        <w:t xml:space="preserve">transparency is </w:t>
      </w:r>
      <w:r w:rsidR="00F85B1E" w:rsidRPr="00E53DD1">
        <w:rPr>
          <w:rFonts w:ascii="Palatino Linotype" w:hAnsi="Palatino Linotype" w:cs="Arial"/>
          <w:lang w:val="en-GB"/>
        </w:rPr>
        <w:t xml:space="preserve">often seen </w:t>
      </w:r>
      <w:r w:rsidR="00B77737" w:rsidRPr="00E53DD1">
        <w:rPr>
          <w:rFonts w:ascii="Palatino Linotype" w:hAnsi="Palatino Linotype" w:cs="Arial"/>
          <w:lang w:val="en-GB"/>
        </w:rPr>
        <w:t>at odds with different desiderata of good governance.</w:t>
      </w:r>
    </w:p>
    <w:p w14:paraId="23EC333C" w14:textId="43FDC0D4" w:rsidR="00B77737" w:rsidRPr="00E53DD1" w:rsidRDefault="00B77737" w:rsidP="005F4C1A">
      <w:pPr>
        <w:jc w:val="both"/>
        <w:rPr>
          <w:rFonts w:ascii="Palatino Linotype" w:hAnsi="Palatino Linotype" w:cs="Arial"/>
          <w:lang w:val="en-GB"/>
        </w:rPr>
      </w:pPr>
      <w:r w:rsidRPr="00E53DD1">
        <w:rPr>
          <w:rFonts w:ascii="Palatino Linotype" w:hAnsi="Palatino Linotype" w:cs="Arial"/>
          <w:lang w:val="en-GB"/>
        </w:rPr>
        <w:t xml:space="preserve">Several contributions argue, however, that underlying </w:t>
      </w:r>
      <w:r w:rsidR="00F85B1E" w:rsidRPr="00E53DD1">
        <w:rPr>
          <w:rFonts w:ascii="Palatino Linotype" w:hAnsi="Palatino Linotype" w:cs="Arial"/>
          <w:lang w:val="en-GB"/>
        </w:rPr>
        <w:t>these definitions and the link between concepts</w:t>
      </w:r>
      <w:r w:rsidRPr="00E53DD1">
        <w:rPr>
          <w:rFonts w:ascii="Palatino Linotype" w:hAnsi="Palatino Linotype" w:cs="Arial"/>
          <w:lang w:val="en-GB"/>
        </w:rPr>
        <w:t xml:space="preserve"> lie fundamentally different worldviews. </w:t>
      </w:r>
      <w:r w:rsidR="0084601D" w:rsidRPr="00E53DD1">
        <w:rPr>
          <w:rFonts w:ascii="Palatino Linotype" w:hAnsi="Palatino Linotype" w:cs="Arial"/>
          <w:lang w:val="en-GB"/>
        </w:rPr>
        <w:t xml:space="preserve">Hood (2010) argues for example that “we could hardly expect ideas as fundamental to human conduct as accountability and transparency to look the same across all varieties of political thought, ideology and religious doctrine” (p. 996). Grant &amp; Keohane (2005) as well claim that there are two different models of accountability, “grounded in alternative conceptions of the legitimacy of political authority” (p. 30). Therefore, rather than ‘pure’ definitions or descriptions of what these concepts entail, we should look at how differences at this fundamental level impact (or determine) the ideas about transparency, participation and accountability. </w:t>
      </w:r>
    </w:p>
    <w:p w14:paraId="2173D7B8" w14:textId="29A18C5D" w:rsidR="00001B54" w:rsidRPr="00E53DD1" w:rsidRDefault="00001B54" w:rsidP="005F4C1A">
      <w:pPr>
        <w:jc w:val="both"/>
        <w:rPr>
          <w:rFonts w:ascii="Palatino Linotype" w:hAnsi="Palatino Linotype" w:cs="Arial"/>
          <w:b/>
          <w:lang w:val="en-GB"/>
        </w:rPr>
      </w:pPr>
      <w:r w:rsidRPr="00E53DD1">
        <w:rPr>
          <w:rFonts w:ascii="Palatino Linotype" w:hAnsi="Palatino Linotype" w:cs="Arial"/>
          <w:b/>
          <w:lang w:val="en-GB"/>
        </w:rPr>
        <w:t>Delegation and participation models</w:t>
      </w:r>
    </w:p>
    <w:p w14:paraId="36745FFD" w14:textId="0E2E9515" w:rsidR="0085166F" w:rsidRPr="00E53DD1" w:rsidRDefault="0085166F" w:rsidP="0085166F">
      <w:pPr>
        <w:jc w:val="both"/>
        <w:rPr>
          <w:rFonts w:ascii="Palatino Linotype" w:hAnsi="Palatino Linotype" w:cs="Segoe UI"/>
          <w:lang w:val="en-GB"/>
        </w:rPr>
      </w:pPr>
      <w:r w:rsidRPr="00E53DD1">
        <w:rPr>
          <w:rFonts w:ascii="Palatino Linotype" w:hAnsi="Palatino Linotype" w:cs="Arial"/>
          <w:lang w:val="en-GB"/>
        </w:rPr>
        <w:t xml:space="preserve">In an influential article, Grant &amp; Keohane (2005) take further issue with the pervasive criticism that international organizations such as the WTO, or the European Commission are “unaccountable” for the decisions they take. The main question of accountability, they argue, is ‘who are those actors that have the right to hold someone to account?’ </w:t>
      </w:r>
      <w:r w:rsidRPr="00E53DD1">
        <w:rPr>
          <w:rFonts w:ascii="Palatino Linotype" w:hAnsi="Palatino Linotype" w:cs="Segoe UI"/>
          <w:lang w:val="en-GB"/>
        </w:rPr>
        <w:t xml:space="preserve">One way of looking at this involves relying on formal strings of delegation – the so-called “delegation model” of accountability. Organizations are accountable to those who have entrusted them that power (e.g. states), and hence power is legitimate “when it is authorized by the legitimizing consent of those who delegate it” (p. X). In the same vein, Smythe &amp; Smith (2006) argue that an organization’s legitimacy is derived from its sovereign member states, and it is the national </w:t>
      </w:r>
      <w:r w:rsidRPr="00E53DD1">
        <w:rPr>
          <w:rFonts w:ascii="Palatino Linotype" w:hAnsi="Palatino Linotype" w:cs="Segoe UI"/>
          <w:lang w:val="en-GB"/>
        </w:rPr>
        <w:lastRenderedPageBreak/>
        <w:t xml:space="preserve">political executive who in turn is accountable to its own citizens (p. 34). In this sense there is no requirement of participating closely with non-state actors, giving that these have not given the organization its mandate. We see this line of reasoning above all with policy officials themselves, often accompanied with a mistrust of NGOs who they claim are not always that accountable themselves (Grant &amp; Keohane, p. 29). </w:t>
      </w:r>
    </w:p>
    <w:p w14:paraId="2C1A0485" w14:textId="609BB6A9" w:rsidR="0085166F" w:rsidRPr="00E53DD1" w:rsidRDefault="0085166F" w:rsidP="0085166F">
      <w:pPr>
        <w:jc w:val="both"/>
        <w:rPr>
          <w:rFonts w:ascii="Palatino Linotype" w:hAnsi="Palatino Linotype" w:cs="Segoe UI"/>
          <w:lang w:val="en-GB"/>
        </w:rPr>
      </w:pPr>
      <w:r w:rsidRPr="00E53DD1">
        <w:rPr>
          <w:rFonts w:ascii="Palatino Linotype" w:hAnsi="Palatino Linotype" w:cs="Segoe UI"/>
          <w:lang w:val="en-GB"/>
        </w:rPr>
        <w:t xml:space="preserve">This approach very much relates to what Hood (2010) describes as a “hierarchist worldview” on accountability and transparency (p. 998). Accountability here is primarily seen as vertical (upwards), and concerned with compliance with rules and standards that have been laid down by a principal. Certainly there will need to be some transparency along these lines, but this by no means implies full transparency to the wider public. As </w:t>
      </w:r>
      <w:r w:rsidR="00F23C29" w:rsidRPr="00E53DD1">
        <w:rPr>
          <w:rFonts w:ascii="Palatino Linotype" w:hAnsi="Palatino Linotype" w:cs="Segoe UI"/>
          <w:lang w:val="en-GB"/>
        </w:rPr>
        <w:t>stated</w:t>
      </w:r>
      <w:r w:rsidRPr="00E53DD1">
        <w:rPr>
          <w:rFonts w:ascii="Palatino Linotype" w:hAnsi="Palatino Linotype" w:cs="Segoe UI"/>
          <w:lang w:val="en-GB"/>
        </w:rPr>
        <w:t xml:space="preserve"> above, full transparency may even </w:t>
      </w:r>
      <w:r w:rsidR="00A77D28" w:rsidRPr="00E53DD1">
        <w:rPr>
          <w:rFonts w:ascii="Palatino Linotype" w:hAnsi="Palatino Linotype" w:cs="Segoe UI"/>
          <w:lang w:val="en-GB"/>
        </w:rPr>
        <w:t xml:space="preserve">hamper effective accountability, given that it might “destroy the basis for delicate case-based judgements” (ibid. p. 999). Given that – along this reasoning –  transparency can go ‘too far’, it is unlikely that claims for full transparency will follow. Rather, transparency will be seen as an instrumental value (Heald, 2006), that in some situations can improve accountability, but this is </w:t>
      </w:r>
      <w:r w:rsidR="00F23C29" w:rsidRPr="00E53DD1">
        <w:rPr>
          <w:rFonts w:ascii="Palatino Linotype" w:hAnsi="Palatino Linotype" w:cs="Segoe UI"/>
          <w:lang w:val="en-GB"/>
        </w:rPr>
        <w:t>the exception rather than the</w:t>
      </w:r>
      <w:r w:rsidR="00A77D28" w:rsidRPr="00E53DD1">
        <w:rPr>
          <w:rFonts w:ascii="Palatino Linotype" w:hAnsi="Palatino Linotype" w:cs="Segoe UI"/>
          <w:lang w:val="en-GB"/>
        </w:rPr>
        <w:t xml:space="preserve"> rule. </w:t>
      </w:r>
    </w:p>
    <w:p w14:paraId="29933F55" w14:textId="142F6401" w:rsidR="0085166F" w:rsidRPr="00E53DD1" w:rsidRDefault="0085166F" w:rsidP="0085166F">
      <w:pPr>
        <w:jc w:val="both"/>
        <w:rPr>
          <w:rFonts w:ascii="Palatino Linotype" w:hAnsi="Palatino Linotype" w:cs="Segoe UI"/>
          <w:lang w:val="en-GB"/>
        </w:rPr>
      </w:pPr>
      <w:r w:rsidRPr="00E53DD1">
        <w:rPr>
          <w:rFonts w:ascii="Palatino Linotype" w:hAnsi="Palatino Linotype" w:cs="Segoe UI"/>
          <w:lang w:val="en-GB"/>
        </w:rPr>
        <w:t xml:space="preserve">A second </w:t>
      </w:r>
      <w:r w:rsidR="00A77D28" w:rsidRPr="00E53DD1">
        <w:rPr>
          <w:rFonts w:ascii="Palatino Linotype" w:hAnsi="Palatino Linotype" w:cs="Segoe UI"/>
          <w:lang w:val="en-GB"/>
        </w:rPr>
        <w:t>model of accountability</w:t>
      </w:r>
      <w:r w:rsidR="00C46EBE" w:rsidRPr="00E53DD1">
        <w:rPr>
          <w:rFonts w:ascii="Palatino Linotype" w:hAnsi="Palatino Linotype" w:cs="Segoe UI"/>
          <w:lang w:val="en-GB"/>
        </w:rPr>
        <w:t xml:space="preserve"> stresses that the people who are governed by an institution should be able to influence its direction</w:t>
      </w:r>
      <w:r w:rsidRPr="00E53DD1">
        <w:rPr>
          <w:rFonts w:ascii="Palatino Linotype" w:hAnsi="Palatino Linotype" w:cs="Segoe UI"/>
          <w:lang w:val="en-GB"/>
        </w:rPr>
        <w:t xml:space="preserve"> </w:t>
      </w:r>
      <w:r w:rsidR="00A77D28" w:rsidRPr="00E53DD1">
        <w:rPr>
          <w:rFonts w:ascii="Palatino Linotype" w:hAnsi="Palatino Linotype" w:cs="Segoe UI"/>
          <w:lang w:val="en-GB"/>
        </w:rPr>
        <w:t>(Grant &amp; Keohane, 2005; Steffek &amp; Nanz, 2008)</w:t>
      </w:r>
      <w:r w:rsidRPr="00E53DD1">
        <w:rPr>
          <w:rFonts w:ascii="Palatino Linotype" w:hAnsi="Palatino Linotype" w:cs="Segoe UI"/>
          <w:lang w:val="en-GB"/>
        </w:rPr>
        <w:t xml:space="preserve">. If rulings by the </w:t>
      </w:r>
      <w:r w:rsidR="00A77D28" w:rsidRPr="00E53DD1">
        <w:rPr>
          <w:rFonts w:ascii="Palatino Linotype" w:hAnsi="Palatino Linotype" w:cs="Segoe UI"/>
          <w:lang w:val="en-GB"/>
        </w:rPr>
        <w:t xml:space="preserve">WTO impact people’s daily lives – it is argued – </w:t>
      </w:r>
      <w:r w:rsidRPr="00E53DD1">
        <w:rPr>
          <w:rFonts w:ascii="Palatino Linotype" w:hAnsi="Palatino Linotype" w:cs="Segoe UI"/>
          <w:lang w:val="en-GB"/>
        </w:rPr>
        <w:t xml:space="preserve"> they should be able to </w:t>
      </w:r>
      <w:r w:rsidR="00C46EBE" w:rsidRPr="00E53DD1">
        <w:rPr>
          <w:rFonts w:ascii="Palatino Linotype" w:hAnsi="Palatino Linotype" w:cs="Segoe UI"/>
          <w:lang w:val="en-GB"/>
        </w:rPr>
        <w:t>have a say in</w:t>
      </w:r>
      <w:r w:rsidR="00A77D28" w:rsidRPr="00E53DD1">
        <w:rPr>
          <w:rFonts w:ascii="Palatino Linotype" w:hAnsi="Palatino Linotype" w:cs="Segoe UI"/>
          <w:lang w:val="en-GB"/>
        </w:rPr>
        <w:t xml:space="preserve"> the decision-making process</w:t>
      </w:r>
      <w:r w:rsidRPr="00E53DD1">
        <w:rPr>
          <w:rFonts w:ascii="Palatino Linotype" w:hAnsi="Palatino Linotype" w:cs="Segoe UI"/>
          <w:lang w:val="en-GB"/>
        </w:rPr>
        <w:t>. NGOs</w:t>
      </w:r>
      <w:r w:rsidR="00561F17" w:rsidRPr="00E53DD1">
        <w:rPr>
          <w:rFonts w:ascii="Palatino Linotype" w:hAnsi="Palatino Linotype" w:cs="Segoe UI"/>
          <w:lang w:val="en-GB"/>
        </w:rPr>
        <w:t xml:space="preserve"> (who claim to represent the wider public</w:t>
      </w:r>
      <w:r w:rsidR="00561F17" w:rsidRPr="00E53DD1">
        <w:rPr>
          <w:rStyle w:val="FootnoteReference"/>
          <w:rFonts w:ascii="Palatino Linotype" w:hAnsi="Palatino Linotype" w:cs="Segoe UI"/>
          <w:lang w:val="en-GB"/>
        </w:rPr>
        <w:footnoteReference w:id="6"/>
      </w:r>
      <w:r w:rsidR="00561F17" w:rsidRPr="00E53DD1">
        <w:rPr>
          <w:rFonts w:ascii="Palatino Linotype" w:hAnsi="Palatino Linotype" w:cs="Segoe UI"/>
          <w:lang w:val="en-GB"/>
        </w:rPr>
        <w:t>)</w:t>
      </w:r>
      <w:r w:rsidRPr="00E53DD1">
        <w:rPr>
          <w:rFonts w:ascii="Palatino Linotype" w:hAnsi="Palatino Linotype" w:cs="Segoe UI"/>
          <w:lang w:val="en-GB"/>
        </w:rPr>
        <w:t xml:space="preserve"> in this respect make normative claims for holding power-wielders to account to those groups that bear the burden of their policies, or even to principles such as sustainable development or human rights (Keohane, 2005). Accountability in this sense is labelled the “participation model”</w:t>
      </w:r>
      <w:r w:rsidR="00A77D28" w:rsidRPr="00E53DD1">
        <w:rPr>
          <w:rFonts w:ascii="Palatino Linotype" w:hAnsi="Palatino Linotype" w:cs="Segoe UI"/>
          <w:lang w:val="en-GB"/>
        </w:rPr>
        <w:t>, given that it relies on full participation of the affected in order to ensure accountability, and hence legitimacy</w:t>
      </w:r>
      <w:r w:rsidR="00A77D28" w:rsidRPr="00E53DD1">
        <w:rPr>
          <w:rStyle w:val="FootnoteReference"/>
          <w:rFonts w:ascii="Palatino Linotype" w:hAnsi="Palatino Linotype" w:cs="Segoe UI"/>
          <w:lang w:val="en-GB"/>
        </w:rPr>
        <w:footnoteReference w:id="7"/>
      </w:r>
      <w:r w:rsidR="00A77D28" w:rsidRPr="00E53DD1">
        <w:rPr>
          <w:rFonts w:ascii="Palatino Linotype" w:hAnsi="Palatino Linotype" w:cs="Segoe UI"/>
          <w:lang w:val="en-GB"/>
        </w:rPr>
        <w:t>.</w:t>
      </w:r>
      <w:r w:rsidRPr="00E53DD1">
        <w:rPr>
          <w:rFonts w:ascii="Palatino Linotype" w:hAnsi="Palatino Linotype" w:cs="Segoe UI"/>
          <w:lang w:val="en-GB"/>
        </w:rPr>
        <w:t xml:space="preserve"> </w:t>
      </w:r>
    </w:p>
    <w:p w14:paraId="291E5BA8" w14:textId="25B2BC6D" w:rsidR="00A77D28" w:rsidRPr="00E53DD1" w:rsidRDefault="00A77D28" w:rsidP="0085166F">
      <w:pPr>
        <w:jc w:val="both"/>
        <w:rPr>
          <w:rFonts w:ascii="Palatino Linotype" w:hAnsi="Palatino Linotype" w:cs="Segoe UI"/>
          <w:lang w:val="en-GB"/>
        </w:rPr>
      </w:pPr>
      <w:r w:rsidRPr="00E53DD1">
        <w:rPr>
          <w:rFonts w:ascii="Palatino Linotype" w:hAnsi="Palatino Linotype" w:cs="Segoe UI"/>
          <w:lang w:val="en-GB"/>
        </w:rPr>
        <w:t xml:space="preserve">This model resembles </w:t>
      </w:r>
      <w:r w:rsidR="00F23C29" w:rsidRPr="00E53DD1">
        <w:rPr>
          <w:rFonts w:ascii="Palatino Linotype" w:hAnsi="Palatino Linotype" w:cs="Segoe UI"/>
          <w:lang w:val="en-GB"/>
        </w:rPr>
        <w:t>an</w:t>
      </w:r>
      <w:r w:rsidRPr="00E53DD1">
        <w:rPr>
          <w:rFonts w:ascii="Palatino Linotype" w:hAnsi="Palatino Linotype" w:cs="Segoe UI"/>
          <w:lang w:val="en-GB"/>
        </w:rPr>
        <w:t xml:space="preserve"> </w:t>
      </w:r>
      <w:r w:rsidR="00C46EBE" w:rsidRPr="00E53DD1">
        <w:rPr>
          <w:rFonts w:ascii="Palatino Linotype" w:hAnsi="Palatino Linotype" w:cs="Segoe UI"/>
          <w:lang w:val="en-GB"/>
        </w:rPr>
        <w:t>“</w:t>
      </w:r>
      <w:r w:rsidRPr="00E53DD1">
        <w:rPr>
          <w:rFonts w:ascii="Palatino Linotype" w:hAnsi="Palatino Linotype" w:cs="Segoe UI"/>
          <w:lang w:val="en-GB"/>
        </w:rPr>
        <w:t>egalitarian perspective</w:t>
      </w:r>
      <w:r w:rsidR="00C46EBE" w:rsidRPr="00E53DD1">
        <w:rPr>
          <w:rFonts w:ascii="Palatino Linotype" w:hAnsi="Palatino Linotype" w:cs="Segoe UI"/>
          <w:lang w:val="en-GB"/>
        </w:rPr>
        <w:t>”</w:t>
      </w:r>
      <w:r w:rsidRPr="00E53DD1">
        <w:rPr>
          <w:rFonts w:ascii="Palatino Linotype" w:hAnsi="Palatino Linotype" w:cs="Segoe UI"/>
          <w:lang w:val="en-GB"/>
        </w:rPr>
        <w:t xml:space="preserve"> (Hood, 2010). Accountability here</w:t>
      </w:r>
      <w:r w:rsidR="00C46EBE" w:rsidRPr="00E53DD1">
        <w:rPr>
          <w:rFonts w:ascii="Palatino Linotype" w:hAnsi="Palatino Linotype" w:cs="Segoe UI"/>
          <w:lang w:val="en-GB"/>
        </w:rPr>
        <w:t xml:space="preserve"> is </w:t>
      </w:r>
      <w:r w:rsidRPr="00E53DD1">
        <w:rPr>
          <w:rFonts w:ascii="Palatino Linotype" w:hAnsi="Palatino Linotype" w:cs="Segoe UI"/>
          <w:lang w:val="en-GB"/>
        </w:rPr>
        <w:t xml:space="preserve">a downward process, directed towards the people or the community at large. </w:t>
      </w:r>
      <w:r w:rsidR="00561F17" w:rsidRPr="00E53DD1">
        <w:rPr>
          <w:rFonts w:ascii="Palatino Linotype" w:hAnsi="Palatino Linotype" w:cs="Segoe UI"/>
          <w:lang w:val="en-GB"/>
        </w:rPr>
        <w:t>Such an encompassing</w:t>
      </w:r>
      <w:r w:rsidR="00C46EBE" w:rsidRPr="00E53DD1">
        <w:rPr>
          <w:rFonts w:ascii="Palatino Linotype" w:hAnsi="Palatino Linotype" w:cs="Segoe UI"/>
          <w:lang w:val="en-GB"/>
        </w:rPr>
        <w:t xml:space="preserve"> presumption is not compatible with strong rules about who should be allowed to get access to what information.</w:t>
      </w:r>
      <w:r w:rsidR="00561F17" w:rsidRPr="00E53DD1">
        <w:rPr>
          <w:rFonts w:ascii="Palatino Linotype" w:hAnsi="Palatino Linotype" w:cs="Segoe UI"/>
          <w:lang w:val="en-GB"/>
        </w:rPr>
        <w:t xml:space="preserve"> Grant &amp; Keohane (2005) concur that transparency is particularly essential for “external accountability mechanisms”, i.e. mechanisms that are built upon the participation model.</w:t>
      </w:r>
      <w:r w:rsidR="00C46EBE" w:rsidRPr="00E53DD1">
        <w:rPr>
          <w:rFonts w:ascii="Palatino Linotype" w:hAnsi="Palatino Linotype" w:cs="Segoe UI"/>
          <w:lang w:val="en-GB"/>
        </w:rPr>
        <w:t xml:space="preserve"> The ideal is a fully transparent society, hence the presumption or rule will be towards general openness and disclosure. Rather than an instrumental value, transparency here is seen more as a human right (Birkinshaw, 2006).</w:t>
      </w:r>
      <w:r w:rsidRPr="00E53DD1">
        <w:rPr>
          <w:rFonts w:ascii="Palatino Linotype" w:hAnsi="Palatino Linotype" w:cs="Segoe UI"/>
          <w:lang w:val="en-GB"/>
        </w:rPr>
        <w:t xml:space="preserve"> </w:t>
      </w:r>
    </w:p>
    <w:p w14:paraId="3556A637" w14:textId="62019DA1" w:rsidR="00C46EBE" w:rsidRPr="00E53DD1" w:rsidRDefault="0085166F" w:rsidP="0085166F">
      <w:pPr>
        <w:jc w:val="both"/>
        <w:rPr>
          <w:rFonts w:ascii="Palatino Linotype" w:hAnsi="Palatino Linotype" w:cs="Segoe UI"/>
          <w:lang w:val="en-GB"/>
        </w:rPr>
      </w:pPr>
      <w:r w:rsidRPr="00E53DD1">
        <w:rPr>
          <w:rFonts w:ascii="Palatino Linotype" w:hAnsi="Palatino Linotype" w:cs="Segoe UI"/>
          <w:lang w:val="en-GB"/>
        </w:rPr>
        <w:t xml:space="preserve">Grant &amp; Keohane (2005) argue that making </w:t>
      </w:r>
      <w:r w:rsidR="00561F17" w:rsidRPr="00E53DD1">
        <w:rPr>
          <w:rFonts w:ascii="Palatino Linotype" w:hAnsi="Palatino Linotype" w:cs="Segoe UI"/>
          <w:lang w:val="en-GB"/>
        </w:rPr>
        <w:t>these distinctions</w:t>
      </w:r>
      <w:r w:rsidRPr="00E53DD1">
        <w:rPr>
          <w:rFonts w:ascii="Palatino Linotype" w:hAnsi="Palatino Linotype" w:cs="Segoe UI"/>
          <w:lang w:val="en-GB"/>
        </w:rPr>
        <w:t xml:space="preserve"> explicit </w:t>
      </w:r>
      <w:r w:rsidR="00561F17" w:rsidRPr="00E53DD1">
        <w:rPr>
          <w:rFonts w:ascii="Palatino Linotype" w:hAnsi="Palatino Linotype" w:cs="Segoe UI"/>
          <w:lang w:val="en-GB"/>
        </w:rPr>
        <w:t>can explain</w:t>
      </w:r>
      <w:r w:rsidRPr="00E53DD1">
        <w:rPr>
          <w:rFonts w:ascii="Palatino Linotype" w:hAnsi="Palatino Linotype" w:cs="Segoe UI"/>
          <w:lang w:val="en-GB"/>
        </w:rPr>
        <w:t xml:space="preserve"> why it seems that actors are “talking past each other”: since there is no unified vision of what accountability </w:t>
      </w:r>
      <w:r w:rsidR="00C46EBE" w:rsidRPr="00E53DD1">
        <w:rPr>
          <w:rFonts w:ascii="Palatino Linotype" w:hAnsi="Palatino Linotype" w:cs="Segoe UI"/>
          <w:lang w:val="en-GB"/>
        </w:rPr>
        <w:t xml:space="preserve">(and hence participation and transparency) </w:t>
      </w:r>
      <w:r w:rsidRPr="00E53DD1">
        <w:rPr>
          <w:rFonts w:ascii="Palatino Linotype" w:hAnsi="Palatino Linotype" w:cs="Segoe UI"/>
          <w:lang w:val="en-GB"/>
        </w:rPr>
        <w:t>entails, different parties to the debate will have dif</w:t>
      </w:r>
      <w:r w:rsidR="00C46EBE" w:rsidRPr="00E53DD1">
        <w:rPr>
          <w:rFonts w:ascii="Palatino Linotype" w:hAnsi="Palatino Linotype" w:cs="Segoe UI"/>
          <w:lang w:val="en-GB"/>
        </w:rPr>
        <w:t xml:space="preserve">ferent demands. </w:t>
      </w:r>
      <w:r w:rsidR="00561F17" w:rsidRPr="00E53DD1">
        <w:rPr>
          <w:rFonts w:ascii="Palatino Linotype" w:hAnsi="Palatino Linotype" w:cs="Segoe UI"/>
          <w:lang w:val="en-GB"/>
        </w:rPr>
        <w:t xml:space="preserve">Seem from this point of view, the measures the WTO and the EU have taken to increase legitimacy in the light of opposition towards the acclaimed ‘secrecy’ might be evaluated on a different footing. Some evidence for this can be found in the literature. </w:t>
      </w:r>
      <w:r w:rsidR="00561F17" w:rsidRPr="00E53DD1">
        <w:rPr>
          <w:rFonts w:ascii="Palatino Linotype" w:hAnsi="Palatino Linotype" w:cs="Segoe UI"/>
          <w:lang w:val="en-GB"/>
        </w:rPr>
        <w:lastRenderedPageBreak/>
        <w:t>Woods &amp; Narlikar (2001) analysed the measures by the WTO and concluded that to members or stakeholders in the organization “formal publication of documents cannot substitute for the participation in delivering transparency […] Transparency for members requires either presence at all levels of negotiations, or deep and detailed briefings (as opposed to formal minutes)”. This points not to information deficits, but to a lack of meaningful participatory options (see also Charnovitz, 2004; Cho, 2005). Likewise, the main consultative or participatory mechanisms installed by the EU in the trade domain – the Civil Society Dialogues – have been evaluated predominantly negatively as one-way policy briefings (Hocking, 2004), giving them access but no influence (Dür &amp; De Bièvre, 2007) and dominated by an insider-outsider logic that favours organizations that adapt their lobbying style and content to reigning norms and values (Jarman, 2008). Hence, in these occasions, the ‘secrecy’ and ‘behind closed doors’ criticism</w:t>
      </w:r>
      <w:r w:rsidR="00F23C29" w:rsidRPr="00E53DD1">
        <w:rPr>
          <w:rFonts w:ascii="Palatino Linotype" w:hAnsi="Palatino Linotype" w:cs="Segoe UI"/>
          <w:lang w:val="en-GB"/>
        </w:rPr>
        <w:t xml:space="preserve"> does not appear confined to making some documents public, but</w:t>
      </w:r>
      <w:r w:rsidR="00561F17" w:rsidRPr="00E53DD1">
        <w:rPr>
          <w:rFonts w:ascii="Palatino Linotype" w:hAnsi="Palatino Linotype" w:cs="Segoe UI"/>
          <w:lang w:val="en-GB"/>
        </w:rPr>
        <w:t xml:space="preserve"> is rooted in a fundamentally different understanding of accountability</w:t>
      </w:r>
      <w:r w:rsidR="00DE04C1" w:rsidRPr="00E53DD1">
        <w:rPr>
          <w:rFonts w:ascii="Palatino Linotype" w:hAnsi="Palatino Linotype" w:cs="Segoe UI"/>
          <w:lang w:val="en-GB"/>
        </w:rPr>
        <w:t>, participation and transparency</w:t>
      </w:r>
      <w:r w:rsidR="00561F17" w:rsidRPr="00E53DD1">
        <w:rPr>
          <w:rFonts w:ascii="Palatino Linotype" w:hAnsi="Palatino Linotype" w:cs="Segoe UI"/>
          <w:lang w:val="en-GB"/>
        </w:rPr>
        <w:t xml:space="preserve"> in world politics. </w:t>
      </w:r>
    </w:p>
    <w:p w14:paraId="0B79CD1E" w14:textId="0A00341F" w:rsidR="00DA7CB4" w:rsidRPr="00E53DD1" w:rsidRDefault="00080796" w:rsidP="00C5355B">
      <w:pPr>
        <w:pStyle w:val="Heading1"/>
        <w:jc w:val="both"/>
        <w:rPr>
          <w:rFonts w:ascii="Palatino Linotype" w:hAnsi="Palatino Linotype"/>
          <w:color w:val="auto"/>
          <w:lang w:val="en-US"/>
        </w:rPr>
      </w:pPr>
      <w:r w:rsidRPr="00E53DD1">
        <w:rPr>
          <w:rFonts w:ascii="Palatino Linotype" w:hAnsi="Palatino Linotype"/>
          <w:color w:val="auto"/>
          <w:lang w:val="en-US"/>
        </w:rPr>
        <w:t xml:space="preserve">III – </w:t>
      </w:r>
      <w:r w:rsidR="00FC1B89" w:rsidRPr="00E53DD1">
        <w:rPr>
          <w:rFonts w:ascii="Palatino Linotype" w:hAnsi="Palatino Linotype"/>
          <w:color w:val="auto"/>
          <w:lang w:val="en-US"/>
        </w:rPr>
        <w:t>Research question, d</w:t>
      </w:r>
      <w:r w:rsidR="00DA7CB4" w:rsidRPr="00E53DD1">
        <w:rPr>
          <w:rFonts w:ascii="Palatino Linotype" w:hAnsi="Palatino Linotype"/>
          <w:color w:val="auto"/>
          <w:lang w:val="en-US"/>
        </w:rPr>
        <w:t>ata and methodology</w:t>
      </w:r>
    </w:p>
    <w:p w14:paraId="6F3CADCC" w14:textId="77777777" w:rsidR="00957FA7" w:rsidRPr="00E53DD1" w:rsidRDefault="00957FA7" w:rsidP="00C5355B">
      <w:pPr>
        <w:jc w:val="both"/>
        <w:rPr>
          <w:rFonts w:ascii="Palatino Linotype" w:hAnsi="Palatino Linotype"/>
          <w:lang w:val="en-US"/>
        </w:rPr>
      </w:pPr>
    </w:p>
    <w:p w14:paraId="05E45570" w14:textId="48B92858" w:rsidR="00957FA7" w:rsidRPr="00E53DD1" w:rsidRDefault="00957FA7" w:rsidP="00C5355B">
      <w:pPr>
        <w:jc w:val="both"/>
        <w:rPr>
          <w:rFonts w:ascii="Palatino Linotype" w:hAnsi="Palatino Linotype"/>
          <w:lang w:val="en-US"/>
        </w:rPr>
      </w:pPr>
      <w:r w:rsidRPr="00E53DD1">
        <w:rPr>
          <w:rFonts w:ascii="Palatino Linotype" w:hAnsi="Palatino Linotype"/>
          <w:lang w:val="en-US"/>
        </w:rPr>
        <w:t xml:space="preserve">The main </w:t>
      </w:r>
      <w:r w:rsidR="00937A3F" w:rsidRPr="00E53DD1">
        <w:rPr>
          <w:rFonts w:ascii="Palatino Linotype" w:hAnsi="Palatino Linotype"/>
          <w:lang w:val="en-US"/>
        </w:rPr>
        <w:t xml:space="preserve">empirical </w:t>
      </w:r>
      <w:r w:rsidRPr="00E53DD1">
        <w:rPr>
          <w:rFonts w:ascii="Palatino Linotype" w:hAnsi="Palatino Linotype"/>
          <w:lang w:val="en-US"/>
        </w:rPr>
        <w:t xml:space="preserve">puzzle at the outset of this paper </w:t>
      </w:r>
      <w:r w:rsidR="006800EA" w:rsidRPr="00E53DD1">
        <w:rPr>
          <w:rFonts w:ascii="Palatino Linotype" w:hAnsi="Palatino Linotype"/>
          <w:lang w:val="en-US"/>
        </w:rPr>
        <w:t xml:space="preserve">is </w:t>
      </w:r>
      <w:r w:rsidRPr="00E53DD1">
        <w:rPr>
          <w:rFonts w:ascii="Palatino Linotype" w:hAnsi="Palatino Linotype"/>
          <w:lang w:val="en-US"/>
        </w:rPr>
        <w:t xml:space="preserve">that a large part of civil society is </w:t>
      </w:r>
      <w:r w:rsidR="00937A3F" w:rsidRPr="00E53DD1">
        <w:rPr>
          <w:rFonts w:ascii="Palatino Linotype" w:hAnsi="Palatino Linotype"/>
          <w:lang w:val="en-US"/>
        </w:rPr>
        <w:t>still criticizing</w:t>
      </w:r>
      <w:r w:rsidRPr="00E53DD1">
        <w:rPr>
          <w:rFonts w:ascii="Palatino Linotype" w:hAnsi="Palatino Linotype"/>
          <w:lang w:val="en-US"/>
        </w:rPr>
        <w:t xml:space="preserve"> the ‘secrecy’ of trade negotiations, while the Commission is wondering </w:t>
      </w:r>
      <w:r w:rsidR="00937A3F" w:rsidRPr="00E53DD1">
        <w:rPr>
          <w:rFonts w:ascii="Palatino Linotype" w:hAnsi="Palatino Linotype"/>
          <w:lang w:val="en-US"/>
        </w:rPr>
        <w:t>why</w:t>
      </w:r>
      <w:r w:rsidRPr="00E53DD1">
        <w:rPr>
          <w:rFonts w:ascii="Palatino Linotype" w:hAnsi="Palatino Linotype"/>
          <w:lang w:val="en-US"/>
        </w:rPr>
        <w:t xml:space="preserve">, especially after </w:t>
      </w:r>
      <w:r w:rsidR="00B0730E" w:rsidRPr="00E53DD1">
        <w:rPr>
          <w:rFonts w:ascii="Palatino Linotype" w:hAnsi="Palatino Linotype"/>
          <w:lang w:val="en-US"/>
        </w:rPr>
        <w:t xml:space="preserve">it </w:t>
      </w:r>
      <w:r w:rsidRPr="00E53DD1">
        <w:rPr>
          <w:rFonts w:ascii="Palatino Linotype" w:hAnsi="Palatino Linotype"/>
          <w:lang w:val="en-US"/>
        </w:rPr>
        <w:t>made TTIP</w:t>
      </w:r>
      <w:r w:rsidR="00937A3F" w:rsidRPr="00E53DD1">
        <w:rPr>
          <w:rFonts w:ascii="Palatino Linotype" w:hAnsi="Palatino Linotype"/>
          <w:lang w:val="en-US"/>
        </w:rPr>
        <w:t xml:space="preserve"> – in their opinion –</w:t>
      </w:r>
      <w:r w:rsidRPr="00E53DD1">
        <w:rPr>
          <w:rFonts w:ascii="Palatino Linotype" w:hAnsi="Palatino Linotype"/>
          <w:lang w:val="en-US"/>
        </w:rPr>
        <w:t xml:space="preserve"> ‘the most transparent negotiations ever’</w:t>
      </w:r>
      <w:r w:rsidR="003E4186" w:rsidRPr="00E53DD1">
        <w:rPr>
          <w:rFonts w:ascii="Palatino Linotype" w:hAnsi="Palatino Linotype"/>
          <w:lang w:val="en-US"/>
        </w:rPr>
        <w:t xml:space="preserve"> (e.g. Malmström 2015)</w:t>
      </w:r>
      <w:r w:rsidRPr="00E53DD1">
        <w:rPr>
          <w:rFonts w:ascii="Palatino Linotype" w:hAnsi="Palatino Linotype"/>
          <w:lang w:val="en-US"/>
        </w:rPr>
        <w:t>. Based on our litera</w:t>
      </w:r>
      <w:r w:rsidR="00937A3F" w:rsidRPr="00E53DD1">
        <w:rPr>
          <w:rFonts w:ascii="Palatino Linotype" w:hAnsi="Palatino Linotype"/>
          <w:lang w:val="en-US"/>
        </w:rPr>
        <w:t xml:space="preserve">ture review, we </w:t>
      </w:r>
      <w:r w:rsidR="00B0730E" w:rsidRPr="00E53DD1">
        <w:rPr>
          <w:rFonts w:ascii="Palatino Linotype" w:hAnsi="Palatino Linotype"/>
          <w:lang w:val="en-US"/>
        </w:rPr>
        <w:t>hypothesize</w:t>
      </w:r>
      <w:r w:rsidR="00937A3F" w:rsidRPr="00E53DD1">
        <w:rPr>
          <w:rFonts w:ascii="Palatino Linotype" w:hAnsi="Palatino Linotype"/>
          <w:lang w:val="en-US"/>
        </w:rPr>
        <w:t xml:space="preserve"> that an important reason might lie with </w:t>
      </w:r>
      <w:r w:rsidRPr="00E53DD1">
        <w:rPr>
          <w:rFonts w:ascii="Palatino Linotype" w:hAnsi="Palatino Linotype"/>
          <w:lang w:val="en-US"/>
        </w:rPr>
        <w:t xml:space="preserve">a </w:t>
      </w:r>
      <w:r w:rsidR="00520137" w:rsidRPr="00E53DD1">
        <w:rPr>
          <w:rFonts w:ascii="Palatino Linotype" w:hAnsi="Palatino Linotype"/>
          <w:lang w:val="en-US"/>
        </w:rPr>
        <w:t>fundamentally different</w:t>
      </w:r>
      <w:r w:rsidRPr="00E53DD1">
        <w:rPr>
          <w:rFonts w:ascii="Palatino Linotype" w:hAnsi="Palatino Linotype"/>
          <w:lang w:val="en-US"/>
        </w:rPr>
        <w:t xml:space="preserve"> </w:t>
      </w:r>
      <w:r w:rsidR="00937A3F" w:rsidRPr="00E53DD1">
        <w:rPr>
          <w:rFonts w:ascii="Palatino Linotype" w:hAnsi="Palatino Linotype"/>
          <w:lang w:val="en-US"/>
        </w:rPr>
        <w:t>understanding</w:t>
      </w:r>
      <w:r w:rsidRPr="00E53DD1">
        <w:rPr>
          <w:rFonts w:ascii="Palatino Linotype" w:hAnsi="Palatino Linotype"/>
          <w:lang w:val="en-US"/>
        </w:rPr>
        <w:t xml:space="preserve"> of what transparency is and how it is connected to the wider issue of </w:t>
      </w:r>
      <w:r w:rsidR="00520137" w:rsidRPr="00E53DD1">
        <w:rPr>
          <w:rFonts w:ascii="Palatino Linotype" w:hAnsi="Palatino Linotype"/>
          <w:lang w:val="en-US"/>
        </w:rPr>
        <w:t>accountability in world politics</w:t>
      </w:r>
      <w:r w:rsidRPr="00E53DD1">
        <w:rPr>
          <w:rFonts w:ascii="Palatino Linotype" w:hAnsi="Palatino Linotype"/>
          <w:lang w:val="en-US"/>
        </w:rPr>
        <w:t xml:space="preserve">. </w:t>
      </w:r>
      <w:r w:rsidR="00676613" w:rsidRPr="00E53DD1">
        <w:rPr>
          <w:rFonts w:ascii="Palatino Linotype" w:hAnsi="Palatino Linotype"/>
          <w:lang w:val="en-US"/>
        </w:rPr>
        <w:t>Two hypotheses to explain the ‘transparency expectations gap’ follow from the literature review</w:t>
      </w:r>
      <w:r w:rsidRPr="00E53DD1">
        <w:rPr>
          <w:rFonts w:ascii="Palatino Linotype" w:hAnsi="Palatino Linotype"/>
          <w:lang w:val="en-US"/>
        </w:rPr>
        <w:t>.</w:t>
      </w:r>
    </w:p>
    <w:p w14:paraId="4165D041" w14:textId="6769EDC4" w:rsidR="00957FA7" w:rsidRPr="00E53DD1" w:rsidRDefault="00957FA7" w:rsidP="009D1F47">
      <w:pPr>
        <w:ind w:firstLine="708"/>
        <w:jc w:val="both"/>
        <w:rPr>
          <w:rFonts w:ascii="Palatino Linotype" w:hAnsi="Palatino Linotype"/>
          <w:lang w:val="en-US"/>
        </w:rPr>
      </w:pPr>
      <w:r w:rsidRPr="00E53DD1">
        <w:rPr>
          <w:rFonts w:ascii="Palatino Linotype" w:hAnsi="Palatino Linotype"/>
          <w:i/>
          <w:lang w:val="en-US"/>
        </w:rPr>
        <w:t>H1:</w:t>
      </w:r>
      <w:r w:rsidRPr="00E53DD1">
        <w:rPr>
          <w:rFonts w:ascii="Palatino Linotype" w:hAnsi="Palatino Linotype"/>
          <w:lang w:val="en-US"/>
        </w:rPr>
        <w:t xml:space="preserve"> </w:t>
      </w:r>
      <w:r w:rsidRPr="00E53DD1">
        <w:rPr>
          <w:rFonts w:ascii="Palatino Linotype" w:hAnsi="Palatino Linotype"/>
          <w:i/>
          <w:lang w:val="en-US"/>
        </w:rPr>
        <w:t xml:space="preserve">Claims for more transparency have not withered away because the Commission has not provided the </w:t>
      </w:r>
      <w:r w:rsidR="00F23C29" w:rsidRPr="00E53DD1">
        <w:rPr>
          <w:rFonts w:ascii="Palatino Linotype" w:hAnsi="Palatino Linotype"/>
          <w:i/>
          <w:lang w:val="en-US"/>
        </w:rPr>
        <w:t>extent</w:t>
      </w:r>
      <w:r w:rsidRPr="00E53DD1">
        <w:rPr>
          <w:rFonts w:ascii="Palatino Linotype" w:hAnsi="Palatino Linotype"/>
          <w:i/>
          <w:lang w:val="en-US"/>
        </w:rPr>
        <w:t xml:space="preserve"> (and quality) of documents </w:t>
      </w:r>
      <w:r w:rsidR="00F23C29" w:rsidRPr="00E53DD1">
        <w:rPr>
          <w:rFonts w:ascii="Palatino Linotype" w:hAnsi="Palatino Linotype"/>
          <w:i/>
          <w:lang w:val="en-US"/>
        </w:rPr>
        <w:t>demanded</w:t>
      </w:r>
    </w:p>
    <w:p w14:paraId="55805F4E" w14:textId="3DFE13E4" w:rsidR="00957FA7" w:rsidRPr="00E53DD1" w:rsidRDefault="00957FA7" w:rsidP="009D1F47">
      <w:pPr>
        <w:ind w:firstLine="708"/>
        <w:jc w:val="both"/>
        <w:rPr>
          <w:rFonts w:ascii="Palatino Linotype" w:hAnsi="Palatino Linotype"/>
          <w:lang w:val="en-US"/>
        </w:rPr>
      </w:pPr>
      <w:r w:rsidRPr="00E53DD1">
        <w:rPr>
          <w:rFonts w:ascii="Palatino Linotype" w:hAnsi="Palatino Linotype"/>
          <w:i/>
          <w:lang w:val="en-US"/>
        </w:rPr>
        <w:t>H2:</w:t>
      </w:r>
      <w:r w:rsidRPr="00E53DD1">
        <w:rPr>
          <w:rFonts w:ascii="Palatino Linotype" w:hAnsi="Palatino Linotype"/>
          <w:lang w:val="en-US"/>
        </w:rPr>
        <w:t xml:space="preserve"> </w:t>
      </w:r>
      <w:r w:rsidRPr="00E53DD1">
        <w:rPr>
          <w:rFonts w:ascii="Palatino Linotype" w:hAnsi="Palatino Linotype"/>
          <w:i/>
          <w:lang w:val="en-US"/>
        </w:rPr>
        <w:t xml:space="preserve">Claims for more transparency have not withered away because the Commission </w:t>
      </w:r>
      <w:r w:rsidR="00630B20" w:rsidRPr="00E53DD1">
        <w:rPr>
          <w:rFonts w:ascii="Palatino Linotype" w:hAnsi="Palatino Linotype"/>
          <w:i/>
          <w:lang w:val="en-US"/>
        </w:rPr>
        <w:t>and CSOs have fundamentally different understandings of how transparency</w:t>
      </w:r>
      <w:r w:rsidR="00977F89" w:rsidRPr="00E53DD1">
        <w:rPr>
          <w:rFonts w:ascii="Palatino Linotype" w:hAnsi="Palatino Linotype"/>
          <w:i/>
          <w:lang w:val="en-US"/>
        </w:rPr>
        <w:t>, participation and accountability</w:t>
      </w:r>
      <w:r w:rsidR="00347CB9" w:rsidRPr="00E53DD1">
        <w:rPr>
          <w:rFonts w:ascii="Palatino Linotype" w:hAnsi="Palatino Linotype"/>
          <w:i/>
          <w:lang w:val="en-US"/>
        </w:rPr>
        <w:t xml:space="preserve"> in world politics should look like</w:t>
      </w:r>
    </w:p>
    <w:p w14:paraId="1E10EDF7" w14:textId="767F3A71" w:rsidR="001A6384" w:rsidRPr="00E53DD1" w:rsidRDefault="001A6384" w:rsidP="00C5355B">
      <w:pPr>
        <w:jc w:val="both"/>
        <w:rPr>
          <w:rFonts w:ascii="Palatino Linotype" w:hAnsi="Palatino Linotype"/>
          <w:lang w:val="en-US"/>
        </w:rPr>
      </w:pPr>
      <w:r w:rsidRPr="00E53DD1">
        <w:rPr>
          <w:rFonts w:ascii="Palatino Linotype" w:hAnsi="Palatino Linotype"/>
          <w:lang w:val="en-US"/>
        </w:rPr>
        <w:t>Underlying hypothesis 1 is therefore a presumption that both actors share the same worldview, and hence the demands are a matter of extent and quality.</w:t>
      </w:r>
      <w:r w:rsidR="00347CB9" w:rsidRPr="00E53DD1">
        <w:rPr>
          <w:rFonts w:ascii="Palatino Linotype" w:hAnsi="Palatino Linotype"/>
          <w:lang w:val="en-US"/>
        </w:rPr>
        <w:t xml:space="preserve"> Evidence of this would be demands for more (and more timely) releases of documents, with the recognition that there is a legitimate need to keep some things confidential.</w:t>
      </w:r>
      <w:r w:rsidRPr="00E53DD1">
        <w:rPr>
          <w:rFonts w:ascii="Palatino Linotype" w:hAnsi="Palatino Linotype"/>
          <w:lang w:val="en-US"/>
        </w:rPr>
        <w:t xml:space="preserve"> Hypothesis 2 on the other hand </w:t>
      </w:r>
      <w:r w:rsidR="00347CB9" w:rsidRPr="00E53DD1">
        <w:rPr>
          <w:rFonts w:ascii="Palatino Linotype" w:hAnsi="Palatino Linotype"/>
          <w:lang w:val="en-US"/>
        </w:rPr>
        <w:t>implies</w:t>
      </w:r>
      <w:r w:rsidRPr="00E53DD1">
        <w:rPr>
          <w:rFonts w:ascii="Palatino Linotype" w:hAnsi="Palatino Linotype"/>
          <w:lang w:val="en-US"/>
        </w:rPr>
        <w:t xml:space="preserve"> there is a distinct difference in world view, which means transparency changes as such will have difficulties </w:t>
      </w:r>
      <w:r w:rsidR="00630B20" w:rsidRPr="00E53DD1">
        <w:rPr>
          <w:rFonts w:ascii="Palatino Linotype" w:hAnsi="Palatino Linotype"/>
          <w:lang w:val="en-US"/>
        </w:rPr>
        <w:t>fulfilling</w:t>
      </w:r>
      <w:r w:rsidRPr="00E53DD1">
        <w:rPr>
          <w:rFonts w:ascii="Palatino Linotype" w:hAnsi="Palatino Linotype"/>
          <w:lang w:val="en-US"/>
        </w:rPr>
        <w:t xml:space="preserve"> demands, given they will always involve some kind of restriction, and</w:t>
      </w:r>
      <w:r w:rsidR="00630B20" w:rsidRPr="00E53DD1">
        <w:rPr>
          <w:rFonts w:ascii="Palatino Linotype" w:hAnsi="Palatino Linotype"/>
          <w:lang w:val="en-US"/>
        </w:rPr>
        <w:t>, additionally,</w:t>
      </w:r>
      <w:r w:rsidRPr="00E53DD1">
        <w:rPr>
          <w:rFonts w:ascii="Palatino Linotype" w:hAnsi="Palatino Linotype"/>
          <w:lang w:val="en-US"/>
        </w:rPr>
        <w:t xml:space="preserve"> because this is coupled with far-reaching participatory demands as well. </w:t>
      </w:r>
      <w:r w:rsidR="00347CB9" w:rsidRPr="00E53DD1">
        <w:rPr>
          <w:rFonts w:ascii="Palatino Linotype" w:hAnsi="Palatino Linotype"/>
          <w:lang w:val="en-US"/>
        </w:rPr>
        <w:t xml:space="preserve">Evidence of this would be the demand that full transparency should be the rule, with a small scope for exceptions. Furthermore, claims for full participation will in this sense accompany the transparency demands, given that only in these circumstances accountability of the Commission’s trade policy can be achieved. </w:t>
      </w:r>
      <w:r w:rsidR="00630B20" w:rsidRPr="00E53DD1">
        <w:rPr>
          <w:rFonts w:ascii="Palatino Linotype" w:hAnsi="Palatino Linotype"/>
          <w:lang w:val="en-US"/>
        </w:rPr>
        <w:t xml:space="preserve">Through a detailed content analysis, we will tease out the </w:t>
      </w:r>
      <w:r w:rsidR="00347CB9" w:rsidRPr="00E53DD1">
        <w:rPr>
          <w:rFonts w:ascii="Palatino Linotype" w:hAnsi="Palatino Linotype"/>
          <w:lang w:val="en-US"/>
        </w:rPr>
        <w:t xml:space="preserve">general and </w:t>
      </w:r>
      <w:r w:rsidR="00630B20" w:rsidRPr="00E53DD1">
        <w:rPr>
          <w:rFonts w:ascii="Palatino Linotype" w:hAnsi="Palatino Linotype"/>
          <w:lang w:val="en-US"/>
        </w:rPr>
        <w:t>specific transparency</w:t>
      </w:r>
      <w:r w:rsidR="00347CB9" w:rsidRPr="00E53DD1">
        <w:rPr>
          <w:rFonts w:ascii="Palatino Linotype" w:hAnsi="Palatino Linotype"/>
          <w:lang w:val="en-US"/>
        </w:rPr>
        <w:t xml:space="preserve"> and participatory</w:t>
      </w:r>
      <w:r w:rsidR="00630B20" w:rsidRPr="00E53DD1">
        <w:rPr>
          <w:rFonts w:ascii="Palatino Linotype" w:hAnsi="Palatino Linotype"/>
          <w:lang w:val="en-US"/>
        </w:rPr>
        <w:t xml:space="preserve"> claims</w:t>
      </w:r>
      <w:r w:rsidR="00347CB9" w:rsidRPr="00E53DD1">
        <w:rPr>
          <w:rFonts w:ascii="Palatino Linotype" w:hAnsi="Palatino Linotype"/>
          <w:lang w:val="en-US"/>
        </w:rPr>
        <w:t>.</w:t>
      </w:r>
      <w:r w:rsidR="00630B20" w:rsidRPr="00E53DD1">
        <w:rPr>
          <w:rFonts w:ascii="Palatino Linotype" w:hAnsi="Palatino Linotype"/>
          <w:lang w:val="en-US"/>
        </w:rPr>
        <w:t xml:space="preserve"> </w:t>
      </w:r>
    </w:p>
    <w:p w14:paraId="43106BD6" w14:textId="5630D804" w:rsidR="00957FA7" w:rsidRPr="00E53DD1" w:rsidRDefault="00630B20" w:rsidP="00C5355B">
      <w:pPr>
        <w:jc w:val="both"/>
        <w:rPr>
          <w:rFonts w:ascii="Palatino Linotype" w:hAnsi="Palatino Linotype"/>
          <w:lang w:val="en-US"/>
        </w:rPr>
      </w:pPr>
      <w:r w:rsidRPr="00E53DD1">
        <w:rPr>
          <w:rFonts w:ascii="Palatino Linotype" w:hAnsi="Palatino Linotype"/>
          <w:lang w:val="en-US"/>
        </w:rPr>
        <w:lastRenderedPageBreak/>
        <w:t>This basic supply-demand model furthermore needs to be complemented with two additional remarks</w:t>
      </w:r>
      <w:r w:rsidR="00D806EA" w:rsidRPr="00E53DD1">
        <w:rPr>
          <w:rFonts w:ascii="Palatino Linotype" w:hAnsi="Palatino Linotype"/>
          <w:lang w:val="en-US"/>
        </w:rPr>
        <w:t xml:space="preserve">. </w:t>
      </w:r>
      <w:r w:rsidRPr="00E53DD1">
        <w:rPr>
          <w:rFonts w:ascii="Palatino Linotype" w:hAnsi="Palatino Linotype"/>
          <w:lang w:val="en-US"/>
        </w:rPr>
        <w:t>For the demand side</w:t>
      </w:r>
      <w:r w:rsidR="001A6384" w:rsidRPr="00E53DD1">
        <w:rPr>
          <w:rFonts w:ascii="Palatino Linotype" w:hAnsi="Palatino Linotype"/>
          <w:lang w:val="en-US"/>
        </w:rPr>
        <w:t xml:space="preserve">, claiming that negotiations are ‘taking place behind closed doors’ can be a convenient and attractive way of campaigning and contesting a technical deal towards the public. As such, </w:t>
      </w:r>
      <w:r w:rsidRPr="00E53DD1">
        <w:rPr>
          <w:rFonts w:ascii="Palatino Linotype" w:hAnsi="Palatino Linotype"/>
          <w:lang w:val="en-US"/>
        </w:rPr>
        <w:t xml:space="preserve">if we find that the main criticism has been addressed in the last two years, then we could argue that </w:t>
      </w:r>
      <w:r w:rsidR="001A6384" w:rsidRPr="00E53DD1">
        <w:rPr>
          <w:rFonts w:ascii="Palatino Linotype" w:hAnsi="Palatino Linotype"/>
          <w:lang w:val="en-US"/>
        </w:rPr>
        <w:t xml:space="preserve">transparency criticism is purely used for ‘strategic motivations’. </w:t>
      </w:r>
      <w:r w:rsidRPr="00E53DD1">
        <w:rPr>
          <w:rFonts w:ascii="Palatino Linotype" w:hAnsi="Palatino Linotype"/>
          <w:lang w:val="en-US"/>
        </w:rPr>
        <w:t>For the supply side</w:t>
      </w:r>
      <w:r w:rsidR="00676613" w:rsidRPr="00E53DD1">
        <w:rPr>
          <w:rFonts w:ascii="Palatino Linotype" w:hAnsi="Palatino Linotype"/>
          <w:lang w:val="en-US"/>
        </w:rPr>
        <w:t xml:space="preserve">, it is important to stress that </w:t>
      </w:r>
      <w:r w:rsidRPr="00E53DD1">
        <w:rPr>
          <w:rFonts w:ascii="Palatino Linotype" w:hAnsi="Palatino Linotype"/>
          <w:lang w:val="en-US"/>
        </w:rPr>
        <w:t>the European Commission can be</w:t>
      </w:r>
      <w:r w:rsidR="00676613" w:rsidRPr="00E53DD1">
        <w:rPr>
          <w:rFonts w:ascii="Palatino Linotype" w:hAnsi="Palatino Linotype"/>
          <w:lang w:val="en-US"/>
        </w:rPr>
        <w:t xml:space="preserve"> constrained in what it can </w:t>
      </w:r>
      <w:r w:rsidR="00E57404" w:rsidRPr="00E53DD1">
        <w:rPr>
          <w:rFonts w:ascii="Palatino Linotype" w:hAnsi="Palatino Linotype"/>
          <w:lang w:val="en-US"/>
        </w:rPr>
        <w:t>do, both by the other EU institutions (</w:t>
      </w:r>
      <w:r w:rsidR="00676613" w:rsidRPr="00E53DD1">
        <w:rPr>
          <w:rFonts w:ascii="Palatino Linotype" w:hAnsi="Palatino Linotype"/>
          <w:lang w:val="en-US"/>
        </w:rPr>
        <w:t>especially the Council and</w:t>
      </w:r>
      <w:r w:rsidR="009C0798" w:rsidRPr="00E53DD1">
        <w:rPr>
          <w:rFonts w:ascii="Palatino Linotype" w:hAnsi="Palatino Linotype"/>
          <w:lang w:val="en-US"/>
        </w:rPr>
        <w:t xml:space="preserve"> (to a lesser extent)</w:t>
      </w:r>
      <w:r w:rsidR="00676613" w:rsidRPr="00E53DD1">
        <w:rPr>
          <w:rFonts w:ascii="Palatino Linotype" w:hAnsi="Palatino Linotype"/>
          <w:lang w:val="en-US"/>
        </w:rPr>
        <w:t xml:space="preserve"> the Parliament</w:t>
      </w:r>
      <w:r w:rsidR="00E57404" w:rsidRPr="00E53DD1">
        <w:rPr>
          <w:rFonts w:ascii="Palatino Linotype" w:hAnsi="Palatino Linotype"/>
          <w:lang w:val="en-US"/>
        </w:rPr>
        <w:t>)</w:t>
      </w:r>
      <w:r w:rsidR="006800EA" w:rsidRPr="00E53DD1">
        <w:rPr>
          <w:rFonts w:ascii="Palatino Linotype" w:hAnsi="Palatino Linotype"/>
          <w:lang w:val="en-US"/>
        </w:rPr>
        <w:t xml:space="preserve"> and by the partner country in negotiations</w:t>
      </w:r>
      <w:r w:rsidR="00676613" w:rsidRPr="00E53DD1">
        <w:rPr>
          <w:rFonts w:ascii="Palatino Linotype" w:hAnsi="Palatino Linotype"/>
          <w:lang w:val="en-US"/>
        </w:rPr>
        <w:t>. Hence, that the Commission’s transparency initiatives fall short of CSOs’ expectations should not be an unequivocal sign of its unwillingness</w:t>
      </w:r>
      <w:r w:rsidR="009C0798" w:rsidRPr="00E53DD1">
        <w:rPr>
          <w:rFonts w:ascii="Palatino Linotype" w:hAnsi="Palatino Linotype"/>
          <w:lang w:val="en-US"/>
        </w:rPr>
        <w:t xml:space="preserve"> to </w:t>
      </w:r>
      <w:r w:rsidR="00E57404" w:rsidRPr="00E53DD1">
        <w:rPr>
          <w:rFonts w:ascii="Palatino Linotype" w:hAnsi="Palatino Linotype"/>
          <w:lang w:val="en-US"/>
        </w:rPr>
        <w:t>improve transparency</w:t>
      </w:r>
      <w:r w:rsidR="00676613" w:rsidRPr="00E53DD1">
        <w:rPr>
          <w:rFonts w:ascii="Palatino Linotype" w:hAnsi="Palatino Linotype"/>
          <w:lang w:val="en-US"/>
        </w:rPr>
        <w:t xml:space="preserve">, but might as well be the consequence of it being </w:t>
      </w:r>
      <w:r w:rsidR="00E57404" w:rsidRPr="00E53DD1">
        <w:rPr>
          <w:rFonts w:ascii="Palatino Linotype" w:hAnsi="Palatino Linotype"/>
          <w:lang w:val="en-US"/>
        </w:rPr>
        <w:t>constrained to</w:t>
      </w:r>
      <w:r w:rsidR="009C0798" w:rsidRPr="00E53DD1">
        <w:rPr>
          <w:rFonts w:ascii="Palatino Linotype" w:hAnsi="Palatino Linotype"/>
          <w:lang w:val="en-US"/>
        </w:rPr>
        <w:t xml:space="preserve"> do so</w:t>
      </w:r>
      <w:r w:rsidR="00676613" w:rsidRPr="00E53DD1">
        <w:rPr>
          <w:rFonts w:ascii="Palatino Linotype" w:hAnsi="Palatino Linotype"/>
          <w:lang w:val="en-US"/>
        </w:rPr>
        <w:t>.</w:t>
      </w:r>
      <w:r w:rsidR="00E57404" w:rsidRPr="00E53DD1">
        <w:rPr>
          <w:rFonts w:ascii="Palatino Linotype" w:hAnsi="Palatino Linotype"/>
          <w:lang w:val="en-US"/>
        </w:rPr>
        <w:t xml:space="preserve"> In our analysis, we have paid specific attention to this kind of referral to other actors that play an additional role in the politics of transparency.</w:t>
      </w:r>
      <w:r w:rsidR="003E4186" w:rsidRPr="00E53DD1">
        <w:rPr>
          <w:rFonts w:ascii="Palatino Linotype" w:hAnsi="Palatino Linotype"/>
          <w:lang w:val="en-US"/>
        </w:rPr>
        <w:t xml:space="preserve"> </w:t>
      </w:r>
    </w:p>
    <w:p w14:paraId="5ABEB69D" w14:textId="55952162" w:rsidR="00E45F29" w:rsidRPr="00E53DD1" w:rsidRDefault="006800EA" w:rsidP="00C5355B">
      <w:pPr>
        <w:jc w:val="both"/>
        <w:rPr>
          <w:rFonts w:ascii="Palatino Linotype" w:hAnsi="Palatino Linotype"/>
          <w:lang w:val="en-US"/>
        </w:rPr>
      </w:pPr>
      <w:r w:rsidRPr="00E53DD1">
        <w:rPr>
          <w:rFonts w:ascii="Palatino Linotype" w:hAnsi="Palatino Linotype"/>
          <w:lang w:val="en-US"/>
        </w:rPr>
        <w:t>Empirically</w:t>
      </w:r>
      <w:r w:rsidR="00937A3F" w:rsidRPr="00E53DD1">
        <w:rPr>
          <w:rFonts w:ascii="Palatino Linotype" w:hAnsi="Palatino Linotype"/>
          <w:lang w:val="en-US"/>
        </w:rPr>
        <w:t>, we</w:t>
      </w:r>
      <w:r w:rsidRPr="00E53DD1">
        <w:rPr>
          <w:rFonts w:ascii="Palatino Linotype" w:hAnsi="Palatino Linotype"/>
          <w:lang w:val="en-US"/>
        </w:rPr>
        <w:t xml:space="preserve"> will</w:t>
      </w:r>
      <w:r w:rsidR="00937A3F" w:rsidRPr="00E53DD1">
        <w:rPr>
          <w:rFonts w:ascii="Palatino Linotype" w:hAnsi="Palatino Linotype"/>
          <w:lang w:val="en-US"/>
        </w:rPr>
        <w:t xml:space="preserve"> zoom in on the investigation the European Ombudsman has undertaken to evaluate transparency in the TTIP talks, as a direct response to the public outcry by citizens and civil society organizations. The investigation</w:t>
      </w:r>
      <w:r w:rsidR="00E45F29" w:rsidRPr="00E53DD1">
        <w:rPr>
          <w:rFonts w:ascii="Palatino Linotype" w:hAnsi="Palatino Linotype"/>
          <w:lang w:val="en-US"/>
        </w:rPr>
        <w:t xml:space="preserve"> started on 29 July 2014, for a period running up to the end of October that year. Three specific questions related to transparency were asked. </w:t>
      </w:r>
    </w:p>
    <w:p w14:paraId="61708025" w14:textId="77777777" w:rsidR="00E45F29" w:rsidRPr="00E53DD1" w:rsidRDefault="00E45F29" w:rsidP="00C5355B">
      <w:pPr>
        <w:pStyle w:val="ListParagraph"/>
        <w:numPr>
          <w:ilvl w:val="0"/>
          <w:numId w:val="2"/>
        </w:numPr>
        <w:jc w:val="both"/>
        <w:rPr>
          <w:rFonts w:ascii="Palatino Linotype" w:hAnsi="Palatino Linotype"/>
          <w:lang w:val="en-US"/>
        </w:rPr>
      </w:pPr>
      <w:r w:rsidRPr="00E53DD1">
        <w:rPr>
          <w:rFonts w:ascii="Palatino Linotype" w:hAnsi="Palatino Linotype"/>
          <w:lang w:val="en-US"/>
        </w:rPr>
        <w:t xml:space="preserve">Please give us your views on what concrete measures the Commission could take to make the TTIP negotiations more transparent. Where, specifically, do you see room for improvement? </w:t>
      </w:r>
    </w:p>
    <w:p w14:paraId="33F106D9" w14:textId="77777777" w:rsidR="00E45F29" w:rsidRPr="00E53DD1" w:rsidRDefault="00E45F29" w:rsidP="00C5355B">
      <w:pPr>
        <w:pStyle w:val="ListParagraph"/>
        <w:numPr>
          <w:ilvl w:val="0"/>
          <w:numId w:val="2"/>
        </w:numPr>
        <w:jc w:val="both"/>
        <w:rPr>
          <w:rFonts w:ascii="Palatino Linotype" w:hAnsi="Palatino Linotype"/>
          <w:lang w:val="en-US"/>
        </w:rPr>
      </w:pPr>
      <w:r w:rsidRPr="00E53DD1">
        <w:rPr>
          <w:rFonts w:ascii="Palatino Linotype" w:hAnsi="Palatino Linotype"/>
          <w:lang w:val="en-US"/>
        </w:rPr>
        <w:t>Please provide examples of best practice that you have encountered in this area (for example, in particular Commission Directorates-General or other international organisations) that you believe could be applied throughout the Commission.</w:t>
      </w:r>
    </w:p>
    <w:p w14:paraId="40A092E4" w14:textId="77777777" w:rsidR="00E45F29" w:rsidRPr="00E53DD1" w:rsidRDefault="00E45F29" w:rsidP="00C5355B">
      <w:pPr>
        <w:pStyle w:val="ListParagraph"/>
        <w:numPr>
          <w:ilvl w:val="0"/>
          <w:numId w:val="2"/>
        </w:numPr>
        <w:jc w:val="both"/>
        <w:rPr>
          <w:rFonts w:ascii="Palatino Linotype" w:hAnsi="Palatino Linotype"/>
          <w:lang w:val="en-US"/>
        </w:rPr>
      </w:pPr>
      <w:r w:rsidRPr="00E53DD1">
        <w:rPr>
          <w:rFonts w:ascii="Palatino Linotype" w:hAnsi="Palatino Linotype"/>
          <w:lang w:val="en-US"/>
        </w:rPr>
        <w:t>Please explain how, in your view, greater transparency might affect the outcome of the negotiations.</w:t>
      </w:r>
    </w:p>
    <w:p w14:paraId="0BE03A15" w14:textId="1D5C02EA" w:rsidR="00E2449D" w:rsidRPr="00E53DD1" w:rsidRDefault="00E2449D" w:rsidP="00E2449D">
      <w:pPr>
        <w:jc w:val="both"/>
        <w:rPr>
          <w:rFonts w:ascii="Palatino Linotype" w:hAnsi="Palatino Linotype"/>
          <w:lang w:val="en-US"/>
        </w:rPr>
      </w:pPr>
      <w:r w:rsidRPr="00E53DD1">
        <w:rPr>
          <w:rFonts w:ascii="Palatino Linotype" w:hAnsi="Palatino Linotype"/>
          <w:lang w:val="en-US"/>
        </w:rPr>
        <w:t>The Ombudsman’s questions are quite circumscribed in asking for ‘concrete’ measures to improve transparency. She does not mention anything about the policy process in general, nor about a (broader) vision, understanding or definition of transparency. Given this set-up, there could be less incentive to go into other conc</w:t>
      </w:r>
      <w:r w:rsidR="00977F89" w:rsidRPr="00E53DD1">
        <w:rPr>
          <w:rFonts w:ascii="Palatino Linotype" w:hAnsi="Palatino Linotype"/>
          <w:lang w:val="en-US"/>
        </w:rPr>
        <w:t xml:space="preserve">epts </w:t>
      </w:r>
      <w:r w:rsidR="00837D7D" w:rsidRPr="00E53DD1">
        <w:rPr>
          <w:rFonts w:ascii="Palatino Linotype" w:hAnsi="Palatino Linotype"/>
          <w:lang w:val="en-US"/>
        </w:rPr>
        <w:t>such as participation or accountability</w:t>
      </w:r>
      <w:r w:rsidRPr="00E53DD1">
        <w:rPr>
          <w:rFonts w:ascii="Palatino Linotype" w:hAnsi="Palatino Linotype"/>
          <w:lang w:val="en-US"/>
        </w:rPr>
        <w:t>. Corporate Europe Observatory’s contribution is typical in this respect: “we have limited our response to the issue of transparency in the TTIP negotiations and have therefore not addressed other process-related problems, for example, the corporate capture of the trade talks”. Given this set-up,</w:t>
      </w:r>
      <w:r w:rsidR="00837D7D" w:rsidRPr="00E53DD1">
        <w:rPr>
          <w:rFonts w:ascii="Palatino Linotype" w:hAnsi="Palatino Linotype"/>
          <w:lang w:val="en-US"/>
        </w:rPr>
        <w:t xml:space="preserve"> if claims are made for more participation, this is strengthened evidence that underlying these claims is a broader world view.</w:t>
      </w:r>
      <w:r w:rsidRPr="00E53DD1">
        <w:rPr>
          <w:rFonts w:ascii="Palatino Linotype" w:hAnsi="Palatino Linotype"/>
          <w:lang w:val="en-US"/>
        </w:rPr>
        <w:t xml:space="preserve"> </w:t>
      </w:r>
    </w:p>
    <w:p w14:paraId="61587B2E" w14:textId="204846B1" w:rsidR="00E2449D" w:rsidRPr="00E53DD1" w:rsidRDefault="00977F89" w:rsidP="00E2449D">
      <w:pPr>
        <w:jc w:val="both"/>
        <w:rPr>
          <w:rFonts w:ascii="Palatino Linotype" w:hAnsi="Palatino Linotype"/>
          <w:lang w:val="en-US"/>
        </w:rPr>
      </w:pPr>
      <w:r w:rsidRPr="00E53DD1">
        <w:rPr>
          <w:rFonts w:ascii="Palatino Linotype" w:hAnsi="Palatino Linotype"/>
          <w:lang w:val="en-US"/>
        </w:rPr>
        <w:t>The</w:t>
      </w:r>
      <w:r w:rsidR="00E2449D" w:rsidRPr="00E53DD1">
        <w:rPr>
          <w:rFonts w:ascii="Palatino Linotype" w:hAnsi="Palatino Linotype"/>
          <w:lang w:val="en-US"/>
        </w:rPr>
        <w:t xml:space="preserve"> timeline</w:t>
      </w:r>
      <w:r w:rsidRPr="00E53DD1">
        <w:rPr>
          <w:rFonts w:ascii="Palatino Linotype" w:hAnsi="Palatino Linotype"/>
          <w:lang w:val="en-US"/>
        </w:rPr>
        <w:t xml:space="preserve"> of events also</w:t>
      </w:r>
      <w:r w:rsidR="00E2449D" w:rsidRPr="00E53DD1">
        <w:rPr>
          <w:rFonts w:ascii="Palatino Linotype" w:hAnsi="Palatino Linotype"/>
          <w:lang w:val="en-US"/>
        </w:rPr>
        <w:t xml:space="preserve"> has to be taken into account. Before the Ombudsman’s inquiry, several measures to improve transparency had already been taken, such as dedicated websites, Twitter accounts, breaks during negotiating rounds to consult with stakeholders and </w:t>
      </w:r>
      <w:r w:rsidRPr="00E53DD1">
        <w:rPr>
          <w:rFonts w:ascii="Palatino Linotype" w:hAnsi="Palatino Linotype"/>
          <w:lang w:val="en-US"/>
        </w:rPr>
        <w:t xml:space="preserve">the establishment of </w:t>
      </w:r>
      <w:r w:rsidR="00E2449D" w:rsidRPr="00E53DD1">
        <w:rPr>
          <w:rFonts w:ascii="Palatino Linotype" w:hAnsi="Palatino Linotype"/>
          <w:lang w:val="en-US"/>
        </w:rPr>
        <w:t xml:space="preserve">a TTIP Advisory Group. The contributions should therefore be read in this light: “Notwithstanding these efforts, some individuals and </w:t>
      </w:r>
      <w:r w:rsidR="00FE6DB9" w:rsidRPr="00E53DD1">
        <w:rPr>
          <w:rFonts w:ascii="Palatino Linotype" w:hAnsi="Palatino Linotype"/>
          <w:lang w:val="en-US"/>
        </w:rPr>
        <w:t>organizations</w:t>
      </w:r>
      <w:r w:rsidR="00E2449D" w:rsidRPr="00E53DD1">
        <w:rPr>
          <w:rFonts w:ascii="Palatino Linotype" w:hAnsi="Palatino Linotype"/>
          <w:lang w:val="en-US"/>
        </w:rPr>
        <w:t xml:space="preserve"> have expressed dissatisfaction” (ESF). By analyzing the contributions, we will therefore be able to know what was being asked in addition or complementary to these initial efforts. As this consultation dates from the second part of 2014, we are subsequently able to analyze the changes the </w:t>
      </w:r>
      <w:r w:rsidR="00E2449D" w:rsidRPr="00E53DD1">
        <w:rPr>
          <w:rFonts w:ascii="Palatino Linotype" w:hAnsi="Palatino Linotype"/>
          <w:lang w:val="en-US"/>
        </w:rPr>
        <w:lastRenderedPageBreak/>
        <w:t>Commission made in the last 2 years, and hence evaluate whether claims by different civil society organizations were met. In this way, the gap between supply and demand can be laid bare. This latter part is backed up by several interviews with policy officials from the EC and CSO representatives.</w:t>
      </w:r>
    </w:p>
    <w:p w14:paraId="6CDDFAD2" w14:textId="7AACE6A6" w:rsidR="00937A3F" w:rsidRPr="00E53DD1" w:rsidRDefault="00937A3F" w:rsidP="00C5355B">
      <w:pPr>
        <w:jc w:val="both"/>
        <w:rPr>
          <w:rFonts w:ascii="Palatino Linotype" w:hAnsi="Palatino Linotype"/>
          <w:lang w:val="en-US"/>
        </w:rPr>
      </w:pPr>
      <w:r w:rsidRPr="00E53DD1">
        <w:rPr>
          <w:rFonts w:ascii="Palatino Linotype" w:hAnsi="Palatino Linotype"/>
          <w:lang w:val="en-US"/>
        </w:rPr>
        <w:t>Around 50 written contributions were provided by business groups, NGOs, trade unions and some MEPs</w:t>
      </w:r>
      <w:r w:rsidRPr="00E53DD1">
        <w:rPr>
          <w:rStyle w:val="FootnoteReference"/>
          <w:rFonts w:ascii="Palatino Linotype" w:hAnsi="Palatino Linotype"/>
          <w:lang w:val="en-US"/>
        </w:rPr>
        <w:footnoteReference w:id="8"/>
      </w:r>
      <w:r w:rsidRPr="00E53DD1">
        <w:rPr>
          <w:rFonts w:ascii="Palatino Linotype" w:hAnsi="Palatino Linotype"/>
          <w:lang w:val="en-US"/>
        </w:rPr>
        <w:t>.</w:t>
      </w:r>
      <w:r w:rsidR="00C5355B" w:rsidRPr="00E53DD1">
        <w:rPr>
          <w:rFonts w:ascii="Palatino Linotype" w:hAnsi="Palatino Linotype"/>
          <w:lang w:val="en-US"/>
        </w:rPr>
        <w:t xml:space="preserve"> From these, we distill the demands by different types of groups</w:t>
      </w:r>
      <w:r w:rsidR="00C85DBE" w:rsidRPr="00E53DD1">
        <w:rPr>
          <w:rFonts w:ascii="Palatino Linotype" w:hAnsi="Palatino Linotype"/>
          <w:lang w:val="en-US"/>
        </w:rPr>
        <w:t xml:space="preserve"> concerning the transparency deficit</w:t>
      </w:r>
      <w:r w:rsidR="00C5355B" w:rsidRPr="00E53DD1">
        <w:rPr>
          <w:rFonts w:ascii="Palatino Linotype" w:hAnsi="Palatino Linotype"/>
          <w:lang w:val="en-US"/>
        </w:rPr>
        <w:t xml:space="preserve"> at the end of 2014 when Cecilia Malmström assumed office as Trade Commissioner. </w:t>
      </w:r>
      <w:r w:rsidR="00945329" w:rsidRPr="00E53DD1">
        <w:rPr>
          <w:rFonts w:ascii="Palatino Linotype" w:hAnsi="Palatino Linotype"/>
          <w:lang w:val="en-US"/>
        </w:rPr>
        <w:t xml:space="preserve">We have manually analyzed all the contributions (by organization type) </w:t>
      </w:r>
      <w:r w:rsidR="00F35580" w:rsidRPr="00E53DD1">
        <w:rPr>
          <w:rFonts w:ascii="Palatino Linotype" w:hAnsi="Palatino Linotype"/>
          <w:lang w:val="en-US"/>
        </w:rPr>
        <w:t>with a view on their</w:t>
      </w:r>
      <w:r w:rsidR="00945329" w:rsidRPr="00E53DD1">
        <w:rPr>
          <w:rFonts w:ascii="Palatino Linotype" w:hAnsi="Palatino Linotype"/>
          <w:lang w:val="en-US"/>
        </w:rPr>
        <w:t xml:space="preserve"> general remarks on transparency and participation, and the specific dema</w:t>
      </w:r>
      <w:r w:rsidR="00F35580" w:rsidRPr="00E53DD1">
        <w:rPr>
          <w:rFonts w:ascii="Palatino Linotype" w:hAnsi="Palatino Linotype"/>
          <w:lang w:val="en-US"/>
        </w:rPr>
        <w:t>nds attached to it.</w:t>
      </w:r>
      <w:r w:rsidR="001A6384" w:rsidRPr="00E53DD1">
        <w:rPr>
          <w:rFonts w:ascii="Palatino Linotype" w:hAnsi="Palatino Linotype"/>
          <w:lang w:val="en-US"/>
        </w:rPr>
        <w:t xml:space="preserve"> Because contributions by business and NGOs were most numerous, and because the distinction between these two is theoretically most relevant, we have decided to focus on these two groups</w:t>
      </w:r>
      <w:r w:rsidR="001A6384" w:rsidRPr="00E53DD1">
        <w:rPr>
          <w:rStyle w:val="FootnoteReference"/>
          <w:rFonts w:ascii="Palatino Linotype" w:hAnsi="Palatino Linotype"/>
          <w:lang w:val="en-US"/>
        </w:rPr>
        <w:footnoteReference w:id="9"/>
      </w:r>
      <w:r w:rsidR="001A6384" w:rsidRPr="00E53DD1">
        <w:rPr>
          <w:rFonts w:ascii="Palatino Linotype" w:hAnsi="Palatino Linotype"/>
          <w:lang w:val="en-US"/>
        </w:rPr>
        <w:t xml:space="preserve">. </w:t>
      </w:r>
    </w:p>
    <w:p w14:paraId="7A84E04D" w14:textId="4490921C" w:rsidR="00F35580" w:rsidRPr="00E53DD1" w:rsidRDefault="00E2449D" w:rsidP="00C5355B">
      <w:pPr>
        <w:jc w:val="both"/>
        <w:rPr>
          <w:rFonts w:ascii="Palatino Linotype" w:hAnsi="Palatino Linotype"/>
          <w:lang w:val="en-US"/>
        </w:rPr>
      </w:pPr>
      <w:r w:rsidRPr="00E53DD1">
        <w:rPr>
          <w:rFonts w:ascii="Palatino Linotype" w:hAnsi="Palatino Linotype"/>
          <w:i/>
          <w:lang w:val="en-US"/>
        </w:rPr>
        <w:t xml:space="preserve">Formal transparency </w:t>
      </w:r>
      <w:r w:rsidRPr="00E53DD1">
        <w:rPr>
          <w:rFonts w:ascii="Palatino Linotype" w:hAnsi="Palatino Linotype"/>
          <w:lang w:val="en-US"/>
        </w:rPr>
        <w:t xml:space="preserve">in practice </w:t>
      </w:r>
      <w:r w:rsidR="00F35580" w:rsidRPr="00E53DD1">
        <w:rPr>
          <w:rFonts w:ascii="Palatino Linotype" w:hAnsi="Palatino Linotype"/>
          <w:lang w:val="en-US"/>
        </w:rPr>
        <w:t>still</w:t>
      </w:r>
      <w:r w:rsidRPr="00E53DD1">
        <w:rPr>
          <w:rFonts w:ascii="Palatino Linotype" w:hAnsi="Palatino Linotype"/>
          <w:lang w:val="en-US"/>
        </w:rPr>
        <w:t>s</w:t>
      </w:r>
      <w:r w:rsidR="00F35580" w:rsidRPr="00E53DD1">
        <w:rPr>
          <w:rFonts w:ascii="Palatino Linotype" w:hAnsi="Palatino Linotype"/>
          <w:lang w:val="en-US"/>
        </w:rPr>
        <w:t xml:space="preserve"> </w:t>
      </w:r>
      <w:r w:rsidRPr="00E53DD1">
        <w:rPr>
          <w:rFonts w:ascii="Palatino Linotype" w:hAnsi="Palatino Linotype"/>
          <w:lang w:val="en-US"/>
        </w:rPr>
        <w:t>entails</w:t>
      </w:r>
      <w:r w:rsidR="00F35580" w:rsidRPr="00E53DD1">
        <w:rPr>
          <w:rFonts w:ascii="Palatino Linotype" w:hAnsi="Palatino Linotype"/>
          <w:lang w:val="en-US"/>
        </w:rPr>
        <w:t xml:space="preserve"> a lot of variation in terms of the different documents and tools that </w:t>
      </w:r>
      <w:r w:rsidRPr="00E53DD1">
        <w:rPr>
          <w:rFonts w:ascii="Palatino Linotype" w:hAnsi="Palatino Linotype"/>
          <w:lang w:val="en-US"/>
        </w:rPr>
        <w:t>can be</w:t>
      </w:r>
      <w:r w:rsidR="00F35580" w:rsidRPr="00E53DD1">
        <w:rPr>
          <w:rFonts w:ascii="Palatino Linotype" w:hAnsi="Palatino Linotype"/>
          <w:lang w:val="en-US"/>
        </w:rPr>
        <w:t xml:space="preserve"> disseminated. We make a distinction, first of all, between </w:t>
      </w:r>
      <w:r w:rsidR="00F35580" w:rsidRPr="00E53DD1">
        <w:rPr>
          <w:rFonts w:ascii="Palatino Linotype" w:hAnsi="Palatino Linotype"/>
          <w:i/>
          <w:lang w:val="en-US"/>
        </w:rPr>
        <w:t>negotiating</w:t>
      </w:r>
      <w:r w:rsidR="00F35580" w:rsidRPr="00E53DD1">
        <w:rPr>
          <w:rFonts w:ascii="Palatino Linotype" w:hAnsi="Palatino Linotype"/>
          <w:lang w:val="en-US"/>
        </w:rPr>
        <w:t xml:space="preserve"> documents</w:t>
      </w:r>
      <w:r w:rsidRPr="00E53DD1">
        <w:rPr>
          <w:rFonts w:ascii="Palatino Linotype" w:hAnsi="Palatino Linotype"/>
          <w:lang w:val="en-US"/>
        </w:rPr>
        <w:t xml:space="preserve"> (technical texts or inside information about the negotiating process)</w:t>
      </w:r>
      <w:r w:rsidR="00F35580" w:rsidRPr="00E53DD1">
        <w:rPr>
          <w:rFonts w:ascii="Palatino Linotype" w:hAnsi="Palatino Linotype"/>
          <w:lang w:val="en-US"/>
        </w:rPr>
        <w:t xml:space="preserve">, and </w:t>
      </w:r>
      <w:r w:rsidRPr="00E53DD1">
        <w:rPr>
          <w:rFonts w:ascii="Palatino Linotype" w:hAnsi="Palatino Linotype"/>
          <w:i/>
          <w:lang w:val="en-US"/>
        </w:rPr>
        <w:t xml:space="preserve">explanatory </w:t>
      </w:r>
      <w:r w:rsidR="00F35580" w:rsidRPr="00E53DD1">
        <w:rPr>
          <w:rFonts w:ascii="Palatino Linotype" w:hAnsi="Palatino Linotype"/>
          <w:lang w:val="en-US"/>
        </w:rPr>
        <w:t>documents that can help in understanding or making sense of the technic</w:t>
      </w:r>
      <w:r w:rsidRPr="00E53DD1">
        <w:rPr>
          <w:rFonts w:ascii="Palatino Linotype" w:hAnsi="Palatino Linotype"/>
          <w:lang w:val="en-US"/>
        </w:rPr>
        <w:t>al texts or the process itself</w:t>
      </w:r>
      <w:r w:rsidR="00F35580" w:rsidRPr="00E53DD1">
        <w:rPr>
          <w:rFonts w:ascii="Palatino Linotype" w:hAnsi="Palatino Linotype"/>
          <w:lang w:val="en-US"/>
        </w:rPr>
        <w:t xml:space="preserve">. The former category </w:t>
      </w:r>
      <w:r w:rsidRPr="00E53DD1">
        <w:rPr>
          <w:rFonts w:ascii="Palatino Linotype" w:hAnsi="Palatino Linotype"/>
          <w:lang w:val="en-US"/>
        </w:rPr>
        <w:t xml:space="preserve">specifically </w:t>
      </w:r>
      <w:r w:rsidR="00F35580" w:rsidRPr="00E53DD1">
        <w:rPr>
          <w:rFonts w:ascii="Palatino Linotype" w:hAnsi="Palatino Linotype"/>
          <w:lang w:val="en-US"/>
        </w:rPr>
        <w:t>includes the trade-talk-documents such as the negotiation mand</w:t>
      </w:r>
      <w:r w:rsidRPr="00E53DD1">
        <w:rPr>
          <w:rFonts w:ascii="Palatino Linotype" w:hAnsi="Palatino Linotype"/>
          <w:lang w:val="en-US"/>
        </w:rPr>
        <w:t xml:space="preserve">ate, legal textual proposals or </w:t>
      </w:r>
      <w:r w:rsidR="00F35580" w:rsidRPr="00E53DD1">
        <w:rPr>
          <w:rFonts w:ascii="Palatino Linotype" w:hAnsi="Palatino Linotype"/>
          <w:lang w:val="en-US"/>
        </w:rPr>
        <w:t xml:space="preserve">consolidated texts. The latter includes general position papers, agendas of upcoming rounds or the translation of texts in other languages. The list of demands </w:t>
      </w:r>
      <w:r w:rsidRPr="00E53DD1">
        <w:rPr>
          <w:rFonts w:ascii="Palatino Linotype" w:hAnsi="Palatino Linotype"/>
          <w:lang w:val="en-US"/>
        </w:rPr>
        <w:t>was</w:t>
      </w:r>
      <w:r w:rsidR="00F35580" w:rsidRPr="00E53DD1">
        <w:rPr>
          <w:rFonts w:ascii="Palatino Linotype" w:hAnsi="Palatino Linotype"/>
          <w:lang w:val="en-US"/>
        </w:rPr>
        <w:t xml:space="preserve"> established inductively: whenever a document or measure was demanded at least twice, we included it in the list.</w:t>
      </w:r>
      <w:r w:rsidRPr="00E53DD1">
        <w:rPr>
          <w:rFonts w:ascii="Palatino Linotype" w:hAnsi="Palatino Linotype"/>
          <w:lang w:val="en-US"/>
        </w:rPr>
        <w:t xml:space="preserve"> </w:t>
      </w:r>
      <w:r w:rsidR="009A297F" w:rsidRPr="00E53DD1">
        <w:rPr>
          <w:rFonts w:ascii="Palatino Linotype" w:hAnsi="Palatino Linotype"/>
          <w:lang w:val="en-US"/>
        </w:rPr>
        <w:t xml:space="preserve">For claims regarding to participation, we do not further introduce any classification a priori. </w:t>
      </w:r>
      <w:r w:rsidRPr="00E53DD1">
        <w:rPr>
          <w:rFonts w:ascii="Palatino Linotype" w:hAnsi="Palatino Linotype"/>
          <w:lang w:val="en-US"/>
        </w:rPr>
        <w:t>We refer to appendix 2 for more information on the content analysis, and a description of document types.</w:t>
      </w:r>
    </w:p>
    <w:p w14:paraId="1AB85BCB" w14:textId="11D3CD54" w:rsidR="00E45F29" w:rsidRPr="00E53DD1" w:rsidRDefault="00E45F29" w:rsidP="00C5355B">
      <w:pPr>
        <w:jc w:val="both"/>
        <w:rPr>
          <w:rFonts w:ascii="Palatino Linotype" w:hAnsi="Palatino Linotype"/>
          <w:lang w:val="en-US"/>
        </w:rPr>
      </w:pPr>
    </w:p>
    <w:p w14:paraId="4F3A3278" w14:textId="1861DC21" w:rsidR="00DA7CB4" w:rsidRPr="00E53DD1" w:rsidRDefault="00080796" w:rsidP="00C5355B">
      <w:pPr>
        <w:pStyle w:val="Heading1"/>
        <w:jc w:val="both"/>
        <w:rPr>
          <w:rFonts w:ascii="Palatino Linotype" w:hAnsi="Palatino Linotype"/>
          <w:color w:val="auto"/>
          <w:lang w:val="en-US"/>
        </w:rPr>
      </w:pPr>
      <w:r w:rsidRPr="00E53DD1">
        <w:rPr>
          <w:rFonts w:ascii="Palatino Linotype" w:hAnsi="Palatino Linotype"/>
          <w:color w:val="auto"/>
          <w:lang w:val="en-US"/>
        </w:rPr>
        <w:t xml:space="preserve">IV – </w:t>
      </w:r>
      <w:r w:rsidR="00DA7CB4" w:rsidRPr="00E53DD1">
        <w:rPr>
          <w:rFonts w:ascii="Palatino Linotype" w:hAnsi="Palatino Linotype"/>
          <w:color w:val="auto"/>
          <w:lang w:val="en-US"/>
        </w:rPr>
        <w:t>Empirical analysis</w:t>
      </w:r>
    </w:p>
    <w:p w14:paraId="1A3F1386" w14:textId="77777777" w:rsidR="000B02F0" w:rsidRPr="00E53DD1" w:rsidRDefault="000B02F0" w:rsidP="00C5355B">
      <w:pPr>
        <w:jc w:val="both"/>
        <w:rPr>
          <w:rFonts w:ascii="Palatino Linotype" w:hAnsi="Palatino Linotype"/>
          <w:lang w:val="en-US"/>
        </w:rPr>
      </w:pPr>
    </w:p>
    <w:p w14:paraId="5F719971" w14:textId="1ABCC536" w:rsidR="00CE3824" w:rsidRPr="00E53DD1" w:rsidRDefault="00CE3824" w:rsidP="00E53DD1">
      <w:pPr>
        <w:pStyle w:val="Heading2"/>
        <w:numPr>
          <w:ilvl w:val="0"/>
          <w:numId w:val="9"/>
        </w:numPr>
        <w:rPr>
          <w:rFonts w:ascii="Palatino Linotype" w:hAnsi="Palatino Linotype"/>
          <w:color w:val="auto"/>
          <w:lang w:val="en-US"/>
        </w:rPr>
      </w:pPr>
      <w:r w:rsidRPr="00E53DD1">
        <w:rPr>
          <w:rFonts w:ascii="Palatino Linotype" w:hAnsi="Palatino Linotype"/>
          <w:color w:val="auto"/>
          <w:lang w:val="en-US"/>
        </w:rPr>
        <w:t xml:space="preserve">Formal transparency </w:t>
      </w:r>
    </w:p>
    <w:p w14:paraId="24187F16" w14:textId="77777777" w:rsidR="00CE3824" w:rsidRPr="00E53DD1" w:rsidRDefault="00CE3824" w:rsidP="00CE3824">
      <w:pPr>
        <w:jc w:val="both"/>
        <w:rPr>
          <w:rFonts w:ascii="Palatino Linotype" w:hAnsi="Palatino Linotype"/>
          <w:lang w:val="en-US"/>
        </w:rPr>
      </w:pPr>
    </w:p>
    <w:p w14:paraId="5AD02C35" w14:textId="77777777" w:rsidR="00CE3824" w:rsidRPr="00E53DD1" w:rsidRDefault="00CE3824" w:rsidP="00CE3824">
      <w:pPr>
        <w:jc w:val="both"/>
        <w:rPr>
          <w:rFonts w:ascii="Palatino Linotype" w:hAnsi="Palatino Linotype"/>
          <w:b/>
          <w:lang w:val="en-US"/>
        </w:rPr>
      </w:pPr>
      <w:r w:rsidRPr="00E53DD1">
        <w:rPr>
          <w:rFonts w:ascii="Palatino Linotype" w:hAnsi="Palatino Linotype"/>
          <w:b/>
          <w:lang w:val="en-US"/>
        </w:rPr>
        <w:t>Business associations</w:t>
      </w:r>
    </w:p>
    <w:p w14:paraId="7F3CD673" w14:textId="21355704"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Almost all business contributions start by </w:t>
      </w:r>
      <w:r w:rsidRPr="00E53DD1">
        <w:rPr>
          <w:rFonts w:ascii="Palatino Linotype" w:hAnsi="Palatino Linotype"/>
          <w:i/>
          <w:lang w:val="en-US"/>
        </w:rPr>
        <w:t>lauding and commending the Commission</w:t>
      </w:r>
      <w:r w:rsidRPr="00E53DD1">
        <w:rPr>
          <w:rFonts w:ascii="Palatino Linotype" w:hAnsi="Palatino Linotype"/>
          <w:lang w:val="en-US"/>
        </w:rPr>
        <w:t xml:space="preserve"> for the work on transparency that has already been done (BE, ESF, TABC, FI, IBEC, DI, BDI) and reiterate that the measures already taken are ‘unprecedented’. AmChamEU argue</w:t>
      </w:r>
      <w:r w:rsidR="00956AB6" w:rsidRPr="00E53DD1">
        <w:rPr>
          <w:rFonts w:ascii="Palatino Linotype" w:hAnsi="Palatino Linotype"/>
          <w:lang w:val="en-US"/>
        </w:rPr>
        <w:t>s</w:t>
      </w:r>
      <w:r w:rsidRPr="00E53DD1">
        <w:rPr>
          <w:rFonts w:ascii="Palatino Linotype" w:hAnsi="Palatino Linotype"/>
          <w:lang w:val="en-US"/>
        </w:rPr>
        <w:t xml:space="preserve"> that it is “hard to imagine what more could be done to enhance transparency without undermining the ability of the EU and US officials to discuss and negotiate” </w:t>
      </w:r>
      <w:r w:rsidR="00956AB6" w:rsidRPr="00E53DD1">
        <w:rPr>
          <w:rFonts w:ascii="Palatino Linotype" w:hAnsi="Palatino Linotype"/>
          <w:lang w:val="en-US"/>
        </w:rPr>
        <w:t>while t</w:t>
      </w:r>
      <w:r w:rsidRPr="00E53DD1">
        <w:rPr>
          <w:rFonts w:ascii="Palatino Linotype" w:hAnsi="Palatino Linotype"/>
          <w:lang w:val="en-US"/>
        </w:rPr>
        <w:t xml:space="preserve">he Swedish Industry Confederation warns that going further “risk[s] compromising the negotiations”. If there is any </w:t>
      </w:r>
      <w:r w:rsidR="00E57404" w:rsidRPr="00E53DD1">
        <w:rPr>
          <w:rFonts w:ascii="Palatino Linotype" w:hAnsi="Palatino Linotype"/>
          <w:i/>
          <w:lang w:val="en-US"/>
        </w:rPr>
        <w:t xml:space="preserve">reference to </w:t>
      </w:r>
      <w:r w:rsidR="00E57404" w:rsidRPr="00E53DD1">
        <w:rPr>
          <w:rFonts w:ascii="Palatino Linotype" w:hAnsi="Palatino Linotype"/>
          <w:i/>
          <w:lang w:val="en-US"/>
        </w:rPr>
        <w:lastRenderedPageBreak/>
        <w:t>other actors</w:t>
      </w:r>
      <w:r w:rsidRPr="00E53DD1">
        <w:rPr>
          <w:rFonts w:ascii="Palatino Linotype" w:hAnsi="Palatino Linotype"/>
          <w:lang w:val="en-US"/>
        </w:rPr>
        <w:t xml:space="preserve"> present in all the contributions, then business groups voice this most often. The Commission is urged to demand meaningful position papers or summaries of negotiating positions</w:t>
      </w:r>
      <w:r w:rsidR="0056148A" w:rsidRPr="00E53DD1">
        <w:rPr>
          <w:rFonts w:ascii="Palatino Linotype" w:hAnsi="Palatino Linotype"/>
          <w:lang w:val="en-US"/>
        </w:rPr>
        <w:t xml:space="preserve"> from the negotiating partner</w:t>
      </w:r>
      <w:r w:rsidRPr="00E53DD1">
        <w:rPr>
          <w:rFonts w:ascii="Palatino Linotype" w:hAnsi="Palatino Linotype"/>
          <w:lang w:val="en-US"/>
        </w:rPr>
        <w:t xml:space="preserve"> (BE, CC, BDI, ESF). The Member States are singled out as well, with the remark that they should be encouraged to improve on transparency themselves (SWI, ESF) and better explain to their constituencies what trade negotiations are all about (BE). </w:t>
      </w:r>
    </w:p>
    <w:p w14:paraId="5BFBFAE1" w14:textId="77777777"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In general, the large business groups argue that the </w:t>
      </w:r>
      <w:r w:rsidRPr="00E53DD1">
        <w:rPr>
          <w:rFonts w:ascii="Palatino Linotype" w:hAnsi="Palatino Linotype"/>
          <w:i/>
          <w:lang w:val="en-US"/>
        </w:rPr>
        <w:t>role of transparency</w:t>
      </w:r>
      <w:r w:rsidRPr="00E53DD1">
        <w:rPr>
          <w:rFonts w:ascii="Palatino Linotype" w:hAnsi="Palatino Linotype"/>
          <w:lang w:val="en-US"/>
        </w:rPr>
        <w:t xml:space="preserve"> is in part to ‘dispel myths, and misperceptions of the TTIP agreement allowing a fact-based public debate and making the deal more accessible and relatable to the people’ (BE). There is therefore a focus on ‘explaining’ what the negotiations are about, and what the possible benefits and risks are (ESF), given that the main problem is a lack of knowledge about trade issues in general (SWI). With this in mind, they stress </w:t>
      </w:r>
      <w:r w:rsidRPr="00E53DD1">
        <w:rPr>
          <w:rFonts w:ascii="Palatino Linotype" w:hAnsi="Palatino Linotype"/>
          <w:i/>
          <w:lang w:val="en-US"/>
        </w:rPr>
        <w:t>the legitimate need to keep things confidential</w:t>
      </w:r>
      <w:r w:rsidRPr="00E53DD1">
        <w:rPr>
          <w:rFonts w:ascii="Palatino Linotype" w:hAnsi="Palatino Linotype"/>
          <w:lang w:val="en-US"/>
        </w:rPr>
        <w:t xml:space="preserve"> in order for negotiations to succeed (BE, ESF, DI, BDI). There should be clear and unambiguous rules on the classification of documents (ESF), with the underlying idea that publication should only be allowed if it cannot hurt the negotiating strategy (BDI), and with clear sanctions for breaches of confidentiality (BE).</w:t>
      </w:r>
    </w:p>
    <w:p w14:paraId="6CD46260" w14:textId="77777777"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Of course, these general remarks aside, they do make several recommendations on how the situation could be improved. In line with the general idea of ‘explaining’ trade negotiations more to the public, the bulk of these recommendations concerns </w:t>
      </w:r>
      <w:r w:rsidRPr="00E53DD1">
        <w:rPr>
          <w:rFonts w:ascii="Palatino Linotype" w:hAnsi="Palatino Linotype"/>
          <w:i/>
          <w:lang w:val="en-US"/>
        </w:rPr>
        <w:t>‘making sense’ documents and arrangements</w:t>
      </w:r>
      <w:r w:rsidRPr="00E53DD1">
        <w:rPr>
          <w:rFonts w:ascii="Palatino Linotype" w:hAnsi="Palatino Linotype"/>
          <w:lang w:val="en-US"/>
        </w:rPr>
        <w:t>. All non-confidential documents should be put in an online register, for example (FI, DI, ESF, SWI, VDA), and an agenda prior to each round should be published to allow for comments by interested stakeholders (BE, BDI, VDA). There should be more attention for the translation from technical texts to other languages (TABC) or to common language explanations and summaries (FI, BE, DI, SWI, VDA). Some improvement to the website – with the possibility of having ‘webinars’ explain TTIP – are also considered (BDI, TABC).</w:t>
      </w:r>
    </w:p>
    <w:p w14:paraId="612061F9" w14:textId="6F3B2D6F"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Recommendations to improve access to </w:t>
      </w:r>
      <w:r w:rsidRPr="00E53DD1">
        <w:rPr>
          <w:rFonts w:ascii="Palatino Linotype" w:hAnsi="Palatino Linotype"/>
          <w:i/>
          <w:lang w:val="en-US"/>
        </w:rPr>
        <w:t>negotiating documents</w:t>
      </w:r>
      <w:r w:rsidRPr="00E53DD1">
        <w:rPr>
          <w:rFonts w:ascii="Palatino Linotype" w:hAnsi="Palatino Linotype"/>
          <w:lang w:val="en-US"/>
        </w:rPr>
        <w:t xml:space="preserve"> are scarce. The most common demand is that there should be up-to-date digital access to confidential documents through accredited password systems instead of the reading room practice (BE, ESF, DI). Who should have this access is not always made explicit in the same paragraph, but on other places it is argued that consolidated texts (which are confidential) should be available for a restricted public, meaning the TTIP Advisory Group, Chairs of EP Committees (BE, DI, SWI), and for all INTA, JURI and IMCO members (TABC). BusinessEurope is furthermore the only one claiming a list of meetings with stakeholders should be published online. </w:t>
      </w:r>
    </w:p>
    <w:p w14:paraId="325B89FD" w14:textId="77777777" w:rsidR="00CE3824" w:rsidRPr="00E53DD1" w:rsidRDefault="00CE3824" w:rsidP="00CE3824">
      <w:pPr>
        <w:jc w:val="both"/>
        <w:rPr>
          <w:rFonts w:ascii="Palatino Linotype" w:hAnsi="Palatino Linotype"/>
          <w:lang w:val="en-US"/>
        </w:rPr>
      </w:pPr>
      <w:r w:rsidRPr="00E53DD1">
        <w:rPr>
          <w:rFonts w:ascii="Palatino Linotype" w:hAnsi="Palatino Linotype"/>
          <w:lang w:val="en-US"/>
        </w:rPr>
        <w:t>In sum, the position by business on formal transparency could be roughly summarized as ‘make sure that what is already public is better disseminated and explained to the public’. This is in line with their general remark that the Commission already did a lot, and going further might harm the effectiveness or outcome of negotiations.</w:t>
      </w:r>
    </w:p>
    <w:p w14:paraId="7CC98466" w14:textId="502A43CE" w:rsidR="00CE3824" w:rsidRPr="00E53DD1" w:rsidRDefault="00CE3824" w:rsidP="00CE3824">
      <w:pPr>
        <w:jc w:val="both"/>
        <w:rPr>
          <w:rFonts w:ascii="Palatino Linotype" w:hAnsi="Palatino Linotype"/>
          <w:lang w:val="en-US"/>
        </w:rPr>
      </w:pPr>
      <w:r w:rsidRPr="00E53DD1">
        <w:rPr>
          <w:rFonts w:ascii="Palatino Linotype" w:hAnsi="Palatino Linotype"/>
          <w:lang w:val="en-US"/>
        </w:rPr>
        <w:t>A final remark concerns agricultural organizations</w:t>
      </w:r>
      <w:r w:rsidR="00C2191F" w:rsidRPr="00E53DD1">
        <w:rPr>
          <w:rFonts w:ascii="Palatino Linotype" w:hAnsi="Palatino Linotype"/>
          <w:lang w:val="en-US"/>
        </w:rPr>
        <w:t xml:space="preserve"> that </w:t>
      </w:r>
      <w:r w:rsidRPr="00E53DD1">
        <w:rPr>
          <w:rFonts w:ascii="Palatino Linotype" w:hAnsi="Palatino Linotype"/>
          <w:lang w:val="en-US"/>
        </w:rPr>
        <w:t>traditionally have a harsh stance on liberalizing trade in agricultural products. The umbrella organization Copa-Cogeca can</w:t>
      </w:r>
      <w:r w:rsidR="00C2191F" w:rsidRPr="00E53DD1">
        <w:rPr>
          <w:rFonts w:ascii="Palatino Linotype" w:hAnsi="Palatino Linotype"/>
          <w:lang w:val="en-US"/>
        </w:rPr>
        <w:t>,</w:t>
      </w:r>
      <w:r w:rsidRPr="00E53DD1">
        <w:rPr>
          <w:rFonts w:ascii="Palatino Linotype" w:hAnsi="Palatino Linotype"/>
          <w:lang w:val="en-US"/>
        </w:rPr>
        <w:t xml:space="preserve"> however</w:t>
      </w:r>
      <w:r w:rsidR="00C2191F" w:rsidRPr="00E53DD1">
        <w:rPr>
          <w:rFonts w:ascii="Palatino Linotype" w:hAnsi="Palatino Linotype"/>
          <w:lang w:val="en-US"/>
        </w:rPr>
        <w:t>,</w:t>
      </w:r>
      <w:r w:rsidRPr="00E53DD1">
        <w:rPr>
          <w:rFonts w:ascii="Palatino Linotype" w:hAnsi="Palatino Linotype"/>
          <w:lang w:val="en-US"/>
        </w:rPr>
        <w:t xml:space="preserve"> be seen</w:t>
      </w:r>
      <w:r w:rsidR="00C2191F" w:rsidRPr="00E53DD1">
        <w:rPr>
          <w:rFonts w:ascii="Palatino Linotype" w:hAnsi="Palatino Linotype"/>
          <w:lang w:val="en-US"/>
        </w:rPr>
        <w:t xml:space="preserve"> to be</w:t>
      </w:r>
      <w:r w:rsidRPr="00E53DD1">
        <w:rPr>
          <w:rFonts w:ascii="Palatino Linotype" w:hAnsi="Palatino Linotype"/>
          <w:lang w:val="en-US"/>
        </w:rPr>
        <w:t xml:space="preserve"> in line with the other business groups described above – some praise for the Commission, and above all </w:t>
      </w:r>
      <w:r w:rsidR="00E57404" w:rsidRPr="00E53DD1">
        <w:rPr>
          <w:rFonts w:ascii="Palatino Linotype" w:hAnsi="Palatino Linotype"/>
          <w:lang w:val="en-US"/>
        </w:rPr>
        <w:t>reference to the role of US and their transparency politics</w:t>
      </w:r>
      <w:r w:rsidRPr="00E53DD1">
        <w:rPr>
          <w:rFonts w:ascii="Palatino Linotype" w:hAnsi="Palatino Linotype"/>
          <w:lang w:val="en-US"/>
        </w:rPr>
        <w:t xml:space="preserve">. </w:t>
      </w:r>
      <w:r w:rsidRPr="00E53DD1">
        <w:rPr>
          <w:rFonts w:ascii="Palatino Linotype" w:hAnsi="Palatino Linotype"/>
          <w:lang w:val="en-US"/>
        </w:rPr>
        <w:lastRenderedPageBreak/>
        <w:t xml:space="preserve">The other two contributions (European Milk Board and Irish Creamery Milk Suppliers Association) are much more critical in their position on TTIP in general and hence also on transparency. </w:t>
      </w:r>
      <w:r w:rsidR="00E57404" w:rsidRPr="00E53DD1">
        <w:rPr>
          <w:rFonts w:ascii="Palatino Linotype" w:hAnsi="Palatino Linotype"/>
          <w:lang w:val="en-US"/>
        </w:rPr>
        <w:t>Both praise and reference to other actors</w:t>
      </w:r>
      <w:r w:rsidRPr="00E53DD1">
        <w:rPr>
          <w:rFonts w:ascii="Palatino Linotype" w:hAnsi="Palatino Linotype"/>
          <w:lang w:val="en-US"/>
        </w:rPr>
        <w:t xml:space="preserve"> dis</w:t>
      </w:r>
      <w:r w:rsidR="00E57404" w:rsidRPr="00E53DD1">
        <w:rPr>
          <w:rFonts w:ascii="Palatino Linotype" w:hAnsi="Palatino Linotype"/>
          <w:lang w:val="en-US"/>
        </w:rPr>
        <w:t>appear</w:t>
      </w:r>
      <w:r w:rsidRPr="00E53DD1">
        <w:rPr>
          <w:rFonts w:ascii="Palatino Linotype" w:hAnsi="Palatino Linotype"/>
          <w:lang w:val="en-US"/>
        </w:rPr>
        <w:t xml:space="preserve"> and they ask for much more documents, given that “negotiations are currently influenced predominantly by multinationals and industry groups” (EMB). ICMSA states that they are concerned about the privileged access given to certain external stakeholders, which “in practice can be more damaging than non-disclosure in the first instance”. In terms of specific proposals they tend towards demands by NGOs, which we cover in the next paragraphs. </w:t>
      </w:r>
    </w:p>
    <w:p w14:paraId="59E946EC" w14:textId="77777777" w:rsidR="00CE3824" w:rsidRPr="00E53DD1" w:rsidRDefault="00CE3824" w:rsidP="00CE3824">
      <w:pPr>
        <w:jc w:val="both"/>
        <w:rPr>
          <w:rFonts w:ascii="Palatino Linotype" w:hAnsi="Palatino Linotype"/>
          <w:b/>
          <w:lang w:val="en-US"/>
        </w:rPr>
      </w:pPr>
      <w:r w:rsidRPr="00E53DD1">
        <w:rPr>
          <w:rFonts w:ascii="Palatino Linotype" w:hAnsi="Palatino Linotype"/>
          <w:b/>
          <w:lang w:val="en-US"/>
        </w:rPr>
        <w:t>NGOs</w:t>
      </w:r>
    </w:p>
    <w:p w14:paraId="6552ADF7" w14:textId="3A5727B1"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NGOs are much more critical in terms of what has been accomplished. Praise for the Commission – with scarce exceptions – is hardly seen, and the improvement to date has been depicted as “[coming] from a very low base, and most of its actions have been neither meaningful nor sufficient” (EDRI), “ad-hoc initiatives […] and not part of a well-thought out overall strategy” (EPHA, TACD), “weak or deceiving” (ACC), “omitting whatever the Commission deems controversial” (CEO) or “[…] does not meet minimum satisfactory level of transparency and engagement with stakeholders” (BEUC). Some NGOs even </w:t>
      </w:r>
      <w:r w:rsidR="0056148A" w:rsidRPr="00E53DD1">
        <w:rPr>
          <w:rFonts w:ascii="Palatino Linotype" w:hAnsi="Palatino Linotype"/>
          <w:lang w:val="en-US"/>
        </w:rPr>
        <w:t xml:space="preserve">seem </w:t>
      </w:r>
      <w:r w:rsidRPr="00E53DD1">
        <w:rPr>
          <w:rFonts w:ascii="Palatino Linotype" w:hAnsi="Palatino Linotype"/>
          <w:lang w:val="en-US"/>
        </w:rPr>
        <w:t>indifferent, given they do not think the Commission is genuinely convinced of the importance of stakeholder consultation (EMI), and measures might thus very well lead to “documents or other means to disguise the pressure wealthy and influential vested interests exert on governments and negotiators” (FW).</w:t>
      </w:r>
    </w:p>
    <w:p w14:paraId="701DDB27" w14:textId="3FF2558B" w:rsidR="00CE3824" w:rsidRPr="00E53DD1" w:rsidRDefault="00392713" w:rsidP="00CE3824">
      <w:pPr>
        <w:jc w:val="both"/>
        <w:rPr>
          <w:rFonts w:ascii="Palatino Linotype" w:hAnsi="Palatino Linotype"/>
          <w:lang w:val="en-US"/>
        </w:rPr>
      </w:pPr>
      <w:r w:rsidRPr="00E53DD1">
        <w:rPr>
          <w:rFonts w:ascii="Palatino Linotype" w:hAnsi="Palatino Linotype"/>
          <w:lang w:val="en-US"/>
        </w:rPr>
        <w:t>With respect to formal transparency claims therefore, the recommendations are broad and very demanding. To make this more accessible, we have put the different demands in a table in the appendix.</w:t>
      </w:r>
      <w:r w:rsidR="00CE3824" w:rsidRPr="00E53DD1">
        <w:rPr>
          <w:rFonts w:ascii="Palatino Linotype" w:hAnsi="Palatino Linotype"/>
          <w:lang w:val="en-US"/>
        </w:rPr>
        <w:t xml:space="preserve"> </w:t>
      </w:r>
    </w:p>
    <w:p w14:paraId="446D4AAC" w14:textId="77777777"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The most important thing to note is that NGOs put more emphasis on </w:t>
      </w:r>
      <w:r w:rsidRPr="00E53DD1">
        <w:rPr>
          <w:rFonts w:ascii="Palatino Linotype" w:hAnsi="Palatino Linotype"/>
          <w:i/>
          <w:lang w:val="en-US"/>
        </w:rPr>
        <w:t>negotiating</w:t>
      </w:r>
      <w:r w:rsidRPr="00E53DD1">
        <w:rPr>
          <w:rFonts w:ascii="Palatino Linotype" w:hAnsi="Palatino Linotype"/>
          <w:lang w:val="en-US"/>
        </w:rPr>
        <w:t xml:space="preserve"> than on </w:t>
      </w:r>
      <w:r w:rsidRPr="00E53DD1">
        <w:rPr>
          <w:rFonts w:ascii="Palatino Linotype" w:hAnsi="Palatino Linotype"/>
          <w:i/>
          <w:lang w:val="en-US"/>
        </w:rPr>
        <w:t>explanatory</w:t>
      </w:r>
      <w:r w:rsidRPr="00E53DD1">
        <w:rPr>
          <w:rFonts w:ascii="Palatino Linotype" w:hAnsi="Palatino Linotype"/>
          <w:lang w:val="en-US"/>
        </w:rPr>
        <w:t xml:space="preserve"> documents, both in number of categories, and the individual number of demands per document. What is asked in particular is broad access to negotiating directives: the mandate, textual proposals by the EU and the consolidated version when the US tabled its position. In addition, and referring more to problems with bias in representation/access, they ask for a list of meetings of trade officials, and all the correspondence by third parties sent to them and vice versa. Explanatory documents focus mostly on the preparation and follow-up of negotiating rounds, evidenced in the demand for detailed agendas and meaningful briefings afterwards. The added adjective ‘meaningful’ refers to – as EDRI put it – substantive documents, not altered in any way when released and no ‘mere summaries, agendas or minutes with no specific information or “propaganda texts”’. With regards to other demands, they also stand up for MEPs and MPs to make sure they have adequate access as well. </w:t>
      </w:r>
    </w:p>
    <w:p w14:paraId="2FD68AB7" w14:textId="05A15B8C" w:rsidR="00CE3824" w:rsidRPr="00E53DD1" w:rsidRDefault="00CE3824" w:rsidP="00CE3824">
      <w:pPr>
        <w:jc w:val="both"/>
        <w:rPr>
          <w:rFonts w:ascii="Palatino Linotype" w:hAnsi="Palatino Linotype"/>
          <w:lang w:val="en-US"/>
        </w:rPr>
      </w:pPr>
      <w:r w:rsidRPr="00E53DD1">
        <w:rPr>
          <w:rFonts w:ascii="Palatino Linotype" w:hAnsi="Palatino Linotype"/>
          <w:lang w:val="en-US"/>
        </w:rPr>
        <w:t>In sum, while the focus of business groups</w:t>
      </w:r>
      <w:r w:rsidR="00956AB6" w:rsidRPr="00E53DD1">
        <w:rPr>
          <w:rFonts w:ascii="Palatino Linotype" w:hAnsi="Palatino Linotype"/>
          <w:lang w:val="en-US"/>
        </w:rPr>
        <w:t xml:space="preserve"> with regard to formal transparency</w:t>
      </w:r>
      <w:r w:rsidRPr="00E53DD1">
        <w:rPr>
          <w:rFonts w:ascii="Palatino Linotype" w:hAnsi="Palatino Linotype"/>
          <w:lang w:val="en-US"/>
        </w:rPr>
        <w:t xml:space="preserve"> was on ‘explaining’ trade negotiations and texts to the public, NGOs rather want access to the official documents of negotiations. </w:t>
      </w:r>
    </w:p>
    <w:p w14:paraId="36290684" w14:textId="77777777" w:rsidR="00D16DF2" w:rsidRPr="00E53DD1" w:rsidRDefault="00D16DF2" w:rsidP="00CE3824">
      <w:pPr>
        <w:jc w:val="both"/>
        <w:rPr>
          <w:rFonts w:ascii="Palatino Linotype" w:hAnsi="Palatino Linotype"/>
          <w:lang w:val="en-US"/>
        </w:rPr>
      </w:pPr>
    </w:p>
    <w:p w14:paraId="54946D57" w14:textId="2641B1E3" w:rsidR="00CE3824" w:rsidRPr="00E53DD1" w:rsidRDefault="00CE3824" w:rsidP="00E53DD1">
      <w:pPr>
        <w:pStyle w:val="Heading2"/>
        <w:numPr>
          <w:ilvl w:val="0"/>
          <w:numId w:val="9"/>
        </w:numPr>
        <w:rPr>
          <w:rFonts w:ascii="Palatino Linotype" w:hAnsi="Palatino Linotype"/>
          <w:color w:val="auto"/>
          <w:lang w:val="en-US"/>
        </w:rPr>
      </w:pPr>
      <w:r w:rsidRPr="00E53DD1">
        <w:rPr>
          <w:rFonts w:ascii="Palatino Linotype" w:hAnsi="Palatino Linotype"/>
          <w:color w:val="auto"/>
          <w:lang w:val="en-US"/>
        </w:rPr>
        <w:lastRenderedPageBreak/>
        <w:t>Participation</w:t>
      </w:r>
    </w:p>
    <w:p w14:paraId="5D337ACB" w14:textId="77777777" w:rsidR="00CE3824" w:rsidRPr="00E53DD1" w:rsidRDefault="00CE3824" w:rsidP="00CE3824">
      <w:pPr>
        <w:jc w:val="both"/>
        <w:rPr>
          <w:rFonts w:ascii="Palatino Linotype" w:hAnsi="Palatino Linotype"/>
          <w:lang w:val="en-US"/>
        </w:rPr>
      </w:pPr>
    </w:p>
    <w:p w14:paraId="1F2252CA" w14:textId="3FD0945B" w:rsidR="00CE3824" w:rsidRPr="00E53DD1" w:rsidRDefault="00CE3824" w:rsidP="00CE3824">
      <w:pPr>
        <w:jc w:val="both"/>
        <w:rPr>
          <w:rFonts w:ascii="Palatino Linotype" w:hAnsi="Palatino Linotype"/>
          <w:lang w:val="en-US"/>
        </w:rPr>
      </w:pPr>
      <w:r w:rsidRPr="00E53DD1">
        <w:rPr>
          <w:rFonts w:ascii="Palatino Linotype" w:hAnsi="Palatino Linotype"/>
          <w:lang w:val="en-US"/>
        </w:rPr>
        <w:t>For business organizations, claims to increase participation and stakeholder consulta</w:t>
      </w:r>
      <w:r w:rsidR="000D0A81" w:rsidRPr="00E53DD1">
        <w:rPr>
          <w:rFonts w:ascii="Palatino Linotype" w:hAnsi="Palatino Linotype"/>
          <w:lang w:val="en-US"/>
        </w:rPr>
        <w:t>tion are very scarce.</w:t>
      </w:r>
      <w:r w:rsidRPr="00E53DD1">
        <w:rPr>
          <w:rFonts w:ascii="Palatino Linotype" w:hAnsi="Palatino Linotype"/>
          <w:lang w:val="en-US"/>
        </w:rPr>
        <w:t xml:space="preserve"> The main demand concerns the TTIP Advisory Group, which is a group of 16 civil society and business representatives that has been established early 2014 and has been lauded in itself. Recommendations in this respect are about expanding the group (BDI, VDA) and about the inner-workings, giving the AG more time to comment on more comprehensive briefings on US positions (BE, DI, SI). Other (singular) requests are about increasing dialogue with SMEs (FI), with issue specific stakeholders (TABC) and in so-called citizen dialogues (VDA). </w:t>
      </w:r>
    </w:p>
    <w:p w14:paraId="02CED55F" w14:textId="3AB3BA08"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The scarcity of participatory mentions becomes fully manifest if compared to how NGOs have described transparency and its link to other </w:t>
      </w:r>
      <w:r w:rsidR="00034D79" w:rsidRPr="00E53DD1">
        <w:rPr>
          <w:rFonts w:ascii="Palatino Linotype" w:hAnsi="Palatino Linotype"/>
          <w:lang w:val="en-US"/>
        </w:rPr>
        <w:t>conditions for legitimacy</w:t>
      </w:r>
      <w:r w:rsidRPr="00E53DD1">
        <w:rPr>
          <w:rFonts w:ascii="Palatino Linotype" w:hAnsi="Palatino Linotype"/>
          <w:lang w:val="en-US"/>
        </w:rPr>
        <w:t xml:space="preserve">. First of all, several NGOs have mentioned how </w:t>
      </w:r>
      <w:r w:rsidRPr="00E53DD1">
        <w:rPr>
          <w:rFonts w:ascii="Palatino Linotype" w:hAnsi="Palatino Linotype"/>
          <w:i/>
          <w:lang w:val="en-US"/>
        </w:rPr>
        <w:t>transparency is only a stepping stone towards more participation</w:t>
      </w:r>
      <w:r w:rsidRPr="00E53DD1">
        <w:rPr>
          <w:rFonts w:ascii="Palatino Linotype" w:hAnsi="Palatino Linotype"/>
          <w:lang w:val="en-US"/>
        </w:rPr>
        <w:t xml:space="preserve">: </w:t>
      </w:r>
    </w:p>
    <w:p w14:paraId="53DC43A6" w14:textId="77777777" w:rsidR="00CE3824" w:rsidRPr="00E53DD1" w:rsidRDefault="00CE3824" w:rsidP="00CE3824">
      <w:pPr>
        <w:pStyle w:val="ListParagraph"/>
        <w:numPr>
          <w:ilvl w:val="0"/>
          <w:numId w:val="6"/>
        </w:numPr>
        <w:spacing w:line="256" w:lineRule="auto"/>
        <w:jc w:val="both"/>
        <w:rPr>
          <w:rFonts w:ascii="Palatino Linotype" w:hAnsi="Palatino Linotype"/>
          <w:lang w:val="en-US"/>
        </w:rPr>
      </w:pPr>
      <w:r w:rsidRPr="00E53DD1">
        <w:rPr>
          <w:rFonts w:ascii="Palatino Linotype" w:hAnsi="Palatino Linotype"/>
          <w:lang w:val="en-US"/>
        </w:rPr>
        <w:t xml:space="preserve">”Enter into negotiations with transparency as a corner stone of the mandate, fully in line with its duty ‘to promote good governance and ensure the participation of civil society’” (FOEE, TE); </w:t>
      </w:r>
    </w:p>
    <w:p w14:paraId="441C229B" w14:textId="77777777" w:rsidR="00CE3824" w:rsidRPr="00E53DD1" w:rsidRDefault="00CE3824" w:rsidP="00CE3824">
      <w:pPr>
        <w:pStyle w:val="ListParagraph"/>
        <w:numPr>
          <w:ilvl w:val="0"/>
          <w:numId w:val="6"/>
        </w:numPr>
        <w:spacing w:line="256" w:lineRule="auto"/>
        <w:jc w:val="both"/>
        <w:rPr>
          <w:rFonts w:ascii="Palatino Linotype" w:hAnsi="Palatino Linotype"/>
          <w:lang w:val="en-US"/>
        </w:rPr>
      </w:pPr>
      <w:r w:rsidRPr="00E53DD1">
        <w:rPr>
          <w:rFonts w:ascii="Palatino Linotype" w:hAnsi="Palatino Linotype"/>
          <w:lang w:val="en-US"/>
        </w:rPr>
        <w:t xml:space="preserve">“Transparency must be a sine qua non prerequisite of trade negotiations as it brings wide-ranging benefits by enabling democratic participation and needed scrutiny in the process” (ACC); </w:t>
      </w:r>
    </w:p>
    <w:p w14:paraId="066862FD" w14:textId="77777777" w:rsidR="00CE3824" w:rsidRPr="00E53DD1" w:rsidRDefault="00CE3824" w:rsidP="00CE3824">
      <w:pPr>
        <w:pStyle w:val="ListParagraph"/>
        <w:numPr>
          <w:ilvl w:val="0"/>
          <w:numId w:val="6"/>
        </w:numPr>
        <w:spacing w:line="256" w:lineRule="auto"/>
        <w:jc w:val="both"/>
        <w:rPr>
          <w:rFonts w:ascii="Palatino Linotype" w:hAnsi="Palatino Linotype"/>
          <w:lang w:val="en-US"/>
        </w:rPr>
      </w:pPr>
      <w:r w:rsidRPr="00E53DD1">
        <w:rPr>
          <w:rFonts w:ascii="Palatino Linotype" w:hAnsi="Palatino Linotype"/>
          <w:lang w:val="en-US"/>
        </w:rPr>
        <w:t xml:space="preserve">“By disclosing and proactively publishing more information and documentation to citizens and civil society groups, the EU could more effectively open participatory mechanisms and foster healthy public debate” (AI); </w:t>
      </w:r>
    </w:p>
    <w:p w14:paraId="6DAA2CBE" w14:textId="77777777" w:rsidR="00CE3824" w:rsidRPr="00E53DD1" w:rsidRDefault="00CE3824" w:rsidP="00CE3824">
      <w:pPr>
        <w:pStyle w:val="ListParagraph"/>
        <w:numPr>
          <w:ilvl w:val="0"/>
          <w:numId w:val="6"/>
        </w:numPr>
        <w:spacing w:line="256" w:lineRule="auto"/>
        <w:jc w:val="both"/>
        <w:rPr>
          <w:rFonts w:ascii="Palatino Linotype" w:hAnsi="Palatino Linotype"/>
          <w:lang w:val="en-US"/>
        </w:rPr>
      </w:pPr>
      <w:r w:rsidRPr="00E53DD1">
        <w:rPr>
          <w:rFonts w:ascii="Palatino Linotype" w:hAnsi="Palatino Linotype"/>
          <w:lang w:val="en-US"/>
        </w:rPr>
        <w:t xml:space="preserve">Greater transparency in the negotiations will help ensure that the public can follow the progress of these talks and contribute to shaping their outcome (EDRI); “Regulation 1049/2001 expressly acknowledges that openness enables citizens to participate more closely in the decision-making process” (ClientEarth). </w:t>
      </w:r>
    </w:p>
    <w:p w14:paraId="34837501" w14:textId="77777777" w:rsidR="00CE3824" w:rsidRPr="00E53DD1" w:rsidRDefault="00CE3824" w:rsidP="00CE3824">
      <w:pPr>
        <w:pStyle w:val="ListParagraph"/>
        <w:numPr>
          <w:ilvl w:val="0"/>
          <w:numId w:val="6"/>
        </w:numPr>
        <w:spacing w:line="256" w:lineRule="auto"/>
        <w:jc w:val="both"/>
        <w:rPr>
          <w:rFonts w:ascii="Palatino Linotype" w:hAnsi="Palatino Linotype"/>
          <w:lang w:val="en-US"/>
        </w:rPr>
      </w:pPr>
      <w:r w:rsidRPr="00E53DD1">
        <w:rPr>
          <w:rFonts w:ascii="Palatino Linotype" w:hAnsi="Palatino Linotype"/>
          <w:lang w:val="en-US"/>
        </w:rPr>
        <w:t>IGO summarized this complementarity well, by arguing that the task of the European Commission is not only technically providing key documents but also building trust among citizens that this institution actually wants citizens to participate in the debate.</w:t>
      </w:r>
    </w:p>
    <w:p w14:paraId="322C6422" w14:textId="77777777"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Secondly, this is evidenced in how NGOs perceive </w:t>
      </w:r>
      <w:r w:rsidRPr="00E53DD1">
        <w:rPr>
          <w:rFonts w:ascii="Palatino Linotype" w:hAnsi="Palatino Linotype"/>
          <w:i/>
          <w:lang w:val="en-US"/>
        </w:rPr>
        <w:t>measures to go together</w:t>
      </w:r>
      <w:r w:rsidRPr="00E53DD1">
        <w:rPr>
          <w:rFonts w:ascii="Palatino Linotype" w:hAnsi="Palatino Linotype"/>
          <w:lang w:val="en-US"/>
        </w:rPr>
        <w:t xml:space="preserve">. The NGO Access, for example, identifies six areas that need to be addressed </w:t>
      </w:r>
      <w:r w:rsidRPr="00E53DD1">
        <w:rPr>
          <w:rFonts w:ascii="Palatino Linotype" w:hAnsi="Palatino Linotype"/>
          <w:i/>
          <w:lang w:val="en-US"/>
        </w:rPr>
        <w:t>together</w:t>
      </w:r>
      <w:r w:rsidRPr="00E53DD1">
        <w:rPr>
          <w:rFonts w:ascii="Palatino Linotype" w:hAnsi="Palatino Linotype"/>
          <w:lang w:val="en-US"/>
        </w:rPr>
        <w:t xml:space="preserve">: access to documents, advisory groups, stakeholder dialogues, involvement of parliaments, reading rooms and identifying “revolving doors”. The same goes for BEUC and TACD, who listed a whole range of claims both on transparency and participation and state that “The proposals listed below need to be implemented and assessed in combination because they complement each other and only together they would lead as an end-result to a more credible trade deal”. TACD summarizes this point well: “Why ‘transparency’? Meaningful input by those directly affected by the negotiations will result in more balanced provisions of the agreement”. </w:t>
      </w:r>
    </w:p>
    <w:p w14:paraId="6C0A2BBD" w14:textId="77777777"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Thirdly, </w:t>
      </w:r>
      <w:r w:rsidRPr="00E53DD1">
        <w:rPr>
          <w:rFonts w:ascii="Palatino Linotype" w:hAnsi="Palatino Linotype"/>
          <w:i/>
          <w:lang w:val="en-US"/>
        </w:rPr>
        <w:t>existing participatory mechanisms have been a</w:t>
      </w:r>
      <w:r w:rsidRPr="00E53DD1">
        <w:rPr>
          <w:rFonts w:ascii="Palatino Linotype" w:hAnsi="Palatino Linotype"/>
          <w:lang w:val="en-US"/>
        </w:rPr>
        <w:t xml:space="preserve"> </w:t>
      </w:r>
      <w:r w:rsidRPr="00E53DD1">
        <w:rPr>
          <w:rFonts w:ascii="Palatino Linotype" w:hAnsi="Palatino Linotype"/>
          <w:i/>
          <w:lang w:val="en-US"/>
        </w:rPr>
        <w:t>concern on its own</w:t>
      </w:r>
      <w:r w:rsidRPr="00E53DD1">
        <w:rPr>
          <w:rFonts w:ascii="Palatino Linotype" w:hAnsi="Palatino Linotype"/>
          <w:lang w:val="en-US"/>
        </w:rPr>
        <w:t xml:space="preserve"> as well: “Existing channels of consultation with stakeholders currently feature major shortcomings when it comes to availability of documents and effectiveness of input-feeding means into the process” </w:t>
      </w:r>
      <w:r w:rsidRPr="00E53DD1">
        <w:rPr>
          <w:rFonts w:ascii="Palatino Linotype" w:hAnsi="Palatino Linotype"/>
          <w:lang w:val="en-US"/>
        </w:rPr>
        <w:lastRenderedPageBreak/>
        <w:t>(BEUC). Concerning the so-called ‘Civil Society Dialogues’, these are still perceived more as briefings from the Commission, where a few questions at the end are raised in a rapid-fire manner with vague answers as a response (EDRI, ACC, FP). In short, “these meetings do not enable the promised “dialogue” to take place” (ACC). Public consultations furthermore offer “a fig leaf of credibility to the policies adopted, they are in fact totally inadequate for gauging the needs or wishes of the citizens affected” (FW). Lastly, members of the Advisory Group itself (BEUC, TE) have pointed out numerous deficiencies in the working of the group, openly questioning “to which extent the AG risks being a tool to white wash non-transparent processes” (BEUC). In general, “Reaching out to all stakeholders and allowing them to voice their concerns at the negotiation table would deliver a more effective deal that safeguards European citizens’ interests, and that will probably gain the support and trust, rather than opposition of, civil society” (EMI); “Participation is a human right. We are still far away from the human right of everyone to take part in an active and informed way, and without discrimination, in any important decision making process” (FFII).</w:t>
      </w:r>
    </w:p>
    <w:p w14:paraId="5D3CE520" w14:textId="102C1201"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Fourthly, when asked for </w:t>
      </w:r>
      <w:r w:rsidRPr="00E53DD1">
        <w:rPr>
          <w:rFonts w:ascii="Palatino Linotype" w:hAnsi="Palatino Linotype"/>
          <w:i/>
          <w:lang w:val="en-US"/>
        </w:rPr>
        <w:t>best practices of transparency</w:t>
      </w:r>
      <w:r w:rsidRPr="00E53DD1">
        <w:rPr>
          <w:rFonts w:ascii="Palatino Linotype" w:hAnsi="Palatino Linotype"/>
          <w:lang w:val="en-US"/>
        </w:rPr>
        <w:t xml:space="preserve"> in other institutions, there were some examples that came back repeatedly, which </w:t>
      </w:r>
      <w:r w:rsidR="00CB688F" w:rsidRPr="00E53DD1">
        <w:rPr>
          <w:rFonts w:ascii="Palatino Linotype" w:hAnsi="Palatino Linotype"/>
          <w:lang w:val="en-US"/>
        </w:rPr>
        <w:t xml:space="preserve">describe </w:t>
      </w:r>
      <w:r w:rsidRPr="00E53DD1">
        <w:rPr>
          <w:rFonts w:ascii="Palatino Linotype" w:hAnsi="Palatino Linotype"/>
          <w:lang w:val="en-US"/>
        </w:rPr>
        <w:t xml:space="preserve">a very </w:t>
      </w:r>
      <w:r w:rsidR="00CB688F" w:rsidRPr="00E53DD1">
        <w:rPr>
          <w:rFonts w:ascii="Palatino Linotype" w:hAnsi="Palatino Linotype"/>
          <w:lang w:val="en-US"/>
        </w:rPr>
        <w:t xml:space="preserve">far-reaching </w:t>
      </w:r>
      <w:r w:rsidR="00022BF0" w:rsidRPr="00E53DD1">
        <w:rPr>
          <w:rFonts w:ascii="Palatino Linotype" w:hAnsi="Palatino Linotype"/>
          <w:lang w:val="en-US"/>
        </w:rPr>
        <w:t>outlook on the</w:t>
      </w:r>
      <w:r w:rsidRPr="00E53DD1">
        <w:rPr>
          <w:rFonts w:ascii="Palatino Linotype" w:hAnsi="Palatino Linotype"/>
          <w:lang w:val="en-US"/>
        </w:rPr>
        <w:t xml:space="preserve"> transparency-participation issue. The first is the WIPO negotiation process that led to the Marrakesh Treaty to facilitate access to published works for persons who are blind, visually impaired or otherwise print disabled. This has been considered a hallmark of transparency and participation all along the process, with timely release of (meaningful) documents, open (and webcasted) meetings, and observers given participation rights and wide access (see e.g. McIntosh, 2014)</w:t>
      </w:r>
      <w:r w:rsidRPr="00E53DD1">
        <w:rPr>
          <w:rStyle w:val="FootnoteReference"/>
          <w:rFonts w:ascii="Palatino Linotype" w:hAnsi="Palatino Linotype"/>
          <w:lang w:val="en-US"/>
        </w:rPr>
        <w:footnoteReference w:id="10"/>
      </w:r>
      <w:r w:rsidRPr="00E53DD1">
        <w:rPr>
          <w:rFonts w:ascii="Palatino Linotype" w:hAnsi="Palatino Linotype"/>
          <w:lang w:val="en-US"/>
        </w:rPr>
        <w:t xml:space="preserve">. The second is the Aarhus Convention, where meetings of all bodies are as a rule public, and where accredited observers can participate in meetings and even in drafting groups to work together with the parties to develop text. They also have the same speaking rights as parties. Other best practices mentioned were the UNFCCC, the FTAA negotiations and even the WTO was sometimes presented as providing more opportunities for participation and better transparency than the TTIP negotiations. In sum, by referring to these far-reaching best practices, NGOs again propose a different model of transparency and participation than what is currently in place. </w:t>
      </w:r>
    </w:p>
    <w:p w14:paraId="042ED305" w14:textId="00372930" w:rsidR="00CE3824" w:rsidRPr="00E53DD1" w:rsidRDefault="00CE3824" w:rsidP="00CE3824">
      <w:pPr>
        <w:jc w:val="both"/>
        <w:rPr>
          <w:rFonts w:ascii="Palatino Linotype" w:hAnsi="Palatino Linotype"/>
          <w:lang w:val="en-US"/>
        </w:rPr>
      </w:pPr>
      <w:r w:rsidRPr="00E53DD1">
        <w:rPr>
          <w:rFonts w:ascii="Palatino Linotype" w:hAnsi="Palatino Linotype"/>
          <w:lang w:val="en-US"/>
        </w:rPr>
        <w:t xml:space="preserve">Lastly, we take a look at </w:t>
      </w:r>
      <w:r w:rsidRPr="00E53DD1">
        <w:rPr>
          <w:rFonts w:ascii="Palatino Linotype" w:hAnsi="Palatino Linotype"/>
          <w:i/>
          <w:lang w:val="en-US"/>
        </w:rPr>
        <w:t>specific demands with respect to participation</w:t>
      </w:r>
      <w:r w:rsidRPr="00E53DD1">
        <w:rPr>
          <w:rFonts w:ascii="Palatino Linotype" w:hAnsi="Palatino Linotype"/>
          <w:lang w:val="en-US"/>
        </w:rPr>
        <w:t>. To some extent these are ‘remedies’ to the deficiencies with current channels outlined above. Most elaborate</w:t>
      </w:r>
      <w:r w:rsidR="00022BF0" w:rsidRPr="00E53DD1">
        <w:rPr>
          <w:rFonts w:ascii="Palatino Linotype" w:hAnsi="Palatino Linotype"/>
          <w:lang w:val="en-US"/>
        </w:rPr>
        <w:t>d</w:t>
      </w:r>
      <w:r w:rsidRPr="00E53DD1">
        <w:rPr>
          <w:rFonts w:ascii="Palatino Linotype" w:hAnsi="Palatino Linotype"/>
          <w:lang w:val="en-US"/>
        </w:rPr>
        <w:t xml:space="preserve"> are </w:t>
      </w:r>
      <w:r w:rsidR="00022BF0" w:rsidRPr="00E53DD1">
        <w:rPr>
          <w:rFonts w:ascii="Palatino Linotype" w:hAnsi="Palatino Linotype"/>
          <w:lang w:val="en-US"/>
        </w:rPr>
        <w:t xml:space="preserve">the </w:t>
      </w:r>
      <w:r w:rsidRPr="00E53DD1">
        <w:rPr>
          <w:rFonts w:ascii="Palatino Linotype" w:hAnsi="Palatino Linotype"/>
          <w:lang w:val="en-US"/>
        </w:rPr>
        <w:t xml:space="preserve">demands to improve the work of the </w:t>
      </w:r>
      <w:r w:rsidRPr="00E53DD1">
        <w:rPr>
          <w:rFonts w:ascii="Palatino Linotype" w:hAnsi="Palatino Linotype"/>
          <w:i/>
          <w:lang w:val="en-US"/>
        </w:rPr>
        <w:t>Advisory Group</w:t>
      </w:r>
      <w:r w:rsidRPr="00E53DD1">
        <w:rPr>
          <w:rFonts w:ascii="Palatino Linotype" w:hAnsi="Palatino Linotype"/>
          <w:lang w:val="en-US"/>
        </w:rPr>
        <w:t xml:space="preserve">. Texts being developed for future rounds (and merged legal texts) should be presented in due time and on a secure online platform, to allow AG members to make sensible contributions, on which the Commission should respond meaningfully (ACC, EMI, BEUC, EPHA, EDRI). The selection process should be made more transparent (ACC, EDRI) and the group should be expanded to more stakeholders (EDRI, FFII). The group should also be included in the negotiations more fully (EMI) and mechanisms should be devised which means this group can receive inputs from third parties. Secondly, the </w:t>
      </w:r>
      <w:r w:rsidRPr="00E53DD1">
        <w:rPr>
          <w:rFonts w:ascii="Palatino Linotype" w:hAnsi="Palatino Linotype"/>
          <w:i/>
          <w:lang w:val="en-US"/>
        </w:rPr>
        <w:t>stakeholder dialogues</w:t>
      </w:r>
      <w:r w:rsidRPr="00E53DD1">
        <w:rPr>
          <w:rFonts w:ascii="Palatino Linotype" w:hAnsi="Palatino Linotype"/>
          <w:lang w:val="en-US"/>
        </w:rPr>
        <w:t xml:space="preserve"> should resemble a true ‘dialogue’ between stakeholders and the </w:t>
      </w:r>
      <w:r w:rsidRPr="00E53DD1">
        <w:rPr>
          <w:rFonts w:ascii="Palatino Linotype" w:hAnsi="Palatino Linotype"/>
          <w:lang w:val="en-US"/>
        </w:rPr>
        <w:lastRenderedPageBreak/>
        <w:t xml:space="preserve">Commission (ACC, FP, EDRI). The criteria to be involved in the CSD must be clearly spelt out (EDRI) and the meetings would be more meaningful if sector-specific roundtables were established to provide direct input, in which stakeholders have access to technical documents, and this participation has the potential to shape the strategy and positioning of the negotiations (ACC, FP). </w:t>
      </w:r>
    </w:p>
    <w:p w14:paraId="44BFF781" w14:textId="4B531EC3" w:rsidR="003B5A1F" w:rsidRPr="00E53DD1" w:rsidRDefault="00CE3824" w:rsidP="00C85DBE">
      <w:pPr>
        <w:jc w:val="both"/>
        <w:rPr>
          <w:rFonts w:ascii="Palatino Linotype" w:hAnsi="Palatino Linotype"/>
          <w:lang w:val="en-US"/>
        </w:rPr>
      </w:pPr>
      <w:r w:rsidRPr="00E53DD1">
        <w:rPr>
          <w:rFonts w:ascii="Palatino Linotype" w:hAnsi="Palatino Linotype"/>
          <w:lang w:val="en-US"/>
        </w:rPr>
        <w:t>Besides the (meaningful) upgrading of existing channels, the demand for public consultations at various stages of the negotiations is a popular</w:t>
      </w:r>
      <w:r w:rsidR="00CB688F" w:rsidRPr="00E53DD1">
        <w:rPr>
          <w:rFonts w:ascii="Palatino Linotype" w:hAnsi="Palatino Linotype"/>
          <w:lang w:val="en-US"/>
        </w:rPr>
        <w:t xml:space="preserve"> additional</w:t>
      </w:r>
      <w:r w:rsidRPr="00E53DD1">
        <w:rPr>
          <w:rFonts w:ascii="Palatino Linotype" w:hAnsi="Palatino Linotype"/>
          <w:lang w:val="en-US"/>
        </w:rPr>
        <w:t xml:space="preserve"> demand, but heterogeneous in its application. For some, consultations should take place before and after every negotiating round (BUND), where a technical workshop is organized to have a dialogue about the concrete application of certain parts of the text (MPE; PC). For others, consultations should be held on each aspect of trade that touches on EU and national rule-making (such as ISDS or regulatory cooperation), to help develop its negotiating position (FOEE, TE, WECF, AI, FP, CWF). A last option is to hold consultations at key stages of the negotiations: prior to the launch, on the draft mandate, on initial position papers, and on the final draft consolidated legal text (TACD, BEUC, EPHA). Whatever the exact timing or constellation, all contributions ask for the results of these public consultations to be fully reflected in the positions that negotiators take. </w:t>
      </w:r>
    </w:p>
    <w:p w14:paraId="7E40EF41" w14:textId="77777777" w:rsidR="00B44DA2" w:rsidRPr="00E53DD1" w:rsidRDefault="00B44DA2" w:rsidP="00C85DBE">
      <w:pPr>
        <w:jc w:val="both"/>
        <w:rPr>
          <w:rFonts w:ascii="Palatino Linotype" w:hAnsi="Palatino Linotype"/>
          <w:lang w:val="en-US"/>
        </w:rPr>
      </w:pPr>
    </w:p>
    <w:p w14:paraId="134C770F" w14:textId="06AAB427" w:rsidR="003B5A1F" w:rsidRPr="00E53DD1" w:rsidRDefault="003B5A1F" w:rsidP="00E53DD1">
      <w:pPr>
        <w:pStyle w:val="Heading2"/>
        <w:numPr>
          <w:ilvl w:val="0"/>
          <w:numId w:val="9"/>
        </w:numPr>
        <w:rPr>
          <w:rFonts w:ascii="Palatino Linotype" w:hAnsi="Palatino Linotype"/>
          <w:color w:val="auto"/>
          <w:lang w:val="en-US"/>
        </w:rPr>
      </w:pPr>
      <w:r w:rsidRPr="00E53DD1">
        <w:rPr>
          <w:rFonts w:ascii="Palatino Linotype" w:hAnsi="Palatino Linotype"/>
          <w:color w:val="auto"/>
          <w:lang w:val="en-US"/>
        </w:rPr>
        <w:t>The Ombudsman’s decision and the Commission’s follow-up</w:t>
      </w:r>
    </w:p>
    <w:p w14:paraId="7780472C" w14:textId="77777777" w:rsidR="003B5A1F" w:rsidRPr="00E53DD1" w:rsidRDefault="003B5A1F" w:rsidP="003B5A1F">
      <w:pPr>
        <w:jc w:val="both"/>
        <w:rPr>
          <w:rFonts w:ascii="Palatino Linotype" w:hAnsi="Palatino Linotype"/>
          <w:lang w:val="en-US"/>
        </w:rPr>
      </w:pPr>
    </w:p>
    <w:p w14:paraId="5AE4FA2F" w14:textId="4C52A545" w:rsidR="003B5A1F" w:rsidRPr="00E53DD1" w:rsidRDefault="003B5A1F" w:rsidP="003B5A1F">
      <w:pPr>
        <w:jc w:val="both"/>
        <w:rPr>
          <w:rFonts w:ascii="Palatino Linotype" w:hAnsi="Palatino Linotype"/>
          <w:lang w:val="en-US"/>
        </w:rPr>
      </w:pPr>
      <w:r w:rsidRPr="00E53DD1">
        <w:rPr>
          <w:rFonts w:ascii="Palatino Linotype" w:hAnsi="Palatino Linotype"/>
          <w:lang w:val="en-US"/>
        </w:rPr>
        <w:t xml:space="preserve">Notwithstanding that the questions in her public consultation referred rather to formal aspects of transparency (cfr. supra), in her decision closing the inquiry, the Ombudsman concluded that her ‘public consultation confirm[s] that citizens expect and demand the right to know </w:t>
      </w:r>
      <w:r w:rsidRPr="00E53DD1">
        <w:rPr>
          <w:rFonts w:ascii="Palatino Linotype" w:hAnsi="Palatino Linotype"/>
          <w:i/>
          <w:lang w:val="en-US"/>
        </w:rPr>
        <w:t>and to</w:t>
      </w:r>
      <w:r w:rsidRPr="00E53DD1">
        <w:rPr>
          <w:rFonts w:ascii="Palatino Linotype" w:hAnsi="Palatino Linotype"/>
          <w:lang w:val="en-US"/>
        </w:rPr>
        <w:t xml:space="preserve"> </w:t>
      </w:r>
      <w:r w:rsidRPr="00E53DD1">
        <w:rPr>
          <w:rFonts w:ascii="Palatino Linotype" w:hAnsi="Palatino Linotype"/>
          <w:i/>
          <w:lang w:val="en-US"/>
        </w:rPr>
        <w:t>participate</w:t>
      </w:r>
      <w:r w:rsidRPr="00E53DD1">
        <w:rPr>
          <w:rFonts w:ascii="Palatino Linotype" w:hAnsi="Palatino Linotype"/>
          <w:lang w:val="en-US"/>
        </w:rPr>
        <w:t xml:space="preserve"> when it comes to TTIP’ (European Ombudsman 2015, emphasis added). Her suggestions were included under three headings, two of which refer to formal transparency and one to participation, respectively: ‘greater public access to negotiating documents’, ‘more proactive disclosure of documents’ and ‘more balanced and transparent public participation’. With regard to the latter, the Ombudsman’s recommendations come down to ensuring that the Commission’s contacts with non-governmental organisations make for a balanced representation and to being ‘transparent about participation’, i.e. publishing details and substantial summaries of its contacts, also at lower levels of the organisation.</w:t>
      </w:r>
    </w:p>
    <w:p w14:paraId="5696156D" w14:textId="3C27520A" w:rsidR="003B5A1F" w:rsidRPr="00E53DD1" w:rsidRDefault="003B5A1F" w:rsidP="003B5A1F">
      <w:pPr>
        <w:jc w:val="both"/>
        <w:rPr>
          <w:rFonts w:ascii="Palatino Linotype" w:hAnsi="Palatino Linotype"/>
          <w:lang w:val="en-US"/>
        </w:rPr>
      </w:pPr>
      <w:r w:rsidRPr="00E53DD1">
        <w:rPr>
          <w:rFonts w:ascii="Palatino Linotype" w:hAnsi="Palatino Linotype"/>
          <w:lang w:val="en-US"/>
        </w:rPr>
        <w:t xml:space="preserve">In its official response to this decisions, ‘[t]he Commission appreciates the European Ombudsman’s call for a more proactive approach to transparency and welcomes the suggestions made’ (European Commission 2015b: 1). It emphasized that on 7 January 2015, the Commission published, for the first time ever, eight EU textual proposals and a number of new position papers, accompanied by explanatory leaflets to make these more accessible for a wider audience. With regard to the Ombudsman’s suggestion to ask the US to also publish ‘common negotiating texts’ and to justify explicitly if and when this is refused, the Commission stated that ‘in the context of an international negotiation, the Commission’s political commitment to transparency is </w:t>
      </w:r>
      <w:r w:rsidR="00E53DD1">
        <w:rPr>
          <w:rFonts w:ascii="Palatino Linotype" w:hAnsi="Palatino Linotype"/>
          <w:lang w:val="en-US"/>
        </w:rPr>
        <w:t>limited to its own documents’ (i</w:t>
      </w:r>
      <w:r w:rsidRPr="00E53DD1">
        <w:rPr>
          <w:rFonts w:ascii="Palatino Linotype" w:hAnsi="Palatino Linotype"/>
          <w:lang w:val="en-US"/>
        </w:rPr>
        <w:t xml:space="preserve">bid.) and that it has discussed transparency with the US repeatedly, but that the latter has explicitly asked the Commission not to publish US documents or consolidated texts. Consolidated documents </w:t>
      </w:r>
      <w:r w:rsidRPr="00E53DD1">
        <w:rPr>
          <w:rFonts w:ascii="Palatino Linotype" w:hAnsi="Palatino Linotype"/>
          <w:lang w:val="en-US"/>
        </w:rPr>
        <w:lastRenderedPageBreak/>
        <w:t xml:space="preserve">have, however, </w:t>
      </w:r>
      <w:r w:rsidR="00116431" w:rsidRPr="00E53DD1">
        <w:rPr>
          <w:rFonts w:ascii="Palatino Linotype" w:hAnsi="Palatino Linotype"/>
          <w:lang w:val="en-US"/>
        </w:rPr>
        <w:t xml:space="preserve">been </w:t>
      </w:r>
      <w:r w:rsidRPr="00E53DD1">
        <w:rPr>
          <w:rFonts w:ascii="Palatino Linotype" w:hAnsi="Palatino Linotype"/>
          <w:lang w:val="en-US"/>
        </w:rPr>
        <w:t xml:space="preserve">made available to all MEPs as well as Member State national parliamentarians. The Commission also responded negatively to the suggestion of the Ombudsman to as a rule publish proactively all relevant internal documents pertaining to the TTIP negotiations, and justifying the exceptions where it </w:t>
      </w:r>
      <w:r w:rsidR="00022BF0" w:rsidRPr="00E53DD1">
        <w:rPr>
          <w:rFonts w:ascii="Palatino Linotype" w:hAnsi="Palatino Linotype"/>
          <w:lang w:val="en-US"/>
        </w:rPr>
        <w:t>does not</w:t>
      </w:r>
      <w:r w:rsidRPr="00E53DD1">
        <w:rPr>
          <w:rFonts w:ascii="Palatino Linotype" w:hAnsi="Palatino Linotype"/>
          <w:lang w:val="en-US"/>
        </w:rPr>
        <w:t xml:space="preserve">, as this would ‘represent a disproportionate burden on the Commission services … a climate of trust is needed to successfully conclude these negotiations in the best interest of EU citizens’ (Ibid.: 3). With regard to public participation, the Commission reiterated its already implemented actions in terms of a ‘TTIP Advisory Group, public consultations and stakeholder involvement’ (Ibid.: 4-8).  </w:t>
      </w:r>
    </w:p>
    <w:p w14:paraId="1043D160" w14:textId="34B76561" w:rsidR="00A05D47" w:rsidRPr="00E53DD1" w:rsidRDefault="00A05D47" w:rsidP="00A05D47">
      <w:pPr>
        <w:jc w:val="both"/>
        <w:rPr>
          <w:rFonts w:ascii="Palatino Linotype" w:hAnsi="Palatino Linotype"/>
          <w:lang w:val="en-US"/>
        </w:rPr>
      </w:pPr>
      <w:r w:rsidRPr="00E53DD1">
        <w:rPr>
          <w:rFonts w:ascii="Palatino Linotype" w:hAnsi="Palatino Linotype"/>
          <w:lang w:val="en-US"/>
        </w:rPr>
        <w:t>Arguably, the transparency initiatives since Commissioner Malmström assumed office can be seen as an evolution, rather than a revolution. Several mechanisms were already in place, such as the establishment of the TTIP Advisory Group, stakeholder meetings during negotiating rounds, the publication of the negotiating mandate, while others had been taken early on in the term of the current Commissioner Cecilia Malmström (with the transparency initiative of 25 November 2014, which led to making public more EU negotiating texts, providing access to TTIP texts to all MEPs, classifying less documents as restricted and publishing and regularly updating a public list of TTIP documents shared with the European Parliament and the Council). In the following years, these actions would rather be intensified and streamlined, such as by publishing more textual proposals and enlarging access to negotiating texts to national MPs. Also, the outreach of the Commissioner, her cabinet Members and senior DG Trade officials would be reinforced, without introducing qualitatively new mechanisms. However, as is widely recognized, Commissioner Malmström seems to have given the existing mechanisms more priority and adopts a more open ‘style’ towards CSOs.</w:t>
      </w:r>
    </w:p>
    <w:p w14:paraId="14C3F87D" w14:textId="40B001A2" w:rsidR="00A05D47" w:rsidRPr="00E53DD1" w:rsidRDefault="00A05D47" w:rsidP="00A05D47">
      <w:pPr>
        <w:jc w:val="both"/>
        <w:rPr>
          <w:rFonts w:ascii="Palatino Linotype" w:hAnsi="Palatino Linotype"/>
          <w:lang w:val="en-US"/>
        </w:rPr>
      </w:pPr>
      <w:r w:rsidRPr="00E53DD1">
        <w:rPr>
          <w:rFonts w:ascii="Palatino Linotype" w:hAnsi="Palatino Linotype"/>
          <w:lang w:val="en-US"/>
        </w:rPr>
        <w:t xml:space="preserve">With respect to </w:t>
      </w:r>
      <w:r w:rsidR="00E53DD1">
        <w:rPr>
          <w:rFonts w:ascii="Palatino Linotype" w:hAnsi="Palatino Linotype"/>
          <w:lang w:val="en-US"/>
        </w:rPr>
        <w:t>transparency-expectations-gap identified at the outset of this paper,</w:t>
      </w:r>
      <w:r w:rsidRPr="00E53DD1">
        <w:rPr>
          <w:rFonts w:ascii="Palatino Linotype" w:hAnsi="Palatino Linotype"/>
          <w:lang w:val="en-US"/>
        </w:rPr>
        <w:t xml:space="preserve"> we conclude that many of </w:t>
      </w:r>
      <w:r w:rsidR="00E53DD1">
        <w:rPr>
          <w:rFonts w:ascii="Palatino Linotype" w:hAnsi="Palatino Linotype"/>
          <w:lang w:val="en-US"/>
        </w:rPr>
        <w:t>the</w:t>
      </w:r>
      <w:r w:rsidRPr="00E53DD1">
        <w:rPr>
          <w:rFonts w:ascii="Palatino Linotype" w:hAnsi="Palatino Linotype"/>
          <w:lang w:val="en-US"/>
        </w:rPr>
        <w:t xml:space="preserve"> demands, especially </w:t>
      </w:r>
      <w:r w:rsidR="00E53DD1">
        <w:rPr>
          <w:rFonts w:ascii="Palatino Linotype" w:hAnsi="Palatino Linotype"/>
          <w:lang w:val="en-US"/>
        </w:rPr>
        <w:t>detailed</w:t>
      </w:r>
      <w:r w:rsidRPr="00E53DD1">
        <w:rPr>
          <w:rFonts w:ascii="Palatino Linotype" w:hAnsi="Palatino Linotype"/>
          <w:lang w:val="en-US"/>
        </w:rPr>
        <w:t xml:space="preserve"> negotiating documents and meaningful participatory options are not fully realized through the Commission’s initiatives. </w:t>
      </w:r>
      <w:r w:rsidR="00E53DD1">
        <w:rPr>
          <w:rFonts w:ascii="Palatino Linotype" w:hAnsi="Palatino Linotype"/>
          <w:lang w:val="en-US"/>
        </w:rPr>
        <w:t>Regarding</w:t>
      </w:r>
      <w:r w:rsidRPr="00E53DD1">
        <w:rPr>
          <w:rFonts w:ascii="Palatino Linotype" w:hAnsi="Palatino Linotype"/>
          <w:lang w:val="en-US"/>
        </w:rPr>
        <w:t xml:space="preserve"> formal transparency, the Commission </w:t>
      </w:r>
      <w:r w:rsidR="00E57404" w:rsidRPr="00E53DD1">
        <w:rPr>
          <w:rFonts w:ascii="Palatino Linotype" w:hAnsi="Palatino Linotype"/>
          <w:lang w:val="en-US"/>
        </w:rPr>
        <w:t>argues they are to some extent constrained in their efforts by other actors (the US and Member States)</w:t>
      </w:r>
      <w:r w:rsidRPr="00E53DD1">
        <w:rPr>
          <w:rFonts w:ascii="Palatino Linotype" w:hAnsi="Palatino Linotype"/>
          <w:lang w:val="en-US"/>
        </w:rPr>
        <w:t xml:space="preserve">, while at the same time </w:t>
      </w:r>
      <w:r w:rsidR="00E57404" w:rsidRPr="00E53DD1">
        <w:rPr>
          <w:rFonts w:ascii="Palatino Linotype" w:hAnsi="Palatino Linotype"/>
          <w:lang w:val="en-US"/>
        </w:rPr>
        <w:t>it claims it has</w:t>
      </w:r>
      <w:r w:rsidRPr="00E53DD1">
        <w:rPr>
          <w:rFonts w:ascii="Palatino Linotype" w:hAnsi="Palatino Linotype"/>
          <w:lang w:val="en-US"/>
        </w:rPr>
        <w:t xml:space="preserve"> done everything in its power. Regarding participation, there has been no fundamental change. CSOs are furthermore still pondering whether the changes undertaken in TTIP will be applied to other negotiations, as promised in the Trade For All strategy (interview </w:t>
      </w:r>
      <w:r w:rsidR="007F6C1E" w:rsidRPr="00E53DD1">
        <w:rPr>
          <w:rFonts w:ascii="Palatino Linotype" w:hAnsi="Palatino Linotype"/>
          <w:lang w:val="en-US"/>
        </w:rPr>
        <w:t>1</w:t>
      </w:r>
      <w:r w:rsidRPr="00E53DD1">
        <w:rPr>
          <w:rFonts w:ascii="Palatino Linotype" w:hAnsi="Palatino Linotype"/>
          <w:lang w:val="en-US"/>
        </w:rPr>
        <w:t>). This relates to what Grigorescu (2003) calls a distinction between transparency ‘practices’ and ‘institutions’, with the latter referring to e.g. laws on access to information, or strong policy guidelines. Arguably, transparency in EU trade negotiations still has to move to the latter category.</w:t>
      </w:r>
    </w:p>
    <w:p w14:paraId="047223A5" w14:textId="77777777" w:rsidR="003B5A1F" w:rsidRPr="00E53DD1" w:rsidRDefault="003B5A1F" w:rsidP="00C85DBE">
      <w:pPr>
        <w:jc w:val="both"/>
        <w:rPr>
          <w:rFonts w:ascii="Palatino Linotype" w:hAnsi="Palatino Linotype"/>
          <w:lang w:val="en-US"/>
        </w:rPr>
      </w:pPr>
    </w:p>
    <w:p w14:paraId="08A70F33" w14:textId="55D4C2EC" w:rsidR="00DA7CB4" w:rsidRPr="00E53DD1" w:rsidRDefault="00080796" w:rsidP="00C5355B">
      <w:pPr>
        <w:pStyle w:val="Heading1"/>
        <w:jc w:val="both"/>
        <w:rPr>
          <w:rFonts w:ascii="Palatino Linotype" w:hAnsi="Palatino Linotype"/>
          <w:color w:val="auto"/>
          <w:lang w:val="en-US"/>
        </w:rPr>
      </w:pPr>
      <w:r w:rsidRPr="00E53DD1">
        <w:rPr>
          <w:rFonts w:ascii="Palatino Linotype" w:hAnsi="Palatino Linotype"/>
          <w:color w:val="auto"/>
          <w:lang w:val="en-US"/>
        </w:rPr>
        <w:t xml:space="preserve">V – </w:t>
      </w:r>
      <w:r w:rsidR="009B319D" w:rsidRPr="00E53DD1">
        <w:rPr>
          <w:rFonts w:ascii="Palatino Linotype" w:hAnsi="Palatino Linotype"/>
          <w:color w:val="auto"/>
          <w:lang w:val="en-US"/>
        </w:rPr>
        <w:t>Discussion</w:t>
      </w:r>
      <w:r w:rsidR="00EC7028" w:rsidRPr="00E53DD1">
        <w:rPr>
          <w:rFonts w:ascii="Palatino Linotype" w:hAnsi="Palatino Linotype"/>
          <w:color w:val="auto"/>
          <w:lang w:val="en-US"/>
        </w:rPr>
        <w:t xml:space="preserve"> and conclusion</w:t>
      </w:r>
    </w:p>
    <w:p w14:paraId="74F89EBB" w14:textId="77777777" w:rsidR="00EC7028" w:rsidRPr="00E53DD1" w:rsidRDefault="00EC7028" w:rsidP="00E577D7">
      <w:pPr>
        <w:rPr>
          <w:rFonts w:ascii="Palatino Linotype" w:hAnsi="Palatino Linotype"/>
          <w:lang w:val="en-US"/>
        </w:rPr>
      </w:pPr>
    </w:p>
    <w:p w14:paraId="7DD4E82B" w14:textId="1696E5C6" w:rsidR="00DE6431" w:rsidRPr="00E53DD1" w:rsidRDefault="00605500" w:rsidP="00DE6431">
      <w:pPr>
        <w:spacing w:line="276" w:lineRule="auto"/>
        <w:jc w:val="both"/>
        <w:rPr>
          <w:rFonts w:ascii="Palatino Linotype" w:hAnsi="Palatino Linotype"/>
          <w:lang w:val="en-US"/>
        </w:rPr>
      </w:pPr>
      <w:r>
        <w:rPr>
          <w:rFonts w:ascii="Palatino Linotype" w:hAnsi="Palatino Linotype"/>
          <w:lang w:val="en-US"/>
        </w:rPr>
        <w:t>The</w:t>
      </w:r>
      <w:r w:rsidR="00DE6431" w:rsidRPr="00E53DD1">
        <w:rPr>
          <w:rFonts w:ascii="Palatino Linotype" w:hAnsi="Palatino Linotype"/>
          <w:lang w:val="en-US"/>
        </w:rPr>
        <w:t xml:space="preserve"> empirical puzzle at the outset of this article concerned the question why the</w:t>
      </w:r>
      <w:r>
        <w:rPr>
          <w:rFonts w:ascii="Palatino Linotype" w:hAnsi="Palatino Linotype"/>
          <w:lang w:val="en-US"/>
        </w:rPr>
        <w:t xml:space="preserve">re is still criticism of ‘secrecy’, negotiating ‘behind closed doors’ and ‘lack of transparency’, while the </w:t>
      </w:r>
      <w:r>
        <w:rPr>
          <w:rFonts w:ascii="Palatino Linotype" w:hAnsi="Palatino Linotype"/>
          <w:lang w:val="en-US"/>
        </w:rPr>
        <w:lastRenderedPageBreak/>
        <w:t xml:space="preserve">Commission has initiated several transparency initiatives. </w:t>
      </w:r>
      <w:r w:rsidR="00DE6431" w:rsidRPr="00E53DD1">
        <w:rPr>
          <w:rFonts w:ascii="Palatino Linotype" w:hAnsi="Palatino Linotype"/>
          <w:lang w:val="en-US"/>
        </w:rPr>
        <w:t>To trace the theoretical roots of this argument, we reviewed the literature on the authority and legitimacy of international (trade) governance and showed that (also in the past) international organizations – and the EU as a special case – have an incentive to respond to politicization by improving measures related to transparency, access for non-state actors, and accountability. However, these good governance principles have no unambiguous definition, nor is their mu</w:t>
      </w:r>
      <w:r>
        <w:rPr>
          <w:rFonts w:ascii="Palatino Linotype" w:hAnsi="Palatino Linotype"/>
          <w:lang w:val="en-US"/>
        </w:rPr>
        <w:t>tual relationship set in stone, given that they are informed by</w:t>
      </w:r>
      <w:r w:rsidR="00DE6431" w:rsidRPr="00E53DD1">
        <w:rPr>
          <w:rFonts w:ascii="Palatino Linotype" w:hAnsi="Palatino Linotype"/>
          <w:lang w:val="en-US"/>
        </w:rPr>
        <w:t xml:space="preserve"> </w:t>
      </w:r>
      <w:r w:rsidR="00F60F62" w:rsidRPr="00E53DD1">
        <w:rPr>
          <w:rFonts w:ascii="Palatino Linotype" w:hAnsi="Palatino Linotype"/>
          <w:lang w:val="en-US"/>
        </w:rPr>
        <w:t>by distinct worldviews. M</w:t>
      </w:r>
      <w:r w:rsidR="00DE6431" w:rsidRPr="00E53DD1">
        <w:rPr>
          <w:rFonts w:ascii="Palatino Linotype" w:hAnsi="Palatino Linotype"/>
          <w:lang w:val="en-US"/>
        </w:rPr>
        <w:t>ore specifically</w:t>
      </w:r>
      <w:r w:rsidR="00F60F62" w:rsidRPr="00E53DD1">
        <w:rPr>
          <w:rFonts w:ascii="Palatino Linotype" w:hAnsi="Palatino Linotype"/>
          <w:lang w:val="en-US"/>
        </w:rPr>
        <w:t>,</w:t>
      </w:r>
      <w:r w:rsidR="00DE6431" w:rsidRPr="00E53DD1">
        <w:rPr>
          <w:rFonts w:ascii="Palatino Linotype" w:hAnsi="Palatino Linotype"/>
          <w:lang w:val="en-US"/>
        </w:rPr>
        <w:t xml:space="preserve"> world views on accountability in world politics</w:t>
      </w:r>
      <w:r w:rsidR="00F60F62" w:rsidRPr="00E53DD1">
        <w:rPr>
          <w:rFonts w:ascii="Palatino Linotype" w:hAnsi="Palatino Linotype"/>
          <w:lang w:val="en-US"/>
        </w:rPr>
        <w:t xml:space="preserve"> differ with respect to the question: w</w:t>
      </w:r>
      <w:r w:rsidR="00DE6431" w:rsidRPr="00E53DD1">
        <w:rPr>
          <w:rFonts w:ascii="Palatino Linotype" w:hAnsi="Palatino Linotype"/>
          <w:lang w:val="en-US"/>
        </w:rPr>
        <w:t>ho should international organizations answer to? The response to this question has laid bare two fundamentally different models. One emphasized that accountability is mostly vertical, that participation</w:t>
      </w:r>
      <w:r>
        <w:rPr>
          <w:rFonts w:ascii="Palatino Linotype" w:hAnsi="Palatino Linotype"/>
          <w:lang w:val="en-US"/>
        </w:rPr>
        <w:t xml:space="preserve"> of non-state actors</w:t>
      </w:r>
      <w:r w:rsidR="00DE6431" w:rsidRPr="00E53DD1">
        <w:rPr>
          <w:rFonts w:ascii="Palatino Linotype" w:hAnsi="Palatino Linotype"/>
          <w:lang w:val="en-US"/>
        </w:rPr>
        <w:t xml:space="preserve"> is therefore restricted, and full transparency most likely undesirable. The other stressed that accountability runs downwards to the community, that full participation is an essential requirement, which should be accompanied with full disclosure</w:t>
      </w:r>
      <w:r>
        <w:rPr>
          <w:rFonts w:ascii="Palatino Linotype" w:hAnsi="Palatino Linotype"/>
          <w:lang w:val="en-US"/>
        </w:rPr>
        <w:t xml:space="preserve"> of documents</w:t>
      </w:r>
      <w:r w:rsidR="00DE6431" w:rsidRPr="00E53DD1">
        <w:rPr>
          <w:rFonts w:ascii="Palatino Linotype" w:hAnsi="Palatino Linotype"/>
          <w:lang w:val="en-US"/>
        </w:rPr>
        <w:t xml:space="preserve"> as a general rule. </w:t>
      </w:r>
    </w:p>
    <w:p w14:paraId="0D4A03BE" w14:textId="3D4AF7AC" w:rsidR="00DE6431" w:rsidRPr="00E53DD1" w:rsidRDefault="00DE6431" w:rsidP="00DE6431">
      <w:pPr>
        <w:spacing w:line="276" w:lineRule="auto"/>
        <w:jc w:val="both"/>
        <w:rPr>
          <w:rFonts w:ascii="Palatino Linotype" w:hAnsi="Palatino Linotype"/>
          <w:lang w:val="en-US"/>
        </w:rPr>
      </w:pPr>
      <w:r w:rsidRPr="00E53DD1">
        <w:rPr>
          <w:rFonts w:ascii="Palatino Linotype" w:hAnsi="Palatino Linotype"/>
          <w:lang w:val="en-US"/>
        </w:rPr>
        <w:t xml:space="preserve">Consequently, we analyzed the contributions of CSOs and business organizations to a consultation by the European Ombudsman on transparency in TTIP and contrasted this with the position and actions of the European Commission, in order to see if we could find evidence of these different world views. We found a clear distinction between business organizations that expressed their satisfaction with the formal transparency initiatives by the European Commission </w:t>
      </w:r>
      <w:r w:rsidR="007F6C1E" w:rsidRPr="00E53DD1">
        <w:rPr>
          <w:rFonts w:ascii="Palatino Linotype" w:hAnsi="Palatino Linotype"/>
          <w:lang w:val="en-US"/>
        </w:rPr>
        <w:t>(</w:t>
      </w:r>
      <w:r w:rsidRPr="00E53DD1">
        <w:rPr>
          <w:rFonts w:ascii="Palatino Linotype" w:hAnsi="Palatino Linotype"/>
          <w:lang w:val="en-US"/>
        </w:rPr>
        <w:t>and warned against the negative consequences in terms of effectiveness of further steps</w:t>
      </w:r>
      <w:r w:rsidR="007F6C1E" w:rsidRPr="00E53DD1">
        <w:rPr>
          <w:rFonts w:ascii="Palatino Linotype" w:hAnsi="Palatino Linotype"/>
          <w:lang w:val="en-US"/>
        </w:rPr>
        <w:t>)</w:t>
      </w:r>
      <w:r w:rsidRPr="00E53DD1">
        <w:rPr>
          <w:rFonts w:ascii="Palatino Linotype" w:hAnsi="Palatino Linotype"/>
          <w:lang w:val="en-US"/>
        </w:rPr>
        <w:t>, while the non-commercial CSOs asked both for more formal transparency that would go beyond ‘explanatory’ texts as well as</w:t>
      </w:r>
      <w:r w:rsidR="007F6C1E" w:rsidRPr="00E53DD1">
        <w:rPr>
          <w:rFonts w:ascii="Palatino Linotype" w:hAnsi="Palatino Linotype"/>
          <w:lang w:val="en-US"/>
        </w:rPr>
        <w:t xml:space="preserve"> – and above all – </w:t>
      </w:r>
      <w:r w:rsidRPr="00E53DD1">
        <w:rPr>
          <w:rFonts w:ascii="Palatino Linotype" w:hAnsi="Palatino Linotype"/>
          <w:lang w:val="en-US"/>
        </w:rPr>
        <w:t xml:space="preserve"> also more opportunities for </w:t>
      </w:r>
      <w:r w:rsidR="007F6C1E" w:rsidRPr="00E53DD1">
        <w:rPr>
          <w:rFonts w:ascii="Palatino Linotype" w:hAnsi="Palatino Linotype"/>
          <w:lang w:val="en-US"/>
        </w:rPr>
        <w:t>equal and meaningful</w:t>
      </w:r>
      <w:r w:rsidRPr="00E53DD1">
        <w:rPr>
          <w:rFonts w:ascii="Palatino Linotype" w:hAnsi="Palatino Linotype"/>
          <w:lang w:val="en-US"/>
        </w:rPr>
        <w:t xml:space="preserve"> participation. </w:t>
      </w:r>
      <w:r w:rsidR="00F60F62" w:rsidRPr="00E53DD1">
        <w:rPr>
          <w:rFonts w:ascii="Palatino Linotype" w:hAnsi="Palatino Linotype"/>
          <w:lang w:val="en-US"/>
        </w:rPr>
        <w:t>S</w:t>
      </w:r>
      <w:r w:rsidRPr="00E53DD1">
        <w:rPr>
          <w:rFonts w:ascii="Palatino Linotype" w:hAnsi="Palatino Linotype"/>
          <w:lang w:val="en-US"/>
        </w:rPr>
        <w:t xml:space="preserve">ince then, the European Commission and especially Cecilia Malmström as Commissioner for Trade have implemented the transparency mechanisms with more earnest and more dedication, </w:t>
      </w:r>
      <w:r w:rsidR="00F60F62" w:rsidRPr="00E53DD1">
        <w:rPr>
          <w:rFonts w:ascii="Palatino Linotype" w:hAnsi="Palatino Linotype"/>
          <w:lang w:val="en-US"/>
        </w:rPr>
        <w:t xml:space="preserve">but </w:t>
      </w:r>
      <w:r w:rsidRPr="00E53DD1">
        <w:rPr>
          <w:rFonts w:ascii="Palatino Linotype" w:hAnsi="Palatino Linotype"/>
          <w:lang w:val="en-US"/>
        </w:rPr>
        <w:t xml:space="preserve">little </w:t>
      </w:r>
      <w:r w:rsidR="00F60F62" w:rsidRPr="00E53DD1">
        <w:rPr>
          <w:rFonts w:ascii="Palatino Linotype" w:hAnsi="Palatino Linotype"/>
          <w:lang w:val="en-US"/>
        </w:rPr>
        <w:t xml:space="preserve">qualitatively </w:t>
      </w:r>
      <w:r w:rsidRPr="00E53DD1">
        <w:rPr>
          <w:rFonts w:ascii="Palatino Linotype" w:hAnsi="Palatino Linotype"/>
          <w:lang w:val="en-US"/>
        </w:rPr>
        <w:t xml:space="preserve">new initiatives to increase the participation of CSOs in the talks have been taken. </w:t>
      </w:r>
    </w:p>
    <w:p w14:paraId="6B7E4A17" w14:textId="395C911C" w:rsidR="00DE6431" w:rsidRPr="00E53DD1" w:rsidRDefault="00DE6431" w:rsidP="00DE6431">
      <w:pPr>
        <w:spacing w:line="276" w:lineRule="auto"/>
        <w:jc w:val="both"/>
        <w:rPr>
          <w:rFonts w:ascii="Palatino Linotype" w:hAnsi="Palatino Linotype"/>
          <w:lang w:val="en-US"/>
        </w:rPr>
      </w:pPr>
      <w:r w:rsidRPr="00E53DD1">
        <w:rPr>
          <w:rFonts w:ascii="Palatino Linotype" w:hAnsi="Palatino Linotype"/>
          <w:lang w:val="en-US"/>
        </w:rPr>
        <w:t xml:space="preserve">It seems therefore that the current reform efforts – how commendable they be – might fall into deaf ears with the broader civil society, </w:t>
      </w:r>
      <w:r w:rsidR="00F60F62" w:rsidRPr="00E53DD1">
        <w:rPr>
          <w:rFonts w:ascii="Palatino Linotype" w:hAnsi="Palatino Linotype"/>
          <w:lang w:val="en-US"/>
        </w:rPr>
        <w:t>mainly given a</w:t>
      </w:r>
      <w:r w:rsidRPr="00E53DD1">
        <w:rPr>
          <w:rFonts w:ascii="Palatino Linotype" w:hAnsi="Palatino Linotype"/>
          <w:lang w:val="en-US"/>
        </w:rPr>
        <w:t xml:space="preserve"> difference in</w:t>
      </w:r>
      <w:r w:rsidR="00F60F62" w:rsidRPr="00E53DD1">
        <w:rPr>
          <w:rFonts w:ascii="Palatino Linotype" w:hAnsi="Palatino Linotype"/>
          <w:lang w:val="en-US"/>
        </w:rPr>
        <w:t xml:space="preserve"> worldview of</w:t>
      </w:r>
      <w:r w:rsidRPr="00E53DD1">
        <w:rPr>
          <w:rFonts w:ascii="Palatino Linotype" w:hAnsi="Palatino Linotype"/>
          <w:lang w:val="en-US"/>
        </w:rPr>
        <w:t xml:space="preserve"> what transparency should</w:t>
      </w:r>
      <w:r w:rsidR="00605500">
        <w:rPr>
          <w:rFonts w:ascii="Palatino Linotype" w:hAnsi="Palatino Linotype"/>
          <w:lang w:val="en-US"/>
        </w:rPr>
        <w:t xml:space="preserve"> look</w:t>
      </w:r>
      <w:r w:rsidRPr="00E53DD1">
        <w:rPr>
          <w:rFonts w:ascii="Palatino Linotype" w:hAnsi="Palatino Linotype"/>
          <w:lang w:val="en-US"/>
        </w:rPr>
        <w:t xml:space="preserve"> like </w:t>
      </w:r>
      <w:r w:rsidR="007F6C1E" w:rsidRPr="00E53DD1">
        <w:rPr>
          <w:rFonts w:ascii="Palatino Linotype" w:hAnsi="Palatino Linotype"/>
          <w:lang w:val="en-US"/>
        </w:rPr>
        <w:t xml:space="preserve">in the face of </w:t>
      </w:r>
      <w:r w:rsidR="00F60F62" w:rsidRPr="00E53DD1">
        <w:rPr>
          <w:rFonts w:ascii="Palatino Linotype" w:hAnsi="Palatino Linotype"/>
          <w:lang w:val="en-US"/>
        </w:rPr>
        <w:t>the broader question</w:t>
      </w:r>
      <w:r w:rsidR="007F6C1E" w:rsidRPr="00E53DD1">
        <w:rPr>
          <w:rFonts w:ascii="Palatino Linotype" w:hAnsi="Palatino Linotype"/>
          <w:lang w:val="en-US"/>
        </w:rPr>
        <w:t xml:space="preserve"> to whom the European Commission should be held accountable</w:t>
      </w:r>
      <w:r w:rsidRPr="00E53DD1">
        <w:rPr>
          <w:rFonts w:ascii="Palatino Linotype" w:hAnsi="Palatino Linotype"/>
          <w:lang w:val="en-US"/>
        </w:rPr>
        <w:t xml:space="preserve">. From the Commission’s point of view, a form of direct democracy with full </w:t>
      </w:r>
      <w:r w:rsidR="00F60F62" w:rsidRPr="00E53DD1">
        <w:rPr>
          <w:rFonts w:ascii="Palatino Linotype" w:hAnsi="Palatino Linotype"/>
          <w:lang w:val="en-US"/>
        </w:rPr>
        <w:t>transparency</w:t>
      </w:r>
      <w:r w:rsidRPr="00E53DD1">
        <w:rPr>
          <w:rFonts w:ascii="Palatino Linotype" w:hAnsi="Palatino Linotype"/>
          <w:lang w:val="en-US"/>
        </w:rPr>
        <w:t xml:space="preserve"> and participation of NGOs is problematic, not in the least because the transparency of the funding and representativeness of these organizations themselves is doubtful (</w:t>
      </w:r>
      <w:r w:rsidR="007F6C1E" w:rsidRPr="00E53DD1">
        <w:rPr>
          <w:rFonts w:ascii="Palatino Linotype" w:hAnsi="Palatino Linotype"/>
          <w:lang w:val="en-US"/>
        </w:rPr>
        <w:t>interview 2</w:t>
      </w:r>
      <w:r w:rsidRPr="00E53DD1">
        <w:rPr>
          <w:rFonts w:ascii="Palatino Linotype" w:hAnsi="Palatino Linotype"/>
          <w:lang w:val="en-US"/>
        </w:rPr>
        <w:t>).</w:t>
      </w:r>
      <w:r w:rsidR="00605500">
        <w:rPr>
          <w:rFonts w:ascii="Palatino Linotype" w:hAnsi="Palatino Linotype"/>
          <w:lang w:val="en-US"/>
        </w:rPr>
        <w:t xml:space="preserve"> It also argues, together with business representatives, that there is thus a legitimate need to keep things confidential.</w:t>
      </w:r>
      <w:r w:rsidRPr="00E53DD1">
        <w:rPr>
          <w:rFonts w:ascii="Palatino Linotype" w:hAnsi="Palatino Linotype"/>
          <w:lang w:val="en-US"/>
        </w:rPr>
        <w:t xml:space="preserve"> NGOs on the contrary feel that their core interests (be it the environment, labor rights or global justice) are directly affected by EU trade policy, and therefore demand not only to have insight</w:t>
      </w:r>
      <w:r w:rsidR="00F60F62" w:rsidRPr="00E53DD1">
        <w:rPr>
          <w:rFonts w:ascii="Palatino Linotype" w:hAnsi="Palatino Linotype"/>
          <w:lang w:val="en-US"/>
        </w:rPr>
        <w:t>s</w:t>
      </w:r>
      <w:r w:rsidRPr="00E53DD1">
        <w:rPr>
          <w:rFonts w:ascii="Palatino Linotype" w:hAnsi="Palatino Linotype"/>
          <w:lang w:val="en-US"/>
        </w:rPr>
        <w:t xml:space="preserve"> in </w:t>
      </w:r>
      <w:r w:rsidR="00605500">
        <w:rPr>
          <w:rFonts w:ascii="Palatino Linotype" w:hAnsi="Palatino Linotype"/>
          <w:lang w:val="en-US"/>
        </w:rPr>
        <w:t xml:space="preserve">all </w:t>
      </w:r>
      <w:r w:rsidR="00F60F62" w:rsidRPr="00E53DD1">
        <w:rPr>
          <w:rFonts w:ascii="Palatino Linotype" w:hAnsi="Palatino Linotype"/>
          <w:lang w:val="en-US"/>
        </w:rPr>
        <w:t xml:space="preserve">negotiating </w:t>
      </w:r>
      <w:r w:rsidRPr="00E53DD1">
        <w:rPr>
          <w:rFonts w:ascii="Palatino Linotype" w:hAnsi="Palatino Linotype"/>
          <w:lang w:val="en-US"/>
        </w:rPr>
        <w:t>documents, but also to participate</w:t>
      </w:r>
      <w:r w:rsidR="00605500">
        <w:rPr>
          <w:rFonts w:ascii="Palatino Linotype" w:hAnsi="Palatino Linotype"/>
          <w:lang w:val="en-US"/>
        </w:rPr>
        <w:t xml:space="preserve"> meaningfully</w:t>
      </w:r>
      <w:r w:rsidRPr="00E53DD1">
        <w:rPr>
          <w:rFonts w:ascii="Palatino Linotype" w:hAnsi="Palatino Linotype"/>
          <w:lang w:val="en-US"/>
        </w:rPr>
        <w:t xml:space="preserve"> </w:t>
      </w:r>
      <w:r w:rsidR="00605500">
        <w:rPr>
          <w:rFonts w:ascii="Palatino Linotype" w:hAnsi="Palatino Linotype"/>
          <w:lang w:val="en-US"/>
        </w:rPr>
        <w:t>with</w:t>
      </w:r>
      <w:r w:rsidRPr="00E53DD1">
        <w:rPr>
          <w:rFonts w:ascii="Palatino Linotype" w:hAnsi="Palatino Linotype"/>
          <w:lang w:val="en-US"/>
        </w:rPr>
        <w:t xml:space="preserve"> the Commission, who is negotiating on everyone’s behalf.</w:t>
      </w:r>
      <w:r w:rsidR="007F6C1E" w:rsidRPr="00E53DD1">
        <w:rPr>
          <w:rFonts w:ascii="Palatino Linotype" w:hAnsi="Palatino Linotype"/>
          <w:lang w:val="en-US"/>
        </w:rPr>
        <w:t xml:space="preserve"> The two </w:t>
      </w:r>
      <w:r w:rsidR="00F60F62" w:rsidRPr="00E53DD1">
        <w:rPr>
          <w:rFonts w:ascii="Palatino Linotype" w:hAnsi="Palatino Linotype"/>
          <w:lang w:val="en-US"/>
        </w:rPr>
        <w:t>are</w:t>
      </w:r>
      <w:r w:rsidR="007F6C1E" w:rsidRPr="00E53DD1">
        <w:rPr>
          <w:rFonts w:ascii="Palatino Linotype" w:hAnsi="Palatino Linotype"/>
          <w:lang w:val="en-US"/>
        </w:rPr>
        <w:t xml:space="preserve"> seen as two sides of the same coin (interview 1).</w:t>
      </w:r>
    </w:p>
    <w:p w14:paraId="31C9CE67" w14:textId="1A382625" w:rsidR="007B1CB1" w:rsidRPr="00E53DD1" w:rsidRDefault="007F6C1E" w:rsidP="00DE6431">
      <w:pPr>
        <w:spacing w:line="276" w:lineRule="auto"/>
        <w:jc w:val="both"/>
        <w:rPr>
          <w:rFonts w:ascii="Palatino Linotype" w:hAnsi="Palatino Linotype"/>
          <w:lang w:val="en-US"/>
        </w:rPr>
      </w:pPr>
      <w:r w:rsidRPr="00E53DD1">
        <w:rPr>
          <w:rFonts w:ascii="Palatino Linotype" w:hAnsi="Palatino Linotype"/>
          <w:lang w:val="en-US"/>
        </w:rPr>
        <w:lastRenderedPageBreak/>
        <w:t>Following the politicization of TTIP in several Western European countries, a widely held question is whether this politicization of trade policy is here to stay</w:t>
      </w:r>
      <w:r w:rsidR="005F79C0" w:rsidRPr="00E53DD1">
        <w:rPr>
          <w:rFonts w:ascii="Palatino Linotype" w:hAnsi="Palatino Linotype"/>
          <w:lang w:val="en-US"/>
        </w:rPr>
        <w:t xml:space="preserve"> </w:t>
      </w:r>
      <w:r w:rsidR="005F79C0" w:rsidRPr="00E53DD1">
        <w:rPr>
          <w:rFonts w:ascii="Palatino Linotype" w:hAnsi="Palatino Linotype"/>
          <w:i/>
          <w:lang w:val="en-US"/>
        </w:rPr>
        <w:t>in general</w:t>
      </w:r>
      <w:r w:rsidRPr="00E53DD1">
        <w:rPr>
          <w:rFonts w:ascii="Palatino Linotype" w:hAnsi="Palatino Linotype"/>
          <w:lang w:val="en-US"/>
        </w:rPr>
        <w:t>.</w:t>
      </w:r>
      <w:r w:rsidR="00F8787F" w:rsidRPr="00E53DD1">
        <w:rPr>
          <w:rFonts w:ascii="Palatino Linotype" w:hAnsi="Palatino Linotype"/>
          <w:lang w:val="en-US"/>
        </w:rPr>
        <w:t xml:space="preserve"> This question has many components, so we will restrict ourselves to the scope of this article.</w:t>
      </w:r>
      <w:r w:rsidRPr="00E53DD1">
        <w:rPr>
          <w:rFonts w:ascii="Palatino Linotype" w:hAnsi="Palatino Linotype"/>
          <w:lang w:val="en-US"/>
        </w:rPr>
        <w:t xml:space="preserve"> </w:t>
      </w:r>
      <w:r w:rsidR="00F8787F" w:rsidRPr="00E53DD1">
        <w:rPr>
          <w:rFonts w:ascii="Palatino Linotype" w:hAnsi="Palatino Linotype"/>
          <w:lang w:val="en-US"/>
        </w:rPr>
        <w:t xml:space="preserve">We would argue that claims about ‘secrecy’ or ‘negotiations behind closed doors’ will not wither away in upcoming trade negotiations, be it with the US or with other partners, because both parties’ worldviews are difficult to reconcile, </w:t>
      </w:r>
      <w:r w:rsidR="007B1CB1" w:rsidRPr="00E53DD1">
        <w:rPr>
          <w:rFonts w:ascii="Palatino Linotype" w:hAnsi="Palatino Linotype"/>
          <w:lang w:val="en-US"/>
        </w:rPr>
        <w:t>both on the</w:t>
      </w:r>
      <w:r w:rsidR="00F8787F" w:rsidRPr="00E53DD1">
        <w:rPr>
          <w:rFonts w:ascii="Palatino Linotype" w:hAnsi="Palatino Linotype"/>
          <w:lang w:val="en-US"/>
        </w:rPr>
        <w:t xml:space="preserve"> participatory </w:t>
      </w:r>
      <w:r w:rsidR="007B1CB1" w:rsidRPr="00E53DD1">
        <w:rPr>
          <w:rFonts w:ascii="Palatino Linotype" w:hAnsi="Palatino Linotype"/>
          <w:lang w:val="en-US"/>
        </w:rPr>
        <w:t xml:space="preserve">and transparency </w:t>
      </w:r>
      <w:r w:rsidR="00F8787F" w:rsidRPr="00E53DD1">
        <w:rPr>
          <w:rFonts w:ascii="Palatino Linotype" w:hAnsi="Palatino Linotype"/>
          <w:lang w:val="en-US"/>
        </w:rPr>
        <w:t xml:space="preserve">front. The Commission’s attempts to include more stakeholders seems restricted to a small group of NGOs in </w:t>
      </w:r>
      <w:r w:rsidR="005F79C0" w:rsidRPr="00E53DD1">
        <w:rPr>
          <w:rFonts w:ascii="Palatino Linotype" w:hAnsi="Palatino Linotype"/>
          <w:lang w:val="en-US"/>
        </w:rPr>
        <w:t>an</w:t>
      </w:r>
      <w:r w:rsidR="00F8787F" w:rsidRPr="00E53DD1">
        <w:rPr>
          <w:rFonts w:ascii="Palatino Linotype" w:hAnsi="Palatino Linotype"/>
          <w:lang w:val="en-US"/>
        </w:rPr>
        <w:t xml:space="preserve"> Advisory Group, of which the workings are still embryonic at the moment. </w:t>
      </w:r>
      <w:r w:rsidR="007B1CB1" w:rsidRPr="00E53DD1">
        <w:rPr>
          <w:rFonts w:ascii="Palatino Linotype" w:hAnsi="Palatino Linotype"/>
          <w:lang w:val="en-US"/>
        </w:rPr>
        <w:t xml:space="preserve">This also resembles the move towards a ‘multi-stakeholder model’, as described by Hocking (2004) of which the primary aim is to establish a group of legitimate partners to build consensus on trade issues, and hence to counter growing opposition to free trade (see also Hannah, 2015). The wider civil society demands a more direct democracy, in which they can significantly steer negotiations by providing meaningful input at different stages of negotiations. The Commission itself does not seem to think such a model </w:t>
      </w:r>
      <w:r w:rsidR="008E5F21" w:rsidRPr="00E53DD1">
        <w:rPr>
          <w:rFonts w:ascii="Palatino Linotype" w:hAnsi="Palatino Linotype"/>
          <w:lang w:val="en-US"/>
        </w:rPr>
        <w:t xml:space="preserve">is </w:t>
      </w:r>
      <w:r w:rsidR="007B1CB1" w:rsidRPr="00E53DD1">
        <w:rPr>
          <w:rFonts w:ascii="Palatino Linotype" w:hAnsi="Palatino Linotype"/>
          <w:lang w:val="en-US"/>
        </w:rPr>
        <w:t>viable</w:t>
      </w:r>
      <w:r w:rsidR="00F60F62" w:rsidRPr="00E53DD1">
        <w:rPr>
          <w:rFonts w:ascii="Palatino Linotype" w:hAnsi="Palatino Linotype"/>
          <w:lang w:val="en-US"/>
        </w:rPr>
        <w:t>, nor is this demand without problems of its own (see</w:t>
      </w:r>
      <w:r w:rsidR="008E5F21" w:rsidRPr="00E53DD1">
        <w:rPr>
          <w:rFonts w:ascii="Palatino Linotype" w:hAnsi="Palatino Linotype"/>
          <w:lang w:val="en-US"/>
        </w:rPr>
        <w:t xml:space="preserve"> e.g. Hanegraaff, Beyers &amp; Braun, 2011). </w:t>
      </w:r>
    </w:p>
    <w:p w14:paraId="51701DCF" w14:textId="0C366D61" w:rsidR="00EC7028" w:rsidRPr="00E53DD1" w:rsidRDefault="007B1CB1" w:rsidP="008E5F21">
      <w:pPr>
        <w:spacing w:line="276" w:lineRule="auto"/>
        <w:jc w:val="both"/>
        <w:rPr>
          <w:rFonts w:ascii="Palatino Linotype" w:hAnsi="Palatino Linotype"/>
          <w:lang w:val="en-US"/>
        </w:rPr>
      </w:pPr>
      <w:r w:rsidRPr="00E53DD1">
        <w:rPr>
          <w:rFonts w:ascii="Palatino Linotype" w:hAnsi="Palatino Linotype"/>
          <w:lang w:val="en-US"/>
        </w:rPr>
        <w:t xml:space="preserve">With regards to transparency, the Commission has put emphasis on ‘transparency and responsibility’, which comes down to making the decision-making process more transparent inter-institutionally, and explain the process better to the wider citizenry (interview 2). The translation of these principles in practice has led </w:t>
      </w:r>
      <w:r w:rsidR="00227EA1" w:rsidRPr="00E53DD1">
        <w:rPr>
          <w:rFonts w:ascii="Palatino Linotype" w:hAnsi="Palatino Linotype"/>
          <w:lang w:val="en-US"/>
        </w:rPr>
        <w:t>above all to</w:t>
      </w:r>
      <w:r w:rsidRPr="00E53DD1">
        <w:rPr>
          <w:rFonts w:ascii="Palatino Linotype" w:hAnsi="Palatino Linotype"/>
          <w:lang w:val="en-US"/>
        </w:rPr>
        <w:t xml:space="preserve"> more explanatory documents, </w:t>
      </w:r>
      <w:r w:rsidR="00227EA1" w:rsidRPr="00E53DD1">
        <w:rPr>
          <w:rFonts w:ascii="Palatino Linotype" w:hAnsi="Palatino Linotype"/>
          <w:lang w:val="en-US"/>
        </w:rPr>
        <w:t>but also to</w:t>
      </w:r>
      <w:r w:rsidRPr="00E53DD1">
        <w:rPr>
          <w:rFonts w:ascii="Palatino Linotype" w:hAnsi="Palatino Linotype"/>
          <w:lang w:val="en-US"/>
        </w:rPr>
        <w:t xml:space="preserve"> more negotiating documents (albeit at a different speed), which has brought </w:t>
      </w:r>
      <w:r w:rsidR="00227EA1" w:rsidRPr="00E53DD1">
        <w:rPr>
          <w:rFonts w:ascii="Palatino Linotype" w:hAnsi="Palatino Linotype"/>
          <w:lang w:val="en-US"/>
        </w:rPr>
        <w:t>them – as they argue –</w:t>
      </w:r>
      <w:r w:rsidRPr="00E53DD1">
        <w:rPr>
          <w:rFonts w:ascii="Palatino Linotype" w:hAnsi="Palatino Linotype"/>
          <w:lang w:val="en-US"/>
        </w:rPr>
        <w:t xml:space="preserve"> at the edge of what they themselves can do. </w:t>
      </w:r>
      <w:r w:rsidR="00227EA1" w:rsidRPr="00E53DD1">
        <w:rPr>
          <w:rFonts w:ascii="Palatino Linotype" w:hAnsi="Palatino Linotype"/>
          <w:lang w:val="en-US"/>
        </w:rPr>
        <w:t xml:space="preserve">CSOs </w:t>
      </w:r>
      <w:r w:rsidR="005F79C0" w:rsidRPr="00E53DD1">
        <w:rPr>
          <w:rFonts w:ascii="Palatino Linotype" w:hAnsi="Palatino Linotype"/>
          <w:lang w:val="en-US"/>
        </w:rPr>
        <w:t xml:space="preserve">still </w:t>
      </w:r>
      <w:r w:rsidR="00227EA1" w:rsidRPr="00E53DD1">
        <w:rPr>
          <w:rFonts w:ascii="Palatino Linotype" w:hAnsi="Palatino Linotype"/>
          <w:lang w:val="en-US"/>
        </w:rPr>
        <w:t>think this does not go far enough, and some even go as far as to demand that the EU would not commence negotiations with countries that do not plan to be fully transparent</w:t>
      </w:r>
      <w:r w:rsidR="005F79C0" w:rsidRPr="00E53DD1">
        <w:rPr>
          <w:rFonts w:ascii="Palatino Linotype" w:hAnsi="Palatino Linotype"/>
          <w:lang w:val="en-US"/>
        </w:rPr>
        <w:t xml:space="preserve"> throughout the process</w:t>
      </w:r>
      <w:r w:rsidR="00227EA1" w:rsidRPr="00E53DD1">
        <w:rPr>
          <w:rFonts w:ascii="Palatino Linotype" w:hAnsi="Palatino Linotype"/>
          <w:lang w:val="en-US"/>
        </w:rPr>
        <w:t xml:space="preserve"> (interview 1). In sum, and regarding these two levels, it does not seem that the main criticism is fundamentally addressed, which means this source of </w:t>
      </w:r>
      <w:r w:rsidR="005F79C0" w:rsidRPr="00E53DD1">
        <w:rPr>
          <w:rFonts w:ascii="Palatino Linotype" w:hAnsi="Palatino Linotype"/>
          <w:lang w:val="en-US"/>
        </w:rPr>
        <w:t>politicization</w:t>
      </w:r>
      <w:r w:rsidR="00227EA1" w:rsidRPr="00E53DD1">
        <w:rPr>
          <w:rFonts w:ascii="Palatino Linotype" w:hAnsi="Palatino Linotype"/>
          <w:lang w:val="en-US"/>
        </w:rPr>
        <w:t xml:space="preserve"> is here to stay for the time being. It can even be argued that the enhanced transparency the Commission now provides will – ironically – fuel politicization, given that CSOs have more access to documents (and information on the process), without </w:t>
      </w:r>
      <w:r w:rsidR="005F79C0" w:rsidRPr="00E53DD1">
        <w:rPr>
          <w:rFonts w:ascii="Palatino Linotype" w:hAnsi="Palatino Linotype"/>
          <w:lang w:val="en-US"/>
        </w:rPr>
        <w:t>agreeing</w:t>
      </w:r>
      <w:r w:rsidR="00227EA1" w:rsidRPr="00E53DD1">
        <w:rPr>
          <w:rFonts w:ascii="Palatino Linotype" w:hAnsi="Palatino Linotype"/>
          <w:lang w:val="en-US"/>
        </w:rPr>
        <w:t xml:space="preserve"> that the Commission its mandate is adequate to begin with. </w:t>
      </w:r>
      <w:r w:rsidR="005F79C0" w:rsidRPr="00E53DD1">
        <w:rPr>
          <w:rFonts w:ascii="Palatino Linotype" w:hAnsi="Palatino Linotype"/>
          <w:lang w:val="en-US"/>
        </w:rPr>
        <w:t xml:space="preserve">Politicization can theoretically lead to democratization, but for that to happen, agreement on fundamental principles seem to be essential. </w:t>
      </w:r>
    </w:p>
    <w:p w14:paraId="5524FACC" w14:textId="7C96D0D6" w:rsidR="00993693" w:rsidRPr="00E53DD1" w:rsidRDefault="00DA7CB4" w:rsidP="00A80B47">
      <w:pPr>
        <w:pStyle w:val="Heading1"/>
        <w:jc w:val="both"/>
        <w:rPr>
          <w:rFonts w:ascii="Palatino Linotype" w:hAnsi="Palatino Linotype"/>
          <w:color w:val="auto"/>
          <w:lang w:val="en-US"/>
        </w:rPr>
      </w:pPr>
      <w:r w:rsidRPr="00E53DD1">
        <w:rPr>
          <w:rFonts w:ascii="Palatino Linotype" w:hAnsi="Palatino Linotype"/>
          <w:color w:val="auto"/>
          <w:lang w:val="en-US"/>
        </w:rPr>
        <w:t>References</w:t>
      </w:r>
    </w:p>
    <w:p w14:paraId="02C23ABB" w14:textId="77777777" w:rsidR="007F6C1E" w:rsidRPr="00E53DD1" w:rsidRDefault="007F6C1E" w:rsidP="007F6C1E">
      <w:pPr>
        <w:rPr>
          <w:rFonts w:ascii="Palatino Linotype" w:hAnsi="Palatino Linotype"/>
          <w:lang w:val="en-US"/>
        </w:rPr>
      </w:pPr>
    </w:p>
    <w:p w14:paraId="7053D778" w14:textId="0F6B76B8" w:rsidR="007F6C1E" w:rsidRPr="00E53DD1" w:rsidRDefault="007F6C1E" w:rsidP="007F6C1E">
      <w:pPr>
        <w:rPr>
          <w:rFonts w:ascii="Palatino Linotype" w:hAnsi="Palatino Linotype"/>
          <w:b/>
          <w:lang w:val="en-US"/>
        </w:rPr>
      </w:pPr>
      <w:r w:rsidRPr="00E53DD1">
        <w:rPr>
          <w:rFonts w:ascii="Palatino Linotype" w:hAnsi="Palatino Linotype"/>
          <w:b/>
          <w:lang w:val="en-US"/>
        </w:rPr>
        <w:t>Interviews</w:t>
      </w:r>
    </w:p>
    <w:p w14:paraId="5B7E17FF" w14:textId="12B67A16" w:rsidR="007F6C1E" w:rsidRPr="00E53DD1" w:rsidRDefault="007F6C1E" w:rsidP="007F6C1E">
      <w:pPr>
        <w:rPr>
          <w:rFonts w:ascii="Palatino Linotype" w:hAnsi="Palatino Linotype"/>
          <w:lang w:val="en-US"/>
        </w:rPr>
      </w:pPr>
      <w:r w:rsidRPr="00E53DD1">
        <w:rPr>
          <w:rFonts w:ascii="Palatino Linotype" w:hAnsi="Palatino Linotype"/>
          <w:lang w:val="en-US"/>
        </w:rPr>
        <w:t>Interview 1 – policy officer, BEUC (EU Consumer Organization)</w:t>
      </w:r>
    </w:p>
    <w:p w14:paraId="7DBB1242" w14:textId="5CB03E25" w:rsidR="007F6C1E" w:rsidRPr="00E53DD1" w:rsidRDefault="007F6C1E" w:rsidP="007F6C1E">
      <w:pPr>
        <w:rPr>
          <w:rFonts w:ascii="Palatino Linotype" w:hAnsi="Palatino Linotype"/>
          <w:lang w:val="en-US"/>
        </w:rPr>
      </w:pPr>
      <w:r w:rsidRPr="00E53DD1">
        <w:rPr>
          <w:rFonts w:ascii="Palatino Linotype" w:hAnsi="Palatino Linotype"/>
          <w:lang w:val="en-US"/>
        </w:rPr>
        <w:t>Interview 2 – to be disclosed after approval</w:t>
      </w:r>
    </w:p>
    <w:p w14:paraId="5E06FCDD" w14:textId="77777777" w:rsidR="00F60F62" w:rsidRPr="00E53DD1" w:rsidRDefault="00F60F62" w:rsidP="007F6C1E">
      <w:pPr>
        <w:rPr>
          <w:rFonts w:ascii="Palatino Linotype" w:hAnsi="Palatino Linotype"/>
          <w:lang w:val="en-US"/>
        </w:rPr>
      </w:pPr>
    </w:p>
    <w:p w14:paraId="4D1F9A74" w14:textId="39F62D6B" w:rsidR="00F60F62" w:rsidRPr="00E53DD1" w:rsidRDefault="00F60F62" w:rsidP="007F6C1E">
      <w:pPr>
        <w:rPr>
          <w:rFonts w:ascii="Palatino Linotype" w:hAnsi="Palatino Linotype"/>
          <w:b/>
          <w:lang w:val="en-US"/>
        </w:rPr>
      </w:pPr>
      <w:r w:rsidRPr="00E53DD1">
        <w:rPr>
          <w:rFonts w:ascii="Palatino Linotype" w:hAnsi="Palatino Linotype"/>
          <w:b/>
          <w:lang w:val="en-US"/>
        </w:rPr>
        <w:t>Primary sources</w:t>
      </w:r>
    </w:p>
    <w:p w14:paraId="1B85392E"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lastRenderedPageBreak/>
        <w:t xml:space="preserve">ETUC (2016). US and EU trade union leaders: TTIP negotiations ‘on the wrong course’. Brussels, March 10, available at </w:t>
      </w:r>
      <w:hyperlink r:id="rId8" w:anchor=".WO4h6kt2mSA" w:history="1">
        <w:r w:rsidRPr="00E53DD1">
          <w:rPr>
            <w:rStyle w:val="Hyperlink"/>
            <w:rFonts w:ascii="Palatino Linotype" w:hAnsi="Palatino Linotype"/>
            <w:color w:val="auto"/>
            <w:lang w:val="en-US"/>
          </w:rPr>
          <w:t>https://www.etuc.org/press/us-and-eu-trade-union-leaders-ttip-negotiations-wrong-course#.WO4h6kt2mSA</w:t>
        </w:r>
      </w:hyperlink>
      <w:r w:rsidRPr="00E53DD1">
        <w:rPr>
          <w:rFonts w:ascii="Palatino Linotype" w:hAnsi="Palatino Linotype"/>
          <w:lang w:val="en-US"/>
        </w:rPr>
        <w:t xml:space="preserve"> </w:t>
      </w:r>
    </w:p>
    <w:p w14:paraId="785F30EF" w14:textId="60EF6C94"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European Commission (2014). Opening the windows: Commission commits to enhanced transparency. Strasbourg, 25 November, available at </w:t>
      </w:r>
      <w:hyperlink r:id="rId9" w:history="1">
        <w:r w:rsidRPr="00E53DD1">
          <w:rPr>
            <w:rStyle w:val="Hyperlink"/>
            <w:rFonts w:ascii="Palatino Linotype" w:hAnsi="Palatino Linotype"/>
            <w:color w:val="auto"/>
            <w:lang w:val="en-US"/>
          </w:rPr>
          <w:t>http://europa.eu/rapid/press-release_IP-14-2131_en.htm</w:t>
        </w:r>
      </w:hyperlink>
      <w:r w:rsidRPr="00E53DD1">
        <w:rPr>
          <w:rFonts w:ascii="Palatino Linotype" w:hAnsi="Palatino Linotype"/>
          <w:lang w:val="en-US"/>
        </w:rPr>
        <w:t xml:space="preserve">. </w:t>
      </w:r>
    </w:p>
    <w:p w14:paraId="76E54751"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European Commission (2015a). Trade for all: Towards a more responsible trade and investment policy. Luxembourg, available at </w:t>
      </w:r>
      <w:hyperlink r:id="rId10" w:history="1">
        <w:r w:rsidRPr="00E53DD1">
          <w:rPr>
            <w:rStyle w:val="Hyperlink"/>
            <w:rFonts w:ascii="Palatino Linotype" w:hAnsi="Palatino Linotype"/>
            <w:color w:val="auto"/>
            <w:lang w:val="en-US"/>
          </w:rPr>
          <w:t>http://trade.ec.europa.eu/doclib/docs/2015/october/tradoc_153846.pdf</w:t>
        </w:r>
      </w:hyperlink>
      <w:r w:rsidRPr="00E53DD1">
        <w:rPr>
          <w:rFonts w:ascii="Palatino Linotype" w:hAnsi="Palatino Linotype"/>
          <w:lang w:val="en-US"/>
        </w:rPr>
        <w:t xml:space="preserve">. </w:t>
      </w:r>
    </w:p>
    <w:p w14:paraId="54EDF06D"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European Commission (2015b). Comments of the Commission in reply to further suggestions from the European Ombudsman in her closing decision. Brussels, n.d., available at </w:t>
      </w:r>
      <w:hyperlink r:id="rId11" w:history="1">
        <w:r w:rsidRPr="00E53DD1">
          <w:rPr>
            <w:rStyle w:val="Hyperlink"/>
            <w:rFonts w:ascii="Palatino Linotype" w:hAnsi="Palatino Linotype"/>
            <w:color w:val="auto"/>
            <w:lang w:val="en-US"/>
          </w:rPr>
          <w:t>https://www.ombudsman.europa.eu/en/cases/correspondence.faces/en/59343/html.bookmark</w:t>
        </w:r>
      </w:hyperlink>
      <w:r w:rsidRPr="00E53DD1">
        <w:rPr>
          <w:rFonts w:ascii="Palatino Linotype" w:hAnsi="Palatino Linotype"/>
          <w:lang w:val="en-US"/>
        </w:rPr>
        <w:t xml:space="preserve">. </w:t>
      </w:r>
    </w:p>
    <w:p w14:paraId="472D6522"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European Ombudsman (2015). Decision of the European Ombudsman closing her own-initiative inquiry OI/10/2014/RA concerning the European Commision. Brussels, 6 January, available at </w:t>
      </w:r>
      <w:hyperlink r:id="rId12" w:history="1">
        <w:r w:rsidRPr="00E53DD1">
          <w:rPr>
            <w:rStyle w:val="Hyperlink"/>
            <w:rFonts w:ascii="Palatino Linotype" w:hAnsi="Palatino Linotype"/>
            <w:color w:val="auto"/>
            <w:lang w:val="en-US"/>
          </w:rPr>
          <w:t>https://www.ombudsman.europa.eu/en/cases/decision.faces/en/58668/html.bookmark</w:t>
        </w:r>
      </w:hyperlink>
      <w:r w:rsidRPr="00E53DD1">
        <w:rPr>
          <w:rFonts w:ascii="Palatino Linotype" w:hAnsi="Palatino Linotype"/>
          <w:lang w:val="en-US"/>
        </w:rPr>
        <w:t xml:space="preserve">.  </w:t>
      </w:r>
    </w:p>
    <w:p w14:paraId="338D9388"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European Parliament (2014). Hearing of Cecilia Malmström (Trade). Brussels, 29 September, available at </w:t>
      </w:r>
      <w:hyperlink r:id="rId13" w:history="1">
        <w:r w:rsidRPr="00E53DD1">
          <w:rPr>
            <w:rStyle w:val="Hyperlink"/>
            <w:rFonts w:ascii="Palatino Linotype" w:hAnsi="Palatino Linotype"/>
            <w:color w:val="auto"/>
            <w:lang w:val="en-US"/>
          </w:rPr>
          <w:t>http://www.europarl.europa.eu/hearings-2014/resources/library/media/20141022RES75823/20141022RES75823.pdf</w:t>
        </w:r>
      </w:hyperlink>
      <w:r w:rsidRPr="00E53DD1">
        <w:rPr>
          <w:rFonts w:ascii="Palatino Linotype" w:hAnsi="Palatino Linotype"/>
          <w:lang w:val="en-US"/>
        </w:rPr>
        <w:t xml:space="preserve">, </w:t>
      </w:r>
    </w:p>
    <w:p w14:paraId="59619B80"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Giegold, S. (2015). The promised ‘tranparency’ around TTIP has been a sham. TheGuardian.com, 31 August, available at: </w:t>
      </w:r>
      <w:hyperlink r:id="rId14" w:history="1">
        <w:r w:rsidRPr="00E53DD1">
          <w:rPr>
            <w:rStyle w:val="Hyperlink"/>
            <w:rFonts w:ascii="Palatino Linotype" w:hAnsi="Palatino Linotype"/>
            <w:color w:val="auto"/>
            <w:lang w:val="en-US"/>
          </w:rPr>
          <w:t>https://www.theguardian.com/commentisfree/2015/aug/31/transparency-ttip-documents-big-business</w:t>
        </w:r>
      </w:hyperlink>
      <w:r w:rsidRPr="00E53DD1">
        <w:rPr>
          <w:rFonts w:ascii="Palatino Linotype" w:hAnsi="Palatino Linotype"/>
          <w:lang w:val="en-US"/>
        </w:rPr>
        <w:t xml:space="preserve">. </w:t>
      </w:r>
    </w:p>
    <w:p w14:paraId="0945F372"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Greenpeace (2016). Leaked TTIP documents released. Brussels, 2 May, available at </w:t>
      </w:r>
      <w:hyperlink r:id="rId15" w:history="1">
        <w:r w:rsidRPr="00E53DD1">
          <w:rPr>
            <w:rStyle w:val="Hyperlink"/>
            <w:rFonts w:ascii="Palatino Linotype" w:hAnsi="Palatino Linotype"/>
            <w:color w:val="auto"/>
            <w:lang w:val="en-US"/>
          </w:rPr>
          <w:t>http://www.greenpeace.org/eu-unit/en/News/2016/Leaked-TTIP-documents-released/</w:t>
        </w:r>
      </w:hyperlink>
      <w:r w:rsidRPr="00E53DD1">
        <w:rPr>
          <w:rFonts w:ascii="Palatino Linotype" w:hAnsi="Palatino Linotype"/>
          <w:lang w:val="en-US"/>
        </w:rPr>
        <w:t xml:space="preserve">.  </w:t>
      </w:r>
    </w:p>
    <w:p w14:paraId="5B991A87"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Juncker, Jean-Claude (2014). Mission Letter: Cecilia Malmström: Commissioner for Trade. Brussels, 1 November, available at </w:t>
      </w:r>
      <w:hyperlink r:id="rId16" w:history="1">
        <w:r w:rsidRPr="00E53DD1">
          <w:rPr>
            <w:rStyle w:val="Hyperlink"/>
            <w:rFonts w:ascii="Palatino Linotype" w:hAnsi="Palatino Linotype"/>
            <w:color w:val="auto"/>
            <w:lang w:val="en-US"/>
          </w:rPr>
          <w:t>https://ec.europa.eu/commission/sites/cwt/files/commissioner_mission_letters/malmstrom_en.pdf</w:t>
        </w:r>
      </w:hyperlink>
      <w:r w:rsidRPr="00E53DD1">
        <w:rPr>
          <w:rFonts w:ascii="Palatino Linotype" w:hAnsi="Palatino Linotype"/>
          <w:lang w:val="en-US"/>
        </w:rPr>
        <w:t xml:space="preserve">.  </w:t>
      </w:r>
    </w:p>
    <w:p w14:paraId="1B9B9D23" w14:textId="77777777" w:rsidR="008E5F21" w:rsidRPr="00E53DD1" w:rsidRDefault="008E5F21" w:rsidP="008E5F21">
      <w:pPr>
        <w:widowControl w:val="0"/>
        <w:autoSpaceDE w:val="0"/>
        <w:autoSpaceDN w:val="0"/>
        <w:adjustRightInd w:val="0"/>
        <w:spacing w:after="0" w:line="240" w:lineRule="auto"/>
        <w:jc w:val="both"/>
        <w:rPr>
          <w:rFonts w:ascii="Palatino Linotype" w:hAnsi="Palatino Linotype"/>
          <w:lang w:val="en-US"/>
        </w:rPr>
      </w:pPr>
      <w:r w:rsidRPr="00E53DD1">
        <w:rPr>
          <w:rFonts w:ascii="Palatino Linotype" w:hAnsi="Palatino Linotype"/>
          <w:lang w:val="en-US"/>
        </w:rPr>
        <w:t xml:space="preserve">Malmström, C. (2015). Answer given by Ms Malmström on behalf of the Commission to Parliamentary question E-006527/2015, 2 July, available at </w:t>
      </w:r>
      <w:hyperlink r:id="rId17" w:history="1">
        <w:r w:rsidRPr="00E53DD1">
          <w:rPr>
            <w:rStyle w:val="Hyperlink"/>
            <w:rFonts w:ascii="Palatino Linotype" w:hAnsi="Palatino Linotype"/>
            <w:color w:val="auto"/>
            <w:lang w:val="en-US"/>
          </w:rPr>
          <w:t>http://www.europarl.europa.eu/sides/getAllAnswers.do?reference=E-2015-006527&amp;language=EN</w:t>
        </w:r>
      </w:hyperlink>
      <w:r w:rsidRPr="00E53DD1">
        <w:rPr>
          <w:rFonts w:ascii="Palatino Linotype" w:hAnsi="Palatino Linotype"/>
          <w:lang w:val="en-US"/>
        </w:rPr>
        <w:t>.</w:t>
      </w:r>
    </w:p>
    <w:p w14:paraId="6A3013AB" w14:textId="77777777" w:rsidR="008E5F21" w:rsidRPr="00E53DD1" w:rsidRDefault="008E5F21" w:rsidP="008E5F21">
      <w:pPr>
        <w:jc w:val="both"/>
        <w:rPr>
          <w:rFonts w:ascii="Palatino Linotype" w:hAnsi="Palatino Linotype"/>
          <w:lang w:val="en-US"/>
        </w:rPr>
      </w:pPr>
    </w:p>
    <w:p w14:paraId="2F8411F5" w14:textId="77777777" w:rsidR="008E5F21" w:rsidRPr="00E53DD1" w:rsidRDefault="008E5F21" w:rsidP="008E5F21">
      <w:pPr>
        <w:jc w:val="both"/>
        <w:rPr>
          <w:rFonts w:ascii="Palatino Linotype" w:hAnsi="Palatino Linotype"/>
          <w:lang w:val="en-US"/>
        </w:rPr>
      </w:pPr>
      <w:r w:rsidRPr="00E53DD1">
        <w:rPr>
          <w:rFonts w:ascii="Palatino Linotype" w:hAnsi="Palatino Linotype"/>
          <w:lang w:val="en-US"/>
        </w:rPr>
        <w:t xml:space="preserve">Public Citizen, et al. (2013). ‘Letter to Obama alterting to NAFTA concerns’, November 11, available at </w:t>
      </w:r>
      <w:hyperlink r:id="rId18" w:history="1">
        <w:r w:rsidRPr="00E53DD1">
          <w:rPr>
            <w:rStyle w:val="Hyperlink"/>
            <w:rFonts w:ascii="Palatino Linotype" w:hAnsi="Palatino Linotype"/>
            <w:color w:val="auto"/>
            <w:lang w:val="en-US"/>
          </w:rPr>
          <w:t>https://www.citizen.org/documents/public-citizen-letter-to-obama-alerting-to-tafta-concerns.pdf</w:t>
        </w:r>
      </w:hyperlink>
      <w:r w:rsidRPr="00E53DD1">
        <w:rPr>
          <w:rFonts w:ascii="Palatino Linotype" w:hAnsi="Palatino Linotype"/>
          <w:lang w:val="en-US"/>
        </w:rPr>
        <w:t xml:space="preserve">.     </w:t>
      </w:r>
    </w:p>
    <w:p w14:paraId="1D5AA8C0" w14:textId="24146F06" w:rsidR="00F60F62" w:rsidRPr="00E53DD1" w:rsidRDefault="008E5F21" w:rsidP="000D0A81">
      <w:pPr>
        <w:jc w:val="both"/>
        <w:rPr>
          <w:rFonts w:ascii="Palatino Linotype" w:hAnsi="Palatino Linotype"/>
          <w:u w:val="single"/>
          <w:lang w:val="en-US"/>
        </w:rPr>
      </w:pPr>
      <w:r w:rsidRPr="00E53DD1">
        <w:rPr>
          <w:rFonts w:ascii="Palatino Linotype" w:hAnsi="Palatino Linotype"/>
          <w:lang w:val="en-US"/>
        </w:rPr>
        <w:lastRenderedPageBreak/>
        <w:t xml:space="preserve">The Economist (2016). Trading places: What the aversion to global trade says about Europe and America. TheEconomist.com, 28 April, available at </w:t>
      </w:r>
      <w:hyperlink r:id="rId19" w:history="1">
        <w:r w:rsidRPr="00E53DD1">
          <w:rPr>
            <w:rStyle w:val="Hyperlink"/>
            <w:rFonts w:ascii="Palatino Linotype" w:hAnsi="Palatino Linotype"/>
            <w:color w:val="auto"/>
            <w:lang w:val="en-US"/>
          </w:rPr>
          <w:t>http://www.economist.com/news/europe/21697877-what-aversion-global-trade-says-about-europe-and-america-trading-places</w:t>
        </w:r>
      </w:hyperlink>
    </w:p>
    <w:p w14:paraId="0C88C2DE" w14:textId="77777777" w:rsidR="00F864A6" w:rsidRDefault="00F864A6" w:rsidP="007F6C1E">
      <w:pPr>
        <w:rPr>
          <w:rFonts w:ascii="Palatino Linotype" w:hAnsi="Palatino Linotype"/>
          <w:b/>
          <w:lang w:val="en-US"/>
        </w:rPr>
      </w:pPr>
    </w:p>
    <w:p w14:paraId="1072C0C9" w14:textId="75A87C89" w:rsidR="00F60F62" w:rsidRPr="00F864A6" w:rsidRDefault="00F60F62" w:rsidP="007F6C1E">
      <w:pPr>
        <w:rPr>
          <w:rFonts w:ascii="Palatino Linotype" w:hAnsi="Palatino Linotype"/>
          <w:b/>
          <w:lang w:val="en-US"/>
        </w:rPr>
      </w:pPr>
      <w:r w:rsidRPr="00E53DD1">
        <w:rPr>
          <w:rFonts w:ascii="Palatino Linotype" w:hAnsi="Palatino Linotype"/>
          <w:b/>
          <w:lang w:val="en-US"/>
        </w:rPr>
        <w:t>Secondary sources</w:t>
      </w:r>
    </w:p>
    <w:p w14:paraId="40D6A3E5" w14:textId="77777777" w:rsidR="00A80B47" w:rsidRPr="00E53DD1" w:rsidRDefault="00A80B47" w:rsidP="00C85DBE">
      <w:pPr>
        <w:widowControl w:val="0"/>
        <w:autoSpaceDE w:val="0"/>
        <w:autoSpaceDN w:val="0"/>
        <w:adjustRightInd w:val="0"/>
        <w:spacing w:after="0" w:line="240" w:lineRule="auto"/>
        <w:jc w:val="both"/>
        <w:rPr>
          <w:rFonts w:ascii="Palatino Linotype" w:hAnsi="Palatino Linotype"/>
          <w:lang w:val="en-GB"/>
        </w:rPr>
      </w:pPr>
    </w:p>
    <w:p w14:paraId="5969A264" w14:textId="6DC41240" w:rsidR="005F10D3" w:rsidRPr="00E53DD1" w:rsidRDefault="006061E6" w:rsidP="00C85DBE">
      <w:pPr>
        <w:widowControl w:val="0"/>
        <w:autoSpaceDE w:val="0"/>
        <w:autoSpaceDN w:val="0"/>
        <w:adjustRightInd w:val="0"/>
        <w:spacing w:after="0" w:line="240" w:lineRule="auto"/>
        <w:jc w:val="both"/>
        <w:rPr>
          <w:rFonts w:ascii="Palatino Linotype" w:hAnsi="Palatino Linotype"/>
          <w:lang w:val="en-GB"/>
        </w:rPr>
      </w:pPr>
      <w:hyperlink r:id="rId20" w:history="1">
        <w:r w:rsidR="005F10D3" w:rsidRPr="00E53DD1">
          <w:rPr>
            <w:rStyle w:val="Hyperlink"/>
            <w:rFonts w:ascii="Palatino Linotype" w:hAnsi="Palatino Linotype"/>
            <w:color w:val="auto"/>
            <w:lang w:val="en-GB"/>
          </w:rPr>
          <w:t>http://hir.harvard.edu/defining-powerabuse-of-power/</w:t>
        </w:r>
      </w:hyperlink>
      <w:r w:rsidR="005F10D3" w:rsidRPr="00E53DD1">
        <w:rPr>
          <w:rFonts w:ascii="Palatino Linotype" w:hAnsi="Palatino Linotype"/>
          <w:lang w:val="en-GB"/>
        </w:rPr>
        <w:t xml:space="preserve"> </w:t>
      </w:r>
    </w:p>
    <w:p w14:paraId="4487C8F8" w14:textId="77777777" w:rsidR="005F10D3" w:rsidRPr="00E53DD1" w:rsidRDefault="005F10D3" w:rsidP="00C85DBE">
      <w:pPr>
        <w:widowControl w:val="0"/>
        <w:autoSpaceDE w:val="0"/>
        <w:autoSpaceDN w:val="0"/>
        <w:adjustRightInd w:val="0"/>
        <w:spacing w:after="0" w:line="240" w:lineRule="auto"/>
        <w:jc w:val="both"/>
        <w:rPr>
          <w:rFonts w:ascii="Palatino Linotype" w:hAnsi="Palatino Linotype"/>
          <w:lang w:val="en-GB"/>
        </w:rPr>
      </w:pPr>
    </w:p>
    <w:p w14:paraId="2AFF8A35" w14:textId="79667A3C" w:rsidR="003B0126" w:rsidRPr="00E53DD1" w:rsidRDefault="00E33728" w:rsidP="008E5F21">
      <w:pPr>
        <w:widowControl w:val="0"/>
        <w:autoSpaceDE w:val="0"/>
        <w:autoSpaceDN w:val="0"/>
        <w:adjustRightInd w:val="0"/>
        <w:spacing w:after="0" w:line="240" w:lineRule="auto"/>
        <w:jc w:val="both"/>
        <w:rPr>
          <w:rFonts w:ascii="Palatino Linotype" w:hAnsi="Palatino Linotype"/>
          <w:lang w:val="en-US"/>
        </w:rPr>
      </w:pPr>
      <w:r w:rsidRPr="00E53DD1">
        <w:rPr>
          <w:rFonts w:ascii="Palatino Linotype" w:hAnsi="Palatino Linotype"/>
          <w:lang w:val="en-US"/>
        </w:rPr>
        <w:t xml:space="preserve">Cerny, P. G. (1999). Globalization and the Erosion of Democracy. </w:t>
      </w:r>
      <w:r w:rsidRPr="00E53DD1">
        <w:rPr>
          <w:rFonts w:ascii="Palatino Linotype" w:hAnsi="Palatino Linotype"/>
          <w:i/>
          <w:lang w:val="en-US"/>
        </w:rPr>
        <w:t>European Journal of Political Research</w:t>
      </w:r>
      <w:r w:rsidR="008E5F21" w:rsidRPr="00E53DD1">
        <w:rPr>
          <w:rFonts w:ascii="Palatino Linotype" w:hAnsi="Palatino Linotype"/>
          <w:lang w:val="en-US"/>
        </w:rPr>
        <w:t>, 36(1), 1-26.</w:t>
      </w:r>
    </w:p>
    <w:p w14:paraId="516F83F3" w14:textId="77777777" w:rsidR="008E5F21" w:rsidRPr="00E53DD1" w:rsidRDefault="008E5F21" w:rsidP="008E5F21">
      <w:pPr>
        <w:widowControl w:val="0"/>
        <w:autoSpaceDE w:val="0"/>
        <w:autoSpaceDN w:val="0"/>
        <w:adjustRightInd w:val="0"/>
        <w:spacing w:after="0" w:line="240" w:lineRule="auto"/>
        <w:jc w:val="both"/>
        <w:rPr>
          <w:rFonts w:ascii="Palatino Linotype" w:hAnsi="Palatino Linotype"/>
          <w:lang w:val="en-US"/>
        </w:rPr>
      </w:pPr>
    </w:p>
    <w:p w14:paraId="3F7C701C" w14:textId="3BE8175D" w:rsidR="003E4186" w:rsidRPr="00E53DD1" w:rsidRDefault="000D0580" w:rsidP="008E5F21">
      <w:pPr>
        <w:jc w:val="both"/>
        <w:rPr>
          <w:rFonts w:ascii="Palatino Linotype" w:hAnsi="Palatino Linotype"/>
          <w:lang w:val="en-US"/>
        </w:rPr>
      </w:pPr>
      <w:r w:rsidRPr="00E53DD1">
        <w:rPr>
          <w:rFonts w:ascii="Palatino Linotype" w:hAnsi="Palatino Linotype"/>
          <w:lang w:val="en-US"/>
        </w:rPr>
        <w:t xml:space="preserve">Gill, S. (1998). New constitutionalism, democratisation and global political economy. </w:t>
      </w:r>
      <w:r w:rsidRPr="00E53DD1">
        <w:rPr>
          <w:rFonts w:ascii="Palatino Linotype" w:hAnsi="Palatino Linotype"/>
          <w:i/>
          <w:lang w:val="en-US"/>
        </w:rPr>
        <w:t>Global change, peace &amp; security</w:t>
      </w:r>
      <w:r w:rsidRPr="00E53DD1">
        <w:rPr>
          <w:rFonts w:ascii="Palatino Linotype" w:hAnsi="Palatino Linotype"/>
          <w:lang w:val="en-US"/>
        </w:rPr>
        <w:t>, 10(1), 23-38.</w:t>
      </w:r>
    </w:p>
    <w:p w14:paraId="0860A5AD" w14:textId="0C2BEA9C" w:rsidR="00425416" w:rsidRPr="00E53DD1" w:rsidRDefault="00425416" w:rsidP="00C85DBE">
      <w:pPr>
        <w:widowControl w:val="0"/>
        <w:autoSpaceDE w:val="0"/>
        <w:autoSpaceDN w:val="0"/>
        <w:adjustRightInd w:val="0"/>
        <w:spacing w:after="0" w:line="240" w:lineRule="auto"/>
        <w:jc w:val="both"/>
        <w:rPr>
          <w:rFonts w:ascii="Palatino Linotype" w:hAnsi="Palatino Linotype"/>
          <w:lang w:val="en-US"/>
        </w:rPr>
      </w:pPr>
      <w:r w:rsidRPr="00E53DD1">
        <w:rPr>
          <w:rFonts w:ascii="Palatino Linotype" w:hAnsi="Palatino Linotype"/>
          <w:lang w:val="en-US"/>
        </w:rPr>
        <w:t xml:space="preserve">Narlikar, A., &amp; Wilkinson, R. (2004). Collapse at the WTO: a Cancun post‐mortem. </w:t>
      </w:r>
      <w:r w:rsidRPr="00E53DD1">
        <w:rPr>
          <w:rFonts w:ascii="Palatino Linotype" w:hAnsi="Palatino Linotype"/>
          <w:i/>
          <w:lang w:val="en-US"/>
        </w:rPr>
        <w:t>Third World Quarterly</w:t>
      </w:r>
      <w:r w:rsidRPr="00E53DD1">
        <w:rPr>
          <w:rFonts w:ascii="Palatino Linotype" w:hAnsi="Palatino Linotype"/>
          <w:lang w:val="en-US"/>
        </w:rPr>
        <w:t>, 25(3), 447-460.</w:t>
      </w:r>
    </w:p>
    <w:p w14:paraId="0BD40BBC" w14:textId="77777777" w:rsidR="00425416" w:rsidRPr="00E53DD1" w:rsidRDefault="00425416" w:rsidP="00C85DBE">
      <w:pPr>
        <w:widowControl w:val="0"/>
        <w:autoSpaceDE w:val="0"/>
        <w:autoSpaceDN w:val="0"/>
        <w:adjustRightInd w:val="0"/>
        <w:spacing w:after="0" w:line="240" w:lineRule="auto"/>
        <w:jc w:val="both"/>
        <w:rPr>
          <w:rFonts w:ascii="Palatino Linotype" w:hAnsi="Palatino Linotype" w:cs="Arial"/>
          <w:sz w:val="26"/>
          <w:szCs w:val="26"/>
          <w:lang w:val="en-US"/>
        </w:rPr>
      </w:pPr>
    </w:p>
    <w:p w14:paraId="79AF1A5A" w14:textId="77777777" w:rsidR="00D475E1" w:rsidRPr="00E53DD1" w:rsidRDefault="00D475E1" w:rsidP="00C5355B">
      <w:pPr>
        <w:jc w:val="both"/>
        <w:rPr>
          <w:rStyle w:val="Hyperlink"/>
          <w:rFonts w:ascii="Palatino Linotype" w:hAnsi="Palatino Linotype"/>
          <w:color w:val="auto"/>
          <w:lang w:val="en-US"/>
        </w:rPr>
      </w:pPr>
    </w:p>
    <w:p w14:paraId="4D92EDFF" w14:textId="18C140DB" w:rsidR="00D475E1" w:rsidRPr="00E53DD1" w:rsidRDefault="00D475E1" w:rsidP="00392713">
      <w:pPr>
        <w:pStyle w:val="Heading1"/>
        <w:rPr>
          <w:rStyle w:val="Hyperlink"/>
          <w:rFonts w:ascii="Palatino Linotype" w:hAnsi="Palatino Linotype"/>
          <w:color w:val="auto"/>
          <w:u w:val="none"/>
          <w:lang w:val="en-US"/>
        </w:rPr>
      </w:pPr>
      <w:r w:rsidRPr="00E53DD1">
        <w:rPr>
          <w:rStyle w:val="Hyperlink"/>
          <w:rFonts w:ascii="Palatino Linotype" w:hAnsi="Palatino Linotype"/>
          <w:color w:val="auto"/>
          <w:u w:val="none"/>
          <w:lang w:val="en-US"/>
        </w:rPr>
        <w:t>Appendix</w:t>
      </w:r>
    </w:p>
    <w:p w14:paraId="68C57798" w14:textId="00BBF169" w:rsidR="00E53DD1" w:rsidRPr="00E53DD1" w:rsidRDefault="00E53DD1" w:rsidP="00E53DD1">
      <w:pPr>
        <w:jc w:val="both"/>
        <w:rPr>
          <w:rFonts w:ascii="Palatino Linotype" w:hAnsi="Palatino Linotype"/>
          <w:b/>
          <w:lang w:val="en-GB"/>
        </w:rPr>
      </w:pPr>
    </w:p>
    <w:p w14:paraId="0603D0B3" w14:textId="2EE80F63" w:rsidR="00392713" w:rsidRPr="00E53DD1" w:rsidRDefault="00392713" w:rsidP="00F35580">
      <w:pPr>
        <w:jc w:val="both"/>
        <w:rPr>
          <w:rFonts w:ascii="Palatino Linotype" w:hAnsi="Palatino Linotype"/>
          <w:b/>
          <w:lang w:val="en-US"/>
        </w:rPr>
      </w:pPr>
      <w:r w:rsidRPr="00E53DD1">
        <w:rPr>
          <w:rFonts w:ascii="Palatino Linotype" w:hAnsi="Palatino Linotype"/>
          <w:b/>
          <w:lang w:val="en-GB"/>
        </w:rPr>
        <w:t xml:space="preserve">Appendix 1: </w:t>
      </w:r>
      <w:r w:rsidR="007B6918" w:rsidRPr="00E53DD1">
        <w:rPr>
          <w:rFonts w:ascii="Palatino Linotype" w:hAnsi="Palatino Linotype"/>
          <w:b/>
          <w:lang w:val="en-GB"/>
        </w:rPr>
        <w:t>E</w:t>
      </w:r>
      <w:r w:rsidRPr="00E53DD1">
        <w:rPr>
          <w:rFonts w:ascii="Palatino Linotype" w:hAnsi="Palatino Linotype"/>
          <w:b/>
          <w:lang w:val="en-GB"/>
        </w:rPr>
        <w:t>xplanation of different transparency documents</w:t>
      </w:r>
    </w:p>
    <w:p w14:paraId="7CC004B5" w14:textId="356A9D77" w:rsidR="00F35580" w:rsidRPr="00E53DD1" w:rsidRDefault="00392713" w:rsidP="00F35580">
      <w:pPr>
        <w:pStyle w:val="ListParagraph"/>
        <w:numPr>
          <w:ilvl w:val="0"/>
          <w:numId w:val="3"/>
        </w:numPr>
        <w:jc w:val="both"/>
        <w:rPr>
          <w:rFonts w:ascii="Palatino Linotype" w:hAnsi="Palatino Linotype"/>
          <w:lang w:val="en-US"/>
        </w:rPr>
      </w:pPr>
      <w:r w:rsidRPr="00E53DD1">
        <w:rPr>
          <w:rFonts w:ascii="Palatino Linotype" w:hAnsi="Palatino Linotype"/>
          <w:lang w:val="en-US"/>
        </w:rPr>
        <w:t xml:space="preserve">Negotiating documents </w:t>
      </w:r>
    </w:p>
    <w:p w14:paraId="6D819BE5"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The negotiation mandate includes the official guidelines given by the Council to the Commission to negotiate an FTA</w:t>
      </w:r>
    </w:p>
    <w:p w14:paraId="2046A20B"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Textual proposals are the EU’s initial proposals for legal text on a specific chapter, which are tabled for discussion in negotiating rounds</w:t>
      </w:r>
    </w:p>
    <w:p w14:paraId="50C35198"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Consolidated texts show EU and US positions side-by-side</w:t>
      </w:r>
    </w:p>
    <w:p w14:paraId="701E06A3"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Non-papers are designed to stimulate discussion without representing the official position</w:t>
      </w:r>
    </w:p>
    <w:p w14:paraId="4AF193ED"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List of meetings the Commission or its negotiators had with third parties includes dates and time, but also content of what was being discussed</w:t>
      </w:r>
    </w:p>
    <w:p w14:paraId="30C4B68D"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Correspondence/submissions by third parties includes all mails, letters or position papers the Commission received from business organizations, trade unions or NGOs</w:t>
      </w:r>
    </w:p>
    <w:p w14:paraId="059C15B2"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Correspondence between Commission and Council and/or European Parliament</w:t>
      </w:r>
    </w:p>
    <w:p w14:paraId="4FF8F24E"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‘Access to documents’ requests relate to all demands voiced over the problems encountered with the request of documents: timely release, unredacted versions etc.</w:t>
      </w:r>
    </w:p>
    <w:p w14:paraId="1C746D5C" w14:textId="77777777" w:rsidR="00F35580" w:rsidRPr="00E53DD1" w:rsidRDefault="00F35580" w:rsidP="00F35580">
      <w:pPr>
        <w:pStyle w:val="ListParagraph"/>
        <w:numPr>
          <w:ilvl w:val="0"/>
          <w:numId w:val="3"/>
        </w:numPr>
        <w:jc w:val="both"/>
        <w:rPr>
          <w:rFonts w:ascii="Palatino Linotype" w:hAnsi="Palatino Linotype"/>
          <w:lang w:val="en-US"/>
        </w:rPr>
      </w:pPr>
      <w:r w:rsidRPr="00E53DD1">
        <w:rPr>
          <w:rFonts w:ascii="Palatino Linotype" w:hAnsi="Palatino Linotype"/>
          <w:lang w:val="en-US"/>
        </w:rPr>
        <w:t>Informative documents/demands</w:t>
      </w:r>
    </w:p>
    <w:p w14:paraId="39941FCA"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lastRenderedPageBreak/>
        <w:t>Position papers set out the EU’s general approach on several subject areas</w:t>
      </w:r>
    </w:p>
    <w:p w14:paraId="02945929"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The translation of informative (and technical) documents</w:t>
      </w:r>
    </w:p>
    <w:p w14:paraId="102D2608"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A list of which people are dealing with TTIP within the organizations</w:t>
      </w:r>
    </w:p>
    <w:p w14:paraId="2F18B3DC"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A comprehensive list of all the documents that are circulating and information on who can access and read them</w:t>
      </w:r>
    </w:p>
    <w:p w14:paraId="61B8DD2E"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Agendas show date, place, participants and subjects of negotiating rounds</w:t>
      </w:r>
    </w:p>
    <w:p w14:paraId="0C0A1AE3"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Briefings, reports and state of play documents after negotiating rounds with meaningful information on what was being discussed</w:t>
      </w:r>
    </w:p>
    <w:p w14:paraId="7AB61C86"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The request to make all public documents easily accessible online in a public registry</w:t>
      </w:r>
    </w:p>
    <w:p w14:paraId="37714B5F" w14:textId="77777777" w:rsidR="00F35580" w:rsidRPr="00E53DD1" w:rsidRDefault="00F35580" w:rsidP="00F35580">
      <w:pPr>
        <w:pStyle w:val="ListParagraph"/>
        <w:numPr>
          <w:ilvl w:val="0"/>
          <w:numId w:val="3"/>
        </w:numPr>
        <w:jc w:val="both"/>
        <w:rPr>
          <w:rFonts w:ascii="Palatino Linotype" w:hAnsi="Palatino Linotype"/>
          <w:lang w:val="en-US"/>
        </w:rPr>
      </w:pPr>
      <w:r w:rsidRPr="00E53DD1">
        <w:rPr>
          <w:rFonts w:ascii="Palatino Linotype" w:hAnsi="Palatino Linotype"/>
          <w:lang w:val="en-US"/>
        </w:rPr>
        <w:t>General formal transparency demands</w:t>
      </w:r>
    </w:p>
    <w:p w14:paraId="10655DBF"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Request the Council and/or the US to take similar steps to improve transparency</w:t>
      </w:r>
    </w:p>
    <w:p w14:paraId="1BCA20E3"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Request to extend the measures taken in TTIP to cover other trade agreements as well</w:t>
      </w:r>
    </w:p>
    <w:p w14:paraId="345C564B" w14:textId="77777777" w:rsidR="00F35580" w:rsidRPr="00E53DD1" w:rsidRDefault="00F35580" w:rsidP="00F35580">
      <w:pPr>
        <w:pStyle w:val="ListParagraph"/>
        <w:numPr>
          <w:ilvl w:val="1"/>
          <w:numId w:val="3"/>
        </w:numPr>
        <w:jc w:val="both"/>
        <w:rPr>
          <w:rFonts w:ascii="Palatino Linotype" w:hAnsi="Palatino Linotype"/>
          <w:lang w:val="en-US"/>
        </w:rPr>
      </w:pPr>
      <w:r w:rsidRPr="00E53DD1">
        <w:rPr>
          <w:rFonts w:ascii="Palatino Linotype" w:hAnsi="Palatino Linotype"/>
          <w:lang w:val="en-US"/>
        </w:rPr>
        <w:t xml:space="preserve">Request that MEPs and/or MPs are fully able to play their scrutinizing and legislative role by providing them as much access and information as possible </w:t>
      </w:r>
    </w:p>
    <w:p w14:paraId="5B0025B1" w14:textId="77777777" w:rsidR="00F35580" w:rsidRPr="00E53DD1" w:rsidRDefault="00F35580" w:rsidP="00C5355B">
      <w:pPr>
        <w:jc w:val="both"/>
        <w:rPr>
          <w:rFonts w:ascii="Palatino Linotype" w:hAnsi="Palatino Linotype"/>
          <w:lang w:val="en-US"/>
        </w:rPr>
      </w:pPr>
    </w:p>
    <w:p w14:paraId="45F4F848" w14:textId="74A8F06D" w:rsidR="00392713" w:rsidRPr="00E53DD1" w:rsidRDefault="00392713" w:rsidP="00C5355B">
      <w:pPr>
        <w:jc w:val="both"/>
        <w:rPr>
          <w:rFonts w:ascii="Palatino Linotype" w:hAnsi="Palatino Linotype"/>
          <w:b/>
          <w:lang w:val="en-US"/>
        </w:rPr>
      </w:pPr>
      <w:r w:rsidRPr="00E53DD1">
        <w:rPr>
          <w:rFonts w:ascii="Palatino Linotype" w:hAnsi="Palatino Linotype"/>
          <w:b/>
          <w:lang w:val="en-US"/>
        </w:rPr>
        <w:t>Appendix 2: Transparency demands per NGO, and some methodological considerations</w:t>
      </w:r>
    </w:p>
    <w:p w14:paraId="03991599" w14:textId="77777777" w:rsidR="00392713" w:rsidRPr="00E53DD1" w:rsidRDefault="00392713" w:rsidP="00392713">
      <w:pPr>
        <w:jc w:val="both"/>
        <w:rPr>
          <w:rFonts w:ascii="Palatino Linotype" w:hAnsi="Palatino Linotype"/>
          <w:lang w:val="en-US"/>
        </w:rPr>
      </w:pPr>
      <w:r w:rsidRPr="00E53DD1">
        <w:rPr>
          <w:rFonts w:ascii="Palatino Linotype" w:hAnsi="Palatino Linotype"/>
          <w:lang w:val="en-US"/>
        </w:rPr>
        <w:t xml:space="preserve">We have only included demands that have been voiced at least three times and have listed the demands in terms of the number of organizations that asked for it. There were 26 NGO contributions in total, even though percentages do not make much sense here. Some organizations, for example, may – when asked – respond positively to the question if a certain negotiating document should be provided, even though they have not made this claim specific in their position paper. The number is therefore indicative of the importance attached to it, rather than an absolute value/percentage of how many organizations demand it. </w:t>
      </w:r>
    </w:p>
    <w:p w14:paraId="22DE51DF" w14:textId="77777777" w:rsidR="00392713" w:rsidRPr="00E53DD1" w:rsidRDefault="00392713" w:rsidP="00392713">
      <w:pPr>
        <w:jc w:val="both"/>
        <w:rPr>
          <w:rFonts w:ascii="Palatino Linotype" w:hAnsi="Palatino Linotype"/>
          <w:lang w:val="en-US"/>
        </w:rPr>
      </w:pPr>
      <w:r w:rsidRPr="00E53DD1">
        <w:rPr>
          <w:rFonts w:ascii="Palatino Linotype" w:hAnsi="Palatino Linotype"/>
          <w:lang w:val="en-US"/>
        </w:rPr>
        <w:t xml:space="preserve">We have also acted cautiously when coding different categories. The demand, for example, to know the position of the EU has without additional information been coded as ‘position paper’ in the explanatory category. However, if mention was made, for example, that the position of the EU has to be made public before each negotiating round, this no longer points to one general paper at the beginning of negotiations, but to textual proposals about what the EU is asking every round. Hence, such statement was coded as ‘textual proposal’. Statements such as these that could not be coded in a straight fashion, were discussed separately between the two authors. </w:t>
      </w:r>
    </w:p>
    <w:p w14:paraId="45F78FD5" w14:textId="77777777" w:rsidR="00392713" w:rsidRPr="00E53DD1" w:rsidRDefault="00392713" w:rsidP="00392713">
      <w:pPr>
        <w:jc w:val="both"/>
        <w:rPr>
          <w:rFonts w:ascii="Palatino Linotype" w:hAnsi="Palatino Linotype"/>
          <w:lang w:val="en-US"/>
        </w:rPr>
      </w:pPr>
      <w:r w:rsidRPr="00E53DD1">
        <w:rPr>
          <w:rFonts w:ascii="Palatino Linotype" w:hAnsi="Palatino Linotype"/>
          <w:lang w:val="en-US"/>
        </w:rPr>
        <w:t>Some organizations have joined efforts and contributed the exact same position paper, meaning a certain demand could be immediately tripled, for example. We don’t see this as a problem, because this is arguably proof of the common message on transparency that holds NGO opposition together and business organizations have done the same thing, by copy-pasting the Business Europe position, or parts thereof. If we lower this threshold to two, only two additional explanatory documents would be added to the list (translation of documents and a list of who deals with TTIP in the different institutions).</w:t>
      </w:r>
    </w:p>
    <w:p w14:paraId="4555C495" w14:textId="77777777" w:rsidR="00392713" w:rsidRPr="00E53DD1" w:rsidRDefault="00392713" w:rsidP="00392713">
      <w:pPr>
        <w:jc w:val="both"/>
        <w:rPr>
          <w:rFonts w:ascii="Palatino Linotype" w:hAnsi="Palatino Linotype"/>
          <w:lang w:val="en-US"/>
        </w:rPr>
      </w:pPr>
    </w:p>
    <w:p w14:paraId="066358AE" w14:textId="77777777" w:rsidR="00392713" w:rsidRPr="00E53DD1" w:rsidRDefault="00392713" w:rsidP="00392713">
      <w:pPr>
        <w:jc w:val="both"/>
        <w:rPr>
          <w:rFonts w:ascii="Palatino Linotype" w:hAnsi="Palatino Linotype"/>
          <w:lang w:val="en-US"/>
        </w:rPr>
      </w:pPr>
    </w:p>
    <w:p w14:paraId="2C4DC8CE" w14:textId="77777777" w:rsidR="00392713" w:rsidRPr="00E53DD1" w:rsidRDefault="00392713" w:rsidP="00392713">
      <w:pPr>
        <w:jc w:val="both"/>
        <w:rPr>
          <w:rFonts w:ascii="Palatino Linotype" w:hAnsi="Palatino Linotype"/>
          <w:lang w:val="en-US"/>
        </w:rPr>
      </w:pPr>
    </w:p>
    <w:tbl>
      <w:tblPr>
        <w:tblStyle w:val="TableGrid"/>
        <w:tblW w:w="0" w:type="auto"/>
        <w:tblLook w:val="04A0" w:firstRow="1" w:lastRow="0" w:firstColumn="1" w:lastColumn="0" w:noHBand="0" w:noVBand="1"/>
      </w:tblPr>
      <w:tblGrid>
        <w:gridCol w:w="4106"/>
        <w:gridCol w:w="567"/>
        <w:gridCol w:w="4389"/>
      </w:tblGrid>
      <w:tr w:rsidR="00392713" w:rsidRPr="00E53DD1" w14:paraId="40575F33"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3F1D4627"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Document / demand</w:t>
            </w:r>
          </w:p>
        </w:tc>
        <w:tc>
          <w:tcPr>
            <w:tcW w:w="567" w:type="dxa"/>
            <w:tcBorders>
              <w:top w:val="single" w:sz="4" w:space="0" w:color="auto"/>
              <w:left w:val="single" w:sz="4" w:space="0" w:color="auto"/>
              <w:bottom w:val="single" w:sz="4" w:space="0" w:color="auto"/>
              <w:right w:val="single" w:sz="4" w:space="0" w:color="auto"/>
            </w:tcBorders>
            <w:hideMark/>
          </w:tcPr>
          <w:p w14:paraId="61190C4D"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w:t>
            </w:r>
          </w:p>
        </w:tc>
        <w:tc>
          <w:tcPr>
            <w:tcW w:w="4389" w:type="dxa"/>
            <w:tcBorders>
              <w:top w:val="single" w:sz="4" w:space="0" w:color="auto"/>
              <w:left w:val="single" w:sz="4" w:space="0" w:color="auto"/>
              <w:bottom w:val="single" w:sz="4" w:space="0" w:color="auto"/>
              <w:right w:val="single" w:sz="4" w:space="0" w:color="auto"/>
            </w:tcBorders>
            <w:hideMark/>
          </w:tcPr>
          <w:p w14:paraId="18F9C06A"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Asked by</w:t>
            </w:r>
          </w:p>
        </w:tc>
      </w:tr>
      <w:tr w:rsidR="00392713" w:rsidRPr="00E53DD1" w14:paraId="63BAFC48" w14:textId="77777777" w:rsidTr="00FF3204">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72EC064F" w14:textId="77777777" w:rsidR="00392713" w:rsidRPr="00E53DD1" w:rsidRDefault="00392713" w:rsidP="00FF3204">
            <w:pPr>
              <w:jc w:val="center"/>
              <w:rPr>
                <w:rFonts w:ascii="Palatino Linotype" w:hAnsi="Palatino Linotype"/>
                <w:b/>
                <w:lang w:val="en-US"/>
              </w:rPr>
            </w:pPr>
            <w:r w:rsidRPr="00E53DD1">
              <w:rPr>
                <w:rFonts w:ascii="Palatino Linotype" w:hAnsi="Palatino Linotype"/>
                <w:b/>
                <w:lang w:val="en-US"/>
              </w:rPr>
              <w:t>Negotiating documents</w:t>
            </w:r>
          </w:p>
        </w:tc>
      </w:tr>
      <w:tr w:rsidR="00392713" w:rsidRPr="00E53DD1" w14:paraId="091B80DB"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176D5277"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Textual proposal</w:t>
            </w:r>
          </w:p>
        </w:tc>
        <w:tc>
          <w:tcPr>
            <w:tcW w:w="567" w:type="dxa"/>
            <w:tcBorders>
              <w:top w:val="single" w:sz="4" w:space="0" w:color="auto"/>
              <w:left w:val="single" w:sz="4" w:space="0" w:color="auto"/>
              <w:bottom w:val="single" w:sz="4" w:space="0" w:color="auto"/>
              <w:right w:val="single" w:sz="4" w:space="0" w:color="auto"/>
            </w:tcBorders>
            <w:hideMark/>
          </w:tcPr>
          <w:p w14:paraId="58015FD1"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20</w:t>
            </w:r>
          </w:p>
        </w:tc>
        <w:tc>
          <w:tcPr>
            <w:tcW w:w="4389" w:type="dxa"/>
            <w:tcBorders>
              <w:top w:val="single" w:sz="4" w:space="0" w:color="auto"/>
              <w:left w:val="single" w:sz="4" w:space="0" w:color="auto"/>
              <w:bottom w:val="single" w:sz="4" w:space="0" w:color="auto"/>
              <w:right w:val="single" w:sz="4" w:space="0" w:color="auto"/>
            </w:tcBorders>
          </w:tcPr>
          <w:p w14:paraId="47C5C4CB"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FOEE, TACD, TE, AI, FI, MPE, PC, BEUC, ACC, EDRI, EPHA, FFII, BUND, CE, CWF, VB, WECF, FP, UM</w:t>
            </w:r>
          </w:p>
        </w:tc>
      </w:tr>
      <w:tr w:rsidR="00392713" w:rsidRPr="00E53DD1" w14:paraId="2E6546B2"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7F2B149E"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List of meetings (and minutes) of EC officials with third parties</w:t>
            </w:r>
          </w:p>
        </w:tc>
        <w:tc>
          <w:tcPr>
            <w:tcW w:w="567" w:type="dxa"/>
            <w:tcBorders>
              <w:top w:val="single" w:sz="4" w:space="0" w:color="auto"/>
              <w:left w:val="single" w:sz="4" w:space="0" w:color="auto"/>
              <w:bottom w:val="single" w:sz="4" w:space="0" w:color="auto"/>
              <w:right w:val="single" w:sz="4" w:space="0" w:color="auto"/>
            </w:tcBorders>
            <w:hideMark/>
          </w:tcPr>
          <w:p w14:paraId="32C2E10B"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19</w:t>
            </w:r>
          </w:p>
        </w:tc>
        <w:tc>
          <w:tcPr>
            <w:tcW w:w="4389" w:type="dxa"/>
            <w:tcBorders>
              <w:top w:val="single" w:sz="4" w:space="0" w:color="auto"/>
              <w:left w:val="single" w:sz="4" w:space="0" w:color="auto"/>
              <w:bottom w:val="single" w:sz="4" w:space="0" w:color="auto"/>
              <w:right w:val="single" w:sz="4" w:space="0" w:color="auto"/>
            </w:tcBorders>
          </w:tcPr>
          <w:p w14:paraId="79402F58"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FOEE, TACD, TE, AI, FW, FI, IGO, BEUC, ACC, EDRI, EMI, EPHA, BUND, CE, CWF, VB, WECF, FO</w:t>
            </w:r>
          </w:p>
        </w:tc>
      </w:tr>
      <w:tr w:rsidR="00392713" w:rsidRPr="00E53DD1" w14:paraId="18ACC41D"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7E55DAB9"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Consolidated texts</w:t>
            </w:r>
          </w:p>
        </w:tc>
        <w:tc>
          <w:tcPr>
            <w:tcW w:w="567" w:type="dxa"/>
            <w:tcBorders>
              <w:top w:val="single" w:sz="4" w:space="0" w:color="auto"/>
              <w:left w:val="single" w:sz="4" w:space="0" w:color="auto"/>
              <w:bottom w:val="single" w:sz="4" w:space="0" w:color="auto"/>
              <w:right w:val="single" w:sz="4" w:space="0" w:color="auto"/>
            </w:tcBorders>
            <w:hideMark/>
          </w:tcPr>
          <w:p w14:paraId="3EB4F706"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17</w:t>
            </w:r>
          </w:p>
        </w:tc>
        <w:tc>
          <w:tcPr>
            <w:tcW w:w="4389" w:type="dxa"/>
            <w:tcBorders>
              <w:top w:val="single" w:sz="4" w:space="0" w:color="auto"/>
              <w:left w:val="single" w:sz="4" w:space="0" w:color="auto"/>
              <w:bottom w:val="single" w:sz="4" w:space="0" w:color="auto"/>
              <w:right w:val="single" w:sz="4" w:space="0" w:color="auto"/>
            </w:tcBorders>
          </w:tcPr>
          <w:p w14:paraId="3F7578EC"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FOEE, TACD, TE, AI, FI, BEUC, ACC, EDRI, EPHA, FFII, BUND, CE, VB, WECF, FP, UM</w:t>
            </w:r>
          </w:p>
        </w:tc>
      </w:tr>
      <w:tr w:rsidR="00392713" w:rsidRPr="00E53DD1" w14:paraId="5AAD3340"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36EC3FDD"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Correspondence / submissions by third parties</w:t>
            </w:r>
          </w:p>
        </w:tc>
        <w:tc>
          <w:tcPr>
            <w:tcW w:w="567" w:type="dxa"/>
            <w:tcBorders>
              <w:top w:val="single" w:sz="4" w:space="0" w:color="auto"/>
              <w:left w:val="single" w:sz="4" w:space="0" w:color="auto"/>
              <w:bottom w:val="single" w:sz="4" w:space="0" w:color="auto"/>
              <w:right w:val="single" w:sz="4" w:space="0" w:color="auto"/>
            </w:tcBorders>
            <w:hideMark/>
          </w:tcPr>
          <w:p w14:paraId="205AC506"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16</w:t>
            </w:r>
          </w:p>
        </w:tc>
        <w:tc>
          <w:tcPr>
            <w:tcW w:w="4389" w:type="dxa"/>
            <w:tcBorders>
              <w:top w:val="single" w:sz="4" w:space="0" w:color="auto"/>
              <w:left w:val="single" w:sz="4" w:space="0" w:color="auto"/>
              <w:bottom w:val="single" w:sz="4" w:space="0" w:color="auto"/>
              <w:right w:val="single" w:sz="4" w:space="0" w:color="auto"/>
            </w:tcBorders>
          </w:tcPr>
          <w:p w14:paraId="55453272"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FOEE, TACD, TE, AI, FI, BEUC, ACC, EDRI, EMI, EPHA, BUND, CE, CWF, VB, WECF</w:t>
            </w:r>
          </w:p>
        </w:tc>
      </w:tr>
      <w:tr w:rsidR="00392713" w:rsidRPr="00E53DD1" w14:paraId="297300CF"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41941769"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Negotiating mandate</w:t>
            </w:r>
          </w:p>
        </w:tc>
        <w:tc>
          <w:tcPr>
            <w:tcW w:w="567" w:type="dxa"/>
            <w:tcBorders>
              <w:top w:val="single" w:sz="4" w:space="0" w:color="auto"/>
              <w:left w:val="single" w:sz="4" w:space="0" w:color="auto"/>
              <w:bottom w:val="single" w:sz="4" w:space="0" w:color="auto"/>
              <w:right w:val="single" w:sz="4" w:space="0" w:color="auto"/>
            </w:tcBorders>
            <w:hideMark/>
          </w:tcPr>
          <w:p w14:paraId="6952E5F8"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14</w:t>
            </w:r>
          </w:p>
        </w:tc>
        <w:tc>
          <w:tcPr>
            <w:tcW w:w="4389" w:type="dxa"/>
            <w:tcBorders>
              <w:top w:val="single" w:sz="4" w:space="0" w:color="auto"/>
              <w:left w:val="single" w:sz="4" w:space="0" w:color="auto"/>
              <w:bottom w:val="single" w:sz="4" w:space="0" w:color="auto"/>
              <w:right w:val="single" w:sz="4" w:space="0" w:color="auto"/>
            </w:tcBorders>
          </w:tcPr>
          <w:p w14:paraId="2C4D383B"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TACD, AI, PC, BEUC, ACC, EDRI, EPHA, FFII, BUND, CE, VB, FP, UM</w:t>
            </w:r>
          </w:p>
        </w:tc>
      </w:tr>
      <w:tr w:rsidR="00392713" w:rsidRPr="00E53DD1" w14:paraId="2EBAFA3A"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3BF2C2B7"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Correspondence between EC and other institutional bodies</w:t>
            </w:r>
          </w:p>
        </w:tc>
        <w:tc>
          <w:tcPr>
            <w:tcW w:w="567" w:type="dxa"/>
            <w:tcBorders>
              <w:top w:val="single" w:sz="4" w:space="0" w:color="auto"/>
              <w:left w:val="single" w:sz="4" w:space="0" w:color="auto"/>
              <w:bottom w:val="single" w:sz="4" w:space="0" w:color="auto"/>
              <w:right w:val="single" w:sz="4" w:space="0" w:color="auto"/>
            </w:tcBorders>
            <w:hideMark/>
          </w:tcPr>
          <w:p w14:paraId="6B24C530"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12</w:t>
            </w:r>
          </w:p>
        </w:tc>
        <w:tc>
          <w:tcPr>
            <w:tcW w:w="4389" w:type="dxa"/>
            <w:tcBorders>
              <w:top w:val="single" w:sz="4" w:space="0" w:color="auto"/>
              <w:left w:val="single" w:sz="4" w:space="0" w:color="auto"/>
              <w:bottom w:val="single" w:sz="4" w:space="0" w:color="auto"/>
              <w:right w:val="single" w:sz="4" w:space="0" w:color="auto"/>
            </w:tcBorders>
          </w:tcPr>
          <w:p w14:paraId="7CADB30D" w14:textId="77777777" w:rsidR="00392713" w:rsidRPr="00E53DD1" w:rsidRDefault="00392713" w:rsidP="00FF3204">
            <w:pPr>
              <w:jc w:val="center"/>
              <w:rPr>
                <w:rFonts w:ascii="Palatino Linotype" w:hAnsi="Palatino Linotype"/>
              </w:rPr>
            </w:pPr>
            <w:r w:rsidRPr="00E53DD1">
              <w:rPr>
                <w:rFonts w:ascii="Palatino Linotype" w:hAnsi="Palatino Linotype"/>
              </w:rPr>
              <w:t>FOEE, TE, AI, FI, BEUC, ACC, EDRI, BUND, CE, CWF, VB, WECF</w:t>
            </w:r>
          </w:p>
        </w:tc>
      </w:tr>
      <w:tr w:rsidR="00392713" w:rsidRPr="00E53DD1" w14:paraId="0B7861DE"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561E4A53"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Drafts, non-papers</w:t>
            </w:r>
          </w:p>
        </w:tc>
        <w:tc>
          <w:tcPr>
            <w:tcW w:w="567" w:type="dxa"/>
            <w:tcBorders>
              <w:top w:val="single" w:sz="4" w:space="0" w:color="auto"/>
              <w:left w:val="single" w:sz="4" w:space="0" w:color="auto"/>
              <w:bottom w:val="single" w:sz="4" w:space="0" w:color="auto"/>
              <w:right w:val="single" w:sz="4" w:space="0" w:color="auto"/>
            </w:tcBorders>
            <w:hideMark/>
          </w:tcPr>
          <w:p w14:paraId="63164863"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7</w:t>
            </w:r>
          </w:p>
        </w:tc>
        <w:tc>
          <w:tcPr>
            <w:tcW w:w="4389" w:type="dxa"/>
            <w:tcBorders>
              <w:top w:val="single" w:sz="4" w:space="0" w:color="auto"/>
              <w:left w:val="single" w:sz="4" w:space="0" w:color="auto"/>
              <w:bottom w:val="single" w:sz="4" w:space="0" w:color="auto"/>
              <w:right w:val="single" w:sz="4" w:space="0" w:color="auto"/>
            </w:tcBorders>
          </w:tcPr>
          <w:p w14:paraId="68E3EFEE" w14:textId="77777777" w:rsidR="00392713" w:rsidRPr="00E53DD1" w:rsidRDefault="00392713" w:rsidP="00FF3204">
            <w:pPr>
              <w:jc w:val="center"/>
              <w:rPr>
                <w:rFonts w:ascii="Palatino Linotype" w:hAnsi="Palatino Linotype"/>
              </w:rPr>
            </w:pPr>
            <w:r w:rsidRPr="00E53DD1">
              <w:rPr>
                <w:rFonts w:ascii="Palatino Linotype" w:hAnsi="Palatino Linotype"/>
              </w:rPr>
              <w:t>CEO, FOEE, TE, AI, FI, EDRI, WECF</w:t>
            </w:r>
          </w:p>
        </w:tc>
      </w:tr>
      <w:tr w:rsidR="00392713" w:rsidRPr="00E53DD1" w14:paraId="576A2E97"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244F4469"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Respond to ‘Access to documents’ requests in timely fashion</w:t>
            </w:r>
          </w:p>
        </w:tc>
        <w:tc>
          <w:tcPr>
            <w:tcW w:w="567" w:type="dxa"/>
            <w:tcBorders>
              <w:top w:val="single" w:sz="4" w:space="0" w:color="auto"/>
              <w:left w:val="single" w:sz="4" w:space="0" w:color="auto"/>
              <w:bottom w:val="single" w:sz="4" w:space="0" w:color="auto"/>
              <w:right w:val="single" w:sz="4" w:space="0" w:color="auto"/>
            </w:tcBorders>
            <w:hideMark/>
          </w:tcPr>
          <w:p w14:paraId="100043EB"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5</w:t>
            </w:r>
          </w:p>
        </w:tc>
        <w:tc>
          <w:tcPr>
            <w:tcW w:w="4389" w:type="dxa"/>
            <w:tcBorders>
              <w:top w:val="single" w:sz="4" w:space="0" w:color="auto"/>
              <w:left w:val="single" w:sz="4" w:space="0" w:color="auto"/>
              <w:bottom w:val="single" w:sz="4" w:space="0" w:color="auto"/>
              <w:right w:val="single" w:sz="4" w:space="0" w:color="auto"/>
            </w:tcBorders>
          </w:tcPr>
          <w:p w14:paraId="753A44B1"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AI, FW, EDRI, FFII</w:t>
            </w:r>
          </w:p>
        </w:tc>
      </w:tr>
      <w:tr w:rsidR="00392713" w:rsidRPr="00E53DD1" w14:paraId="12F0F48C" w14:textId="77777777" w:rsidTr="00FF3204">
        <w:tc>
          <w:tcPr>
            <w:tcW w:w="9062" w:type="dxa"/>
            <w:gridSpan w:val="3"/>
            <w:tcBorders>
              <w:top w:val="single" w:sz="4" w:space="0" w:color="auto"/>
              <w:left w:val="single" w:sz="4" w:space="0" w:color="auto"/>
              <w:bottom w:val="single" w:sz="4" w:space="0" w:color="auto"/>
              <w:right w:val="single" w:sz="4" w:space="0" w:color="auto"/>
            </w:tcBorders>
            <w:hideMark/>
          </w:tcPr>
          <w:p w14:paraId="1F8A2D1A" w14:textId="77777777" w:rsidR="00392713" w:rsidRPr="00E53DD1" w:rsidRDefault="00392713" w:rsidP="00FF3204">
            <w:pPr>
              <w:jc w:val="center"/>
              <w:rPr>
                <w:rFonts w:ascii="Palatino Linotype" w:hAnsi="Palatino Linotype"/>
                <w:b/>
                <w:lang w:val="en-US"/>
              </w:rPr>
            </w:pPr>
            <w:r w:rsidRPr="00E53DD1">
              <w:rPr>
                <w:rFonts w:ascii="Palatino Linotype" w:hAnsi="Palatino Linotype"/>
                <w:b/>
                <w:lang w:val="en-US"/>
              </w:rPr>
              <w:t>Explanatory documents</w:t>
            </w:r>
          </w:p>
        </w:tc>
      </w:tr>
      <w:tr w:rsidR="00392713" w:rsidRPr="00E53DD1" w14:paraId="43DD3649"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40E257E1"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Meaningful briefings and state of play documents</w:t>
            </w:r>
          </w:p>
        </w:tc>
        <w:tc>
          <w:tcPr>
            <w:tcW w:w="567" w:type="dxa"/>
            <w:tcBorders>
              <w:top w:val="single" w:sz="4" w:space="0" w:color="auto"/>
              <w:left w:val="single" w:sz="4" w:space="0" w:color="auto"/>
              <w:bottom w:val="single" w:sz="4" w:space="0" w:color="auto"/>
              <w:right w:val="single" w:sz="4" w:space="0" w:color="auto"/>
            </w:tcBorders>
            <w:hideMark/>
          </w:tcPr>
          <w:p w14:paraId="46523558"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17</w:t>
            </w:r>
          </w:p>
        </w:tc>
        <w:tc>
          <w:tcPr>
            <w:tcW w:w="4389" w:type="dxa"/>
            <w:tcBorders>
              <w:top w:val="single" w:sz="4" w:space="0" w:color="auto"/>
              <w:left w:val="single" w:sz="4" w:space="0" w:color="auto"/>
              <w:bottom w:val="single" w:sz="4" w:space="0" w:color="auto"/>
              <w:right w:val="single" w:sz="4" w:space="0" w:color="auto"/>
            </w:tcBorders>
          </w:tcPr>
          <w:p w14:paraId="5AD54C4E"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FOEE, TACD, TE, AI, FI, MPE, PC, BEUC, EMI, EPHA, BUND, CE, CWF, VB, WECF, FP</w:t>
            </w:r>
          </w:p>
        </w:tc>
      </w:tr>
      <w:tr w:rsidR="00392713" w:rsidRPr="00E53DD1" w14:paraId="277174C6"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18786238"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Agendas of (content of) negotiating rounds</w:t>
            </w:r>
          </w:p>
        </w:tc>
        <w:tc>
          <w:tcPr>
            <w:tcW w:w="567" w:type="dxa"/>
            <w:tcBorders>
              <w:top w:val="single" w:sz="4" w:space="0" w:color="auto"/>
              <w:left w:val="single" w:sz="4" w:space="0" w:color="auto"/>
              <w:bottom w:val="single" w:sz="4" w:space="0" w:color="auto"/>
              <w:right w:val="single" w:sz="4" w:space="0" w:color="auto"/>
            </w:tcBorders>
            <w:hideMark/>
          </w:tcPr>
          <w:p w14:paraId="5D5CADB2"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15</w:t>
            </w:r>
          </w:p>
        </w:tc>
        <w:tc>
          <w:tcPr>
            <w:tcW w:w="4389" w:type="dxa"/>
            <w:tcBorders>
              <w:top w:val="single" w:sz="4" w:space="0" w:color="auto"/>
              <w:left w:val="single" w:sz="4" w:space="0" w:color="auto"/>
              <w:bottom w:val="single" w:sz="4" w:space="0" w:color="auto"/>
              <w:right w:val="single" w:sz="4" w:space="0" w:color="auto"/>
            </w:tcBorders>
          </w:tcPr>
          <w:p w14:paraId="47807E13"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FOEE, TACD, TE, AI, FI, MPE, PC, BEUC, ACC, EPHA, BUND, CE, VB, WECF</w:t>
            </w:r>
          </w:p>
        </w:tc>
      </w:tr>
      <w:tr w:rsidR="00392713" w:rsidRPr="00E53DD1" w14:paraId="62FFBD42"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4699898D"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Position papers</w:t>
            </w:r>
          </w:p>
        </w:tc>
        <w:tc>
          <w:tcPr>
            <w:tcW w:w="567" w:type="dxa"/>
            <w:tcBorders>
              <w:top w:val="single" w:sz="4" w:space="0" w:color="auto"/>
              <w:left w:val="single" w:sz="4" w:space="0" w:color="auto"/>
              <w:bottom w:val="single" w:sz="4" w:space="0" w:color="auto"/>
              <w:right w:val="single" w:sz="4" w:space="0" w:color="auto"/>
            </w:tcBorders>
            <w:hideMark/>
          </w:tcPr>
          <w:p w14:paraId="0B3EB3DA"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13</w:t>
            </w:r>
          </w:p>
        </w:tc>
        <w:tc>
          <w:tcPr>
            <w:tcW w:w="4389" w:type="dxa"/>
            <w:tcBorders>
              <w:top w:val="single" w:sz="4" w:space="0" w:color="auto"/>
              <w:left w:val="single" w:sz="4" w:space="0" w:color="auto"/>
              <w:bottom w:val="single" w:sz="4" w:space="0" w:color="auto"/>
              <w:right w:val="single" w:sz="4" w:space="0" w:color="auto"/>
            </w:tcBorders>
          </w:tcPr>
          <w:p w14:paraId="7F866C90"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FOEE, TACD, TE, AI, FI, BEUC, ACC, BUND, CE, CWF, VB, WECF, UM</w:t>
            </w:r>
          </w:p>
        </w:tc>
      </w:tr>
      <w:tr w:rsidR="00392713" w:rsidRPr="00E53DD1" w14:paraId="71B31109"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080C6B04"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Make documents easily accessible in an online register</w:t>
            </w:r>
          </w:p>
        </w:tc>
        <w:tc>
          <w:tcPr>
            <w:tcW w:w="567" w:type="dxa"/>
            <w:tcBorders>
              <w:top w:val="single" w:sz="4" w:space="0" w:color="auto"/>
              <w:left w:val="single" w:sz="4" w:space="0" w:color="auto"/>
              <w:bottom w:val="single" w:sz="4" w:space="0" w:color="auto"/>
              <w:right w:val="single" w:sz="4" w:space="0" w:color="auto"/>
            </w:tcBorders>
            <w:hideMark/>
          </w:tcPr>
          <w:p w14:paraId="5F722A5B"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9</w:t>
            </w:r>
          </w:p>
        </w:tc>
        <w:tc>
          <w:tcPr>
            <w:tcW w:w="4389" w:type="dxa"/>
            <w:tcBorders>
              <w:top w:val="single" w:sz="4" w:space="0" w:color="auto"/>
              <w:left w:val="single" w:sz="4" w:space="0" w:color="auto"/>
              <w:bottom w:val="single" w:sz="4" w:space="0" w:color="auto"/>
              <w:right w:val="single" w:sz="4" w:space="0" w:color="auto"/>
            </w:tcBorders>
          </w:tcPr>
          <w:p w14:paraId="39CFBDD9"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CEO, TACD, FW, MPE, EDRI, EPHA, EMI, FFII, CE</w:t>
            </w:r>
          </w:p>
        </w:tc>
      </w:tr>
      <w:tr w:rsidR="00392713" w:rsidRPr="00E53DD1" w14:paraId="11E63902"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7DA172FD"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List of which documents are available and who has access to them</w:t>
            </w:r>
          </w:p>
        </w:tc>
        <w:tc>
          <w:tcPr>
            <w:tcW w:w="567" w:type="dxa"/>
            <w:tcBorders>
              <w:top w:val="single" w:sz="4" w:space="0" w:color="auto"/>
              <w:left w:val="single" w:sz="4" w:space="0" w:color="auto"/>
              <w:bottom w:val="single" w:sz="4" w:space="0" w:color="auto"/>
              <w:right w:val="single" w:sz="4" w:space="0" w:color="auto"/>
            </w:tcBorders>
            <w:hideMark/>
          </w:tcPr>
          <w:p w14:paraId="35C54354"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4</w:t>
            </w:r>
          </w:p>
        </w:tc>
        <w:tc>
          <w:tcPr>
            <w:tcW w:w="4389" w:type="dxa"/>
            <w:tcBorders>
              <w:top w:val="single" w:sz="4" w:space="0" w:color="auto"/>
              <w:left w:val="single" w:sz="4" w:space="0" w:color="auto"/>
              <w:bottom w:val="single" w:sz="4" w:space="0" w:color="auto"/>
              <w:right w:val="single" w:sz="4" w:space="0" w:color="auto"/>
            </w:tcBorders>
          </w:tcPr>
          <w:p w14:paraId="6BB4CB40"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BEUC, EMI, EPHA, VB</w:t>
            </w:r>
          </w:p>
        </w:tc>
      </w:tr>
      <w:tr w:rsidR="00392713" w:rsidRPr="00E53DD1" w14:paraId="6BFB42A9" w14:textId="77777777" w:rsidTr="00FF3204">
        <w:tc>
          <w:tcPr>
            <w:tcW w:w="9062" w:type="dxa"/>
            <w:gridSpan w:val="3"/>
            <w:tcBorders>
              <w:top w:val="single" w:sz="4" w:space="0" w:color="auto"/>
              <w:left w:val="single" w:sz="4" w:space="0" w:color="auto"/>
              <w:bottom w:val="single" w:sz="4" w:space="0" w:color="auto"/>
              <w:right w:val="single" w:sz="4" w:space="0" w:color="auto"/>
            </w:tcBorders>
            <w:hideMark/>
          </w:tcPr>
          <w:p w14:paraId="4825C4CA" w14:textId="77777777" w:rsidR="00392713" w:rsidRPr="00E53DD1" w:rsidRDefault="00392713" w:rsidP="00FF3204">
            <w:pPr>
              <w:jc w:val="center"/>
              <w:rPr>
                <w:rFonts w:ascii="Palatino Linotype" w:hAnsi="Palatino Linotype"/>
                <w:b/>
                <w:lang w:val="en-US"/>
              </w:rPr>
            </w:pPr>
            <w:r w:rsidRPr="00E53DD1">
              <w:rPr>
                <w:rFonts w:ascii="Palatino Linotype" w:hAnsi="Palatino Linotype"/>
                <w:b/>
                <w:lang w:val="en-US"/>
              </w:rPr>
              <w:t>Other demands</w:t>
            </w:r>
          </w:p>
        </w:tc>
      </w:tr>
      <w:tr w:rsidR="00392713" w:rsidRPr="00E53DD1" w14:paraId="780BAC93"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21393FF6"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Adequate access to documents for MEPs and MPs</w:t>
            </w:r>
          </w:p>
        </w:tc>
        <w:tc>
          <w:tcPr>
            <w:tcW w:w="567" w:type="dxa"/>
            <w:tcBorders>
              <w:top w:val="single" w:sz="4" w:space="0" w:color="auto"/>
              <w:left w:val="single" w:sz="4" w:space="0" w:color="auto"/>
              <w:bottom w:val="single" w:sz="4" w:space="0" w:color="auto"/>
              <w:right w:val="single" w:sz="4" w:space="0" w:color="auto"/>
            </w:tcBorders>
            <w:hideMark/>
          </w:tcPr>
          <w:p w14:paraId="2C578FDE"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14</w:t>
            </w:r>
          </w:p>
        </w:tc>
        <w:tc>
          <w:tcPr>
            <w:tcW w:w="4389" w:type="dxa"/>
            <w:tcBorders>
              <w:top w:val="single" w:sz="4" w:space="0" w:color="auto"/>
              <w:left w:val="single" w:sz="4" w:space="0" w:color="auto"/>
              <w:bottom w:val="single" w:sz="4" w:space="0" w:color="auto"/>
              <w:right w:val="single" w:sz="4" w:space="0" w:color="auto"/>
            </w:tcBorders>
          </w:tcPr>
          <w:p w14:paraId="363706C6"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TACD, EDA, PC, BEUC, ACC, EDRI, EMI, EPHA, BUND, CE, CWF, VB, FP, UM</w:t>
            </w:r>
          </w:p>
        </w:tc>
      </w:tr>
      <w:tr w:rsidR="00392713" w:rsidRPr="00E53DD1" w14:paraId="0A9545C3"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72E86AA7"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Apply measures to other agreements</w:t>
            </w:r>
          </w:p>
        </w:tc>
        <w:tc>
          <w:tcPr>
            <w:tcW w:w="567" w:type="dxa"/>
            <w:tcBorders>
              <w:top w:val="single" w:sz="4" w:space="0" w:color="auto"/>
              <w:left w:val="single" w:sz="4" w:space="0" w:color="auto"/>
              <w:bottom w:val="single" w:sz="4" w:space="0" w:color="auto"/>
              <w:right w:val="single" w:sz="4" w:space="0" w:color="auto"/>
            </w:tcBorders>
            <w:hideMark/>
          </w:tcPr>
          <w:p w14:paraId="59506E32"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5</w:t>
            </w:r>
          </w:p>
        </w:tc>
        <w:tc>
          <w:tcPr>
            <w:tcW w:w="4389" w:type="dxa"/>
            <w:tcBorders>
              <w:top w:val="single" w:sz="4" w:space="0" w:color="auto"/>
              <w:left w:val="single" w:sz="4" w:space="0" w:color="auto"/>
              <w:bottom w:val="single" w:sz="4" w:space="0" w:color="auto"/>
              <w:right w:val="single" w:sz="4" w:space="0" w:color="auto"/>
            </w:tcBorders>
          </w:tcPr>
          <w:p w14:paraId="7DA052CC"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TACD, BEUC, EDRI, EPHA, VB</w:t>
            </w:r>
          </w:p>
        </w:tc>
      </w:tr>
      <w:tr w:rsidR="00392713" w:rsidRPr="00E53DD1" w14:paraId="49E44259" w14:textId="77777777" w:rsidTr="00FF3204">
        <w:tc>
          <w:tcPr>
            <w:tcW w:w="4106" w:type="dxa"/>
            <w:tcBorders>
              <w:top w:val="single" w:sz="4" w:space="0" w:color="auto"/>
              <w:left w:val="single" w:sz="4" w:space="0" w:color="auto"/>
              <w:bottom w:val="single" w:sz="4" w:space="0" w:color="auto"/>
              <w:right w:val="single" w:sz="4" w:space="0" w:color="auto"/>
            </w:tcBorders>
            <w:hideMark/>
          </w:tcPr>
          <w:p w14:paraId="1BA201D0"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Request Council and US to take same steps</w:t>
            </w:r>
          </w:p>
        </w:tc>
        <w:tc>
          <w:tcPr>
            <w:tcW w:w="567" w:type="dxa"/>
            <w:tcBorders>
              <w:top w:val="single" w:sz="4" w:space="0" w:color="auto"/>
              <w:left w:val="single" w:sz="4" w:space="0" w:color="auto"/>
              <w:bottom w:val="single" w:sz="4" w:space="0" w:color="auto"/>
              <w:right w:val="single" w:sz="4" w:space="0" w:color="auto"/>
            </w:tcBorders>
            <w:hideMark/>
          </w:tcPr>
          <w:p w14:paraId="312C5657" w14:textId="77777777" w:rsidR="00392713" w:rsidRPr="00E53DD1" w:rsidRDefault="00392713" w:rsidP="00FF3204">
            <w:pPr>
              <w:jc w:val="center"/>
              <w:rPr>
                <w:rFonts w:ascii="Palatino Linotype" w:hAnsi="Palatino Linotype"/>
                <w:lang w:val="en-US"/>
              </w:rPr>
            </w:pPr>
            <w:r w:rsidRPr="00E53DD1">
              <w:rPr>
                <w:rFonts w:ascii="Palatino Linotype" w:hAnsi="Palatino Linotype"/>
                <w:lang w:val="en-US"/>
              </w:rPr>
              <w:t>5</w:t>
            </w:r>
          </w:p>
        </w:tc>
        <w:tc>
          <w:tcPr>
            <w:tcW w:w="4389" w:type="dxa"/>
            <w:tcBorders>
              <w:top w:val="single" w:sz="4" w:space="0" w:color="auto"/>
              <w:left w:val="single" w:sz="4" w:space="0" w:color="auto"/>
              <w:bottom w:val="single" w:sz="4" w:space="0" w:color="auto"/>
              <w:right w:val="single" w:sz="4" w:space="0" w:color="auto"/>
            </w:tcBorders>
          </w:tcPr>
          <w:p w14:paraId="0CF90FEA" w14:textId="77777777" w:rsidR="00392713" w:rsidRPr="00E53DD1" w:rsidRDefault="00392713" w:rsidP="00FF3204">
            <w:pPr>
              <w:jc w:val="center"/>
              <w:rPr>
                <w:rFonts w:ascii="Palatino Linotype" w:hAnsi="Palatino Linotype"/>
              </w:rPr>
            </w:pPr>
            <w:r w:rsidRPr="00E53DD1">
              <w:rPr>
                <w:rFonts w:ascii="Palatino Linotype" w:hAnsi="Palatino Linotype"/>
              </w:rPr>
              <w:t>CEO, FOEE, TE, FI, WECF</w:t>
            </w:r>
          </w:p>
        </w:tc>
      </w:tr>
    </w:tbl>
    <w:p w14:paraId="61E5C117" w14:textId="77777777" w:rsidR="00392713" w:rsidRPr="00E53DD1" w:rsidRDefault="00392713" w:rsidP="00C5355B">
      <w:pPr>
        <w:jc w:val="both"/>
        <w:rPr>
          <w:rFonts w:ascii="Palatino Linotype" w:hAnsi="Palatino Linotype"/>
        </w:rPr>
      </w:pPr>
    </w:p>
    <w:sectPr w:rsidR="00392713" w:rsidRPr="00E53DD1" w:rsidSect="00D10D98">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2C56" w14:textId="77777777" w:rsidR="006061E6" w:rsidRDefault="006061E6" w:rsidP="006B1D57">
      <w:pPr>
        <w:spacing w:after="0" w:line="240" w:lineRule="auto"/>
      </w:pPr>
      <w:r>
        <w:separator/>
      </w:r>
    </w:p>
  </w:endnote>
  <w:endnote w:type="continuationSeparator" w:id="0">
    <w:p w14:paraId="3054887F" w14:textId="77777777" w:rsidR="006061E6" w:rsidRDefault="006061E6" w:rsidP="006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68870"/>
      <w:docPartObj>
        <w:docPartGallery w:val="Page Numbers (Bottom of Page)"/>
        <w:docPartUnique/>
      </w:docPartObj>
    </w:sdtPr>
    <w:sdtEndPr>
      <w:rPr>
        <w:noProof/>
      </w:rPr>
    </w:sdtEndPr>
    <w:sdtContent>
      <w:p w14:paraId="4CE815FA" w14:textId="5A262522" w:rsidR="00D10D98" w:rsidRDefault="00D10D98">
        <w:pPr>
          <w:pStyle w:val="Footer"/>
          <w:jc w:val="center"/>
        </w:pPr>
        <w:r>
          <w:fldChar w:fldCharType="begin"/>
        </w:r>
        <w:r>
          <w:instrText xml:space="preserve"> PAGE   \* MERGEFORMAT </w:instrText>
        </w:r>
        <w:r>
          <w:fldChar w:fldCharType="separate"/>
        </w:r>
        <w:r w:rsidR="00735F31">
          <w:rPr>
            <w:noProof/>
          </w:rPr>
          <w:t>2</w:t>
        </w:r>
        <w:r>
          <w:rPr>
            <w:noProof/>
          </w:rPr>
          <w:fldChar w:fldCharType="end"/>
        </w:r>
      </w:p>
    </w:sdtContent>
  </w:sdt>
  <w:p w14:paraId="7BEF9BE1" w14:textId="77777777" w:rsidR="00D10D98" w:rsidRDefault="00D10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74878" w14:textId="77777777" w:rsidR="006061E6" w:rsidRDefault="006061E6" w:rsidP="006B1D57">
      <w:pPr>
        <w:spacing w:after="0" w:line="240" w:lineRule="auto"/>
      </w:pPr>
      <w:r>
        <w:separator/>
      </w:r>
    </w:p>
  </w:footnote>
  <w:footnote w:type="continuationSeparator" w:id="0">
    <w:p w14:paraId="2BFC56AD" w14:textId="77777777" w:rsidR="006061E6" w:rsidRDefault="006061E6" w:rsidP="006B1D57">
      <w:pPr>
        <w:spacing w:after="0" w:line="240" w:lineRule="auto"/>
      </w:pPr>
      <w:r>
        <w:continuationSeparator/>
      </w:r>
    </w:p>
  </w:footnote>
  <w:footnote w:id="1">
    <w:p w14:paraId="7A73B802" w14:textId="3F8F773C" w:rsidR="00C46EBE" w:rsidRPr="00E53DD1" w:rsidRDefault="00C46EBE">
      <w:pPr>
        <w:pStyle w:val="FootnoteText"/>
        <w:rPr>
          <w:rFonts w:ascii="Palatino Linotype" w:hAnsi="Palatino Linotype"/>
          <w:lang w:val="en-US"/>
        </w:rPr>
      </w:pPr>
      <w:r w:rsidRPr="00E53DD1">
        <w:rPr>
          <w:rStyle w:val="FootnoteReference"/>
          <w:rFonts w:ascii="Palatino Linotype" w:hAnsi="Palatino Linotype"/>
        </w:rPr>
        <w:footnoteRef/>
      </w:r>
      <w:r w:rsidRPr="00E53DD1">
        <w:rPr>
          <w:rFonts w:ascii="Palatino Linotype" w:hAnsi="Palatino Linotype"/>
          <w:lang w:val="en-US"/>
        </w:rPr>
        <w:t xml:space="preserve"> The other two were making trade more effective and using it not only to project the EU’s interests but also its values</w:t>
      </w:r>
    </w:p>
  </w:footnote>
  <w:footnote w:id="2">
    <w:p w14:paraId="027BC459" w14:textId="77777777" w:rsidR="00022BF0" w:rsidRPr="00E53DD1" w:rsidRDefault="00022BF0" w:rsidP="00022BF0">
      <w:pPr>
        <w:pStyle w:val="FootnoteText"/>
        <w:rPr>
          <w:rFonts w:ascii="Palatino Linotype" w:hAnsi="Palatino Linotype"/>
          <w:lang w:val="en-US"/>
        </w:rPr>
      </w:pPr>
      <w:r w:rsidRPr="00E53DD1">
        <w:rPr>
          <w:rStyle w:val="FootnoteReference"/>
          <w:rFonts w:ascii="Palatino Linotype" w:hAnsi="Palatino Linotype"/>
        </w:rPr>
        <w:footnoteRef/>
      </w:r>
      <w:r w:rsidRPr="00E53DD1">
        <w:rPr>
          <w:rFonts w:ascii="Palatino Linotype" w:hAnsi="Palatino Linotype"/>
          <w:lang w:val="en-US"/>
        </w:rPr>
        <w:t xml:space="preserve"> The concepts ‘authority’, ‘politicization’ and ‘legitimacy’ will be defined below. </w:t>
      </w:r>
    </w:p>
  </w:footnote>
  <w:footnote w:id="3">
    <w:p w14:paraId="17FE6344" w14:textId="7DEEBFD2" w:rsidR="00C46EBE" w:rsidRPr="00BD2B23" w:rsidRDefault="00C46EBE">
      <w:pPr>
        <w:pStyle w:val="FootnoteText"/>
        <w:rPr>
          <w:lang w:val="en-US"/>
        </w:rPr>
      </w:pPr>
      <w:r w:rsidRPr="00E53DD1">
        <w:rPr>
          <w:rStyle w:val="FootnoteReference"/>
          <w:rFonts w:ascii="Palatino Linotype" w:hAnsi="Palatino Linotype"/>
        </w:rPr>
        <w:footnoteRef/>
      </w:r>
      <w:r w:rsidRPr="00E53DD1">
        <w:rPr>
          <w:rFonts w:ascii="Palatino Linotype" w:hAnsi="Palatino Linotype"/>
          <w:lang w:val="en-US"/>
        </w:rPr>
        <w:t xml:space="preserve"> </w:t>
      </w:r>
      <w:r w:rsidRPr="00E53DD1">
        <w:rPr>
          <w:rFonts w:ascii="Palatino Linotype" w:hAnsi="Palatino Linotype" w:cs="Segoe UI"/>
          <w:lang w:val="en-GB"/>
        </w:rPr>
        <w:t>The EU can be seen as a special institution, given its far-reaching supranational features</w:t>
      </w:r>
    </w:p>
  </w:footnote>
  <w:footnote w:id="4">
    <w:p w14:paraId="73DE24F2" w14:textId="2E62E4B7" w:rsidR="00C46EBE" w:rsidRPr="00E53DD1" w:rsidRDefault="00C46EBE" w:rsidP="007C6EDA">
      <w:pPr>
        <w:pStyle w:val="FootnoteText"/>
        <w:jc w:val="both"/>
        <w:rPr>
          <w:rFonts w:ascii="Palatino Linotype" w:hAnsi="Palatino Linotype"/>
          <w:lang w:val="en-US"/>
        </w:rPr>
      </w:pPr>
      <w:r w:rsidRPr="00E53DD1">
        <w:rPr>
          <w:rStyle w:val="FootnoteReference"/>
          <w:rFonts w:ascii="Palatino Linotype" w:hAnsi="Palatino Linotype"/>
        </w:rPr>
        <w:footnoteRef/>
      </w:r>
      <w:r w:rsidRPr="00E53DD1">
        <w:rPr>
          <w:rFonts w:ascii="Palatino Linotype" w:hAnsi="Palatino Linotype"/>
          <w:lang w:val="en-US"/>
        </w:rPr>
        <w:t xml:space="preserve"> This definition was established in the context of the ‘politicization of European integration’, but is equally applicable to global governance issues, of which the EU can even be seen as an inherent part. </w:t>
      </w:r>
    </w:p>
  </w:footnote>
  <w:footnote w:id="5">
    <w:p w14:paraId="7977173B" w14:textId="5F0C7723" w:rsidR="00C46EBE" w:rsidRPr="007C6EDA" w:rsidRDefault="00C46EBE">
      <w:pPr>
        <w:pStyle w:val="FootnoteText"/>
        <w:rPr>
          <w:lang w:val="en-US"/>
        </w:rPr>
      </w:pPr>
      <w:r w:rsidRPr="00E53DD1">
        <w:rPr>
          <w:rStyle w:val="FootnoteReference"/>
          <w:rFonts w:ascii="Palatino Linotype" w:hAnsi="Palatino Linotype"/>
        </w:rPr>
        <w:footnoteRef/>
      </w:r>
      <w:r w:rsidRPr="00E53DD1">
        <w:rPr>
          <w:rFonts w:ascii="Palatino Linotype" w:hAnsi="Palatino Linotype"/>
          <w:lang w:val="en-US"/>
        </w:rPr>
        <w:t xml:space="preserve"> For a detailed conceptualization into the different interpretations of the politicization of global governance, see Gheyle (2017).</w:t>
      </w:r>
    </w:p>
  </w:footnote>
  <w:footnote w:id="6">
    <w:p w14:paraId="791C48A9" w14:textId="7A86148B" w:rsidR="00561F17" w:rsidRPr="00E53DD1" w:rsidRDefault="00561F17">
      <w:pPr>
        <w:pStyle w:val="FootnoteText"/>
        <w:rPr>
          <w:rFonts w:ascii="Palatino Linotype" w:hAnsi="Palatino Linotype"/>
          <w:lang w:val="en-US"/>
        </w:rPr>
      </w:pPr>
      <w:r w:rsidRPr="00E53DD1">
        <w:rPr>
          <w:rStyle w:val="FootnoteReference"/>
          <w:rFonts w:ascii="Palatino Linotype" w:hAnsi="Palatino Linotype"/>
        </w:rPr>
        <w:footnoteRef/>
      </w:r>
      <w:r w:rsidRPr="00E53DD1">
        <w:rPr>
          <w:rFonts w:ascii="Palatino Linotype" w:hAnsi="Palatino Linotype"/>
          <w:lang w:val="en-US"/>
        </w:rPr>
        <w:t xml:space="preserve"> The claim that NGOs representative of the public has evoked a literature branch on its own, see </w:t>
      </w:r>
      <w:r w:rsidR="00E53DD1">
        <w:rPr>
          <w:rFonts w:ascii="Palatino Linotype" w:hAnsi="Palatino Linotype"/>
          <w:lang w:val="en-US"/>
        </w:rPr>
        <w:t>e.g. Kohler-Koch (XX</w:t>
      </w:r>
      <w:r w:rsidRPr="00E53DD1">
        <w:rPr>
          <w:rFonts w:ascii="Palatino Linotype" w:hAnsi="Palatino Linotype"/>
          <w:lang w:val="en-US"/>
        </w:rPr>
        <w:t xml:space="preserve">). </w:t>
      </w:r>
    </w:p>
  </w:footnote>
  <w:footnote w:id="7">
    <w:p w14:paraId="594F9C63" w14:textId="410CF4F6" w:rsidR="00C46EBE" w:rsidRPr="00A77D28" w:rsidRDefault="00C46EBE">
      <w:pPr>
        <w:pStyle w:val="FootnoteText"/>
        <w:rPr>
          <w:lang w:val="en-US"/>
        </w:rPr>
      </w:pPr>
      <w:r w:rsidRPr="00E53DD1">
        <w:rPr>
          <w:rStyle w:val="FootnoteReference"/>
          <w:rFonts w:ascii="Palatino Linotype" w:hAnsi="Palatino Linotype"/>
        </w:rPr>
        <w:footnoteRef/>
      </w:r>
      <w:r w:rsidRPr="00E53DD1">
        <w:rPr>
          <w:rFonts w:ascii="Palatino Linotype" w:hAnsi="Palatino Linotype"/>
          <w:lang w:val="en-US"/>
        </w:rPr>
        <w:t xml:space="preserve"> </w:t>
      </w:r>
      <w:r w:rsidRPr="00E53DD1">
        <w:rPr>
          <w:rFonts w:ascii="Palatino Linotype" w:hAnsi="Palatino Linotype" w:cs="Segoe UI"/>
          <w:lang w:val="en-GB"/>
        </w:rPr>
        <w:t>This view is therefore closely connected to direct rather than representative forms of democracy</w:t>
      </w:r>
    </w:p>
  </w:footnote>
  <w:footnote w:id="8">
    <w:p w14:paraId="744A2C0C" w14:textId="193A339C" w:rsidR="00C46EBE" w:rsidRPr="00E53DD1" w:rsidRDefault="00C46EBE">
      <w:pPr>
        <w:pStyle w:val="FootnoteText"/>
        <w:rPr>
          <w:rFonts w:ascii="Palatino Linotype" w:hAnsi="Palatino Linotype"/>
          <w:lang w:val="en-US"/>
        </w:rPr>
      </w:pPr>
      <w:r w:rsidRPr="00E53DD1">
        <w:rPr>
          <w:rStyle w:val="FootnoteReference"/>
          <w:rFonts w:ascii="Palatino Linotype" w:hAnsi="Palatino Linotype"/>
        </w:rPr>
        <w:footnoteRef/>
      </w:r>
      <w:r w:rsidRPr="00E53DD1">
        <w:rPr>
          <w:rFonts w:ascii="Palatino Linotype" w:hAnsi="Palatino Linotype"/>
          <w:lang w:val="en-US"/>
        </w:rPr>
        <w:t xml:space="preserve"> There were also about 290 individual citizen contributions, but these were to some extent nonsensical and duplicative, hence were excluded from analysis. </w:t>
      </w:r>
    </w:p>
  </w:footnote>
  <w:footnote w:id="9">
    <w:p w14:paraId="56196AD6" w14:textId="206714CC" w:rsidR="001A6384" w:rsidRPr="001A6384" w:rsidRDefault="001A6384">
      <w:pPr>
        <w:pStyle w:val="FootnoteText"/>
        <w:rPr>
          <w:lang w:val="en-US"/>
        </w:rPr>
      </w:pPr>
      <w:r w:rsidRPr="00E53DD1">
        <w:rPr>
          <w:rStyle w:val="FootnoteReference"/>
          <w:rFonts w:ascii="Palatino Linotype" w:hAnsi="Palatino Linotype"/>
        </w:rPr>
        <w:footnoteRef/>
      </w:r>
      <w:r w:rsidRPr="00E53DD1">
        <w:rPr>
          <w:rFonts w:ascii="Palatino Linotype" w:hAnsi="Palatino Linotype"/>
          <w:lang w:val="en-US"/>
        </w:rPr>
        <w:t xml:space="preserve"> We have also analyzed trade unions and public service contributions, </w:t>
      </w:r>
      <w:r w:rsidR="00E2449D" w:rsidRPr="00E53DD1">
        <w:rPr>
          <w:rFonts w:ascii="Palatino Linotype" w:hAnsi="Palatino Linotype"/>
          <w:lang w:val="en-US"/>
        </w:rPr>
        <w:t>but found it difficult to make general remarks based on 3-4 contributions.</w:t>
      </w:r>
      <w:r w:rsidR="00E2449D">
        <w:rPr>
          <w:lang w:val="en-US"/>
        </w:rPr>
        <w:t xml:space="preserve">  </w:t>
      </w:r>
    </w:p>
  </w:footnote>
  <w:footnote w:id="10">
    <w:p w14:paraId="2C21C291" w14:textId="77777777" w:rsidR="00C46EBE" w:rsidRPr="00E53DD1" w:rsidRDefault="00C46EBE" w:rsidP="00CE3824">
      <w:pPr>
        <w:pStyle w:val="FootnoteText"/>
        <w:rPr>
          <w:rFonts w:ascii="Palatino Linotype" w:hAnsi="Palatino Linotype"/>
          <w:lang w:val="en-US"/>
        </w:rPr>
      </w:pPr>
      <w:r w:rsidRPr="00E53DD1">
        <w:rPr>
          <w:rStyle w:val="FootnoteReference"/>
          <w:rFonts w:ascii="Palatino Linotype" w:hAnsi="Palatino Linotype"/>
        </w:rPr>
        <w:footnoteRef/>
      </w:r>
      <w:r w:rsidRPr="00E53DD1">
        <w:rPr>
          <w:rFonts w:ascii="Palatino Linotype" w:hAnsi="Palatino Linotype"/>
          <w:lang w:val="en-US"/>
        </w:rPr>
        <w:t xml:space="preserve"> Several NGOs have pointed out though that the extremely transparent and inclusive nature of the WIPO talks have increased a practice of informal decision-making towards the end of negotiations (McIntosh,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4392"/>
    <w:multiLevelType w:val="hybridMultilevel"/>
    <w:tmpl w:val="0B4CA73C"/>
    <w:lvl w:ilvl="0" w:tplc="927AE58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527155"/>
    <w:multiLevelType w:val="hybridMultilevel"/>
    <w:tmpl w:val="412E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622A8"/>
    <w:multiLevelType w:val="hybridMultilevel"/>
    <w:tmpl w:val="B060FF5C"/>
    <w:lvl w:ilvl="0" w:tplc="2BEC7E46">
      <w:start w:val="1"/>
      <w:numFmt w:val="low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F14543"/>
    <w:multiLevelType w:val="hybridMultilevel"/>
    <w:tmpl w:val="A300C24C"/>
    <w:lvl w:ilvl="0" w:tplc="208A98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CA2A3D"/>
    <w:multiLevelType w:val="hybridMultilevel"/>
    <w:tmpl w:val="D15EB664"/>
    <w:lvl w:ilvl="0" w:tplc="065656DC">
      <w:start w:val="3"/>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EB3761F"/>
    <w:multiLevelType w:val="hybridMultilevel"/>
    <w:tmpl w:val="7326F142"/>
    <w:lvl w:ilvl="0" w:tplc="AB7067AA">
      <w:numFmt w:val="bullet"/>
      <w:lvlText w:val="-"/>
      <w:lvlJc w:val="left"/>
      <w:pPr>
        <w:ind w:left="720" w:hanging="360"/>
      </w:pPr>
      <w:rPr>
        <w:rFonts w:ascii="Palatino Linotype" w:eastAsiaTheme="minorHAnsi" w:hAnsi="Palatino Linotype"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FA41AA"/>
    <w:multiLevelType w:val="hybridMultilevel"/>
    <w:tmpl w:val="CE0057D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6E55E95"/>
    <w:multiLevelType w:val="hybridMultilevel"/>
    <w:tmpl w:val="F4FE65E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EE29CD"/>
    <w:multiLevelType w:val="hybridMultilevel"/>
    <w:tmpl w:val="CED45ABE"/>
    <w:lvl w:ilvl="0" w:tplc="247E6F5E">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B14B4D"/>
    <w:multiLevelType w:val="hybridMultilevel"/>
    <w:tmpl w:val="E1C4A80C"/>
    <w:lvl w:ilvl="0" w:tplc="8862918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5"/>
  </w:num>
  <w:num w:numId="6">
    <w:abstractNumId w:val="8"/>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4"/>
    <w:rsid w:val="00001B54"/>
    <w:rsid w:val="00004B34"/>
    <w:rsid w:val="00014405"/>
    <w:rsid w:val="00022BF0"/>
    <w:rsid w:val="00034D79"/>
    <w:rsid w:val="000644BA"/>
    <w:rsid w:val="00067AA5"/>
    <w:rsid w:val="00067F46"/>
    <w:rsid w:val="00074E8D"/>
    <w:rsid w:val="00080796"/>
    <w:rsid w:val="00081FBD"/>
    <w:rsid w:val="000828DB"/>
    <w:rsid w:val="000A3FD5"/>
    <w:rsid w:val="000B02F0"/>
    <w:rsid w:val="000D0580"/>
    <w:rsid w:val="000D0A81"/>
    <w:rsid w:val="000D35C1"/>
    <w:rsid w:val="000E3177"/>
    <w:rsid w:val="000F5C2E"/>
    <w:rsid w:val="00105EC6"/>
    <w:rsid w:val="00116431"/>
    <w:rsid w:val="00116F45"/>
    <w:rsid w:val="00130418"/>
    <w:rsid w:val="00130EC4"/>
    <w:rsid w:val="001516FF"/>
    <w:rsid w:val="0016498E"/>
    <w:rsid w:val="00174DA1"/>
    <w:rsid w:val="00194DEB"/>
    <w:rsid w:val="001A0962"/>
    <w:rsid w:val="001A0ED9"/>
    <w:rsid w:val="001A6384"/>
    <w:rsid w:val="001B23F4"/>
    <w:rsid w:val="001C083E"/>
    <w:rsid w:val="001D5D0D"/>
    <w:rsid w:val="00222589"/>
    <w:rsid w:val="0022370E"/>
    <w:rsid w:val="00227EA1"/>
    <w:rsid w:val="002378AA"/>
    <w:rsid w:val="00244F1A"/>
    <w:rsid w:val="00260E18"/>
    <w:rsid w:val="00275E7F"/>
    <w:rsid w:val="00284EC9"/>
    <w:rsid w:val="002C08B7"/>
    <w:rsid w:val="002E1B47"/>
    <w:rsid w:val="002F13AD"/>
    <w:rsid w:val="0033324E"/>
    <w:rsid w:val="00342817"/>
    <w:rsid w:val="003472E7"/>
    <w:rsid w:val="00347CB9"/>
    <w:rsid w:val="00357851"/>
    <w:rsid w:val="00382DAD"/>
    <w:rsid w:val="00392713"/>
    <w:rsid w:val="003A7EA2"/>
    <w:rsid w:val="003B0126"/>
    <w:rsid w:val="003B2D08"/>
    <w:rsid w:val="003B5A1F"/>
    <w:rsid w:val="003C00B5"/>
    <w:rsid w:val="003C741C"/>
    <w:rsid w:val="003E4186"/>
    <w:rsid w:val="00402251"/>
    <w:rsid w:val="00425416"/>
    <w:rsid w:val="00426492"/>
    <w:rsid w:val="0045298D"/>
    <w:rsid w:val="004646EA"/>
    <w:rsid w:val="004676E7"/>
    <w:rsid w:val="00471B35"/>
    <w:rsid w:val="0048036A"/>
    <w:rsid w:val="004C4652"/>
    <w:rsid w:val="004E4578"/>
    <w:rsid w:val="004E6F9B"/>
    <w:rsid w:val="005012C5"/>
    <w:rsid w:val="00512018"/>
    <w:rsid w:val="00513566"/>
    <w:rsid w:val="00517790"/>
    <w:rsid w:val="00520137"/>
    <w:rsid w:val="0052696D"/>
    <w:rsid w:val="0056148A"/>
    <w:rsid w:val="00561F17"/>
    <w:rsid w:val="005870BF"/>
    <w:rsid w:val="005A0799"/>
    <w:rsid w:val="005B2852"/>
    <w:rsid w:val="005C34DC"/>
    <w:rsid w:val="005C6089"/>
    <w:rsid w:val="005D316B"/>
    <w:rsid w:val="005E7FB7"/>
    <w:rsid w:val="005F10D3"/>
    <w:rsid w:val="005F2504"/>
    <w:rsid w:val="005F4C1A"/>
    <w:rsid w:val="005F5B52"/>
    <w:rsid w:val="005F679B"/>
    <w:rsid w:val="005F79C0"/>
    <w:rsid w:val="00605500"/>
    <w:rsid w:val="006061E6"/>
    <w:rsid w:val="00617DC4"/>
    <w:rsid w:val="00623FAB"/>
    <w:rsid w:val="00626E9E"/>
    <w:rsid w:val="00630B20"/>
    <w:rsid w:val="00632426"/>
    <w:rsid w:val="00660CD5"/>
    <w:rsid w:val="006728C6"/>
    <w:rsid w:val="00676613"/>
    <w:rsid w:val="00676DE0"/>
    <w:rsid w:val="006800EA"/>
    <w:rsid w:val="00687286"/>
    <w:rsid w:val="006B10B2"/>
    <w:rsid w:val="006B1D57"/>
    <w:rsid w:val="006B6714"/>
    <w:rsid w:val="006D08B6"/>
    <w:rsid w:val="006D6865"/>
    <w:rsid w:val="006D77AC"/>
    <w:rsid w:val="006F3653"/>
    <w:rsid w:val="00701129"/>
    <w:rsid w:val="00716CDE"/>
    <w:rsid w:val="0072028C"/>
    <w:rsid w:val="00735F31"/>
    <w:rsid w:val="00742E94"/>
    <w:rsid w:val="00756693"/>
    <w:rsid w:val="007A1CA0"/>
    <w:rsid w:val="007B043F"/>
    <w:rsid w:val="007B1CB1"/>
    <w:rsid w:val="007B6918"/>
    <w:rsid w:val="007B73AF"/>
    <w:rsid w:val="007B7840"/>
    <w:rsid w:val="007C6EDA"/>
    <w:rsid w:val="007D5161"/>
    <w:rsid w:val="007E09DE"/>
    <w:rsid w:val="007E0ACA"/>
    <w:rsid w:val="007E3E44"/>
    <w:rsid w:val="007F15DF"/>
    <w:rsid w:val="007F6C1E"/>
    <w:rsid w:val="00837D7D"/>
    <w:rsid w:val="0084601D"/>
    <w:rsid w:val="00850A1C"/>
    <w:rsid w:val="0085166F"/>
    <w:rsid w:val="0089612D"/>
    <w:rsid w:val="008B2DBB"/>
    <w:rsid w:val="008B5FB8"/>
    <w:rsid w:val="008D54CB"/>
    <w:rsid w:val="008E1E9B"/>
    <w:rsid w:val="008E5F21"/>
    <w:rsid w:val="00907D28"/>
    <w:rsid w:val="00914B90"/>
    <w:rsid w:val="00924F1F"/>
    <w:rsid w:val="00936F50"/>
    <w:rsid w:val="00937A3F"/>
    <w:rsid w:val="00945329"/>
    <w:rsid w:val="00956AB6"/>
    <w:rsid w:val="0095761A"/>
    <w:rsid w:val="00957C02"/>
    <w:rsid w:val="00957FA7"/>
    <w:rsid w:val="0097030F"/>
    <w:rsid w:val="00975218"/>
    <w:rsid w:val="00976881"/>
    <w:rsid w:val="00977F89"/>
    <w:rsid w:val="00985FE8"/>
    <w:rsid w:val="009922FE"/>
    <w:rsid w:val="00993693"/>
    <w:rsid w:val="009A297F"/>
    <w:rsid w:val="009A3251"/>
    <w:rsid w:val="009B319D"/>
    <w:rsid w:val="009C0798"/>
    <w:rsid w:val="009C0F14"/>
    <w:rsid w:val="009C4239"/>
    <w:rsid w:val="009C7033"/>
    <w:rsid w:val="009D1F47"/>
    <w:rsid w:val="009D6D51"/>
    <w:rsid w:val="009E224E"/>
    <w:rsid w:val="009F65B5"/>
    <w:rsid w:val="00A030BF"/>
    <w:rsid w:val="00A05D47"/>
    <w:rsid w:val="00A10309"/>
    <w:rsid w:val="00A2587A"/>
    <w:rsid w:val="00A278CF"/>
    <w:rsid w:val="00A3632C"/>
    <w:rsid w:val="00A77D28"/>
    <w:rsid w:val="00A80814"/>
    <w:rsid w:val="00A80B47"/>
    <w:rsid w:val="00A8769C"/>
    <w:rsid w:val="00AF0E38"/>
    <w:rsid w:val="00AF340D"/>
    <w:rsid w:val="00B0730E"/>
    <w:rsid w:val="00B15150"/>
    <w:rsid w:val="00B27305"/>
    <w:rsid w:val="00B32855"/>
    <w:rsid w:val="00B33D47"/>
    <w:rsid w:val="00B41A25"/>
    <w:rsid w:val="00B44DA2"/>
    <w:rsid w:val="00B60009"/>
    <w:rsid w:val="00B77737"/>
    <w:rsid w:val="00B811A9"/>
    <w:rsid w:val="00B9185C"/>
    <w:rsid w:val="00B95DDC"/>
    <w:rsid w:val="00BA35C4"/>
    <w:rsid w:val="00BA5FB0"/>
    <w:rsid w:val="00BB2EBD"/>
    <w:rsid w:val="00BD2B23"/>
    <w:rsid w:val="00BD6B80"/>
    <w:rsid w:val="00BE1185"/>
    <w:rsid w:val="00C0692A"/>
    <w:rsid w:val="00C134D5"/>
    <w:rsid w:val="00C174E1"/>
    <w:rsid w:val="00C2059B"/>
    <w:rsid w:val="00C2191F"/>
    <w:rsid w:val="00C22B21"/>
    <w:rsid w:val="00C333F6"/>
    <w:rsid w:val="00C45E81"/>
    <w:rsid w:val="00C46EBE"/>
    <w:rsid w:val="00C50663"/>
    <w:rsid w:val="00C5355B"/>
    <w:rsid w:val="00C574AE"/>
    <w:rsid w:val="00C64BA7"/>
    <w:rsid w:val="00C84864"/>
    <w:rsid w:val="00C85DBE"/>
    <w:rsid w:val="00C900F8"/>
    <w:rsid w:val="00CB688F"/>
    <w:rsid w:val="00CC3A86"/>
    <w:rsid w:val="00CC4C0C"/>
    <w:rsid w:val="00CD36AD"/>
    <w:rsid w:val="00CE3824"/>
    <w:rsid w:val="00CF1A47"/>
    <w:rsid w:val="00D10D98"/>
    <w:rsid w:val="00D1133E"/>
    <w:rsid w:val="00D14D06"/>
    <w:rsid w:val="00D16DF2"/>
    <w:rsid w:val="00D21852"/>
    <w:rsid w:val="00D30E29"/>
    <w:rsid w:val="00D41DA9"/>
    <w:rsid w:val="00D466B4"/>
    <w:rsid w:val="00D475E1"/>
    <w:rsid w:val="00D5146F"/>
    <w:rsid w:val="00D53995"/>
    <w:rsid w:val="00D60922"/>
    <w:rsid w:val="00D639A1"/>
    <w:rsid w:val="00D806EA"/>
    <w:rsid w:val="00D8485C"/>
    <w:rsid w:val="00DA7CB4"/>
    <w:rsid w:val="00DB72F2"/>
    <w:rsid w:val="00DC4874"/>
    <w:rsid w:val="00DE04C1"/>
    <w:rsid w:val="00DE563D"/>
    <w:rsid w:val="00DE6431"/>
    <w:rsid w:val="00DF6016"/>
    <w:rsid w:val="00E02A4F"/>
    <w:rsid w:val="00E05C33"/>
    <w:rsid w:val="00E1440D"/>
    <w:rsid w:val="00E17284"/>
    <w:rsid w:val="00E2449D"/>
    <w:rsid w:val="00E33728"/>
    <w:rsid w:val="00E41980"/>
    <w:rsid w:val="00E45F29"/>
    <w:rsid w:val="00E53DD1"/>
    <w:rsid w:val="00E57404"/>
    <w:rsid w:val="00E577D7"/>
    <w:rsid w:val="00E777CB"/>
    <w:rsid w:val="00EB496B"/>
    <w:rsid w:val="00EC1A96"/>
    <w:rsid w:val="00EC6B62"/>
    <w:rsid w:val="00EC7028"/>
    <w:rsid w:val="00EC7461"/>
    <w:rsid w:val="00EE70BE"/>
    <w:rsid w:val="00EF623F"/>
    <w:rsid w:val="00F170B7"/>
    <w:rsid w:val="00F211D7"/>
    <w:rsid w:val="00F211E0"/>
    <w:rsid w:val="00F23C29"/>
    <w:rsid w:val="00F35580"/>
    <w:rsid w:val="00F51618"/>
    <w:rsid w:val="00F534B9"/>
    <w:rsid w:val="00F54C93"/>
    <w:rsid w:val="00F60F62"/>
    <w:rsid w:val="00F80081"/>
    <w:rsid w:val="00F85B1E"/>
    <w:rsid w:val="00F864A6"/>
    <w:rsid w:val="00F8787F"/>
    <w:rsid w:val="00F87B1E"/>
    <w:rsid w:val="00FA5A88"/>
    <w:rsid w:val="00FB4509"/>
    <w:rsid w:val="00FC1B89"/>
    <w:rsid w:val="00FE6B42"/>
    <w:rsid w:val="00FE6DB9"/>
    <w:rsid w:val="00FF1101"/>
    <w:rsid w:val="00FF320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1A063"/>
  <w15:docId w15:val="{03595254-628D-478C-BDE1-8CC97945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3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382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CB4"/>
    <w:rPr>
      <w:sz w:val="16"/>
      <w:szCs w:val="16"/>
    </w:rPr>
  </w:style>
  <w:style w:type="paragraph" w:styleId="CommentText">
    <w:name w:val="annotation text"/>
    <w:basedOn w:val="Normal"/>
    <w:link w:val="CommentTextChar"/>
    <w:uiPriority w:val="99"/>
    <w:semiHidden/>
    <w:unhideWhenUsed/>
    <w:rsid w:val="00DA7CB4"/>
    <w:pPr>
      <w:spacing w:line="240" w:lineRule="auto"/>
    </w:pPr>
    <w:rPr>
      <w:sz w:val="20"/>
      <w:szCs w:val="20"/>
    </w:rPr>
  </w:style>
  <w:style w:type="character" w:customStyle="1" w:styleId="CommentTextChar">
    <w:name w:val="Comment Text Char"/>
    <w:basedOn w:val="DefaultParagraphFont"/>
    <w:link w:val="CommentText"/>
    <w:uiPriority w:val="99"/>
    <w:semiHidden/>
    <w:rsid w:val="00DA7CB4"/>
    <w:rPr>
      <w:sz w:val="20"/>
      <w:szCs w:val="20"/>
    </w:rPr>
  </w:style>
  <w:style w:type="paragraph" w:styleId="CommentSubject">
    <w:name w:val="annotation subject"/>
    <w:basedOn w:val="CommentText"/>
    <w:next w:val="CommentText"/>
    <w:link w:val="CommentSubjectChar"/>
    <w:uiPriority w:val="99"/>
    <w:semiHidden/>
    <w:unhideWhenUsed/>
    <w:rsid w:val="00DA7CB4"/>
    <w:rPr>
      <w:b/>
      <w:bCs/>
    </w:rPr>
  </w:style>
  <w:style w:type="character" w:customStyle="1" w:styleId="CommentSubjectChar">
    <w:name w:val="Comment Subject Char"/>
    <w:basedOn w:val="CommentTextChar"/>
    <w:link w:val="CommentSubject"/>
    <w:uiPriority w:val="99"/>
    <w:semiHidden/>
    <w:rsid w:val="00DA7CB4"/>
    <w:rPr>
      <w:b/>
      <w:bCs/>
      <w:sz w:val="20"/>
      <w:szCs w:val="20"/>
    </w:rPr>
  </w:style>
  <w:style w:type="paragraph" w:styleId="BalloonText">
    <w:name w:val="Balloon Text"/>
    <w:basedOn w:val="Normal"/>
    <w:link w:val="BalloonTextChar"/>
    <w:uiPriority w:val="99"/>
    <w:semiHidden/>
    <w:unhideWhenUsed/>
    <w:rsid w:val="00DA7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B4"/>
    <w:rPr>
      <w:rFonts w:ascii="Segoe UI" w:hAnsi="Segoe UI" w:cs="Segoe UI"/>
      <w:sz w:val="18"/>
      <w:szCs w:val="18"/>
    </w:rPr>
  </w:style>
  <w:style w:type="paragraph" w:styleId="Title">
    <w:name w:val="Title"/>
    <w:basedOn w:val="Normal"/>
    <w:next w:val="Normal"/>
    <w:link w:val="TitleChar"/>
    <w:uiPriority w:val="10"/>
    <w:qFormat/>
    <w:rsid w:val="00DA7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C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7C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7CB4"/>
    <w:pPr>
      <w:ind w:left="720"/>
      <w:contextualSpacing/>
    </w:pPr>
  </w:style>
  <w:style w:type="paragraph" w:styleId="FootnoteText">
    <w:name w:val="footnote text"/>
    <w:basedOn w:val="Normal"/>
    <w:link w:val="FootnoteTextChar"/>
    <w:uiPriority w:val="99"/>
    <w:unhideWhenUsed/>
    <w:rsid w:val="006B1D57"/>
    <w:pPr>
      <w:spacing w:after="0" w:line="240" w:lineRule="auto"/>
    </w:pPr>
    <w:rPr>
      <w:sz w:val="20"/>
      <w:szCs w:val="20"/>
    </w:rPr>
  </w:style>
  <w:style w:type="character" w:customStyle="1" w:styleId="FootnoteTextChar">
    <w:name w:val="Footnote Text Char"/>
    <w:basedOn w:val="DefaultParagraphFont"/>
    <w:link w:val="FootnoteText"/>
    <w:uiPriority w:val="99"/>
    <w:rsid w:val="006B1D57"/>
    <w:rPr>
      <w:sz w:val="20"/>
      <w:szCs w:val="20"/>
    </w:rPr>
  </w:style>
  <w:style w:type="character" w:styleId="FootnoteReference">
    <w:name w:val="footnote reference"/>
    <w:basedOn w:val="DefaultParagraphFont"/>
    <w:uiPriority w:val="99"/>
    <w:unhideWhenUsed/>
    <w:rsid w:val="006B1D57"/>
    <w:rPr>
      <w:vertAlign w:val="superscript"/>
    </w:rPr>
  </w:style>
  <w:style w:type="character" w:customStyle="1" w:styleId="Heading2Char">
    <w:name w:val="Heading 2 Char"/>
    <w:basedOn w:val="DefaultParagraphFont"/>
    <w:link w:val="Heading2"/>
    <w:uiPriority w:val="9"/>
    <w:rsid w:val="00D1133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50A1C"/>
    <w:rPr>
      <w:color w:val="0563C1" w:themeColor="hyperlink"/>
      <w:u w:val="single"/>
    </w:rPr>
  </w:style>
  <w:style w:type="character" w:customStyle="1" w:styleId="Heading3Char">
    <w:name w:val="Heading 3 Char"/>
    <w:basedOn w:val="DefaultParagraphFont"/>
    <w:link w:val="Heading3"/>
    <w:uiPriority w:val="9"/>
    <w:semiHidden/>
    <w:rsid w:val="00CE382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E3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DAD"/>
    <w:pPr>
      <w:spacing w:after="0" w:line="240" w:lineRule="auto"/>
    </w:pPr>
  </w:style>
  <w:style w:type="paragraph" w:styleId="Header">
    <w:name w:val="header"/>
    <w:basedOn w:val="Normal"/>
    <w:link w:val="HeaderChar"/>
    <w:uiPriority w:val="99"/>
    <w:unhideWhenUsed/>
    <w:rsid w:val="00D10D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D98"/>
  </w:style>
  <w:style w:type="paragraph" w:styleId="Footer">
    <w:name w:val="footer"/>
    <w:basedOn w:val="Normal"/>
    <w:link w:val="FooterChar"/>
    <w:uiPriority w:val="99"/>
    <w:unhideWhenUsed/>
    <w:rsid w:val="00D10D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uc.org/press/us-and-eu-trade-union-leaders-ttip-negotiations-wrong-course" TargetMode="External"/><Relationship Id="rId13" Type="http://schemas.openxmlformats.org/officeDocument/2006/relationships/hyperlink" Target="http://www.europarl.europa.eu/hearings-2014/resources/library/media/20141022RES75823/20141022RES75823.pdf" TargetMode="External"/><Relationship Id="rId18" Type="http://schemas.openxmlformats.org/officeDocument/2006/relationships/hyperlink" Target="https://www.citizen.org/documents/public-citizen-letter-to-obama-alerting-to-tafta-concern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mbudsman.europa.eu/en/cases/decision.faces/en/58668/html.bookmark" TargetMode="External"/><Relationship Id="rId17" Type="http://schemas.openxmlformats.org/officeDocument/2006/relationships/hyperlink" Target="http://www.europarl.europa.eu/sides/getAllAnswers.do?reference=E-2015-006527&amp;language=EN" TargetMode="External"/><Relationship Id="rId2" Type="http://schemas.openxmlformats.org/officeDocument/2006/relationships/numbering" Target="numbering.xml"/><Relationship Id="rId16" Type="http://schemas.openxmlformats.org/officeDocument/2006/relationships/hyperlink" Target="https://ec.europa.eu/commission/sites/cwt/files/commissioner_mission_letters/malmstrom_en.pdf" TargetMode="External"/><Relationship Id="rId20" Type="http://schemas.openxmlformats.org/officeDocument/2006/relationships/hyperlink" Target="http://hir.harvard.edu/defining-powerabuse-of-po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europa.eu/en/cases/correspondence.faces/en/59343/html.bookmark" TargetMode="External"/><Relationship Id="rId5" Type="http://schemas.openxmlformats.org/officeDocument/2006/relationships/webSettings" Target="webSettings.xml"/><Relationship Id="rId15" Type="http://schemas.openxmlformats.org/officeDocument/2006/relationships/hyperlink" Target="http://www.greenpeace.org/eu-unit/en/News/2016/Leaked-TTIP-documents-released/" TargetMode="External"/><Relationship Id="rId23" Type="http://schemas.openxmlformats.org/officeDocument/2006/relationships/theme" Target="theme/theme1.xml"/><Relationship Id="rId10" Type="http://schemas.openxmlformats.org/officeDocument/2006/relationships/hyperlink" Target="http://trade.ec.europa.eu/doclib/docs/2015/october/tradoc_153846.pdf" TargetMode="External"/><Relationship Id="rId19" Type="http://schemas.openxmlformats.org/officeDocument/2006/relationships/hyperlink" Target="http://www.economist.com/news/europe/21697877-what-aversion-global-trade-says-about-europe-and-america-trading-places" TargetMode="External"/><Relationship Id="rId4" Type="http://schemas.openxmlformats.org/officeDocument/2006/relationships/settings" Target="settings.xml"/><Relationship Id="rId9" Type="http://schemas.openxmlformats.org/officeDocument/2006/relationships/hyperlink" Target="http://europa.eu/rapid/press-release_IP-14-2131_en.htm" TargetMode="External"/><Relationship Id="rId14" Type="http://schemas.openxmlformats.org/officeDocument/2006/relationships/hyperlink" Target="https://www.theguardian.com/commentisfree/2015/aug/31/transparency-ttip-documents-big-busi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AE25-DD64-4BCA-8B20-F69EC00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10871</Words>
  <Characters>59792</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70522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Gheyle</dc:creator>
  <cp:keywords/>
  <dc:description/>
  <cp:lastModifiedBy>Niels Gheyle</cp:lastModifiedBy>
  <cp:revision>15</cp:revision>
  <dcterms:created xsi:type="dcterms:W3CDTF">2017-04-27T14:58:00Z</dcterms:created>
  <dcterms:modified xsi:type="dcterms:W3CDTF">2017-04-28T15:06:00Z</dcterms:modified>
</cp:coreProperties>
</file>