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5D" w:rsidRDefault="008E221A" w:rsidP="008E221A">
      <w:pPr>
        <w:spacing w:after="0" w:line="360" w:lineRule="auto"/>
        <w:jc w:val="center"/>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Brexit and the unchartered waters beyond Lisbon</w:t>
      </w:r>
      <w:r w:rsidR="00704F28">
        <w:rPr>
          <w:rFonts w:asciiTheme="minorHAnsi" w:eastAsia="Times New Roman" w:hAnsiTheme="minorHAnsi" w:cs="Calibri"/>
          <w:sz w:val="24"/>
          <w:szCs w:val="24"/>
          <w:lang w:val="en-US" w:eastAsia="en-GB"/>
        </w:rPr>
        <w:t>: a</w:t>
      </w:r>
      <w:r w:rsidR="008C2E5D" w:rsidRPr="00381DAC">
        <w:rPr>
          <w:rFonts w:asciiTheme="minorHAnsi" w:eastAsia="Times New Roman" w:hAnsiTheme="minorHAnsi" w:cs="Calibri"/>
          <w:sz w:val="24"/>
          <w:szCs w:val="24"/>
          <w:lang w:val="en-US" w:eastAsia="en-GB"/>
        </w:rPr>
        <w:t xml:space="preserve"> critical analysis of </w:t>
      </w:r>
      <w:r w:rsidR="006A3289" w:rsidRPr="00381DAC">
        <w:rPr>
          <w:rFonts w:asciiTheme="minorHAnsi" w:eastAsia="Times New Roman" w:hAnsiTheme="minorHAnsi" w:cs="Calibri"/>
          <w:sz w:val="24"/>
          <w:szCs w:val="24"/>
          <w:lang w:val="en-US" w:eastAsia="en-GB"/>
        </w:rPr>
        <w:t xml:space="preserve">the legal uncertainties surrounding </w:t>
      </w:r>
      <w:r w:rsidR="008C2E5D" w:rsidRPr="00381DAC">
        <w:rPr>
          <w:rFonts w:asciiTheme="minorHAnsi" w:eastAsia="Times New Roman" w:hAnsiTheme="minorHAnsi" w:cs="Calibri"/>
          <w:sz w:val="24"/>
          <w:szCs w:val="24"/>
          <w:lang w:val="en-US" w:eastAsia="en-GB"/>
        </w:rPr>
        <w:t>the right to withdraw from the European Union</w:t>
      </w:r>
    </w:p>
    <w:p w:rsidR="00DB36C3" w:rsidRDefault="00DB36C3" w:rsidP="008E221A">
      <w:pPr>
        <w:spacing w:after="0" w:line="360" w:lineRule="auto"/>
        <w:jc w:val="center"/>
        <w:rPr>
          <w:rFonts w:asciiTheme="minorHAnsi" w:eastAsia="Times New Roman" w:hAnsiTheme="minorHAnsi" w:cs="Calibri"/>
          <w:sz w:val="24"/>
          <w:szCs w:val="24"/>
          <w:lang w:val="en-US" w:eastAsia="en-GB"/>
        </w:rPr>
      </w:pPr>
    </w:p>
    <w:p w:rsidR="008C2E5D" w:rsidRDefault="00DB36C3" w:rsidP="00DB36C3">
      <w:pPr>
        <w:spacing w:after="0" w:line="360" w:lineRule="auto"/>
        <w:rPr>
          <w:rFonts w:asciiTheme="minorHAnsi" w:eastAsia="Times New Roman" w:hAnsiTheme="minorHAnsi" w:cs="Calibri"/>
          <w:sz w:val="24"/>
          <w:szCs w:val="24"/>
          <w:lang w:val="en-US" w:eastAsia="en-GB"/>
        </w:rPr>
      </w:pPr>
      <w:proofErr w:type="spellStart"/>
      <w:r>
        <w:rPr>
          <w:rFonts w:asciiTheme="minorHAnsi" w:eastAsia="Times New Roman" w:hAnsiTheme="minorHAnsi" w:cs="Calibri"/>
          <w:sz w:val="24"/>
          <w:szCs w:val="24"/>
          <w:lang w:val="en-US" w:eastAsia="en-GB"/>
        </w:rPr>
        <w:t>Mário</w:t>
      </w:r>
      <w:proofErr w:type="spellEnd"/>
      <w:r>
        <w:rPr>
          <w:rFonts w:asciiTheme="minorHAnsi" w:eastAsia="Times New Roman" w:hAnsiTheme="minorHAnsi" w:cs="Calibri"/>
          <w:sz w:val="24"/>
          <w:szCs w:val="24"/>
          <w:lang w:val="en-US" w:eastAsia="en-GB"/>
        </w:rPr>
        <w:t xml:space="preserve"> </w:t>
      </w:r>
      <w:proofErr w:type="spellStart"/>
      <w:r>
        <w:rPr>
          <w:rFonts w:asciiTheme="minorHAnsi" w:eastAsia="Times New Roman" w:hAnsiTheme="minorHAnsi" w:cs="Calibri"/>
          <w:sz w:val="24"/>
          <w:szCs w:val="24"/>
          <w:lang w:val="en-US" w:eastAsia="en-GB"/>
        </w:rPr>
        <w:t>Simões</w:t>
      </w:r>
      <w:proofErr w:type="spellEnd"/>
      <w:r>
        <w:rPr>
          <w:rFonts w:asciiTheme="minorHAnsi" w:eastAsia="Times New Roman" w:hAnsiTheme="minorHAnsi" w:cs="Calibri"/>
          <w:sz w:val="24"/>
          <w:szCs w:val="24"/>
          <w:lang w:val="en-US" w:eastAsia="en-GB"/>
        </w:rPr>
        <w:t xml:space="preserve"> Barata</w:t>
      </w:r>
      <w:r>
        <w:rPr>
          <w:rStyle w:val="Refdenotaderodap"/>
          <w:rFonts w:asciiTheme="minorHAnsi" w:eastAsia="Times New Roman" w:hAnsiTheme="minorHAnsi" w:cs="Calibri"/>
          <w:sz w:val="24"/>
          <w:szCs w:val="24"/>
          <w:lang w:val="en-US" w:eastAsia="en-GB"/>
        </w:rPr>
        <w:footnoteReference w:id="1"/>
      </w:r>
    </w:p>
    <w:p w:rsidR="00DB36C3" w:rsidRPr="00381DAC" w:rsidRDefault="00DB36C3" w:rsidP="00DB36C3">
      <w:pPr>
        <w:spacing w:after="0" w:line="360" w:lineRule="auto"/>
        <w:rPr>
          <w:rFonts w:asciiTheme="minorHAnsi" w:eastAsia="Times New Roman" w:hAnsiTheme="minorHAnsi" w:cs="Calibri"/>
          <w:sz w:val="24"/>
          <w:szCs w:val="24"/>
          <w:lang w:val="en-US" w:eastAsia="en-GB"/>
        </w:rPr>
      </w:pPr>
    </w:p>
    <w:p w:rsidR="008C2E5D" w:rsidRPr="00381DAC" w:rsidRDefault="008C2E5D" w:rsidP="008C2E5D">
      <w:pPr>
        <w:pStyle w:val="PargrafodaLista"/>
        <w:numPr>
          <w:ilvl w:val="0"/>
          <w:numId w:val="2"/>
        </w:numPr>
        <w:spacing w:after="0" w:line="360" w:lineRule="auto"/>
        <w:jc w:val="both"/>
        <w:rPr>
          <w:rFonts w:eastAsia="Times New Roman" w:cs="Calibri"/>
          <w:sz w:val="24"/>
          <w:szCs w:val="24"/>
          <w:lang w:val="en-US" w:eastAsia="en-GB"/>
        </w:rPr>
      </w:pPr>
      <w:r w:rsidRPr="00381DAC">
        <w:rPr>
          <w:rFonts w:eastAsia="Times New Roman" w:cs="Calibri"/>
          <w:sz w:val="24"/>
          <w:szCs w:val="24"/>
          <w:lang w:val="en-US" w:eastAsia="en-GB"/>
        </w:rPr>
        <w:t>Introduction</w:t>
      </w:r>
    </w:p>
    <w:p w:rsidR="008C2E5D" w:rsidRPr="00381DAC" w:rsidRDefault="008C2E5D" w:rsidP="008C2E5D">
      <w:pPr>
        <w:spacing w:after="0" w:line="360" w:lineRule="auto"/>
        <w:jc w:val="both"/>
        <w:rPr>
          <w:rFonts w:asciiTheme="minorHAnsi" w:eastAsia="Times New Roman" w:hAnsiTheme="minorHAnsi" w:cs="Calibri"/>
          <w:sz w:val="24"/>
          <w:szCs w:val="24"/>
          <w:lang w:val="en-US" w:eastAsia="en-GB"/>
        </w:rPr>
      </w:pPr>
    </w:p>
    <w:p w:rsidR="00E4240C" w:rsidRPr="00381DAC" w:rsidRDefault="008C2E5D" w:rsidP="00052A13">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One of t</w:t>
      </w:r>
      <w:r w:rsidR="00AF76C6" w:rsidRPr="00381DAC">
        <w:rPr>
          <w:rFonts w:asciiTheme="minorHAnsi" w:eastAsia="Times New Roman" w:hAnsiTheme="minorHAnsi" w:cs="Calibri"/>
          <w:sz w:val="24"/>
          <w:szCs w:val="24"/>
          <w:lang w:val="en-US" w:eastAsia="en-GB"/>
        </w:rPr>
        <w:t>he novelt</w:t>
      </w:r>
      <w:r w:rsidRPr="00381DAC">
        <w:rPr>
          <w:rFonts w:asciiTheme="minorHAnsi" w:eastAsia="Times New Roman" w:hAnsiTheme="minorHAnsi" w:cs="Calibri"/>
          <w:sz w:val="24"/>
          <w:szCs w:val="24"/>
          <w:lang w:val="en-US" w:eastAsia="en-GB"/>
        </w:rPr>
        <w:t>ies of the Treaty of Lisbon, as underlined by the Germa</w:t>
      </w:r>
      <w:r w:rsidR="00B4537C">
        <w:rPr>
          <w:rFonts w:asciiTheme="minorHAnsi" w:eastAsia="Times New Roman" w:hAnsiTheme="minorHAnsi" w:cs="Calibri"/>
          <w:sz w:val="24"/>
          <w:szCs w:val="24"/>
          <w:lang w:val="en-US" w:eastAsia="en-GB"/>
        </w:rPr>
        <w:t xml:space="preserve">n Federal Constitutional Court, </w:t>
      </w:r>
      <w:r w:rsidRPr="00381DAC">
        <w:rPr>
          <w:rFonts w:asciiTheme="minorHAnsi" w:eastAsia="Times New Roman" w:hAnsiTheme="minorHAnsi" w:cs="Calibri"/>
          <w:sz w:val="24"/>
          <w:szCs w:val="24"/>
          <w:lang w:val="en-US" w:eastAsia="en-GB"/>
        </w:rPr>
        <w:t>is the introduction of a</w:t>
      </w:r>
      <w:r w:rsidR="000A2AA6">
        <w:rPr>
          <w:rFonts w:asciiTheme="minorHAnsi" w:eastAsia="Times New Roman" w:hAnsiTheme="minorHAnsi" w:cs="Calibri"/>
          <w:sz w:val="24"/>
          <w:szCs w:val="24"/>
          <w:lang w:val="en-US" w:eastAsia="en-GB"/>
        </w:rPr>
        <w:t>n explicit</w:t>
      </w:r>
      <w:r w:rsidRPr="00381DAC">
        <w:rPr>
          <w:rFonts w:asciiTheme="minorHAnsi" w:eastAsia="Times New Roman" w:hAnsiTheme="minorHAnsi" w:cs="Calibri"/>
          <w:sz w:val="24"/>
          <w:szCs w:val="24"/>
          <w:lang w:val="en-US" w:eastAsia="en-GB"/>
        </w:rPr>
        <w:t xml:space="preserve"> withdrawal clause in European Union </w:t>
      </w:r>
      <w:r w:rsidR="00EB55E1">
        <w:rPr>
          <w:rFonts w:asciiTheme="minorHAnsi" w:eastAsia="Times New Roman" w:hAnsiTheme="minorHAnsi" w:cs="Calibri"/>
          <w:sz w:val="24"/>
          <w:szCs w:val="24"/>
          <w:lang w:val="en-US" w:eastAsia="en-GB"/>
        </w:rPr>
        <w:t xml:space="preserve">(EU) </w:t>
      </w:r>
      <w:r w:rsidRPr="00381DAC">
        <w:rPr>
          <w:rFonts w:asciiTheme="minorHAnsi" w:eastAsia="Times New Roman" w:hAnsiTheme="minorHAnsi" w:cs="Calibri"/>
          <w:sz w:val="24"/>
          <w:szCs w:val="24"/>
          <w:lang w:val="en-US" w:eastAsia="en-GB"/>
        </w:rPr>
        <w:t>pri</w:t>
      </w:r>
      <w:r w:rsidR="00101C52" w:rsidRPr="00381DAC">
        <w:rPr>
          <w:rFonts w:asciiTheme="minorHAnsi" w:eastAsia="Times New Roman" w:hAnsiTheme="minorHAnsi" w:cs="Calibri"/>
          <w:sz w:val="24"/>
          <w:szCs w:val="24"/>
          <w:lang w:val="en-US" w:eastAsia="en-GB"/>
        </w:rPr>
        <w:t xml:space="preserve">mary law. </w:t>
      </w:r>
      <w:r w:rsidR="00340BFD">
        <w:rPr>
          <w:rFonts w:asciiTheme="minorHAnsi" w:eastAsia="Times New Roman" w:hAnsiTheme="minorHAnsi" w:cs="Calibri"/>
          <w:sz w:val="24"/>
          <w:szCs w:val="24"/>
          <w:lang w:val="en-US" w:eastAsia="en-GB"/>
        </w:rPr>
        <w:t>The codificat</w:t>
      </w:r>
      <w:r w:rsidR="00A40A27" w:rsidRPr="00381DAC">
        <w:rPr>
          <w:rFonts w:asciiTheme="minorHAnsi" w:eastAsia="Times New Roman" w:hAnsiTheme="minorHAnsi" w:cs="Calibri"/>
          <w:sz w:val="24"/>
          <w:szCs w:val="24"/>
          <w:lang w:val="en-US" w:eastAsia="en-GB"/>
        </w:rPr>
        <w:t>ion</w:t>
      </w:r>
      <w:r w:rsidR="00E46FFC" w:rsidRPr="00381DAC">
        <w:rPr>
          <w:rFonts w:asciiTheme="minorHAnsi" w:eastAsia="Times New Roman" w:hAnsiTheme="minorHAnsi" w:cs="Calibri"/>
          <w:sz w:val="24"/>
          <w:szCs w:val="24"/>
          <w:lang w:val="en-US" w:eastAsia="en-GB"/>
        </w:rPr>
        <w:t xml:space="preserve"> of s</w:t>
      </w:r>
      <w:r w:rsidR="008A011F" w:rsidRPr="00381DAC">
        <w:rPr>
          <w:rFonts w:asciiTheme="minorHAnsi" w:eastAsia="Times New Roman" w:hAnsiTheme="minorHAnsi" w:cs="Calibri"/>
          <w:sz w:val="24"/>
          <w:szCs w:val="24"/>
          <w:lang w:val="en-US" w:eastAsia="en-GB"/>
        </w:rPr>
        <w:t xml:space="preserve">uch a right </w:t>
      </w:r>
      <w:r w:rsidR="00340BFD">
        <w:rPr>
          <w:rFonts w:asciiTheme="minorHAnsi" w:eastAsia="Times New Roman" w:hAnsiTheme="minorHAnsi" w:cs="Calibri"/>
          <w:sz w:val="24"/>
          <w:szCs w:val="24"/>
          <w:lang w:val="en-US" w:eastAsia="en-GB"/>
        </w:rPr>
        <w:t xml:space="preserve">in Article 50º of the Treaty of the European Union (TEU) </w:t>
      </w:r>
      <w:r w:rsidR="008A011F" w:rsidRPr="00381DAC">
        <w:rPr>
          <w:rFonts w:asciiTheme="minorHAnsi" w:eastAsia="Times New Roman" w:hAnsiTheme="minorHAnsi" w:cs="Calibri"/>
          <w:sz w:val="24"/>
          <w:szCs w:val="24"/>
          <w:lang w:val="en-US" w:eastAsia="en-GB"/>
        </w:rPr>
        <w:t>has received mixed reviews</w:t>
      </w:r>
      <w:r w:rsidR="00A40A27" w:rsidRPr="00381DAC">
        <w:rPr>
          <w:rFonts w:asciiTheme="minorHAnsi" w:eastAsia="Times New Roman" w:hAnsiTheme="minorHAnsi" w:cs="Calibri"/>
          <w:sz w:val="24"/>
          <w:szCs w:val="24"/>
          <w:lang w:val="en-US" w:eastAsia="en-GB"/>
        </w:rPr>
        <w:t xml:space="preserve"> in Europe. In this sense</w:t>
      </w:r>
      <w:r w:rsidR="008A011F" w:rsidRPr="00381DAC">
        <w:rPr>
          <w:rFonts w:asciiTheme="minorHAnsi" w:eastAsia="Times New Roman" w:hAnsiTheme="minorHAnsi" w:cs="Calibri"/>
          <w:sz w:val="24"/>
          <w:szCs w:val="24"/>
          <w:lang w:val="en-US" w:eastAsia="en-GB"/>
        </w:rPr>
        <w:t xml:space="preserve">, Marianne </w:t>
      </w:r>
      <w:proofErr w:type="spellStart"/>
      <w:r w:rsidR="008A011F" w:rsidRPr="00381DAC">
        <w:rPr>
          <w:rFonts w:asciiTheme="minorHAnsi" w:eastAsia="Times New Roman" w:hAnsiTheme="minorHAnsi" w:cs="Calibri"/>
          <w:sz w:val="24"/>
          <w:szCs w:val="24"/>
          <w:lang w:val="en-US" w:eastAsia="en-GB"/>
        </w:rPr>
        <w:t>Dony</w:t>
      </w:r>
      <w:proofErr w:type="spellEnd"/>
      <w:r w:rsidR="008A011F" w:rsidRPr="00381DAC">
        <w:rPr>
          <w:rFonts w:asciiTheme="minorHAnsi" w:eastAsia="Times New Roman" w:hAnsiTheme="minorHAnsi" w:cs="Calibri"/>
          <w:sz w:val="24"/>
          <w:szCs w:val="24"/>
          <w:lang w:val="en-US" w:eastAsia="en-GB"/>
        </w:rPr>
        <w:t xml:space="preserve"> writes that supporters of a withdrawal clause underline the fact that</w:t>
      </w:r>
      <w:r w:rsidR="00EB55E1">
        <w:rPr>
          <w:rFonts w:asciiTheme="minorHAnsi" w:eastAsia="Times New Roman" w:hAnsiTheme="minorHAnsi" w:cs="Calibri"/>
          <w:sz w:val="24"/>
          <w:szCs w:val="24"/>
          <w:lang w:val="en-US" w:eastAsia="en-GB"/>
        </w:rPr>
        <w:t xml:space="preserve"> belonging to the EU</w:t>
      </w:r>
      <w:r w:rsidR="008A011F" w:rsidRPr="00381DAC">
        <w:rPr>
          <w:rFonts w:asciiTheme="minorHAnsi" w:eastAsia="Times New Roman" w:hAnsiTheme="minorHAnsi" w:cs="Calibri"/>
          <w:sz w:val="24"/>
          <w:szCs w:val="24"/>
          <w:lang w:val="en-US" w:eastAsia="en-GB"/>
        </w:rPr>
        <w:t xml:space="preserve"> is not an imposition</w:t>
      </w:r>
      <w:r w:rsidR="006A3289" w:rsidRPr="00381DAC">
        <w:rPr>
          <w:rFonts w:asciiTheme="minorHAnsi" w:eastAsia="Times New Roman" w:hAnsiTheme="minorHAnsi" w:cs="Calibri"/>
          <w:sz w:val="24"/>
          <w:szCs w:val="24"/>
          <w:lang w:val="en-US" w:eastAsia="en-GB"/>
        </w:rPr>
        <w:t xml:space="preserve"> but a choice, </w:t>
      </w:r>
      <w:r w:rsidR="008A011F" w:rsidRPr="00381DAC">
        <w:rPr>
          <w:rFonts w:asciiTheme="minorHAnsi" w:eastAsia="Times New Roman" w:hAnsiTheme="minorHAnsi" w:cs="Calibri"/>
          <w:sz w:val="24"/>
          <w:szCs w:val="24"/>
          <w:lang w:val="en-US" w:eastAsia="en-GB"/>
        </w:rPr>
        <w:t xml:space="preserve">while those who </w:t>
      </w:r>
      <w:r w:rsidR="00A40A27" w:rsidRPr="00381DAC">
        <w:rPr>
          <w:rFonts w:asciiTheme="minorHAnsi" w:eastAsia="Times New Roman" w:hAnsiTheme="minorHAnsi" w:cs="Calibri"/>
          <w:sz w:val="24"/>
          <w:szCs w:val="24"/>
          <w:lang w:val="en-US" w:eastAsia="en-GB"/>
        </w:rPr>
        <w:t xml:space="preserve">are </w:t>
      </w:r>
      <w:r w:rsidR="008A011F" w:rsidRPr="00381DAC">
        <w:rPr>
          <w:rFonts w:asciiTheme="minorHAnsi" w:eastAsia="Times New Roman" w:hAnsiTheme="minorHAnsi" w:cs="Calibri"/>
          <w:sz w:val="24"/>
          <w:szCs w:val="24"/>
          <w:lang w:val="en-US" w:eastAsia="en-GB"/>
        </w:rPr>
        <w:t>more critical argue that it is contrary to the interests of t</w:t>
      </w:r>
      <w:r w:rsidR="0085630F">
        <w:rPr>
          <w:rFonts w:asciiTheme="minorHAnsi" w:eastAsia="Times New Roman" w:hAnsiTheme="minorHAnsi" w:cs="Calibri"/>
          <w:sz w:val="24"/>
          <w:szCs w:val="24"/>
          <w:lang w:val="en-US" w:eastAsia="en-GB"/>
        </w:rPr>
        <w:t>he Union and its citizens</w:t>
      </w:r>
      <w:r w:rsidR="00A06A0F">
        <w:rPr>
          <w:rFonts w:asciiTheme="minorHAnsi" w:eastAsia="Times New Roman" w:hAnsiTheme="minorHAnsi" w:cs="Calibri"/>
          <w:sz w:val="24"/>
          <w:szCs w:val="24"/>
          <w:lang w:val="en-US" w:eastAsia="en-GB"/>
        </w:rPr>
        <w:t>.</w:t>
      </w:r>
      <w:r w:rsidR="0085630F">
        <w:rPr>
          <w:rStyle w:val="Refdenotaderodap"/>
          <w:rFonts w:asciiTheme="minorHAnsi" w:eastAsia="Times New Roman" w:hAnsiTheme="minorHAnsi" w:cs="Calibri"/>
          <w:sz w:val="24"/>
          <w:szCs w:val="24"/>
          <w:lang w:val="en-US" w:eastAsia="en-GB"/>
        </w:rPr>
        <w:footnoteReference w:id="2"/>
      </w:r>
      <w:r w:rsidR="00A06A0F">
        <w:rPr>
          <w:rFonts w:asciiTheme="minorHAnsi" w:eastAsia="Times New Roman" w:hAnsiTheme="minorHAnsi" w:cs="Calibri"/>
          <w:sz w:val="24"/>
          <w:szCs w:val="24"/>
          <w:lang w:val="en-US" w:eastAsia="en-GB"/>
        </w:rPr>
        <w:t xml:space="preserve"> </w:t>
      </w:r>
      <w:r w:rsidR="003B3A4B">
        <w:rPr>
          <w:rFonts w:asciiTheme="minorHAnsi" w:eastAsia="Times New Roman" w:hAnsiTheme="minorHAnsi" w:cs="Calibri"/>
          <w:sz w:val="24"/>
          <w:szCs w:val="24"/>
          <w:lang w:val="en-US" w:eastAsia="en-GB"/>
        </w:rPr>
        <w:t xml:space="preserve">This ambivalence is also present in Koen </w:t>
      </w:r>
      <w:proofErr w:type="spellStart"/>
      <w:r w:rsidR="003B3A4B">
        <w:rPr>
          <w:rFonts w:asciiTheme="minorHAnsi" w:eastAsia="Times New Roman" w:hAnsiTheme="minorHAnsi" w:cs="Calibri"/>
          <w:sz w:val="24"/>
          <w:szCs w:val="24"/>
          <w:lang w:val="en-US" w:eastAsia="en-GB"/>
        </w:rPr>
        <w:t>Lenaerts</w:t>
      </w:r>
      <w:proofErr w:type="spellEnd"/>
      <w:r w:rsidR="003B3A4B">
        <w:rPr>
          <w:rFonts w:asciiTheme="minorHAnsi" w:eastAsia="Times New Roman" w:hAnsiTheme="minorHAnsi" w:cs="Calibri"/>
          <w:sz w:val="24"/>
          <w:szCs w:val="24"/>
          <w:lang w:val="en-US" w:eastAsia="en-GB"/>
        </w:rPr>
        <w:t xml:space="preserve"> and Piet Van </w:t>
      </w:r>
      <w:proofErr w:type="spellStart"/>
      <w:r w:rsidR="003B3A4B">
        <w:rPr>
          <w:rFonts w:asciiTheme="minorHAnsi" w:eastAsia="Times New Roman" w:hAnsiTheme="minorHAnsi" w:cs="Calibri"/>
          <w:sz w:val="24"/>
          <w:szCs w:val="24"/>
          <w:lang w:val="en-US" w:eastAsia="en-GB"/>
        </w:rPr>
        <w:t>Nuffel’s</w:t>
      </w:r>
      <w:proofErr w:type="spellEnd"/>
      <w:r w:rsidR="003B3A4B">
        <w:rPr>
          <w:rFonts w:asciiTheme="minorHAnsi" w:eastAsia="Times New Roman" w:hAnsiTheme="minorHAnsi" w:cs="Calibri"/>
          <w:sz w:val="24"/>
          <w:szCs w:val="24"/>
          <w:lang w:val="en-US" w:eastAsia="en-GB"/>
        </w:rPr>
        <w:t xml:space="preserve"> asses</w:t>
      </w:r>
      <w:r w:rsidR="00704F28">
        <w:rPr>
          <w:rFonts w:asciiTheme="minorHAnsi" w:eastAsia="Times New Roman" w:hAnsiTheme="minorHAnsi" w:cs="Calibri"/>
          <w:sz w:val="24"/>
          <w:szCs w:val="24"/>
          <w:lang w:val="en-US" w:eastAsia="en-GB"/>
        </w:rPr>
        <w:t>sment of the right to withdraw</w:t>
      </w:r>
      <w:r w:rsidR="003B3A4B">
        <w:rPr>
          <w:rFonts w:asciiTheme="minorHAnsi" w:eastAsia="Times New Roman" w:hAnsiTheme="minorHAnsi" w:cs="Calibri"/>
          <w:sz w:val="24"/>
          <w:szCs w:val="24"/>
          <w:lang w:val="en-US" w:eastAsia="en-GB"/>
        </w:rPr>
        <w:t xml:space="preserve"> when they defend that it «may endanger the internal cohesion of the Union» but it «also underscores the deliberate choice made by each Member State belonging to the Union».</w:t>
      </w:r>
      <w:r w:rsidR="0085630F">
        <w:rPr>
          <w:rStyle w:val="Refdenotaderodap"/>
          <w:rFonts w:asciiTheme="minorHAnsi" w:eastAsia="Times New Roman" w:hAnsiTheme="minorHAnsi" w:cs="Calibri"/>
          <w:sz w:val="24"/>
          <w:szCs w:val="24"/>
          <w:lang w:val="en-US" w:eastAsia="en-GB"/>
        </w:rPr>
        <w:footnoteReference w:id="3"/>
      </w:r>
      <w:r w:rsidR="003B3A4B">
        <w:rPr>
          <w:rFonts w:asciiTheme="minorHAnsi" w:eastAsia="Times New Roman" w:hAnsiTheme="minorHAnsi" w:cs="Calibri"/>
          <w:sz w:val="24"/>
          <w:szCs w:val="24"/>
          <w:lang w:val="en-US" w:eastAsia="en-GB"/>
        </w:rPr>
        <w:t xml:space="preserve"> </w:t>
      </w:r>
      <w:r w:rsidR="00E4240C" w:rsidRPr="00381DAC">
        <w:rPr>
          <w:rFonts w:asciiTheme="minorHAnsi" w:eastAsia="Times New Roman" w:hAnsiTheme="minorHAnsi" w:cs="Calibri"/>
          <w:sz w:val="24"/>
          <w:szCs w:val="24"/>
          <w:lang w:val="en-US" w:eastAsia="en-GB"/>
        </w:rPr>
        <w:t>However, the</w:t>
      </w:r>
      <w:r w:rsidR="008A011F" w:rsidRPr="00381DAC">
        <w:rPr>
          <w:rFonts w:asciiTheme="minorHAnsi" w:eastAsia="Times New Roman" w:hAnsiTheme="minorHAnsi" w:cs="Calibri"/>
          <w:sz w:val="24"/>
          <w:szCs w:val="24"/>
          <w:lang w:val="en-US" w:eastAsia="en-GB"/>
        </w:rPr>
        <w:t xml:space="preserve"> controversial nature of</w:t>
      </w:r>
      <w:r w:rsidR="001932EF">
        <w:rPr>
          <w:rFonts w:asciiTheme="minorHAnsi" w:eastAsia="Times New Roman" w:hAnsiTheme="minorHAnsi" w:cs="Calibri"/>
          <w:sz w:val="24"/>
          <w:szCs w:val="24"/>
          <w:lang w:val="en-US" w:eastAsia="en-GB"/>
        </w:rPr>
        <w:t xml:space="preserve"> recognizing </w:t>
      </w:r>
      <w:r w:rsidR="008A011F" w:rsidRPr="00381DAC">
        <w:rPr>
          <w:rFonts w:asciiTheme="minorHAnsi" w:eastAsia="Times New Roman" w:hAnsiTheme="minorHAnsi" w:cs="Calibri"/>
          <w:sz w:val="24"/>
          <w:szCs w:val="24"/>
          <w:lang w:val="en-US" w:eastAsia="en-GB"/>
        </w:rPr>
        <w:t xml:space="preserve">withdrawal </w:t>
      </w:r>
      <w:r w:rsidR="001932EF">
        <w:rPr>
          <w:rFonts w:asciiTheme="minorHAnsi" w:eastAsia="Times New Roman" w:hAnsiTheme="minorHAnsi" w:cs="Calibri"/>
          <w:sz w:val="24"/>
          <w:szCs w:val="24"/>
          <w:lang w:val="en-US" w:eastAsia="en-GB"/>
        </w:rPr>
        <w:t xml:space="preserve">in the Treaty </w:t>
      </w:r>
      <w:r w:rsidR="008A011F" w:rsidRPr="00381DAC">
        <w:rPr>
          <w:rFonts w:asciiTheme="minorHAnsi" w:eastAsia="Times New Roman" w:hAnsiTheme="minorHAnsi" w:cs="Calibri"/>
          <w:sz w:val="24"/>
          <w:szCs w:val="24"/>
          <w:lang w:val="en-US" w:eastAsia="en-GB"/>
        </w:rPr>
        <w:t>i</w:t>
      </w:r>
      <w:r w:rsidR="00A40A27" w:rsidRPr="00381DAC">
        <w:rPr>
          <w:rFonts w:asciiTheme="minorHAnsi" w:eastAsia="Times New Roman" w:hAnsiTheme="minorHAnsi" w:cs="Calibri"/>
          <w:sz w:val="24"/>
          <w:szCs w:val="24"/>
          <w:lang w:val="en-US" w:eastAsia="en-GB"/>
        </w:rPr>
        <w:t>s but one piece of the legal and political puzzle</w:t>
      </w:r>
      <w:r w:rsidR="008A011F" w:rsidRPr="00381DAC">
        <w:rPr>
          <w:rFonts w:asciiTheme="minorHAnsi" w:eastAsia="Times New Roman" w:hAnsiTheme="minorHAnsi" w:cs="Calibri"/>
          <w:sz w:val="24"/>
          <w:szCs w:val="24"/>
          <w:lang w:val="en-US" w:eastAsia="en-GB"/>
        </w:rPr>
        <w:t>. More i</w:t>
      </w:r>
      <w:r w:rsidR="006A3289" w:rsidRPr="00381DAC">
        <w:rPr>
          <w:rFonts w:asciiTheme="minorHAnsi" w:eastAsia="Times New Roman" w:hAnsiTheme="minorHAnsi" w:cs="Calibri"/>
          <w:sz w:val="24"/>
          <w:szCs w:val="24"/>
          <w:lang w:val="en-US" w:eastAsia="en-GB"/>
        </w:rPr>
        <w:t xml:space="preserve">mportant </w:t>
      </w:r>
      <w:r w:rsidR="00A40A27" w:rsidRPr="00381DAC">
        <w:rPr>
          <w:rFonts w:asciiTheme="minorHAnsi" w:eastAsia="Times New Roman" w:hAnsiTheme="minorHAnsi" w:cs="Calibri"/>
          <w:sz w:val="24"/>
          <w:szCs w:val="24"/>
          <w:lang w:val="en-US" w:eastAsia="en-GB"/>
        </w:rPr>
        <w:t>is the fact that the</w:t>
      </w:r>
      <w:r w:rsidR="00E4240C" w:rsidRPr="00381DAC">
        <w:rPr>
          <w:rFonts w:asciiTheme="minorHAnsi" w:eastAsia="Times New Roman" w:hAnsiTheme="minorHAnsi" w:cs="Calibri"/>
          <w:sz w:val="24"/>
          <w:szCs w:val="24"/>
          <w:lang w:val="en-US" w:eastAsia="en-GB"/>
        </w:rPr>
        <w:t xml:space="preserve"> conse</w:t>
      </w:r>
      <w:r w:rsidR="00A9778E">
        <w:rPr>
          <w:rFonts w:asciiTheme="minorHAnsi" w:eastAsia="Times New Roman" w:hAnsiTheme="minorHAnsi" w:cs="Calibri"/>
          <w:sz w:val="24"/>
          <w:szCs w:val="24"/>
          <w:lang w:val="en-US" w:eastAsia="en-GB"/>
        </w:rPr>
        <w:t>crat</w:t>
      </w:r>
      <w:r w:rsidR="00405D63">
        <w:rPr>
          <w:rFonts w:asciiTheme="minorHAnsi" w:eastAsia="Times New Roman" w:hAnsiTheme="minorHAnsi" w:cs="Calibri"/>
          <w:sz w:val="24"/>
          <w:szCs w:val="24"/>
          <w:lang w:val="en-US" w:eastAsia="en-GB"/>
        </w:rPr>
        <w:t>ion of the r</w:t>
      </w:r>
      <w:r w:rsidR="00EB55E1">
        <w:rPr>
          <w:rFonts w:asciiTheme="minorHAnsi" w:eastAsia="Times New Roman" w:hAnsiTheme="minorHAnsi" w:cs="Calibri"/>
          <w:sz w:val="24"/>
          <w:szCs w:val="24"/>
          <w:lang w:val="en-US" w:eastAsia="en-GB"/>
        </w:rPr>
        <w:t>ight to leave the EU</w:t>
      </w:r>
      <w:r w:rsidR="00E4240C" w:rsidRPr="00381DAC">
        <w:rPr>
          <w:rFonts w:asciiTheme="minorHAnsi" w:eastAsia="Times New Roman" w:hAnsiTheme="minorHAnsi" w:cs="Calibri"/>
          <w:sz w:val="24"/>
          <w:szCs w:val="24"/>
          <w:lang w:val="en-US" w:eastAsia="en-GB"/>
        </w:rPr>
        <w:t xml:space="preserve"> raises more questions than it resolves </w:t>
      </w:r>
      <w:r w:rsidR="00340BFD">
        <w:rPr>
          <w:rFonts w:asciiTheme="minorHAnsi" w:eastAsia="Times New Roman" w:hAnsiTheme="minorHAnsi" w:cs="Calibri"/>
          <w:sz w:val="24"/>
          <w:szCs w:val="24"/>
          <w:lang w:val="en-US" w:eastAsia="en-GB"/>
        </w:rPr>
        <w:t>due to the</w:t>
      </w:r>
      <w:r w:rsidR="001932EF">
        <w:rPr>
          <w:rFonts w:asciiTheme="minorHAnsi" w:eastAsia="Times New Roman" w:hAnsiTheme="minorHAnsi" w:cs="Calibri"/>
          <w:sz w:val="24"/>
          <w:szCs w:val="24"/>
          <w:lang w:val="en-US" w:eastAsia="en-GB"/>
        </w:rPr>
        <w:t xml:space="preserve"> </w:t>
      </w:r>
      <w:r w:rsidR="00340BFD">
        <w:rPr>
          <w:rFonts w:asciiTheme="minorHAnsi" w:eastAsia="Times New Roman" w:hAnsiTheme="minorHAnsi" w:cs="Calibri"/>
          <w:sz w:val="24"/>
          <w:szCs w:val="24"/>
          <w:lang w:val="en-US" w:eastAsia="en-GB"/>
        </w:rPr>
        <w:t>lack of clarity and the</w:t>
      </w:r>
      <w:r w:rsidR="001932EF">
        <w:rPr>
          <w:rFonts w:asciiTheme="minorHAnsi" w:eastAsia="Times New Roman" w:hAnsiTheme="minorHAnsi" w:cs="Calibri"/>
          <w:sz w:val="24"/>
          <w:szCs w:val="24"/>
          <w:lang w:val="en-US" w:eastAsia="en-GB"/>
        </w:rPr>
        <w:t xml:space="preserve"> absence of </w:t>
      </w:r>
      <w:r w:rsidR="00E700C9">
        <w:rPr>
          <w:rFonts w:asciiTheme="minorHAnsi" w:eastAsia="Times New Roman" w:hAnsiTheme="minorHAnsi" w:cs="Calibri"/>
          <w:sz w:val="24"/>
          <w:szCs w:val="24"/>
          <w:lang w:val="en-US" w:eastAsia="en-GB"/>
        </w:rPr>
        <w:t xml:space="preserve">concrete </w:t>
      </w:r>
      <w:r w:rsidR="001932EF">
        <w:rPr>
          <w:rFonts w:asciiTheme="minorHAnsi" w:eastAsia="Times New Roman" w:hAnsiTheme="minorHAnsi" w:cs="Calibri"/>
          <w:sz w:val="24"/>
          <w:szCs w:val="24"/>
          <w:lang w:val="en-US" w:eastAsia="en-GB"/>
        </w:rPr>
        <w:t>legal guidelines con</w:t>
      </w:r>
      <w:r w:rsidR="00340BFD">
        <w:rPr>
          <w:rFonts w:asciiTheme="minorHAnsi" w:eastAsia="Times New Roman" w:hAnsiTheme="minorHAnsi" w:cs="Calibri"/>
          <w:sz w:val="24"/>
          <w:szCs w:val="24"/>
          <w:lang w:val="en-US" w:eastAsia="en-GB"/>
        </w:rPr>
        <w:t>n</w:t>
      </w:r>
      <w:r w:rsidR="001932EF">
        <w:rPr>
          <w:rFonts w:asciiTheme="minorHAnsi" w:eastAsia="Times New Roman" w:hAnsiTheme="minorHAnsi" w:cs="Calibri"/>
          <w:sz w:val="24"/>
          <w:szCs w:val="24"/>
          <w:lang w:val="en-US" w:eastAsia="en-GB"/>
        </w:rPr>
        <w:t>e</w:t>
      </w:r>
      <w:r w:rsidR="00340BFD">
        <w:rPr>
          <w:rFonts w:asciiTheme="minorHAnsi" w:eastAsia="Times New Roman" w:hAnsiTheme="minorHAnsi" w:cs="Calibri"/>
          <w:sz w:val="24"/>
          <w:szCs w:val="24"/>
          <w:lang w:val="en-US" w:eastAsia="en-GB"/>
        </w:rPr>
        <w:t xml:space="preserve">cted </w:t>
      </w:r>
      <w:r w:rsidR="007E62B0">
        <w:rPr>
          <w:rFonts w:asciiTheme="minorHAnsi" w:eastAsia="Times New Roman" w:hAnsiTheme="minorHAnsi" w:cs="Calibri"/>
          <w:sz w:val="24"/>
          <w:szCs w:val="24"/>
          <w:lang w:val="en-US" w:eastAsia="en-GB"/>
        </w:rPr>
        <w:t>with the provision. I</w:t>
      </w:r>
      <w:r w:rsidR="00340BFD">
        <w:rPr>
          <w:rFonts w:asciiTheme="minorHAnsi" w:eastAsia="Times New Roman" w:hAnsiTheme="minorHAnsi" w:cs="Calibri"/>
          <w:sz w:val="24"/>
          <w:szCs w:val="24"/>
          <w:lang w:val="en-US" w:eastAsia="en-GB"/>
        </w:rPr>
        <w:t>n our opinion, these def</w:t>
      </w:r>
      <w:r w:rsidR="001932EF">
        <w:rPr>
          <w:rFonts w:asciiTheme="minorHAnsi" w:eastAsia="Times New Roman" w:hAnsiTheme="minorHAnsi" w:cs="Calibri"/>
          <w:sz w:val="24"/>
          <w:szCs w:val="24"/>
          <w:lang w:val="en-US" w:eastAsia="en-GB"/>
        </w:rPr>
        <w:t>iciencies are a source of</w:t>
      </w:r>
      <w:r w:rsidR="00340BFD">
        <w:rPr>
          <w:rFonts w:asciiTheme="minorHAnsi" w:eastAsia="Times New Roman" w:hAnsiTheme="minorHAnsi" w:cs="Calibri"/>
          <w:sz w:val="24"/>
          <w:szCs w:val="24"/>
          <w:lang w:val="en-US" w:eastAsia="en-GB"/>
        </w:rPr>
        <w:t xml:space="preserve"> </w:t>
      </w:r>
      <w:r w:rsidR="001932EF">
        <w:rPr>
          <w:rFonts w:asciiTheme="minorHAnsi" w:eastAsia="Times New Roman" w:hAnsiTheme="minorHAnsi" w:cs="Calibri"/>
          <w:sz w:val="24"/>
          <w:szCs w:val="24"/>
          <w:lang w:val="en-US" w:eastAsia="en-GB"/>
        </w:rPr>
        <w:t xml:space="preserve">political </w:t>
      </w:r>
      <w:r w:rsidR="00D9257B">
        <w:rPr>
          <w:rFonts w:asciiTheme="minorHAnsi" w:eastAsia="Times New Roman" w:hAnsiTheme="minorHAnsi" w:cs="Calibri"/>
          <w:sz w:val="24"/>
          <w:szCs w:val="24"/>
          <w:lang w:val="en-US" w:eastAsia="en-GB"/>
        </w:rPr>
        <w:t xml:space="preserve">uncertainty </w:t>
      </w:r>
      <w:r w:rsidR="001932EF">
        <w:rPr>
          <w:rFonts w:asciiTheme="minorHAnsi" w:eastAsia="Times New Roman" w:hAnsiTheme="minorHAnsi" w:cs="Calibri"/>
          <w:sz w:val="24"/>
          <w:szCs w:val="24"/>
          <w:lang w:val="en-US" w:eastAsia="en-GB"/>
        </w:rPr>
        <w:t xml:space="preserve">and </w:t>
      </w:r>
      <w:r w:rsidR="00340BFD">
        <w:rPr>
          <w:rFonts w:asciiTheme="minorHAnsi" w:eastAsia="Times New Roman" w:hAnsiTheme="minorHAnsi" w:cs="Calibri"/>
          <w:sz w:val="24"/>
          <w:szCs w:val="24"/>
          <w:lang w:val="en-US" w:eastAsia="en-GB"/>
        </w:rPr>
        <w:t xml:space="preserve">legal insecurity </w:t>
      </w:r>
      <w:r w:rsidR="00052A13">
        <w:rPr>
          <w:rFonts w:asciiTheme="minorHAnsi" w:eastAsia="Times New Roman" w:hAnsiTheme="minorHAnsi" w:cs="Calibri"/>
          <w:sz w:val="24"/>
          <w:szCs w:val="24"/>
          <w:lang w:val="en-US" w:eastAsia="en-GB"/>
        </w:rPr>
        <w:t>that render the norm</w:t>
      </w:r>
      <w:r w:rsidR="00E700C9">
        <w:rPr>
          <w:rFonts w:asciiTheme="minorHAnsi" w:eastAsia="Times New Roman" w:hAnsiTheme="minorHAnsi" w:cs="Calibri"/>
          <w:sz w:val="24"/>
          <w:szCs w:val="24"/>
          <w:lang w:val="en-US" w:eastAsia="en-GB"/>
        </w:rPr>
        <w:t xml:space="preserve"> incapabl</w:t>
      </w:r>
      <w:r w:rsidR="00052A13">
        <w:rPr>
          <w:rFonts w:asciiTheme="minorHAnsi" w:eastAsia="Times New Roman" w:hAnsiTheme="minorHAnsi" w:cs="Calibri"/>
          <w:sz w:val="24"/>
          <w:szCs w:val="24"/>
          <w:lang w:val="en-US" w:eastAsia="en-GB"/>
        </w:rPr>
        <w:t xml:space="preserve">e of answering the numerous thorny </w:t>
      </w:r>
      <w:r w:rsidR="002270DA">
        <w:rPr>
          <w:rFonts w:asciiTheme="minorHAnsi" w:eastAsia="Times New Roman" w:hAnsiTheme="minorHAnsi" w:cs="Calibri"/>
          <w:sz w:val="24"/>
          <w:szCs w:val="24"/>
          <w:lang w:val="en-US" w:eastAsia="en-GB"/>
        </w:rPr>
        <w:t xml:space="preserve">questions that will </w:t>
      </w:r>
      <w:r w:rsidR="00800A49">
        <w:rPr>
          <w:rFonts w:asciiTheme="minorHAnsi" w:eastAsia="Times New Roman" w:hAnsiTheme="minorHAnsi" w:cs="Calibri"/>
          <w:sz w:val="24"/>
          <w:szCs w:val="24"/>
          <w:lang w:val="en-US" w:eastAsia="en-GB"/>
        </w:rPr>
        <w:t xml:space="preserve">stem from a </w:t>
      </w:r>
      <w:r w:rsidR="00E700C9">
        <w:rPr>
          <w:rFonts w:asciiTheme="minorHAnsi" w:eastAsia="Times New Roman" w:hAnsiTheme="minorHAnsi" w:cs="Calibri"/>
          <w:sz w:val="24"/>
          <w:szCs w:val="24"/>
          <w:lang w:val="en-US" w:eastAsia="en-GB"/>
        </w:rPr>
        <w:t>withdrawal</w:t>
      </w:r>
      <w:r w:rsidR="00405D63">
        <w:rPr>
          <w:rFonts w:asciiTheme="minorHAnsi" w:eastAsia="Times New Roman" w:hAnsiTheme="minorHAnsi" w:cs="Calibri"/>
          <w:sz w:val="24"/>
          <w:szCs w:val="24"/>
          <w:lang w:val="en-US" w:eastAsia="en-GB"/>
        </w:rPr>
        <w:t xml:space="preserve"> of </w:t>
      </w:r>
      <w:r w:rsidR="00F84107">
        <w:rPr>
          <w:rFonts w:asciiTheme="minorHAnsi" w:eastAsia="Times New Roman" w:hAnsiTheme="minorHAnsi" w:cs="Calibri"/>
          <w:sz w:val="24"/>
          <w:szCs w:val="24"/>
          <w:lang w:val="en-US" w:eastAsia="en-GB"/>
        </w:rPr>
        <w:t xml:space="preserve">the United Kingdom or any other Member State </w:t>
      </w:r>
      <w:r w:rsidR="00FF245A">
        <w:rPr>
          <w:rFonts w:asciiTheme="minorHAnsi" w:eastAsia="Times New Roman" w:hAnsiTheme="minorHAnsi" w:cs="Calibri"/>
          <w:sz w:val="24"/>
          <w:szCs w:val="24"/>
          <w:lang w:val="en-US" w:eastAsia="en-GB"/>
        </w:rPr>
        <w:t xml:space="preserve">due to </w:t>
      </w:r>
      <w:r w:rsidR="00800A49">
        <w:rPr>
          <w:rFonts w:asciiTheme="minorHAnsi" w:eastAsia="Times New Roman" w:hAnsiTheme="minorHAnsi" w:cs="Calibri"/>
          <w:sz w:val="24"/>
          <w:szCs w:val="24"/>
          <w:lang w:val="en-US" w:eastAsia="en-GB"/>
        </w:rPr>
        <w:t>the lack of domestic politica</w:t>
      </w:r>
      <w:r w:rsidR="00F84107">
        <w:rPr>
          <w:rFonts w:asciiTheme="minorHAnsi" w:eastAsia="Times New Roman" w:hAnsiTheme="minorHAnsi" w:cs="Calibri"/>
          <w:sz w:val="24"/>
          <w:szCs w:val="24"/>
          <w:lang w:val="en-US" w:eastAsia="en-GB"/>
        </w:rPr>
        <w:t xml:space="preserve">l support </w:t>
      </w:r>
      <w:r w:rsidR="00FF245A">
        <w:rPr>
          <w:rFonts w:asciiTheme="minorHAnsi" w:eastAsia="Times New Roman" w:hAnsiTheme="minorHAnsi" w:cs="Calibri"/>
          <w:sz w:val="24"/>
          <w:szCs w:val="24"/>
          <w:lang w:val="en-US" w:eastAsia="en-GB"/>
        </w:rPr>
        <w:t>or to the euro and sove</w:t>
      </w:r>
      <w:r w:rsidR="00365842">
        <w:rPr>
          <w:rFonts w:asciiTheme="minorHAnsi" w:eastAsia="Times New Roman" w:hAnsiTheme="minorHAnsi" w:cs="Calibri"/>
          <w:sz w:val="24"/>
          <w:szCs w:val="24"/>
          <w:lang w:val="en-US" w:eastAsia="en-GB"/>
        </w:rPr>
        <w:t>reign debt crisis</w:t>
      </w:r>
      <w:r w:rsidR="00800A49">
        <w:rPr>
          <w:rFonts w:asciiTheme="minorHAnsi" w:eastAsia="Times New Roman" w:hAnsiTheme="minorHAnsi" w:cs="Calibri"/>
          <w:sz w:val="24"/>
          <w:szCs w:val="24"/>
          <w:lang w:val="en-US" w:eastAsia="en-GB"/>
        </w:rPr>
        <w:t>. T</w:t>
      </w:r>
      <w:r w:rsidR="00FF245A">
        <w:rPr>
          <w:rFonts w:asciiTheme="minorHAnsi" w:eastAsia="Times New Roman" w:hAnsiTheme="minorHAnsi" w:cs="Calibri"/>
          <w:sz w:val="24"/>
          <w:szCs w:val="24"/>
          <w:lang w:val="en-US" w:eastAsia="en-GB"/>
        </w:rPr>
        <w:t>h</w:t>
      </w:r>
      <w:r w:rsidR="007E62B0">
        <w:rPr>
          <w:rFonts w:asciiTheme="minorHAnsi" w:eastAsia="Times New Roman" w:hAnsiTheme="minorHAnsi" w:cs="Calibri"/>
          <w:sz w:val="24"/>
          <w:szCs w:val="24"/>
          <w:lang w:val="en-US" w:eastAsia="en-GB"/>
        </w:rPr>
        <w:t xml:space="preserve">e perception of this </w:t>
      </w:r>
      <w:r w:rsidR="00F42F20">
        <w:rPr>
          <w:rFonts w:asciiTheme="minorHAnsi" w:eastAsia="Times New Roman" w:hAnsiTheme="minorHAnsi" w:cs="Calibri"/>
          <w:sz w:val="24"/>
          <w:szCs w:val="24"/>
          <w:lang w:val="en-US" w:eastAsia="en-GB"/>
        </w:rPr>
        <w:t xml:space="preserve">dubious </w:t>
      </w:r>
      <w:r w:rsidR="007E62B0">
        <w:rPr>
          <w:rFonts w:asciiTheme="minorHAnsi" w:eastAsia="Times New Roman" w:hAnsiTheme="minorHAnsi" w:cs="Calibri"/>
          <w:sz w:val="24"/>
          <w:szCs w:val="24"/>
          <w:lang w:val="en-US" w:eastAsia="en-GB"/>
        </w:rPr>
        <w:t xml:space="preserve">situation is brilliantly captured by Neil Walker </w:t>
      </w:r>
      <w:r w:rsidR="00F42F20">
        <w:rPr>
          <w:rFonts w:asciiTheme="minorHAnsi" w:eastAsia="Times New Roman" w:hAnsiTheme="minorHAnsi" w:cs="Calibri"/>
          <w:sz w:val="24"/>
          <w:szCs w:val="24"/>
          <w:lang w:val="en-US" w:eastAsia="en-GB"/>
        </w:rPr>
        <w:t>in these words</w:t>
      </w:r>
      <w:r w:rsidR="007E62B0">
        <w:rPr>
          <w:rFonts w:asciiTheme="minorHAnsi" w:eastAsia="Times New Roman" w:hAnsiTheme="minorHAnsi" w:cs="Calibri"/>
          <w:sz w:val="24"/>
          <w:szCs w:val="24"/>
          <w:lang w:val="en-US" w:eastAsia="en-GB"/>
        </w:rPr>
        <w:t>: “b</w:t>
      </w:r>
      <w:r w:rsidR="007E62B0" w:rsidRPr="007E62B0">
        <w:rPr>
          <w:rFonts w:asciiTheme="minorHAnsi" w:eastAsia="Times New Roman" w:hAnsiTheme="minorHAnsi" w:cs="Calibri"/>
          <w:sz w:val="24"/>
          <w:szCs w:val="24"/>
          <w:lang w:val="en-US" w:eastAsia="en-GB"/>
        </w:rPr>
        <w:t xml:space="preserve">ut my inability to express the meaning of Brexit also has to do with the sheer </w:t>
      </w:r>
      <w:r w:rsidR="007E62B0" w:rsidRPr="007E62B0">
        <w:rPr>
          <w:rFonts w:asciiTheme="minorHAnsi" w:eastAsia="Times New Roman" w:hAnsiTheme="minorHAnsi" w:cs="Calibri"/>
          <w:sz w:val="24"/>
          <w:szCs w:val="24"/>
          <w:lang w:val="en-US" w:eastAsia="en-GB"/>
        </w:rPr>
        <w:lastRenderedPageBreak/>
        <w:t>uncertainty of what will follow. The skies are ominously dark, the short and long term forecasts are deeply unpredictable</w:t>
      </w:r>
      <w:r w:rsidR="007E62B0">
        <w:rPr>
          <w:rFonts w:asciiTheme="minorHAnsi" w:eastAsia="Times New Roman" w:hAnsiTheme="minorHAnsi" w:cs="Calibri"/>
          <w:sz w:val="24"/>
          <w:szCs w:val="24"/>
          <w:lang w:val="en-US" w:eastAsia="en-GB"/>
        </w:rPr>
        <w:t>”</w:t>
      </w:r>
      <w:r w:rsidR="007E62B0" w:rsidRPr="007E62B0">
        <w:rPr>
          <w:rFonts w:asciiTheme="minorHAnsi" w:eastAsia="Times New Roman" w:hAnsiTheme="minorHAnsi" w:cs="Calibri"/>
          <w:sz w:val="24"/>
          <w:szCs w:val="24"/>
          <w:lang w:val="en-US" w:eastAsia="en-GB"/>
        </w:rPr>
        <w:t>.</w:t>
      </w:r>
      <w:r w:rsidR="007E62B0">
        <w:rPr>
          <w:rStyle w:val="Refdenotaderodap"/>
          <w:rFonts w:asciiTheme="minorHAnsi" w:eastAsia="Times New Roman" w:hAnsiTheme="minorHAnsi" w:cs="Calibri"/>
          <w:sz w:val="24"/>
          <w:szCs w:val="24"/>
          <w:lang w:val="en-US" w:eastAsia="en-GB"/>
        </w:rPr>
        <w:footnoteReference w:id="4"/>
      </w:r>
      <w:r w:rsidR="007E62B0" w:rsidRPr="007E62B0">
        <w:rPr>
          <w:rFonts w:asciiTheme="minorHAnsi" w:eastAsia="Times New Roman" w:hAnsiTheme="minorHAnsi" w:cs="Calibri"/>
          <w:sz w:val="24"/>
          <w:szCs w:val="24"/>
          <w:lang w:val="en-US" w:eastAsia="en-GB"/>
        </w:rPr>
        <w:t xml:space="preserve"> </w:t>
      </w:r>
      <w:r w:rsidR="00052A13">
        <w:rPr>
          <w:rFonts w:asciiTheme="minorHAnsi" w:eastAsia="Times New Roman" w:hAnsiTheme="minorHAnsi" w:cs="Calibri"/>
          <w:sz w:val="24"/>
          <w:szCs w:val="24"/>
          <w:lang w:val="en-US" w:eastAsia="en-GB"/>
        </w:rPr>
        <w:t>Consequently</w:t>
      </w:r>
      <w:r w:rsidR="007E62B0">
        <w:rPr>
          <w:rFonts w:asciiTheme="minorHAnsi" w:eastAsia="Times New Roman" w:hAnsiTheme="minorHAnsi" w:cs="Calibri"/>
          <w:sz w:val="24"/>
          <w:szCs w:val="24"/>
          <w:lang w:val="en-US" w:eastAsia="en-GB"/>
        </w:rPr>
        <w:t>, th</w:t>
      </w:r>
      <w:r w:rsidR="00FF245A">
        <w:rPr>
          <w:rFonts w:asciiTheme="minorHAnsi" w:eastAsia="Times New Roman" w:hAnsiTheme="minorHAnsi" w:cs="Calibri"/>
          <w:sz w:val="24"/>
          <w:szCs w:val="24"/>
          <w:lang w:val="en-US" w:eastAsia="en-GB"/>
        </w:rPr>
        <w:t>is paper</w:t>
      </w:r>
      <w:r w:rsidR="00E700C9">
        <w:rPr>
          <w:rFonts w:asciiTheme="minorHAnsi" w:eastAsia="Times New Roman" w:hAnsiTheme="minorHAnsi" w:cs="Calibri"/>
          <w:sz w:val="24"/>
          <w:szCs w:val="24"/>
          <w:lang w:val="en-US" w:eastAsia="en-GB"/>
        </w:rPr>
        <w:t xml:space="preserve"> seek</w:t>
      </w:r>
      <w:r w:rsidR="00800A49">
        <w:rPr>
          <w:rFonts w:asciiTheme="minorHAnsi" w:eastAsia="Times New Roman" w:hAnsiTheme="minorHAnsi" w:cs="Calibri"/>
          <w:sz w:val="24"/>
          <w:szCs w:val="24"/>
          <w:lang w:val="en-US" w:eastAsia="en-GB"/>
        </w:rPr>
        <w:t>s</w:t>
      </w:r>
      <w:r w:rsidR="0077598C">
        <w:rPr>
          <w:rFonts w:asciiTheme="minorHAnsi" w:eastAsia="Times New Roman" w:hAnsiTheme="minorHAnsi" w:cs="Calibri"/>
          <w:sz w:val="24"/>
          <w:szCs w:val="24"/>
          <w:lang w:val="en-US" w:eastAsia="en-GB"/>
        </w:rPr>
        <w:t xml:space="preserve"> to </w:t>
      </w:r>
      <w:r w:rsidR="00800A49">
        <w:rPr>
          <w:rFonts w:asciiTheme="minorHAnsi" w:eastAsia="Times New Roman" w:hAnsiTheme="minorHAnsi" w:cs="Calibri"/>
          <w:sz w:val="24"/>
          <w:szCs w:val="24"/>
          <w:lang w:val="en-US" w:eastAsia="en-GB"/>
        </w:rPr>
        <w:t xml:space="preserve">outline the various questions that the provision fails to answer and </w:t>
      </w:r>
      <w:r w:rsidR="00A9778E">
        <w:rPr>
          <w:rFonts w:asciiTheme="minorHAnsi" w:eastAsia="Times New Roman" w:hAnsiTheme="minorHAnsi" w:cs="Calibri"/>
          <w:sz w:val="24"/>
          <w:szCs w:val="24"/>
          <w:lang w:val="en-US" w:eastAsia="en-GB"/>
        </w:rPr>
        <w:t>critically a</w:t>
      </w:r>
      <w:r w:rsidR="009774F1">
        <w:rPr>
          <w:rFonts w:asciiTheme="minorHAnsi" w:eastAsia="Times New Roman" w:hAnsiTheme="minorHAnsi" w:cs="Calibri"/>
          <w:sz w:val="24"/>
          <w:szCs w:val="24"/>
          <w:lang w:val="en-US" w:eastAsia="en-GB"/>
        </w:rPr>
        <w:t xml:space="preserve">nalyze the </w:t>
      </w:r>
      <w:r w:rsidR="00052A13">
        <w:rPr>
          <w:rFonts w:asciiTheme="minorHAnsi" w:eastAsia="Times New Roman" w:hAnsiTheme="minorHAnsi" w:cs="Calibri"/>
          <w:sz w:val="24"/>
          <w:szCs w:val="24"/>
          <w:lang w:val="en-US" w:eastAsia="en-GB"/>
        </w:rPr>
        <w:t>current rule</w:t>
      </w:r>
      <w:r w:rsidR="009774F1">
        <w:rPr>
          <w:rFonts w:asciiTheme="minorHAnsi" w:eastAsia="Times New Roman" w:hAnsiTheme="minorHAnsi" w:cs="Calibri"/>
          <w:sz w:val="24"/>
          <w:szCs w:val="24"/>
          <w:lang w:val="en-US" w:eastAsia="en-GB"/>
        </w:rPr>
        <w:t xml:space="preserve">s that deal with </w:t>
      </w:r>
      <w:r w:rsidR="00E72BE2">
        <w:rPr>
          <w:rFonts w:asciiTheme="minorHAnsi" w:eastAsia="Times New Roman" w:hAnsiTheme="minorHAnsi" w:cs="Calibri"/>
          <w:sz w:val="24"/>
          <w:szCs w:val="24"/>
          <w:lang w:val="en-US" w:eastAsia="en-GB"/>
        </w:rPr>
        <w:t xml:space="preserve">the possibility of </w:t>
      </w:r>
      <w:r w:rsidR="00A9778E">
        <w:rPr>
          <w:rFonts w:asciiTheme="minorHAnsi" w:eastAsia="Times New Roman" w:hAnsiTheme="minorHAnsi" w:cs="Calibri"/>
          <w:sz w:val="24"/>
          <w:szCs w:val="24"/>
          <w:lang w:val="en-US" w:eastAsia="en-GB"/>
        </w:rPr>
        <w:t>leaving Lisbon.</w:t>
      </w:r>
      <w:r w:rsidR="007E62B0" w:rsidRPr="007E62B0">
        <w:t xml:space="preserve"> </w:t>
      </w:r>
    </w:p>
    <w:p w:rsidR="00E4240C" w:rsidRPr="00381DAC" w:rsidRDefault="00E4240C" w:rsidP="00E4240C">
      <w:pPr>
        <w:spacing w:after="0" w:line="360" w:lineRule="auto"/>
        <w:ind w:firstLine="360"/>
        <w:jc w:val="both"/>
        <w:rPr>
          <w:rFonts w:asciiTheme="minorHAnsi" w:eastAsia="Times New Roman" w:hAnsiTheme="minorHAnsi" w:cs="Calibri"/>
          <w:sz w:val="24"/>
          <w:szCs w:val="24"/>
          <w:lang w:val="en-US" w:eastAsia="en-GB"/>
        </w:rPr>
      </w:pPr>
    </w:p>
    <w:p w:rsidR="008C2E5D" w:rsidRPr="00381DAC" w:rsidRDefault="00101C52" w:rsidP="00101C52">
      <w:pPr>
        <w:pStyle w:val="PargrafodaLista"/>
        <w:numPr>
          <w:ilvl w:val="0"/>
          <w:numId w:val="2"/>
        </w:numPr>
        <w:spacing w:after="0" w:line="360" w:lineRule="auto"/>
        <w:jc w:val="both"/>
        <w:rPr>
          <w:rFonts w:eastAsia="Times New Roman" w:cs="Calibri"/>
          <w:sz w:val="24"/>
          <w:szCs w:val="24"/>
          <w:lang w:val="en-US" w:eastAsia="en-GB"/>
        </w:rPr>
      </w:pPr>
      <w:r w:rsidRPr="00381DAC">
        <w:rPr>
          <w:rFonts w:eastAsia="Times New Roman" w:cs="Calibri"/>
          <w:sz w:val="24"/>
          <w:szCs w:val="24"/>
          <w:lang w:val="en-US" w:eastAsia="en-GB"/>
        </w:rPr>
        <w:t>Unilateral withdrawal and federalism</w:t>
      </w:r>
    </w:p>
    <w:p w:rsidR="00E4240C" w:rsidRPr="00381DAC" w:rsidRDefault="00E4240C" w:rsidP="00E4240C">
      <w:pPr>
        <w:spacing w:after="0" w:line="360" w:lineRule="auto"/>
        <w:jc w:val="both"/>
        <w:rPr>
          <w:rFonts w:asciiTheme="minorHAnsi" w:eastAsia="Times New Roman" w:hAnsiTheme="minorHAnsi" w:cs="Calibri"/>
          <w:sz w:val="24"/>
          <w:szCs w:val="24"/>
          <w:lang w:val="en-US" w:eastAsia="en-GB"/>
        </w:rPr>
      </w:pPr>
    </w:p>
    <w:p w:rsidR="00BB7EDC" w:rsidRPr="00381DAC" w:rsidRDefault="00E4240C" w:rsidP="00EF5DEF">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Article 50, nº 1</w:t>
      </w:r>
      <w:r w:rsidR="0083200E" w:rsidRPr="00381DAC">
        <w:rPr>
          <w:rFonts w:asciiTheme="minorHAnsi" w:eastAsia="Times New Roman" w:hAnsiTheme="minorHAnsi" w:cs="Calibri"/>
          <w:sz w:val="24"/>
          <w:szCs w:val="24"/>
          <w:lang w:val="en-US" w:eastAsia="en-GB"/>
        </w:rPr>
        <w:t>,</w:t>
      </w:r>
      <w:r w:rsidRPr="00381DAC">
        <w:rPr>
          <w:rFonts w:asciiTheme="minorHAnsi" w:eastAsia="Times New Roman" w:hAnsiTheme="minorHAnsi" w:cs="Calibri"/>
          <w:sz w:val="24"/>
          <w:szCs w:val="24"/>
          <w:lang w:val="en-US" w:eastAsia="en-GB"/>
        </w:rPr>
        <w:t xml:space="preserve"> </w:t>
      </w:r>
      <w:r w:rsidR="001932EF">
        <w:rPr>
          <w:rFonts w:asciiTheme="minorHAnsi" w:eastAsia="Times New Roman" w:hAnsiTheme="minorHAnsi" w:cs="Calibri"/>
          <w:sz w:val="24"/>
          <w:szCs w:val="24"/>
          <w:lang w:val="en-US" w:eastAsia="en-GB"/>
        </w:rPr>
        <w:t>of the TEU</w:t>
      </w:r>
      <w:r w:rsidR="00F40272">
        <w:rPr>
          <w:rFonts w:asciiTheme="minorHAnsi" w:eastAsia="Times New Roman" w:hAnsiTheme="minorHAnsi" w:cs="Calibri"/>
          <w:sz w:val="24"/>
          <w:szCs w:val="24"/>
          <w:lang w:val="en-US" w:eastAsia="en-GB"/>
        </w:rPr>
        <w:t>,</w:t>
      </w:r>
      <w:r w:rsidR="001932EF">
        <w:rPr>
          <w:rFonts w:asciiTheme="minorHAnsi" w:eastAsia="Times New Roman" w:hAnsiTheme="minorHAnsi" w:cs="Calibri"/>
          <w:sz w:val="24"/>
          <w:szCs w:val="24"/>
          <w:lang w:val="en-US" w:eastAsia="en-GB"/>
        </w:rPr>
        <w:t xml:space="preserve"> </w:t>
      </w:r>
      <w:r w:rsidRPr="00381DAC">
        <w:rPr>
          <w:rFonts w:asciiTheme="minorHAnsi" w:eastAsia="Times New Roman" w:hAnsiTheme="minorHAnsi" w:cs="Calibri"/>
          <w:sz w:val="24"/>
          <w:szCs w:val="24"/>
          <w:lang w:val="en-US" w:eastAsia="en-GB"/>
        </w:rPr>
        <w:t xml:space="preserve">states that any </w:t>
      </w:r>
      <w:r w:rsidR="0027687D">
        <w:rPr>
          <w:rFonts w:asciiTheme="minorHAnsi" w:eastAsia="Times New Roman" w:hAnsiTheme="minorHAnsi" w:cs="Calibri"/>
          <w:sz w:val="24"/>
          <w:szCs w:val="24"/>
          <w:lang w:val="en-US" w:eastAsia="en-GB"/>
        </w:rPr>
        <w:t>M</w:t>
      </w:r>
      <w:r w:rsidR="00C11DE7" w:rsidRPr="00381DAC">
        <w:rPr>
          <w:rFonts w:asciiTheme="minorHAnsi" w:eastAsia="Times New Roman" w:hAnsiTheme="minorHAnsi" w:cs="Calibri"/>
          <w:sz w:val="24"/>
          <w:szCs w:val="24"/>
          <w:lang w:val="en-US" w:eastAsia="en-GB"/>
        </w:rPr>
        <w:t>ember State has the right to w</w:t>
      </w:r>
      <w:r w:rsidRPr="00381DAC">
        <w:rPr>
          <w:rFonts w:asciiTheme="minorHAnsi" w:eastAsia="Times New Roman" w:hAnsiTheme="minorHAnsi" w:cs="Calibri"/>
          <w:sz w:val="24"/>
          <w:szCs w:val="24"/>
          <w:lang w:val="en-US" w:eastAsia="en-GB"/>
        </w:rPr>
        <w:t xml:space="preserve">ithdraw from </w:t>
      </w:r>
      <w:r w:rsidR="00101C52" w:rsidRPr="00381DAC">
        <w:rPr>
          <w:rFonts w:asciiTheme="minorHAnsi" w:eastAsia="Times New Roman" w:hAnsiTheme="minorHAnsi" w:cs="Calibri"/>
          <w:sz w:val="24"/>
          <w:szCs w:val="24"/>
          <w:lang w:val="en-US" w:eastAsia="en-GB"/>
        </w:rPr>
        <w:t xml:space="preserve">or leave </w:t>
      </w:r>
      <w:r w:rsidR="00EB55E1">
        <w:rPr>
          <w:rFonts w:asciiTheme="minorHAnsi" w:eastAsia="Times New Roman" w:hAnsiTheme="minorHAnsi" w:cs="Calibri"/>
          <w:sz w:val="24"/>
          <w:szCs w:val="24"/>
          <w:lang w:val="en-US" w:eastAsia="en-GB"/>
        </w:rPr>
        <w:t>the EU</w:t>
      </w:r>
      <w:r w:rsidRPr="00381DAC">
        <w:rPr>
          <w:rFonts w:asciiTheme="minorHAnsi" w:eastAsia="Times New Roman" w:hAnsiTheme="minorHAnsi" w:cs="Calibri"/>
          <w:sz w:val="24"/>
          <w:szCs w:val="24"/>
          <w:lang w:val="en-US" w:eastAsia="en-GB"/>
        </w:rPr>
        <w:t xml:space="preserve"> according to </w:t>
      </w:r>
      <w:r w:rsidR="00E46FFC" w:rsidRPr="00381DAC">
        <w:rPr>
          <w:rFonts w:asciiTheme="minorHAnsi" w:eastAsia="Times New Roman" w:hAnsiTheme="minorHAnsi" w:cs="Calibri"/>
          <w:sz w:val="24"/>
          <w:szCs w:val="24"/>
          <w:lang w:val="en-US" w:eastAsia="en-GB"/>
        </w:rPr>
        <w:t xml:space="preserve">the </w:t>
      </w:r>
      <w:r w:rsidRPr="00381DAC">
        <w:rPr>
          <w:rFonts w:asciiTheme="minorHAnsi" w:eastAsia="Times New Roman" w:hAnsiTheme="minorHAnsi" w:cs="Calibri"/>
          <w:sz w:val="24"/>
          <w:szCs w:val="24"/>
          <w:lang w:val="en-US" w:eastAsia="en-GB"/>
        </w:rPr>
        <w:t>rules prescribed in their respective constitution. The wordin</w:t>
      </w:r>
      <w:r w:rsidR="00C11DE7" w:rsidRPr="00381DAC">
        <w:rPr>
          <w:rFonts w:asciiTheme="minorHAnsi" w:eastAsia="Times New Roman" w:hAnsiTheme="minorHAnsi" w:cs="Calibri"/>
          <w:sz w:val="24"/>
          <w:szCs w:val="24"/>
          <w:lang w:val="en-US" w:eastAsia="en-GB"/>
        </w:rPr>
        <w:t>g of th</w:t>
      </w:r>
      <w:r w:rsidR="00E8130C">
        <w:rPr>
          <w:rFonts w:asciiTheme="minorHAnsi" w:eastAsia="Times New Roman" w:hAnsiTheme="minorHAnsi" w:cs="Calibri"/>
          <w:sz w:val="24"/>
          <w:szCs w:val="24"/>
          <w:lang w:val="en-US" w:eastAsia="en-GB"/>
        </w:rPr>
        <w:t>e first part of th</w:t>
      </w:r>
      <w:r w:rsidR="00C11DE7" w:rsidRPr="00381DAC">
        <w:rPr>
          <w:rFonts w:asciiTheme="minorHAnsi" w:eastAsia="Times New Roman" w:hAnsiTheme="minorHAnsi" w:cs="Calibri"/>
          <w:sz w:val="24"/>
          <w:szCs w:val="24"/>
          <w:lang w:val="en-US" w:eastAsia="en-GB"/>
        </w:rPr>
        <w:t>is disposition firmly est</w:t>
      </w:r>
      <w:r w:rsidRPr="00381DAC">
        <w:rPr>
          <w:rFonts w:asciiTheme="minorHAnsi" w:eastAsia="Times New Roman" w:hAnsiTheme="minorHAnsi" w:cs="Calibri"/>
          <w:sz w:val="24"/>
          <w:szCs w:val="24"/>
          <w:lang w:val="en-US" w:eastAsia="en-GB"/>
        </w:rPr>
        <w:t xml:space="preserve">ablishes a right to withdraw and the exercise of this right is not dependent upon the verification of any </w:t>
      </w:r>
      <w:r w:rsidR="005172C7">
        <w:rPr>
          <w:rFonts w:asciiTheme="minorHAnsi" w:eastAsia="Times New Roman" w:hAnsiTheme="minorHAnsi" w:cs="Calibri"/>
          <w:sz w:val="24"/>
          <w:szCs w:val="24"/>
          <w:lang w:val="en-US" w:eastAsia="en-GB"/>
        </w:rPr>
        <w:t>“</w:t>
      </w:r>
      <w:r w:rsidRPr="00381DAC">
        <w:rPr>
          <w:rFonts w:asciiTheme="minorHAnsi" w:eastAsia="Times New Roman" w:hAnsiTheme="minorHAnsi" w:cs="Calibri"/>
          <w:sz w:val="24"/>
          <w:szCs w:val="24"/>
          <w:lang w:val="en-US" w:eastAsia="en-GB"/>
        </w:rPr>
        <w:t>substantive conditions</w:t>
      </w:r>
      <w:r w:rsidR="005172C7">
        <w:rPr>
          <w:rFonts w:asciiTheme="minorHAnsi" w:eastAsia="Times New Roman" w:hAnsiTheme="minorHAnsi" w:cs="Calibri"/>
          <w:sz w:val="24"/>
          <w:szCs w:val="24"/>
          <w:lang w:val="en-US" w:eastAsia="en-GB"/>
        </w:rPr>
        <w:t>”</w:t>
      </w:r>
      <w:r w:rsidRPr="00381DAC">
        <w:rPr>
          <w:rFonts w:asciiTheme="minorHAnsi" w:eastAsia="Times New Roman" w:hAnsiTheme="minorHAnsi" w:cs="Calibri"/>
          <w:sz w:val="24"/>
          <w:szCs w:val="24"/>
          <w:lang w:val="en-US" w:eastAsia="en-GB"/>
        </w:rPr>
        <w:t xml:space="preserve"> according to authors such as</w:t>
      </w:r>
      <w:r w:rsidR="0036100A" w:rsidRPr="00381DAC">
        <w:rPr>
          <w:rFonts w:asciiTheme="minorHAnsi" w:eastAsia="Times New Roman" w:hAnsiTheme="minorHAnsi" w:cs="Calibri"/>
          <w:sz w:val="24"/>
          <w:szCs w:val="24"/>
          <w:lang w:val="en-US" w:eastAsia="en-GB"/>
        </w:rPr>
        <w:t xml:space="preserve"> Hannes </w:t>
      </w:r>
      <w:proofErr w:type="spellStart"/>
      <w:r w:rsidR="0036100A" w:rsidRPr="00381DAC">
        <w:rPr>
          <w:rFonts w:asciiTheme="minorHAnsi" w:eastAsia="Times New Roman" w:hAnsiTheme="minorHAnsi" w:cs="Calibri"/>
          <w:sz w:val="24"/>
          <w:szCs w:val="24"/>
          <w:lang w:val="en-US" w:eastAsia="en-GB"/>
        </w:rPr>
        <w:t>Hofmeister</w:t>
      </w:r>
      <w:proofErr w:type="spellEnd"/>
      <w:r w:rsidR="0036100A" w:rsidRPr="00381DAC">
        <w:rPr>
          <w:rFonts w:asciiTheme="minorHAnsi" w:eastAsia="Times New Roman" w:hAnsiTheme="minorHAnsi" w:cs="Calibri"/>
          <w:sz w:val="24"/>
          <w:szCs w:val="24"/>
          <w:lang w:val="en-US" w:eastAsia="en-GB"/>
        </w:rPr>
        <w:t xml:space="preserve"> or </w:t>
      </w:r>
      <w:r w:rsidR="00E46FFC" w:rsidRPr="00381DAC">
        <w:rPr>
          <w:rFonts w:asciiTheme="minorHAnsi" w:eastAsia="Times New Roman" w:hAnsiTheme="minorHAnsi" w:cs="Calibri"/>
          <w:sz w:val="24"/>
          <w:szCs w:val="24"/>
          <w:lang w:val="en-US" w:eastAsia="en-GB"/>
        </w:rPr>
        <w:t xml:space="preserve">Eliza </w:t>
      </w:r>
      <w:proofErr w:type="spellStart"/>
      <w:r w:rsidR="0036100A" w:rsidRPr="00381DAC">
        <w:rPr>
          <w:rFonts w:asciiTheme="minorHAnsi" w:eastAsia="Times New Roman" w:hAnsiTheme="minorHAnsi" w:cs="Calibri"/>
          <w:sz w:val="24"/>
          <w:szCs w:val="24"/>
          <w:lang w:val="en-US" w:eastAsia="en-GB"/>
        </w:rPr>
        <w:t>Mal</w:t>
      </w:r>
      <w:r w:rsidR="00B03801">
        <w:rPr>
          <w:rFonts w:asciiTheme="minorHAnsi" w:eastAsia="Times New Roman" w:hAnsiTheme="minorHAnsi" w:cs="Calibri"/>
          <w:sz w:val="24"/>
          <w:szCs w:val="24"/>
          <w:lang w:val="en-US" w:eastAsia="en-GB"/>
        </w:rPr>
        <w:t>a</w:t>
      </w:r>
      <w:r w:rsidR="0036100A" w:rsidRPr="00381DAC">
        <w:rPr>
          <w:rFonts w:asciiTheme="minorHAnsi" w:eastAsia="Times New Roman" w:hAnsiTheme="minorHAnsi" w:cs="Calibri"/>
          <w:sz w:val="24"/>
          <w:szCs w:val="24"/>
          <w:lang w:val="en-US" w:eastAsia="en-GB"/>
        </w:rPr>
        <w:t>thouni</w:t>
      </w:r>
      <w:proofErr w:type="spellEnd"/>
      <w:r w:rsidR="00E46FFC" w:rsidRPr="00381DAC">
        <w:rPr>
          <w:rFonts w:asciiTheme="minorHAnsi" w:eastAsia="Times New Roman" w:hAnsiTheme="minorHAnsi" w:cs="Calibri"/>
          <w:sz w:val="24"/>
          <w:szCs w:val="24"/>
          <w:lang w:val="en-US" w:eastAsia="en-GB"/>
        </w:rPr>
        <w:t>.</w:t>
      </w:r>
      <w:r w:rsidR="001F179E">
        <w:rPr>
          <w:rStyle w:val="Refdenotaderodap"/>
          <w:rFonts w:asciiTheme="minorHAnsi" w:eastAsia="Times New Roman" w:hAnsiTheme="minorHAnsi" w:cs="Calibri"/>
          <w:sz w:val="24"/>
          <w:szCs w:val="24"/>
          <w:lang w:val="en-US" w:eastAsia="en-GB"/>
        </w:rPr>
        <w:footnoteReference w:id="5"/>
      </w:r>
      <w:r w:rsidR="00E46FFC" w:rsidRPr="00381DAC">
        <w:rPr>
          <w:rFonts w:asciiTheme="minorHAnsi" w:eastAsia="Times New Roman" w:hAnsiTheme="minorHAnsi" w:cs="Calibri"/>
          <w:sz w:val="24"/>
          <w:szCs w:val="24"/>
          <w:lang w:val="en-US" w:eastAsia="en-GB"/>
        </w:rPr>
        <w:t xml:space="preserve"> </w:t>
      </w:r>
      <w:r w:rsidR="0036100A" w:rsidRPr="00381DAC">
        <w:rPr>
          <w:rFonts w:asciiTheme="minorHAnsi" w:eastAsia="Times New Roman" w:hAnsiTheme="minorHAnsi" w:cs="Calibri"/>
          <w:sz w:val="24"/>
          <w:szCs w:val="24"/>
          <w:lang w:val="en-US" w:eastAsia="en-GB"/>
        </w:rPr>
        <w:t>In othe</w:t>
      </w:r>
      <w:r w:rsidR="00800A49">
        <w:rPr>
          <w:rFonts w:asciiTheme="minorHAnsi" w:eastAsia="Times New Roman" w:hAnsiTheme="minorHAnsi" w:cs="Calibri"/>
          <w:sz w:val="24"/>
          <w:szCs w:val="24"/>
          <w:lang w:val="en-US" w:eastAsia="en-GB"/>
        </w:rPr>
        <w:t xml:space="preserve">r words, a Member </w:t>
      </w:r>
      <w:r w:rsidR="00E46FFC" w:rsidRPr="00381DAC">
        <w:rPr>
          <w:rFonts w:asciiTheme="minorHAnsi" w:eastAsia="Times New Roman" w:hAnsiTheme="minorHAnsi" w:cs="Calibri"/>
          <w:sz w:val="24"/>
          <w:szCs w:val="24"/>
          <w:lang w:val="en-US" w:eastAsia="en-GB"/>
        </w:rPr>
        <w:t>State who chooses to exe</w:t>
      </w:r>
      <w:r w:rsidR="00800A49">
        <w:rPr>
          <w:rFonts w:asciiTheme="minorHAnsi" w:eastAsia="Times New Roman" w:hAnsiTheme="minorHAnsi" w:cs="Calibri"/>
          <w:sz w:val="24"/>
          <w:szCs w:val="24"/>
          <w:lang w:val="en-US" w:eastAsia="en-GB"/>
        </w:rPr>
        <w:t>rcise its right to exit</w:t>
      </w:r>
      <w:r w:rsidR="00E46FFC" w:rsidRPr="00381DAC">
        <w:rPr>
          <w:rFonts w:asciiTheme="minorHAnsi" w:eastAsia="Times New Roman" w:hAnsiTheme="minorHAnsi" w:cs="Calibri"/>
          <w:sz w:val="24"/>
          <w:szCs w:val="24"/>
          <w:lang w:val="en-US" w:eastAsia="en-GB"/>
        </w:rPr>
        <w:t xml:space="preserve"> the Union does not have to justify its action, not even invoke </w:t>
      </w:r>
      <w:r w:rsidR="0083200E" w:rsidRPr="00381DAC">
        <w:rPr>
          <w:rFonts w:asciiTheme="minorHAnsi" w:eastAsia="Times New Roman" w:hAnsiTheme="minorHAnsi" w:cs="Calibri"/>
          <w:sz w:val="24"/>
          <w:szCs w:val="24"/>
          <w:lang w:val="en-US" w:eastAsia="en-GB"/>
        </w:rPr>
        <w:t>the classical reasons for withdrawal or secession of a political subunit</w:t>
      </w:r>
      <w:r w:rsidR="00101C52" w:rsidRPr="00381DAC">
        <w:rPr>
          <w:rFonts w:asciiTheme="minorHAnsi" w:eastAsia="Times New Roman" w:hAnsiTheme="minorHAnsi" w:cs="Calibri"/>
          <w:sz w:val="24"/>
          <w:szCs w:val="24"/>
          <w:lang w:val="en-US" w:eastAsia="en-GB"/>
        </w:rPr>
        <w:t xml:space="preserve"> as underlined by Cass </w:t>
      </w:r>
      <w:proofErr w:type="spellStart"/>
      <w:r w:rsidR="00101C52" w:rsidRPr="00381DAC">
        <w:rPr>
          <w:rFonts w:asciiTheme="minorHAnsi" w:eastAsia="Times New Roman" w:hAnsiTheme="minorHAnsi" w:cs="Calibri"/>
          <w:sz w:val="24"/>
          <w:szCs w:val="24"/>
          <w:lang w:val="en-US" w:eastAsia="en-GB"/>
        </w:rPr>
        <w:t>Sunstein</w:t>
      </w:r>
      <w:proofErr w:type="spellEnd"/>
      <w:r w:rsidR="00E46FFC" w:rsidRPr="00381DAC">
        <w:rPr>
          <w:rFonts w:asciiTheme="minorHAnsi" w:eastAsia="Times New Roman" w:hAnsiTheme="minorHAnsi" w:cs="Calibri"/>
          <w:sz w:val="24"/>
          <w:szCs w:val="24"/>
          <w:lang w:val="en-US" w:eastAsia="en-GB"/>
        </w:rPr>
        <w:t xml:space="preserve">: limitation of civil and political rights; economic </w:t>
      </w:r>
      <w:r w:rsidR="000C0050">
        <w:rPr>
          <w:rFonts w:asciiTheme="minorHAnsi" w:eastAsia="Times New Roman" w:hAnsiTheme="minorHAnsi" w:cs="Calibri"/>
          <w:sz w:val="24"/>
          <w:szCs w:val="24"/>
          <w:lang w:val="en-US" w:eastAsia="en-GB"/>
        </w:rPr>
        <w:t>self-interest</w:t>
      </w:r>
      <w:r w:rsidR="00E46FFC" w:rsidRPr="00381DAC">
        <w:rPr>
          <w:rFonts w:asciiTheme="minorHAnsi" w:eastAsia="Times New Roman" w:hAnsiTheme="minorHAnsi" w:cs="Calibri"/>
          <w:sz w:val="24"/>
          <w:szCs w:val="24"/>
          <w:lang w:val="en-US" w:eastAsia="en-GB"/>
        </w:rPr>
        <w:t xml:space="preserve">; </w:t>
      </w:r>
      <w:r w:rsidR="000C0050">
        <w:rPr>
          <w:rFonts w:asciiTheme="minorHAnsi" w:eastAsia="Times New Roman" w:hAnsiTheme="minorHAnsi" w:cs="Calibri"/>
          <w:sz w:val="24"/>
          <w:szCs w:val="24"/>
          <w:lang w:val="en-US" w:eastAsia="en-GB"/>
        </w:rPr>
        <w:t>economic exploita</w:t>
      </w:r>
      <w:r w:rsidR="00E46FFC" w:rsidRPr="00381DAC">
        <w:rPr>
          <w:rFonts w:asciiTheme="minorHAnsi" w:eastAsia="Times New Roman" w:hAnsiTheme="minorHAnsi" w:cs="Calibri"/>
          <w:sz w:val="24"/>
          <w:szCs w:val="24"/>
          <w:lang w:val="en-US" w:eastAsia="en-GB"/>
        </w:rPr>
        <w:t>tion; history and territory (i.e</w:t>
      </w:r>
      <w:r w:rsidR="00F40272">
        <w:rPr>
          <w:rFonts w:asciiTheme="minorHAnsi" w:eastAsia="Times New Roman" w:hAnsiTheme="minorHAnsi" w:cs="Calibri"/>
          <w:sz w:val="24"/>
          <w:szCs w:val="24"/>
          <w:lang w:val="en-US" w:eastAsia="en-GB"/>
        </w:rPr>
        <w:t>.</w:t>
      </w:r>
      <w:r w:rsidR="00E46FFC" w:rsidRPr="00381DAC">
        <w:rPr>
          <w:rFonts w:asciiTheme="minorHAnsi" w:eastAsia="Times New Roman" w:hAnsiTheme="minorHAnsi" w:cs="Calibri"/>
          <w:sz w:val="24"/>
          <w:szCs w:val="24"/>
          <w:lang w:val="en-US" w:eastAsia="en-GB"/>
        </w:rPr>
        <w:t>, questions connected to the original a</w:t>
      </w:r>
      <w:r w:rsidR="0027687D">
        <w:rPr>
          <w:rFonts w:asciiTheme="minorHAnsi" w:eastAsia="Times New Roman" w:hAnsiTheme="minorHAnsi" w:cs="Calibri"/>
          <w:sz w:val="24"/>
          <w:szCs w:val="24"/>
          <w:lang w:val="en-US" w:eastAsia="en-GB"/>
        </w:rPr>
        <w:t>c</w:t>
      </w:r>
      <w:r w:rsidR="00F40272">
        <w:rPr>
          <w:rFonts w:asciiTheme="minorHAnsi" w:eastAsia="Times New Roman" w:hAnsiTheme="minorHAnsi" w:cs="Calibri"/>
          <w:sz w:val="24"/>
          <w:szCs w:val="24"/>
          <w:lang w:val="en-US" w:eastAsia="en-GB"/>
        </w:rPr>
        <w:t>quisition); as well as cultural integrity and</w:t>
      </w:r>
      <w:r w:rsidR="00E46FFC" w:rsidRPr="00381DAC">
        <w:rPr>
          <w:rFonts w:asciiTheme="minorHAnsi" w:eastAsia="Times New Roman" w:hAnsiTheme="minorHAnsi" w:cs="Calibri"/>
          <w:sz w:val="24"/>
          <w:szCs w:val="24"/>
          <w:lang w:val="en-US" w:eastAsia="en-GB"/>
        </w:rPr>
        <w:t xml:space="preserve"> self-det</w:t>
      </w:r>
      <w:r w:rsidR="00D96D57">
        <w:rPr>
          <w:rFonts w:asciiTheme="minorHAnsi" w:eastAsia="Times New Roman" w:hAnsiTheme="minorHAnsi" w:cs="Calibri"/>
          <w:sz w:val="24"/>
          <w:szCs w:val="24"/>
          <w:lang w:val="en-US" w:eastAsia="en-GB"/>
        </w:rPr>
        <w:t>ermination</w:t>
      </w:r>
      <w:r w:rsidR="00E46FFC" w:rsidRPr="00381DAC">
        <w:rPr>
          <w:rFonts w:asciiTheme="minorHAnsi" w:eastAsia="Times New Roman" w:hAnsiTheme="minorHAnsi" w:cs="Calibri"/>
          <w:sz w:val="24"/>
          <w:szCs w:val="24"/>
          <w:lang w:val="en-US" w:eastAsia="en-GB"/>
        </w:rPr>
        <w:t>.</w:t>
      </w:r>
      <w:r w:rsidR="00D96D57">
        <w:rPr>
          <w:rStyle w:val="Refdenotaderodap"/>
          <w:rFonts w:asciiTheme="minorHAnsi" w:eastAsia="Times New Roman" w:hAnsiTheme="minorHAnsi" w:cs="Calibri"/>
          <w:sz w:val="24"/>
          <w:szCs w:val="24"/>
          <w:lang w:val="en-US" w:eastAsia="en-GB"/>
        </w:rPr>
        <w:footnoteReference w:id="6"/>
      </w:r>
      <w:r w:rsidR="00E46FFC" w:rsidRPr="00381DAC">
        <w:rPr>
          <w:rFonts w:asciiTheme="minorHAnsi" w:eastAsia="Times New Roman" w:hAnsiTheme="minorHAnsi" w:cs="Calibri"/>
          <w:sz w:val="24"/>
          <w:szCs w:val="24"/>
          <w:lang w:val="en-US" w:eastAsia="en-GB"/>
        </w:rPr>
        <w:t xml:space="preserve"> </w:t>
      </w:r>
    </w:p>
    <w:p w:rsidR="00E50832" w:rsidRDefault="00C11DE7" w:rsidP="009B778A">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The inclusion or abse</w:t>
      </w:r>
      <w:r w:rsidR="00BB7EDC" w:rsidRPr="00381DAC">
        <w:rPr>
          <w:rFonts w:asciiTheme="minorHAnsi" w:eastAsia="Times New Roman" w:hAnsiTheme="minorHAnsi" w:cs="Calibri"/>
          <w:sz w:val="24"/>
          <w:szCs w:val="24"/>
          <w:lang w:val="en-US" w:eastAsia="en-GB"/>
        </w:rPr>
        <w:t>nce of any condition</w:t>
      </w:r>
      <w:r w:rsidR="005172C7">
        <w:rPr>
          <w:rFonts w:asciiTheme="minorHAnsi" w:eastAsia="Times New Roman" w:hAnsiTheme="minorHAnsi" w:cs="Calibri"/>
          <w:sz w:val="24"/>
          <w:szCs w:val="24"/>
          <w:lang w:val="en-US" w:eastAsia="en-GB"/>
        </w:rPr>
        <w:t>s</w:t>
      </w:r>
      <w:r w:rsidR="00BB7EDC" w:rsidRPr="00381DAC">
        <w:rPr>
          <w:rFonts w:asciiTheme="minorHAnsi" w:eastAsia="Times New Roman" w:hAnsiTheme="minorHAnsi" w:cs="Calibri"/>
          <w:sz w:val="24"/>
          <w:szCs w:val="24"/>
          <w:lang w:val="en-US" w:eastAsia="en-GB"/>
        </w:rPr>
        <w:t xml:space="preserve"> connected to the exercise of the right in question is relevant from a federal perspectiv</w:t>
      </w:r>
      <w:r w:rsidR="00CF6FB6" w:rsidRPr="00381DAC">
        <w:rPr>
          <w:rFonts w:asciiTheme="minorHAnsi" w:eastAsia="Times New Roman" w:hAnsiTheme="minorHAnsi" w:cs="Calibri"/>
          <w:sz w:val="24"/>
          <w:szCs w:val="24"/>
          <w:lang w:val="en-US" w:eastAsia="en-GB"/>
        </w:rPr>
        <w:t>e due to the fact that two of it</w:t>
      </w:r>
      <w:r w:rsidR="00BB7EDC" w:rsidRPr="00381DAC">
        <w:rPr>
          <w:rFonts w:asciiTheme="minorHAnsi" w:eastAsia="Times New Roman" w:hAnsiTheme="minorHAnsi" w:cs="Calibri"/>
          <w:sz w:val="24"/>
          <w:szCs w:val="24"/>
          <w:lang w:val="en-US" w:eastAsia="en-GB"/>
        </w:rPr>
        <w:t>s forms treat withdr</w:t>
      </w:r>
      <w:r w:rsidRPr="00381DAC">
        <w:rPr>
          <w:rFonts w:asciiTheme="minorHAnsi" w:eastAsia="Times New Roman" w:hAnsiTheme="minorHAnsi" w:cs="Calibri"/>
          <w:sz w:val="24"/>
          <w:szCs w:val="24"/>
          <w:lang w:val="en-US" w:eastAsia="en-GB"/>
        </w:rPr>
        <w:t>a</w:t>
      </w:r>
      <w:r w:rsidR="00BB7EDC" w:rsidRPr="00381DAC">
        <w:rPr>
          <w:rFonts w:asciiTheme="minorHAnsi" w:eastAsia="Times New Roman" w:hAnsiTheme="minorHAnsi" w:cs="Calibri"/>
          <w:sz w:val="24"/>
          <w:szCs w:val="24"/>
          <w:lang w:val="en-US" w:eastAsia="en-GB"/>
        </w:rPr>
        <w:t xml:space="preserve">wal/secession in different manners. According to Daniel Elazar and Ronald Watts a confederation and a federation are </w:t>
      </w:r>
      <w:r w:rsidR="0083200E" w:rsidRPr="00381DAC">
        <w:rPr>
          <w:rFonts w:asciiTheme="minorHAnsi" w:eastAsia="Times New Roman" w:hAnsiTheme="minorHAnsi" w:cs="Calibri"/>
          <w:sz w:val="24"/>
          <w:szCs w:val="24"/>
          <w:lang w:val="en-US" w:eastAsia="en-GB"/>
        </w:rPr>
        <w:t xml:space="preserve">two </w:t>
      </w:r>
      <w:r w:rsidR="00101C52" w:rsidRPr="00381DAC">
        <w:rPr>
          <w:rFonts w:asciiTheme="minorHAnsi" w:eastAsia="Times New Roman" w:hAnsiTheme="minorHAnsi" w:cs="Calibri"/>
          <w:sz w:val="24"/>
          <w:szCs w:val="24"/>
          <w:lang w:val="en-US" w:eastAsia="en-GB"/>
        </w:rPr>
        <w:t xml:space="preserve">different </w:t>
      </w:r>
      <w:r w:rsidR="00BB7EDC" w:rsidRPr="00381DAC">
        <w:rPr>
          <w:rFonts w:asciiTheme="minorHAnsi" w:eastAsia="Times New Roman" w:hAnsiTheme="minorHAnsi" w:cs="Calibri"/>
          <w:sz w:val="24"/>
          <w:szCs w:val="24"/>
          <w:lang w:val="en-US" w:eastAsia="en-GB"/>
        </w:rPr>
        <w:t>forms of federalism.</w:t>
      </w:r>
      <w:r w:rsidR="00470174">
        <w:rPr>
          <w:rStyle w:val="Refdenotaderodap"/>
          <w:rFonts w:asciiTheme="minorHAnsi" w:eastAsia="Times New Roman" w:hAnsiTheme="minorHAnsi" w:cs="Calibri"/>
          <w:sz w:val="24"/>
          <w:szCs w:val="24"/>
          <w:lang w:val="en-US" w:eastAsia="en-GB"/>
        </w:rPr>
        <w:footnoteReference w:id="7"/>
      </w:r>
      <w:r w:rsidR="00BB7EDC" w:rsidRPr="00381DAC">
        <w:rPr>
          <w:rFonts w:asciiTheme="minorHAnsi" w:eastAsia="Times New Roman" w:hAnsiTheme="minorHAnsi" w:cs="Calibri"/>
          <w:sz w:val="24"/>
          <w:szCs w:val="24"/>
          <w:lang w:val="en-US" w:eastAsia="en-GB"/>
        </w:rPr>
        <w:t xml:space="preserve"> </w:t>
      </w:r>
      <w:r w:rsidR="0083200E" w:rsidRPr="00381DAC">
        <w:rPr>
          <w:rFonts w:asciiTheme="minorHAnsi" w:eastAsia="Times New Roman" w:hAnsiTheme="minorHAnsi" w:cs="Calibri"/>
          <w:sz w:val="24"/>
          <w:szCs w:val="24"/>
          <w:lang w:val="en-US" w:eastAsia="en-GB"/>
        </w:rPr>
        <w:t xml:space="preserve">On the one hand, </w:t>
      </w:r>
      <w:r w:rsidR="00BB7EDC" w:rsidRPr="00381DAC">
        <w:rPr>
          <w:rFonts w:asciiTheme="minorHAnsi" w:eastAsia="Times New Roman" w:hAnsiTheme="minorHAnsi" w:cs="Calibri"/>
          <w:sz w:val="24"/>
          <w:szCs w:val="24"/>
          <w:lang w:val="en-US" w:eastAsia="en-GB"/>
        </w:rPr>
        <w:t>a confederation</w:t>
      </w:r>
      <w:r w:rsidR="0083200E" w:rsidRPr="00381DAC">
        <w:rPr>
          <w:rFonts w:asciiTheme="minorHAnsi" w:eastAsia="Times New Roman" w:hAnsiTheme="minorHAnsi" w:cs="Calibri"/>
          <w:sz w:val="24"/>
          <w:szCs w:val="24"/>
          <w:lang w:val="en-US" w:eastAsia="en-GB"/>
        </w:rPr>
        <w:t xml:space="preserve"> (i.e., a union of states) is compatible with secession due to the fact that withdrawal is an expression of state sovereignty.</w:t>
      </w:r>
      <w:r w:rsidR="00BB7EDC" w:rsidRPr="00381DAC">
        <w:rPr>
          <w:rFonts w:asciiTheme="minorHAnsi" w:eastAsia="Times New Roman" w:hAnsiTheme="minorHAnsi" w:cs="Calibri"/>
          <w:sz w:val="24"/>
          <w:szCs w:val="24"/>
          <w:lang w:val="en-US" w:eastAsia="en-GB"/>
        </w:rPr>
        <w:t xml:space="preserve"> </w:t>
      </w:r>
      <w:r w:rsidR="00251110">
        <w:rPr>
          <w:rFonts w:asciiTheme="minorHAnsi" w:eastAsia="Times New Roman" w:hAnsiTheme="minorHAnsi" w:cs="Calibri"/>
          <w:sz w:val="24"/>
          <w:szCs w:val="24"/>
          <w:lang w:val="en-US" w:eastAsia="en-GB"/>
        </w:rPr>
        <w:t xml:space="preserve">This idea is </w:t>
      </w:r>
      <w:r w:rsidR="00757F73">
        <w:rPr>
          <w:rFonts w:asciiTheme="minorHAnsi" w:eastAsia="Times New Roman" w:hAnsiTheme="minorHAnsi" w:cs="Calibri"/>
          <w:sz w:val="24"/>
          <w:szCs w:val="24"/>
          <w:lang w:val="en-US" w:eastAsia="en-GB"/>
        </w:rPr>
        <w:t>underline</w:t>
      </w:r>
      <w:r w:rsidR="00405D63">
        <w:rPr>
          <w:rFonts w:asciiTheme="minorHAnsi" w:eastAsia="Times New Roman" w:hAnsiTheme="minorHAnsi" w:cs="Calibri"/>
          <w:sz w:val="24"/>
          <w:szCs w:val="24"/>
          <w:lang w:val="en-US" w:eastAsia="en-GB"/>
        </w:rPr>
        <w:t>d by Frederick Lister who sustains</w:t>
      </w:r>
      <w:r w:rsidR="00757F73">
        <w:rPr>
          <w:rFonts w:asciiTheme="minorHAnsi" w:eastAsia="Times New Roman" w:hAnsiTheme="minorHAnsi" w:cs="Calibri"/>
          <w:sz w:val="24"/>
          <w:szCs w:val="24"/>
          <w:lang w:val="en-US" w:eastAsia="en-GB"/>
        </w:rPr>
        <w:t xml:space="preserve"> that confederations are unions of sovereign states who </w:t>
      </w:r>
      <w:r w:rsidR="00757F73">
        <w:rPr>
          <w:rFonts w:asciiTheme="minorHAnsi" w:eastAsia="Times New Roman" w:hAnsiTheme="minorHAnsi" w:cs="Calibri"/>
          <w:sz w:val="24"/>
          <w:szCs w:val="24"/>
          <w:lang w:val="en-US" w:eastAsia="en-GB"/>
        </w:rPr>
        <w:lastRenderedPageBreak/>
        <w:t>preserve their inherent right to denounce the confederal pact/constitution and secede f</w:t>
      </w:r>
      <w:r w:rsidR="00D96D57">
        <w:rPr>
          <w:rFonts w:asciiTheme="minorHAnsi" w:eastAsia="Times New Roman" w:hAnsiTheme="minorHAnsi" w:cs="Calibri"/>
          <w:sz w:val="24"/>
          <w:szCs w:val="24"/>
          <w:lang w:val="en-US" w:eastAsia="en-GB"/>
        </w:rPr>
        <w:t>rom the union</w:t>
      </w:r>
      <w:r w:rsidR="00757F73">
        <w:rPr>
          <w:rFonts w:asciiTheme="minorHAnsi" w:eastAsia="Times New Roman" w:hAnsiTheme="minorHAnsi" w:cs="Calibri"/>
          <w:sz w:val="24"/>
          <w:szCs w:val="24"/>
          <w:lang w:val="en-US" w:eastAsia="en-GB"/>
        </w:rPr>
        <w:t>.</w:t>
      </w:r>
      <w:r w:rsidR="00D96D57">
        <w:rPr>
          <w:rStyle w:val="Refdenotaderodap"/>
          <w:rFonts w:asciiTheme="minorHAnsi" w:eastAsia="Times New Roman" w:hAnsiTheme="minorHAnsi" w:cs="Calibri"/>
          <w:sz w:val="24"/>
          <w:szCs w:val="24"/>
          <w:lang w:val="en-US" w:eastAsia="en-GB"/>
        </w:rPr>
        <w:footnoteReference w:id="8"/>
      </w:r>
      <w:r w:rsidR="00757F73">
        <w:rPr>
          <w:rFonts w:asciiTheme="minorHAnsi" w:eastAsia="Times New Roman" w:hAnsiTheme="minorHAnsi" w:cs="Calibri"/>
          <w:sz w:val="24"/>
          <w:szCs w:val="24"/>
          <w:lang w:val="en-US" w:eastAsia="en-GB"/>
        </w:rPr>
        <w:t xml:space="preserve"> </w:t>
      </w:r>
    </w:p>
    <w:p w:rsidR="00BB7EDC" w:rsidRDefault="00BB7EDC" w:rsidP="009B778A">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 xml:space="preserve">On the other hand, federations do not recognize a </w:t>
      </w:r>
      <w:r w:rsidR="009B778A" w:rsidRPr="00381DAC">
        <w:rPr>
          <w:rFonts w:asciiTheme="minorHAnsi" w:eastAsia="Times New Roman" w:hAnsiTheme="minorHAnsi" w:cs="Calibri"/>
          <w:sz w:val="24"/>
          <w:szCs w:val="24"/>
          <w:lang w:val="en-US" w:eastAsia="en-GB"/>
        </w:rPr>
        <w:t xml:space="preserve">unilateral </w:t>
      </w:r>
      <w:r w:rsidRPr="00381DAC">
        <w:rPr>
          <w:rFonts w:asciiTheme="minorHAnsi" w:eastAsia="Times New Roman" w:hAnsiTheme="minorHAnsi" w:cs="Calibri"/>
          <w:sz w:val="24"/>
          <w:szCs w:val="24"/>
          <w:lang w:val="en-US" w:eastAsia="en-GB"/>
        </w:rPr>
        <w:t xml:space="preserve">right to withdraw from the </w:t>
      </w:r>
      <w:r w:rsidR="009B778A" w:rsidRPr="00381DAC">
        <w:rPr>
          <w:rFonts w:asciiTheme="minorHAnsi" w:eastAsia="Times New Roman" w:hAnsiTheme="minorHAnsi" w:cs="Calibri"/>
          <w:sz w:val="24"/>
          <w:szCs w:val="24"/>
          <w:lang w:val="en-US" w:eastAsia="en-GB"/>
        </w:rPr>
        <w:t xml:space="preserve">federal </w:t>
      </w:r>
      <w:r w:rsidRPr="00381DAC">
        <w:rPr>
          <w:rFonts w:asciiTheme="minorHAnsi" w:eastAsia="Times New Roman" w:hAnsiTheme="minorHAnsi" w:cs="Calibri"/>
          <w:sz w:val="24"/>
          <w:szCs w:val="24"/>
          <w:lang w:val="en-US" w:eastAsia="en-GB"/>
        </w:rPr>
        <w:t>union</w:t>
      </w:r>
      <w:r w:rsidR="0083200E" w:rsidRPr="00381DAC">
        <w:rPr>
          <w:rFonts w:asciiTheme="minorHAnsi" w:eastAsia="Times New Roman" w:hAnsiTheme="minorHAnsi" w:cs="Calibri"/>
          <w:sz w:val="24"/>
          <w:szCs w:val="24"/>
          <w:lang w:val="en-US" w:eastAsia="en-GB"/>
        </w:rPr>
        <w:t>. According to Watts federations</w:t>
      </w:r>
      <w:r w:rsidR="00C60E74">
        <w:rPr>
          <w:rFonts w:asciiTheme="minorHAnsi" w:eastAsia="Times New Roman" w:hAnsiTheme="minorHAnsi" w:cs="Calibri"/>
          <w:sz w:val="24"/>
          <w:szCs w:val="24"/>
          <w:lang w:val="en-US" w:eastAsia="en-GB"/>
        </w:rPr>
        <w:t xml:space="preserve"> do not permit </w:t>
      </w:r>
      <w:r w:rsidR="00E50832">
        <w:rPr>
          <w:rFonts w:asciiTheme="minorHAnsi" w:eastAsia="Times New Roman" w:hAnsiTheme="minorHAnsi" w:cs="Calibri"/>
          <w:sz w:val="24"/>
          <w:szCs w:val="24"/>
          <w:lang w:val="en-US" w:eastAsia="en-GB"/>
        </w:rPr>
        <w:t xml:space="preserve">the unilateral </w:t>
      </w:r>
      <w:r w:rsidR="00C60E74">
        <w:rPr>
          <w:rFonts w:asciiTheme="minorHAnsi" w:eastAsia="Times New Roman" w:hAnsiTheme="minorHAnsi" w:cs="Calibri"/>
          <w:sz w:val="24"/>
          <w:szCs w:val="24"/>
          <w:lang w:val="en-US" w:eastAsia="en-GB"/>
        </w:rPr>
        <w:t xml:space="preserve">secession of their </w:t>
      </w:r>
      <w:r w:rsidR="0083200E" w:rsidRPr="00381DAC">
        <w:rPr>
          <w:rFonts w:asciiTheme="minorHAnsi" w:eastAsia="Times New Roman" w:hAnsiTheme="minorHAnsi" w:cs="Calibri"/>
          <w:sz w:val="24"/>
          <w:szCs w:val="24"/>
          <w:lang w:val="en-US" w:eastAsia="en-GB"/>
        </w:rPr>
        <w:t xml:space="preserve">political subunits </w:t>
      </w:r>
      <w:r w:rsidR="00E50832">
        <w:rPr>
          <w:rFonts w:asciiTheme="minorHAnsi" w:eastAsia="Times New Roman" w:hAnsiTheme="minorHAnsi" w:cs="Calibri"/>
          <w:sz w:val="24"/>
          <w:szCs w:val="24"/>
          <w:lang w:val="en-US" w:eastAsia="en-GB"/>
        </w:rPr>
        <w:t xml:space="preserve">in their constitutions </w:t>
      </w:r>
      <w:r w:rsidR="0083200E" w:rsidRPr="00381DAC">
        <w:rPr>
          <w:rFonts w:asciiTheme="minorHAnsi" w:eastAsia="Times New Roman" w:hAnsiTheme="minorHAnsi" w:cs="Calibri"/>
          <w:sz w:val="24"/>
          <w:szCs w:val="24"/>
          <w:lang w:val="en-US" w:eastAsia="en-GB"/>
        </w:rPr>
        <w:t>for three reasons</w:t>
      </w:r>
      <w:r w:rsidR="00E50832">
        <w:rPr>
          <w:rFonts w:asciiTheme="minorHAnsi" w:eastAsia="Times New Roman" w:hAnsiTheme="minorHAnsi" w:cs="Calibri"/>
          <w:sz w:val="24"/>
          <w:szCs w:val="24"/>
          <w:lang w:val="en-US" w:eastAsia="en-GB"/>
        </w:rPr>
        <w:t xml:space="preserve">. Firstly, federations do not recognize a unilateral right to secession because it could be used by one of the subunits in a coercive manner (i.e., </w:t>
      </w:r>
      <w:r w:rsidR="00C60E74">
        <w:rPr>
          <w:rFonts w:asciiTheme="minorHAnsi" w:eastAsia="Times New Roman" w:hAnsiTheme="minorHAnsi" w:cs="Calibri"/>
          <w:sz w:val="24"/>
          <w:szCs w:val="24"/>
          <w:lang w:val="en-US" w:eastAsia="en-GB"/>
        </w:rPr>
        <w:t>political blackmail</w:t>
      </w:r>
      <w:r w:rsidR="00E50832">
        <w:rPr>
          <w:rFonts w:asciiTheme="minorHAnsi" w:eastAsia="Times New Roman" w:hAnsiTheme="minorHAnsi" w:cs="Calibri"/>
          <w:sz w:val="24"/>
          <w:szCs w:val="24"/>
          <w:lang w:val="en-US" w:eastAsia="en-GB"/>
        </w:rPr>
        <w:t xml:space="preserve">) that would weaken the whole system. Secondly, it would create a certain level of anxiety and uncertainty that would </w:t>
      </w:r>
      <w:r w:rsidR="00C60E74">
        <w:rPr>
          <w:rFonts w:asciiTheme="minorHAnsi" w:eastAsia="Times New Roman" w:hAnsiTheme="minorHAnsi" w:cs="Calibri"/>
          <w:sz w:val="24"/>
          <w:szCs w:val="24"/>
          <w:lang w:val="en-US" w:eastAsia="en-GB"/>
        </w:rPr>
        <w:t xml:space="preserve">hinder </w:t>
      </w:r>
      <w:r w:rsidR="00E50832">
        <w:rPr>
          <w:rFonts w:asciiTheme="minorHAnsi" w:eastAsia="Times New Roman" w:hAnsiTheme="minorHAnsi" w:cs="Calibri"/>
          <w:sz w:val="24"/>
          <w:szCs w:val="24"/>
          <w:lang w:val="en-US" w:eastAsia="en-GB"/>
        </w:rPr>
        <w:t xml:space="preserve">federal economic development. Thirdly, political theorists argue that the introduction of this type of clause would </w:t>
      </w:r>
      <w:r w:rsidR="00C60E74">
        <w:rPr>
          <w:rFonts w:asciiTheme="minorHAnsi" w:eastAsia="Times New Roman" w:hAnsiTheme="minorHAnsi" w:cs="Calibri"/>
          <w:sz w:val="24"/>
          <w:szCs w:val="24"/>
          <w:lang w:val="en-US" w:eastAsia="en-GB"/>
        </w:rPr>
        <w:t xml:space="preserve">undermine the principle of </w:t>
      </w:r>
      <w:proofErr w:type="spellStart"/>
      <w:r w:rsidR="00C60E74">
        <w:rPr>
          <w:rFonts w:asciiTheme="minorHAnsi" w:eastAsia="Times New Roman" w:hAnsiTheme="minorHAnsi" w:cs="Calibri"/>
          <w:sz w:val="24"/>
          <w:szCs w:val="24"/>
          <w:lang w:val="en-US" w:eastAsia="en-GB"/>
        </w:rPr>
        <w:t>coordinacy</w:t>
      </w:r>
      <w:proofErr w:type="spellEnd"/>
      <w:r w:rsidR="00C60E74">
        <w:rPr>
          <w:rFonts w:asciiTheme="minorHAnsi" w:eastAsia="Times New Roman" w:hAnsiTheme="minorHAnsi" w:cs="Calibri"/>
          <w:sz w:val="24"/>
          <w:szCs w:val="24"/>
          <w:lang w:val="en-US" w:eastAsia="en-GB"/>
        </w:rPr>
        <w:t xml:space="preserve"> between levels of government i</w:t>
      </w:r>
      <w:r w:rsidR="00997BBD">
        <w:rPr>
          <w:rFonts w:asciiTheme="minorHAnsi" w:eastAsia="Times New Roman" w:hAnsiTheme="minorHAnsi" w:cs="Calibri"/>
          <w:sz w:val="24"/>
          <w:szCs w:val="24"/>
          <w:lang w:val="en-US" w:eastAsia="en-GB"/>
        </w:rPr>
        <w:t>n a federation</w:t>
      </w:r>
      <w:r w:rsidR="0083200E" w:rsidRPr="00381DAC">
        <w:rPr>
          <w:rFonts w:asciiTheme="minorHAnsi" w:eastAsia="Times New Roman" w:hAnsiTheme="minorHAnsi" w:cs="Calibri"/>
          <w:sz w:val="24"/>
          <w:szCs w:val="24"/>
          <w:lang w:val="en-US" w:eastAsia="en-GB"/>
        </w:rPr>
        <w:t>.</w:t>
      </w:r>
      <w:r w:rsidR="00D96D57">
        <w:rPr>
          <w:rStyle w:val="Refdenotaderodap"/>
          <w:rFonts w:asciiTheme="minorHAnsi" w:eastAsia="Times New Roman" w:hAnsiTheme="minorHAnsi" w:cs="Calibri"/>
          <w:sz w:val="24"/>
          <w:szCs w:val="24"/>
          <w:lang w:val="en-US" w:eastAsia="en-GB"/>
        </w:rPr>
        <w:footnoteReference w:id="9"/>
      </w:r>
    </w:p>
    <w:p w:rsidR="00E50832" w:rsidRDefault="00E50832" w:rsidP="009B778A">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 xml:space="preserve">However, these reasons have not prevented the introduction of a conditional or controlled secession </w:t>
      </w:r>
      <w:r w:rsidR="00704F28">
        <w:rPr>
          <w:rFonts w:asciiTheme="minorHAnsi" w:eastAsia="Times New Roman" w:hAnsiTheme="minorHAnsi" w:cs="Calibri"/>
          <w:sz w:val="24"/>
          <w:szCs w:val="24"/>
          <w:lang w:val="en-US" w:eastAsia="en-GB"/>
        </w:rPr>
        <w:t>clause in the constitutio</w:t>
      </w:r>
      <w:r w:rsidR="005D356F">
        <w:rPr>
          <w:rFonts w:asciiTheme="minorHAnsi" w:eastAsia="Times New Roman" w:hAnsiTheme="minorHAnsi" w:cs="Calibri"/>
          <w:sz w:val="24"/>
          <w:szCs w:val="24"/>
          <w:lang w:val="en-US" w:eastAsia="en-GB"/>
        </w:rPr>
        <w:t>n</w:t>
      </w:r>
      <w:r>
        <w:rPr>
          <w:rFonts w:asciiTheme="minorHAnsi" w:eastAsia="Times New Roman" w:hAnsiTheme="minorHAnsi" w:cs="Calibri"/>
          <w:sz w:val="24"/>
          <w:szCs w:val="24"/>
          <w:lang w:val="en-US" w:eastAsia="en-GB"/>
        </w:rPr>
        <w:t xml:space="preserve"> o</w:t>
      </w:r>
      <w:r w:rsidR="007E2C3E">
        <w:rPr>
          <w:rFonts w:asciiTheme="minorHAnsi" w:eastAsia="Times New Roman" w:hAnsiTheme="minorHAnsi" w:cs="Calibri"/>
          <w:sz w:val="24"/>
          <w:szCs w:val="24"/>
          <w:lang w:val="en-US" w:eastAsia="en-GB"/>
        </w:rPr>
        <w:t>f some federations such as Ethi</w:t>
      </w:r>
      <w:r>
        <w:rPr>
          <w:rFonts w:asciiTheme="minorHAnsi" w:eastAsia="Times New Roman" w:hAnsiTheme="minorHAnsi" w:cs="Calibri"/>
          <w:sz w:val="24"/>
          <w:szCs w:val="24"/>
          <w:lang w:val="en-US" w:eastAsia="en-GB"/>
        </w:rPr>
        <w:t>opia, St Kitts and Nevis, and Sudan or the recognition of this type of right through judicia</w:t>
      </w:r>
      <w:r w:rsidR="007E2C3E">
        <w:rPr>
          <w:rFonts w:asciiTheme="minorHAnsi" w:eastAsia="Times New Roman" w:hAnsiTheme="minorHAnsi" w:cs="Calibri"/>
          <w:sz w:val="24"/>
          <w:szCs w:val="24"/>
          <w:lang w:val="en-US" w:eastAsia="en-GB"/>
        </w:rPr>
        <w:t>l review in Canada. The Ethi</w:t>
      </w:r>
      <w:r w:rsidR="00DB36C3">
        <w:rPr>
          <w:rFonts w:asciiTheme="minorHAnsi" w:eastAsia="Times New Roman" w:hAnsiTheme="minorHAnsi" w:cs="Calibri"/>
          <w:sz w:val="24"/>
          <w:szCs w:val="24"/>
          <w:lang w:val="en-US" w:eastAsia="en-GB"/>
        </w:rPr>
        <w:t>opian C</w:t>
      </w:r>
      <w:r w:rsidR="00355049">
        <w:rPr>
          <w:rFonts w:asciiTheme="minorHAnsi" w:eastAsia="Times New Roman" w:hAnsiTheme="minorHAnsi" w:cs="Calibri"/>
          <w:sz w:val="24"/>
          <w:szCs w:val="24"/>
          <w:lang w:val="en-US" w:eastAsia="en-GB"/>
        </w:rPr>
        <w:t>onstitution consecrates</w:t>
      </w:r>
      <w:r>
        <w:rPr>
          <w:rFonts w:asciiTheme="minorHAnsi" w:eastAsia="Times New Roman" w:hAnsiTheme="minorHAnsi" w:cs="Calibri"/>
          <w:sz w:val="24"/>
          <w:szCs w:val="24"/>
          <w:lang w:val="en-US" w:eastAsia="en-GB"/>
        </w:rPr>
        <w:t xml:space="preserve"> the right to secede but regulates this possibility through a procedure that includes a two thirds majority vote in the council of the respective state and a majority vote in a referendum organized by the federal gove</w:t>
      </w:r>
      <w:r w:rsidR="007E2C3E">
        <w:rPr>
          <w:rFonts w:asciiTheme="minorHAnsi" w:eastAsia="Times New Roman" w:hAnsiTheme="minorHAnsi" w:cs="Calibri"/>
          <w:sz w:val="24"/>
          <w:szCs w:val="24"/>
          <w:lang w:val="en-US" w:eastAsia="en-GB"/>
        </w:rPr>
        <w:t xml:space="preserve">rnment. The </w:t>
      </w:r>
      <w:r>
        <w:rPr>
          <w:rFonts w:asciiTheme="minorHAnsi" w:eastAsia="Times New Roman" w:hAnsiTheme="minorHAnsi" w:cs="Calibri"/>
          <w:sz w:val="24"/>
          <w:szCs w:val="24"/>
          <w:lang w:val="en-US" w:eastAsia="en-GB"/>
        </w:rPr>
        <w:t xml:space="preserve">fundamental law </w:t>
      </w:r>
      <w:r w:rsidR="007E2C3E">
        <w:rPr>
          <w:rFonts w:asciiTheme="minorHAnsi" w:eastAsia="Times New Roman" w:hAnsiTheme="minorHAnsi" w:cs="Calibri"/>
          <w:sz w:val="24"/>
          <w:szCs w:val="24"/>
          <w:lang w:val="en-US" w:eastAsia="en-GB"/>
        </w:rPr>
        <w:t>of St. Kitts and Nevis permits Nevis to l</w:t>
      </w:r>
      <w:r>
        <w:rPr>
          <w:rFonts w:asciiTheme="minorHAnsi" w:eastAsia="Times New Roman" w:hAnsiTheme="minorHAnsi" w:cs="Calibri"/>
          <w:sz w:val="24"/>
          <w:szCs w:val="24"/>
          <w:lang w:val="en-US" w:eastAsia="en-GB"/>
        </w:rPr>
        <w:t xml:space="preserve">eave the federation if qualified majorities </w:t>
      </w:r>
      <w:r w:rsidR="007E2C3E">
        <w:rPr>
          <w:rFonts w:asciiTheme="minorHAnsi" w:eastAsia="Times New Roman" w:hAnsiTheme="minorHAnsi" w:cs="Calibri"/>
          <w:sz w:val="24"/>
          <w:szCs w:val="24"/>
          <w:lang w:val="en-US" w:eastAsia="en-GB"/>
        </w:rPr>
        <w:t>(i.e., two-</w:t>
      </w:r>
      <w:r>
        <w:rPr>
          <w:rFonts w:asciiTheme="minorHAnsi" w:eastAsia="Times New Roman" w:hAnsiTheme="minorHAnsi" w:cs="Calibri"/>
          <w:sz w:val="24"/>
          <w:szCs w:val="24"/>
          <w:lang w:val="en-US" w:eastAsia="en-GB"/>
        </w:rPr>
        <w:t>thirds) are reached in the legislative assembly of Nevis and in a referendum. In Sudan, the peace agreement</w:t>
      </w:r>
      <w:r w:rsidR="00355049">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 xml:space="preserve"> signed in 2</w:t>
      </w:r>
      <w:r w:rsidR="007E2C3E">
        <w:rPr>
          <w:rFonts w:asciiTheme="minorHAnsi" w:eastAsia="Times New Roman" w:hAnsiTheme="minorHAnsi" w:cs="Calibri"/>
          <w:sz w:val="24"/>
          <w:szCs w:val="24"/>
          <w:lang w:val="en-US" w:eastAsia="en-GB"/>
        </w:rPr>
        <w:t>0</w:t>
      </w:r>
      <w:r>
        <w:rPr>
          <w:rFonts w:asciiTheme="minorHAnsi" w:eastAsia="Times New Roman" w:hAnsiTheme="minorHAnsi" w:cs="Calibri"/>
          <w:sz w:val="24"/>
          <w:szCs w:val="24"/>
          <w:lang w:val="en-US" w:eastAsia="en-GB"/>
        </w:rPr>
        <w:t>05</w:t>
      </w:r>
      <w:r w:rsidR="00355049">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 xml:space="preserve"> provided for a referendum to be held on the indepen</w:t>
      </w:r>
      <w:r w:rsidR="007E2C3E">
        <w:rPr>
          <w:rFonts w:asciiTheme="minorHAnsi" w:eastAsia="Times New Roman" w:hAnsiTheme="minorHAnsi" w:cs="Calibri"/>
          <w:sz w:val="24"/>
          <w:szCs w:val="24"/>
          <w:lang w:val="en-US" w:eastAsia="en-GB"/>
        </w:rPr>
        <w:t>dence of South Sudan after a te</w:t>
      </w:r>
      <w:r>
        <w:rPr>
          <w:rFonts w:asciiTheme="minorHAnsi" w:eastAsia="Times New Roman" w:hAnsiTheme="minorHAnsi" w:cs="Calibri"/>
          <w:sz w:val="24"/>
          <w:szCs w:val="24"/>
          <w:lang w:val="en-US" w:eastAsia="en-GB"/>
        </w:rPr>
        <w:t>n ye</w:t>
      </w:r>
      <w:r w:rsidR="007E2C3E">
        <w:rPr>
          <w:rFonts w:asciiTheme="minorHAnsi" w:eastAsia="Times New Roman" w:hAnsiTheme="minorHAnsi" w:cs="Calibri"/>
          <w:sz w:val="24"/>
          <w:szCs w:val="24"/>
          <w:lang w:val="en-US" w:eastAsia="en-GB"/>
        </w:rPr>
        <w:t>a</w:t>
      </w:r>
      <w:r>
        <w:rPr>
          <w:rFonts w:asciiTheme="minorHAnsi" w:eastAsia="Times New Roman" w:hAnsiTheme="minorHAnsi" w:cs="Calibri"/>
          <w:sz w:val="24"/>
          <w:szCs w:val="24"/>
          <w:lang w:val="en-US" w:eastAsia="en-GB"/>
        </w:rPr>
        <w:t xml:space="preserve">r waiting period. Finally, </w:t>
      </w:r>
      <w:r w:rsidR="007E2C3E">
        <w:rPr>
          <w:rFonts w:asciiTheme="minorHAnsi" w:eastAsia="Times New Roman" w:hAnsiTheme="minorHAnsi" w:cs="Calibri"/>
          <w:sz w:val="24"/>
          <w:szCs w:val="24"/>
          <w:lang w:val="en-US" w:eastAsia="en-GB"/>
        </w:rPr>
        <w:t>t</w:t>
      </w:r>
      <w:r>
        <w:rPr>
          <w:rFonts w:asciiTheme="minorHAnsi" w:eastAsia="Times New Roman" w:hAnsiTheme="minorHAnsi" w:cs="Calibri"/>
          <w:sz w:val="24"/>
          <w:szCs w:val="24"/>
          <w:lang w:val="en-US" w:eastAsia="en-GB"/>
        </w:rPr>
        <w:t>he Canadian Supreme Court admitted</w:t>
      </w:r>
      <w:r w:rsidR="007E2C3E">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 xml:space="preserve"> in 1998</w:t>
      </w:r>
      <w:r w:rsidR="007E2C3E">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 xml:space="preserve"> that the provinces had a right to secede </w:t>
      </w:r>
      <w:r w:rsidR="007E2C3E">
        <w:rPr>
          <w:rFonts w:asciiTheme="minorHAnsi" w:eastAsia="Times New Roman" w:hAnsiTheme="minorHAnsi" w:cs="Calibri"/>
          <w:sz w:val="24"/>
          <w:szCs w:val="24"/>
          <w:lang w:val="en-US" w:eastAsia="en-GB"/>
        </w:rPr>
        <w:t>from the Cana</w:t>
      </w:r>
      <w:r>
        <w:rPr>
          <w:rFonts w:asciiTheme="minorHAnsi" w:eastAsia="Times New Roman" w:hAnsiTheme="minorHAnsi" w:cs="Calibri"/>
          <w:sz w:val="24"/>
          <w:szCs w:val="24"/>
          <w:lang w:val="en-US" w:eastAsia="en-GB"/>
        </w:rPr>
        <w:t>dian federa</w:t>
      </w:r>
      <w:r w:rsidR="00052A13">
        <w:rPr>
          <w:rFonts w:asciiTheme="minorHAnsi" w:eastAsia="Times New Roman" w:hAnsiTheme="minorHAnsi" w:cs="Calibri"/>
          <w:sz w:val="24"/>
          <w:szCs w:val="24"/>
          <w:lang w:val="en-US" w:eastAsia="en-GB"/>
        </w:rPr>
        <w:t>tion. Yet</w:t>
      </w:r>
      <w:r w:rsidR="007E2C3E">
        <w:rPr>
          <w:rFonts w:asciiTheme="minorHAnsi" w:eastAsia="Times New Roman" w:hAnsiTheme="minorHAnsi" w:cs="Calibri"/>
          <w:sz w:val="24"/>
          <w:szCs w:val="24"/>
          <w:lang w:val="en-US" w:eastAsia="en-GB"/>
        </w:rPr>
        <w:t xml:space="preserve">, this right </w:t>
      </w:r>
      <w:r w:rsidR="00D9257B">
        <w:rPr>
          <w:rFonts w:asciiTheme="minorHAnsi" w:eastAsia="Times New Roman" w:hAnsiTheme="minorHAnsi" w:cs="Calibri"/>
          <w:sz w:val="24"/>
          <w:szCs w:val="24"/>
          <w:lang w:val="en-US" w:eastAsia="en-GB"/>
        </w:rPr>
        <w:t xml:space="preserve">is </w:t>
      </w:r>
      <w:r>
        <w:rPr>
          <w:rFonts w:asciiTheme="minorHAnsi" w:eastAsia="Times New Roman" w:hAnsiTheme="minorHAnsi" w:cs="Calibri"/>
          <w:sz w:val="24"/>
          <w:szCs w:val="24"/>
          <w:lang w:val="en-US" w:eastAsia="en-GB"/>
        </w:rPr>
        <w:t xml:space="preserve">not unilateral </w:t>
      </w:r>
      <w:r w:rsidR="007E2C3E">
        <w:rPr>
          <w:rFonts w:asciiTheme="minorHAnsi" w:eastAsia="Times New Roman" w:hAnsiTheme="minorHAnsi" w:cs="Calibri"/>
          <w:sz w:val="24"/>
          <w:szCs w:val="24"/>
          <w:lang w:val="en-US" w:eastAsia="en-GB"/>
        </w:rPr>
        <w:t>and c</w:t>
      </w:r>
      <w:r w:rsidR="00D9257B">
        <w:rPr>
          <w:rFonts w:asciiTheme="minorHAnsi" w:eastAsia="Times New Roman" w:hAnsiTheme="minorHAnsi" w:cs="Calibri"/>
          <w:sz w:val="24"/>
          <w:szCs w:val="24"/>
          <w:lang w:val="en-US" w:eastAsia="en-GB"/>
        </w:rPr>
        <w:t xml:space="preserve">an </w:t>
      </w:r>
      <w:r w:rsidR="007E2C3E">
        <w:rPr>
          <w:rFonts w:asciiTheme="minorHAnsi" w:eastAsia="Times New Roman" w:hAnsiTheme="minorHAnsi" w:cs="Calibri"/>
          <w:sz w:val="24"/>
          <w:szCs w:val="24"/>
          <w:lang w:val="en-US" w:eastAsia="en-GB"/>
        </w:rPr>
        <w:t>only be exercised if</w:t>
      </w:r>
      <w:r>
        <w:rPr>
          <w:rFonts w:asciiTheme="minorHAnsi" w:eastAsia="Times New Roman" w:hAnsiTheme="minorHAnsi" w:cs="Calibri"/>
          <w:sz w:val="24"/>
          <w:szCs w:val="24"/>
          <w:lang w:val="en-US" w:eastAsia="en-GB"/>
        </w:rPr>
        <w:t xml:space="preserve"> the populati</w:t>
      </w:r>
      <w:r w:rsidR="00D9257B">
        <w:rPr>
          <w:rFonts w:asciiTheme="minorHAnsi" w:eastAsia="Times New Roman" w:hAnsiTheme="minorHAnsi" w:cs="Calibri"/>
          <w:sz w:val="24"/>
          <w:szCs w:val="24"/>
          <w:lang w:val="en-US" w:eastAsia="en-GB"/>
        </w:rPr>
        <w:t>on of one of the provinces indicates that is willing to leave</w:t>
      </w:r>
      <w:r>
        <w:rPr>
          <w:rFonts w:asciiTheme="minorHAnsi" w:eastAsia="Times New Roman" w:hAnsiTheme="minorHAnsi" w:cs="Calibri"/>
          <w:sz w:val="24"/>
          <w:szCs w:val="24"/>
          <w:lang w:val="en-US" w:eastAsia="en-GB"/>
        </w:rPr>
        <w:t xml:space="preserve"> by</w:t>
      </w:r>
      <w:r w:rsidR="007E2C3E">
        <w:rPr>
          <w:rFonts w:asciiTheme="minorHAnsi" w:eastAsia="Times New Roman" w:hAnsiTheme="minorHAnsi" w:cs="Calibri"/>
          <w:sz w:val="24"/>
          <w:szCs w:val="24"/>
          <w:lang w:val="en-US" w:eastAsia="en-GB"/>
        </w:rPr>
        <w:t xml:space="preserve"> </w:t>
      </w:r>
      <w:r>
        <w:rPr>
          <w:rFonts w:asciiTheme="minorHAnsi" w:eastAsia="Times New Roman" w:hAnsiTheme="minorHAnsi" w:cs="Calibri"/>
          <w:sz w:val="24"/>
          <w:szCs w:val="24"/>
          <w:lang w:val="en-US" w:eastAsia="en-GB"/>
        </w:rPr>
        <w:t>a clear majority in response to a clear qu</w:t>
      </w:r>
      <w:r w:rsidR="00D9257B">
        <w:rPr>
          <w:rFonts w:asciiTheme="minorHAnsi" w:eastAsia="Times New Roman" w:hAnsiTheme="minorHAnsi" w:cs="Calibri"/>
          <w:sz w:val="24"/>
          <w:szCs w:val="24"/>
          <w:lang w:val="en-US" w:eastAsia="en-GB"/>
        </w:rPr>
        <w:t>estion</w:t>
      </w:r>
      <w:r w:rsidR="007E2C3E">
        <w:rPr>
          <w:rFonts w:asciiTheme="minorHAnsi" w:eastAsia="Times New Roman" w:hAnsiTheme="minorHAnsi" w:cs="Calibri"/>
          <w:sz w:val="24"/>
          <w:szCs w:val="24"/>
          <w:lang w:val="en-US" w:eastAsia="en-GB"/>
        </w:rPr>
        <w:t>.</w:t>
      </w:r>
      <w:r w:rsidR="008E221A">
        <w:rPr>
          <w:rStyle w:val="Refdenotaderodap"/>
          <w:rFonts w:asciiTheme="minorHAnsi" w:eastAsia="Times New Roman" w:hAnsiTheme="minorHAnsi" w:cs="Calibri"/>
          <w:sz w:val="24"/>
          <w:szCs w:val="24"/>
          <w:lang w:val="en-US" w:eastAsia="en-GB"/>
        </w:rPr>
        <w:footnoteReference w:id="10"/>
      </w:r>
      <w:r w:rsidR="007E2C3E">
        <w:rPr>
          <w:rFonts w:asciiTheme="minorHAnsi" w:eastAsia="Times New Roman" w:hAnsiTheme="minorHAnsi" w:cs="Calibri"/>
          <w:sz w:val="24"/>
          <w:szCs w:val="24"/>
          <w:lang w:val="en-US" w:eastAsia="en-GB"/>
        </w:rPr>
        <w:t xml:space="preserve"> This would oblige the rest of Canada to negotiate a secession agreement with the province in question that would have to respect the interests of all of the parties involved and the fundamental principles </w:t>
      </w:r>
      <w:r w:rsidR="007E2C3E">
        <w:rPr>
          <w:rFonts w:asciiTheme="minorHAnsi" w:eastAsia="Times New Roman" w:hAnsiTheme="minorHAnsi" w:cs="Calibri"/>
          <w:sz w:val="24"/>
          <w:szCs w:val="24"/>
          <w:lang w:val="en-US" w:eastAsia="en-GB"/>
        </w:rPr>
        <w:lastRenderedPageBreak/>
        <w:t>of the constitutio</w:t>
      </w:r>
      <w:r w:rsidR="00682E87">
        <w:rPr>
          <w:rFonts w:asciiTheme="minorHAnsi" w:eastAsia="Times New Roman" w:hAnsiTheme="minorHAnsi" w:cs="Calibri"/>
          <w:sz w:val="24"/>
          <w:szCs w:val="24"/>
          <w:lang w:val="en-US" w:eastAsia="en-GB"/>
        </w:rPr>
        <w:t xml:space="preserve">n: federalism, democracy, </w:t>
      </w:r>
      <w:r w:rsidR="007E2C3E">
        <w:rPr>
          <w:rFonts w:asciiTheme="minorHAnsi" w:eastAsia="Times New Roman" w:hAnsiTheme="minorHAnsi" w:cs="Calibri"/>
          <w:sz w:val="24"/>
          <w:szCs w:val="24"/>
          <w:lang w:val="en-US" w:eastAsia="en-GB"/>
        </w:rPr>
        <w:t>rule of law</w:t>
      </w:r>
      <w:r w:rsidR="00682E87">
        <w:rPr>
          <w:rFonts w:asciiTheme="minorHAnsi" w:eastAsia="Times New Roman" w:hAnsiTheme="minorHAnsi" w:cs="Calibri"/>
          <w:sz w:val="24"/>
          <w:szCs w:val="24"/>
          <w:lang w:val="en-US" w:eastAsia="en-GB"/>
        </w:rPr>
        <w:t xml:space="preserve">, and </w:t>
      </w:r>
      <w:r w:rsidR="007F73A0">
        <w:rPr>
          <w:rFonts w:asciiTheme="minorHAnsi" w:eastAsia="Times New Roman" w:hAnsiTheme="minorHAnsi" w:cs="Calibri"/>
          <w:sz w:val="24"/>
          <w:szCs w:val="24"/>
          <w:lang w:val="en-US" w:eastAsia="en-GB"/>
        </w:rPr>
        <w:t xml:space="preserve">the </w:t>
      </w:r>
      <w:r w:rsidR="00682E87">
        <w:rPr>
          <w:rFonts w:asciiTheme="minorHAnsi" w:eastAsia="Times New Roman" w:hAnsiTheme="minorHAnsi" w:cs="Calibri"/>
          <w:sz w:val="24"/>
          <w:szCs w:val="24"/>
          <w:lang w:val="en-US" w:eastAsia="en-GB"/>
        </w:rPr>
        <w:t>respect for (entrapped) minorities)</w:t>
      </w:r>
      <w:r w:rsidR="007E2C3E">
        <w:rPr>
          <w:rFonts w:asciiTheme="minorHAnsi" w:eastAsia="Times New Roman" w:hAnsiTheme="minorHAnsi" w:cs="Calibri"/>
          <w:sz w:val="24"/>
          <w:szCs w:val="24"/>
          <w:lang w:val="en-US" w:eastAsia="en-GB"/>
        </w:rPr>
        <w:t>.</w:t>
      </w:r>
      <w:r w:rsidR="00405D63">
        <w:rPr>
          <w:rStyle w:val="Refdenotaderodap"/>
          <w:rFonts w:asciiTheme="minorHAnsi" w:eastAsia="Times New Roman" w:hAnsiTheme="minorHAnsi" w:cs="Calibri"/>
          <w:sz w:val="24"/>
          <w:szCs w:val="24"/>
          <w:lang w:val="en-US" w:eastAsia="en-GB"/>
        </w:rPr>
        <w:footnoteReference w:id="11"/>
      </w:r>
    </w:p>
    <w:p w:rsidR="00E8130C" w:rsidRPr="00381DAC" w:rsidRDefault="00E8130C" w:rsidP="009B778A">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The second part of the norm under an</w:t>
      </w:r>
      <w:r w:rsidR="00F40272">
        <w:rPr>
          <w:rFonts w:asciiTheme="minorHAnsi" w:eastAsia="Times New Roman" w:hAnsiTheme="minorHAnsi" w:cs="Calibri"/>
          <w:sz w:val="24"/>
          <w:szCs w:val="24"/>
          <w:lang w:val="en-US" w:eastAsia="en-GB"/>
        </w:rPr>
        <w:t xml:space="preserve">alysis ties the </w:t>
      </w:r>
      <w:r>
        <w:rPr>
          <w:rFonts w:asciiTheme="minorHAnsi" w:eastAsia="Times New Roman" w:hAnsiTheme="minorHAnsi" w:cs="Calibri"/>
          <w:sz w:val="24"/>
          <w:szCs w:val="24"/>
          <w:lang w:val="en-US" w:eastAsia="en-GB"/>
        </w:rPr>
        <w:t xml:space="preserve">right to </w:t>
      </w:r>
      <w:r w:rsidR="00EB55E1">
        <w:rPr>
          <w:rFonts w:asciiTheme="minorHAnsi" w:eastAsia="Times New Roman" w:hAnsiTheme="minorHAnsi" w:cs="Calibri"/>
          <w:sz w:val="24"/>
          <w:szCs w:val="24"/>
          <w:lang w:val="en-US" w:eastAsia="en-GB"/>
        </w:rPr>
        <w:t>withdraw from the EU</w:t>
      </w:r>
      <w:r>
        <w:rPr>
          <w:rFonts w:asciiTheme="minorHAnsi" w:eastAsia="Times New Roman" w:hAnsiTheme="minorHAnsi" w:cs="Calibri"/>
          <w:sz w:val="24"/>
          <w:szCs w:val="24"/>
          <w:lang w:val="en-US" w:eastAsia="en-GB"/>
        </w:rPr>
        <w:t xml:space="preserve"> to the observance of the rules prescribed in the constitution of the Member State who has exercised its </w:t>
      </w:r>
      <w:r w:rsidR="00405D63">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option</w:t>
      </w:r>
      <w:r w:rsidR="00405D63">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 xml:space="preserve"> – in the words of </w:t>
      </w:r>
      <w:proofErr w:type="spellStart"/>
      <w:r>
        <w:rPr>
          <w:rFonts w:asciiTheme="minorHAnsi" w:eastAsia="Times New Roman" w:hAnsiTheme="minorHAnsi" w:cs="Calibri"/>
          <w:sz w:val="24"/>
          <w:szCs w:val="24"/>
          <w:lang w:val="en-US" w:eastAsia="en-GB"/>
        </w:rPr>
        <w:t>Ingolf</w:t>
      </w:r>
      <w:proofErr w:type="spellEnd"/>
      <w:r>
        <w:rPr>
          <w:rFonts w:asciiTheme="minorHAnsi" w:eastAsia="Times New Roman" w:hAnsiTheme="minorHAnsi" w:cs="Calibri"/>
          <w:sz w:val="24"/>
          <w:szCs w:val="24"/>
          <w:lang w:val="en-US" w:eastAsia="en-GB"/>
        </w:rPr>
        <w:t xml:space="preserve"> </w:t>
      </w:r>
      <w:proofErr w:type="spellStart"/>
      <w:r>
        <w:rPr>
          <w:rFonts w:asciiTheme="minorHAnsi" w:eastAsia="Times New Roman" w:hAnsiTheme="minorHAnsi" w:cs="Calibri"/>
          <w:sz w:val="24"/>
          <w:szCs w:val="24"/>
          <w:lang w:val="en-US" w:eastAsia="en-GB"/>
        </w:rPr>
        <w:t>Pernice</w:t>
      </w:r>
      <w:proofErr w:type="spellEnd"/>
      <w:r>
        <w:rPr>
          <w:rFonts w:asciiTheme="minorHAnsi" w:eastAsia="Times New Roman" w:hAnsiTheme="minorHAnsi" w:cs="Calibri"/>
          <w:sz w:val="24"/>
          <w:szCs w:val="24"/>
          <w:lang w:val="en-US" w:eastAsia="en-GB"/>
        </w:rPr>
        <w:t xml:space="preserve"> – to leave.</w:t>
      </w:r>
      <w:r w:rsidR="00405D63">
        <w:rPr>
          <w:rStyle w:val="Refdenotaderodap"/>
          <w:rFonts w:asciiTheme="minorHAnsi" w:eastAsia="Times New Roman" w:hAnsiTheme="minorHAnsi" w:cs="Calibri"/>
          <w:sz w:val="24"/>
          <w:szCs w:val="24"/>
          <w:lang w:val="en-US" w:eastAsia="en-GB"/>
        </w:rPr>
        <w:footnoteReference w:id="12"/>
      </w:r>
      <w:r>
        <w:rPr>
          <w:rFonts w:asciiTheme="minorHAnsi" w:eastAsia="Times New Roman" w:hAnsiTheme="minorHAnsi" w:cs="Calibri"/>
          <w:sz w:val="24"/>
          <w:szCs w:val="24"/>
          <w:lang w:val="en-US" w:eastAsia="en-GB"/>
        </w:rPr>
        <w:t xml:space="preserve">  The compliance with the rules and procedures established in the fundamental law of a Member State who wishes to exit the Union is of particular importance </w:t>
      </w:r>
      <w:r w:rsidR="00355049">
        <w:rPr>
          <w:rFonts w:asciiTheme="minorHAnsi" w:eastAsia="Times New Roman" w:hAnsiTheme="minorHAnsi" w:cs="Calibri"/>
          <w:sz w:val="24"/>
          <w:szCs w:val="24"/>
          <w:lang w:val="en-US" w:eastAsia="en-GB"/>
        </w:rPr>
        <w:t>in the opinion of Jean-</w:t>
      </w:r>
      <w:r>
        <w:rPr>
          <w:rFonts w:asciiTheme="minorHAnsi" w:eastAsia="Times New Roman" w:hAnsiTheme="minorHAnsi" w:cs="Calibri"/>
          <w:sz w:val="24"/>
          <w:szCs w:val="24"/>
          <w:lang w:val="en-US" w:eastAsia="en-GB"/>
        </w:rPr>
        <w:t>Victor Louis who considers that this legal</w:t>
      </w:r>
      <w:r w:rsidR="00405D63">
        <w:rPr>
          <w:rFonts w:asciiTheme="minorHAnsi" w:eastAsia="Times New Roman" w:hAnsiTheme="minorHAnsi" w:cs="Calibri"/>
          <w:sz w:val="24"/>
          <w:szCs w:val="24"/>
          <w:lang w:val="en-US" w:eastAsia="en-GB"/>
        </w:rPr>
        <w:t xml:space="preserve"> criterion decouples this right </w:t>
      </w:r>
      <w:r>
        <w:rPr>
          <w:rFonts w:asciiTheme="minorHAnsi" w:eastAsia="Times New Roman" w:hAnsiTheme="minorHAnsi" w:cs="Calibri"/>
          <w:sz w:val="24"/>
          <w:szCs w:val="24"/>
          <w:lang w:val="en-US" w:eastAsia="en-GB"/>
        </w:rPr>
        <w:t>from everyday politics. In this sense, he offers the example of the Government of Malta which manifested its intention to join the Union; then suspended the decision; and later expressed a renewed desire</w:t>
      </w:r>
      <w:r w:rsidR="00EB55E1">
        <w:rPr>
          <w:rFonts w:asciiTheme="minorHAnsi" w:eastAsia="Times New Roman" w:hAnsiTheme="minorHAnsi" w:cs="Calibri"/>
          <w:sz w:val="24"/>
          <w:szCs w:val="24"/>
          <w:lang w:val="en-US" w:eastAsia="en-GB"/>
        </w:rPr>
        <w:t xml:space="preserve"> to accede to the EU</w:t>
      </w:r>
      <w:r>
        <w:rPr>
          <w:rFonts w:asciiTheme="minorHAnsi" w:eastAsia="Times New Roman" w:hAnsiTheme="minorHAnsi" w:cs="Calibri"/>
          <w:sz w:val="24"/>
          <w:szCs w:val="24"/>
          <w:lang w:val="en-US" w:eastAsia="en-GB"/>
        </w:rPr>
        <w:t>.</w:t>
      </w:r>
      <w:r w:rsidR="00D96D57">
        <w:rPr>
          <w:rStyle w:val="Refdenotaderodap"/>
          <w:rFonts w:asciiTheme="minorHAnsi" w:eastAsia="Times New Roman" w:hAnsiTheme="minorHAnsi" w:cs="Calibri"/>
          <w:sz w:val="24"/>
          <w:szCs w:val="24"/>
          <w:lang w:val="en-US" w:eastAsia="en-GB"/>
        </w:rPr>
        <w:footnoteReference w:id="13"/>
      </w:r>
    </w:p>
    <w:p w:rsidR="00F84107" w:rsidRPr="00381DAC" w:rsidRDefault="00B4537C" w:rsidP="007E62B0">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 xml:space="preserve">In sum, </w:t>
      </w:r>
      <w:r w:rsidR="00101C52" w:rsidRPr="00381DAC">
        <w:rPr>
          <w:rFonts w:asciiTheme="minorHAnsi" w:eastAsia="Times New Roman" w:hAnsiTheme="minorHAnsi" w:cs="Calibri"/>
          <w:sz w:val="24"/>
          <w:szCs w:val="24"/>
          <w:lang w:val="en-US" w:eastAsia="en-GB"/>
        </w:rPr>
        <w:t>A</w:t>
      </w:r>
      <w:r w:rsidR="009B778A" w:rsidRPr="00381DAC">
        <w:rPr>
          <w:rFonts w:asciiTheme="minorHAnsi" w:eastAsia="Times New Roman" w:hAnsiTheme="minorHAnsi" w:cs="Calibri"/>
          <w:sz w:val="24"/>
          <w:szCs w:val="24"/>
          <w:lang w:val="en-US" w:eastAsia="en-GB"/>
        </w:rPr>
        <w:t>rticle 50, nº 1</w:t>
      </w:r>
      <w:r w:rsidR="00E55434">
        <w:rPr>
          <w:rFonts w:asciiTheme="minorHAnsi" w:eastAsia="Times New Roman" w:hAnsiTheme="minorHAnsi" w:cs="Calibri"/>
          <w:sz w:val="24"/>
          <w:szCs w:val="24"/>
          <w:lang w:val="en-US" w:eastAsia="en-GB"/>
        </w:rPr>
        <w:t>,</w:t>
      </w:r>
      <w:r w:rsidR="00EB55E1">
        <w:rPr>
          <w:rFonts w:asciiTheme="minorHAnsi" w:eastAsia="Times New Roman" w:hAnsiTheme="minorHAnsi" w:cs="Calibri"/>
          <w:sz w:val="24"/>
          <w:szCs w:val="24"/>
          <w:lang w:val="en-US" w:eastAsia="en-GB"/>
        </w:rPr>
        <w:t xml:space="preserve"> of the TEU</w:t>
      </w:r>
      <w:r w:rsidR="009B778A" w:rsidRPr="00381DAC">
        <w:rPr>
          <w:rFonts w:asciiTheme="minorHAnsi" w:eastAsia="Times New Roman" w:hAnsiTheme="minorHAnsi" w:cs="Calibri"/>
          <w:sz w:val="24"/>
          <w:szCs w:val="24"/>
          <w:lang w:val="en-US" w:eastAsia="en-GB"/>
        </w:rPr>
        <w:t xml:space="preserve"> recognizes a u</w:t>
      </w:r>
      <w:r w:rsidR="00C11DE7" w:rsidRPr="00381DAC">
        <w:rPr>
          <w:rFonts w:asciiTheme="minorHAnsi" w:eastAsia="Times New Roman" w:hAnsiTheme="minorHAnsi" w:cs="Calibri"/>
          <w:sz w:val="24"/>
          <w:szCs w:val="24"/>
          <w:lang w:val="en-US" w:eastAsia="en-GB"/>
        </w:rPr>
        <w:t>nilateral right to withdraw from</w:t>
      </w:r>
      <w:r w:rsidR="00EB55E1">
        <w:rPr>
          <w:rFonts w:asciiTheme="minorHAnsi" w:eastAsia="Times New Roman" w:hAnsiTheme="minorHAnsi" w:cs="Calibri"/>
          <w:sz w:val="24"/>
          <w:szCs w:val="24"/>
          <w:lang w:val="en-US" w:eastAsia="en-GB"/>
        </w:rPr>
        <w:t xml:space="preserve"> the EU</w:t>
      </w:r>
      <w:r w:rsidR="009B778A" w:rsidRPr="00381DAC">
        <w:rPr>
          <w:rFonts w:asciiTheme="minorHAnsi" w:eastAsia="Times New Roman" w:hAnsiTheme="minorHAnsi" w:cs="Calibri"/>
          <w:sz w:val="24"/>
          <w:szCs w:val="24"/>
          <w:lang w:val="en-US" w:eastAsia="en-GB"/>
        </w:rPr>
        <w:t xml:space="preserve"> that resembles the right</w:t>
      </w:r>
      <w:r w:rsidR="0036100A" w:rsidRPr="00381DAC">
        <w:rPr>
          <w:rFonts w:asciiTheme="minorHAnsi" w:eastAsia="Times New Roman" w:hAnsiTheme="minorHAnsi" w:cs="Calibri"/>
          <w:sz w:val="24"/>
          <w:szCs w:val="24"/>
          <w:lang w:val="en-US" w:eastAsia="en-GB"/>
        </w:rPr>
        <w:t xml:space="preserve"> to secede from a confederation and it </w:t>
      </w:r>
      <w:r w:rsidR="0083200E" w:rsidRPr="00381DAC">
        <w:rPr>
          <w:rFonts w:asciiTheme="minorHAnsi" w:eastAsia="Times New Roman" w:hAnsiTheme="minorHAnsi" w:cs="Calibri"/>
          <w:sz w:val="24"/>
          <w:szCs w:val="24"/>
          <w:lang w:val="en-US" w:eastAsia="en-GB"/>
        </w:rPr>
        <w:t>also constitutes a significant argument for th</w:t>
      </w:r>
      <w:r w:rsidR="00EB55E1">
        <w:rPr>
          <w:rFonts w:asciiTheme="minorHAnsi" w:eastAsia="Times New Roman" w:hAnsiTheme="minorHAnsi" w:cs="Calibri"/>
          <w:sz w:val="24"/>
          <w:szCs w:val="24"/>
          <w:lang w:val="en-US" w:eastAsia="en-GB"/>
        </w:rPr>
        <w:t xml:space="preserve">ose who argue that the </w:t>
      </w:r>
      <w:r w:rsidR="00D9257B">
        <w:rPr>
          <w:rFonts w:asciiTheme="minorHAnsi" w:eastAsia="Times New Roman" w:hAnsiTheme="minorHAnsi" w:cs="Calibri"/>
          <w:sz w:val="24"/>
          <w:szCs w:val="24"/>
          <w:lang w:val="en-US" w:eastAsia="en-GB"/>
        </w:rPr>
        <w:t>Union is a voluntary</w:t>
      </w:r>
      <w:r w:rsidR="0083200E" w:rsidRPr="00381DAC">
        <w:rPr>
          <w:rFonts w:asciiTheme="minorHAnsi" w:eastAsia="Times New Roman" w:hAnsiTheme="minorHAnsi" w:cs="Calibri"/>
          <w:sz w:val="24"/>
          <w:szCs w:val="24"/>
          <w:lang w:val="en-US" w:eastAsia="en-GB"/>
        </w:rPr>
        <w:t xml:space="preserve"> associatio</w:t>
      </w:r>
      <w:r>
        <w:rPr>
          <w:rFonts w:asciiTheme="minorHAnsi" w:eastAsia="Times New Roman" w:hAnsiTheme="minorHAnsi" w:cs="Calibri"/>
          <w:sz w:val="24"/>
          <w:szCs w:val="24"/>
          <w:lang w:val="en-US" w:eastAsia="en-GB"/>
        </w:rPr>
        <w:t xml:space="preserve">n of </w:t>
      </w:r>
      <w:r w:rsidR="00A25DB3">
        <w:rPr>
          <w:rFonts w:asciiTheme="minorHAnsi" w:eastAsia="Times New Roman" w:hAnsiTheme="minorHAnsi" w:cs="Calibri"/>
          <w:sz w:val="24"/>
          <w:szCs w:val="24"/>
          <w:lang w:val="en-US" w:eastAsia="en-GB"/>
        </w:rPr>
        <w:t xml:space="preserve">states as opposed to a </w:t>
      </w:r>
      <w:proofErr w:type="spellStart"/>
      <w:r w:rsidR="00A25DB3" w:rsidRPr="00405D63">
        <w:rPr>
          <w:rFonts w:asciiTheme="minorHAnsi" w:eastAsia="Times New Roman" w:hAnsiTheme="minorHAnsi" w:cs="Calibri"/>
          <w:i/>
          <w:sz w:val="24"/>
          <w:szCs w:val="24"/>
          <w:lang w:val="en-US" w:eastAsia="en-GB"/>
        </w:rPr>
        <w:t>mixtum</w:t>
      </w:r>
      <w:proofErr w:type="spellEnd"/>
      <w:r w:rsidR="00A25DB3" w:rsidRPr="00405D63">
        <w:rPr>
          <w:rFonts w:asciiTheme="minorHAnsi" w:eastAsia="Times New Roman" w:hAnsiTheme="minorHAnsi" w:cs="Calibri"/>
          <w:i/>
          <w:sz w:val="24"/>
          <w:szCs w:val="24"/>
          <w:lang w:val="en-US" w:eastAsia="en-GB"/>
        </w:rPr>
        <w:t xml:space="preserve"> </w:t>
      </w:r>
      <w:proofErr w:type="spellStart"/>
      <w:r w:rsidR="00A25DB3" w:rsidRPr="00405D63">
        <w:rPr>
          <w:rFonts w:asciiTheme="minorHAnsi" w:eastAsia="Times New Roman" w:hAnsiTheme="minorHAnsi" w:cs="Calibri"/>
          <w:i/>
          <w:sz w:val="24"/>
          <w:szCs w:val="24"/>
          <w:lang w:val="en-US" w:eastAsia="en-GB"/>
        </w:rPr>
        <w:t>compositum</w:t>
      </w:r>
      <w:proofErr w:type="spellEnd"/>
      <w:r w:rsidR="00A25DB3" w:rsidRPr="00405D63">
        <w:rPr>
          <w:rFonts w:asciiTheme="minorHAnsi" w:eastAsia="Times New Roman" w:hAnsiTheme="minorHAnsi" w:cs="Calibri"/>
          <w:i/>
          <w:sz w:val="24"/>
          <w:szCs w:val="24"/>
          <w:lang w:val="en-US" w:eastAsia="en-GB"/>
        </w:rPr>
        <w:t xml:space="preserve"> </w:t>
      </w:r>
      <w:r w:rsidR="00A25DB3" w:rsidRPr="00405D63">
        <w:rPr>
          <w:rFonts w:asciiTheme="minorHAnsi" w:eastAsia="Times New Roman" w:hAnsiTheme="minorHAnsi" w:cs="Calibri"/>
          <w:sz w:val="24"/>
          <w:szCs w:val="24"/>
          <w:lang w:val="en-US" w:eastAsia="en-GB"/>
        </w:rPr>
        <w:t>(</w:t>
      </w:r>
      <w:r w:rsidRPr="00405D63">
        <w:rPr>
          <w:rFonts w:asciiTheme="minorHAnsi" w:eastAsia="Times New Roman" w:hAnsiTheme="minorHAnsi" w:cs="Calibri"/>
          <w:sz w:val="24"/>
          <w:szCs w:val="24"/>
          <w:lang w:val="en-US" w:eastAsia="en-GB"/>
        </w:rPr>
        <w:t>i.</w:t>
      </w:r>
      <w:r>
        <w:rPr>
          <w:rFonts w:asciiTheme="minorHAnsi" w:eastAsia="Times New Roman" w:hAnsiTheme="minorHAnsi" w:cs="Calibri"/>
          <w:sz w:val="24"/>
          <w:szCs w:val="24"/>
          <w:lang w:val="en-US" w:eastAsia="en-GB"/>
        </w:rPr>
        <w:t>e., a combination of international and national elements)</w:t>
      </w:r>
      <w:r w:rsidR="000D0B26">
        <w:rPr>
          <w:rStyle w:val="Refdenotaderodap"/>
          <w:rFonts w:asciiTheme="minorHAnsi" w:eastAsia="Times New Roman" w:hAnsiTheme="minorHAnsi" w:cs="Calibri"/>
          <w:sz w:val="24"/>
          <w:szCs w:val="24"/>
          <w:lang w:val="en-US" w:eastAsia="en-GB"/>
        </w:rPr>
        <w:footnoteReference w:id="14"/>
      </w:r>
      <w:r>
        <w:rPr>
          <w:rFonts w:asciiTheme="minorHAnsi" w:eastAsia="Times New Roman" w:hAnsiTheme="minorHAnsi" w:cs="Calibri"/>
          <w:sz w:val="24"/>
          <w:szCs w:val="24"/>
          <w:lang w:val="en-US" w:eastAsia="en-GB"/>
        </w:rPr>
        <w:t>, a federal polity</w:t>
      </w:r>
      <w:r w:rsidR="000D0B26">
        <w:rPr>
          <w:rStyle w:val="Refdenotaderodap"/>
          <w:rFonts w:asciiTheme="minorHAnsi" w:eastAsia="Times New Roman" w:hAnsiTheme="minorHAnsi" w:cs="Calibri"/>
          <w:sz w:val="24"/>
          <w:szCs w:val="24"/>
          <w:lang w:val="en-US" w:eastAsia="en-GB"/>
        </w:rPr>
        <w:footnoteReference w:id="15"/>
      </w:r>
      <w:r>
        <w:rPr>
          <w:rFonts w:asciiTheme="minorHAnsi" w:eastAsia="Times New Roman" w:hAnsiTheme="minorHAnsi" w:cs="Calibri"/>
          <w:sz w:val="24"/>
          <w:szCs w:val="24"/>
          <w:lang w:val="en-US" w:eastAsia="en-GB"/>
        </w:rPr>
        <w:t>,</w:t>
      </w:r>
      <w:r w:rsidR="00D9257B">
        <w:rPr>
          <w:rFonts w:asciiTheme="minorHAnsi" w:eastAsia="Times New Roman" w:hAnsiTheme="minorHAnsi" w:cs="Calibri"/>
          <w:sz w:val="24"/>
          <w:szCs w:val="24"/>
          <w:lang w:val="en-US" w:eastAsia="en-GB"/>
        </w:rPr>
        <w:t xml:space="preserve"> a federal union </w:t>
      </w:r>
      <w:r>
        <w:rPr>
          <w:rFonts w:asciiTheme="minorHAnsi" w:eastAsia="Times New Roman" w:hAnsiTheme="minorHAnsi" w:cs="Calibri"/>
          <w:sz w:val="24"/>
          <w:szCs w:val="24"/>
          <w:lang w:val="en-US" w:eastAsia="en-GB"/>
        </w:rPr>
        <w:t>of States and citizens</w:t>
      </w:r>
      <w:r w:rsidR="000D0B26">
        <w:rPr>
          <w:rStyle w:val="Refdenotaderodap"/>
          <w:rFonts w:asciiTheme="minorHAnsi" w:eastAsia="Times New Roman" w:hAnsiTheme="minorHAnsi" w:cs="Calibri"/>
          <w:sz w:val="24"/>
          <w:szCs w:val="24"/>
          <w:lang w:val="en-US" w:eastAsia="en-GB"/>
        </w:rPr>
        <w:footnoteReference w:id="16"/>
      </w:r>
      <w:r>
        <w:rPr>
          <w:rFonts w:asciiTheme="minorHAnsi" w:eastAsia="Times New Roman" w:hAnsiTheme="minorHAnsi" w:cs="Calibri"/>
          <w:sz w:val="24"/>
          <w:szCs w:val="24"/>
          <w:lang w:val="en-US" w:eastAsia="en-GB"/>
        </w:rPr>
        <w:t xml:space="preserve"> </w:t>
      </w:r>
      <w:r w:rsidR="00A25DB3">
        <w:rPr>
          <w:rFonts w:asciiTheme="minorHAnsi" w:eastAsia="Times New Roman" w:hAnsiTheme="minorHAnsi" w:cs="Calibri"/>
          <w:sz w:val="24"/>
          <w:szCs w:val="24"/>
          <w:lang w:val="en-US" w:eastAsia="en-GB"/>
        </w:rPr>
        <w:t>or a constitutional composite</w:t>
      </w:r>
      <w:r w:rsidR="000D0B26">
        <w:rPr>
          <w:rStyle w:val="Refdenotaderodap"/>
          <w:rFonts w:asciiTheme="minorHAnsi" w:eastAsia="Times New Roman" w:hAnsiTheme="minorHAnsi" w:cs="Calibri"/>
          <w:sz w:val="24"/>
          <w:szCs w:val="24"/>
          <w:lang w:val="en-US" w:eastAsia="en-GB"/>
        </w:rPr>
        <w:footnoteReference w:id="17"/>
      </w:r>
      <w:r w:rsidR="00A25DB3">
        <w:rPr>
          <w:rFonts w:asciiTheme="minorHAnsi" w:eastAsia="Times New Roman" w:hAnsiTheme="minorHAnsi" w:cs="Calibri"/>
          <w:sz w:val="24"/>
          <w:szCs w:val="24"/>
          <w:lang w:val="en-US" w:eastAsia="en-GB"/>
        </w:rPr>
        <w:t>.</w:t>
      </w:r>
      <w:r w:rsidR="00CF6FB6" w:rsidRPr="00381DAC">
        <w:rPr>
          <w:rFonts w:asciiTheme="minorHAnsi" w:eastAsia="Times New Roman" w:hAnsiTheme="minorHAnsi" w:cs="Calibri"/>
          <w:sz w:val="24"/>
          <w:szCs w:val="24"/>
          <w:lang w:val="en-US" w:eastAsia="en-GB"/>
        </w:rPr>
        <w:t xml:space="preserve"> In this sense, the Federal German </w:t>
      </w:r>
      <w:r w:rsidR="00381DAC">
        <w:rPr>
          <w:rFonts w:asciiTheme="minorHAnsi" w:eastAsia="Times New Roman" w:hAnsiTheme="minorHAnsi" w:cs="Calibri"/>
          <w:sz w:val="24"/>
          <w:szCs w:val="24"/>
          <w:lang w:val="en-US" w:eastAsia="en-GB"/>
        </w:rPr>
        <w:t>Constitutional</w:t>
      </w:r>
      <w:r w:rsidR="00CF6FB6" w:rsidRPr="00381DAC">
        <w:rPr>
          <w:rFonts w:asciiTheme="minorHAnsi" w:eastAsia="Times New Roman" w:hAnsiTheme="minorHAnsi" w:cs="Calibri"/>
          <w:sz w:val="24"/>
          <w:szCs w:val="24"/>
          <w:lang w:val="en-US" w:eastAsia="en-GB"/>
        </w:rPr>
        <w:t xml:space="preserve"> Court understands the </w:t>
      </w:r>
      <w:r>
        <w:rPr>
          <w:rFonts w:asciiTheme="minorHAnsi" w:eastAsia="Times New Roman" w:hAnsiTheme="minorHAnsi" w:cs="Calibri"/>
          <w:sz w:val="24"/>
          <w:szCs w:val="24"/>
          <w:lang w:val="en-US" w:eastAsia="en-GB"/>
        </w:rPr>
        <w:t xml:space="preserve">legal nature of the </w:t>
      </w:r>
      <w:r w:rsidR="00EB55E1">
        <w:rPr>
          <w:rFonts w:asciiTheme="minorHAnsi" w:eastAsia="Times New Roman" w:hAnsiTheme="minorHAnsi" w:cs="Calibri"/>
          <w:sz w:val="24"/>
          <w:szCs w:val="24"/>
          <w:lang w:val="en-US" w:eastAsia="en-GB"/>
        </w:rPr>
        <w:t>EU</w:t>
      </w:r>
      <w:r w:rsidR="00CF6FB6" w:rsidRPr="00381DAC">
        <w:rPr>
          <w:rFonts w:asciiTheme="minorHAnsi" w:eastAsia="Times New Roman" w:hAnsiTheme="minorHAnsi" w:cs="Calibri"/>
          <w:sz w:val="24"/>
          <w:szCs w:val="24"/>
          <w:lang w:val="en-US" w:eastAsia="en-GB"/>
        </w:rPr>
        <w:t xml:space="preserve"> as a </w:t>
      </w:r>
      <w:r w:rsidR="00381DAC">
        <w:rPr>
          <w:rFonts w:asciiTheme="minorHAnsi" w:eastAsia="Times New Roman" w:hAnsiTheme="minorHAnsi" w:cs="Calibri"/>
          <w:sz w:val="24"/>
          <w:szCs w:val="24"/>
          <w:lang w:val="en-US" w:eastAsia="en-GB"/>
        </w:rPr>
        <w:t>“</w:t>
      </w:r>
      <w:proofErr w:type="spellStart"/>
      <w:r w:rsidR="00381DAC">
        <w:rPr>
          <w:rFonts w:asciiTheme="minorHAnsi" w:eastAsia="Times New Roman" w:hAnsiTheme="minorHAnsi" w:cs="Calibri"/>
          <w:sz w:val="24"/>
          <w:szCs w:val="24"/>
          <w:lang w:val="en-US" w:eastAsia="en-GB"/>
        </w:rPr>
        <w:t>Staatenverbun</w:t>
      </w:r>
      <w:r w:rsidR="00CF6FB6" w:rsidRPr="00381DAC">
        <w:rPr>
          <w:rFonts w:asciiTheme="minorHAnsi" w:eastAsia="Times New Roman" w:hAnsiTheme="minorHAnsi" w:cs="Calibri"/>
          <w:sz w:val="24"/>
          <w:szCs w:val="24"/>
          <w:lang w:val="en-US" w:eastAsia="en-GB"/>
        </w:rPr>
        <w:t>d</w:t>
      </w:r>
      <w:proofErr w:type="spellEnd"/>
      <w:r w:rsidR="00CF6FB6" w:rsidRPr="00381DAC">
        <w:rPr>
          <w:rFonts w:asciiTheme="minorHAnsi" w:eastAsia="Times New Roman" w:hAnsiTheme="minorHAnsi" w:cs="Calibri"/>
          <w:sz w:val="24"/>
          <w:szCs w:val="24"/>
          <w:lang w:val="en-US" w:eastAsia="en-GB"/>
        </w:rPr>
        <w:t>” or an “Association of Sovereign States</w:t>
      </w:r>
      <w:r w:rsidR="00381DAC">
        <w:rPr>
          <w:rFonts w:asciiTheme="minorHAnsi" w:eastAsia="Times New Roman" w:hAnsiTheme="minorHAnsi" w:cs="Calibri"/>
          <w:sz w:val="24"/>
          <w:szCs w:val="24"/>
          <w:lang w:val="en-US" w:eastAsia="en-GB"/>
        </w:rPr>
        <w:t>” and its position is par</w:t>
      </w:r>
      <w:r w:rsidR="00CF6FB6" w:rsidRPr="00381DAC">
        <w:rPr>
          <w:rFonts w:asciiTheme="minorHAnsi" w:eastAsia="Times New Roman" w:hAnsiTheme="minorHAnsi" w:cs="Calibri"/>
          <w:sz w:val="24"/>
          <w:szCs w:val="24"/>
          <w:lang w:val="en-US" w:eastAsia="en-GB"/>
        </w:rPr>
        <w:t>tly based on the existence of a right to unil</w:t>
      </w:r>
      <w:r w:rsidR="00381DAC">
        <w:rPr>
          <w:rFonts w:asciiTheme="minorHAnsi" w:eastAsia="Times New Roman" w:hAnsiTheme="minorHAnsi" w:cs="Calibri"/>
          <w:sz w:val="24"/>
          <w:szCs w:val="24"/>
          <w:lang w:val="en-US" w:eastAsia="en-GB"/>
        </w:rPr>
        <w:t xml:space="preserve">aterally </w:t>
      </w:r>
      <w:r w:rsidR="00981846">
        <w:rPr>
          <w:rFonts w:asciiTheme="minorHAnsi" w:eastAsia="Times New Roman" w:hAnsiTheme="minorHAnsi" w:cs="Calibri"/>
          <w:sz w:val="24"/>
          <w:szCs w:val="24"/>
          <w:lang w:val="en-US" w:eastAsia="en-GB"/>
        </w:rPr>
        <w:t>withdraw</w:t>
      </w:r>
      <w:r w:rsidR="007F73A0">
        <w:rPr>
          <w:rFonts w:asciiTheme="minorHAnsi" w:eastAsia="Times New Roman" w:hAnsiTheme="minorHAnsi" w:cs="Calibri"/>
          <w:sz w:val="24"/>
          <w:szCs w:val="24"/>
          <w:lang w:val="en-US" w:eastAsia="en-GB"/>
        </w:rPr>
        <w:t xml:space="preserve"> from the </w:t>
      </w:r>
      <w:r w:rsidR="00CF6FB6" w:rsidRPr="00381DAC">
        <w:rPr>
          <w:rFonts w:asciiTheme="minorHAnsi" w:eastAsia="Times New Roman" w:hAnsiTheme="minorHAnsi" w:cs="Calibri"/>
          <w:sz w:val="24"/>
          <w:szCs w:val="24"/>
          <w:lang w:val="en-US" w:eastAsia="en-GB"/>
        </w:rPr>
        <w:t>Union.</w:t>
      </w:r>
      <w:r w:rsidR="000D0B26">
        <w:rPr>
          <w:rStyle w:val="Refdenotaderodap"/>
          <w:rFonts w:asciiTheme="minorHAnsi" w:eastAsia="Times New Roman" w:hAnsiTheme="minorHAnsi" w:cs="Calibri"/>
          <w:sz w:val="24"/>
          <w:szCs w:val="24"/>
          <w:lang w:val="en-US" w:eastAsia="en-GB"/>
        </w:rPr>
        <w:footnoteReference w:id="18"/>
      </w:r>
    </w:p>
    <w:p w:rsidR="0036100A" w:rsidRPr="00381DAC" w:rsidRDefault="0036100A" w:rsidP="00E4240C">
      <w:pPr>
        <w:spacing w:after="0" w:line="360" w:lineRule="auto"/>
        <w:jc w:val="both"/>
        <w:rPr>
          <w:rFonts w:asciiTheme="minorHAnsi" w:eastAsia="Times New Roman" w:hAnsiTheme="minorHAnsi" w:cs="Calibri"/>
          <w:sz w:val="24"/>
          <w:szCs w:val="24"/>
          <w:lang w:val="en-US" w:eastAsia="en-GB"/>
        </w:rPr>
      </w:pPr>
    </w:p>
    <w:p w:rsidR="008C2E5D" w:rsidRPr="00381DAC" w:rsidRDefault="00C11DE7" w:rsidP="008C2E5D">
      <w:pPr>
        <w:pStyle w:val="PargrafodaLista"/>
        <w:numPr>
          <w:ilvl w:val="0"/>
          <w:numId w:val="2"/>
        </w:numPr>
        <w:spacing w:after="0" w:line="360" w:lineRule="auto"/>
        <w:jc w:val="both"/>
        <w:rPr>
          <w:rFonts w:eastAsia="Times New Roman" w:cs="Calibri"/>
          <w:sz w:val="24"/>
          <w:szCs w:val="24"/>
          <w:lang w:val="en-US" w:eastAsia="en-GB"/>
        </w:rPr>
      </w:pPr>
      <w:r w:rsidRPr="00381DAC">
        <w:rPr>
          <w:rFonts w:eastAsia="Times New Roman" w:cs="Calibri"/>
          <w:sz w:val="24"/>
          <w:szCs w:val="24"/>
          <w:lang w:val="en-US" w:eastAsia="en-GB"/>
        </w:rPr>
        <w:lastRenderedPageBreak/>
        <w:t>Divorce</w:t>
      </w:r>
      <w:r w:rsidR="00101C52" w:rsidRPr="00381DAC">
        <w:rPr>
          <w:rFonts w:eastAsia="Times New Roman" w:cs="Calibri"/>
          <w:sz w:val="24"/>
          <w:szCs w:val="24"/>
          <w:lang w:val="en-US" w:eastAsia="en-GB"/>
        </w:rPr>
        <w:t xml:space="preserve">: </w:t>
      </w:r>
      <w:r w:rsidRPr="00381DAC">
        <w:rPr>
          <w:rFonts w:eastAsia="Times New Roman" w:cs="Calibri"/>
          <w:sz w:val="24"/>
          <w:szCs w:val="24"/>
          <w:lang w:val="en-US" w:eastAsia="en-GB"/>
        </w:rPr>
        <w:t>P</w:t>
      </w:r>
      <w:r w:rsidR="008C2E5D" w:rsidRPr="00381DAC">
        <w:rPr>
          <w:rFonts w:eastAsia="Times New Roman" w:cs="Calibri"/>
          <w:sz w:val="24"/>
          <w:szCs w:val="24"/>
          <w:lang w:val="en-US" w:eastAsia="en-GB"/>
        </w:rPr>
        <w:t>rocedure</w:t>
      </w:r>
      <w:r w:rsidR="00101C52" w:rsidRPr="00381DAC">
        <w:rPr>
          <w:rFonts w:eastAsia="Times New Roman" w:cs="Calibri"/>
          <w:sz w:val="24"/>
          <w:szCs w:val="24"/>
          <w:lang w:val="en-US" w:eastAsia="en-GB"/>
        </w:rPr>
        <w:t xml:space="preserve"> and Agreement</w:t>
      </w:r>
    </w:p>
    <w:p w:rsidR="009B778A" w:rsidRPr="00381DAC" w:rsidRDefault="009B778A" w:rsidP="009B778A">
      <w:pPr>
        <w:pStyle w:val="PargrafodaLista"/>
        <w:spacing w:after="0" w:line="360" w:lineRule="auto"/>
        <w:jc w:val="both"/>
        <w:rPr>
          <w:rFonts w:eastAsia="Times New Roman" w:cs="Calibri"/>
          <w:sz w:val="24"/>
          <w:szCs w:val="24"/>
          <w:lang w:val="en-US" w:eastAsia="en-GB"/>
        </w:rPr>
      </w:pPr>
    </w:p>
    <w:p w:rsidR="009B778A" w:rsidRDefault="009B778A" w:rsidP="000A2AA6">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In the words</w:t>
      </w:r>
      <w:r w:rsidR="00355049">
        <w:rPr>
          <w:rFonts w:asciiTheme="minorHAnsi" w:eastAsia="Times New Roman" w:hAnsiTheme="minorHAnsi" w:cs="Calibri"/>
          <w:sz w:val="24"/>
          <w:szCs w:val="24"/>
          <w:lang w:val="en-US" w:eastAsia="en-GB"/>
        </w:rPr>
        <w:t xml:space="preserve"> of </w:t>
      </w:r>
      <w:r w:rsidR="00E911BD" w:rsidRPr="00381DAC">
        <w:rPr>
          <w:rFonts w:asciiTheme="minorHAnsi" w:eastAsia="Times New Roman" w:hAnsiTheme="minorHAnsi" w:cs="Calibri"/>
          <w:sz w:val="24"/>
          <w:szCs w:val="24"/>
          <w:lang w:val="en-US" w:eastAsia="en-GB"/>
        </w:rPr>
        <w:t xml:space="preserve">Jean Claude </w:t>
      </w:r>
      <w:proofErr w:type="spellStart"/>
      <w:r w:rsidR="00E911BD" w:rsidRPr="00381DAC">
        <w:rPr>
          <w:rFonts w:asciiTheme="minorHAnsi" w:eastAsia="Times New Roman" w:hAnsiTheme="minorHAnsi" w:cs="Calibri"/>
          <w:sz w:val="24"/>
          <w:szCs w:val="24"/>
          <w:lang w:val="en-US" w:eastAsia="en-GB"/>
        </w:rPr>
        <w:t>Piris</w:t>
      </w:r>
      <w:proofErr w:type="spellEnd"/>
      <w:r w:rsidR="00E911BD" w:rsidRPr="00381DAC">
        <w:rPr>
          <w:rFonts w:asciiTheme="minorHAnsi" w:eastAsia="Times New Roman" w:hAnsiTheme="minorHAnsi" w:cs="Calibri"/>
          <w:sz w:val="24"/>
          <w:szCs w:val="24"/>
          <w:lang w:val="en-US" w:eastAsia="en-GB"/>
        </w:rPr>
        <w:t xml:space="preserve"> A</w:t>
      </w:r>
      <w:r w:rsidRPr="00381DAC">
        <w:rPr>
          <w:rFonts w:asciiTheme="minorHAnsi" w:eastAsia="Times New Roman" w:hAnsiTheme="minorHAnsi" w:cs="Calibri"/>
          <w:sz w:val="24"/>
          <w:szCs w:val="24"/>
          <w:lang w:val="en-US" w:eastAsia="en-GB"/>
        </w:rPr>
        <w:t>rticle 50, nº 2</w:t>
      </w:r>
      <w:r w:rsidR="00981846">
        <w:rPr>
          <w:rFonts w:asciiTheme="minorHAnsi" w:eastAsia="Times New Roman" w:hAnsiTheme="minorHAnsi" w:cs="Calibri"/>
          <w:sz w:val="24"/>
          <w:szCs w:val="24"/>
          <w:lang w:val="en-US" w:eastAsia="en-GB"/>
        </w:rPr>
        <w:t>, of the TEU</w:t>
      </w:r>
      <w:r w:rsidR="00052A13">
        <w:rPr>
          <w:rFonts w:asciiTheme="minorHAnsi" w:eastAsia="Times New Roman" w:hAnsiTheme="minorHAnsi" w:cs="Calibri"/>
          <w:sz w:val="24"/>
          <w:szCs w:val="24"/>
          <w:lang w:val="en-US" w:eastAsia="en-GB"/>
        </w:rPr>
        <w:t>,</w:t>
      </w:r>
      <w:r w:rsidR="00981846">
        <w:rPr>
          <w:rFonts w:asciiTheme="minorHAnsi" w:eastAsia="Times New Roman" w:hAnsiTheme="minorHAnsi" w:cs="Calibri"/>
          <w:sz w:val="24"/>
          <w:szCs w:val="24"/>
          <w:lang w:val="en-US" w:eastAsia="en-GB"/>
        </w:rPr>
        <w:t xml:space="preserve"> </w:t>
      </w:r>
      <w:r w:rsidRPr="00381DAC">
        <w:rPr>
          <w:rFonts w:asciiTheme="minorHAnsi" w:eastAsia="Times New Roman" w:hAnsiTheme="minorHAnsi" w:cs="Calibri"/>
          <w:sz w:val="24"/>
          <w:szCs w:val="24"/>
          <w:lang w:val="en-US" w:eastAsia="en-GB"/>
        </w:rPr>
        <w:t>consecrates a “divo</w:t>
      </w:r>
      <w:r w:rsidR="00470174">
        <w:rPr>
          <w:rFonts w:asciiTheme="minorHAnsi" w:eastAsia="Times New Roman" w:hAnsiTheme="minorHAnsi" w:cs="Calibri"/>
          <w:sz w:val="24"/>
          <w:szCs w:val="24"/>
          <w:lang w:val="en-US" w:eastAsia="en-GB"/>
        </w:rPr>
        <w:t>rce procedure”</w:t>
      </w:r>
      <w:r w:rsidRPr="00381DAC">
        <w:rPr>
          <w:rFonts w:asciiTheme="minorHAnsi" w:eastAsia="Times New Roman" w:hAnsiTheme="minorHAnsi" w:cs="Calibri"/>
          <w:sz w:val="24"/>
          <w:szCs w:val="24"/>
          <w:lang w:val="en-US" w:eastAsia="en-GB"/>
        </w:rPr>
        <w:t>.</w:t>
      </w:r>
      <w:r w:rsidR="00470174">
        <w:rPr>
          <w:rStyle w:val="Refdenotaderodap"/>
          <w:rFonts w:asciiTheme="minorHAnsi" w:eastAsia="Times New Roman" w:hAnsiTheme="minorHAnsi" w:cs="Calibri"/>
          <w:sz w:val="24"/>
          <w:szCs w:val="24"/>
          <w:lang w:val="en-US" w:eastAsia="en-GB"/>
        </w:rPr>
        <w:footnoteReference w:id="19"/>
      </w:r>
      <w:r w:rsidRPr="00381DAC">
        <w:rPr>
          <w:rFonts w:asciiTheme="minorHAnsi" w:eastAsia="Times New Roman" w:hAnsiTheme="minorHAnsi" w:cs="Calibri"/>
          <w:sz w:val="24"/>
          <w:szCs w:val="24"/>
          <w:lang w:val="en-US" w:eastAsia="en-GB"/>
        </w:rPr>
        <w:t xml:space="preserve"> </w:t>
      </w:r>
      <w:r w:rsidR="000A2AA6">
        <w:rPr>
          <w:rFonts w:asciiTheme="minorHAnsi" w:eastAsia="Times New Roman" w:hAnsiTheme="minorHAnsi" w:cs="Calibri"/>
          <w:sz w:val="24"/>
          <w:szCs w:val="24"/>
          <w:lang w:val="en-US" w:eastAsia="en-GB"/>
        </w:rPr>
        <w:t xml:space="preserve">However, the procedure laid down in the provision is described as «embryonic» by the legal doctrine, namely </w:t>
      </w:r>
      <w:proofErr w:type="spellStart"/>
      <w:r w:rsidR="000A2AA6">
        <w:rPr>
          <w:rFonts w:asciiTheme="minorHAnsi" w:eastAsia="Times New Roman" w:hAnsiTheme="minorHAnsi" w:cs="Calibri"/>
          <w:sz w:val="24"/>
          <w:szCs w:val="24"/>
          <w:lang w:val="en-US" w:eastAsia="en-GB"/>
        </w:rPr>
        <w:t>Ma</w:t>
      </w:r>
      <w:r w:rsidR="00470174">
        <w:rPr>
          <w:rFonts w:asciiTheme="minorHAnsi" w:eastAsia="Times New Roman" w:hAnsiTheme="minorHAnsi" w:cs="Calibri"/>
          <w:sz w:val="24"/>
          <w:szCs w:val="24"/>
          <w:lang w:val="en-US" w:eastAsia="en-GB"/>
        </w:rPr>
        <w:t>lathouni</w:t>
      </w:r>
      <w:proofErr w:type="spellEnd"/>
      <w:r w:rsidR="000A2AA6">
        <w:rPr>
          <w:rFonts w:asciiTheme="minorHAnsi" w:eastAsia="Times New Roman" w:hAnsiTheme="minorHAnsi" w:cs="Calibri"/>
          <w:sz w:val="24"/>
          <w:szCs w:val="24"/>
          <w:lang w:val="en-US" w:eastAsia="en-GB"/>
        </w:rPr>
        <w:t>.</w:t>
      </w:r>
      <w:r w:rsidR="00470174">
        <w:rPr>
          <w:rStyle w:val="Refdenotaderodap"/>
          <w:rFonts w:asciiTheme="minorHAnsi" w:eastAsia="Times New Roman" w:hAnsiTheme="minorHAnsi" w:cs="Calibri"/>
          <w:sz w:val="24"/>
          <w:szCs w:val="24"/>
          <w:lang w:val="en-US" w:eastAsia="en-GB"/>
        </w:rPr>
        <w:footnoteReference w:id="20"/>
      </w:r>
      <w:r w:rsidR="000A2AA6">
        <w:rPr>
          <w:rFonts w:asciiTheme="minorHAnsi" w:eastAsia="Times New Roman" w:hAnsiTheme="minorHAnsi" w:cs="Calibri"/>
          <w:sz w:val="24"/>
          <w:szCs w:val="24"/>
          <w:lang w:val="en-US" w:eastAsia="en-GB"/>
        </w:rPr>
        <w:t xml:space="preserve"> </w:t>
      </w:r>
      <w:r w:rsidR="00405D63">
        <w:rPr>
          <w:rFonts w:asciiTheme="minorHAnsi" w:eastAsia="Times New Roman" w:hAnsiTheme="minorHAnsi" w:cs="Calibri"/>
          <w:sz w:val="24"/>
          <w:szCs w:val="24"/>
          <w:lang w:val="en-US" w:eastAsia="en-GB"/>
        </w:rPr>
        <w:t>Firstly, the Member S</w:t>
      </w:r>
      <w:r w:rsidR="0036100A" w:rsidRPr="00381DAC">
        <w:rPr>
          <w:rFonts w:asciiTheme="minorHAnsi" w:eastAsia="Times New Roman" w:hAnsiTheme="minorHAnsi" w:cs="Calibri"/>
          <w:sz w:val="24"/>
          <w:szCs w:val="24"/>
          <w:lang w:val="en-US" w:eastAsia="en-GB"/>
        </w:rPr>
        <w:t>tate</w:t>
      </w:r>
      <w:r w:rsidR="00E15D14">
        <w:rPr>
          <w:rFonts w:asciiTheme="minorHAnsi" w:eastAsia="Times New Roman" w:hAnsiTheme="minorHAnsi" w:cs="Calibri"/>
          <w:sz w:val="24"/>
          <w:szCs w:val="24"/>
          <w:lang w:val="en-US" w:eastAsia="en-GB"/>
        </w:rPr>
        <w:t xml:space="preserve"> who </w:t>
      </w:r>
      <w:r w:rsidRPr="00381DAC">
        <w:rPr>
          <w:rFonts w:asciiTheme="minorHAnsi" w:eastAsia="Times New Roman" w:hAnsiTheme="minorHAnsi" w:cs="Calibri"/>
          <w:sz w:val="24"/>
          <w:szCs w:val="24"/>
          <w:lang w:val="en-US" w:eastAsia="en-GB"/>
        </w:rPr>
        <w:t>has decid</w:t>
      </w:r>
      <w:r w:rsidR="00EB55E1">
        <w:rPr>
          <w:rFonts w:asciiTheme="minorHAnsi" w:eastAsia="Times New Roman" w:hAnsiTheme="minorHAnsi" w:cs="Calibri"/>
          <w:sz w:val="24"/>
          <w:szCs w:val="24"/>
          <w:lang w:val="en-US" w:eastAsia="en-GB"/>
        </w:rPr>
        <w:t>ed to withdraw from the EU</w:t>
      </w:r>
      <w:r w:rsidRPr="00381DAC">
        <w:rPr>
          <w:rFonts w:asciiTheme="minorHAnsi" w:eastAsia="Times New Roman" w:hAnsiTheme="minorHAnsi" w:cs="Calibri"/>
          <w:sz w:val="24"/>
          <w:szCs w:val="24"/>
          <w:lang w:val="en-US" w:eastAsia="en-GB"/>
        </w:rPr>
        <w:t xml:space="preserve"> must notify the European Council of its intention to do so. The re</w:t>
      </w:r>
      <w:r w:rsidR="00E911BD" w:rsidRPr="00381DAC">
        <w:rPr>
          <w:rFonts w:asciiTheme="minorHAnsi" w:eastAsia="Times New Roman" w:hAnsiTheme="minorHAnsi" w:cs="Calibri"/>
          <w:sz w:val="24"/>
          <w:szCs w:val="24"/>
          <w:lang w:val="en-US" w:eastAsia="en-GB"/>
        </w:rPr>
        <w:t>ception of the notification tri</w:t>
      </w:r>
      <w:r w:rsidRPr="00381DAC">
        <w:rPr>
          <w:rFonts w:asciiTheme="minorHAnsi" w:eastAsia="Times New Roman" w:hAnsiTheme="minorHAnsi" w:cs="Calibri"/>
          <w:sz w:val="24"/>
          <w:szCs w:val="24"/>
          <w:lang w:val="en-US" w:eastAsia="en-GB"/>
        </w:rPr>
        <w:t xml:space="preserve">ggers </w:t>
      </w:r>
      <w:r w:rsidR="00E15D14">
        <w:rPr>
          <w:rFonts w:asciiTheme="minorHAnsi" w:eastAsia="Times New Roman" w:hAnsiTheme="minorHAnsi" w:cs="Calibri"/>
          <w:sz w:val="24"/>
          <w:szCs w:val="24"/>
          <w:lang w:val="en-US" w:eastAsia="en-GB"/>
        </w:rPr>
        <w:t>the next step in the procedure. T</w:t>
      </w:r>
      <w:r w:rsidR="009661A8" w:rsidRPr="00381DAC">
        <w:rPr>
          <w:rFonts w:asciiTheme="minorHAnsi" w:eastAsia="Times New Roman" w:hAnsiTheme="minorHAnsi" w:cs="Calibri"/>
          <w:sz w:val="24"/>
          <w:szCs w:val="24"/>
          <w:lang w:val="en-US" w:eastAsia="en-GB"/>
        </w:rPr>
        <w:t>his step concerns</w:t>
      </w:r>
      <w:r w:rsidR="00E911BD" w:rsidRPr="00381DAC">
        <w:rPr>
          <w:rFonts w:asciiTheme="minorHAnsi" w:eastAsia="Times New Roman" w:hAnsiTheme="minorHAnsi" w:cs="Calibri"/>
          <w:sz w:val="24"/>
          <w:szCs w:val="24"/>
          <w:lang w:val="en-US" w:eastAsia="en-GB"/>
        </w:rPr>
        <w:t xml:space="preserve"> </w:t>
      </w:r>
      <w:r w:rsidR="009661A8" w:rsidRPr="00381DAC">
        <w:rPr>
          <w:rFonts w:asciiTheme="minorHAnsi" w:eastAsia="Times New Roman" w:hAnsiTheme="minorHAnsi" w:cs="Calibri"/>
          <w:sz w:val="24"/>
          <w:szCs w:val="24"/>
          <w:lang w:val="en-US" w:eastAsia="en-GB"/>
        </w:rPr>
        <w:t>the negotiation and signi</w:t>
      </w:r>
      <w:r w:rsidR="00E911BD" w:rsidRPr="00381DAC">
        <w:rPr>
          <w:rFonts w:asciiTheme="minorHAnsi" w:eastAsia="Times New Roman" w:hAnsiTheme="minorHAnsi" w:cs="Calibri"/>
          <w:sz w:val="24"/>
          <w:szCs w:val="24"/>
          <w:lang w:val="en-US" w:eastAsia="en-GB"/>
        </w:rPr>
        <w:t>ng of an agreement between the wi</w:t>
      </w:r>
      <w:r w:rsidR="009661A8" w:rsidRPr="00381DAC">
        <w:rPr>
          <w:rFonts w:asciiTheme="minorHAnsi" w:eastAsia="Times New Roman" w:hAnsiTheme="minorHAnsi" w:cs="Calibri"/>
          <w:sz w:val="24"/>
          <w:szCs w:val="24"/>
          <w:lang w:val="en-US" w:eastAsia="en-GB"/>
        </w:rPr>
        <w:t>thdraw</w:t>
      </w:r>
      <w:r w:rsidR="00EB55E1">
        <w:rPr>
          <w:rFonts w:asciiTheme="minorHAnsi" w:eastAsia="Times New Roman" w:hAnsiTheme="minorHAnsi" w:cs="Calibri"/>
          <w:sz w:val="24"/>
          <w:szCs w:val="24"/>
          <w:lang w:val="en-US" w:eastAsia="en-GB"/>
        </w:rPr>
        <w:t>ing State and the EU</w:t>
      </w:r>
      <w:r w:rsidR="009661A8" w:rsidRPr="00381DAC">
        <w:rPr>
          <w:rFonts w:asciiTheme="minorHAnsi" w:eastAsia="Times New Roman" w:hAnsiTheme="minorHAnsi" w:cs="Calibri"/>
          <w:sz w:val="24"/>
          <w:szCs w:val="24"/>
          <w:lang w:val="en-US" w:eastAsia="en-GB"/>
        </w:rPr>
        <w:t xml:space="preserve"> </w:t>
      </w:r>
      <w:r w:rsidR="0074154C">
        <w:rPr>
          <w:rFonts w:asciiTheme="minorHAnsi" w:eastAsia="Times New Roman" w:hAnsiTheme="minorHAnsi" w:cs="Calibri"/>
          <w:sz w:val="24"/>
          <w:szCs w:val="24"/>
          <w:lang w:val="en-US" w:eastAsia="en-GB"/>
        </w:rPr>
        <w:t xml:space="preserve">governing </w:t>
      </w:r>
      <w:r w:rsidR="009661A8" w:rsidRPr="00381DAC">
        <w:rPr>
          <w:rFonts w:asciiTheme="minorHAnsi" w:eastAsia="Times New Roman" w:hAnsiTheme="minorHAnsi" w:cs="Calibri"/>
          <w:sz w:val="24"/>
          <w:szCs w:val="24"/>
          <w:lang w:val="en-US" w:eastAsia="en-GB"/>
        </w:rPr>
        <w:t>the exit and bearing in mind the future relation</w:t>
      </w:r>
      <w:r w:rsidR="005172C7">
        <w:rPr>
          <w:rFonts w:asciiTheme="minorHAnsi" w:eastAsia="Times New Roman" w:hAnsiTheme="minorHAnsi" w:cs="Calibri"/>
          <w:sz w:val="24"/>
          <w:szCs w:val="24"/>
          <w:lang w:val="en-US" w:eastAsia="en-GB"/>
        </w:rPr>
        <w:t>ship</w:t>
      </w:r>
      <w:r w:rsidR="00D64A0A">
        <w:rPr>
          <w:rFonts w:asciiTheme="minorHAnsi" w:eastAsia="Times New Roman" w:hAnsiTheme="minorHAnsi" w:cs="Calibri"/>
          <w:sz w:val="24"/>
          <w:szCs w:val="24"/>
          <w:lang w:val="en-US" w:eastAsia="en-GB"/>
        </w:rPr>
        <w:t xml:space="preserve"> between the two parties according to the guidelines prescribed by the European Council.</w:t>
      </w:r>
    </w:p>
    <w:p w:rsidR="007A044D" w:rsidRPr="00381DAC" w:rsidRDefault="007A044D" w:rsidP="000A2AA6">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The agreement shall be negotiated in accordance to the rules provided in Article 218º, nº 3, of the Treaty on the Functioning of the European Union (TFUE) which disciplines the conclusion of international agreements by the E</w:t>
      </w:r>
      <w:r w:rsidR="00EB55E1">
        <w:rPr>
          <w:rFonts w:asciiTheme="minorHAnsi" w:eastAsia="Times New Roman" w:hAnsiTheme="minorHAnsi" w:cs="Calibri"/>
          <w:sz w:val="24"/>
          <w:szCs w:val="24"/>
          <w:lang w:val="en-US" w:eastAsia="en-GB"/>
        </w:rPr>
        <w:t>U</w:t>
      </w:r>
      <w:r>
        <w:rPr>
          <w:rFonts w:asciiTheme="minorHAnsi" w:eastAsia="Times New Roman" w:hAnsiTheme="minorHAnsi" w:cs="Calibri"/>
          <w:sz w:val="24"/>
          <w:szCs w:val="24"/>
          <w:lang w:val="en-US" w:eastAsia="en-GB"/>
        </w:rPr>
        <w:t>.</w:t>
      </w:r>
      <w:r w:rsidR="00E55434">
        <w:rPr>
          <w:rFonts w:asciiTheme="minorHAnsi" w:eastAsia="Times New Roman" w:hAnsiTheme="minorHAnsi" w:cs="Calibri"/>
          <w:sz w:val="24"/>
          <w:szCs w:val="24"/>
          <w:lang w:val="en-US" w:eastAsia="en-GB"/>
        </w:rPr>
        <w:t xml:space="preserve"> According to this</w:t>
      </w:r>
      <w:r>
        <w:rPr>
          <w:rFonts w:asciiTheme="minorHAnsi" w:eastAsia="Times New Roman" w:hAnsiTheme="minorHAnsi" w:cs="Calibri"/>
          <w:sz w:val="24"/>
          <w:szCs w:val="24"/>
          <w:lang w:val="en-US" w:eastAsia="en-GB"/>
        </w:rPr>
        <w:t xml:space="preserve"> provision</w:t>
      </w:r>
      <w:r w:rsidR="00E55434">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 xml:space="preserve"> the Co</w:t>
      </w:r>
      <w:r w:rsidR="005D770A">
        <w:rPr>
          <w:rFonts w:asciiTheme="minorHAnsi" w:eastAsia="Times New Roman" w:hAnsiTheme="minorHAnsi" w:cs="Calibri"/>
          <w:sz w:val="24"/>
          <w:szCs w:val="24"/>
          <w:lang w:val="en-US" w:eastAsia="en-GB"/>
        </w:rPr>
        <w:t>m</w:t>
      </w:r>
      <w:r>
        <w:rPr>
          <w:rFonts w:asciiTheme="minorHAnsi" w:eastAsia="Times New Roman" w:hAnsiTheme="minorHAnsi" w:cs="Calibri"/>
          <w:sz w:val="24"/>
          <w:szCs w:val="24"/>
          <w:lang w:val="en-US" w:eastAsia="en-GB"/>
        </w:rPr>
        <w:t xml:space="preserve">mission must submit recommendations </w:t>
      </w:r>
      <w:r w:rsidR="00E55434">
        <w:rPr>
          <w:rFonts w:asciiTheme="minorHAnsi" w:eastAsia="Times New Roman" w:hAnsiTheme="minorHAnsi" w:cs="Calibri"/>
          <w:sz w:val="24"/>
          <w:szCs w:val="24"/>
          <w:lang w:val="en-US" w:eastAsia="en-GB"/>
        </w:rPr>
        <w:t>to the Council which then</w:t>
      </w:r>
      <w:r>
        <w:rPr>
          <w:rFonts w:asciiTheme="minorHAnsi" w:eastAsia="Times New Roman" w:hAnsiTheme="minorHAnsi" w:cs="Calibri"/>
          <w:sz w:val="24"/>
          <w:szCs w:val="24"/>
          <w:lang w:val="en-US" w:eastAsia="en-GB"/>
        </w:rPr>
        <w:t xml:space="preserve"> authorizes the op</w:t>
      </w:r>
      <w:r w:rsidR="005D770A">
        <w:rPr>
          <w:rFonts w:asciiTheme="minorHAnsi" w:eastAsia="Times New Roman" w:hAnsiTheme="minorHAnsi" w:cs="Calibri"/>
          <w:sz w:val="24"/>
          <w:szCs w:val="24"/>
          <w:lang w:val="en-US" w:eastAsia="en-GB"/>
        </w:rPr>
        <w:t>ening of the negotiations. The</w:t>
      </w:r>
      <w:r>
        <w:rPr>
          <w:rFonts w:asciiTheme="minorHAnsi" w:eastAsia="Times New Roman" w:hAnsiTheme="minorHAnsi" w:cs="Calibri"/>
          <w:sz w:val="24"/>
          <w:szCs w:val="24"/>
          <w:lang w:val="en-US" w:eastAsia="en-GB"/>
        </w:rPr>
        <w:t xml:space="preserve"> Council also adopts the negotiation directives and appoints the negotiating team. Once an agreement is reached</w:t>
      </w:r>
      <w:r w:rsidR="00E55434">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 xml:space="preserve"> the Council </w:t>
      </w:r>
      <w:r w:rsidR="005D770A">
        <w:rPr>
          <w:rFonts w:asciiTheme="minorHAnsi" w:eastAsia="Times New Roman" w:hAnsiTheme="minorHAnsi" w:cs="Calibri"/>
          <w:sz w:val="24"/>
          <w:szCs w:val="24"/>
          <w:lang w:val="en-US" w:eastAsia="en-GB"/>
        </w:rPr>
        <w:t>authorizes its signing according to article 218, nº 5, of the TFUE. Council deliberations are based on a qualified majority and the procedural rules in the area of international agreements require that it obtains the consent of the European Parliament.</w:t>
      </w:r>
    </w:p>
    <w:p w:rsidR="009661A8" w:rsidRPr="00381DAC" w:rsidRDefault="00E55434" w:rsidP="00E911BD">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 xml:space="preserve">The </w:t>
      </w:r>
      <w:r w:rsidR="009661A8" w:rsidRPr="00381DAC">
        <w:rPr>
          <w:rFonts w:asciiTheme="minorHAnsi" w:eastAsia="Times New Roman" w:hAnsiTheme="minorHAnsi" w:cs="Calibri"/>
          <w:sz w:val="24"/>
          <w:szCs w:val="24"/>
          <w:lang w:val="en-US" w:eastAsia="en-GB"/>
        </w:rPr>
        <w:t xml:space="preserve">agreement </w:t>
      </w:r>
      <w:r w:rsidR="0074154C">
        <w:rPr>
          <w:rFonts w:asciiTheme="minorHAnsi" w:eastAsia="Times New Roman" w:hAnsiTheme="minorHAnsi" w:cs="Calibri"/>
          <w:sz w:val="24"/>
          <w:szCs w:val="24"/>
          <w:lang w:val="en-US" w:eastAsia="en-GB"/>
        </w:rPr>
        <w:t>foreseen in Article 50, nº 2, o</w:t>
      </w:r>
      <w:r w:rsidR="00E15D14">
        <w:rPr>
          <w:rFonts w:asciiTheme="minorHAnsi" w:eastAsia="Times New Roman" w:hAnsiTheme="minorHAnsi" w:cs="Calibri"/>
          <w:sz w:val="24"/>
          <w:szCs w:val="24"/>
          <w:lang w:val="en-US" w:eastAsia="en-GB"/>
        </w:rPr>
        <w:t>f t</w:t>
      </w:r>
      <w:r w:rsidR="00BB62A6">
        <w:rPr>
          <w:rFonts w:asciiTheme="minorHAnsi" w:eastAsia="Times New Roman" w:hAnsiTheme="minorHAnsi" w:cs="Calibri"/>
          <w:sz w:val="24"/>
          <w:szCs w:val="24"/>
          <w:lang w:val="en-US" w:eastAsia="en-GB"/>
        </w:rPr>
        <w:t>he T</w:t>
      </w:r>
      <w:r w:rsidR="00981846">
        <w:rPr>
          <w:rFonts w:asciiTheme="minorHAnsi" w:eastAsia="Times New Roman" w:hAnsiTheme="minorHAnsi" w:cs="Calibri"/>
          <w:sz w:val="24"/>
          <w:szCs w:val="24"/>
          <w:lang w:val="en-US" w:eastAsia="en-GB"/>
        </w:rPr>
        <w:t>EU</w:t>
      </w:r>
      <w:r w:rsidR="00BB62A6">
        <w:rPr>
          <w:rFonts w:asciiTheme="minorHAnsi" w:eastAsia="Times New Roman" w:hAnsiTheme="minorHAnsi" w:cs="Calibri"/>
          <w:sz w:val="24"/>
          <w:szCs w:val="24"/>
          <w:lang w:val="en-US" w:eastAsia="en-GB"/>
        </w:rPr>
        <w:t xml:space="preserve">, </w:t>
      </w:r>
      <w:r w:rsidR="00E911BD" w:rsidRPr="00381DAC">
        <w:rPr>
          <w:rFonts w:asciiTheme="minorHAnsi" w:eastAsia="Times New Roman" w:hAnsiTheme="minorHAnsi" w:cs="Calibri"/>
          <w:sz w:val="24"/>
          <w:szCs w:val="24"/>
          <w:lang w:val="en-US" w:eastAsia="en-GB"/>
        </w:rPr>
        <w:t xml:space="preserve">is widely discussed </w:t>
      </w:r>
      <w:r w:rsidR="00E15D14">
        <w:rPr>
          <w:rFonts w:asciiTheme="minorHAnsi" w:eastAsia="Times New Roman" w:hAnsiTheme="minorHAnsi" w:cs="Calibri"/>
          <w:sz w:val="24"/>
          <w:szCs w:val="24"/>
          <w:lang w:val="en-US" w:eastAsia="en-GB"/>
        </w:rPr>
        <w:t xml:space="preserve">in the </w:t>
      </w:r>
      <w:r w:rsidR="009661A8" w:rsidRPr="00381DAC">
        <w:rPr>
          <w:rFonts w:asciiTheme="minorHAnsi" w:eastAsia="Times New Roman" w:hAnsiTheme="minorHAnsi" w:cs="Calibri"/>
          <w:sz w:val="24"/>
          <w:szCs w:val="24"/>
          <w:lang w:val="en-US" w:eastAsia="en-GB"/>
        </w:rPr>
        <w:t>legal doctrine because of the important ques</w:t>
      </w:r>
      <w:r w:rsidR="00E15D14">
        <w:rPr>
          <w:rFonts w:asciiTheme="minorHAnsi" w:eastAsia="Times New Roman" w:hAnsiTheme="minorHAnsi" w:cs="Calibri"/>
          <w:sz w:val="24"/>
          <w:szCs w:val="24"/>
          <w:lang w:val="en-US" w:eastAsia="en-GB"/>
        </w:rPr>
        <w:t>tions connected with it</w:t>
      </w:r>
      <w:r w:rsidR="009661A8" w:rsidRPr="00381DAC">
        <w:rPr>
          <w:rFonts w:asciiTheme="minorHAnsi" w:eastAsia="Times New Roman" w:hAnsiTheme="minorHAnsi" w:cs="Calibri"/>
          <w:sz w:val="24"/>
          <w:szCs w:val="24"/>
          <w:lang w:val="en-US" w:eastAsia="en-GB"/>
        </w:rPr>
        <w:t>. One</w:t>
      </w:r>
      <w:r w:rsidR="00CF6FB6" w:rsidRPr="00381DAC">
        <w:rPr>
          <w:rFonts w:asciiTheme="minorHAnsi" w:eastAsia="Times New Roman" w:hAnsiTheme="minorHAnsi" w:cs="Calibri"/>
          <w:sz w:val="24"/>
          <w:szCs w:val="24"/>
          <w:lang w:val="en-US" w:eastAsia="en-GB"/>
        </w:rPr>
        <w:t xml:space="preserve"> of the first observations made relative to t</w:t>
      </w:r>
      <w:r w:rsidR="009661A8" w:rsidRPr="00381DAC">
        <w:rPr>
          <w:rFonts w:asciiTheme="minorHAnsi" w:eastAsia="Times New Roman" w:hAnsiTheme="minorHAnsi" w:cs="Calibri"/>
          <w:sz w:val="24"/>
          <w:szCs w:val="24"/>
          <w:lang w:val="en-US" w:eastAsia="en-GB"/>
        </w:rPr>
        <w:t xml:space="preserve">he agreement is </w:t>
      </w:r>
      <w:r w:rsidR="00CF6FB6" w:rsidRPr="00381DAC">
        <w:rPr>
          <w:rFonts w:asciiTheme="minorHAnsi" w:eastAsia="Times New Roman" w:hAnsiTheme="minorHAnsi" w:cs="Calibri"/>
          <w:sz w:val="24"/>
          <w:szCs w:val="24"/>
          <w:lang w:val="en-US" w:eastAsia="en-GB"/>
        </w:rPr>
        <w:t xml:space="preserve">that is </w:t>
      </w:r>
      <w:r w:rsidR="009661A8" w:rsidRPr="00381DAC">
        <w:rPr>
          <w:rFonts w:asciiTheme="minorHAnsi" w:eastAsia="Times New Roman" w:hAnsiTheme="minorHAnsi" w:cs="Calibri"/>
          <w:sz w:val="24"/>
          <w:szCs w:val="24"/>
          <w:lang w:val="en-US" w:eastAsia="en-GB"/>
        </w:rPr>
        <w:t>not mandatory. Therefore</w:t>
      </w:r>
      <w:r w:rsidR="00E911BD" w:rsidRPr="00381DAC">
        <w:rPr>
          <w:rFonts w:asciiTheme="minorHAnsi" w:eastAsia="Times New Roman" w:hAnsiTheme="minorHAnsi" w:cs="Calibri"/>
          <w:sz w:val="24"/>
          <w:szCs w:val="24"/>
          <w:lang w:val="en-US" w:eastAsia="en-GB"/>
        </w:rPr>
        <w:t>,</w:t>
      </w:r>
      <w:r w:rsidR="009661A8" w:rsidRPr="00381DAC">
        <w:rPr>
          <w:rFonts w:asciiTheme="minorHAnsi" w:eastAsia="Times New Roman" w:hAnsiTheme="minorHAnsi" w:cs="Calibri"/>
          <w:sz w:val="24"/>
          <w:szCs w:val="24"/>
          <w:lang w:val="en-US" w:eastAsia="en-GB"/>
        </w:rPr>
        <w:t xml:space="preserve"> there can be a withdr</w:t>
      </w:r>
      <w:r w:rsidR="00C11DE7" w:rsidRPr="00381DAC">
        <w:rPr>
          <w:rFonts w:asciiTheme="minorHAnsi" w:eastAsia="Times New Roman" w:hAnsiTheme="minorHAnsi" w:cs="Calibri"/>
          <w:sz w:val="24"/>
          <w:szCs w:val="24"/>
          <w:lang w:val="en-US" w:eastAsia="en-GB"/>
        </w:rPr>
        <w:t>a</w:t>
      </w:r>
      <w:r w:rsidR="009661A8" w:rsidRPr="00381DAC">
        <w:rPr>
          <w:rFonts w:asciiTheme="minorHAnsi" w:eastAsia="Times New Roman" w:hAnsiTheme="minorHAnsi" w:cs="Calibri"/>
          <w:sz w:val="24"/>
          <w:szCs w:val="24"/>
          <w:lang w:val="en-US" w:eastAsia="en-GB"/>
        </w:rPr>
        <w:t>wal from th</w:t>
      </w:r>
      <w:r w:rsidR="00EB55E1">
        <w:rPr>
          <w:rFonts w:asciiTheme="minorHAnsi" w:eastAsia="Times New Roman" w:hAnsiTheme="minorHAnsi" w:cs="Calibri"/>
          <w:sz w:val="24"/>
          <w:szCs w:val="24"/>
          <w:lang w:val="en-US" w:eastAsia="en-GB"/>
        </w:rPr>
        <w:t>e EU</w:t>
      </w:r>
      <w:r w:rsidR="00981846">
        <w:rPr>
          <w:rFonts w:asciiTheme="minorHAnsi" w:eastAsia="Times New Roman" w:hAnsiTheme="minorHAnsi" w:cs="Calibri"/>
          <w:sz w:val="24"/>
          <w:szCs w:val="24"/>
          <w:lang w:val="en-US" w:eastAsia="en-GB"/>
        </w:rPr>
        <w:t xml:space="preserve"> </w:t>
      </w:r>
      <w:r w:rsidR="00CF6FB6" w:rsidRPr="00381DAC">
        <w:rPr>
          <w:rFonts w:asciiTheme="minorHAnsi" w:eastAsia="Times New Roman" w:hAnsiTheme="minorHAnsi" w:cs="Calibri"/>
          <w:sz w:val="24"/>
          <w:szCs w:val="24"/>
          <w:lang w:val="en-US" w:eastAsia="en-GB"/>
        </w:rPr>
        <w:t>with an agreement or</w:t>
      </w:r>
      <w:r w:rsidR="009661A8" w:rsidRPr="00381DAC">
        <w:rPr>
          <w:rFonts w:asciiTheme="minorHAnsi" w:eastAsia="Times New Roman" w:hAnsiTheme="minorHAnsi" w:cs="Calibri"/>
          <w:sz w:val="24"/>
          <w:szCs w:val="24"/>
          <w:lang w:val="en-US" w:eastAsia="en-GB"/>
        </w:rPr>
        <w:t xml:space="preserve"> witho</w:t>
      </w:r>
      <w:r w:rsidR="00E911BD" w:rsidRPr="00381DAC">
        <w:rPr>
          <w:rFonts w:asciiTheme="minorHAnsi" w:eastAsia="Times New Roman" w:hAnsiTheme="minorHAnsi" w:cs="Calibri"/>
          <w:sz w:val="24"/>
          <w:szCs w:val="24"/>
          <w:lang w:val="en-US" w:eastAsia="en-GB"/>
        </w:rPr>
        <w:t>ut</w:t>
      </w:r>
      <w:r w:rsidR="00CF6FB6" w:rsidRPr="00381DAC">
        <w:rPr>
          <w:rFonts w:asciiTheme="minorHAnsi" w:eastAsia="Times New Roman" w:hAnsiTheme="minorHAnsi" w:cs="Calibri"/>
          <w:sz w:val="24"/>
          <w:szCs w:val="24"/>
          <w:lang w:val="en-US" w:eastAsia="en-GB"/>
        </w:rPr>
        <w:t xml:space="preserve"> an agreement. In other words</w:t>
      </w:r>
      <w:r w:rsidR="00E911BD" w:rsidRPr="00381DAC">
        <w:rPr>
          <w:rFonts w:asciiTheme="minorHAnsi" w:eastAsia="Times New Roman" w:hAnsiTheme="minorHAnsi" w:cs="Calibri"/>
          <w:sz w:val="24"/>
          <w:szCs w:val="24"/>
          <w:lang w:val="en-US" w:eastAsia="en-GB"/>
        </w:rPr>
        <w:t>, there are two ty</w:t>
      </w:r>
      <w:r w:rsidR="009661A8" w:rsidRPr="00381DAC">
        <w:rPr>
          <w:rFonts w:asciiTheme="minorHAnsi" w:eastAsia="Times New Roman" w:hAnsiTheme="minorHAnsi" w:cs="Calibri"/>
          <w:sz w:val="24"/>
          <w:szCs w:val="24"/>
          <w:lang w:val="en-US" w:eastAsia="en-GB"/>
        </w:rPr>
        <w:t xml:space="preserve">pes of withdrawal according to Fausto </w:t>
      </w:r>
      <w:r w:rsidR="007E0D26">
        <w:rPr>
          <w:rFonts w:asciiTheme="minorHAnsi" w:eastAsia="Times New Roman" w:hAnsiTheme="minorHAnsi" w:cs="Calibri"/>
          <w:sz w:val="24"/>
          <w:szCs w:val="24"/>
          <w:lang w:val="en-US" w:eastAsia="en-GB"/>
        </w:rPr>
        <w:t xml:space="preserve">de </w:t>
      </w:r>
      <w:proofErr w:type="spellStart"/>
      <w:r w:rsidR="009661A8" w:rsidRPr="00381DAC">
        <w:rPr>
          <w:rFonts w:asciiTheme="minorHAnsi" w:eastAsia="Times New Roman" w:hAnsiTheme="minorHAnsi" w:cs="Calibri"/>
          <w:sz w:val="24"/>
          <w:szCs w:val="24"/>
          <w:lang w:val="en-US" w:eastAsia="en-GB"/>
        </w:rPr>
        <w:t>Quadros</w:t>
      </w:r>
      <w:proofErr w:type="spellEnd"/>
      <w:r w:rsidR="00A4377C">
        <w:rPr>
          <w:rFonts w:asciiTheme="minorHAnsi" w:eastAsia="Times New Roman" w:hAnsiTheme="minorHAnsi" w:cs="Calibri"/>
          <w:sz w:val="24"/>
          <w:szCs w:val="24"/>
          <w:lang w:val="en-US" w:eastAsia="en-GB"/>
        </w:rPr>
        <w:t>.</w:t>
      </w:r>
      <w:r w:rsidR="00A4377C">
        <w:rPr>
          <w:rStyle w:val="Refdenotaderodap"/>
          <w:rFonts w:asciiTheme="minorHAnsi" w:eastAsia="Times New Roman" w:hAnsiTheme="minorHAnsi" w:cs="Calibri"/>
          <w:sz w:val="24"/>
          <w:szCs w:val="24"/>
          <w:lang w:val="en-US" w:eastAsia="en-GB"/>
        </w:rPr>
        <w:footnoteReference w:id="21"/>
      </w:r>
    </w:p>
    <w:p w:rsidR="00AF76C6" w:rsidRPr="00381DAC" w:rsidRDefault="00EF5DEF" w:rsidP="00E911BD">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Another issue</w:t>
      </w:r>
      <w:r w:rsidR="009661A8" w:rsidRPr="00381DAC">
        <w:rPr>
          <w:rFonts w:asciiTheme="minorHAnsi" w:eastAsia="Times New Roman" w:hAnsiTheme="minorHAnsi" w:cs="Calibri"/>
          <w:sz w:val="24"/>
          <w:szCs w:val="24"/>
          <w:lang w:val="en-US" w:eastAsia="en-GB"/>
        </w:rPr>
        <w:t xml:space="preserve"> raised by wording of the norm is tied to the fact that the norm does not specify </w:t>
      </w:r>
      <w:r w:rsidR="00CF6FB6" w:rsidRPr="00381DAC">
        <w:rPr>
          <w:rFonts w:asciiTheme="minorHAnsi" w:eastAsia="Times New Roman" w:hAnsiTheme="minorHAnsi" w:cs="Calibri"/>
          <w:sz w:val="24"/>
          <w:szCs w:val="24"/>
          <w:lang w:val="en-US" w:eastAsia="en-GB"/>
        </w:rPr>
        <w:t xml:space="preserve">what </w:t>
      </w:r>
      <w:r w:rsidR="009661A8" w:rsidRPr="00381DAC">
        <w:rPr>
          <w:rFonts w:asciiTheme="minorHAnsi" w:eastAsia="Times New Roman" w:hAnsiTheme="minorHAnsi" w:cs="Calibri"/>
          <w:sz w:val="24"/>
          <w:szCs w:val="24"/>
          <w:lang w:val="en-US" w:eastAsia="en-GB"/>
        </w:rPr>
        <w:t>type of matters that should be the object of the agreement.</w:t>
      </w:r>
      <w:r w:rsidR="00AF76C6" w:rsidRPr="00381DAC">
        <w:rPr>
          <w:rFonts w:asciiTheme="minorHAnsi" w:eastAsia="Times New Roman" w:hAnsiTheme="minorHAnsi" w:cs="Calibri"/>
          <w:sz w:val="24"/>
          <w:szCs w:val="24"/>
          <w:lang w:val="en-US" w:eastAsia="en-GB"/>
        </w:rPr>
        <w:t xml:space="preserve"> </w:t>
      </w:r>
      <w:r w:rsidR="00CF6FB6" w:rsidRPr="00381DAC">
        <w:rPr>
          <w:rFonts w:asciiTheme="minorHAnsi" w:eastAsia="Times New Roman" w:hAnsiTheme="minorHAnsi" w:cs="Calibri"/>
          <w:sz w:val="24"/>
          <w:szCs w:val="24"/>
          <w:lang w:val="en-US" w:eastAsia="en-GB"/>
        </w:rPr>
        <w:t xml:space="preserve">This </w:t>
      </w:r>
      <w:r w:rsidR="00355049">
        <w:rPr>
          <w:rFonts w:asciiTheme="minorHAnsi" w:eastAsia="Times New Roman" w:hAnsiTheme="minorHAnsi" w:cs="Calibri"/>
          <w:sz w:val="24"/>
          <w:szCs w:val="24"/>
          <w:lang w:val="en-US" w:eastAsia="en-GB"/>
        </w:rPr>
        <w:lastRenderedPageBreak/>
        <w:t xml:space="preserve">critical </w:t>
      </w:r>
      <w:r w:rsidR="00CF6FB6" w:rsidRPr="00381DAC">
        <w:rPr>
          <w:rFonts w:asciiTheme="minorHAnsi" w:eastAsia="Times New Roman" w:hAnsiTheme="minorHAnsi" w:cs="Calibri"/>
          <w:sz w:val="24"/>
          <w:szCs w:val="24"/>
          <w:lang w:val="en-US" w:eastAsia="en-GB"/>
        </w:rPr>
        <w:t>o</w:t>
      </w:r>
      <w:r w:rsidR="00E55434">
        <w:rPr>
          <w:rFonts w:asciiTheme="minorHAnsi" w:eastAsia="Times New Roman" w:hAnsiTheme="minorHAnsi" w:cs="Calibri"/>
          <w:sz w:val="24"/>
          <w:szCs w:val="24"/>
          <w:lang w:val="en-US" w:eastAsia="en-GB"/>
        </w:rPr>
        <w:t xml:space="preserve">mission is criticized by </w:t>
      </w:r>
      <w:r w:rsidR="00CF6FB6" w:rsidRPr="00381DAC">
        <w:rPr>
          <w:rFonts w:asciiTheme="minorHAnsi" w:eastAsia="Times New Roman" w:hAnsiTheme="minorHAnsi" w:cs="Calibri"/>
          <w:sz w:val="24"/>
          <w:szCs w:val="24"/>
          <w:lang w:val="en-US" w:eastAsia="en-GB"/>
        </w:rPr>
        <w:t xml:space="preserve">several authors </w:t>
      </w:r>
      <w:r w:rsidR="00E55434">
        <w:rPr>
          <w:rFonts w:asciiTheme="minorHAnsi" w:eastAsia="Times New Roman" w:hAnsiTheme="minorHAnsi" w:cs="Calibri"/>
          <w:sz w:val="24"/>
          <w:szCs w:val="24"/>
          <w:lang w:val="en-US" w:eastAsia="en-GB"/>
        </w:rPr>
        <w:t xml:space="preserve">and leads them </w:t>
      </w:r>
      <w:r w:rsidR="00CF6FB6" w:rsidRPr="00381DAC">
        <w:rPr>
          <w:rFonts w:asciiTheme="minorHAnsi" w:eastAsia="Times New Roman" w:hAnsiTheme="minorHAnsi" w:cs="Calibri"/>
          <w:sz w:val="24"/>
          <w:szCs w:val="24"/>
          <w:lang w:val="en-US" w:eastAsia="en-GB"/>
        </w:rPr>
        <w:t>to consider concrete areas t</w:t>
      </w:r>
      <w:r w:rsidR="00355049">
        <w:rPr>
          <w:rFonts w:asciiTheme="minorHAnsi" w:eastAsia="Times New Roman" w:hAnsiTheme="minorHAnsi" w:cs="Calibri"/>
          <w:sz w:val="24"/>
          <w:szCs w:val="24"/>
          <w:lang w:val="en-US" w:eastAsia="en-GB"/>
        </w:rPr>
        <w:t xml:space="preserve">hat an </w:t>
      </w:r>
      <w:r w:rsidR="00E15D14">
        <w:rPr>
          <w:rFonts w:asciiTheme="minorHAnsi" w:eastAsia="Times New Roman" w:hAnsiTheme="minorHAnsi" w:cs="Calibri"/>
          <w:sz w:val="24"/>
          <w:szCs w:val="24"/>
          <w:lang w:val="en-US" w:eastAsia="en-GB"/>
        </w:rPr>
        <w:t>agreement should go</w:t>
      </w:r>
      <w:r w:rsidR="00E55434">
        <w:rPr>
          <w:rFonts w:asciiTheme="minorHAnsi" w:eastAsia="Times New Roman" w:hAnsiTheme="minorHAnsi" w:cs="Calibri"/>
          <w:sz w:val="24"/>
          <w:szCs w:val="24"/>
          <w:lang w:val="en-US" w:eastAsia="en-GB"/>
        </w:rPr>
        <w:t>vern.</w:t>
      </w:r>
    </w:p>
    <w:p w:rsidR="00CF6FB6" w:rsidRDefault="00E15D14" w:rsidP="00704F28">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 xml:space="preserve">A specific matter that should be regulated in the agreement refers to fundamental rights and this question is raised by several authors. </w:t>
      </w:r>
      <w:r w:rsidR="00CF6FB6" w:rsidRPr="00381DAC">
        <w:rPr>
          <w:rFonts w:asciiTheme="minorHAnsi" w:eastAsia="Times New Roman" w:hAnsiTheme="minorHAnsi" w:cs="Calibri"/>
          <w:sz w:val="24"/>
          <w:szCs w:val="24"/>
          <w:lang w:val="en-US" w:eastAsia="en-GB"/>
        </w:rPr>
        <w:t>For exampl</w:t>
      </w:r>
      <w:r>
        <w:rPr>
          <w:rFonts w:asciiTheme="minorHAnsi" w:eastAsia="Times New Roman" w:hAnsiTheme="minorHAnsi" w:cs="Calibri"/>
          <w:sz w:val="24"/>
          <w:szCs w:val="24"/>
          <w:lang w:val="en-US" w:eastAsia="en-GB"/>
        </w:rPr>
        <w:t xml:space="preserve">e, Koen </w:t>
      </w:r>
      <w:proofErr w:type="spellStart"/>
      <w:r>
        <w:rPr>
          <w:rFonts w:asciiTheme="minorHAnsi" w:eastAsia="Times New Roman" w:hAnsiTheme="minorHAnsi" w:cs="Calibri"/>
          <w:sz w:val="24"/>
          <w:szCs w:val="24"/>
          <w:lang w:val="en-US" w:eastAsia="en-GB"/>
        </w:rPr>
        <w:t>Lenaerts</w:t>
      </w:r>
      <w:proofErr w:type="spellEnd"/>
      <w:r>
        <w:rPr>
          <w:rFonts w:asciiTheme="minorHAnsi" w:eastAsia="Times New Roman" w:hAnsiTheme="minorHAnsi" w:cs="Calibri"/>
          <w:sz w:val="24"/>
          <w:szCs w:val="24"/>
          <w:lang w:val="en-US" w:eastAsia="en-GB"/>
        </w:rPr>
        <w:t xml:space="preserve"> and Piet van </w:t>
      </w:r>
      <w:proofErr w:type="spellStart"/>
      <w:r>
        <w:rPr>
          <w:rFonts w:asciiTheme="minorHAnsi" w:eastAsia="Times New Roman" w:hAnsiTheme="minorHAnsi" w:cs="Calibri"/>
          <w:sz w:val="24"/>
          <w:szCs w:val="24"/>
          <w:lang w:val="en-US" w:eastAsia="en-GB"/>
        </w:rPr>
        <w:t>Nu</w:t>
      </w:r>
      <w:r w:rsidR="00CF6FB6" w:rsidRPr="00381DAC">
        <w:rPr>
          <w:rFonts w:asciiTheme="minorHAnsi" w:eastAsia="Times New Roman" w:hAnsiTheme="minorHAnsi" w:cs="Calibri"/>
          <w:sz w:val="24"/>
          <w:szCs w:val="24"/>
          <w:lang w:val="en-US" w:eastAsia="en-GB"/>
        </w:rPr>
        <w:t>ffel</w:t>
      </w:r>
      <w:proofErr w:type="spellEnd"/>
      <w:r w:rsidR="00CF6FB6" w:rsidRPr="00381DAC">
        <w:rPr>
          <w:rFonts w:asciiTheme="minorHAnsi" w:eastAsia="Times New Roman" w:hAnsiTheme="minorHAnsi" w:cs="Calibri"/>
          <w:sz w:val="24"/>
          <w:szCs w:val="24"/>
          <w:lang w:val="en-US" w:eastAsia="en-GB"/>
        </w:rPr>
        <w:t xml:space="preserve"> write the following: «in this connection, it will have to be determined to what extent rights and obligations stemming from Union law may continue to apply to citizens of the withdrawing Member State»</w:t>
      </w:r>
      <w:r w:rsidR="00A4377C">
        <w:rPr>
          <w:rFonts w:asciiTheme="minorHAnsi" w:eastAsia="Times New Roman" w:hAnsiTheme="minorHAnsi" w:cs="Calibri"/>
          <w:sz w:val="24"/>
          <w:szCs w:val="24"/>
          <w:lang w:val="en-US" w:eastAsia="en-GB"/>
        </w:rPr>
        <w:t>.</w:t>
      </w:r>
      <w:r w:rsidR="00A4377C">
        <w:rPr>
          <w:rStyle w:val="Refdenotaderodap"/>
          <w:rFonts w:asciiTheme="minorHAnsi" w:eastAsia="Times New Roman" w:hAnsiTheme="minorHAnsi" w:cs="Calibri"/>
          <w:sz w:val="24"/>
          <w:szCs w:val="24"/>
          <w:lang w:val="en-US" w:eastAsia="en-GB"/>
        </w:rPr>
        <w:footnoteReference w:id="22"/>
      </w:r>
      <w:r w:rsidR="00A4377C">
        <w:rPr>
          <w:rFonts w:asciiTheme="minorHAnsi" w:eastAsia="Times New Roman" w:hAnsiTheme="minorHAnsi" w:cs="Calibri"/>
          <w:sz w:val="24"/>
          <w:szCs w:val="24"/>
          <w:lang w:val="en-US" w:eastAsia="en-GB"/>
        </w:rPr>
        <w:t xml:space="preserve"> </w:t>
      </w:r>
      <w:r w:rsidR="00021F20">
        <w:rPr>
          <w:rFonts w:asciiTheme="minorHAnsi" w:eastAsia="Times New Roman" w:hAnsiTheme="minorHAnsi" w:cs="Calibri"/>
          <w:sz w:val="24"/>
          <w:szCs w:val="24"/>
          <w:lang w:val="en-US" w:eastAsia="en-GB"/>
        </w:rPr>
        <w:t>The question regarding fundamental r</w:t>
      </w:r>
      <w:r>
        <w:rPr>
          <w:rFonts w:asciiTheme="minorHAnsi" w:eastAsia="Times New Roman" w:hAnsiTheme="minorHAnsi" w:cs="Calibri"/>
          <w:sz w:val="24"/>
          <w:szCs w:val="24"/>
          <w:lang w:val="en-US" w:eastAsia="en-GB"/>
        </w:rPr>
        <w:t xml:space="preserve">ights </w:t>
      </w:r>
      <w:r w:rsidR="0027687D">
        <w:rPr>
          <w:rFonts w:asciiTheme="minorHAnsi" w:eastAsia="Times New Roman" w:hAnsiTheme="minorHAnsi" w:cs="Calibri"/>
          <w:sz w:val="24"/>
          <w:szCs w:val="24"/>
          <w:lang w:val="en-US" w:eastAsia="en-GB"/>
        </w:rPr>
        <w:t xml:space="preserve">and other important matters </w:t>
      </w:r>
      <w:r>
        <w:rPr>
          <w:rFonts w:asciiTheme="minorHAnsi" w:eastAsia="Times New Roman" w:hAnsiTheme="minorHAnsi" w:cs="Calibri"/>
          <w:sz w:val="24"/>
          <w:szCs w:val="24"/>
          <w:lang w:val="en-US" w:eastAsia="en-GB"/>
        </w:rPr>
        <w:t>is also considered by Germa</w:t>
      </w:r>
      <w:r w:rsidR="00021F20">
        <w:rPr>
          <w:rFonts w:asciiTheme="minorHAnsi" w:eastAsia="Times New Roman" w:hAnsiTheme="minorHAnsi" w:cs="Calibri"/>
          <w:sz w:val="24"/>
          <w:szCs w:val="24"/>
          <w:lang w:val="en-US" w:eastAsia="en-GB"/>
        </w:rPr>
        <w:t xml:space="preserve">n author </w:t>
      </w:r>
      <w:proofErr w:type="spellStart"/>
      <w:r w:rsidR="00021F20">
        <w:rPr>
          <w:rFonts w:asciiTheme="minorHAnsi" w:eastAsia="Times New Roman" w:hAnsiTheme="minorHAnsi" w:cs="Calibri"/>
          <w:sz w:val="24"/>
          <w:szCs w:val="24"/>
          <w:lang w:val="en-US" w:eastAsia="en-GB"/>
        </w:rPr>
        <w:t>J</w:t>
      </w:r>
      <w:r>
        <w:rPr>
          <w:rFonts w:asciiTheme="minorHAnsi" w:eastAsia="Times New Roman" w:hAnsiTheme="minorHAnsi" w:cs="Calibri"/>
          <w:sz w:val="24"/>
          <w:szCs w:val="24"/>
          <w:lang w:val="en-US" w:eastAsia="en-GB"/>
        </w:rPr>
        <w:t>ochen</w:t>
      </w:r>
      <w:proofErr w:type="spellEnd"/>
      <w:r>
        <w:rPr>
          <w:rFonts w:asciiTheme="minorHAnsi" w:eastAsia="Times New Roman" w:hAnsiTheme="minorHAnsi" w:cs="Calibri"/>
          <w:sz w:val="24"/>
          <w:szCs w:val="24"/>
          <w:lang w:val="en-US" w:eastAsia="en-GB"/>
        </w:rPr>
        <w:t xml:space="preserve"> </w:t>
      </w:r>
      <w:proofErr w:type="spellStart"/>
      <w:r>
        <w:rPr>
          <w:rFonts w:asciiTheme="minorHAnsi" w:eastAsia="Times New Roman" w:hAnsiTheme="minorHAnsi" w:cs="Calibri"/>
          <w:sz w:val="24"/>
          <w:szCs w:val="24"/>
          <w:lang w:val="en-US" w:eastAsia="en-GB"/>
        </w:rPr>
        <w:t>Herbst</w:t>
      </w:r>
      <w:proofErr w:type="spellEnd"/>
      <w:r>
        <w:rPr>
          <w:rFonts w:asciiTheme="minorHAnsi" w:eastAsia="Times New Roman" w:hAnsiTheme="minorHAnsi" w:cs="Calibri"/>
          <w:sz w:val="24"/>
          <w:szCs w:val="24"/>
          <w:lang w:val="en-US" w:eastAsia="en-GB"/>
        </w:rPr>
        <w:t xml:space="preserve"> who writes the foll</w:t>
      </w:r>
      <w:r w:rsidR="00021F20">
        <w:rPr>
          <w:rFonts w:asciiTheme="minorHAnsi" w:eastAsia="Times New Roman" w:hAnsiTheme="minorHAnsi" w:cs="Calibri"/>
          <w:sz w:val="24"/>
          <w:szCs w:val="24"/>
          <w:lang w:val="en-US" w:eastAsia="en-GB"/>
        </w:rPr>
        <w:t>owing</w:t>
      </w:r>
      <w:r w:rsidR="00CF6FB6" w:rsidRPr="00381DAC">
        <w:rPr>
          <w:rFonts w:asciiTheme="minorHAnsi" w:eastAsia="Times New Roman" w:hAnsiTheme="minorHAnsi" w:cs="Calibri"/>
          <w:sz w:val="24"/>
          <w:szCs w:val="24"/>
          <w:lang w:val="en-US" w:eastAsia="en-GB"/>
        </w:rPr>
        <w:t>: «most importantly, though not expressly mentioned in the provision, any legal consequences of the withdrawal regarding the rights and obligations for any natural persons and legal entities affected by the withdrawal need to be dealt with. In the absence of a well-drafted withdrawal implementation agreement, the specific legal consequ</w:t>
      </w:r>
      <w:r w:rsidR="00704F28">
        <w:rPr>
          <w:rFonts w:asciiTheme="minorHAnsi" w:eastAsia="Times New Roman" w:hAnsiTheme="minorHAnsi" w:cs="Calibri"/>
          <w:sz w:val="24"/>
          <w:szCs w:val="24"/>
          <w:lang w:val="en-US" w:eastAsia="en-GB"/>
        </w:rPr>
        <w:t>ences will remain open to doubt».</w:t>
      </w:r>
      <w:r w:rsidR="00A4377C">
        <w:rPr>
          <w:rStyle w:val="Refdenotaderodap"/>
          <w:rFonts w:asciiTheme="minorHAnsi" w:eastAsia="Times New Roman" w:hAnsiTheme="minorHAnsi" w:cs="Calibri"/>
          <w:sz w:val="24"/>
          <w:szCs w:val="24"/>
          <w:lang w:val="en-US" w:eastAsia="en-GB"/>
        </w:rPr>
        <w:footnoteReference w:id="23"/>
      </w:r>
    </w:p>
    <w:p w:rsidR="00704F28" w:rsidRDefault="00704F28" w:rsidP="00704F28">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 xml:space="preserve">However, fundamental rights </w:t>
      </w:r>
      <w:r w:rsidR="00052A13">
        <w:rPr>
          <w:rFonts w:asciiTheme="minorHAnsi" w:eastAsia="Times New Roman" w:hAnsiTheme="minorHAnsi" w:cs="Calibri"/>
          <w:sz w:val="24"/>
          <w:szCs w:val="24"/>
          <w:lang w:val="en-US" w:eastAsia="en-GB"/>
        </w:rPr>
        <w:t>are</w:t>
      </w:r>
      <w:r w:rsidR="00F84107">
        <w:rPr>
          <w:rFonts w:asciiTheme="minorHAnsi" w:eastAsia="Times New Roman" w:hAnsiTheme="minorHAnsi" w:cs="Calibri"/>
          <w:sz w:val="24"/>
          <w:szCs w:val="24"/>
          <w:lang w:val="en-US" w:eastAsia="en-GB"/>
        </w:rPr>
        <w:t xml:space="preserve"> not </w:t>
      </w:r>
      <w:r w:rsidR="00682E87">
        <w:rPr>
          <w:rFonts w:asciiTheme="minorHAnsi" w:eastAsia="Times New Roman" w:hAnsiTheme="minorHAnsi" w:cs="Calibri"/>
          <w:sz w:val="24"/>
          <w:szCs w:val="24"/>
          <w:lang w:val="en-US" w:eastAsia="en-GB"/>
        </w:rPr>
        <w:t>the only question</w:t>
      </w:r>
      <w:r>
        <w:rPr>
          <w:rFonts w:asciiTheme="minorHAnsi" w:eastAsia="Times New Roman" w:hAnsiTheme="minorHAnsi" w:cs="Calibri"/>
          <w:sz w:val="24"/>
          <w:szCs w:val="24"/>
          <w:lang w:val="en-US" w:eastAsia="en-GB"/>
        </w:rPr>
        <w:t xml:space="preserve"> that a withdrawal agreement would have to deal with. </w:t>
      </w:r>
      <w:r w:rsidR="00E8130C">
        <w:rPr>
          <w:rFonts w:asciiTheme="minorHAnsi" w:eastAsia="Times New Roman" w:hAnsiTheme="minorHAnsi" w:cs="Calibri"/>
          <w:sz w:val="24"/>
          <w:szCs w:val="24"/>
          <w:lang w:val="en-US" w:eastAsia="en-GB"/>
        </w:rPr>
        <w:t xml:space="preserve">A comprehensive withdrawal agreement would have to cover a wide variety of matters. </w:t>
      </w:r>
      <w:r>
        <w:rPr>
          <w:rFonts w:asciiTheme="minorHAnsi" w:eastAsia="Times New Roman" w:hAnsiTheme="minorHAnsi" w:cs="Calibri"/>
          <w:sz w:val="24"/>
          <w:szCs w:val="24"/>
          <w:lang w:val="en-US" w:eastAsia="en-GB"/>
        </w:rPr>
        <w:t xml:space="preserve">For example, </w:t>
      </w:r>
      <w:proofErr w:type="spellStart"/>
      <w:r>
        <w:rPr>
          <w:rFonts w:asciiTheme="minorHAnsi" w:eastAsia="Times New Roman" w:hAnsiTheme="minorHAnsi" w:cs="Calibri"/>
          <w:sz w:val="24"/>
          <w:szCs w:val="24"/>
          <w:lang w:val="en-US" w:eastAsia="en-GB"/>
        </w:rPr>
        <w:t>Herbst</w:t>
      </w:r>
      <w:proofErr w:type="spellEnd"/>
      <w:r>
        <w:rPr>
          <w:rFonts w:asciiTheme="minorHAnsi" w:eastAsia="Times New Roman" w:hAnsiTheme="minorHAnsi" w:cs="Calibri"/>
          <w:sz w:val="24"/>
          <w:szCs w:val="24"/>
          <w:lang w:val="en-US" w:eastAsia="en-GB"/>
        </w:rPr>
        <w:t xml:space="preserve"> raises some important questions connected to the content of the withdr</w:t>
      </w:r>
      <w:r w:rsidR="0085630F">
        <w:rPr>
          <w:rFonts w:asciiTheme="minorHAnsi" w:eastAsia="Times New Roman" w:hAnsiTheme="minorHAnsi" w:cs="Calibri"/>
          <w:sz w:val="24"/>
          <w:szCs w:val="24"/>
          <w:lang w:val="en-US" w:eastAsia="en-GB"/>
        </w:rPr>
        <w:t>a</w:t>
      </w:r>
      <w:r>
        <w:rPr>
          <w:rFonts w:asciiTheme="minorHAnsi" w:eastAsia="Times New Roman" w:hAnsiTheme="minorHAnsi" w:cs="Calibri"/>
          <w:sz w:val="24"/>
          <w:szCs w:val="24"/>
          <w:lang w:val="en-US" w:eastAsia="en-GB"/>
        </w:rPr>
        <w:t>wal agreement in the following passage: «</w:t>
      </w:r>
      <w:r w:rsidRPr="00381DAC">
        <w:rPr>
          <w:rFonts w:asciiTheme="minorHAnsi" w:eastAsia="Times New Roman" w:hAnsiTheme="minorHAnsi" w:cs="Calibri"/>
          <w:sz w:val="24"/>
          <w:szCs w:val="24"/>
          <w:lang w:val="en-US" w:eastAsia="en-GB"/>
        </w:rPr>
        <w:t>What, for instance, should happen to the employees of the Union who are nationals of the withdrawing Member State? What will be the fate of the Union’s offices on the territory of the withdrawing Member State? And can nationals of the withdrawing Member State still be eligible for scholarships sponsored by the EU? Is the withdrawing Member State obligated to pay its outstanding contributions? What happens, e.g., to damage claims by individuals based on European law against the withdrawing Member State which were already brought before the ECJ during the two-year notice period but which have neither been satisfied nor even adjudicated by the</w:t>
      </w:r>
      <w:r w:rsidR="00A4377C">
        <w:rPr>
          <w:rFonts w:asciiTheme="minorHAnsi" w:eastAsia="Times New Roman" w:hAnsiTheme="minorHAnsi" w:cs="Calibri"/>
          <w:sz w:val="24"/>
          <w:szCs w:val="24"/>
          <w:lang w:val="en-US" w:eastAsia="en-GB"/>
        </w:rPr>
        <w:t xml:space="preserve"> effective date of withdrawal</w:t>
      </w:r>
      <w:proofErr w:type="gramStart"/>
      <w:r w:rsidR="00A4377C">
        <w:rPr>
          <w:rFonts w:asciiTheme="minorHAnsi" w:eastAsia="Times New Roman" w:hAnsiTheme="minorHAnsi" w:cs="Calibri"/>
          <w:sz w:val="24"/>
          <w:szCs w:val="24"/>
          <w:lang w:val="en-US" w:eastAsia="en-GB"/>
        </w:rPr>
        <w:t>?»</w:t>
      </w:r>
      <w:proofErr w:type="gramEnd"/>
      <w:r>
        <w:rPr>
          <w:rFonts w:asciiTheme="minorHAnsi" w:eastAsia="Times New Roman" w:hAnsiTheme="minorHAnsi" w:cs="Calibri"/>
          <w:sz w:val="24"/>
          <w:szCs w:val="24"/>
          <w:lang w:val="en-US" w:eastAsia="en-GB"/>
        </w:rPr>
        <w:t>.</w:t>
      </w:r>
      <w:r w:rsidR="00A4377C">
        <w:rPr>
          <w:rStyle w:val="Refdenotaderodap"/>
          <w:rFonts w:asciiTheme="minorHAnsi" w:eastAsia="Times New Roman" w:hAnsiTheme="minorHAnsi" w:cs="Calibri"/>
          <w:sz w:val="24"/>
          <w:szCs w:val="24"/>
          <w:lang w:val="en-US" w:eastAsia="en-GB"/>
        </w:rPr>
        <w:footnoteReference w:id="24"/>
      </w:r>
      <w:r w:rsidR="00E8130C">
        <w:rPr>
          <w:rFonts w:asciiTheme="minorHAnsi" w:eastAsia="Times New Roman" w:hAnsiTheme="minorHAnsi" w:cs="Calibri"/>
          <w:sz w:val="24"/>
          <w:szCs w:val="24"/>
          <w:lang w:val="en-US" w:eastAsia="en-GB"/>
        </w:rPr>
        <w:t xml:space="preserve"> In our opinion, these questions constitute a sample of the issues that any agreement would have to regulate in the name of legal security.</w:t>
      </w:r>
    </w:p>
    <w:p w:rsidR="00F84107" w:rsidRDefault="00F84107" w:rsidP="00F84107">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lastRenderedPageBreak/>
        <w:t xml:space="preserve">A second question that Article 50, nº </w:t>
      </w:r>
      <w:r w:rsidR="007F73A0">
        <w:rPr>
          <w:rFonts w:asciiTheme="minorHAnsi" w:eastAsia="Times New Roman" w:hAnsiTheme="minorHAnsi" w:cs="Calibri"/>
          <w:sz w:val="24"/>
          <w:szCs w:val="24"/>
          <w:lang w:val="en-US" w:eastAsia="en-GB"/>
        </w:rPr>
        <w:t>2, of the TEU, does not consider</w:t>
      </w:r>
      <w:r>
        <w:rPr>
          <w:rFonts w:asciiTheme="minorHAnsi" w:eastAsia="Times New Roman" w:hAnsiTheme="minorHAnsi" w:cs="Calibri"/>
          <w:sz w:val="24"/>
          <w:szCs w:val="24"/>
          <w:lang w:val="en-US" w:eastAsia="en-GB"/>
        </w:rPr>
        <w:t xml:space="preserve"> regards the legal status of the withdrawing Member State during the negotiation period. This is a particularly important question because the wording of Article 50º does not prohibit the State in question from participating in the general decision-making process. Consequently, it can influence the</w:t>
      </w:r>
      <w:r w:rsidR="00EB55E1">
        <w:rPr>
          <w:rFonts w:asciiTheme="minorHAnsi" w:eastAsia="Times New Roman" w:hAnsiTheme="minorHAnsi" w:cs="Calibri"/>
          <w:sz w:val="24"/>
          <w:szCs w:val="24"/>
          <w:lang w:val="en-US" w:eastAsia="en-GB"/>
        </w:rPr>
        <w:t xml:space="preserve"> decisions of the EU</w:t>
      </w:r>
      <w:r>
        <w:rPr>
          <w:rFonts w:asciiTheme="minorHAnsi" w:eastAsia="Times New Roman" w:hAnsiTheme="minorHAnsi" w:cs="Calibri"/>
          <w:sz w:val="24"/>
          <w:szCs w:val="24"/>
          <w:lang w:val="en-US" w:eastAsia="en-GB"/>
        </w:rPr>
        <w:t xml:space="preserve"> – although it no longer wants to be a member - in a positive or negative manner.</w:t>
      </w:r>
      <w:r>
        <w:rPr>
          <w:rStyle w:val="Refdenotaderodap"/>
          <w:rFonts w:asciiTheme="minorHAnsi" w:eastAsia="Times New Roman" w:hAnsiTheme="minorHAnsi" w:cs="Calibri"/>
          <w:sz w:val="24"/>
          <w:szCs w:val="24"/>
          <w:lang w:val="en-US" w:eastAsia="en-GB"/>
        </w:rPr>
        <w:footnoteReference w:id="25"/>
      </w:r>
    </w:p>
    <w:p w:rsidR="00DD4F72" w:rsidRPr="00381DAC" w:rsidRDefault="009774F1" w:rsidP="00CF6FB6">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T</w:t>
      </w:r>
      <w:r w:rsidR="00EF5DEF">
        <w:rPr>
          <w:rFonts w:asciiTheme="minorHAnsi" w:eastAsia="Times New Roman" w:hAnsiTheme="minorHAnsi" w:cs="Calibri"/>
          <w:sz w:val="24"/>
          <w:szCs w:val="24"/>
          <w:lang w:val="en-US" w:eastAsia="en-GB"/>
        </w:rPr>
        <w:t>he procedural rules on w</w:t>
      </w:r>
      <w:r w:rsidR="00DD4F72">
        <w:rPr>
          <w:rFonts w:asciiTheme="minorHAnsi" w:eastAsia="Times New Roman" w:hAnsiTheme="minorHAnsi" w:cs="Calibri"/>
          <w:sz w:val="24"/>
          <w:szCs w:val="24"/>
          <w:lang w:val="en-US" w:eastAsia="en-GB"/>
        </w:rPr>
        <w:t>ithdrawal are hig</w:t>
      </w:r>
      <w:r w:rsidR="00EF5DEF">
        <w:rPr>
          <w:rFonts w:asciiTheme="minorHAnsi" w:eastAsia="Times New Roman" w:hAnsiTheme="minorHAnsi" w:cs="Calibri"/>
          <w:sz w:val="24"/>
          <w:szCs w:val="24"/>
          <w:lang w:val="en-US" w:eastAsia="en-GB"/>
        </w:rPr>
        <w:t>hly deficient because the</w:t>
      </w:r>
      <w:r w:rsidR="00DD4F72">
        <w:rPr>
          <w:rFonts w:asciiTheme="minorHAnsi" w:eastAsia="Times New Roman" w:hAnsiTheme="minorHAnsi" w:cs="Calibri"/>
          <w:sz w:val="24"/>
          <w:szCs w:val="24"/>
          <w:lang w:val="en-US" w:eastAsia="en-GB"/>
        </w:rPr>
        <w:t>y do n</w:t>
      </w:r>
      <w:r w:rsidR="00EF5DEF">
        <w:rPr>
          <w:rFonts w:asciiTheme="minorHAnsi" w:eastAsia="Times New Roman" w:hAnsiTheme="minorHAnsi" w:cs="Calibri"/>
          <w:sz w:val="24"/>
          <w:szCs w:val="24"/>
          <w:lang w:val="en-US" w:eastAsia="en-GB"/>
        </w:rPr>
        <w:t>o</w:t>
      </w:r>
      <w:r w:rsidR="00DD4F72">
        <w:rPr>
          <w:rFonts w:asciiTheme="minorHAnsi" w:eastAsia="Times New Roman" w:hAnsiTheme="minorHAnsi" w:cs="Calibri"/>
          <w:sz w:val="24"/>
          <w:szCs w:val="24"/>
          <w:lang w:val="en-US" w:eastAsia="en-GB"/>
        </w:rPr>
        <w:t>t contemplate t</w:t>
      </w:r>
      <w:r w:rsidR="00802081">
        <w:rPr>
          <w:rFonts w:asciiTheme="minorHAnsi" w:eastAsia="Times New Roman" w:hAnsiTheme="minorHAnsi" w:cs="Calibri"/>
          <w:sz w:val="24"/>
          <w:szCs w:val="24"/>
          <w:lang w:val="en-US" w:eastAsia="en-GB"/>
        </w:rPr>
        <w:t xml:space="preserve">he question of the </w:t>
      </w:r>
      <w:r w:rsidR="00EF5DEF">
        <w:rPr>
          <w:rFonts w:asciiTheme="minorHAnsi" w:eastAsia="Times New Roman" w:hAnsiTheme="minorHAnsi" w:cs="Calibri"/>
          <w:sz w:val="24"/>
          <w:szCs w:val="24"/>
          <w:lang w:val="en-US" w:eastAsia="en-GB"/>
        </w:rPr>
        <w:t xml:space="preserve">effects or </w:t>
      </w:r>
      <w:r w:rsidR="00802081">
        <w:rPr>
          <w:rFonts w:asciiTheme="minorHAnsi" w:eastAsia="Times New Roman" w:hAnsiTheme="minorHAnsi" w:cs="Calibri"/>
          <w:sz w:val="24"/>
          <w:szCs w:val="24"/>
          <w:lang w:val="en-US" w:eastAsia="en-GB"/>
        </w:rPr>
        <w:t>consequences of withdr</w:t>
      </w:r>
      <w:r w:rsidR="00EF5DEF">
        <w:rPr>
          <w:rFonts w:asciiTheme="minorHAnsi" w:eastAsia="Times New Roman" w:hAnsiTheme="minorHAnsi" w:cs="Calibri"/>
          <w:sz w:val="24"/>
          <w:szCs w:val="24"/>
          <w:lang w:val="en-US" w:eastAsia="en-GB"/>
        </w:rPr>
        <w:t>a</w:t>
      </w:r>
      <w:r w:rsidR="00802081">
        <w:rPr>
          <w:rFonts w:asciiTheme="minorHAnsi" w:eastAsia="Times New Roman" w:hAnsiTheme="minorHAnsi" w:cs="Calibri"/>
          <w:sz w:val="24"/>
          <w:szCs w:val="24"/>
          <w:lang w:val="en-US" w:eastAsia="en-GB"/>
        </w:rPr>
        <w:t xml:space="preserve">wal on the internal level. In this sense, </w:t>
      </w:r>
      <w:proofErr w:type="spellStart"/>
      <w:r w:rsidR="00802081">
        <w:rPr>
          <w:rFonts w:asciiTheme="minorHAnsi" w:eastAsia="Times New Roman" w:hAnsiTheme="minorHAnsi" w:cs="Calibri"/>
          <w:sz w:val="24"/>
          <w:szCs w:val="24"/>
          <w:lang w:val="en-US" w:eastAsia="en-GB"/>
        </w:rPr>
        <w:t>Hofmeister</w:t>
      </w:r>
      <w:proofErr w:type="spellEnd"/>
      <w:r w:rsidR="00802081">
        <w:rPr>
          <w:rFonts w:asciiTheme="minorHAnsi" w:eastAsia="Times New Roman" w:hAnsiTheme="minorHAnsi" w:cs="Calibri"/>
          <w:sz w:val="24"/>
          <w:szCs w:val="24"/>
          <w:lang w:val="en-US" w:eastAsia="en-GB"/>
        </w:rPr>
        <w:t xml:space="preserve"> and </w:t>
      </w:r>
      <w:r w:rsidR="004E0D74">
        <w:rPr>
          <w:rFonts w:asciiTheme="minorHAnsi" w:eastAsia="Times New Roman" w:hAnsiTheme="minorHAnsi" w:cs="Calibri"/>
          <w:sz w:val="24"/>
          <w:szCs w:val="24"/>
          <w:lang w:val="en-US" w:eastAsia="en-GB"/>
        </w:rPr>
        <w:t xml:space="preserve">Raymond </w:t>
      </w:r>
      <w:proofErr w:type="spellStart"/>
      <w:r w:rsidR="00802081">
        <w:rPr>
          <w:rFonts w:asciiTheme="minorHAnsi" w:eastAsia="Times New Roman" w:hAnsiTheme="minorHAnsi" w:cs="Calibri"/>
          <w:sz w:val="24"/>
          <w:szCs w:val="24"/>
          <w:lang w:val="en-US" w:eastAsia="en-GB"/>
        </w:rPr>
        <w:t>Friel</w:t>
      </w:r>
      <w:proofErr w:type="spellEnd"/>
      <w:r w:rsidR="00802081">
        <w:rPr>
          <w:rFonts w:asciiTheme="minorHAnsi" w:eastAsia="Times New Roman" w:hAnsiTheme="minorHAnsi" w:cs="Calibri"/>
          <w:sz w:val="24"/>
          <w:szCs w:val="24"/>
          <w:lang w:val="en-US" w:eastAsia="en-GB"/>
        </w:rPr>
        <w:t xml:space="preserve"> remi</w:t>
      </w:r>
      <w:r w:rsidR="00EF5DEF">
        <w:rPr>
          <w:rFonts w:asciiTheme="minorHAnsi" w:eastAsia="Times New Roman" w:hAnsiTheme="minorHAnsi" w:cs="Calibri"/>
          <w:sz w:val="24"/>
          <w:szCs w:val="24"/>
          <w:lang w:val="en-US" w:eastAsia="en-GB"/>
        </w:rPr>
        <w:t>nd us that the</w:t>
      </w:r>
      <w:r w:rsidR="00981846">
        <w:rPr>
          <w:rFonts w:asciiTheme="minorHAnsi" w:eastAsia="Times New Roman" w:hAnsiTheme="minorHAnsi" w:cs="Calibri"/>
          <w:sz w:val="24"/>
          <w:szCs w:val="24"/>
          <w:lang w:val="en-US" w:eastAsia="en-GB"/>
        </w:rPr>
        <w:t xml:space="preserve"> </w:t>
      </w:r>
      <w:r w:rsidR="00802081">
        <w:rPr>
          <w:rFonts w:asciiTheme="minorHAnsi" w:eastAsia="Times New Roman" w:hAnsiTheme="minorHAnsi" w:cs="Calibri"/>
          <w:sz w:val="24"/>
          <w:szCs w:val="24"/>
          <w:lang w:val="en-US" w:eastAsia="en-GB"/>
        </w:rPr>
        <w:t>withdrawal of any Membe</w:t>
      </w:r>
      <w:r w:rsidR="00EF5DEF">
        <w:rPr>
          <w:rFonts w:asciiTheme="minorHAnsi" w:eastAsia="Times New Roman" w:hAnsiTheme="minorHAnsi" w:cs="Calibri"/>
          <w:sz w:val="24"/>
          <w:szCs w:val="24"/>
          <w:lang w:val="en-US" w:eastAsia="en-GB"/>
        </w:rPr>
        <w:t>r State would have s</w:t>
      </w:r>
      <w:r w:rsidR="00802081">
        <w:rPr>
          <w:rFonts w:asciiTheme="minorHAnsi" w:eastAsia="Times New Roman" w:hAnsiTheme="minorHAnsi" w:cs="Calibri"/>
          <w:sz w:val="24"/>
          <w:szCs w:val="24"/>
          <w:lang w:val="en-US" w:eastAsia="en-GB"/>
        </w:rPr>
        <w:t>ignificant chan</w:t>
      </w:r>
      <w:r w:rsidR="00EF5DEF">
        <w:rPr>
          <w:rFonts w:asciiTheme="minorHAnsi" w:eastAsia="Times New Roman" w:hAnsiTheme="minorHAnsi" w:cs="Calibri"/>
          <w:sz w:val="24"/>
          <w:szCs w:val="24"/>
          <w:lang w:val="en-US" w:eastAsia="en-GB"/>
        </w:rPr>
        <w:t>ges on the composition and oper</w:t>
      </w:r>
      <w:r w:rsidR="00802081">
        <w:rPr>
          <w:rFonts w:asciiTheme="minorHAnsi" w:eastAsia="Times New Roman" w:hAnsiTheme="minorHAnsi" w:cs="Calibri"/>
          <w:sz w:val="24"/>
          <w:szCs w:val="24"/>
          <w:lang w:val="en-US" w:eastAsia="en-GB"/>
        </w:rPr>
        <w:t>ation of the Union</w:t>
      </w:r>
      <w:r w:rsidR="00EF5DEF">
        <w:rPr>
          <w:rFonts w:asciiTheme="minorHAnsi" w:eastAsia="Times New Roman" w:hAnsiTheme="minorHAnsi" w:cs="Calibri"/>
          <w:sz w:val="24"/>
          <w:szCs w:val="24"/>
          <w:lang w:val="en-US" w:eastAsia="en-GB"/>
        </w:rPr>
        <w:t>’s</w:t>
      </w:r>
      <w:r w:rsidR="00802081">
        <w:rPr>
          <w:rFonts w:asciiTheme="minorHAnsi" w:eastAsia="Times New Roman" w:hAnsiTheme="minorHAnsi" w:cs="Calibri"/>
          <w:sz w:val="24"/>
          <w:szCs w:val="24"/>
          <w:lang w:val="en-US" w:eastAsia="en-GB"/>
        </w:rPr>
        <w:t xml:space="preserve"> institutions</w:t>
      </w:r>
      <w:r w:rsidR="00EF5DEF">
        <w:rPr>
          <w:rFonts w:asciiTheme="minorHAnsi" w:eastAsia="Times New Roman" w:hAnsiTheme="minorHAnsi" w:cs="Calibri"/>
          <w:sz w:val="24"/>
          <w:szCs w:val="24"/>
          <w:lang w:val="en-US" w:eastAsia="en-GB"/>
        </w:rPr>
        <w:t xml:space="preserve"> and budget and these situations would </w:t>
      </w:r>
      <w:r w:rsidR="00FD3614">
        <w:rPr>
          <w:rFonts w:asciiTheme="minorHAnsi" w:eastAsia="Times New Roman" w:hAnsiTheme="minorHAnsi" w:cs="Calibri"/>
          <w:sz w:val="24"/>
          <w:szCs w:val="24"/>
          <w:lang w:val="en-US" w:eastAsia="en-GB"/>
        </w:rPr>
        <w:t>inevitably lead to the revision of the T</w:t>
      </w:r>
      <w:r w:rsidR="00EF5DEF">
        <w:rPr>
          <w:rFonts w:asciiTheme="minorHAnsi" w:eastAsia="Times New Roman" w:hAnsiTheme="minorHAnsi" w:cs="Calibri"/>
          <w:sz w:val="24"/>
          <w:szCs w:val="24"/>
          <w:lang w:val="en-US" w:eastAsia="en-GB"/>
        </w:rPr>
        <w:t>reaties.</w:t>
      </w:r>
      <w:r w:rsidR="00A4377C">
        <w:rPr>
          <w:rStyle w:val="Refdenotaderodap"/>
          <w:rFonts w:asciiTheme="minorHAnsi" w:eastAsia="Times New Roman" w:hAnsiTheme="minorHAnsi" w:cs="Calibri"/>
          <w:sz w:val="24"/>
          <w:szCs w:val="24"/>
          <w:lang w:val="en-US" w:eastAsia="en-GB"/>
        </w:rPr>
        <w:footnoteReference w:id="26"/>
      </w:r>
      <w:r w:rsidR="00802081">
        <w:rPr>
          <w:rFonts w:asciiTheme="minorHAnsi" w:eastAsia="Times New Roman" w:hAnsiTheme="minorHAnsi" w:cs="Calibri"/>
          <w:sz w:val="24"/>
          <w:szCs w:val="24"/>
          <w:lang w:val="en-US" w:eastAsia="en-GB"/>
        </w:rPr>
        <w:t xml:space="preserve"> </w:t>
      </w:r>
      <w:r w:rsidR="00961AA2">
        <w:rPr>
          <w:rFonts w:asciiTheme="minorHAnsi" w:eastAsia="Times New Roman" w:hAnsiTheme="minorHAnsi" w:cs="Calibri"/>
          <w:sz w:val="24"/>
          <w:szCs w:val="24"/>
          <w:lang w:val="en-US" w:eastAsia="en-GB"/>
        </w:rPr>
        <w:t xml:space="preserve">The impact of withdrawal is also considered </w:t>
      </w:r>
      <w:r w:rsidR="00333285">
        <w:rPr>
          <w:rFonts w:asciiTheme="minorHAnsi" w:eastAsia="Times New Roman" w:hAnsiTheme="minorHAnsi" w:cs="Calibri"/>
          <w:sz w:val="24"/>
          <w:szCs w:val="24"/>
          <w:lang w:val="en-US" w:eastAsia="en-GB"/>
        </w:rPr>
        <w:t xml:space="preserve">by Adam </w:t>
      </w:r>
      <w:proofErr w:type="spellStart"/>
      <w:r w:rsidR="00333285">
        <w:rPr>
          <w:rFonts w:asciiTheme="minorHAnsi" w:eastAsia="Times New Roman" w:hAnsiTheme="minorHAnsi" w:cs="Calibri"/>
          <w:sz w:val="24"/>
          <w:szCs w:val="24"/>
          <w:lang w:val="en-US" w:eastAsia="en-GB"/>
        </w:rPr>
        <w:t>Lazowski</w:t>
      </w:r>
      <w:proofErr w:type="spellEnd"/>
      <w:r w:rsidR="00333285">
        <w:rPr>
          <w:rFonts w:asciiTheme="minorHAnsi" w:eastAsia="Times New Roman" w:hAnsiTheme="minorHAnsi" w:cs="Calibri"/>
          <w:sz w:val="24"/>
          <w:szCs w:val="24"/>
          <w:lang w:val="en-US" w:eastAsia="en-GB"/>
        </w:rPr>
        <w:t xml:space="preserve"> </w:t>
      </w:r>
      <w:r w:rsidR="00961AA2">
        <w:rPr>
          <w:rFonts w:asciiTheme="minorHAnsi" w:eastAsia="Times New Roman" w:hAnsiTheme="minorHAnsi" w:cs="Calibri"/>
          <w:sz w:val="24"/>
          <w:szCs w:val="24"/>
          <w:lang w:val="en-US" w:eastAsia="en-GB"/>
        </w:rPr>
        <w:t xml:space="preserve">who </w:t>
      </w:r>
      <w:r w:rsidR="00FE75FB">
        <w:rPr>
          <w:rFonts w:asciiTheme="minorHAnsi" w:eastAsia="Times New Roman" w:hAnsiTheme="minorHAnsi" w:cs="Calibri"/>
          <w:sz w:val="24"/>
          <w:szCs w:val="24"/>
          <w:lang w:val="en-US" w:eastAsia="en-GB"/>
        </w:rPr>
        <w:t xml:space="preserve">underlines </w:t>
      </w:r>
      <w:r w:rsidR="00961AA2">
        <w:rPr>
          <w:rFonts w:asciiTheme="minorHAnsi" w:eastAsia="Times New Roman" w:hAnsiTheme="minorHAnsi" w:cs="Calibri"/>
          <w:sz w:val="24"/>
          <w:szCs w:val="24"/>
          <w:lang w:val="en-US" w:eastAsia="en-GB"/>
        </w:rPr>
        <w:t>the necessity “to delete all provisions and protocols annexed to the Founding Treaties touching upon a departing c</w:t>
      </w:r>
      <w:r w:rsidR="007F01B1">
        <w:rPr>
          <w:rFonts w:asciiTheme="minorHAnsi" w:eastAsia="Times New Roman" w:hAnsiTheme="minorHAnsi" w:cs="Calibri"/>
          <w:sz w:val="24"/>
          <w:szCs w:val="24"/>
          <w:lang w:val="en-US" w:eastAsia="en-GB"/>
        </w:rPr>
        <w:t>ountry”</w:t>
      </w:r>
      <w:r w:rsidR="00961AA2">
        <w:rPr>
          <w:rFonts w:asciiTheme="minorHAnsi" w:eastAsia="Times New Roman" w:hAnsiTheme="minorHAnsi" w:cs="Calibri"/>
          <w:sz w:val="24"/>
          <w:szCs w:val="24"/>
          <w:lang w:val="en-US" w:eastAsia="en-GB"/>
        </w:rPr>
        <w:t>.</w:t>
      </w:r>
      <w:r w:rsidR="007F01B1">
        <w:rPr>
          <w:rStyle w:val="Refdenotaderodap"/>
          <w:rFonts w:asciiTheme="minorHAnsi" w:eastAsia="Times New Roman" w:hAnsiTheme="minorHAnsi" w:cs="Calibri"/>
          <w:sz w:val="24"/>
          <w:szCs w:val="24"/>
          <w:lang w:val="en-US" w:eastAsia="en-GB"/>
        </w:rPr>
        <w:footnoteReference w:id="27"/>
      </w:r>
      <w:r w:rsidR="00961AA2">
        <w:rPr>
          <w:rFonts w:asciiTheme="minorHAnsi" w:eastAsia="Times New Roman" w:hAnsiTheme="minorHAnsi" w:cs="Calibri"/>
          <w:sz w:val="24"/>
          <w:szCs w:val="24"/>
          <w:lang w:val="en-US" w:eastAsia="en-GB"/>
        </w:rPr>
        <w:t xml:space="preserve"> </w:t>
      </w:r>
      <w:r w:rsidR="007F01B1">
        <w:rPr>
          <w:rFonts w:asciiTheme="minorHAnsi" w:eastAsia="Times New Roman" w:hAnsiTheme="minorHAnsi" w:cs="Calibri"/>
          <w:sz w:val="24"/>
          <w:szCs w:val="24"/>
          <w:lang w:val="en-US" w:eastAsia="en-GB"/>
        </w:rPr>
        <w:t>However, A</w:t>
      </w:r>
      <w:r w:rsidR="00802081">
        <w:rPr>
          <w:rFonts w:asciiTheme="minorHAnsi" w:eastAsia="Times New Roman" w:hAnsiTheme="minorHAnsi" w:cs="Calibri"/>
          <w:sz w:val="24"/>
          <w:szCs w:val="24"/>
          <w:lang w:val="en-US" w:eastAsia="en-GB"/>
        </w:rPr>
        <w:t xml:space="preserve">rticle 50º of the TEU is silent on this matter and does not foresee any </w:t>
      </w:r>
      <w:r w:rsidR="005172C7">
        <w:rPr>
          <w:rFonts w:asciiTheme="minorHAnsi" w:eastAsia="Times New Roman" w:hAnsiTheme="minorHAnsi" w:cs="Calibri"/>
          <w:sz w:val="24"/>
          <w:szCs w:val="24"/>
          <w:lang w:val="en-US" w:eastAsia="en-GB"/>
        </w:rPr>
        <w:t xml:space="preserve">procedural </w:t>
      </w:r>
      <w:r w:rsidR="00802081">
        <w:rPr>
          <w:rFonts w:asciiTheme="minorHAnsi" w:eastAsia="Times New Roman" w:hAnsiTheme="minorHAnsi" w:cs="Calibri"/>
          <w:sz w:val="24"/>
          <w:szCs w:val="24"/>
          <w:lang w:val="en-US" w:eastAsia="en-GB"/>
        </w:rPr>
        <w:t>rules regarding this particular situation.</w:t>
      </w:r>
      <w:r w:rsidR="00A25DB3">
        <w:rPr>
          <w:rFonts w:asciiTheme="minorHAnsi" w:eastAsia="Times New Roman" w:hAnsiTheme="minorHAnsi" w:cs="Calibri"/>
          <w:sz w:val="24"/>
          <w:szCs w:val="24"/>
          <w:lang w:val="en-US" w:eastAsia="en-GB"/>
        </w:rPr>
        <w:t xml:space="preserve"> Consequently, the remaining Member-States w</w:t>
      </w:r>
      <w:r w:rsidR="00355049">
        <w:rPr>
          <w:rFonts w:asciiTheme="minorHAnsi" w:eastAsia="Times New Roman" w:hAnsiTheme="minorHAnsi" w:cs="Calibri"/>
          <w:sz w:val="24"/>
          <w:szCs w:val="24"/>
          <w:lang w:val="en-US" w:eastAsia="en-GB"/>
        </w:rPr>
        <w:t xml:space="preserve">ould have to resort the </w:t>
      </w:r>
      <w:r w:rsidR="00A25DB3">
        <w:rPr>
          <w:rFonts w:asciiTheme="minorHAnsi" w:eastAsia="Times New Roman" w:hAnsiTheme="minorHAnsi" w:cs="Calibri"/>
          <w:sz w:val="24"/>
          <w:szCs w:val="24"/>
          <w:lang w:val="en-US" w:eastAsia="en-GB"/>
        </w:rPr>
        <w:t>revision procedure</w:t>
      </w:r>
      <w:r w:rsidR="00355049">
        <w:rPr>
          <w:rFonts w:asciiTheme="minorHAnsi" w:eastAsia="Times New Roman" w:hAnsiTheme="minorHAnsi" w:cs="Calibri"/>
          <w:sz w:val="24"/>
          <w:szCs w:val="24"/>
          <w:lang w:val="en-US" w:eastAsia="en-GB"/>
        </w:rPr>
        <w:t>s</w:t>
      </w:r>
      <w:r w:rsidR="00A25DB3">
        <w:rPr>
          <w:rFonts w:asciiTheme="minorHAnsi" w:eastAsia="Times New Roman" w:hAnsiTheme="minorHAnsi" w:cs="Calibri"/>
          <w:sz w:val="24"/>
          <w:szCs w:val="24"/>
          <w:lang w:val="en-US" w:eastAsia="en-GB"/>
        </w:rPr>
        <w:t xml:space="preserve"> laid ou</w:t>
      </w:r>
      <w:r w:rsidR="00355049">
        <w:rPr>
          <w:rFonts w:asciiTheme="minorHAnsi" w:eastAsia="Times New Roman" w:hAnsiTheme="minorHAnsi" w:cs="Calibri"/>
          <w:sz w:val="24"/>
          <w:szCs w:val="24"/>
          <w:lang w:val="en-US" w:eastAsia="en-GB"/>
        </w:rPr>
        <w:t xml:space="preserve">t in Article 48º </w:t>
      </w:r>
      <w:r w:rsidR="00A25DB3">
        <w:rPr>
          <w:rFonts w:asciiTheme="minorHAnsi" w:eastAsia="Times New Roman" w:hAnsiTheme="minorHAnsi" w:cs="Calibri"/>
          <w:sz w:val="24"/>
          <w:szCs w:val="24"/>
          <w:lang w:val="en-US" w:eastAsia="en-GB"/>
        </w:rPr>
        <w:t>of the TEU in order to deal with the “constitutional” implications of any withdrawal.</w:t>
      </w:r>
    </w:p>
    <w:p w:rsidR="00FF237C" w:rsidRPr="00F84107" w:rsidRDefault="00E911BD" w:rsidP="00F84107">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A final question that A</w:t>
      </w:r>
      <w:r w:rsidR="00FD3614">
        <w:rPr>
          <w:rFonts w:asciiTheme="minorHAnsi" w:eastAsia="Times New Roman" w:hAnsiTheme="minorHAnsi" w:cs="Calibri"/>
          <w:sz w:val="24"/>
          <w:szCs w:val="24"/>
          <w:lang w:val="en-US" w:eastAsia="en-GB"/>
        </w:rPr>
        <w:t>rticle 50, nº 2</w:t>
      </w:r>
      <w:r w:rsidRPr="00381DAC">
        <w:rPr>
          <w:rFonts w:asciiTheme="minorHAnsi" w:eastAsia="Times New Roman" w:hAnsiTheme="minorHAnsi" w:cs="Calibri"/>
          <w:sz w:val="24"/>
          <w:szCs w:val="24"/>
          <w:lang w:val="en-US" w:eastAsia="en-GB"/>
        </w:rPr>
        <w:t>,</w:t>
      </w:r>
      <w:r w:rsidR="00EF5DEF">
        <w:rPr>
          <w:rFonts w:asciiTheme="minorHAnsi" w:eastAsia="Times New Roman" w:hAnsiTheme="minorHAnsi" w:cs="Calibri"/>
          <w:sz w:val="24"/>
          <w:szCs w:val="24"/>
          <w:lang w:val="en-US" w:eastAsia="en-GB"/>
        </w:rPr>
        <w:t xml:space="preserve"> of the TEU does not consider </w:t>
      </w:r>
      <w:r w:rsidR="005172C7">
        <w:rPr>
          <w:rFonts w:asciiTheme="minorHAnsi" w:eastAsia="Times New Roman" w:hAnsiTheme="minorHAnsi" w:cs="Calibri"/>
          <w:sz w:val="24"/>
          <w:szCs w:val="24"/>
          <w:lang w:val="en-US" w:eastAsia="en-GB"/>
        </w:rPr>
        <w:t xml:space="preserve">is </w:t>
      </w:r>
      <w:r w:rsidR="00AF76C6" w:rsidRPr="00381DAC">
        <w:rPr>
          <w:rFonts w:asciiTheme="minorHAnsi" w:eastAsia="Times New Roman" w:hAnsiTheme="minorHAnsi" w:cs="Calibri"/>
          <w:sz w:val="24"/>
          <w:szCs w:val="24"/>
          <w:lang w:val="en-US" w:eastAsia="en-GB"/>
        </w:rPr>
        <w:t>the</w:t>
      </w:r>
      <w:r w:rsidRPr="00381DAC">
        <w:rPr>
          <w:rFonts w:asciiTheme="minorHAnsi" w:eastAsia="Times New Roman" w:hAnsiTheme="minorHAnsi" w:cs="Calibri"/>
          <w:sz w:val="24"/>
          <w:szCs w:val="24"/>
          <w:lang w:val="en-US" w:eastAsia="en-GB"/>
        </w:rPr>
        <w:t xml:space="preserve"> possibility of </w:t>
      </w:r>
      <w:r w:rsidR="00A25DB3">
        <w:rPr>
          <w:rFonts w:asciiTheme="minorHAnsi" w:eastAsia="Times New Roman" w:hAnsiTheme="minorHAnsi" w:cs="Calibri"/>
          <w:sz w:val="24"/>
          <w:szCs w:val="24"/>
          <w:lang w:val="en-US" w:eastAsia="en-GB"/>
        </w:rPr>
        <w:t>negotiation failure due to the fact that the</w:t>
      </w:r>
      <w:r w:rsidRPr="00381DAC">
        <w:rPr>
          <w:rFonts w:asciiTheme="minorHAnsi" w:eastAsia="Times New Roman" w:hAnsiTheme="minorHAnsi" w:cs="Calibri"/>
          <w:sz w:val="24"/>
          <w:szCs w:val="24"/>
          <w:lang w:val="en-US" w:eastAsia="en-GB"/>
        </w:rPr>
        <w:t xml:space="preserve"> withdrawal agreement </w:t>
      </w:r>
      <w:r w:rsidR="00A25DB3">
        <w:rPr>
          <w:rFonts w:asciiTheme="minorHAnsi" w:eastAsia="Times New Roman" w:hAnsiTheme="minorHAnsi" w:cs="Calibri"/>
          <w:sz w:val="24"/>
          <w:szCs w:val="24"/>
          <w:lang w:val="en-US" w:eastAsia="en-GB"/>
        </w:rPr>
        <w:t xml:space="preserve">might not </w:t>
      </w:r>
      <w:r w:rsidR="009774F1">
        <w:rPr>
          <w:rFonts w:asciiTheme="minorHAnsi" w:eastAsia="Times New Roman" w:hAnsiTheme="minorHAnsi" w:cs="Calibri"/>
          <w:sz w:val="24"/>
          <w:szCs w:val="24"/>
          <w:lang w:val="en-US" w:eastAsia="en-GB"/>
        </w:rPr>
        <w:t>obtain the necessary consent of</w:t>
      </w:r>
      <w:r w:rsidRPr="00381DAC">
        <w:rPr>
          <w:rFonts w:asciiTheme="minorHAnsi" w:eastAsia="Times New Roman" w:hAnsiTheme="minorHAnsi" w:cs="Calibri"/>
          <w:sz w:val="24"/>
          <w:szCs w:val="24"/>
          <w:lang w:val="en-US" w:eastAsia="en-GB"/>
        </w:rPr>
        <w:t xml:space="preserve"> the European Parliament</w:t>
      </w:r>
      <w:r w:rsidR="00EF5DEF">
        <w:rPr>
          <w:rFonts w:asciiTheme="minorHAnsi" w:eastAsia="Times New Roman" w:hAnsiTheme="minorHAnsi" w:cs="Calibri"/>
          <w:sz w:val="24"/>
          <w:szCs w:val="24"/>
          <w:lang w:val="en-US" w:eastAsia="en-GB"/>
        </w:rPr>
        <w:t xml:space="preserve"> or the </w:t>
      </w:r>
      <w:r w:rsidR="009774F1">
        <w:rPr>
          <w:rFonts w:asciiTheme="minorHAnsi" w:eastAsia="Times New Roman" w:hAnsiTheme="minorHAnsi" w:cs="Calibri"/>
          <w:sz w:val="24"/>
          <w:szCs w:val="24"/>
          <w:lang w:val="en-US" w:eastAsia="en-GB"/>
        </w:rPr>
        <w:t>approval of the Council. This particular</w:t>
      </w:r>
      <w:r w:rsidRPr="00381DAC">
        <w:rPr>
          <w:rFonts w:asciiTheme="minorHAnsi" w:eastAsia="Times New Roman" w:hAnsiTheme="minorHAnsi" w:cs="Calibri"/>
          <w:sz w:val="24"/>
          <w:szCs w:val="24"/>
          <w:lang w:val="en-US" w:eastAsia="en-GB"/>
        </w:rPr>
        <w:t xml:space="preserve"> situation </w:t>
      </w:r>
      <w:r w:rsidR="00355049">
        <w:rPr>
          <w:rFonts w:asciiTheme="minorHAnsi" w:eastAsia="Times New Roman" w:hAnsiTheme="minorHAnsi" w:cs="Calibri"/>
          <w:sz w:val="24"/>
          <w:szCs w:val="24"/>
          <w:lang w:val="en-US" w:eastAsia="en-GB"/>
        </w:rPr>
        <w:t xml:space="preserve">relative to </w:t>
      </w:r>
      <w:r w:rsidR="00FF237C">
        <w:rPr>
          <w:rFonts w:asciiTheme="minorHAnsi" w:eastAsia="Times New Roman" w:hAnsiTheme="minorHAnsi" w:cs="Calibri"/>
          <w:sz w:val="24"/>
          <w:szCs w:val="24"/>
          <w:lang w:val="en-US" w:eastAsia="en-GB"/>
        </w:rPr>
        <w:t>«institutional divergence»</w:t>
      </w:r>
      <w:r w:rsidR="00FF237C">
        <w:rPr>
          <w:rStyle w:val="Refdenotaderodap"/>
          <w:rFonts w:asciiTheme="minorHAnsi" w:eastAsia="Times New Roman" w:hAnsiTheme="minorHAnsi" w:cs="Calibri"/>
          <w:sz w:val="24"/>
          <w:szCs w:val="24"/>
          <w:lang w:val="en-US" w:eastAsia="en-GB"/>
        </w:rPr>
        <w:footnoteReference w:id="28"/>
      </w:r>
      <w:r w:rsidR="00FF237C">
        <w:rPr>
          <w:rFonts w:asciiTheme="minorHAnsi" w:eastAsia="Times New Roman" w:hAnsiTheme="minorHAnsi" w:cs="Calibri"/>
          <w:sz w:val="24"/>
          <w:szCs w:val="24"/>
          <w:lang w:val="en-US" w:eastAsia="en-GB"/>
        </w:rPr>
        <w:t xml:space="preserve"> within the Union </w:t>
      </w:r>
      <w:r w:rsidR="00997BBD">
        <w:rPr>
          <w:rFonts w:asciiTheme="minorHAnsi" w:eastAsia="Times New Roman" w:hAnsiTheme="minorHAnsi" w:cs="Calibri"/>
          <w:sz w:val="24"/>
          <w:szCs w:val="24"/>
          <w:lang w:val="en-US" w:eastAsia="en-GB"/>
        </w:rPr>
        <w:t xml:space="preserve">is considered by </w:t>
      </w:r>
      <w:r w:rsidR="00AF76C6" w:rsidRPr="00381DAC">
        <w:rPr>
          <w:rFonts w:asciiTheme="minorHAnsi" w:eastAsia="Times New Roman" w:hAnsiTheme="minorHAnsi" w:cs="Calibri"/>
          <w:sz w:val="24"/>
          <w:szCs w:val="24"/>
          <w:lang w:val="en-US" w:eastAsia="en-GB"/>
        </w:rPr>
        <w:t xml:space="preserve">Maria </w:t>
      </w:r>
      <w:proofErr w:type="spellStart"/>
      <w:r w:rsidR="00AF76C6" w:rsidRPr="00381DAC">
        <w:rPr>
          <w:rFonts w:asciiTheme="minorHAnsi" w:eastAsia="Times New Roman" w:hAnsiTheme="minorHAnsi" w:cs="Calibri"/>
          <w:sz w:val="24"/>
          <w:szCs w:val="24"/>
          <w:lang w:val="en-US" w:eastAsia="en-GB"/>
        </w:rPr>
        <w:t>Luísa</w:t>
      </w:r>
      <w:proofErr w:type="spellEnd"/>
      <w:r w:rsidR="00AF76C6" w:rsidRPr="00381DAC">
        <w:rPr>
          <w:rFonts w:asciiTheme="minorHAnsi" w:eastAsia="Times New Roman" w:hAnsiTheme="minorHAnsi" w:cs="Calibri"/>
          <w:sz w:val="24"/>
          <w:szCs w:val="24"/>
          <w:lang w:val="en-US" w:eastAsia="en-GB"/>
        </w:rPr>
        <w:t xml:space="preserve"> Duarte </w:t>
      </w:r>
      <w:r w:rsidRPr="00381DAC">
        <w:rPr>
          <w:rFonts w:asciiTheme="minorHAnsi" w:eastAsia="Times New Roman" w:hAnsiTheme="minorHAnsi" w:cs="Calibri"/>
          <w:sz w:val="24"/>
          <w:szCs w:val="24"/>
          <w:lang w:val="en-US" w:eastAsia="en-GB"/>
        </w:rPr>
        <w:t>who defends that th</w:t>
      </w:r>
      <w:r w:rsidR="00CF6FB6" w:rsidRPr="00381DAC">
        <w:rPr>
          <w:rFonts w:asciiTheme="minorHAnsi" w:eastAsia="Times New Roman" w:hAnsiTheme="minorHAnsi" w:cs="Calibri"/>
          <w:sz w:val="24"/>
          <w:szCs w:val="24"/>
          <w:lang w:val="en-US" w:eastAsia="en-GB"/>
        </w:rPr>
        <w:t xml:space="preserve">e Member-State retains </w:t>
      </w:r>
      <w:r w:rsidR="00CF6FB6" w:rsidRPr="00381DAC">
        <w:rPr>
          <w:rFonts w:asciiTheme="minorHAnsi" w:eastAsia="Times New Roman" w:hAnsiTheme="minorHAnsi" w:cs="Calibri"/>
          <w:sz w:val="24"/>
          <w:szCs w:val="24"/>
          <w:lang w:val="en-US" w:eastAsia="en-GB"/>
        </w:rPr>
        <w:lastRenderedPageBreak/>
        <w:t>its «</w:t>
      </w:r>
      <w:r w:rsidRPr="00381DAC">
        <w:rPr>
          <w:rFonts w:asciiTheme="minorHAnsi" w:eastAsia="Times New Roman" w:hAnsiTheme="minorHAnsi" w:cs="Calibri"/>
          <w:sz w:val="24"/>
          <w:szCs w:val="24"/>
          <w:lang w:val="en-US" w:eastAsia="en-GB"/>
        </w:rPr>
        <w:t>fundamental right to leave, which is solely dependent upon the unilateral act of notification</w:t>
      </w:r>
      <w:r w:rsidR="00AF76C6" w:rsidRPr="00381DAC">
        <w:rPr>
          <w:rFonts w:asciiTheme="minorHAnsi" w:eastAsia="Times New Roman" w:hAnsiTheme="minorHAnsi" w:cs="Calibri"/>
          <w:sz w:val="24"/>
          <w:szCs w:val="24"/>
          <w:lang w:val="en-US" w:eastAsia="en-GB"/>
        </w:rPr>
        <w:t>»</w:t>
      </w:r>
      <w:r w:rsidR="00381DAC" w:rsidRPr="00381DAC">
        <w:rPr>
          <w:rFonts w:asciiTheme="minorHAnsi" w:eastAsia="Times New Roman" w:hAnsiTheme="minorHAnsi" w:cs="Calibri"/>
          <w:sz w:val="24"/>
          <w:szCs w:val="24"/>
          <w:lang w:val="en-US" w:eastAsia="en-GB"/>
        </w:rPr>
        <w:t>.</w:t>
      </w:r>
      <w:r w:rsidR="007F01B1">
        <w:rPr>
          <w:rStyle w:val="Refdenotaderodap"/>
          <w:rFonts w:asciiTheme="minorHAnsi" w:eastAsia="Times New Roman" w:hAnsiTheme="minorHAnsi" w:cs="Calibri"/>
          <w:sz w:val="24"/>
          <w:szCs w:val="24"/>
          <w:lang w:val="en-US" w:eastAsia="en-GB"/>
        </w:rPr>
        <w:footnoteReference w:id="29"/>
      </w:r>
    </w:p>
    <w:p w:rsidR="00FF237C" w:rsidRPr="00381DAC" w:rsidRDefault="00FF237C" w:rsidP="009B778A">
      <w:pPr>
        <w:pStyle w:val="PargrafodaLista"/>
        <w:spacing w:after="0" w:line="360" w:lineRule="auto"/>
        <w:jc w:val="both"/>
        <w:rPr>
          <w:rFonts w:eastAsia="Times New Roman" w:cs="Calibri"/>
          <w:sz w:val="24"/>
          <w:szCs w:val="24"/>
          <w:lang w:val="en-US" w:eastAsia="en-GB"/>
        </w:rPr>
      </w:pPr>
    </w:p>
    <w:p w:rsidR="008C2E5D" w:rsidRPr="00381DAC" w:rsidRDefault="008A1841" w:rsidP="008C2E5D">
      <w:pPr>
        <w:pStyle w:val="PargrafodaLista"/>
        <w:numPr>
          <w:ilvl w:val="0"/>
          <w:numId w:val="2"/>
        </w:numPr>
        <w:spacing w:after="0" w:line="360" w:lineRule="auto"/>
        <w:jc w:val="both"/>
        <w:rPr>
          <w:rFonts w:eastAsia="Times New Roman" w:cs="Calibri"/>
          <w:sz w:val="24"/>
          <w:szCs w:val="24"/>
          <w:lang w:val="en-US" w:eastAsia="en-GB"/>
        </w:rPr>
      </w:pPr>
      <w:r w:rsidRPr="00381DAC">
        <w:rPr>
          <w:rFonts w:eastAsia="Times New Roman" w:cs="Calibri"/>
          <w:sz w:val="24"/>
          <w:szCs w:val="24"/>
          <w:lang w:val="en-US" w:eastAsia="en-GB"/>
        </w:rPr>
        <w:t>Deadline</w:t>
      </w:r>
    </w:p>
    <w:p w:rsidR="008A1841" w:rsidRPr="00381DAC" w:rsidRDefault="008A1841" w:rsidP="008A1841">
      <w:pPr>
        <w:pStyle w:val="PargrafodaLista"/>
        <w:spacing w:after="0" w:line="360" w:lineRule="auto"/>
        <w:jc w:val="both"/>
        <w:rPr>
          <w:rFonts w:eastAsia="Times New Roman" w:cs="Calibri"/>
          <w:sz w:val="24"/>
          <w:szCs w:val="24"/>
          <w:lang w:val="en-US" w:eastAsia="en-GB"/>
        </w:rPr>
      </w:pPr>
    </w:p>
    <w:p w:rsidR="008A1841" w:rsidRPr="00381DAC" w:rsidRDefault="0085630F" w:rsidP="00E911BD">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The T</w:t>
      </w:r>
      <w:r w:rsidR="008A1841" w:rsidRPr="00381DAC">
        <w:rPr>
          <w:rFonts w:asciiTheme="minorHAnsi" w:eastAsia="Times New Roman" w:hAnsiTheme="minorHAnsi" w:cs="Calibri"/>
          <w:sz w:val="24"/>
          <w:szCs w:val="24"/>
          <w:lang w:val="en-US" w:eastAsia="en-GB"/>
        </w:rPr>
        <w:t>reat</w:t>
      </w:r>
      <w:r w:rsidR="00EB55E1">
        <w:rPr>
          <w:rFonts w:asciiTheme="minorHAnsi" w:eastAsia="Times New Roman" w:hAnsiTheme="minorHAnsi" w:cs="Calibri"/>
          <w:sz w:val="24"/>
          <w:szCs w:val="24"/>
          <w:lang w:val="en-US" w:eastAsia="en-GB"/>
        </w:rPr>
        <w:t>ies governing the EU</w:t>
      </w:r>
      <w:r w:rsidR="008A1841" w:rsidRPr="00381DAC">
        <w:rPr>
          <w:rFonts w:asciiTheme="minorHAnsi" w:eastAsia="Times New Roman" w:hAnsiTheme="minorHAnsi" w:cs="Calibri"/>
          <w:sz w:val="24"/>
          <w:szCs w:val="24"/>
          <w:lang w:val="en-US" w:eastAsia="en-GB"/>
        </w:rPr>
        <w:t xml:space="preserve"> cea</w:t>
      </w:r>
      <w:r w:rsidR="00C13871" w:rsidRPr="00381DAC">
        <w:rPr>
          <w:rFonts w:asciiTheme="minorHAnsi" w:eastAsia="Times New Roman" w:hAnsiTheme="minorHAnsi" w:cs="Calibri"/>
          <w:sz w:val="24"/>
          <w:szCs w:val="24"/>
          <w:lang w:val="en-US" w:eastAsia="en-GB"/>
        </w:rPr>
        <w:t>se to apply in the Member State who has exercised its right to withdraw from the Uni</w:t>
      </w:r>
      <w:r w:rsidR="008A1841" w:rsidRPr="00381DAC">
        <w:rPr>
          <w:rFonts w:asciiTheme="minorHAnsi" w:eastAsia="Times New Roman" w:hAnsiTheme="minorHAnsi" w:cs="Calibri"/>
          <w:sz w:val="24"/>
          <w:szCs w:val="24"/>
          <w:lang w:val="en-US" w:eastAsia="en-GB"/>
        </w:rPr>
        <w:t>on when the withdrawal agreement enters into effect. H</w:t>
      </w:r>
      <w:r w:rsidR="00287944" w:rsidRPr="00381DAC">
        <w:rPr>
          <w:rFonts w:asciiTheme="minorHAnsi" w:eastAsia="Times New Roman" w:hAnsiTheme="minorHAnsi" w:cs="Calibri"/>
          <w:sz w:val="24"/>
          <w:szCs w:val="24"/>
          <w:lang w:val="en-US" w:eastAsia="en-GB"/>
        </w:rPr>
        <w:t>owever, this is the first of two</w:t>
      </w:r>
      <w:r w:rsidR="008A1841" w:rsidRPr="00381DAC">
        <w:rPr>
          <w:rFonts w:asciiTheme="minorHAnsi" w:eastAsia="Times New Roman" w:hAnsiTheme="minorHAnsi" w:cs="Calibri"/>
          <w:sz w:val="24"/>
          <w:szCs w:val="24"/>
          <w:lang w:val="en-US" w:eastAsia="en-GB"/>
        </w:rPr>
        <w:t xml:space="preserve"> possible deadlines. A second deadline may be found in the second part of the norm in question and regulates the possibility of a withdr</w:t>
      </w:r>
      <w:r w:rsidR="00C13871" w:rsidRPr="00381DAC">
        <w:rPr>
          <w:rFonts w:asciiTheme="minorHAnsi" w:eastAsia="Times New Roman" w:hAnsiTheme="minorHAnsi" w:cs="Calibri"/>
          <w:sz w:val="24"/>
          <w:szCs w:val="24"/>
          <w:lang w:val="en-US" w:eastAsia="en-GB"/>
        </w:rPr>
        <w:t>a</w:t>
      </w:r>
      <w:r w:rsidR="008A1841" w:rsidRPr="00381DAC">
        <w:rPr>
          <w:rFonts w:asciiTheme="minorHAnsi" w:eastAsia="Times New Roman" w:hAnsiTheme="minorHAnsi" w:cs="Calibri"/>
          <w:sz w:val="24"/>
          <w:szCs w:val="24"/>
          <w:lang w:val="en-US" w:eastAsia="en-GB"/>
        </w:rPr>
        <w:t>wal without an agreement. In such a case, the tr</w:t>
      </w:r>
      <w:r w:rsidR="00C13871" w:rsidRPr="00381DAC">
        <w:rPr>
          <w:rFonts w:asciiTheme="minorHAnsi" w:eastAsia="Times New Roman" w:hAnsiTheme="minorHAnsi" w:cs="Calibri"/>
          <w:sz w:val="24"/>
          <w:szCs w:val="24"/>
          <w:lang w:val="en-US" w:eastAsia="en-GB"/>
        </w:rPr>
        <w:t>eaties cea</w:t>
      </w:r>
      <w:r w:rsidR="008A1841" w:rsidRPr="00381DAC">
        <w:rPr>
          <w:rFonts w:asciiTheme="minorHAnsi" w:eastAsia="Times New Roman" w:hAnsiTheme="minorHAnsi" w:cs="Calibri"/>
          <w:sz w:val="24"/>
          <w:szCs w:val="24"/>
          <w:lang w:val="en-US" w:eastAsia="en-GB"/>
        </w:rPr>
        <w:t>se to apply two years after the formal notification of a member</w:t>
      </w:r>
      <w:r w:rsidR="00FE75FB">
        <w:rPr>
          <w:rFonts w:asciiTheme="minorHAnsi" w:eastAsia="Times New Roman" w:hAnsiTheme="minorHAnsi" w:cs="Calibri"/>
          <w:sz w:val="24"/>
          <w:szCs w:val="24"/>
          <w:lang w:val="en-US" w:eastAsia="en-GB"/>
        </w:rPr>
        <w:t>-state’s</w:t>
      </w:r>
      <w:r w:rsidR="00C13871" w:rsidRPr="00381DAC">
        <w:rPr>
          <w:rFonts w:asciiTheme="minorHAnsi" w:eastAsia="Times New Roman" w:hAnsiTheme="minorHAnsi" w:cs="Calibri"/>
          <w:sz w:val="24"/>
          <w:szCs w:val="24"/>
          <w:lang w:val="en-US" w:eastAsia="en-GB"/>
        </w:rPr>
        <w:t xml:space="preserve"> decision to exit the Un</w:t>
      </w:r>
      <w:r w:rsidR="008A1841" w:rsidRPr="00381DAC">
        <w:rPr>
          <w:rFonts w:asciiTheme="minorHAnsi" w:eastAsia="Times New Roman" w:hAnsiTheme="minorHAnsi" w:cs="Calibri"/>
          <w:sz w:val="24"/>
          <w:szCs w:val="24"/>
          <w:lang w:val="en-US" w:eastAsia="en-GB"/>
        </w:rPr>
        <w:t>ion. How</w:t>
      </w:r>
      <w:r w:rsidR="00C13871" w:rsidRPr="00381DAC">
        <w:rPr>
          <w:rFonts w:asciiTheme="minorHAnsi" w:eastAsia="Times New Roman" w:hAnsiTheme="minorHAnsi" w:cs="Calibri"/>
          <w:sz w:val="24"/>
          <w:szCs w:val="24"/>
          <w:lang w:val="en-US" w:eastAsia="en-GB"/>
        </w:rPr>
        <w:t>ever, the last part o</w:t>
      </w:r>
      <w:r w:rsidR="008A1841" w:rsidRPr="00381DAC">
        <w:rPr>
          <w:rFonts w:asciiTheme="minorHAnsi" w:eastAsia="Times New Roman" w:hAnsiTheme="minorHAnsi" w:cs="Calibri"/>
          <w:sz w:val="24"/>
          <w:szCs w:val="24"/>
          <w:lang w:val="en-US" w:eastAsia="en-GB"/>
        </w:rPr>
        <w:t>f the norm under analysis permits an extension of this two year period. The European Council can extend this period after having</w:t>
      </w:r>
      <w:r w:rsidR="00355049">
        <w:rPr>
          <w:rFonts w:asciiTheme="minorHAnsi" w:eastAsia="Times New Roman" w:hAnsiTheme="minorHAnsi" w:cs="Calibri"/>
          <w:sz w:val="24"/>
          <w:szCs w:val="24"/>
          <w:lang w:val="en-US" w:eastAsia="en-GB"/>
        </w:rPr>
        <w:t xml:space="preserve"> obtained the agreement of the Member S</w:t>
      </w:r>
      <w:r w:rsidR="008A1841" w:rsidRPr="00381DAC">
        <w:rPr>
          <w:rFonts w:asciiTheme="minorHAnsi" w:eastAsia="Times New Roman" w:hAnsiTheme="minorHAnsi" w:cs="Calibri"/>
          <w:sz w:val="24"/>
          <w:szCs w:val="24"/>
          <w:lang w:val="en-US" w:eastAsia="en-GB"/>
        </w:rPr>
        <w:t>tate.</w:t>
      </w:r>
    </w:p>
    <w:p w:rsidR="00106806" w:rsidRDefault="00287944" w:rsidP="00106806">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Art</w:t>
      </w:r>
      <w:r w:rsidR="00E15D14">
        <w:rPr>
          <w:rFonts w:asciiTheme="minorHAnsi" w:eastAsia="Times New Roman" w:hAnsiTheme="minorHAnsi" w:cs="Calibri"/>
          <w:sz w:val="24"/>
          <w:szCs w:val="24"/>
          <w:lang w:val="en-US" w:eastAsia="en-GB"/>
        </w:rPr>
        <w:t>icle 50, nº 3</w:t>
      </w:r>
      <w:r w:rsidR="00EF5DEF">
        <w:rPr>
          <w:rFonts w:asciiTheme="minorHAnsi" w:eastAsia="Times New Roman" w:hAnsiTheme="minorHAnsi" w:cs="Calibri"/>
          <w:sz w:val="24"/>
          <w:szCs w:val="24"/>
          <w:lang w:val="en-US" w:eastAsia="en-GB"/>
        </w:rPr>
        <w:t>, of the TEU</w:t>
      </w:r>
      <w:r w:rsidR="00981846">
        <w:rPr>
          <w:rFonts w:asciiTheme="minorHAnsi" w:eastAsia="Times New Roman" w:hAnsiTheme="minorHAnsi" w:cs="Calibri"/>
          <w:sz w:val="24"/>
          <w:szCs w:val="24"/>
          <w:lang w:val="en-US" w:eastAsia="en-GB"/>
        </w:rPr>
        <w:t>,</w:t>
      </w:r>
      <w:r w:rsidR="00C13871" w:rsidRPr="00381DAC">
        <w:rPr>
          <w:rFonts w:asciiTheme="minorHAnsi" w:eastAsia="Times New Roman" w:hAnsiTheme="minorHAnsi" w:cs="Calibri"/>
          <w:sz w:val="24"/>
          <w:szCs w:val="24"/>
          <w:lang w:val="en-US" w:eastAsia="en-GB"/>
        </w:rPr>
        <w:t xml:space="preserve"> is extremely relevant because withdrawal w</w:t>
      </w:r>
      <w:r w:rsidRPr="00381DAC">
        <w:rPr>
          <w:rFonts w:asciiTheme="minorHAnsi" w:eastAsia="Times New Roman" w:hAnsiTheme="minorHAnsi" w:cs="Calibri"/>
          <w:sz w:val="24"/>
          <w:szCs w:val="24"/>
          <w:lang w:val="en-US" w:eastAsia="en-GB"/>
        </w:rPr>
        <w:t xml:space="preserve">ill occur </w:t>
      </w:r>
      <w:r w:rsidR="00021F20">
        <w:rPr>
          <w:rFonts w:asciiTheme="minorHAnsi" w:eastAsia="Times New Roman" w:hAnsiTheme="minorHAnsi" w:cs="Calibri"/>
          <w:sz w:val="24"/>
          <w:szCs w:val="24"/>
          <w:lang w:val="en-US" w:eastAsia="en-GB"/>
        </w:rPr>
        <w:t xml:space="preserve">even </w:t>
      </w:r>
      <w:r w:rsidRPr="00381DAC">
        <w:rPr>
          <w:rFonts w:asciiTheme="minorHAnsi" w:eastAsia="Times New Roman" w:hAnsiTheme="minorHAnsi" w:cs="Calibri"/>
          <w:sz w:val="24"/>
          <w:szCs w:val="24"/>
          <w:lang w:val="en-US" w:eastAsia="en-GB"/>
        </w:rPr>
        <w:t xml:space="preserve">in the absence of an agreement. This </w:t>
      </w:r>
      <w:r w:rsidR="00355049">
        <w:rPr>
          <w:rFonts w:asciiTheme="minorHAnsi" w:eastAsia="Times New Roman" w:hAnsiTheme="minorHAnsi" w:cs="Calibri"/>
          <w:sz w:val="24"/>
          <w:szCs w:val="24"/>
          <w:lang w:val="en-US" w:eastAsia="en-GB"/>
        </w:rPr>
        <w:t xml:space="preserve">particular </w:t>
      </w:r>
      <w:r w:rsidRPr="00381DAC">
        <w:rPr>
          <w:rFonts w:asciiTheme="minorHAnsi" w:eastAsia="Times New Roman" w:hAnsiTheme="minorHAnsi" w:cs="Calibri"/>
          <w:sz w:val="24"/>
          <w:szCs w:val="24"/>
          <w:lang w:val="en-US" w:eastAsia="en-GB"/>
        </w:rPr>
        <w:t xml:space="preserve">consequence is noted by authors such as </w:t>
      </w:r>
      <w:proofErr w:type="spellStart"/>
      <w:r w:rsidRPr="00381DAC">
        <w:rPr>
          <w:rFonts w:asciiTheme="minorHAnsi" w:eastAsia="Times New Roman" w:hAnsiTheme="minorHAnsi" w:cs="Calibri"/>
          <w:sz w:val="24"/>
          <w:szCs w:val="24"/>
          <w:lang w:val="en-US" w:eastAsia="en-GB"/>
        </w:rPr>
        <w:t>Ho</w:t>
      </w:r>
      <w:r w:rsidR="00C11DE7" w:rsidRPr="00381DAC">
        <w:rPr>
          <w:rFonts w:asciiTheme="minorHAnsi" w:eastAsia="Times New Roman" w:hAnsiTheme="minorHAnsi" w:cs="Calibri"/>
          <w:sz w:val="24"/>
          <w:szCs w:val="24"/>
          <w:lang w:val="en-US" w:eastAsia="en-GB"/>
        </w:rPr>
        <w:t>f</w:t>
      </w:r>
      <w:r w:rsidR="00EF5DEF">
        <w:rPr>
          <w:rFonts w:asciiTheme="minorHAnsi" w:eastAsia="Times New Roman" w:hAnsiTheme="minorHAnsi" w:cs="Calibri"/>
          <w:sz w:val="24"/>
          <w:szCs w:val="24"/>
          <w:lang w:val="en-US" w:eastAsia="en-GB"/>
        </w:rPr>
        <w:t>meister</w:t>
      </w:r>
      <w:proofErr w:type="spellEnd"/>
      <w:r w:rsidR="00EF5DEF">
        <w:rPr>
          <w:rFonts w:asciiTheme="minorHAnsi" w:eastAsia="Times New Roman" w:hAnsiTheme="minorHAnsi" w:cs="Calibri"/>
          <w:sz w:val="24"/>
          <w:szCs w:val="24"/>
          <w:lang w:val="en-US" w:eastAsia="en-GB"/>
        </w:rPr>
        <w:t xml:space="preserve"> and </w:t>
      </w:r>
      <w:proofErr w:type="spellStart"/>
      <w:r w:rsidR="00EF5DEF">
        <w:rPr>
          <w:rFonts w:asciiTheme="minorHAnsi" w:eastAsia="Times New Roman" w:hAnsiTheme="minorHAnsi" w:cs="Calibri"/>
          <w:sz w:val="24"/>
          <w:szCs w:val="24"/>
          <w:lang w:val="en-US" w:eastAsia="en-GB"/>
        </w:rPr>
        <w:t>Dony</w:t>
      </w:r>
      <w:proofErr w:type="spellEnd"/>
      <w:r w:rsidR="00EF5DEF">
        <w:rPr>
          <w:rFonts w:asciiTheme="minorHAnsi" w:eastAsia="Times New Roman" w:hAnsiTheme="minorHAnsi" w:cs="Calibri"/>
          <w:sz w:val="24"/>
          <w:szCs w:val="24"/>
          <w:lang w:val="en-US" w:eastAsia="en-GB"/>
        </w:rPr>
        <w:t>.</w:t>
      </w:r>
      <w:r w:rsidR="00D45FB3">
        <w:rPr>
          <w:rStyle w:val="Refdenotaderodap"/>
          <w:rFonts w:asciiTheme="minorHAnsi" w:eastAsia="Times New Roman" w:hAnsiTheme="minorHAnsi" w:cs="Calibri"/>
          <w:sz w:val="24"/>
          <w:szCs w:val="24"/>
          <w:lang w:val="en-US" w:eastAsia="en-GB"/>
        </w:rPr>
        <w:footnoteReference w:id="30"/>
      </w:r>
      <w:r w:rsidR="00106806">
        <w:rPr>
          <w:rFonts w:asciiTheme="minorHAnsi" w:eastAsia="Times New Roman" w:hAnsiTheme="minorHAnsi" w:cs="Calibri"/>
          <w:sz w:val="24"/>
          <w:szCs w:val="24"/>
          <w:lang w:val="en-US" w:eastAsia="en-GB"/>
        </w:rPr>
        <w:t xml:space="preserve"> However, this is not the </w:t>
      </w:r>
      <w:r w:rsidR="00355049">
        <w:rPr>
          <w:rFonts w:asciiTheme="minorHAnsi" w:eastAsia="Times New Roman" w:hAnsiTheme="minorHAnsi" w:cs="Calibri"/>
          <w:sz w:val="24"/>
          <w:szCs w:val="24"/>
          <w:lang w:val="en-US" w:eastAsia="en-GB"/>
        </w:rPr>
        <w:t xml:space="preserve">only </w:t>
      </w:r>
      <w:r w:rsidR="00106806">
        <w:rPr>
          <w:rFonts w:asciiTheme="minorHAnsi" w:eastAsia="Times New Roman" w:hAnsiTheme="minorHAnsi" w:cs="Calibri"/>
          <w:sz w:val="24"/>
          <w:szCs w:val="24"/>
          <w:lang w:val="en-US" w:eastAsia="en-GB"/>
        </w:rPr>
        <w:t xml:space="preserve">aspect </w:t>
      </w:r>
      <w:r w:rsidR="00355049">
        <w:rPr>
          <w:rFonts w:asciiTheme="minorHAnsi" w:eastAsia="Times New Roman" w:hAnsiTheme="minorHAnsi" w:cs="Calibri"/>
          <w:sz w:val="24"/>
          <w:szCs w:val="24"/>
          <w:lang w:val="en-US" w:eastAsia="en-GB"/>
        </w:rPr>
        <w:t xml:space="preserve">of the norm </w:t>
      </w:r>
      <w:r w:rsidR="00106806">
        <w:rPr>
          <w:rFonts w:asciiTheme="minorHAnsi" w:eastAsia="Times New Roman" w:hAnsiTheme="minorHAnsi" w:cs="Calibri"/>
          <w:sz w:val="24"/>
          <w:szCs w:val="24"/>
          <w:lang w:val="en-US" w:eastAsia="en-GB"/>
        </w:rPr>
        <w:t>that generates</w:t>
      </w:r>
      <w:r w:rsidR="00355049">
        <w:rPr>
          <w:rFonts w:asciiTheme="minorHAnsi" w:eastAsia="Times New Roman" w:hAnsiTheme="minorHAnsi" w:cs="Calibri"/>
          <w:sz w:val="24"/>
          <w:szCs w:val="24"/>
          <w:lang w:val="en-US" w:eastAsia="en-GB"/>
        </w:rPr>
        <w:t xml:space="preserve"> controversy.</w:t>
      </w:r>
      <w:r w:rsidR="00106806">
        <w:rPr>
          <w:rFonts w:asciiTheme="minorHAnsi" w:eastAsia="Times New Roman" w:hAnsiTheme="minorHAnsi" w:cs="Calibri"/>
          <w:sz w:val="24"/>
          <w:szCs w:val="24"/>
          <w:lang w:val="en-US" w:eastAsia="en-GB"/>
        </w:rPr>
        <w:t xml:space="preserve"> </w:t>
      </w:r>
      <w:r w:rsidR="00355049">
        <w:rPr>
          <w:rFonts w:asciiTheme="minorHAnsi" w:eastAsia="Times New Roman" w:hAnsiTheme="minorHAnsi" w:cs="Calibri"/>
          <w:sz w:val="24"/>
          <w:szCs w:val="24"/>
          <w:lang w:val="en-US" w:eastAsia="en-GB"/>
        </w:rPr>
        <w:t xml:space="preserve">Criticism is also directed towards </w:t>
      </w:r>
      <w:r w:rsidR="00106806">
        <w:rPr>
          <w:rFonts w:asciiTheme="minorHAnsi" w:eastAsia="Times New Roman" w:hAnsiTheme="minorHAnsi" w:cs="Calibri"/>
          <w:sz w:val="24"/>
          <w:szCs w:val="24"/>
          <w:lang w:val="en-US" w:eastAsia="en-GB"/>
        </w:rPr>
        <w:t xml:space="preserve">the </w:t>
      </w:r>
      <w:r w:rsidR="008A1841" w:rsidRPr="00381DAC">
        <w:rPr>
          <w:rFonts w:asciiTheme="minorHAnsi" w:eastAsia="Times New Roman" w:hAnsiTheme="minorHAnsi" w:cs="Calibri"/>
          <w:sz w:val="24"/>
          <w:szCs w:val="24"/>
          <w:lang w:val="en-US" w:eastAsia="en-GB"/>
        </w:rPr>
        <w:t>two year peri</w:t>
      </w:r>
      <w:r w:rsidR="00106806">
        <w:rPr>
          <w:rFonts w:asciiTheme="minorHAnsi" w:eastAsia="Times New Roman" w:hAnsiTheme="minorHAnsi" w:cs="Calibri"/>
          <w:sz w:val="24"/>
          <w:szCs w:val="24"/>
          <w:lang w:val="en-US" w:eastAsia="en-GB"/>
        </w:rPr>
        <w:t xml:space="preserve">od </w:t>
      </w:r>
      <w:r w:rsidR="00355049">
        <w:rPr>
          <w:rFonts w:asciiTheme="minorHAnsi" w:eastAsia="Times New Roman" w:hAnsiTheme="minorHAnsi" w:cs="Calibri"/>
          <w:sz w:val="24"/>
          <w:szCs w:val="24"/>
          <w:lang w:val="en-US" w:eastAsia="en-GB"/>
        </w:rPr>
        <w:t>that a Member State has to wait before for</w:t>
      </w:r>
      <w:r w:rsidR="00D9069D">
        <w:rPr>
          <w:rFonts w:asciiTheme="minorHAnsi" w:eastAsia="Times New Roman" w:hAnsiTheme="minorHAnsi" w:cs="Calibri"/>
          <w:sz w:val="24"/>
          <w:szCs w:val="24"/>
          <w:lang w:val="en-US" w:eastAsia="en-GB"/>
        </w:rPr>
        <w:t>mally leaving the EU</w:t>
      </w:r>
      <w:r w:rsidR="00355049">
        <w:rPr>
          <w:rFonts w:asciiTheme="minorHAnsi" w:eastAsia="Times New Roman" w:hAnsiTheme="minorHAnsi" w:cs="Calibri"/>
          <w:sz w:val="24"/>
          <w:szCs w:val="24"/>
          <w:lang w:val="en-US" w:eastAsia="en-GB"/>
        </w:rPr>
        <w:t xml:space="preserve">. In this sense, several authors </w:t>
      </w:r>
      <w:r w:rsidR="00106806">
        <w:rPr>
          <w:rFonts w:asciiTheme="minorHAnsi" w:eastAsia="Times New Roman" w:hAnsiTheme="minorHAnsi" w:cs="Calibri"/>
          <w:sz w:val="24"/>
          <w:szCs w:val="24"/>
          <w:lang w:val="en-US" w:eastAsia="en-GB"/>
        </w:rPr>
        <w:t xml:space="preserve">point to the following drawbacks: </w:t>
      </w:r>
      <w:r w:rsidR="00355049">
        <w:rPr>
          <w:rFonts w:asciiTheme="minorHAnsi" w:eastAsia="Times New Roman" w:hAnsiTheme="minorHAnsi" w:cs="Calibri"/>
          <w:sz w:val="24"/>
          <w:szCs w:val="24"/>
          <w:lang w:val="en-US" w:eastAsia="en-GB"/>
        </w:rPr>
        <w:t xml:space="preserve">its </w:t>
      </w:r>
      <w:r w:rsidR="00106806">
        <w:rPr>
          <w:rFonts w:asciiTheme="minorHAnsi" w:eastAsia="Times New Roman" w:hAnsiTheme="minorHAnsi" w:cs="Calibri"/>
          <w:sz w:val="24"/>
          <w:szCs w:val="24"/>
          <w:lang w:val="en-US" w:eastAsia="en-GB"/>
        </w:rPr>
        <w:t>insufficiency</w:t>
      </w:r>
      <w:r w:rsidR="00355049">
        <w:rPr>
          <w:rFonts w:asciiTheme="minorHAnsi" w:eastAsia="Times New Roman" w:hAnsiTheme="minorHAnsi" w:cs="Calibri"/>
          <w:sz w:val="24"/>
          <w:szCs w:val="24"/>
          <w:lang w:val="en-US" w:eastAsia="en-GB"/>
        </w:rPr>
        <w:t>; lack of necessity;</w:t>
      </w:r>
      <w:r w:rsidR="00106806">
        <w:rPr>
          <w:rFonts w:asciiTheme="minorHAnsi" w:eastAsia="Times New Roman" w:hAnsiTheme="minorHAnsi" w:cs="Calibri"/>
          <w:sz w:val="24"/>
          <w:szCs w:val="24"/>
          <w:lang w:val="en-US" w:eastAsia="en-GB"/>
        </w:rPr>
        <w:t xml:space="preserve"> and some negative aspects connected with </w:t>
      </w:r>
      <w:r w:rsidR="00355049">
        <w:rPr>
          <w:rFonts w:asciiTheme="minorHAnsi" w:eastAsia="Times New Roman" w:hAnsiTheme="minorHAnsi" w:cs="Calibri"/>
          <w:sz w:val="24"/>
          <w:szCs w:val="24"/>
          <w:lang w:val="en-US" w:eastAsia="en-GB"/>
        </w:rPr>
        <w:t>the possibility of its extension beyond this time frame.</w:t>
      </w:r>
    </w:p>
    <w:p w:rsidR="00106806" w:rsidRDefault="00106806" w:rsidP="00106806">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The two year period</w:t>
      </w:r>
      <w:r w:rsidR="00355049">
        <w:rPr>
          <w:rFonts w:asciiTheme="minorHAnsi" w:eastAsia="Times New Roman" w:hAnsiTheme="minorHAnsi" w:cs="Calibri"/>
          <w:sz w:val="24"/>
          <w:szCs w:val="24"/>
          <w:lang w:val="en-US" w:eastAsia="en-GB"/>
        </w:rPr>
        <w:t xml:space="preserve"> is criticized by </w:t>
      </w:r>
      <w:proofErr w:type="spellStart"/>
      <w:r>
        <w:rPr>
          <w:rFonts w:asciiTheme="minorHAnsi" w:eastAsia="Times New Roman" w:hAnsiTheme="minorHAnsi" w:cs="Calibri"/>
          <w:sz w:val="24"/>
          <w:szCs w:val="24"/>
          <w:lang w:val="en-US" w:eastAsia="en-GB"/>
        </w:rPr>
        <w:t>Jochen</w:t>
      </w:r>
      <w:proofErr w:type="spellEnd"/>
      <w:r>
        <w:rPr>
          <w:rFonts w:asciiTheme="minorHAnsi" w:eastAsia="Times New Roman" w:hAnsiTheme="minorHAnsi" w:cs="Calibri"/>
          <w:sz w:val="24"/>
          <w:szCs w:val="24"/>
          <w:lang w:val="en-US" w:eastAsia="en-GB"/>
        </w:rPr>
        <w:t xml:space="preserve"> </w:t>
      </w:r>
      <w:proofErr w:type="spellStart"/>
      <w:r>
        <w:rPr>
          <w:rFonts w:asciiTheme="minorHAnsi" w:eastAsia="Times New Roman" w:hAnsiTheme="minorHAnsi" w:cs="Calibri"/>
          <w:sz w:val="24"/>
          <w:szCs w:val="24"/>
          <w:lang w:val="en-US" w:eastAsia="en-GB"/>
        </w:rPr>
        <w:t>Herbst</w:t>
      </w:r>
      <w:proofErr w:type="spellEnd"/>
      <w:r>
        <w:rPr>
          <w:rFonts w:asciiTheme="minorHAnsi" w:eastAsia="Times New Roman" w:hAnsiTheme="minorHAnsi" w:cs="Calibri"/>
          <w:sz w:val="24"/>
          <w:szCs w:val="24"/>
          <w:lang w:val="en-US" w:eastAsia="en-GB"/>
        </w:rPr>
        <w:t xml:space="preserve"> due to the fact that he considers it to be insufficient. </w:t>
      </w:r>
      <w:r w:rsidR="00EF5DEF">
        <w:rPr>
          <w:rFonts w:asciiTheme="minorHAnsi" w:eastAsia="Times New Roman" w:hAnsiTheme="minorHAnsi" w:cs="Calibri"/>
          <w:sz w:val="24"/>
          <w:szCs w:val="24"/>
          <w:lang w:val="en-US" w:eastAsia="en-GB"/>
        </w:rPr>
        <w:t xml:space="preserve"> </w:t>
      </w:r>
      <w:r>
        <w:rPr>
          <w:rFonts w:asciiTheme="minorHAnsi" w:eastAsia="Times New Roman" w:hAnsiTheme="minorHAnsi" w:cs="Calibri"/>
          <w:sz w:val="24"/>
          <w:szCs w:val="24"/>
          <w:lang w:val="en-US" w:eastAsia="en-GB"/>
        </w:rPr>
        <w:t xml:space="preserve">This argument is tied to the overall problem of negotiating a withdrawal agreement. As we have already seen the agreement must cover a wide number of complex issues and </w:t>
      </w:r>
      <w:proofErr w:type="spellStart"/>
      <w:r>
        <w:rPr>
          <w:rFonts w:asciiTheme="minorHAnsi" w:eastAsia="Times New Roman" w:hAnsiTheme="minorHAnsi" w:cs="Calibri"/>
          <w:sz w:val="24"/>
          <w:szCs w:val="24"/>
          <w:lang w:val="en-US" w:eastAsia="en-GB"/>
        </w:rPr>
        <w:t>Herbst</w:t>
      </w:r>
      <w:proofErr w:type="spellEnd"/>
      <w:r>
        <w:rPr>
          <w:rFonts w:asciiTheme="minorHAnsi" w:eastAsia="Times New Roman" w:hAnsiTheme="minorHAnsi" w:cs="Calibri"/>
          <w:sz w:val="24"/>
          <w:szCs w:val="24"/>
          <w:lang w:val="en-US" w:eastAsia="en-GB"/>
        </w:rPr>
        <w:t xml:space="preserve"> argues that the two year period is «far too short for negotiating and concluding a withdrawal implementation agreement in an “average” Member State withd</w:t>
      </w:r>
      <w:r w:rsidR="007F01B1">
        <w:rPr>
          <w:rFonts w:asciiTheme="minorHAnsi" w:eastAsia="Times New Roman" w:hAnsiTheme="minorHAnsi" w:cs="Calibri"/>
          <w:sz w:val="24"/>
          <w:szCs w:val="24"/>
          <w:lang w:val="en-US" w:eastAsia="en-GB"/>
        </w:rPr>
        <w:t>rawal case»</w:t>
      </w:r>
      <w:r>
        <w:rPr>
          <w:rFonts w:asciiTheme="minorHAnsi" w:eastAsia="Times New Roman" w:hAnsiTheme="minorHAnsi" w:cs="Calibri"/>
          <w:sz w:val="24"/>
          <w:szCs w:val="24"/>
          <w:lang w:val="en-US" w:eastAsia="en-GB"/>
        </w:rPr>
        <w:t>.</w:t>
      </w:r>
      <w:r w:rsidR="007F01B1">
        <w:rPr>
          <w:rStyle w:val="Refdenotaderodap"/>
          <w:rFonts w:asciiTheme="minorHAnsi" w:eastAsia="Times New Roman" w:hAnsiTheme="minorHAnsi" w:cs="Calibri"/>
          <w:sz w:val="24"/>
          <w:szCs w:val="24"/>
          <w:lang w:val="en-US" w:eastAsia="en-GB"/>
        </w:rPr>
        <w:footnoteReference w:id="31"/>
      </w:r>
    </w:p>
    <w:p w:rsidR="0036100A" w:rsidRPr="00381DAC" w:rsidRDefault="00106806" w:rsidP="00106806">
      <w:pPr>
        <w:spacing w:after="0" w:line="360" w:lineRule="auto"/>
        <w:ind w:firstLine="708"/>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lastRenderedPageBreak/>
        <w:t xml:space="preserve">The period of time </w:t>
      </w:r>
      <w:r w:rsidR="00EF5DEF">
        <w:rPr>
          <w:rFonts w:asciiTheme="minorHAnsi" w:eastAsia="Times New Roman" w:hAnsiTheme="minorHAnsi" w:cs="Calibri"/>
          <w:sz w:val="24"/>
          <w:szCs w:val="24"/>
          <w:lang w:val="en-US" w:eastAsia="en-GB"/>
        </w:rPr>
        <w:t>between notif</w:t>
      </w:r>
      <w:r w:rsidR="00021F20">
        <w:rPr>
          <w:rFonts w:asciiTheme="minorHAnsi" w:eastAsia="Times New Roman" w:hAnsiTheme="minorHAnsi" w:cs="Calibri"/>
          <w:sz w:val="24"/>
          <w:szCs w:val="24"/>
          <w:lang w:val="en-US" w:eastAsia="en-GB"/>
        </w:rPr>
        <w:t xml:space="preserve">ication </w:t>
      </w:r>
      <w:r w:rsidR="00355049">
        <w:rPr>
          <w:rFonts w:asciiTheme="minorHAnsi" w:eastAsia="Times New Roman" w:hAnsiTheme="minorHAnsi" w:cs="Calibri"/>
          <w:sz w:val="24"/>
          <w:szCs w:val="24"/>
          <w:lang w:val="en-US" w:eastAsia="en-GB"/>
        </w:rPr>
        <w:t xml:space="preserve">of the intent to leave and effective withdrawal </w:t>
      </w:r>
      <w:r w:rsidR="00021F20">
        <w:rPr>
          <w:rFonts w:asciiTheme="minorHAnsi" w:eastAsia="Times New Roman" w:hAnsiTheme="minorHAnsi" w:cs="Calibri"/>
          <w:sz w:val="24"/>
          <w:szCs w:val="24"/>
          <w:lang w:val="en-US" w:eastAsia="en-GB"/>
        </w:rPr>
        <w:t xml:space="preserve">is </w:t>
      </w:r>
      <w:r w:rsidR="0073150E">
        <w:rPr>
          <w:rFonts w:asciiTheme="minorHAnsi" w:eastAsia="Times New Roman" w:hAnsiTheme="minorHAnsi" w:cs="Calibri"/>
          <w:sz w:val="24"/>
          <w:szCs w:val="24"/>
          <w:lang w:val="en-US" w:eastAsia="en-GB"/>
        </w:rPr>
        <w:t>also censured</w:t>
      </w:r>
      <w:r w:rsidR="00355049">
        <w:rPr>
          <w:rFonts w:asciiTheme="minorHAnsi" w:eastAsia="Times New Roman" w:hAnsiTheme="minorHAnsi" w:cs="Calibri"/>
          <w:sz w:val="24"/>
          <w:szCs w:val="24"/>
          <w:lang w:val="en-US" w:eastAsia="en-GB"/>
        </w:rPr>
        <w:t xml:space="preserve"> </w:t>
      </w:r>
      <w:r w:rsidR="004E0D74">
        <w:rPr>
          <w:rFonts w:asciiTheme="minorHAnsi" w:eastAsia="Times New Roman" w:hAnsiTheme="minorHAnsi" w:cs="Calibri"/>
          <w:sz w:val="24"/>
          <w:szCs w:val="24"/>
          <w:lang w:val="en-US" w:eastAsia="en-GB"/>
        </w:rPr>
        <w:t xml:space="preserve">by </w:t>
      </w:r>
      <w:proofErr w:type="spellStart"/>
      <w:r w:rsidR="008A1841" w:rsidRPr="00381DAC">
        <w:rPr>
          <w:rFonts w:asciiTheme="minorHAnsi" w:eastAsia="Times New Roman" w:hAnsiTheme="minorHAnsi" w:cs="Calibri"/>
          <w:sz w:val="24"/>
          <w:szCs w:val="24"/>
          <w:lang w:val="en-US" w:eastAsia="en-GB"/>
        </w:rPr>
        <w:t>Friel</w:t>
      </w:r>
      <w:proofErr w:type="spellEnd"/>
      <w:r w:rsidR="008A1841" w:rsidRPr="00381DAC">
        <w:rPr>
          <w:rFonts w:asciiTheme="minorHAnsi" w:eastAsia="Times New Roman" w:hAnsiTheme="minorHAnsi" w:cs="Calibri"/>
          <w:sz w:val="24"/>
          <w:szCs w:val="24"/>
          <w:lang w:val="en-US" w:eastAsia="en-GB"/>
        </w:rPr>
        <w:t xml:space="preserve"> who d</w:t>
      </w:r>
      <w:r w:rsidR="00C13871" w:rsidRPr="00381DAC">
        <w:rPr>
          <w:rFonts w:asciiTheme="minorHAnsi" w:eastAsia="Times New Roman" w:hAnsiTheme="minorHAnsi" w:cs="Calibri"/>
          <w:sz w:val="24"/>
          <w:szCs w:val="24"/>
          <w:lang w:val="en-US" w:eastAsia="en-GB"/>
        </w:rPr>
        <w:t xml:space="preserve">oes not see the </w:t>
      </w:r>
      <w:r w:rsidR="00021F20">
        <w:rPr>
          <w:rFonts w:asciiTheme="minorHAnsi" w:eastAsia="Times New Roman" w:hAnsiTheme="minorHAnsi" w:cs="Calibri"/>
          <w:sz w:val="24"/>
          <w:szCs w:val="24"/>
          <w:lang w:val="en-US" w:eastAsia="en-GB"/>
        </w:rPr>
        <w:t xml:space="preserve">necessity or the </w:t>
      </w:r>
      <w:r w:rsidR="00C13871" w:rsidRPr="00381DAC">
        <w:rPr>
          <w:rFonts w:asciiTheme="minorHAnsi" w:eastAsia="Times New Roman" w:hAnsiTheme="minorHAnsi" w:cs="Calibri"/>
          <w:sz w:val="24"/>
          <w:szCs w:val="24"/>
          <w:lang w:val="en-US" w:eastAsia="en-GB"/>
        </w:rPr>
        <w:t>point of in</w:t>
      </w:r>
      <w:r w:rsidR="00021F20">
        <w:rPr>
          <w:rFonts w:asciiTheme="minorHAnsi" w:eastAsia="Times New Roman" w:hAnsiTheme="minorHAnsi" w:cs="Calibri"/>
          <w:sz w:val="24"/>
          <w:szCs w:val="24"/>
          <w:lang w:val="en-US" w:eastAsia="en-GB"/>
        </w:rPr>
        <w:t xml:space="preserve">cluding it in the Treaty. </w:t>
      </w:r>
      <w:proofErr w:type="spellStart"/>
      <w:r w:rsidR="00021F20">
        <w:rPr>
          <w:rFonts w:asciiTheme="minorHAnsi" w:eastAsia="Times New Roman" w:hAnsiTheme="minorHAnsi" w:cs="Calibri"/>
          <w:sz w:val="24"/>
          <w:szCs w:val="24"/>
          <w:lang w:val="en-US" w:eastAsia="en-GB"/>
        </w:rPr>
        <w:t>Friel</w:t>
      </w:r>
      <w:proofErr w:type="spellEnd"/>
      <w:r w:rsidR="00021F20">
        <w:rPr>
          <w:rFonts w:asciiTheme="minorHAnsi" w:eastAsia="Times New Roman" w:hAnsiTheme="minorHAnsi" w:cs="Calibri"/>
          <w:sz w:val="24"/>
          <w:szCs w:val="24"/>
          <w:lang w:val="en-US" w:eastAsia="en-GB"/>
        </w:rPr>
        <w:t xml:space="preserve"> considers </w:t>
      </w:r>
      <w:r w:rsidR="00355049">
        <w:rPr>
          <w:rFonts w:asciiTheme="minorHAnsi" w:eastAsia="Times New Roman" w:hAnsiTheme="minorHAnsi" w:cs="Calibri"/>
          <w:sz w:val="24"/>
          <w:szCs w:val="24"/>
          <w:lang w:val="en-US" w:eastAsia="en-GB"/>
        </w:rPr>
        <w:t xml:space="preserve">that the period in question </w:t>
      </w:r>
      <w:r w:rsidR="008A1841" w:rsidRPr="00381DAC">
        <w:rPr>
          <w:rFonts w:asciiTheme="minorHAnsi" w:eastAsia="Times New Roman" w:hAnsiTheme="minorHAnsi" w:cs="Calibri"/>
          <w:sz w:val="24"/>
          <w:szCs w:val="24"/>
          <w:lang w:val="en-US" w:eastAsia="en-GB"/>
        </w:rPr>
        <w:t>is</w:t>
      </w:r>
      <w:r w:rsidR="00C13871" w:rsidRPr="00381DAC">
        <w:rPr>
          <w:rFonts w:asciiTheme="minorHAnsi" w:eastAsia="Times New Roman" w:hAnsiTheme="minorHAnsi" w:cs="Calibri"/>
          <w:sz w:val="24"/>
          <w:szCs w:val="24"/>
          <w:lang w:val="en-US" w:eastAsia="en-GB"/>
        </w:rPr>
        <w:t xml:space="preserve"> irrelevant due to the fact tha</w:t>
      </w:r>
      <w:r w:rsidR="008A1841" w:rsidRPr="00381DAC">
        <w:rPr>
          <w:rFonts w:asciiTheme="minorHAnsi" w:eastAsia="Times New Roman" w:hAnsiTheme="minorHAnsi" w:cs="Calibri"/>
          <w:sz w:val="24"/>
          <w:szCs w:val="24"/>
          <w:lang w:val="en-US" w:eastAsia="en-GB"/>
        </w:rPr>
        <w:t xml:space="preserve">t there is no legal obligation to </w:t>
      </w:r>
      <w:r>
        <w:rPr>
          <w:rFonts w:asciiTheme="minorHAnsi" w:eastAsia="Times New Roman" w:hAnsiTheme="minorHAnsi" w:cs="Calibri"/>
          <w:sz w:val="24"/>
          <w:szCs w:val="24"/>
          <w:lang w:val="en-US" w:eastAsia="en-GB"/>
        </w:rPr>
        <w:t>sign an agree</w:t>
      </w:r>
      <w:r w:rsidR="00355049">
        <w:rPr>
          <w:rFonts w:asciiTheme="minorHAnsi" w:eastAsia="Times New Roman" w:hAnsiTheme="minorHAnsi" w:cs="Calibri"/>
          <w:sz w:val="24"/>
          <w:szCs w:val="24"/>
          <w:lang w:val="en-US" w:eastAsia="en-GB"/>
        </w:rPr>
        <w:t>ment and questions its justifiability.</w:t>
      </w:r>
      <w:r>
        <w:rPr>
          <w:rFonts w:asciiTheme="minorHAnsi" w:eastAsia="Times New Roman" w:hAnsiTheme="minorHAnsi" w:cs="Calibri"/>
          <w:sz w:val="24"/>
          <w:szCs w:val="24"/>
          <w:lang w:val="en-US" w:eastAsia="en-GB"/>
        </w:rPr>
        <w:t xml:space="preserve"> In this sense, he ar</w:t>
      </w:r>
      <w:r w:rsidR="00704F28">
        <w:rPr>
          <w:rFonts w:asciiTheme="minorHAnsi" w:eastAsia="Times New Roman" w:hAnsiTheme="minorHAnsi" w:cs="Calibri"/>
          <w:sz w:val="24"/>
          <w:szCs w:val="24"/>
          <w:lang w:val="en-US" w:eastAsia="en-GB"/>
        </w:rPr>
        <w:t>gues that t</w:t>
      </w:r>
      <w:r w:rsidR="00287944" w:rsidRPr="00381DAC">
        <w:rPr>
          <w:rFonts w:asciiTheme="minorHAnsi" w:eastAsia="Times New Roman" w:hAnsiTheme="minorHAnsi" w:cs="Calibri"/>
          <w:sz w:val="24"/>
          <w:szCs w:val="24"/>
          <w:lang w:val="en-US" w:eastAsia="en-GB"/>
        </w:rPr>
        <w:t>he Member State will be subject to the burdens of belon</w:t>
      </w:r>
      <w:r w:rsidR="00C13871" w:rsidRPr="00381DAC">
        <w:rPr>
          <w:rFonts w:asciiTheme="minorHAnsi" w:eastAsia="Times New Roman" w:hAnsiTheme="minorHAnsi" w:cs="Calibri"/>
          <w:sz w:val="24"/>
          <w:szCs w:val="24"/>
          <w:lang w:val="en-US" w:eastAsia="en-GB"/>
        </w:rPr>
        <w:t>ging to the Un</w:t>
      </w:r>
      <w:r w:rsidR="00997BBD">
        <w:rPr>
          <w:rFonts w:asciiTheme="minorHAnsi" w:eastAsia="Times New Roman" w:hAnsiTheme="minorHAnsi" w:cs="Calibri"/>
          <w:sz w:val="24"/>
          <w:szCs w:val="24"/>
          <w:lang w:val="en-US" w:eastAsia="en-GB"/>
        </w:rPr>
        <w:t>ion</w:t>
      </w:r>
      <w:r w:rsidR="00C13871" w:rsidRPr="00381DAC">
        <w:rPr>
          <w:rFonts w:asciiTheme="minorHAnsi" w:eastAsia="Times New Roman" w:hAnsiTheme="minorHAnsi" w:cs="Calibri"/>
          <w:sz w:val="24"/>
          <w:szCs w:val="24"/>
          <w:lang w:val="en-US" w:eastAsia="en-GB"/>
        </w:rPr>
        <w:t>.</w:t>
      </w:r>
      <w:r w:rsidR="007F01B1">
        <w:rPr>
          <w:rStyle w:val="Refdenotaderodap"/>
          <w:rFonts w:asciiTheme="minorHAnsi" w:eastAsia="Times New Roman" w:hAnsiTheme="minorHAnsi" w:cs="Calibri"/>
          <w:sz w:val="24"/>
          <w:szCs w:val="24"/>
          <w:lang w:val="en-US" w:eastAsia="en-GB"/>
        </w:rPr>
        <w:footnoteReference w:id="32"/>
      </w:r>
      <w:r w:rsidR="00C13871" w:rsidRPr="00381DAC">
        <w:rPr>
          <w:rFonts w:asciiTheme="minorHAnsi" w:eastAsia="Times New Roman" w:hAnsiTheme="minorHAnsi" w:cs="Calibri"/>
          <w:sz w:val="24"/>
          <w:szCs w:val="24"/>
          <w:lang w:val="en-US" w:eastAsia="en-GB"/>
        </w:rPr>
        <w:t xml:space="preserve"> </w:t>
      </w:r>
    </w:p>
    <w:p w:rsidR="00381DAC" w:rsidRPr="00381DAC" w:rsidRDefault="00381DAC" w:rsidP="00C13871">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The possibility of extending the tw</w:t>
      </w:r>
      <w:r w:rsidR="00355049">
        <w:rPr>
          <w:rFonts w:asciiTheme="minorHAnsi" w:eastAsia="Times New Roman" w:hAnsiTheme="minorHAnsi" w:cs="Calibri"/>
          <w:sz w:val="24"/>
          <w:szCs w:val="24"/>
          <w:lang w:val="en-US" w:eastAsia="en-GB"/>
        </w:rPr>
        <w:t xml:space="preserve">o year period is scorned </w:t>
      </w:r>
      <w:r w:rsidR="0073150E">
        <w:rPr>
          <w:rFonts w:asciiTheme="minorHAnsi" w:eastAsia="Times New Roman" w:hAnsiTheme="minorHAnsi" w:cs="Calibri"/>
          <w:sz w:val="24"/>
          <w:szCs w:val="24"/>
          <w:lang w:val="en-US" w:eastAsia="en-GB"/>
        </w:rPr>
        <w:t xml:space="preserve">at </w:t>
      </w:r>
      <w:r w:rsidR="00355049">
        <w:rPr>
          <w:rFonts w:asciiTheme="minorHAnsi" w:eastAsia="Times New Roman" w:hAnsiTheme="minorHAnsi" w:cs="Calibri"/>
          <w:sz w:val="24"/>
          <w:szCs w:val="24"/>
          <w:lang w:val="en-US" w:eastAsia="en-GB"/>
        </w:rPr>
        <w:t xml:space="preserve">by </w:t>
      </w:r>
      <w:r w:rsidRPr="00381DAC">
        <w:rPr>
          <w:rFonts w:asciiTheme="minorHAnsi" w:eastAsia="Times New Roman" w:hAnsiTheme="minorHAnsi" w:cs="Calibri"/>
          <w:sz w:val="24"/>
          <w:szCs w:val="24"/>
          <w:lang w:val="en-US" w:eastAsia="en-GB"/>
        </w:rPr>
        <w:t xml:space="preserve">Louis who considers that extending this time table is incompatible with the idea of </w:t>
      </w:r>
      <w:r w:rsidR="00D9069D">
        <w:rPr>
          <w:rFonts w:asciiTheme="minorHAnsi" w:eastAsia="Times New Roman" w:hAnsiTheme="minorHAnsi" w:cs="Calibri"/>
          <w:sz w:val="24"/>
          <w:szCs w:val="24"/>
          <w:lang w:val="en-US" w:eastAsia="en-GB"/>
        </w:rPr>
        <w:t>membership in the EU</w:t>
      </w:r>
      <w:r w:rsidRPr="00381DAC">
        <w:rPr>
          <w:rFonts w:asciiTheme="minorHAnsi" w:eastAsia="Times New Roman" w:hAnsiTheme="minorHAnsi" w:cs="Calibri"/>
          <w:sz w:val="24"/>
          <w:szCs w:val="24"/>
          <w:lang w:val="en-US" w:eastAsia="en-GB"/>
        </w:rPr>
        <w:t xml:space="preserve"> which requires a certain level of commitment. He argues that a Member State cannot </w:t>
      </w:r>
      <w:r w:rsidR="0074154C">
        <w:rPr>
          <w:rFonts w:asciiTheme="minorHAnsi" w:eastAsia="Times New Roman" w:hAnsiTheme="minorHAnsi" w:cs="Calibri"/>
          <w:sz w:val="24"/>
          <w:szCs w:val="24"/>
          <w:lang w:val="en-US" w:eastAsia="en-GB"/>
        </w:rPr>
        <w:t xml:space="preserve">simultaneously </w:t>
      </w:r>
      <w:r w:rsidRPr="00381DAC">
        <w:rPr>
          <w:rFonts w:asciiTheme="minorHAnsi" w:eastAsia="Times New Roman" w:hAnsiTheme="minorHAnsi" w:cs="Calibri"/>
          <w:sz w:val="24"/>
          <w:szCs w:val="24"/>
          <w:lang w:val="en-US" w:eastAsia="en-GB"/>
        </w:rPr>
        <w:t xml:space="preserve">have one foot out </w:t>
      </w:r>
      <w:r w:rsidR="0074154C">
        <w:rPr>
          <w:rFonts w:asciiTheme="minorHAnsi" w:eastAsia="Times New Roman" w:hAnsiTheme="minorHAnsi" w:cs="Calibri"/>
          <w:sz w:val="24"/>
          <w:szCs w:val="24"/>
          <w:lang w:val="en-US" w:eastAsia="en-GB"/>
        </w:rPr>
        <w:t xml:space="preserve">and the other in </w:t>
      </w:r>
      <w:r w:rsidR="00D9069D">
        <w:rPr>
          <w:rFonts w:asciiTheme="minorHAnsi" w:eastAsia="Times New Roman" w:hAnsiTheme="minorHAnsi" w:cs="Calibri"/>
          <w:sz w:val="24"/>
          <w:szCs w:val="24"/>
          <w:lang w:val="en-US" w:eastAsia="en-GB"/>
        </w:rPr>
        <w:t xml:space="preserve">the </w:t>
      </w:r>
      <w:r w:rsidR="00355049">
        <w:rPr>
          <w:rFonts w:asciiTheme="minorHAnsi" w:eastAsia="Times New Roman" w:hAnsiTheme="minorHAnsi" w:cs="Calibri"/>
          <w:sz w:val="24"/>
          <w:szCs w:val="24"/>
          <w:lang w:val="en-US" w:eastAsia="en-GB"/>
        </w:rPr>
        <w:t>Union</w:t>
      </w:r>
      <w:r w:rsidR="001F7A6E">
        <w:rPr>
          <w:rFonts w:asciiTheme="minorHAnsi" w:eastAsia="Times New Roman" w:hAnsiTheme="minorHAnsi" w:cs="Calibri"/>
          <w:sz w:val="24"/>
          <w:szCs w:val="24"/>
          <w:lang w:val="en-US" w:eastAsia="en-GB"/>
        </w:rPr>
        <w:t xml:space="preserve"> </w:t>
      </w:r>
      <w:r w:rsidRPr="00381DAC">
        <w:rPr>
          <w:rFonts w:asciiTheme="minorHAnsi" w:eastAsia="Times New Roman" w:hAnsiTheme="minorHAnsi" w:cs="Calibri"/>
          <w:sz w:val="24"/>
          <w:szCs w:val="24"/>
          <w:lang w:val="en-US" w:eastAsia="en-GB"/>
        </w:rPr>
        <w:t>and considers that this</w:t>
      </w:r>
      <w:r w:rsidR="005172C7">
        <w:rPr>
          <w:rFonts w:asciiTheme="minorHAnsi" w:eastAsia="Times New Roman" w:hAnsiTheme="minorHAnsi" w:cs="Calibri"/>
          <w:sz w:val="24"/>
          <w:szCs w:val="24"/>
          <w:lang w:val="en-US" w:eastAsia="en-GB"/>
        </w:rPr>
        <w:t xml:space="preserve"> would be </w:t>
      </w:r>
      <w:r w:rsidRPr="00381DAC">
        <w:rPr>
          <w:rFonts w:asciiTheme="minorHAnsi" w:eastAsia="Times New Roman" w:hAnsiTheme="minorHAnsi" w:cs="Calibri"/>
          <w:sz w:val="24"/>
          <w:szCs w:val="24"/>
          <w:lang w:val="en-US" w:eastAsia="en-GB"/>
        </w:rPr>
        <w:t>a source of legal insecurity.</w:t>
      </w:r>
      <w:r w:rsidR="007F01B1">
        <w:rPr>
          <w:rStyle w:val="Refdenotaderodap"/>
          <w:rFonts w:asciiTheme="minorHAnsi" w:eastAsia="Times New Roman" w:hAnsiTheme="minorHAnsi" w:cs="Calibri"/>
          <w:sz w:val="24"/>
          <w:szCs w:val="24"/>
          <w:lang w:val="en-US" w:eastAsia="en-GB"/>
        </w:rPr>
        <w:footnoteReference w:id="33"/>
      </w:r>
    </w:p>
    <w:p w:rsidR="00381DAC" w:rsidRPr="00381DAC" w:rsidRDefault="00381DAC" w:rsidP="00381DAC">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 xml:space="preserve">A final set of questions regarding this </w:t>
      </w:r>
      <w:r w:rsidR="005172C7">
        <w:rPr>
          <w:rFonts w:asciiTheme="minorHAnsi" w:eastAsia="Times New Roman" w:hAnsiTheme="minorHAnsi" w:cs="Calibri"/>
          <w:sz w:val="24"/>
          <w:szCs w:val="24"/>
          <w:lang w:val="en-US" w:eastAsia="en-GB"/>
        </w:rPr>
        <w:t xml:space="preserve">specific precept relates to the </w:t>
      </w:r>
      <w:r w:rsidRPr="00381DAC">
        <w:rPr>
          <w:rFonts w:asciiTheme="minorHAnsi" w:eastAsia="Times New Roman" w:hAnsiTheme="minorHAnsi" w:cs="Calibri"/>
          <w:sz w:val="24"/>
          <w:szCs w:val="24"/>
          <w:lang w:val="en-US" w:eastAsia="en-GB"/>
        </w:rPr>
        <w:t>threat of withdrawal and the possibility</w:t>
      </w:r>
      <w:r w:rsidR="00287944" w:rsidRPr="00381DAC">
        <w:rPr>
          <w:rFonts w:asciiTheme="minorHAnsi" w:eastAsia="Times New Roman" w:hAnsiTheme="minorHAnsi" w:cs="Calibri"/>
          <w:sz w:val="24"/>
          <w:szCs w:val="24"/>
          <w:lang w:val="en-US" w:eastAsia="en-GB"/>
        </w:rPr>
        <w:t xml:space="preserve"> of a member state withdrawing its withdrawal.  </w:t>
      </w:r>
      <w:r w:rsidR="00C13871" w:rsidRPr="00381DAC">
        <w:rPr>
          <w:rFonts w:asciiTheme="minorHAnsi" w:eastAsia="Times New Roman" w:hAnsiTheme="minorHAnsi" w:cs="Calibri"/>
          <w:sz w:val="24"/>
          <w:szCs w:val="24"/>
          <w:lang w:val="en-US" w:eastAsia="en-GB"/>
        </w:rPr>
        <w:t>In other words, c</w:t>
      </w:r>
      <w:r w:rsidR="00287944" w:rsidRPr="00381DAC">
        <w:rPr>
          <w:rFonts w:asciiTheme="minorHAnsi" w:eastAsia="Times New Roman" w:hAnsiTheme="minorHAnsi" w:cs="Calibri"/>
          <w:sz w:val="24"/>
          <w:szCs w:val="24"/>
          <w:lang w:val="en-US" w:eastAsia="en-GB"/>
        </w:rPr>
        <w:t>an a member state change is mind during this tw</w:t>
      </w:r>
      <w:r w:rsidR="00C13871" w:rsidRPr="00381DAC">
        <w:rPr>
          <w:rFonts w:asciiTheme="minorHAnsi" w:eastAsia="Times New Roman" w:hAnsiTheme="minorHAnsi" w:cs="Calibri"/>
          <w:sz w:val="24"/>
          <w:szCs w:val="24"/>
          <w:lang w:val="en-US" w:eastAsia="en-GB"/>
        </w:rPr>
        <w:t xml:space="preserve">o year period? </w:t>
      </w:r>
      <w:r w:rsidRPr="00381DAC">
        <w:rPr>
          <w:rFonts w:asciiTheme="minorHAnsi" w:eastAsia="Times New Roman" w:hAnsiTheme="minorHAnsi" w:cs="Calibri"/>
          <w:sz w:val="24"/>
          <w:szCs w:val="24"/>
          <w:lang w:val="en-US" w:eastAsia="en-GB"/>
        </w:rPr>
        <w:t>Alan Tatham</w:t>
      </w:r>
      <w:r w:rsidR="00355049">
        <w:rPr>
          <w:rFonts w:asciiTheme="minorHAnsi" w:eastAsia="Times New Roman" w:hAnsiTheme="minorHAnsi" w:cs="Calibri"/>
          <w:sz w:val="24"/>
          <w:szCs w:val="24"/>
          <w:lang w:val="en-US" w:eastAsia="en-GB"/>
        </w:rPr>
        <w:t xml:space="preserve"> </w:t>
      </w:r>
      <w:r w:rsidR="005172C7">
        <w:rPr>
          <w:rFonts w:asciiTheme="minorHAnsi" w:eastAsia="Times New Roman" w:hAnsiTheme="minorHAnsi" w:cs="Calibri"/>
          <w:sz w:val="24"/>
          <w:szCs w:val="24"/>
          <w:lang w:val="en-US" w:eastAsia="en-GB"/>
        </w:rPr>
        <w:t xml:space="preserve">states </w:t>
      </w:r>
      <w:r w:rsidRPr="00381DAC">
        <w:rPr>
          <w:rFonts w:asciiTheme="minorHAnsi" w:eastAsia="Times New Roman" w:hAnsiTheme="minorHAnsi" w:cs="Calibri"/>
          <w:sz w:val="24"/>
          <w:szCs w:val="24"/>
          <w:lang w:val="en-US" w:eastAsia="en-GB"/>
        </w:rPr>
        <w:t>that the threat of withdrawal may be used by the larger states to obtain concessions by the smaller state</w:t>
      </w:r>
      <w:r w:rsidR="005172C7">
        <w:rPr>
          <w:rFonts w:asciiTheme="minorHAnsi" w:eastAsia="Times New Roman" w:hAnsiTheme="minorHAnsi" w:cs="Calibri"/>
          <w:sz w:val="24"/>
          <w:szCs w:val="24"/>
          <w:lang w:val="en-US" w:eastAsia="en-GB"/>
        </w:rPr>
        <w:t>s</w:t>
      </w:r>
      <w:r w:rsidR="0074154C">
        <w:rPr>
          <w:rFonts w:asciiTheme="minorHAnsi" w:eastAsia="Times New Roman" w:hAnsiTheme="minorHAnsi" w:cs="Calibri"/>
          <w:sz w:val="24"/>
          <w:szCs w:val="24"/>
          <w:lang w:val="en-US" w:eastAsia="en-GB"/>
        </w:rPr>
        <w:t>.</w:t>
      </w:r>
      <w:r w:rsidR="007F01B1">
        <w:rPr>
          <w:rStyle w:val="Refdenotaderodap"/>
          <w:rFonts w:asciiTheme="minorHAnsi" w:eastAsia="Times New Roman" w:hAnsiTheme="minorHAnsi" w:cs="Calibri"/>
          <w:sz w:val="24"/>
          <w:szCs w:val="24"/>
          <w:lang w:val="en-US" w:eastAsia="en-GB"/>
        </w:rPr>
        <w:footnoteReference w:id="34"/>
      </w:r>
      <w:r w:rsidR="0074154C">
        <w:rPr>
          <w:rFonts w:asciiTheme="minorHAnsi" w:eastAsia="Times New Roman" w:hAnsiTheme="minorHAnsi" w:cs="Calibri"/>
          <w:sz w:val="24"/>
          <w:szCs w:val="24"/>
          <w:lang w:val="en-US" w:eastAsia="en-GB"/>
        </w:rPr>
        <w:t xml:space="preserve"> Similarly, Louis </w:t>
      </w:r>
      <w:r w:rsidRPr="00381DAC">
        <w:rPr>
          <w:rFonts w:asciiTheme="minorHAnsi" w:eastAsia="Times New Roman" w:hAnsiTheme="minorHAnsi" w:cs="Calibri"/>
          <w:sz w:val="24"/>
          <w:szCs w:val="24"/>
          <w:lang w:val="en-US" w:eastAsia="en-GB"/>
        </w:rPr>
        <w:t>consid</w:t>
      </w:r>
      <w:r w:rsidR="00021F20">
        <w:rPr>
          <w:rFonts w:asciiTheme="minorHAnsi" w:eastAsia="Times New Roman" w:hAnsiTheme="minorHAnsi" w:cs="Calibri"/>
          <w:sz w:val="24"/>
          <w:szCs w:val="24"/>
          <w:lang w:val="en-US" w:eastAsia="en-GB"/>
        </w:rPr>
        <w:t>ers that the threat of withdrawal favo</w:t>
      </w:r>
      <w:r w:rsidR="00355049">
        <w:rPr>
          <w:rFonts w:asciiTheme="minorHAnsi" w:eastAsia="Times New Roman" w:hAnsiTheme="minorHAnsi" w:cs="Calibri"/>
          <w:sz w:val="24"/>
          <w:szCs w:val="24"/>
          <w:lang w:val="en-US" w:eastAsia="en-GB"/>
        </w:rPr>
        <w:t>rs the large Member S</w:t>
      </w:r>
      <w:r w:rsidR="00D9069D">
        <w:rPr>
          <w:rFonts w:asciiTheme="minorHAnsi" w:eastAsia="Times New Roman" w:hAnsiTheme="minorHAnsi" w:cs="Calibri"/>
          <w:sz w:val="24"/>
          <w:szCs w:val="24"/>
          <w:lang w:val="en-US" w:eastAsia="en-GB"/>
        </w:rPr>
        <w:t>tates of the EU</w:t>
      </w:r>
      <w:r w:rsidR="00021F20">
        <w:rPr>
          <w:rFonts w:asciiTheme="minorHAnsi" w:eastAsia="Times New Roman" w:hAnsiTheme="minorHAnsi" w:cs="Calibri"/>
          <w:sz w:val="24"/>
          <w:szCs w:val="24"/>
          <w:lang w:val="en-US" w:eastAsia="en-GB"/>
        </w:rPr>
        <w:t xml:space="preserve"> and writes that it m</w:t>
      </w:r>
      <w:r w:rsidRPr="00381DAC">
        <w:rPr>
          <w:rFonts w:asciiTheme="minorHAnsi" w:eastAsia="Times New Roman" w:hAnsiTheme="minorHAnsi" w:cs="Calibri"/>
          <w:sz w:val="24"/>
          <w:szCs w:val="24"/>
          <w:lang w:val="en-US" w:eastAsia="en-GB"/>
        </w:rPr>
        <w:t>ay be used to blackmail and in</w:t>
      </w:r>
      <w:r w:rsidR="00355049">
        <w:rPr>
          <w:rFonts w:asciiTheme="minorHAnsi" w:eastAsia="Times New Roman" w:hAnsiTheme="minorHAnsi" w:cs="Calibri"/>
          <w:sz w:val="24"/>
          <w:szCs w:val="24"/>
          <w:lang w:val="en-US" w:eastAsia="en-GB"/>
        </w:rPr>
        <w:t>timidate the smaller</w:t>
      </w:r>
      <w:r w:rsidR="0074154C">
        <w:rPr>
          <w:rFonts w:asciiTheme="minorHAnsi" w:eastAsia="Times New Roman" w:hAnsiTheme="minorHAnsi" w:cs="Calibri"/>
          <w:sz w:val="24"/>
          <w:szCs w:val="24"/>
          <w:lang w:val="en-US" w:eastAsia="en-GB"/>
        </w:rPr>
        <w:t xml:space="preserve"> states. </w:t>
      </w:r>
      <w:proofErr w:type="spellStart"/>
      <w:r w:rsidR="0074154C">
        <w:rPr>
          <w:rFonts w:asciiTheme="minorHAnsi" w:eastAsia="Times New Roman" w:hAnsiTheme="minorHAnsi" w:cs="Calibri"/>
          <w:sz w:val="24"/>
          <w:szCs w:val="24"/>
          <w:lang w:val="en-US" w:eastAsia="en-GB"/>
        </w:rPr>
        <w:t>Friel</w:t>
      </w:r>
      <w:proofErr w:type="spellEnd"/>
      <w:r w:rsidR="0074154C">
        <w:rPr>
          <w:rFonts w:asciiTheme="minorHAnsi" w:eastAsia="Times New Roman" w:hAnsiTheme="minorHAnsi" w:cs="Calibri"/>
          <w:sz w:val="24"/>
          <w:szCs w:val="24"/>
          <w:lang w:val="en-US" w:eastAsia="en-GB"/>
        </w:rPr>
        <w:t xml:space="preserve"> also reflects upon</w:t>
      </w:r>
      <w:r w:rsidRPr="00381DAC">
        <w:rPr>
          <w:rFonts w:asciiTheme="minorHAnsi" w:eastAsia="Times New Roman" w:hAnsiTheme="minorHAnsi" w:cs="Calibri"/>
          <w:sz w:val="24"/>
          <w:szCs w:val="24"/>
          <w:lang w:val="en-US" w:eastAsia="en-GB"/>
        </w:rPr>
        <w:t xml:space="preserve"> the possibility of </w:t>
      </w:r>
      <w:r w:rsidR="00021F20">
        <w:rPr>
          <w:rFonts w:asciiTheme="minorHAnsi" w:eastAsia="Times New Roman" w:hAnsiTheme="minorHAnsi" w:cs="Calibri"/>
          <w:sz w:val="24"/>
          <w:szCs w:val="24"/>
          <w:lang w:val="en-US" w:eastAsia="en-GB"/>
        </w:rPr>
        <w:t xml:space="preserve">a Member State </w:t>
      </w:r>
      <w:r w:rsidRPr="00381DAC">
        <w:rPr>
          <w:rFonts w:asciiTheme="minorHAnsi" w:eastAsia="Times New Roman" w:hAnsiTheme="minorHAnsi" w:cs="Calibri"/>
          <w:sz w:val="24"/>
          <w:szCs w:val="24"/>
          <w:lang w:val="en-US" w:eastAsia="en-GB"/>
        </w:rPr>
        <w:t>wi</w:t>
      </w:r>
      <w:r w:rsidR="0074154C">
        <w:rPr>
          <w:rFonts w:asciiTheme="minorHAnsi" w:eastAsia="Times New Roman" w:hAnsiTheme="minorHAnsi" w:cs="Calibri"/>
          <w:sz w:val="24"/>
          <w:szCs w:val="24"/>
          <w:lang w:val="en-US" w:eastAsia="en-GB"/>
        </w:rPr>
        <w:t>thdrawing the withdrawal</w:t>
      </w:r>
      <w:r w:rsidR="00355049">
        <w:rPr>
          <w:rFonts w:asciiTheme="minorHAnsi" w:eastAsia="Times New Roman" w:hAnsiTheme="minorHAnsi" w:cs="Calibri"/>
          <w:sz w:val="24"/>
          <w:szCs w:val="24"/>
          <w:lang w:val="en-US" w:eastAsia="en-GB"/>
        </w:rPr>
        <w:t xml:space="preserve"> notification</w:t>
      </w:r>
      <w:r w:rsidR="00981846">
        <w:rPr>
          <w:rFonts w:asciiTheme="minorHAnsi" w:eastAsia="Times New Roman" w:hAnsiTheme="minorHAnsi" w:cs="Calibri"/>
          <w:sz w:val="24"/>
          <w:szCs w:val="24"/>
          <w:lang w:val="en-US" w:eastAsia="en-GB"/>
        </w:rPr>
        <w:t>. Although he advocates</w:t>
      </w:r>
      <w:r w:rsidR="005172C7">
        <w:rPr>
          <w:rFonts w:asciiTheme="minorHAnsi" w:eastAsia="Times New Roman" w:hAnsiTheme="minorHAnsi" w:cs="Calibri"/>
          <w:sz w:val="24"/>
          <w:szCs w:val="24"/>
          <w:lang w:val="en-US" w:eastAsia="en-GB"/>
        </w:rPr>
        <w:t xml:space="preserve"> that a State should be allowed to withdraw its withdrawal, he </w:t>
      </w:r>
      <w:r w:rsidR="0074154C">
        <w:rPr>
          <w:rFonts w:asciiTheme="minorHAnsi" w:eastAsia="Times New Roman" w:hAnsiTheme="minorHAnsi" w:cs="Calibri"/>
          <w:sz w:val="24"/>
          <w:szCs w:val="24"/>
          <w:lang w:val="en-US" w:eastAsia="en-GB"/>
        </w:rPr>
        <w:t>i</w:t>
      </w:r>
      <w:r w:rsidR="00FA4FF5" w:rsidRPr="00381DAC">
        <w:rPr>
          <w:rFonts w:asciiTheme="minorHAnsi" w:eastAsia="Times New Roman" w:hAnsiTheme="minorHAnsi" w:cs="Calibri"/>
          <w:sz w:val="24"/>
          <w:szCs w:val="24"/>
          <w:lang w:val="en-US" w:eastAsia="en-GB"/>
        </w:rPr>
        <w:t>s uneasy about this course of action because of</w:t>
      </w:r>
      <w:r w:rsidR="00C13871" w:rsidRPr="00381DAC">
        <w:rPr>
          <w:rFonts w:asciiTheme="minorHAnsi" w:eastAsia="Times New Roman" w:hAnsiTheme="minorHAnsi" w:cs="Calibri"/>
          <w:sz w:val="24"/>
          <w:szCs w:val="24"/>
          <w:lang w:val="en-US" w:eastAsia="en-GB"/>
        </w:rPr>
        <w:t xml:space="preserve"> its possible use as a negotiat</w:t>
      </w:r>
      <w:r w:rsidR="00FA4FF5" w:rsidRPr="00381DAC">
        <w:rPr>
          <w:rFonts w:asciiTheme="minorHAnsi" w:eastAsia="Times New Roman" w:hAnsiTheme="minorHAnsi" w:cs="Calibri"/>
          <w:sz w:val="24"/>
          <w:szCs w:val="24"/>
          <w:lang w:val="en-US" w:eastAsia="en-GB"/>
        </w:rPr>
        <w:t>ing stra</w:t>
      </w:r>
      <w:r w:rsidR="0074154C">
        <w:rPr>
          <w:rFonts w:asciiTheme="minorHAnsi" w:eastAsia="Times New Roman" w:hAnsiTheme="minorHAnsi" w:cs="Calibri"/>
          <w:sz w:val="24"/>
          <w:szCs w:val="24"/>
          <w:lang w:val="en-US" w:eastAsia="en-GB"/>
        </w:rPr>
        <w:t xml:space="preserve">tegy between States and </w:t>
      </w:r>
      <w:r w:rsidR="00C13871" w:rsidRPr="00381DAC">
        <w:rPr>
          <w:rFonts w:asciiTheme="minorHAnsi" w:eastAsia="Times New Roman" w:hAnsiTheme="minorHAnsi" w:cs="Calibri"/>
          <w:sz w:val="24"/>
          <w:szCs w:val="24"/>
          <w:lang w:val="en-US" w:eastAsia="en-GB"/>
        </w:rPr>
        <w:t>sustains that t</w:t>
      </w:r>
      <w:r w:rsidR="00FA4FF5" w:rsidRPr="00381DAC">
        <w:rPr>
          <w:rFonts w:asciiTheme="minorHAnsi" w:eastAsia="Times New Roman" w:hAnsiTheme="minorHAnsi" w:cs="Calibri"/>
          <w:sz w:val="24"/>
          <w:szCs w:val="24"/>
          <w:lang w:val="en-US" w:eastAsia="en-GB"/>
        </w:rPr>
        <w:t>he threat of withdraw</w:t>
      </w:r>
      <w:r w:rsidR="00C13871" w:rsidRPr="00381DAC">
        <w:rPr>
          <w:rFonts w:asciiTheme="minorHAnsi" w:eastAsia="Times New Roman" w:hAnsiTheme="minorHAnsi" w:cs="Calibri"/>
          <w:sz w:val="24"/>
          <w:szCs w:val="24"/>
          <w:lang w:val="en-US" w:eastAsia="en-GB"/>
        </w:rPr>
        <w:t>al favo</w:t>
      </w:r>
      <w:r w:rsidR="00FA4FF5" w:rsidRPr="00381DAC">
        <w:rPr>
          <w:rFonts w:asciiTheme="minorHAnsi" w:eastAsia="Times New Roman" w:hAnsiTheme="minorHAnsi" w:cs="Calibri"/>
          <w:sz w:val="24"/>
          <w:szCs w:val="24"/>
          <w:lang w:val="en-US" w:eastAsia="en-GB"/>
        </w:rPr>
        <w:t xml:space="preserve">rs </w:t>
      </w:r>
      <w:r w:rsidR="00997BBD">
        <w:rPr>
          <w:rFonts w:asciiTheme="minorHAnsi" w:eastAsia="Times New Roman" w:hAnsiTheme="minorHAnsi" w:cs="Calibri"/>
          <w:sz w:val="24"/>
          <w:szCs w:val="24"/>
          <w:lang w:val="en-US" w:eastAsia="en-GB"/>
        </w:rPr>
        <w:t>the larger States of the Union</w:t>
      </w:r>
      <w:r w:rsidR="0074154C">
        <w:rPr>
          <w:rFonts w:asciiTheme="minorHAnsi" w:eastAsia="Times New Roman" w:hAnsiTheme="minorHAnsi" w:cs="Calibri"/>
          <w:sz w:val="24"/>
          <w:szCs w:val="24"/>
          <w:lang w:val="en-US" w:eastAsia="en-GB"/>
        </w:rPr>
        <w:t>.</w:t>
      </w:r>
      <w:r w:rsidR="007F01B1">
        <w:rPr>
          <w:rStyle w:val="Refdenotaderodap"/>
          <w:rFonts w:asciiTheme="minorHAnsi" w:eastAsia="Times New Roman" w:hAnsiTheme="minorHAnsi" w:cs="Calibri"/>
          <w:sz w:val="24"/>
          <w:szCs w:val="24"/>
          <w:lang w:val="en-US" w:eastAsia="en-GB"/>
        </w:rPr>
        <w:footnoteReference w:id="35"/>
      </w:r>
      <w:r w:rsidR="0074154C">
        <w:rPr>
          <w:rFonts w:asciiTheme="minorHAnsi" w:eastAsia="Times New Roman" w:hAnsiTheme="minorHAnsi" w:cs="Calibri"/>
          <w:sz w:val="24"/>
          <w:szCs w:val="24"/>
          <w:lang w:val="en-US" w:eastAsia="en-GB"/>
        </w:rPr>
        <w:t xml:space="preserve"> This last </w:t>
      </w:r>
      <w:r w:rsidRPr="00381DAC">
        <w:rPr>
          <w:rFonts w:asciiTheme="minorHAnsi" w:eastAsia="Times New Roman" w:hAnsiTheme="minorHAnsi" w:cs="Calibri"/>
          <w:sz w:val="24"/>
          <w:szCs w:val="24"/>
          <w:lang w:val="en-US" w:eastAsia="en-GB"/>
        </w:rPr>
        <w:t>possibility is</w:t>
      </w:r>
      <w:r w:rsidR="00EF5DEF">
        <w:rPr>
          <w:rFonts w:asciiTheme="minorHAnsi" w:eastAsia="Times New Roman" w:hAnsiTheme="minorHAnsi" w:cs="Calibri"/>
          <w:sz w:val="24"/>
          <w:szCs w:val="24"/>
          <w:lang w:val="en-US" w:eastAsia="en-GB"/>
        </w:rPr>
        <w:t xml:space="preserve"> also considered by </w:t>
      </w:r>
      <w:r w:rsidRPr="00381DAC">
        <w:rPr>
          <w:rFonts w:asciiTheme="minorHAnsi" w:eastAsia="Times New Roman" w:hAnsiTheme="minorHAnsi" w:cs="Calibri"/>
          <w:sz w:val="24"/>
          <w:szCs w:val="24"/>
          <w:lang w:val="en-US" w:eastAsia="en-GB"/>
        </w:rPr>
        <w:t>Louis who defends that a Member State should not be allowed to withdraw its withdrawal.</w:t>
      </w:r>
      <w:r w:rsidR="007F01B1">
        <w:rPr>
          <w:rStyle w:val="Refdenotaderodap"/>
          <w:rFonts w:asciiTheme="minorHAnsi" w:eastAsia="Times New Roman" w:hAnsiTheme="minorHAnsi" w:cs="Calibri"/>
          <w:sz w:val="24"/>
          <w:szCs w:val="24"/>
          <w:lang w:val="en-US" w:eastAsia="en-GB"/>
        </w:rPr>
        <w:footnoteReference w:id="36"/>
      </w:r>
      <w:r w:rsidRPr="00381DAC">
        <w:rPr>
          <w:rFonts w:asciiTheme="minorHAnsi" w:eastAsia="Times New Roman" w:hAnsiTheme="minorHAnsi" w:cs="Calibri"/>
          <w:sz w:val="24"/>
          <w:szCs w:val="24"/>
          <w:lang w:val="en-US" w:eastAsia="en-GB"/>
        </w:rPr>
        <w:t xml:space="preserve"> </w:t>
      </w:r>
    </w:p>
    <w:p w:rsidR="00FA4FF5" w:rsidRPr="00381DAC" w:rsidRDefault="00FA4FF5" w:rsidP="00287944">
      <w:pPr>
        <w:spacing w:after="0" w:line="360" w:lineRule="auto"/>
        <w:jc w:val="both"/>
        <w:rPr>
          <w:rFonts w:asciiTheme="minorHAnsi" w:eastAsia="Times New Roman" w:hAnsiTheme="minorHAnsi" w:cs="Calibri"/>
          <w:sz w:val="24"/>
          <w:szCs w:val="24"/>
          <w:lang w:val="en-US" w:eastAsia="en-GB"/>
        </w:rPr>
      </w:pPr>
    </w:p>
    <w:p w:rsidR="008C2E5D" w:rsidRPr="00381DAC" w:rsidRDefault="00685947" w:rsidP="008C2E5D">
      <w:pPr>
        <w:pStyle w:val="PargrafodaLista"/>
        <w:numPr>
          <w:ilvl w:val="0"/>
          <w:numId w:val="2"/>
        </w:numPr>
        <w:spacing w:after="0" w:line="360" w:lineRule="auto"/>
        <w:jc w:val="both"/>
        <w:rPr>
          <w:rFonts w:eastAsia="Times New Roman" w:cs="Calibri"/>
          <w:sz w:val="24"/>
          <w:szCs w:val="24"/>
          <w:lang w:val="en-US" w:eastAsia="en-GB"/>
        </w:rPr>
      </w:pPr>
      <w:r>
        <w:rPr>
          <w:rFonts w:eastAsia="Times New Roman" w:cs="Calibri"/>
          <w:sz w:val="24"/>
          <w:szCs w:val="24"/>
          <w:lang w:val="en-US" w:eastAsia="en-GB"/>
        </w:rPr>
        <w:t>Institutional questions</w:t>
      </w:r>
    </w:p>
    <w:p w:rsidR="00FA4FF5" w:rsidRPr="00381DAC" w:rsidRDefault="00FA4FF5" w:rsidP="00FA4FF5">
      <w:pPr>
        <w:pStyle w:val="PargrafodaLista"/>
        <w:spacing w:after="0" w:line="360" w:lineRule="auto"/>
        <w:jc w:val="both"/>
        <w:rPr>
          <w:rFonts w:eastAsia="Times New Roman" w:cs="Calibri"/>
          <w:sz w:val="24"/>
          <w:szCs w:val="24"/>
          <w:lang w:val="en-US" w:eastAsia="en-GB"/>
        </w:rPr>
      </w:pPr>
    </w:p>
    <w:p w:rsidR="00C13871" w:rsidRPr="00381DAC" w:rsidRDefault="00C13871" w:rsidP="00C13871">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 xml:space="preserve">Article 50, nº 4, </w:t>
      </w:r>
      <w:r w:rsidR="00685947">
        <w:rPr>
          <w:rFonts w:asciiTheme="minorHAnsi" w:eastAsia="Times New Roman" w:hAnsiTheme="minorHAnsi" w:cs="Calibri"/>
          <w:sz w:val="24"/>
          <w:szCs w:val="24"/>
          <w:lang w:val="en-US" w:eastAsia="en-GB"/>
        </w:rPr>
        <w:t xml:space="preserve">of the TEU </w:t>
      </w:r>
      <w:r w:rsidRPr="00381DAC">
        <w:rPr>
          <w:rFonts w:asciiTheme="minorHAnsi" w:eastAsia="Times New Roman" w:hAnsiTheme="minorHAnsi" w:cs="Calibri"/>
          <w:sz w:val="24"/>
          <w:szCs w:val="24"/>
          <w:lang w:val="en-US" w:eastAsia="en-GB"/>
        </w:rPr>
        <w:t xml:space="preserve">curtails the rights of </w:t>
      </w:r>
      <w:r w:rsidR="00FA4FF5" w:rsidRPr="00381DAC">
        <w:rPr>
          <w:rFonts w:asciiTheme="minorHAnsi" w:eastAsia="Times New Roman" w:hAnsiTheme="minorHAnsi" w:cs="Calibri"/>
          <w:sz w:val="24"/>
          <w:szCs w:val="24"/>
          <w:lang w:val="en-US" w:eastAsia="en-GB"/>
        </w:rPr>
        <w:t xml:space="preserve">the </w:t>
      </w:r>
      <w:r w:rsidR="00685947">
        <w:rPr>
          <w:rFonts w:asciiTheme="minorHAnsi" w:eastAsia="Times New Roman" w:hAnsiTheme="minorHAnsi" w:cs="Calibri"/>
          <w:sz w:val="24"/>
          <w:szCs w:val="24"/>
          <w:lang w:val="en-US" w:eastAsia="en-GB"/>
        </w:rPr>
        <w:t xml:space="preserve">representatives from the withdrawing Member State in the </w:t>
      </w:r>
      <w:r w:rsidR="00FA4FF5" w:rsidRPr="00381DAC">
        <w:rPr>
          <w:rFonts w:asciiTheme="minorHAnsi" w:eastAsia="Times New Roman" w:hAnsiTheme="minorHAnsi" w:cs="Calibri"/>
          <w:sz w:val="24"/>
          <w:szCs w:val="24"/>
          <w:lang w:val="en-US" w:eastAsia="en-GB"/>
        </w:rPr>
        <w:t>European Council and the Council. In this sense</w:t>
      </w:r>
      <w:r w:rsidR="00685947">
        <w:rPr>
          <w:rFonts w:asciiTheme="minorHAnsi" w:eastAsia="Times New Roman" w:hAnsiTheme="minorHAnsi" w:cs="Calibri"/>
          <w:sz w:val="24"/>
          <w:szCs w:val="24"/>
          <w:lang w:val="en-US" w:eastAsia="en-GB"/>
        </w:rPr>
        <w:t>,</w:t>
      </w:r>
      <w:r w:rsidR="00FA4FF5" w:rsidRPr="00381DAC">
        <w:rPr>
          <w:rFonts w:asciiTheme="minorHAnsi" w:eastAsia="Times New Roman" w:hAnsiTheme="minorHAnsi" w:cs="Calibri"/>
          <w:sz w:val="24"/>
          <w:szCs w:val="24"/>
          <w:lang w:val="en-US" w:eastAsia="en-GB"/>
        </w:rPr>
        <w:t xml:space="preserve"> the member</w:t>
      </w:r>
      <w:r w:rsidR="00685947">
        <w:rPr>
          <w:rFonts w:asciiTheme="minorHAnsi" w:eastAsia="Times New Roman" w:hAnsiTheme="minorHAnsi" w:cs="Calibri"/>
          <w:sz w:val="24"/>
          <w:szCs w:val="24"/>
          <w:lang w:val="en-US" w:eastAsia="en-GB"/>
        </w:rPr>
        <w:t xml:space="preserve">s </w:t>
      </w:r>
      <w:r w:rsidR="00021F20">
        <w:rPr>
          <w:rFonts w:asciiTheme="minorHAnsi" w:eastAsia="Times New Roman" w:hAnsiTheme="minorHAnsi" w:cs="Calibri"/>
          <w:sz w:val="24"/>
          <w:szCs w:val="24"/>
          <w:lang w:val="en-US" w:eastAsia="en-GB"/>
        </w:rPr>
        <w:t xml:space="preserve">from the withdrawing Member State </w:t>
      </w:r>
      <w:r w:rsidR="00685947">
        <w:rPr>
          <w:rFonts w:asciiTheme="minorHAnsi" w:eastAsia="Times New Roman" w:hAnsiTheme="minorHAnsi" w:cs="Calibri"/>
          <w:sz w:val="24"/>
          <w:szCs w:val="24"/>
          <w:lang w:val="en-US" w:eastAsia="en-GB"/>
        </w:rPr>
        <w:t xml:space="preserve">in these two European institutions </w:t>
      </w:r>
      <w:r w:rsidR="00C11DE7" w:rsidRPr="00381DAC">
        <w:rPr>
          <w:rFonts w:asciiTheme="minorHAnsi" w:eastAsia="Times New Roman" w:hAnsiTheme="minorHAnsi" w:cs="Calibri"/>
          <w:sz w:val="24"/>
          <w:szCs w:val="24"/>
          <w:lang w:val="en-US" w:eastAsia="en-GB"/>
        </w:rPr>
        <w:t>can</w:t>
      </w:r>
      <w:r w:rsidR="00FA4FF5" w:rsidRPr="00381DAC">
        <w:rPr>
          <w:rFonts w:asciiTheme="minorHAnsi" w:eastAsia="Times New Roman" w:hAnsiTheme="minorHAnsi" w:cs="Calibri"/>
          <w:sz w:val="24"/>
          <w:szCs w:val="24"/>
          <w:lang w:val="en-US" w:eastAsia="en-GB"/>
        </w:rPr>
        <w:t>not participate in the deliberations and decisions regarding withdr</w:t>
      </w:r>
      <w:r w:rsidRPr="00381DAC">
        <w:rPr>
          <w:rFonts w:asciiTheme="minorHAnsi" w:eastAsia="Times New Roman" w:hAnsiTheme="minorHAnsi" w:cs="Calibri"/>
          <w:sz w:val="24"/>
          <w:szCs w:val="24"/>
          <w:lang w:val="en-US" w:eastAsia="en-GB"/>
        </w:rPr>
        <w:t>a</w:t>
      </w:r>
      <w:r w:rsidR="00FA4FF5" w:rsidRPr="00381DAC">
        <w:rPr>
          <w:rFonts w:asciiTheme="minorHAnsi" w:eastAsia="Times New Roman" w:hAnsiTheme="minorHAnsi" w:cs="Calibri"/>
          <w:sz w:val="24"/>
          <w:szCs w:val="24"/>
          <w:lang w:val="en-US" w:eastAsia="en-GB"/>
        </w:rPr>
        <w:t>wal.</w:t>
      </w:r>
    </w:p>
    <w:p w:rsidR="00251110" w:rsidRDefault="00C13871" w:rsidP="00C13871">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 xml:space="preserve">The </w:t>
      </w:r>
      <w:r w:rsidR="00FA4FF5" w:rsidRPr="00381DAC">
        <w:rPr>
          <w:rFonts w:asciiTheme="minorHAnsi" w:eastAsia="Times New Roman" w:hAnsiTheme="minorHAnsi" w:cs="Calibri"/>
          <w:sz w:val="24"/>
          <w:szCs w:val="24"/>
          <w:lang w:val="en-US" w:eastAsia="en-GB"/>
        </w:rPr>
        <w:t>pre</w:t>
      </w:r>
      <w:r w:rsidRPr="00381DAC">
        <w:rPr>
          <w:rFonts w:asciiTheme="minorHAnsi" w:eastAsia="Times New Roman" w:hAnsiTheme="minorHAnsi" w:cs="Calibri"/>
          <w:sz w:val="24"/>
          <w:szCs w:val="24"/>
          <w:lang w:val="en-US" w:eastAsia="en-GB"/>
        </w:rPr>
        <w:t xml:space="preserve">cept </w:t>
      </w:r>
      <w:r w:rsidR="00B91FF6">
        <w:rPr>
          <w:rFonts w:asciiTheme="minorHAnsi" w:eastAsia="Times New Roman" w:hAnsiTheme="minorHAnsi" w:cs="Calibri"/>
          <w:sz w:val="24"/>
          <w:szCs w:val="24"/>
          <w:lang w:val="en-US" w:eastAsia="en-GB"/>
        </w:rPr>
        <w:t xml:space="preserve">in question </w:t>
      </w:r>
      <w:r w:rsidRPr="00381DAC">
        <w:rPr>
          <w:rFonts w:asciiTheme="minorHAnsi" w:eastAsia="Times New Roman" w:hAnsiTheme="minorHAnsi" w:cs="Calibri"/>
          <w:sz w:val="24"/>
          <w:szCs w:val="24"/>
          <w:lang w:val="en-US" w:eastAsia="en-GB"/>
        </w:rPr>
        <w:t xml:space="preserve">is </w:t>
      </w:r>
      <w:r w:rsidR="00FA4FF5" w:rsidRPr="00381DAC">
        <w:rPr>
          <w:rFonts w:asciiTheme="minorHAnsi" w:eastAsia="Times New Roman" w:hAnsiTheme="minorHAnsi" w:cs="Calibri"/>
          <w:sz w:val="24"/>
          <w:szCs w:val="24"/>
          <w:lang w:val="en-US" w:eastAsia="en-GB"/>
        </w:rPr>
        <w:t xml:space="preserve">criticized by the </w:t>
      </w:r>
      <w:r w:rsidRPr="00381DAC">
        <w:rPr>
          <w:rFonts w:asciiTheme="minorHAnsi" w:eastAsia="Times New Roman" w:hAnsiTheme="minorHAnsi" w:cs="Calibri"/>
          <w:sz w:val="24"/>
          <w:szCs w:val="24"/>
          <w:lang w:val="en-US" w:eastAsia="en-GB"/>
        </w:rPr>
        <w:t xml:space="preserve">legal </w:t>
      </w:r>
      <w:r w:rsidR="00FA4FF5" w:rsidRPr="00381DAC">
        <w:rPr>
          <w:rFonts w:asciiTheme="minorHAnsi" w:eastAsia="Times New Roman" w:hAnsiTheme="minorHAnsi" w:cs="Calibri"/>
          <w:sz w:val="24"/>
          <w:szCs w:val="24"/>
          <w:lang w:val="en-US" w:eastAsia="en-GB"/>
        </w:rPr>
        <w:t>doc</w:t>
      </w:r>
      <w:r w:rsidRPr="00381DAC">
        <w:rPr>
          <w:rFonts w:asciiTheme="minorHAnsi" w:eastAsia="Times New Roman" w:hAnsiTheme="minorHAnsi" w:cs="Calibri"/>
          <w:sz w:val="24"/>
          <w:szCs w:val="24"/>
          <w:lang w:val="en-US" w:eastAsia="en-GB"/>
        </w:rPr>
        <w:t xml:space="preserve">trine because it leaves out </w:t>
      </w:r>
      <w:r w:rsidR="00FA4FF5" w:rsidRPr="00381DAC">
        <w:rPr>
          <w:rFonts w:asciiTheme="minorHAnsi" w:eastAsia="Times New Roman" w:hAnsiTheme="minorHAnsi" w:cs="Calibri"/>
          <w:sz w:val="24"/>
          <w:szCs w:val="24"/>
          <w:lang w:val="en-US" w:eastAsia="en-GB"/>
        </w:rPr>
        <w:t>other institution</w:t>
      </w:r>
      <w:r w:rsidR="00685947">
        <w:rPr>
          <w:rFonts w:asciiTheme="minorHAnsi" w:eastAsia="Times New Roman" w:hAnsiTheme="minorHAnsi" w:cs="Calibri"/>
          <w:sz w:val="24"/>
          <w:szCs w:val="24"/>
          <w:lang w:val="en-US" w:eastAsia="en-GB"/>
        </w:rPr>
        <w:t>s</w:t>
      </w:r>
      <w:r w:rsidR="00D9069D">
        <w:rPr>
          <w:rFonts w:asciiTheme="minorHAnsi" w:eastAsia="Times New Roman" w:hAnsiTheme="minorHAnsi" w:cs="Calibri"/>
          <w:sz w:val="24"/>
          <w:szCs w:val="24"/>
          <w:lang w:val="en-US" w:eastAsia="en-GB"/>
        </w:rPr>
        <w:t xml:space="preserve"> of the EU</w:t>
      </w:r>
      <w:r w:rsidR="00FA4FF5" w:rsidRPr="00381DAC">
        <w:rPr>
          <w:rFonts w:asciiTheme="minorHAnsi" w:eastAsia="Times New Roman" w:hAnsiTheme="minorHAnsi" w:cs="Calibri"/>
          <w:sz w:val="24"/>
          <w:szCs w:val="24"/>
          <w:lang w:val="en-US" w:eastAsia="en-GB"/>
        </w:rPr>
        <w:t>. For example,</w:t>
      </w:r>
      <w:r w:rsidR="00B91FF6">
        <w:rPr>
          <w:rFonts w:asciiTheme="minorHAnsi" w:eastAsia="Times New Roman" w:hAnsiTheme="minorHAnsi" w:cs="Calibri"/>
          <w:sz w:val="24"/>
          <w:szCs w:val="24"/>
          <w:lang w:val="en-US" w:eastAsia="en-GB"/>
        </w:rPr>
        <w:t xml:space="preserve"> several authors </w:t>
      </w:r>
      <w:r w:rsidR="00981846">
        <w:rPr>
          <w:rFonts w:asciiTheme="minorHAnsi" w:eastAsia="Times New Roman" w:hAnsiTheme="minorHAnsi" w:cs="Calibri"/>
          <w:sz w:val="24"/>
          <w:szCs w:val="24"/>
          <w:lang w:val="en-US" w:eastAsia="en-GB"/>
        </w:rPr>
        <w:t>criticize the fact that M</w:t>
      </w:r>
      <w:r w:rsidR="00FA4FF5" w:rsidRPr="00381DAC">
        <w:rPr>
          <w:rFonts w:asciiTheme="minorHAnsi" w:eastAsia="Times New Roman" w:hAnsiTheme="minorHAnsi" w:cs="Calibri"/>
          <w:sz w:val="24"/>
          <w:szCs w:val="24"/>
          <w:lang w:val="en-US" w:eastAsia="en-GB"/>
        </w:rPr>
        <w:t xml:space="preserve">embers of the European Parliament </w:t>
      </w:r>
      <w:r w:rsidR="00981846">
        <w:rPr>
          <w:rFonts w:asciiTheme="minorHAnsi" w:eastAsia="Times New Roman" w:hAnsiTheme="minorHAnsi" w:cs="Calibri"/>
          <w:sz w:val="24"/>
          <w:szCs w:val="24"/>
          <w:lang w:val="en-US" w:eastAsia="en-GB"/>
        </w:rPr>
        <w:t xml:space="preserve">(MEP) </w:t>
      </w:r>
      <w:r w:rsidRPr="00381DAC">
        <w:rPr>
          <w:rFonts w:asciiTheme="minorHAnsi" w:eastAsia="Times New Roman" w:hAnsiTheme="minorHAnsi" w:cs="Calibri"/>
          <w:sz w:val="24"/>
          <w:szCs w:val="24"/>
          <w:lang w:val="en-US" w:eastAsia="en-GB"/>
        </w:rPr>
        <w:t xml:space="preserve">from the Member-State that has exercised its right to withdraw from the Union </w:t>
      </w:r>
      <w:r w:rsidR="00FA4FF5" w:rsidRPr="00381DAC">
        <w:rPr>
          <w:rFonts w:asciiTheme="minorHAnsi" w:eastAsia="Times New Roman" w:hAnsiTheme="minorHAnsi" w:cs="Calibri"/>
          <w:sz w:val="24"/>
          <w:szCs w:val="24"/>
          <w:lang w:val="en-US" w:eastAsia="en-GB"/>
        </w:rPr>
        <w:t xml:space="preserve">maintain their rights. </w:t>
      </w:r>
      <w:r w:rsidR="00192283" w:rsidRPr="00381DAC">
        <w:rPr>
          <w:rFonts w:asciiTheme="minorHAnsi" w:eastAsia="Times New Roman" w:hAnsiTheme="minorHAnsi" w:cs="Calibri"/>
          <w:sz w:val="24"/>
          <w:szCs w:val="24"/>
          <w:lang w:val="en-US" w:eastAsia="en-GB"/>
        </w:rPr>
        <w:t>In other words, MEP can participate and vote in the deliberations conn</w:t>
      </w:r>
      <w:r w:rsidR="0099566F">
        <w:rPr>
          <w:rFonts w:asciiTheme="minorHAnsi" w:eastAsia="Times New Roman" w:hAnsiTheme="minorHAnsi" w:cs="Calibri"/>
          <w:sz w:val="24"/>
          <w:szCs w:val="24"/>
          <w:lang w:val="en-US" w:eastAsia="en-GB"/>
        </w:rPr>
        <w:t>e</w:t>
      </w:r>
      <w:r w:rsidR="00192283" w:rsidRPr="00381DAC">
        <w:rPr>
          <w:rFonts w:asciiTheme="minorHAnsi" w:eastAsia="Times New Roman" w:hAnsiTheme="minorHAnsi" w:cs="Calibri"/>
          <w:sz w:val="24"/>
          <w:szCs w:val="24"/>
          <w:lang w:val="en-US" w:eastAsia="en-GB"/>
        </w:rPr>
        <w:t>cted t</w:t>
      </w:r>
      <w:r w:rsidR="00685947">
        <w:rPr>
          <w:rFonts w:asciiTheme="minorHAnsi" w:eastAsia="Times New Roman" w:hAnsiTheme="minorHAnsi" w:cs="Calibri"/>
          <w:sz w:val="24"/>
          <w:szCs w:val="24"/>
          <w:lang w:val="en-US" w:eastAsia="en-GB"/>
        </w:rPr>
        <w:t xml:space="preserve">o the approval or rejection of the withdrawal agreement. </w:t>
      </w:r>
      <w:r w:rsidR="00B91FF6">
        <w:rPr>
          <w:rFonts w:asciiTheme="minorHAnsi" w:eastAsia="Times New Roman" w:hAnsiTheme="minorHAnsi" w:cs="Calibri"/>
          <w:sz w:val="24"/>
          <w:szCs w:val="24"/>
          <w:lang w:val="en-US" w:eastAsia="en-GB"/>
        </w:rPr>
        <w:t xml:space="preserve">This possibility is especially considered by Michael </w:t>
      </w:r>
      <w:proofErr w:type="spellStart"/>
      <w:r w:rsidR="00B91FF6">
        <w:rPr>
          <w:rFonts w:asciiTheme="minorHAnsi" w:eastAsia="Times New Roman" w:hAnsiTheme="minorHAnsi" w:cs="Calibri"/>
          <w:sz w:val="24"/>
          <w:szCs w:val="24"/>
          <w:lang w:val="en-US" w:eastAsia="en-GB"/>
        </w:rPr>
        <w:t>Dougan</w:t>
      </w:r>
      <w:proofErr w:type="spellEnd"/>
      <w:r w:rsidR="00B91FF6">
        <w:rPr>
          <w:rFonts w:asciiTheme="minorHAnsi" w:eastAsia="Times New Roman" w:hAnsiTheme="minorHAnsi" w:cs="Calibri"/>
          <w:sz w:val="24"/>
          <w:szCs w:val="24"/>
          <w:lang w:val="en-US" w:eastAsia="en-GB"/>
        </w:rPr>
        <w:t xml:space="preserve"> who offers a possible explanation for not extending any type of limitation to institutions such as the European Parliament, the European Commission or the Court of Justice of the European Union. In </w:t>
      </w:r>
      <w:proofErr w:type="spellStart"/>
      <w:r w:rsidR="00B91FF6">
        <w:rPr>
          <w:rFonts w:asciiTheme="minorHAnsi" w:eastAsia="Times New Roman" w:hAnsiTheme="minorHAnsi" w:cs="Calibri"/>
          <w:sz w:val="24"/>
          <w:szCs w:val="24"/>
          <w:lang w:val="en-US" w:eastAsia="en-GB"/>
        </w:rPr>
        <w:t>Dougan’s</w:t>
      </w:r>
      <w:proofErr w:type="spellEnd"/>
      <w:r w:rsidR="00B91FF6">
        <w:rPr>
          <w:rFonts w:asciiTheme="minorHAnsi" w:eastAsia="Times New Roman" w:hAnsiTheme="minorHAnsi" w:cs="Calibri"/>
          <w:sz w:val="24"/>
          <w:szCs w:val="24"/>
          <w:lang w:val="en-US" w:eastAsia="en-GB"/>
        </w:rPr>
        <w:t xml:space="preserve"> opinion, the limitations in </w:t>
      </w:r>
      <w:r w:rsidR="00D9069D">
        <w:rPr>
          <w:rFonts w:asciiTheme="minorHAnsi" w:eastAsia="Times New Roman" w:hAnsiTheme="minorHAnsi" w:cs="Calibri"/>
          <w:sz w:val="24"/>
          <w:szCs w:val="24"/>
          <w:lang w:val="en-US" w:eastAsia="en-GB"/>
        </w:rPr>
        <w:t>article 50, nº 4, of the TEU</w:t>
      </w:r>
      <w:r w:rsidR="00052A13">
        <w:rPr>
          <w:rFonts w:asciiTheme="minorHAnsi" w:eastAsia="Times New Roman" w:hAnsiTheme="minorHAnsi" w:cs="Calibri"/>
          <w:sz w:val="24"/>
          <w:szCs w:val="24"/>
          <w:lang w:val="en-US" w:eastAsia="en-GB"/>
        </w:rPr>
        <w:t>,</w:t>
      </w:r>
      <w:r w:rsidR="00D9069D">
        <w:rPr>
          <w:rFonts w:asciiTheme="minorHAnsi" w:eastAsia="Times New Roman" w:hAnsiTheme="minorHAnsi" w:cs="Calibri"/>
          <w:sz w:val="24"/>
          <w:szCs w:val="24"/>
          <w:lang w:val="en-US" w:eastAsia="en-GB"/>
        </w:rPr>
        <w:t xml:space="preserve"> were</w:t>
      </w:r>
      <w:r w:rsidR="00B91FF6">
        <w:rPr>
          <w:rFonts w:asciiTheme="minorHAnsi" w:eastAsia="Times New Roman" w:hAnsiTheme="minorHAnsi" w:cs="Calibri"/>
          <w:sz w:val="24"/>
          <w:szCs w:val="24"/>
          <w:lang w:val="en-US" w:eastAsia="en-GB"/>
        </w:rPr>
        <w:t xml:space="preserve"> probably not extended to these institutions because of their supranational character. However, he does not agree with this option and defends that “there is no good reason to offer the</w:t>
      </w:r>
      <w:r w:rsidR="00FE75FB">
        <w:rPr>
          <w:rFonts w:asciiTheme="minorHAnsi" w:eastAsia="Times New Roman" w:hAnsiTheme="minorHAnsi" w:cs="Calibri"/>
          <w:sz w:val="24"/>
          <w:szCs w:val="24"/>
          <w:lang w:val="en-US" w:eastAsia="en-GB"/>
        </w:rPr>
        <w:t xml:space="preserve"> MEP</w:t>
      </w:r>
      <w:r w:rsidR="00B91FF6">
        <w:rPr>
          <w:rFonts w:asciiTheme="minorHAnsi" w:eastAsia="Times New Roman" w:hAnsiTheme="minorHAnsi" w:cs="Calibri"/>
          <w:sz w:val="24"/>
          <w:szCs w:val="24"/>
          <w:lang w:val="en-US" w:eastAsia="en-GB"/>
        </w:rPr>
        <w:t xml:space="preserve"> the right to exercise any influence (let alone a potentially decisive one) over the agreement which will determine future relations between that country and the Union”.</w:t>
      </w:r>
      <w:r w:rsidR="003C0382">
        <w:rPr>
          <w:rStyle w:val="Refdenotaderodap"/>
          <w:rFonts w:asciiTheme="minorHAnsi" w:eastAsia="Times New Roman" w:hAnsiTheme="minorHAnsi" w:cs="Calibri"/>
          <w:sz w:val="24"/>
          <w:szCs w:val="24"/>
          <w:lang w:val="en-US" w:eastAsia="en-GB"/>
        </w:rPr>
        <w:footnoteReference w:id="37"/>
      </w:r>
    </w:p>
    <w:p w:rsidR="00AF76C6" w:rsidRDefault="00FA4FF5" w:rsidP="00FF237C">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 xml:space="preserve">Others </w:t>
      </w:r>
      <w:r w:rsidR="00BF13DA">
        <w:rPr>
          <w:rFonts w:asciiTheme="minorHAnsi" w:eastAsia="Times New Roman" w:hAnsiTheme="minorHAnsi" w:cs="Calibri"/>
          <w:sz w:val="24"/>
          <w:szCs w:val="24"/>
          <w:lang w:val="en-US" w:eastAsia="en-GB"/>
        </w:rPr>
        <w:t xml:space="preserve">authors </w:t>
      </w:r>
      <w:r w:rsidRPr="00381DAC">
        <w:rPr>
          <w:rFonts w:asciiTheme="minorHAnsi" w:eastAsia="Times New Roman" w:hAnsiTheme="minorHAnsi" w:cs="Calibri"/>
          <w:sz w:val="24"/>
          <w:szCs w:val="24"/>
          <w:lang w:val="en-US" w:eastAsia="en-GB"/>
        </w:rPr>
        <w:t xml:space="preserve">point to the fact that the </w:t>
      </w:r>
      <w:r w:rsidR="00251110">
        <w:rPr>
          <w:rFonts w:asciiTheme="minorHAnsi" w:eastAsia="Times New Roman" w:hAnsiTheme="minorHAnsi" w:cs="Calibri"/>
          <w:sz w:val="24"/>
          <w:szCs w:val="24"/>
          <w:lang w:val="en-US" w:eastAsia="en-GB"/>
        </w:rPr>
        <w:t>provision does not cover judicial matters. In this sense, the precept in questions does not offer any legal guidelines relative to the operation of the Court of Justic</w:t>
      </w:r>
      <w:r w:rsidR="00D9069D">
        <w:rPr>
          <w:rFonts w:asciiTheme="minorHAnsi" w:eastAsia="Times New Roman" w:hAnsiTheme="minorHAnsi" w:cs="Calibri"/>
          <w:sz w:val="24"/>
          <w:szCs w:val="24"/>
          <w:lang w:val="en-US" w:eastAsia="en-GB"/>
        </w:rPr>
        <w:t>e of the European Union</w:t>
      </w:r>
      <w:r w:rsidR="00A06102">
        <w:rPr>
          <w:rFonts w:asciiTheme="minorHAnsi" w:eastAsia="Times New Roman" w:hAnsiTheme="minorHAnsi" w:cs="Calibri"/>
          <w:sz w:val="24"/>
          <w:szCs w:val="24"/>
          <w:lang w:val="en-US" w:eastAsia="en-GB"/>
        </w:rPr>
        <w:t xml:space="preserve">. </w:t>
      </w:r>
      <w:r w:rsidR="00251110">
        <w:rPr>
          <w:rFonts w:asciiTheme="minorHAnsi" w:eastAsia="Times New Roman" w:hAnsiTheme="minorHAnsi" w:cs="Calibri"/>
          <w:sz w:val="24"/>
          <w:szCs w:val="24"/>
          <w:lang w:val="en-US" w:eastAsia="en-GB"/>
        </w:rPr>
        <w:t xml:space="preserve">According to </w:t>
      </w:r>
      <w:proofErr w:type="spellStart"/>
      <w:r w:rsidR="00251110">
        <w:rPr>
          <w:rFonts w:asciiTheme="minorHAnsi" w:eastAsia="Times New Roman" w:hAnsiTheme="minorHAnsi" w:cs="Calibri"/>
          <w:sz w:val="24"/>
          <w:szCs w:val="24"/>
          <w:lang w:val="en-US" w:eastAsia="en-GB"/>
        </w:rPr>
        <w:t>Ladowski</w:t>
      </w:r>
      <w:proofErr w:type="spellEnd"/>
      <w:r w:rsidR="00251110">
        <w:rPr>
          <w:rFonts w:asciiTheme="minorHAnsi" w:eastAsia="Times New Roman" w:hAnsiTheme="minorHAnsi" w:cs="Calibri"/>
          <w:sz w:val="24"/>
          <w:szCs w:val="24"/>
          <w:lang w:val="en-US" w:eastAsia="en-GB"/>
        </w:rPr>
        <w:t xml:space="preserve"> a decision would have to be made in regard to the Judges and Advocate Generals from the departing country referring to the </w:t>
      </w:r>
      <w:r w:rsidR="00A06102">
        <w:rPr>
          <w:rFonts w:asciiTheme="minorHAnsi" w:eastAsia="Times New Roman" w:hAnsiTheme="minorHAnsi" w:cs="Calibri"/>
          <w:sz w:val="24"/>
          <w:szCs w:val="24"/>
          <w:lang w:val="en-US" w:eastAsia="en-GB"/>
        </w:rPr>
        <w:t xml:space="preserve">possibility of hearing new cases and the </w:t>
      </w:r>
      <w:r w:rsidR="00251110">
        <w:rPr>
          <w:rFonts w:asciiTheme="minorHAnsi" w:eastAsia="Times New Roman" w:hAnsiTheme="minorHAnsi" w:cs="Calibri"/>
          <w:sz w:val="24"/>
          <w:szCs w:val="24"/>
          <w:lang w:val="en-US" w:eastAsia="en-GB"/>
        </w:rPr>
        <w:t>temporal limit of their functions. There is no reason to bar J</w:t>
      </w:r>
      <w:r w:rsidRPr="00381DAC">
        <w:rPr>
          <w:rFonts w:asciiTheme="minorHAnsi" w:eastAsia="Times New Roman" w:hAnsiTheme="minorHAnsi" w:cs="Calibri"/>
          <w:sz w:val="24"/>
          <w:szCs w:val="24"/>
          <w:lang w:val="en-US" w:eastAsia="en-GB"/>
        </w:rPr>
        <w:t>udges from the Sta</w:t>
      </w:r>
      <w:r w:rsidR="00C11DE7" w:rsidRPr="00381DAC">
        <w:rPr>
          <w:rFonts w:asciiTheme="minorHAnsi" w:eastAsia="Times New Roman" w:hAnsiTheme="minorHAnsi" w:cs="Calibri"/>
          <w:sz w:val="24"/>
          <w:szCs w:val="24"/>
          <w:lang w:val="en-US" w:eastAsia="en-GB"/>
        </w:rPr>
        <w:t>t</w:t>
      </w:r>
      <w:r w:rsidRPr="00381DAC">
        <w:rPr>
          <w:rFonts w:asciiTheme="minorHAnsi" w:eastAsia="Times New Roman" w:hAnsiTheme="minorHAnsi" w:cs="Calibri"/>
          <w:sz w:val="24"/>
          <w:szCs w:val="24"/>
          <w:lang w:val="en-US" w:eastAsia="en-GB"/>
        </w:rPr>
        <w:t>e who has formally</w:t>
      </w:r>
      <w:r w:rsidR="00C11DE7" w:rsidRPr="00381DAC">
        <w:rPr>
          <w:rFonts w:asciiTheme="minorHAnsi" w:eastAsia="Times New Roman" w:hAnsiTheme="minorHAnsi" w:cs="Calibri"/>
          <w:sz w:val="24"/>
          <w:szCs w:val="24"/>
          <w:lang w:val="en-US" w:eastAsia="en-GB"/>
        </w:rPr>
        <w:t xml:space="preserve"> </w:t>
      </w:r>
      <w:r w:rsidRPr="00381DAC">
        <w:rPr>
          <w:rFonts w:asciiTheme="minorHAnsi" w:eastAsia="Times New Roman" w:hAnsiTheme="minorHAnsi" w:cs="Calibri"/>
          <w:sz w:val="24"/>
          <w:szCs w:val="24"/>
          <w:lang w:val="en-US" w:eastAsia="en-GB"/>
        </w:rPr>
        <w:t>noti</w:t>
      </w:r>
      <w:r w:rsidR="00C11DE7" w:rsidRPr="00381DAC">
        <w:rPr>
          <w:rFonts w:asciiTheme="minorHAnsi" w:eastAsia="Times New Roman" w:hAnsiTheme="minorHAnsi" w:cs="Calibri"/>
          <w:sz w:val="24"/>
          <w:szCs w:val="24"/>
          <w:lang w:val="en-US" w:eastAsia="en-GB"/>
        </w:rPr>
        <w:t>fi</w:t>
      </w:r>
      <w:r w:rsidRPr="00381DAC">
        <w:rPr>
          <w:rFonts w:asciiTheme="minorHAnsi" w:eastAsia="Times New Roman" w:hAnsiTheme="minorHAnsi" w:cs="Calibri"/>
          <w:sz w:val="24"/>
          <w:szCs w:val="24"/>
          <w:lang w:val="en-US" w:eastAsia="en-GB"/>
        </w:rPr>
        <w:t>ed th</w:t>
      </w:r>
      <w:r w:rsidR="00C11DE7" w:rsidRPr="00381DAC">
        <w:rPr>
          <w:rFonts w:asciiTheme="minorHAnsi" w:eastAsia="Times New Roman" w:hAnsiTheme="minorHAnsi" w:cs="Calibri"/>
          <w:sz w:val="24"/>
          <w:szCs w:val="24"/>
          <w:lang w:val="en-US" w:eastAsia="en-GB"/>
        </w:rPr>
        <w:t>e</w:t>
      </w:r>
      <w:r w:rsidRPr="00381DAC">
        <w:rPr>
          <w:rFonts w:asciiTheme="minorHAnsi" w:eastAsia="Times New Roman" w:hAnsiTheme="minorHAnsi" w:cs="Calibri"/>
          <w:sz w:val="24"/>
          <w:szCs w:val="24"/>
          <w:lang w:val="en-US" w:eastAsia="en-GB"/>
        </w:rPr>
        <w:t xml:space="preserve"> European Council of its decision to withdraw </w:t>
      </w:r>
      <w:r w:rsidR="00251110">
        <w:rPr>
          <w:rFonts w:asciiTheme="minorHAnsi" w:eastAsia="Times New Roman" w:hAnsiTheme="minorHAnsi" w:cs="Calibri"/>
          <w:sz w:val="24"/>
          <w:szCs w:val="24"/>
          <w:lang w:val="en-US" w:eastAsia="en-GB"/>
        </w:rPr>
        <w:t xml:space="preserve">from continuing </w:t>
      </w:r>
      <w:r w:rsidRPr="00381DAC">
        <w:rPr>
          <w:rFonts w:asciiTheme="minorHAnsi" w:eastAsia="Times New Roman" w:hAnsiTheme="minorHAnsi" w:cs="Calibri"/>
          <w:sz w:val="24"/>
          <w:szCs w:val="24"/>
          <w:lang w:val="en-US" w:eastAsia="en-GB"/>
        </w:rPr>
        <w:t>to hear and decide cases.</w:t>
      </w:r>
      <w:r w:rsidR="00251110">
        <w:rPr>
          <w:rFonts w:asciiTheme="minorHAnsi" w:eastAsia="Times New Roman" w:hAnsiTheme="minorHAnsi" w:cs="Calibri"/>
          <w:sz w:val="24"/>
          <w:szCs w:val="24"/>
          <w:lang w:val="en-US" w:eastAsia="en-GB"/>
        </w:rPr>
        <w:t xml:space="preserve"> However, their terms should formally end on the date of wi</w:t>
      </w:r>
      <w:r w:rsidR="00D9069D">
        <w:rPr>
          <w:rFonts w:asciiTheme="minorHAnsi" w:eastAsia="Times New Roman" w:hAnsiTheme="minorHAnsi" w:cs="Calibri"/>
          <w:sz w:val="24"/>
          <w:szCs w:val="24"/>
          <w:lang w:val="en-US" w:eastAsia="en-GB"/>
        </w:rPr>
        <w:t>thdrawal from the EU</w:t>
      </w:r>
      <w:r w:rsidR="00251110">
        <w:rPr>
          <w:rFonts w:asciiTheme="minorHAnsi" w:eastAsia="Times New Roman" w:hAnsiTheme="minorHAnsi" w:cs="Calibri"/>
          <w:sz w:val="24"/>
          <w:szCs w:val="24"/>
          <w:lang w:val="en-US" w:eastAsia="en-GB"/>
        </w:rPr>
        <w:t>.</w:t>
      </w:r>
      <w:r w:rsidR="003C0382">
        <w:rPr>
          <w:rStyle w:val="Refdenotaderodap"/>
          <w:rFonts w:asciiTheme="minorHAnsi" w:eastAsia="Times New Roman" w:hAnsiTheme="minorHAnsi" w:cs="Calibri"/>
          <w:sz w:val="24"/>
          <w:szCs w:val="24"/>
          <w:lang w:val="en-US" w:eastAsia="en-GB"/>
        </w:rPr>
        <w:footnoteReference w:id="38"/>
      </w:r>
      <w:r w:rsidR="00A06102">
        <w:rPr>
          <w:rFonts w:asciiTheme="minorHAnsi" w:eastAsia="Times New Roman" w:hAnsiTheme="minorHAnsi" w:cs="Calibri"/>
          <w:sz w:val="24"/>
          <w:szCs w:val="24"/>
          <w:lang w:val="en-US" w:eastAsia="en-GB"/>
        </w:rPr>
        <w:t xml:space="preserve"> Within this </w:t>
      </w:r>
      <w:r w:rsidR="00A25DB3">
        <w:rPr>
          <w:rFonts w:asciiTheme="minorHAnsi" w:eastAsia="Times New Roman" w:hAnsiTheme="minorHAnsi" w:cs="Calibri"/>
          <w:sz w:val="24"/>
          <w:szCs w:val="24"/>
          <w:lang w:val="en-US" w:eastAsia="en-GB"/>
        </w:rPr>
        <w:t xml:space="preserve">operational </w:t>
      </w:r>
      <w:r w:rsidR="00A06102">
        <w:rPr>
          <w:rFonts w:asciiTheme="minorHAnsi" w:eastAsia="Times New Roman" w:hAnsiTheme="minorHAnsi" w:cs="Calibri"/>
          <w:sz w:val="24"/>
          <w:szCs w:val="24"/>
          <w:lang w:val="en-US" w:eastAsia="en-GB"/>
        </w:rPr>
        <w:t xml:space="preserve">context, </w:t>
      </w:r>
      <w:proofErr w:type="spellStart"/>
      <w:r w:rsidR="00A06102">
        <w:rPr>
          <w:rFonts w:asciiTheme="minorHAnsi" w:eastAsia="Times New Roman" w:hAnsiTheme="minorHAnsi" w:cs="Calibri"/>
          <w:sz w:val="24"/>
          <w:szCs w:val="24"/>
          <w:lang w:val="en-US" w:eastAsia="en-GB"/>
        </w:rPr>
        <w:t>Friel</w:t>
      </w:r>
      <w:proofErr w:type="spellEnd"/>
      <w:r w:rsidR="00A06102">
        <w:rPr>
          <w:rFonts w:asciiTheme="minorHAnsi" w:eastAsia="Times New Roman" w:hAnsiTheme="minorHAnsi" w:cs="Calibri"/>
          <w:sz w:val="24"/>
          <w:szCs w:val="24"/>
          <w:lang w:val="en-US" w:eastAsia="en-GB"/>
        </w:rPr>
        <w:t xml:space="preserve"> rai</w:t>
      </w:r>
      <w:r w:rsidR="00A25DB3">
        <w:rPr>
          <w:rFonts w:asciiTheme="minorHAnsi" w:eastAsia="Times New Roman" w:hAnsiTheme="minorHAnsi" w:cs="Calibri"/>
          <w:sz w:val="24"/>
          <w:szCs w:val="24"/>
          <w:lang w:val="en-US" w:eastAsia="en-GB"/>
        </w:rPr>
        <w:t>ses a very interesting point con</w:t>
      </w:r>
      <w:r w:rsidR="00A06102">
        <w:rPr>
          <w:rFonts w:asciiTheme="minorHAnsi" w:eastAsia="Times New Roman" w:hAnsiTheme="minorHAnsi" w:cs="Calibri"/>
          <w:sz w:val="24"/>
          <w:szCs w:val="24"/>
          <w:lang w:val="en-US" w:eastAsia="en-GB"/>
        </w:rPr>
        <w:t xml:space="preserve">nected with the possibility of a withdrawing Member State </w:t>
      </w:r>
      <w:r w:rsidR="00A06102">
        <w:rPr>
          <w:rFonts w:asciiTheme="minorHAnsi" w:eastAsia="Times New Roman" w:hAnsiTheme="minorHAnsi" w:cs="Calibri"/>
          <w:sz w:val="24"/>
          <w:szCs w:val="24"/>
          <w:lang w:val="en-US" w:eastAsia="en-GB"/>
        </w:rPr>
        <w:lastRenderedPageBreak/>
        <w:t>appointee to the Court of Justice of the European Union participating in any case surrounding withdrawal.</w:t>
      </w:r>
      <w:r w:rsidR="00A25DB3">
        <w:rPr>
          <w:rFonts w:asciiTheme="minorHAnsi" w:eastAsia="Times New Roman" w:hAnsiTheme="minorHAnsi" w:cs="Calibri"/>
          <w:sz w:val="24"/>
          <w:szCs w:val="24"/>
          <w:lang w:val="en-US" w:eastAsia="en-GB"/>
        </w:rPr>
        <w:t xml:space="preserve"> </w:t>
      </w:r>
      <w:r w:rsidR="00FF237C">
        <w:rPr>
          <w:rFonts w:asciiTheme="minorHAnsi" w:eastAsia="Times New Roman" w:hAnsiTheme="minorHAnsi" w:cs="Calibri"/>
          <w:sz w:val="24"/>
          <w:szCs w:val="24"/>
          <w:lang w:val="en-US" w:eastAsia="en-GB"/>
        </w:rPr>
        <w:t>According to Article</w:t>
      </w:r>
      <w:r w:rsidR="0073150E">
        <w:rPr>
          <w:rFonts w:asciiTheme="minorHAnsi" w:eastAsia="Times New Roman" w:hAnsiTheme="minorHAnsi" w:cs="Calibri"/>
          <w:sz w:val="24"/>
          <w:szCs w:val="24"/>
          <w:lang w:val="en-US" w:eastAsia="en-GB"/>
        </w:rPr>
        <w:t xml:space="preserve"> 218, nº 11, of the TFUE </w:t>
      </w:r>
      <w:r w:rsidR="00FF237C">
        <w:rPr>
          <w:rFonts w:asciiTheme="minorHAnsi" w:eastAsia="Times New Roman" w:hAnsiTheme="minorHAnsi" w:cs="Calibri"/>
          <w:sz w:val="24"/>
          <w:szCs w:val="24"/>
          <w:lang w:val="en-US" w:eastAsia="en-GB"/>
        </w:rPr>
        <w:t>any Member State, the European Parliament, the Council and the Commission may obtain an opinion from the Court of Justice of the European Union on a draft agreement in accordance to the Treaties. However, th</w:t>
      </w:r>
      <w:r w:rsidR="00A25DB3">
        <w:rPr>
          <w:rFonts w:asciiTheme="minorHAnsi" w:eastAsia="Times New Roman" w:hAnsiTheme="minorHAnsi" w:cs="Calibri"/>
          <w:sz w:val="24"/>
          <w:szCs w:val="24"/>
          <w:lang w:val="en-US" w:eastAsia="en-GB"/>
        </w:rPr>
        <w:t xml:space="preserve">e provision </w:t>
      </w:r>
      <w:r w:rsidR="00FF237C">
        <w:rPr>
          <w:rFonts w:asciiTheme="minorHAnsi" w:eastAsia="Times New Roman" w:hAnsiTheme="minorHAnsi" w:cs="Calibri"/>
          <w:sz w:val="24"/>
          <w:szCs w:val="24"/>
          <w:lang w:val="en-US" w:eastAsia="en-GB"/>
        </w:rPr>
        <w:t xml:space="preserve">referring to withdrawal </w:t>
      </w:r>
      <w:r w:rsidR="00A25DB3">
        <w:rPr>
          <w:rFonts w:asciiTheme="minorHAnsi" w:eastAsia="Times New Roman" w:hAnsiTheme="minorHAnsi" w:cs="Calibri"/>
          <w:sz w:val="24"/>
          <w:szCs w:val="24"/>
          <w:lang w:val="en-US" w:eastAsia="en-GB"/>
        </w:rPr>
        <w:t>seems to have not contemplated this particular possibility.</w:t>
      </w:r>
      <w:r w:rsidR="003C0382">
        <w:rPr>
          <w:rStyle w:val="Refdenotaderodap"/>
          <w:rFonts w:asciiTheme="minorHAnsi" w:eastAsia="Times New Roman" w:hAnsiTheme="minorHAnsi" w:cs="Calibri"/>
          <w:sz w:val="24"/>
          <w:szCs w:val="24"/>
          <w:lang w:val="en-US" w:eastAsia="en-GB"/>
        </w:rPr>
        <w:footnoteReference w:id="39"/>
      </w:r>
    </w:p>
    <w:p w:rsidR="00FF237C" w:rsidRPr="00381DAC" w:rsidRDefault="00FF237C" w:rsidP="00FF237C">
      <w:pPr>
        <w:spacing w:after="0" w:line="360" w:lineRule="auto"/>
        <w:ind w:firstLine="708"/>
        <w:jc w:val="both"/>
        <w:rPr>
          <w:rFonts w:asciiTheme="minorHAnsi" w:eastAsia="Times New Roman" w:hAnsiTheme="minorHAnsi" w:cs="Calibri"/>
          <w:sz w:val="24"/>
          <w:szCs w:val="24"/>
          <w:lang w:val="en-US" w:eastAsia="en-GB"/>
        </w:rPr>
      </w:pPr>
    </w:p>
    <w:p w:rsidR="008C2E5D" w:rsidRPr="00381DAC" w:rsidRDefault="003C0382" w:rsidP="008C2E5D">
      <w:pPr>
        <w:pStyle w:val="PargrafodaLista"/>
        <w:numPr>
          <w:ilvl w:val="0"/>
          <w:numId w:val="2"/>
        </w:numPr>
        <w:spacing w:after="0" w:line="360" w:lineRule="auto"/>
        <w:jc w:val="both"/>
        <w:rPr>
          <w:rFonts w:eastAsia="Times New Roman" w:cs="Calibri"/>
          <w:sz w:val="24"/>
          <w:szCs w:val="24"/>
          <w:lang w:val="en-US" w:eastAsia="en-GB"/>
        </w:rPr>
      </w:pPr>
      <w:r>
        <w:rPr>
          <w:rFonts w:eastAsia="Times New Roman" w:cs="Calibri"/>
          <w:sz w:val="24"/>
          <w:szCs w:val="24"/>
          <w:lang w:val="en-US" w:eastAsia="en-GB"/>
        </w:rPr>
        <w:t>Re</w:t>
      </w:r>
      <w:r w:rsidR="00997BBD">
        <w:rPr>
          <w:rFonts w:eastAsia="Times New Roman" w:cs="Calibri"/>
          <w:sz w:val="24"/>
          <w:szCs w:val="24"/>
          <w:lang w:val="en-US" w:eastAsia="en-GB"/>
        </w:rPr>
        <w:t>g</w:t>
      </w:r>
      <w:r w:rsidR="008C2E5D" w:rsidRPr="00381DAC">
        <w:rPr>
          <w:rFonts w:eastAsia="Times New Roman" w:cs="Calibri"/>
          <w:sz w:val="24"/>
          <w:szCs w:val="24"/>
          <w:lang w:val="en-US" w:eastAsia="en-GB"/>
        </w:rPr>
        <w:t>rets</w:t>
      </w:r>
      <w:r w:rsidR="00EC7B88">
        <w:rPr>
          <w:rFonts w:eastAsia="Times New Roman" w:cs="Calibri"/>
          <w:sz w:val="24"/>
          <w:szCs w:val="24"/>
          <w:lang w:val="en-US" w:eastAsia="en-GB"/>
        </w:rPr>
        <w:t xml:space="preserve"> and readmission</w:t>
      </w:r>
    </w:p>
    <w:p w:rsidR="00AF76C6" w:rsidRPr="00381DAC" w:rsidRDefault="00AF76C6" w:rsidP="00F30800">
      <w:pPr>
        <w:spacing w:after="0" w:line="360" w:lineRule="auto"/>
        <w:ind w:left="360" w:firstLine="348"/>
        <w:jc w:val="both"/>
        <w:rPr>
          <w:rFonts w:asciiTheme="minorHAnsi" w:eastAsia="Times New Roman" w:hAnsiTheme="minorHAnsi" w:cs="Calibri"/>
          <w:sz w:val="24"/>
          <w:szCs w:val="24"/>
          <w:lang w:val="en-US" w:eastAsia="en-GB"/>
        </w:rPr>
      </w:pPr>
    </w:p>
    <w:p w:rsidR="00192283" w:rsidRDefault="00AF76C6" w:rsidP="00052A13">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The last asp</w:t>
      </w:r>
      <w:r w:rsidR="00FA4FF5" w:rsidRPr="00381DAC">
        <w:rPr>
          <w:rFonts w:asciiTheme="minorHAnsi" w:eastAsia="Times New Roman" w:hAnsiTheme="minorHAnsi" w:cs="Calibri"/>
          <w:sz w:val="24"/>
          <w:szCs w:val="24"/>
          <w:lang w:val="en-US" w:eastAsia="en-GB"/>
        </w:rPr>
        <w:t xml:space="preserve">ect of the withdrawal clause </w:t>
      </w:r>
      <w:r w:rsidR="0052462A">
        <w:rPr>
          <w:rFonts w:asciiTheme="minorHAnsi" w:eastAsia="Times New Roman" w:hAnsiTheme="minorHAnsi" w:cs="Calibri"/>
          <w:sz w:val="24"/>
          <w:szCs w:val="24"/>
          <w:lang w:val="en-US" w:eastAsia="en-GB"/>
        </w:rPr>
        <w:t xml:space="preserve">worthy of analysis </w:t>
      </w:r>
      <w:r w:rsidR="00FA4FF5" w:rsidRPr="00381DAC">
        <w:rPr>
          <w:rFonts w:asciiTheme="minorHAnsi" w:eastAsia="Times New Roman" w:hAnsiTheme="minorHAnsi" w:cs="Calibri"/>
          <w:sz w:val="24"/>
          <w:szCs w:val="24"/>
          <w:lang w:val="en-US" w:eastAsia="en-GB"/>
        </w:rPr>
        <w:t>is tied</w:t>
      </w:r>
      <w:r w:rsidR="00EC7B88">
        <w:rPr>
          <w:rFonts w:asciiTheme="minorHAnsi" w:eastAsia="Times New Roman" w:hAnsiTheme="minorHAnsi" w:cs="Calibri"/>
          <w:sz w:val="24"/>
          <w:szCs w:val="24"/>
          <w:lang w:val="en-US" w:eastAsia="en-GB"/>
        </w:rPr>
        <w:t xml:space="preserve"> to the possibility of a </w:t>
      </w:r>
      <w:r w:rsidR="00FA4FF5" w:rsidRPr="00381DAC">
        <w:rPr>
          <w:rFonts w:asciiTheme="minorHAnsi" w:eastAsia="Times New Roman" w:hAnsiTheme="minorHAnsi" w:cs="Calibri"/>
          <w:sz w:val="24"/>
          <w:szCs w:val="24"/>
          <w:lang w:val="en-US" w:eastAsia="en-GB"/>
        </w:rPr>
        <w:t xml:space="preserve">State who </w:t>
      </w:r>
      <w:r w:rsidR="00EC7B88">
        <w:rPr>
          <w:rFonts w:asciiTheme="minorHAnsi" w:eastAsia="Times New Roman" w:hAnsiTheme="minorHAnsi" w:cs="Calibri"/>
          <w:sz w:val="24"/>
          <w:szCs w:val="24"/>
          <w:lang w:val="en-US" w:eastAsia="en-GB"/>
        </w:rPr>
        <w:t>no longer belongs to the European Union</w:t>
      </w:r>
      <w:r w:rsidR="00523F0B">
        <w:rPr>
          <w:rFonts w:asciiTheme="minorHAnsi" w:eastAsia="Times New Roman" w:hAnsiTheme="minorHAnsi" w:cs="Calibri"/>
          <w:sz w:val="24"/>
          <w:szCs w:val="24"/>
          <w:lang w:val="en-US" w:eastAsia="en-GB"/>
        </w:rPr>
        <w:t>,</w:t>
      </w:r>
      <w:r w:rsidR="00EC7B88">
        <w:rPr>
          <w:rFonts w:asciiTheme="minorHAnsi" w:eastAsia="Times New Roman" w:hAnsiTheme="minorHAnsi" w:cs="Calibri"/>
          <w:sz w:val="24"/>
          <w:szCs w:val="24"/>
          <w:lang w:val="en-US" w:eastAsia="en-GB"/>
        </w:rPr>
        <w:t xml:space="preserve"> because it </w:t>
      </w:r>
      <w:r w:rsidR="00FA4FF5" w:rsidRPr="00381DAC">
        <w:rPr>
          <w:rFonts w:asciiTheme="minorHAnsi" w:eastAsia="Times New Roman" w:hAnsiTheme="minorHAnsi" w:cs="Calibri"/>
          <w:sz w:val="24"/>
          <w:szCs w:val="24"/>
          <w:lang w:val="en-US" w:eastAsia="en-GB"/>
        </w:rPr>
        <w:t>has formally</w:t>
      </w:r>
      <w:r w:rsidRPr="00381DAC">
        <w:rPr>
          <w:rFonts w:asciiTheme="minorHAnsi" w:eastAsia="Times New Roman" w:hAnsiTheme="minorHAnsi" w:cs="Calibri"/>
          <w:sz w:val="24"/>
          <w:szCs w:val="24"/>
          <w:lang w:val="en-US" w:eastAsia="en-GB"/>
        </w:rPr>
        <w:t xml:space="preserve"> withdrawn</w:t>
      </w:r>
      <w:r w:rsidR="00523F0B">
        <w:rPr>
          <w:rFonts w:asciiTheme="minorHAnsi" w:eastAsia="Times New Roman" w:hAnsiTheme="minorHAnsi" w:cs="Calibri"/>
          <w:sz w:val="24"/>
          <w:szCs w:val="24"/>
          <w:lang w:val="en-US" w:eastAsia="en-GB"/>
        </w:rPr>
        <w:t>,</w:t>
      </w:r>
      <w:r w:rsidRPr="00381DAC">
        <w:rPr>
          <w:rFonts w:asciiTheme="minorHAnsi" w:eastAsia="Times New Roman" w:hAnsiTheme="minorHAnsi" w:cs="Calibri"/>
          <w:sz w:val="24"/>
          <w:szCs w:val="24"/>
          <w:lang w:val="en-US" w:eastAsia="en-GB"/>
        </w:rPr>
        <w:t xml:space="preserve"> </w:t>
      </w:r>
      <w:r w:rsidR="00EC7B88">
        <w:rPr>
          <w:rFonts w:asciiTheme="minorHAnsi" w:eastAsia="Times New Roman" w:hAnsiTheme="minorHAnsi" w:cs="Calibri"/>
          <w:sz w:val="24"/>
          <w:szCs w:val="24"/>
          <w:lang w:val="en-US" w:eastAsia="en-GB"/>
        </w:rPr>
        <w:t xml:space="preserve">of applying for </w:t>
      </w:r>
      <w:r w:rsidR="005172C7">
        <w:rPr>
          <w:rFonts w:asciiTheme="minorHAnsi" w:eastAsia="Times New Roman" w:hAnsiTheme="minorHAnsi" w:cs="Calibri"/>
          <w:sz w:val="24"/>
          <w:szCs w:val="24"/>
          <w:lang w:val="en-US" w:eastAsia="en-GB"/>
        </w:rPr>
        <w:t>readmission</w:t>
      </w:r>
      <w:r w:rsidR="0052462A">
        <w:rPr>
          <w:rFonts w:asciiTheme="minorHAnsi" w:eastAsia="Times New Roman" w:hAnsiTheme="minorHAnsi" w:cs="Calibri"/>
          <w:sz w:val="24"/>
          <w:szCs w:val="24"/>
          <w:lang w:val="en-US" w:eastAsia="en-GB"/>
        </w:rPr>
        <w:t xml:space="preserve">. In other words, a former Member-State </w:t>
      </w:r>
      <w:r w:rsidR="00EC7B88">
        <w:rPr>
          <w:rFonts w:asciiTheme="minorHAnsi" w:eastAsia="Times New Roman" w:hAnsiTheme="minorHAnsi" w:cs="Calibri"/>
          <w:sz w:val="24"/>
          <w:szCs w:val="24"/>
          <w:lang w:val="en-US" w:eastAsia="en-GB"/>
        </w:rPr>
        <w:t>has changed its mind</w:t>
      </w:r>
      <w:r w:rsidR="0052462A">
        <w:rPr>
          <w:rFonts w:asciiTheme="minorHAnsi" w:eastAsia="Times New Roman" w:hAnsiTheme="minorHAnsi" w:cs="Calibri"/>
          <w:sz w:val="24"/>
          <w:szCs w:val="24"/>
          <w:lang w:val="en-US" w:eastAsia="en-GB"/>
        </w:rPr>
        <w:t xml:space="preserve"> and now seeks to re-enter the Union</w:t>
      </w:r>
      <w:r w:rsidR="00EC7B88">
        <w:rPr>
          <w:rFonts w:asciiTheme="minorHAnsi" w:eastAsia="Times New Roman" w:hAnsiTheme="minorHAnsi" w:cs="Calibri"/>
          <w:sz w:val="24"/>
          <w:szCs w:val="24"/>
          <w:lang w:val="en-US" w:eastAsia="en-GB"/>
        </w:rPr>
        <w:t>.</w:t>
      </w:r>
      <w:r w:rsidR="00523F0B">
        <w:rPr>
          <w:rFonts w:asciiTheme="minorHAnsi" w:eastAsia="Times New Roman" w:hAnsiTheme="minorHAnsi" w:cs="Calibri"/>
          <w:sz w:val="24"/>
          <w:szCs w:val="24"/>
          <w:lang w:val="en-US" w:eastAsia="en-GB"/>
        </w:rPr>
        <w:t xml:space="preserve"> </w:t>
      </w:r>
      <w:r w:rsidR="00F30800" w:rsidRPr="00381DAC">
        <w:rPr>
          <w:rFonts w:asciiTheme="minorHAnsi" w:eastAsia="Times New Roman" w:hAnsiTheme="minorHAnsi" w:cs="Calibri"/>
          <w:sz w:val="24"/>
          <w:szCs w:val="24"/>
          <w:lang w:val="en-US" w:eastAsia="en-GB"/>
        </w:rPr>
        <w:t>In the case of regret, article 50, nº 5</w:t>
      </w:r>
      <w:r w:rsidR="00C11DE7" w:rsidRPr="00381DAC">
        <w:rPr>
          <w:rFonts w:asciiTheme="minorHAnsi" w:eastAsia="Times New Roman" w:hAnsiTheme="minorHAnsi" w:cs="Calibri"/>
          <w:sz w:val="24"/>
          <w:szCs w:val="24"/>
          <w:lang w:val="en-US" w:eastAsia="en-GB"/>
        </w:rPr>
        <w:t>,</w:t>
      </w:r>
      <w:r w:rsidR="0036100A" w:rsidRPr="00381DAC">
        <w:rPr>
          <w:rFonts w:asciiTheme="minorHAnsi" w:eastAsia="Times New Roman" w:hAnsiTheme="minorHAnsi" w:cs="Calibri"/>
          <w:sz w:val="24"/>
          <w:szCs w:val="24"/>
          <w:lang w:val="en-US" w:eastAsia="en-GB"/>
        </w:rPr>
        <w:t xml:space="preserve"> </w:t>
      </w:r>
      <w:r w:rsidR="0052462A">
        <w:rPr>
          <w:rFonts w:asciiTheme="minorHAnsi" w:eastAsia="Times New Roman" w:hAnsiTheme="minorHAnsi" w:cs="Calibri"/>
          <w:sz w:val="24"/>
          <w:szCs w:val="24"/>
          <w:lang w:val="en-US" w:eastAsia="en-GB"/>
        </w:rPr>
        <w:t>of the TEU, affirms</w:t>
      </w:r>
      <w:r w:rsidR="0036100A" w:rsidRPr="00381DAC">
        <w:rPr>
          <w:rFonts w:asciiTheme="minorHAnsi" w:eastAsia="Times New Roman" w:hAnsiTheme="minorHAnsi" w:cs="Calibri"/>
          <w:sz w:val="24"/>
          <w:szCs w:val="24"/>
          <w:lang w:val="en-US" w:eastAsia="en-GB"/>
        </w:rPr>
        <w:t xml:space="preserve"> that a </w:t>
      </w:r>
      <w:r w:rsidR="00F30800" w:rsidRPr="00381DAC">
        <w:rPr>
          <w:rFonts w:asciiTheme="minorHAnsi" w:eastAsia="Times New Roman" w:hAnsiTheme="minorHAnsi" w:cs="Calibri"/>
          <w:sz w:val="24"/>
          <w:szCs w:val="24"/>
          <w:lang w:val="en-US" w:eastAsia="en-GB"/>
        </w:rPr>
        <w:t>S</w:t>
      </w:r>
      <w:r w:rsidR="00EC7B88">
        <w:rPr>
          <w:rFonts w:asciiTheme="minorHAnsi" w:eastAsia="Times New Roman" w:hAnsiTheme="minorHAnsi" w:cs="Calibri"/>
          <w:sz w:val="24"/>
          <w:szCs w:val="24"/>
          <w:lang w:val="en-US" w:eastAsia="en-GB"/>
        </w:rPr>
        <w:t>tate who h</w:t>
      </w:r>
      <w:r w:rsidR="00251110">
        <w:rPr>
          <w:rFonts w:asciiTheme="minorHAnsi" w:eastAsia="Times New Roman" w:hAnsiTheme="minorHAnsi" w:cs="Calibri"/>
          <w:sz w:val="24"/>
          <w:szCs w:val="24"/>
          <w:lang w:val="en-US" w:eastAsia="en-GB"/>
        </w:rPr>
        <w:t xml:space="preserve">as left the Union can apply for </w:t>
      </w:r>
      <w:r w:rsidR="00EC7B88">
        <w:rPr>
          <w:rFonts w:asciiTheme="minorHAnsi" w:eastAsia="Times New Roman" w:hAnsiTheme="minorHAnsi" w:cs="Calibri"/>
          <w:sz w:val="24"/>
          <w:szCs w:val="24"/>
          <w:lang w:val="en-US" w:eastAsia="en-GB"/>
        </w:rPr>
        <w:t>membership in</w:t>
      </w:r>
      <w:r w:rsidR="00D9069D">
        <w:rPr>
          <w:rFonts w:asciiTheme="minorHAnsi" w:eastAsia="Times New Roman" w:hAnsiTheme="minorHAnsi" w:cs="Calibri"/>
          <w:sz w:val="24"/>
          <w:szCs w:val="24"/>
          <w:lang w:val="en-US" w:eastAsia="en-GB"/>
        </w:rPr>
        <w:t xml:space="preserve"> the EU</w:t>
      </w:r>
      <w:r w:rsidR="00523F0B">
        <w:rPr>
          <w:rFonts w:asciiTheme="minorHAnsi" w:eastAsia="Times New Roman" w:hAnsiTheme="minorHAnsi" w:cs="Calibri"/>
          <w:sz w:val="24"/>
          <w:szCs w:val="24"/>
          <w:lang w:val="en-US" w:eastAsia="en-GB"/>
        </w:rPr>
        <w:t>. T</w:t>
      </w:r>
      <w:r w:rsidR="00F30800" w:rsidRPr="00381DAC">
        <w:rPr>
          <w:rFonts w:asciiTheme="minorHAnsi" w:eastAsia="Times New Roman" w:hAnsiTheme="minorHAnsi" w:cs="Calibri"/>
          <w:sz w:val="24"/>
          <w:szCs w:val="24"/>
          <w:lang w:val="en-US" w:eastAsia="en-GB"/>
        </w:rPr>
        <w:t xml:space="preserve">he norm in question states that the application must be processed according to Article 49º of the </w:t>
      </w:r>
      <w:r w:rsidR="00BF13DA">
        <w:rPr>
          <w:rFonts w:asciiTheme="minorHAnsi" w:eastAsia="Times New Roman" w:hAnsiTheme="minorHAnsi" w:cs="Calibri"/>
          <w:sz w:val="24"/>
          <w:szCs w:val="24"/>
          <w:lang w:val="en-US" w:eastAsia="en-GB"/>
        </w:rPr>
        <w:t>TEU</w:t>
      </w:r>
      <w:r w:rsidR="00F30800" w:rsidRPr="00381DAC">
        <w:rPr>
          <w:rFonts w:asciiTheme="minorHAnsi" w:eastAsia="Times New Roman" w:hAnsiTheme="minorHAnsi" w:cs="Calibri"/>
          <w:sz w:val="24"/>
          <w:szCs w:val="24"/>
          <w:lang w:val="en-US" w:eastAsia="en-GB"/>
        </w:rPr>
        <w:t xml:space="preserve">. </w:t>
      </w:r>
      <w:r w:rsidR="00EC7B88">
        <w:rPr>
          <w:rFonts w:asciiTheme="minorHAnsi" w:eastAsia="Times New Roman" w:hAnsiTheme="minorHAnsi" w:cs="Calibri"/>
          <w:sz w:val="24"/>
          <w:szCs w:val="24"/>
          <w:lang w:val="en-US" w:eastAsia="en-GB"/>
        </w:rPr>
        <w:t xml:space="preserve">This means that </w:t>
      </w:r>
      <w:r w:rsidR="00D9069D">
        <w:rPr>
          <w:rFonts w:asciiTheme="minorHAnsi" w:eastAsia="Times New Roman" w:hAnsiTheme="minorHAnsi" w:cs="Calibri"/>
          <w:sz w:val="24"/>
          <w:szCs w:val="24"/>
          <w:lang w:val="en-US" w:eastAsia="en-GB"/>
        </w:rPr>
        <w:t>EU</w:t>
      </w:r>
      <w:r w:rsidRPr="00381DAC">
        <w:rPr>
          <w:rFonts w:asciiTheme="minorHAnsi" w:eastAsia="Times New Roman" w:hAnsiTheme="minorHAnsi" w:cs="Calibri"/>
          <w:sz w:val="24"/>
          <w:szCs w:val="24"/>
          <w:lang w:val="en-US" w:eastAsia="en-GB"/>
        </w:rPr>
        <w:t xml:space="preserve"> </w:t>
      </w:r>
      <w:r w:rsidR="00F30800" w:rsidRPr="00381DAC">
        <w:rPr>
          <w:rFonts w:asciiTheme="minorHAnsi" w:eastAsia="Times New Roman" w:hAnsiTheme="minorHAnsi" w:cs="Calibri"/>
          <w:sz w:val="24"/>
          <w:szCs w:val="24"/>
          <w:lang w:val="en-US" w:eastAsia="en-GB"/>
        </w:rPr>
        <w:t xml:space="preserve">primary law treats this </w:t>
      </w:r>
      <w:r w:rsidR="00EC7B88">
        <w:rPr>
          <w:rFonts w:asciiTheme="minorHAnsi" w:eastAsia="Times New Roman" w:hAnsiTheme="minorHAnsi" w:cs="Calibri"/>
          <w:sz w:val="24"/>
          <w:szCs w:val="24"/>
          <w:lang w:val="en-US" w:eastAsia="en-GB"/>
        </w:rPr>
        <w:t xml:space="preserve">particular </w:t>
      </w:r>
      <w:r w:rsidR="00F30800" w:rsidRPr="00381DAC">
        <w:rPr>
          <w:rFonts w:asciiTheme="minorHAnsi" w:eastAsia="Times New Roman" w:hAnsiTheme="minorHAnsi" w:cs="Calibri"/>
          <w:sz w:val="24"/>
          <w:szCs w:val="24"/>
          <w:lang w:val="en-US" w:eastAsia="en-GB"/>
        </w:rPr>
        <w:t xml:space="preserve">possibility </w:t>
      </w:r>
      <w:r w:rsidR="00CF6FB6" w:rsidRPr="00381DAC">
        <w:rPr>
          <w:rFonts w:asciiTheme="minorHAnsi" w:eastAsia="Times New Roman" w:hAnsiTheme="minorHAnsi" w:cs="Calibri"/>
          <w:sz w:val="24"/>
          <w:szCs w:val="24"/>
          <w:lang w:val="en-US" w:eastAsia="en-GB"/>
        </w:rPr>
        <w:t xml:space="preserve">just </w:t>
      </w:r>
      <w:r w:rsidR="00F30800" w:rsidRPr="00381DAC">
        <w:rPr>
          <w:rFonts w:asciiTheme="minorHAnsi" w:eastAsia="Times New Roman" w:hAnsiTheme="minorHAnsi" w:cs="Calibri"/>
          <w:sz w:val="24"/>
          <w:szCs w:val="24"/>
          <w:lang w:val="en-US" w:eastAsia="en-GB"/>
        </w:rPr>
        <w:t>like any other fo</w:t>
      </w:r>
      <w:r w:rsidR="00192283" w:rsidRPr="00381DAC">
        <w:rPr>
          <w:rFonts w:asciiTheme="minorHAnsi" w:eastAsia="Times New Roman" w:hAnsiTheme="minorHAnsi" w:cs="Calibri"/>
          <w:sz w:val="24"/>
          <w:szCs w:val="24"/>
          <w:lang w:val="en-US" w:eastAsia="en-GB"/>
        </w:rPr>
        <w:t xml:space="preserve">rmal application for membership </w:t>
      </w:r>
      <w:r w:rsidR="00EC7B88">
        <w:rPr>
          <w:rFonts w:asciiTheme="minorHAnsi" w:eastAsia="Times New Roman" w:hAnsiTheme="minorHAnsi" w:cs="Calibri"/>
          <w:sz w:val="24"/>
          <w:szCs w:val="24"/>
          <w:lang w:val="en-US" w:eastAsia="en-GB"/>
        </w:rPr>
        <w:t>filed by a country who was never a member of</w:t>
      </w:r>
      <w:r w:rsidR="00BF13DA">
        <w:rPr>
          <w:rFonts w:asciiTheme="minorHAnsi" w:eastAsia="Times New Roman" w:hAnsiTheme="minorHAnsi" w:cs="Calibri"/>
          <w:sz w:val="24"/>
          <w:szCs w:val="24"/>
          <w:lang w:val="en-US" w:eastAsia="en-GB"/>
        </w:rPr>
        <w:t xml:space="preserve"> the Union</w:t>
      </w:r>
      <w:r w:rsidR="00EC7B88">
        <w:rPr>
          <w:rFonts w:asciiTheme="minorHAnsi" w:eastAsia="Times New Roman" w:hAnsiTheme="minorHAnsi" w:cs="Calibri"/>
          <w:sz w:val="24"/>
          <w:szCs w:val="24"/>
          <w:lang w:val="en-US" w:eastAsia="en-GB"/>
        </w:rPr>
        <w:t xml:space="preserve">. </w:t>
      </w:r>
      <w:r w:rsidR="00523F0B">
        <w:rPr>
          <w:rFonts w:asciiTheme="minorHAnsi" w:eastAsia="Times New Roman" w:hAnsiTheme="minorHAnsi" w:cs="Calibri"/>
          <w:sz w:val="24"/>
          <w:szCs w:val="24"/>
          <w:lang w:val="en-US" w:eastAsia="en-GB"/>
        </w:rPr>
        <w:t>Consequently, t</w:t>
      </w:r>
      <w:r w:rsidR="0090501B">
        <w:rPr>
          <w:rFonts w:asciiTheme="minorHAnsi" w:eastAsia="Times New Roman" w:hAnsiTheme="minorHAnsi" w:cs="Calibri"/>
          <w:sz w:val="24"/>
          <w:szCs w:val="24"/>
          <w:lang w:val="en-US" w:eastAsia="en-GB"/>
        </w:rPr>
        <w:t xml:space="preserve">here is “no automatic right to rejoin” </w:t>
      </w:r>
      <w:r w:rsidR="00523F0B">
        <w:rPr>
          <w:rFonts w:asciiTheme="minorHAnsi" w:eastAsia="Times New Roman" w:hAnsiTheme="minorHAnsi" w:cs="Calibri"/>
          <w:sz w:val="24"/>
          <w:szCs w:val="24"/>
          <w:lang w:val="en-US" w:eastAsia="en-GB"/>
        </w:rPr>
        <w:t xml:space="preserve">the </w:t>
      </w:r>
      <w:r w:rsidR="00D9069D">
        <w:rPr>
          <w:rFonts w:asciiTheme="minorHAnsi" w:eastAsia="Times New Roman" w:hAnsiTheme="minorHAnsi" w:cs="Calibri"/>
          <w:sz w:val="24"/>
          <w:szCs w:val="24"/>
          <w:lang w:val="en-US" w:eastAsia="en-GB"/>
        </w:rPr>
        <w:t>EU</w:t>
      </w:r>
      <w:r w:rsidR="00523F0B">
        <w:rPr>
          <w:rFonts w:asciiTheme="minorHAnsi" w:eastAsia="Times New Roman" w:hAnsiTheme="minorHAnsi" w:cs="Calibri"/>
          <w:sz w:val="24"/>
          <w:szCs w:val="24"/>
          <w:lang w:val="en-US" w:eastAsia="en-GB"/>
        </w:rPr>
        <w:t xml:space="preserve"> </w:t>
      </w:r>
      <w:r w:rsidR="00F84107">
        <w:rPr>
          <w:rFonts w:asciiTheme="minorHAnsi" w:eastAsia="Times New Roman" w:hAnsiTheme="minorHAnsi" w:cs="Calibri"/>
          <w:sz w:val="24"/>
          <w:szCs w:val="24"/>
          <w:lang w:val="en-US" w:eastAsia="en-GB"/>
        </w:rPr>
        <w:t>according to</w:t>
      </w:r>
      <w:r w:rsidR="00675F3B">
        <w:rPr>
          <w:rFonts w:asciiTheme="minorHAnsi" w:eastAsia="Times New Roman" w:hAnsiTheme="minorHAnsi" w:cs="Calibri"/>
          <w:sz w:val="24"/>
          <w:szCs w:val="24"/>
          <w:lang w:val="en-US" w:eastAsia="en-GB"/>
        </w:rPr>
        <w:t xml:space="preserve"> Anna </w:t>
      </w:r>
      <w:proofErr w:type="spellStart"/>
      <w:r w:rsidR="00675F3B">
        <w:rPr>
          <w:rFonts w:asciiTheme="minorHAnsi" w:eastAsia="Times New Roman" w:hAnsiTheme="minorHAnsi" w:cs="Calibri"/>
          <w:sz w:val="24"/>
          <w:szCs w:val="24"/>
          <w:lang w:val="en-US" w:eastAsia="en-GB"/>
        </w:rPr>
        <w:t>Wry</w:t>
      </w:r>
      <w:r w:rsidR="00997BBD">
        <w:rPr>
          <w:rFonts w:asciiTheme="minorHAnsi" w:eastAsia="Times New Roman" w:hAnsiTheme="minorHAnsi" w:cs="Calibri"/>
          <w:sz w:val="24"/>
          <w:szCs w:val="24"/>
          <w:lang w:val="en-US" w:eastAsia="en-GB"/>
        </w:rPr>
        <w:t>ozumska</w:t>
      </w:r>
      <w:proofErr w:type="spellEnd"/>
      <w:r w:rsidR="0090501B">
        <w:rPr>
          <w:rFonts w:asciiTheme="minorHAnsi" w:eastAsia="Times New Roman" w:hAnsiTheme="minorHAnsi" w:cs="Calibri"/>
          <w:sz w:val="24"/>
          <w:szCs w:val="24"/>
          <w:lang w:val="en-US" w:eastAsia="en-GB"/>
        </w:rPr>
        <w:t>.</w:t>
      </w:r>
      <w:r w:rsidR="003C0382">
        <w:rPr>
          <w:rStyle w:val="Refdenotaderodap"/>
          <w:rFonts w:asciiTheme="minorHAnsi" w:eastAsia="Times New Roman" w:hAnsiTheme="minorHAnsi" w:cs="Calibri"/>
          <w:sz w:val="24"/>
          <w:szCs w:val="24"/>
          <w:lang w:val="en-US" w:eastAsia="en-GB"/>
        </w:rPr>
        <w:footnoteReference w:id="40"/>
      </w:r>
      <w:r w:rsidR="0090501B">
        <w:rPr>
          <w:rFonts w:asciiTheme="minorHAnsi" w:eastAsia="Times New Roman" w:hAnsiTheme="minorHAnsi" w:cs="Calibri"/>
          <w:sz w:val="24"/>
          <w:szCs w:val="24"/>
          <w:lang w:val="en-US" w:eastAsia="en-GB"/>
        </w:rPr>
        <w:t xml:space="preserve"> </w:t>
      </w:r>
      <w:r w:rsidR="00EF5DEF">
        <w:rPr>
          <w:rFonts w:asciiTheme="minorHAnsi" w:eastAsia="Times New Roman" w:hAnsiTheme="minorHAnsi" w:cs="Calibri"/>
          <w:sz w:val="24"/>
          <w:szCs w:val="24"/>
          <w:lang w:val="en-US" w:eastAsia="en-GB"/>
        </w:rPr>
        <w:t xml:space="preserve">In other words, </w:t>
      </w:r>
      <w:r w:rsidR="0090501B">
        <w:rPr>
          <w:rFonts w:asciiTheme="minorHAnsi" w:eastAsia="Times New Roman" w:hAnsiTheme="minorHAnsi" w:cs="Calibri"/>
          <w:sz w:val="24"/>
          <w:szCs w:val="24"/>
          <w:lang w:val="en-US" w:eastAsia="en-GB"/>
        </w:rPr>
        <w:t>Article 50, nº 5</w:t>
      </w:r>
      <w:r w:rsidR="00523F0B">
        <w:rPr>
          <w:rFonts w:asciiTheme="minorHAnsi" w:eastAsia="Times New Roman" w:hAnsiTheme="minorHAnsi" w:cs="Calibri"/>
          <w:sz w:val="24"/>
          <w:szCs w:val="24"/>
          <w:lang w:val="en-US" w:eastAsia="en-GB"/>
        </w:rPr>
        <w:t>,</w:t>
      </w:r>
      <w:r w:rsidR="0090501B">
        <w:rPr>
          <w:rFonts w:asciiTheme="minorHAnsi" w:eastAsia="Times New Roman" w:hAnsiTheme="minorHAnsi" w:cs="Calibri"/>
          <w:sz w:val="24"/>
          <w:szCs w:val="24"/>
          <w:lang w:val="en-US" w:eastAsia="en-GB"/>
        </w:rPr>
        <w:t xml:space="preserve"> of the TEU</w:t>
      </w:r>
      <w:r w:rsidR="0052462A">
        <w:rPr>
          <w:rFonts w:asciiTheme="minorHAnsi" w:eastAsia="Times New Roman" w:hAnsiTheme="minorHAnsi" w:cs="Calibri"/>
          <w:sz w:val="24"/>
          <w:szCs w:val="24"/>
          <w:lang w:val="en-US" w:eastAsia="en-GB"/>
        </w:rPr>
        <w:t>,</w:t>
      </w:r>
      <w:r w:rsidR="0090501B">
        <w:rPr>
          <w:rFonts w:asciiTheme="minorHAnsi" w:eastAsia="Times New Roman" w:hAnsiTheme="minorHAnsi" w:cs="Calibri"/>
          <w:sz w:val="24"/>
          <w:szCs w:val="24"/>
          <w:lang w:val="en-US" w:eastAsia="en-GB"/>
        </w:rPr>
        <w:t xml:space="preserve"> </w:t>
      </w:r>
      <w:r w:rsidR="00192283" w:rsidRPr="00381DAC">
        <w:rPr>
          <w:rFonts w:asciiTheme="minorHAnsi" w:eastAsia="Times New Roman" w:hAnsiTheme="minorHAnsi" w:cs="Calibri"/>
          <w:sz w:val="24"/>
          <w:szCs w:val="24"/>
          <w:lang w:val="en-US" w:eastAsia="en-GB"/>
        </w:rPr>
        <w:t>does not contemplate any fast track procedure regulating the re-entry of a former member</w:t>
      </w:r>
      <w:r w:rsidR="00CF6FB6" w:rsidRPr="00381DAC">
        <w:rPr>
          <w:rFonts w:asciiTheme="minorHAnsi" w:eastAsia="Times New Roman" w:hAnsiTheme="minorHAnsi" w:cs="Calibri"/>
          <w:sz w:val="24"/>
          <w:szCs w:val="24"/>
          <w:lang w:val="en-US" w:eastAsia="en-GB"/>
        </w:rPr>
        <w:t xml:space="preserve"> nor does it </w:t>
      </w:r>
      <w:r w:rsidR="00BF13DA">
        <w:rPr>
          <w:rFonts w:asciiTheme="minorHAnsi" w:eastAsia="Times New Roman" w:hAnsiTheme="minorHAnsi" w:cs="Calibri"/>
          <w:sz w:val="24"/>
          <w:szCs w:val="24"/>
          <w:lang w:val="en-US" w:eastAsia="en-GB"/>
        </w:rPr>
        <w:t>“</w:t>
      </w:r>
      <w:r w:rsidR="00CF6FB6" w:rsidRPr="00381DAC">
        <w:rPr>
          <w:rFonts w:asciiTheme="minorHAnsi" w:eastAsia="Times New Roman" w:hAnsiTheme="minorHAnsi" w:cs="Calibri"/>
          <w:sz w:val="24"/>
          <w:szCs w:val="24"/>
          <w:lang w:val="en-US" w:eastAsia="en-GB"/>
        </w:rPr>
        <w:t>punish</w:t>
      </w:r>
      <w:r w:rsidR="00BF13DA">
        <w:rPr>
          <w:rFonts w:asciiTheme="minorHAnsi" w:eastAsia="Times New Roman" w:hAnsiTheme="minorHAnsi" w:cs="Calibri"/>
          <w:sz w:val="24"/>
          <w:szCs w:val="24"/>
          <w:lang w:val="en-US" w:eastAsia="en-GB"/>
        </w:rPr>
        <w:t>”</w:t>
      </w:r>
      <w:r w:rsidR="00CF6FB6" w:rsidRPr="00381DAC">
        <w:rPr>
          <w:rFonts w:asciiTheme="minorHAnsi" w:eastAsia="Times New Roman" w:hAnsiTheme="minorHAnsi" w:cs="Calibri"/>
          <w:sz w:val="24"/>
          <w:szCs w:val="24"/>
          <w:lang w:val="en-US" w:eastAsia="en-GB"/>
        </w:rPr>
        <w:t xml:space="preserve"> a State for having left the Union </w:t>
      </w:r>
      <w:r w:rsidR="00192283" w:rsidRPr="00381DAC">
        <w:rPr>
          <w:rFonts w:asciiTheme="minorHAnsi" w:eastAsia="Times New Roman" w:hAnsiTheme="minorHAnsi" w:cs="Calibri"/>
          <w:sz w:val="24"/>
          <w:szCs w:val="24"/>
          <w:lang w:val="en-US" w:eastAsia="en-GB"/>
        </w:rPr>
        <w:t>by imposing a specific waiting period</w:t>
      </w:r>
      <w:r w:rsidR="00EC7B88">
        <w:rPr>
          <w:rFonts w:asciiTheme="minorHAnsi" w:eastAsia="Times New Roman" w:hAnsiTheme="minorHAnsi" w:cs="Calibri"/>
          <w:sz w:val="24"/>
          <w:szCs w:val="24"/>
          <w:lang w:val="en-US" w:eastAsia="en-GB"/>
        </w:rPr>
        <w:t xml:space="preserve"> before </w:t>
      </w:r>
      <w:r w:rsidR="00BF13DA">
        <w:rPr>
          <w:rFonts w:asciiTheme="minorHAnsi" w:eastAsia="Times New Roman" w:hAnsiTheme="minorHAnsi" w:cs="Calibri"/>
          <w:sz w:val="24"/>
          <w:szCs w:val="24"/>
          <w:lang w:val="en-US" w:eastAsia="en-GB"/>
        </w:rPr>
        <w:t xml:space="preserve">assessing its </w:t>
      </w:r>
      <w:r w:rsidR="00EC7B88">
        <w:rPr>
          <w:rFonts w:asciiTheme="minorHAnsi" w:eastAsia="Times New Roman" w:hAnsiTheme="minorHAnsi" w:cs="Calibri"/>
          <w:sz w:val="24"/>
          <w:szCs w:val="24"/>
          <w:lang w:val="en-US" w:eastAsia="en-GB"/>
        </w:rPr>
        <w:t>readmission.</w:t>
      </w:r>
      <w:r w:rsidR="00052A13">
        <w:rPr>
          <w:rFonts w:asciiTheme="minorHAnsi" w:eastAsia="Times New Roman" w:hAnsiTheme="minorHAnsi" w:cs="Calibri"/>
          <w:sz w:val="24"/>
          <w:szCs w:val="24"/>
          <w:lang w:val="en-US" w:eastAsia="en-GB"/>
        </w:rPr>
        <w:t xml:space="preserve"> </w:t>
      </w:r>
      <w:r w:rsidR="00022639">
        <w:rPr>
          <w:rFonts w:asciiTheme="minorHAnsi" w:eastAsia="Times New Roman" w:hAnsiTheme="minorHAnsi" w:cs="Calibri"/>
          <w:sz w:val="24"/>
          <w:szCs w:val="24"/>
          <w:lang w:val="en-US" w:eastAsia="en-GB"/>
        </w:rPr>
        <w:t>Therefore, the solution regarding re-entry is neutral in the se</w:t>
      </w:r>
      <w:r w:rsidR="00E700C9">
        <w:rPr>
          <w:rFonts w:asciiTheme="minorHAnsi" w:eastAsia="Times New Roman" w:hAnsiTheme="minorHAnsi" w:cs="Calibri"/>
          <w:sz w:val="24"/>
          <w:szCs w:val="24"/>
          <w:lang w:val="en-US" w:eastAsia="en-GB"/>
        </w:rPr>
        <w:t xml:space="preserve">nse that it neither facilitates </w:t>
      </w:r>
      <w:r w:rsidR="0085630F">
        <w:rPr>
          <w:rFonts w:asciiTheme="minorHAnsi" w:eastAsia="Times New Roman" w:hAnsiTheme="minorHAnsi" w:cs="Calibri"/>
          <w:sz w:val="24"/>
          <w:szCs w:val="24"/>
          <w:lang w:val="en-US" w:eastAsia="en-GB"/>
        </w:rPr>
        <w:t xml:space="preserve">accession </w:t>
      </w:r>
      <w:r w:rsidR="00022639">
        <w:rPr>
          <w:rFonts w:asciiTheme="minorHAnsi" w:eastAsia="Times New Roman" w:hAnsiTheme="minorHAnsi" w:cs="Calibri"/>
          <w:sz w:val="24"/>
          <w:szCs w:val="24"/>
          <w:lang w:val="en-US" w:eastAsia="en-GB"/>
        </w:rPr>
        <w:t xml:space="preserve">nor imposes any sort of penalty for having left the Union. However, this </w:t>
      </w:r>
      <w:r w:rsidR="00A25DB3">
        <w:rPr>
          <w:rFonts w:asciiTheme="minorHAnsi" w:eastAsia="Times New Roman" w:hAnsiTheme="minorHAnsi" w:cs="Calibri"/>
          <w:sz w:val="24"/>
          <w:szCs w:val="24"/>
          <w:lang w:val="en-US" w:eastAsia="en-GB"/>
        </w:rPr>
        <w:t xml:space="preserve">apparent </w:t>
      </w:r>
      <w:r w:rsidR="0011492B">
        <w:rPr>
          <w:rFonts w:asciiTheme="minorHAnsi" w:eastAsia="Times New Roman" w:hAnsiTheme="minorHAnsi" w:cs="Calibri"/>
          <w:sz w:val="24"/>
          <w:szCs w:val="24"/>
          <w:lang w:val="en-US" w:eastAsia="en-GB"/>
        </w:rPr>
        <w:t>neutrality relative to the issue of readmission is questionable from a legal and political perspective</w:t>
      </w:r>
      <w:r w:rsidR="00FE75FB">
        <w:rPr>
          <w:rFonts w:asciiTheme="minorHAnsi" w:eastAsia="Times New Roman" w:hAnsiTheme="minorHAnsi" w:cs="Calibri"/>
          <w:sz w:val="24"/>
          <w:szCs w:val="24"/>
          <w:lang w:val="en-US" w:eastAsia="en-GB"/>
        </w:rPr>
        <w:t>s</w:t>
      </w:r>
      <w:r w:rsidR="0011492B">
        <w:rPr>
          <w:rFonts w:asciiTheme="minorHAnsi" w:eastAsia="Times New Roman" w:hAnsiTheme="minorHAnsi" w:cs="Calibri"/>
          <w:sz w:val="24"/>
          <w:szCs w:val="24"/>
          <w:lang w:val="en-US" w:eastAsia="en-GB"/>
        </w:rPr>
        <w:t xml:space="preserve">. In our opinion, the introduction of a </w:t>
      </w:r>
      <w:r w:rsidR="0090501B">
        <w:rPr>
          <w:rFonts w:asciiTheme="minorHAnsi" w:eastAsia="Times New Roman" w:hAnsiTheme="minorHAnsi" w:cs="Calibri"/>
          <w:sz w:val="24"/>
          <w:szCs w:val="24"/>
          <w:lang w:val="en-US" w:eastAsia="en-GB"/>
        </w:rPr>
        <w:t xml:space="preserve">specific waiting period </w:t>
      </w:r>
      <w:r w:rsidR="0011492B">
        <w:rPr>
          <w:rFonts w:asciiTheme="minorHAnsi" w:eastAsia="Times New Roman" w:hAnsiTheme="minorHAnsi" w:cs="Calibri"/>
          <w:sz w:val="24"/>
          <w:szCs w:val="24"/>
          <w:lang w:val="en-US" w:eastAsia="en-GB"/>
        </w:rPr>
        <w:t>in the wording</w:t>
      </w:r>
      <w:r w:rsidR="00022639">
        <w:rPr>
          <w:rFonts w:asciiTheme="minorHAnsi" w:eastAsia="Times New Roman" w:hAnsiTheme="minorHAnsi" w:cs="Calibri"/>
          <w:sz w:val="24"/>
          <w:szCs w:val="24"/>
          <w:lang w:val="en-US" w:eastAsia="en-GB"/>
        </w:rPr>
        <w:t xml:space="preserve"> of the </w:t>
      </w:r>
      <w:r w:rsidR="0011492B">
        <w:rPr>
          <w:rFonts w:asciiTheme="minorHAnsi" w:eastAsia="Times New Roman" w:hAnsiTheme="minorHAnsi" w:cs="Calibri"/>
          <w:sz w:val="24"/>
          <w:szCs w:val="24"/>
          <w:lang w:val="en-US" w:eastAsia="en-GB"/>
        </w:rPr>
        <w:t xml:space="preserve">precept under analysis </w:t>
      </w:r>
      <w:r w:rsidR="0090501B">
        <w:rPr>
          <w:rFonts w:asciiTheme="minorHAnsi" w:eastAsia="Times New Roman" w:hAnsiTheme="minorHAnsi" w:cs="Calibri"/>
          <w:sz w:val="24"/>
          <w:szCs w:val="24"/>
          <w:lang w:val="en-US" w:eastAsia="en-GB"/>
        </w:rPr>
        <w:t>would have</w:t>
      </w:r>
      <w:r w:rsidR="0011492B">
        <w:rPr>
          <w:rFonts w:asciiTheme="minorHAnsi" w:eastAsia="Times New Roman" w:hAnsiTheme="minorHAnsi" w:cs="Calibri"/>
          <w:sz w:val="24"/>
          <w:szCs w:val="24"/>
          <w:lang w:val="en-US" w:eastAsia="en-GB"/>
        </w:rPr>
        <w:t xml:space="preserve"> </w:t>
      </w:r>
      <w:r w:rsidR="00A25DB3">
        <w:rPr>
          <w:rFonts w:asciiTheme="minorHAnsi" w:eastAsia="Times New Roman" w:hAnsiTheme="minorHAnsi" w:cs="Calibri"/>
          <w:sz w:val="24"/>
          <w:szCs w:val="24"/>
          <w:lang w:val="en-US" w:eastAsia="en-GB"/>
        </w:rPr>
        <w:t xml:space="preserve">the potential to </w:t>
      </w:r>
      <w:r w:rsidR="00BF13DA">
        <w:rPr>
          <w:rFonts w:asciiTheme="minorHAnsi" w:eastAsia="Times New Roman" w:hAnsiTheme="minorHAnsi" w:cs="Calibri"/>
          <w:sz w:val="24"/>
          <w:szCs w:val="24"/>
          <w:lang w:val="en-US" w:eastAsia="en-GB"/>
        </w:rPr>
        <w:t xml:space="preserve">not only limit </w:t>
      </w:r>
      <w:r w:rsidR="00A25DB3">
        <w:rPr>
          <w:rFonts w:asciiTheme="minorHAnsi" w:eastAsia="Times New Roman" w:hAnsiTheme="minorHAnsi" w:cs="Calibri"/>
          <w:sz w:val="24"/>
          <w:szCs w:val="24"/>
          <w:lang w:val="en-US" w:eastAsia="en-GB"/>
        </w:rPr>
        <w:t>the</w:t>
      </w:r>
      <w:r w:rsidR="0090501B">
        <w:rPr>
          <w:rFonts w:asciiTheme="minorHAnsi" w:eastAsia="Times New Roman" w:hAnsiTheme="minorHAnsi" w:cs="Calibri"/>
          <w:sz w:val="24"/>
          <w:szCs w:val="24"/>
          <w:lang w:val="en-US" w:eastAsia="en-GB"/>
        </w:rPr>
        <w:t xml:space="preserve"> threat</w:t>
      </w:r>
      <w:r w:rsidR="00A25DB3">
        <w:rPr>
          <w:rFonts w:asciiTheme="minorHAnsi" w:eastAsia="Times New Roman" w:hAnsiTheme="minorHAnsi" w:cs="Calibri"/>
          <w:sz w:val="24"/>
          <w:szCs w:val="24"/>
          <w:lang w:val="en-US" w:eastAsia="en-GB"/>
        </w:rPr>
        <w:t xml:space="preserve"> of withdrawal but</w:t>
      </w:r>
      <w:r w:rsidR="0011492B">
        <w:rPr>
          <w:rFonts w:asciiTheme="minorHAnsi" w:eastAsia="Times New Roman" w:hAnsiTheme="minorHAnsi" w:cs="Calibri"/>
          <w:sz w:val="24"/>
          <w:szCs w:val="24"/>
          <w:lang w:val="en-US" w:eastAsia="en-GB"/>
        </w:rPr>
        <w:t xml:space="preserve"> the </w:t>
      </w:r>
      <w:r w:rsidR="0090501B">
        <w:rPr>
          <w:rFonts w:asciiTheme="minorHAnsi" w:eastAsia="Times New Roman" w:hAnsiTheme="minorHAnsi" w:cs="Calibri"/>
          <w:sz w:val="24"/>
          <w:szCs w:val="24"/>
          <w:lang w:val="en-US" w:eastAsia="en-GB"/>
        </w:rPr>
        <w:t>misuse of the right in question</w:t>
      </w:r>
      <w:r w:rsidR="00A25DB3">
        <w:rPr>
          <w:rFonts w:asciiTheme="minorHAnsi" w:eastAsia="Times New Roman" w:hAnsiTheme="minorHAnsi" w:cs="Calibri"/>
          <w:sz w:val="24"/>
          <w:szCs w:val="24"/>
          <w:lang w:val="en-US" w:eastAsia="en-GB"/>
        </w:rPr>
        <w:t xml:space="preserve"> as well</w:t>
      </w:r>
      <w:r w:rsidR="0090501B">
        <w:rPr>
          <w:rFonts w:asciiTheme="minorHAnsi" w:eastAsia="Times New Roman" w:hAnsiTheme="minorHAnsi" w:cs="Calibri"/>
          <w:sz w:val="24"/>
          <w:szCs w:val="24"/>
          <w:lang w:val="en-US" w:eastAsia="en-GB"/>
        </w:rPr>
        <w:t>.</w:t>
      </w:r>
    </w:p>
    <w:p w:rsidR="00FF237C" w:rsidRPr="00381DAC" w:rsidRDefault="00FF237C" w:rsidP="00682E87">
      <w:pPr>
        <w:spacing w:after="0" w:line="360" w:lineRule="auto"/>
        <w:jc w:val="both"/>
        <w:rPr>
          <w:rFonts w:asciiTheme="minorHAnsi" w:eastAsia="Times New Roman" w:hAnsiTheme="minorHAnsi" w:cs="Calibri"/>
          <w:sz w:val="24"/>
          <w:szCs w:val="24"/>
          <w:lang w:val="en-US" w:eastAsia="en-GB"/>
        </w:rPr>
      </w:pPr>
    </w:p>
    <w:p w:rsidR="008C2E5D" w:rsidRPr="00381DAC" w:rsidRDefault="008C2E5D" w:rsidP="00192283">
      <w:pPr>
        <w:pStyle w:val="PargrafodaLista"/>
        <w:numPr>
          <w:ilvl w:val="0"/>
          <w:numId w:val="3"/>
        </w:numPr>
        <w:spacing w:after="0" w:line="360" w:lineRule="auto"/>
        <w:jc w:val="both"/>
        <w:rPr>
          <w:rFonts w:eastAsia="Times New Roman" w:cs="Calibri"/>
          <w:sz w:val="24"/>
          <w:szCs w:val="24"/>
          <w:lang w:val="en-US" w:eastAsia="en-GB"/>
        </w:rPr>
      </w:pPr>
      <w:r w:rsidRPr="00381DAC">
        <w:rPr>
          <w:rFonts w:eastAsia="Times New Roman" w:cs="Calibri"/>
          <w:sz w:val="24"/>
          <w:szCs w:val="24"/>
          <w:lang w:val="en-US" w:eastAsia="en-GB"/>
        </w:rPr>
        <w:t>Concluding remarks</w:t>
      </w:r>
      <w:bookmarkStart w:id="0" w:name="_GoBack"/>
      <w:bookmarkEnd w:id="0"/>
    </w:p>
    <w:p w:rsidR="00F30800" w:rsidRPr="00381DAC" w:rsidRDefault="00F30800" w:rsidP="00F30800">
      <w:pPr>
        <w:pStyle w:val="PargrafodaLista"/>
        <w:rPr>
          <w:rFonts w:eastAsia="Times New Roman" w:cs="Calibri"/>
          <w:sz w:val="24"/>
          <w:szCs w:val="24"/>
          <w:lang w:val="en-US" w:eastAsia="en-GB"/>
        </w:rPr>
      </w:pPr>
    </w:p>
    <w:p w:rsidR="00F30800" w:rsidRPr="00381DAC" w:rsidRDefault="00F30800" w:rsidP="00C11DE7">
      <w:pPr>
        <w:spacing w:after="0" w:line="360" w:lineRule="auto"/>
        <w:ind w:firstLine="708"/>
        <w:jc w:val="both"/>
        <w:rPr>
          <w:rFonts w:asciiTheme="minorHAnsi" w:eastAsia="Times New Roman" w:hAnsiTheme="minorHAnsi" w:cs="Calibri"/>
          <w:sz w:val="24"/>
          <w:szCs w:val="24"/>
          <w:lang w:val="en-US" w:eastAsia="en-GB"/>
        </w:rPr>
      </w:pPr>
      <w:r w:rsidRPr="00381DAC">
        <w:rPr>
          <w:rFonts w:asciiTheme="minorHAnsi" w:eastAsia="Times New Roman" w:hAnsiTheme="minorHAnsi" w:cs="Calibri"/>
          <w:sz w:val="24"/>
          <w:szCs w:val="24"/>
          <w:lang w:val="en-US" w:eastAsia="en-GB"/>
        </w:rPr>
        <w:t xml:space="preserve">The Treaty of Lisbon formally recognizes a right to </w:t>
      </w:r>
      <w:r w:rsidR="00D9069D">
        <w:rPr>
          <w:rFonts w:asciiTheme="minorHAnsi" w:eastAsia="Times New Roman" w:hAnsiTheme="minorHAnsi" w:cs="Calibri"/>
          <w:sz w:val="24"/>
          <w:szCs w:val="24"/>
          <w:lang w:val="en-US" w:eastAsia="en-GB"/>
        </w:rPr>
        <w:t xml:space="preserve">withdraw from the EU </w:t>
      </w:r>
      <w:r w:rsidR="005B7392">
        <w:rPr>
          <w:rFonts w:asciiTheme="minorHAnsi" w:eastAsia="Times New Roman" w:hAnsiTheme="minorHAnsi" w:cs="Calibri"/>
          <w:sz w:val="24"/>
          <w:szCs w:val="24"/>
          <w:lang w:val="en-US" w:eastAsia="en-GB"/>
        </w:rPr>
        <w:t xml:space="preserve">and the introduction of this possibility underlines the voluntary character of the Union. </w:t>
      </w:r>
      <w:r w:rsidR="004829FA" w:rsidRPr="00381DAC">
        <w:rPr>
          <w:rFonts w:asciiTheme="minorHAnsi" w:eastAsia="Times New Roman" w:hAnsiTheme="minorHAnsi" w:cs="Calibri"/>
          <w:sz w:val="24"/>
          <w:szCs w:val="24"/>
          <w:lang w:val="en-US" w:eastAsia="en-GB"/>
        </w:rPr>
        <w:t xml:space="preserve">In other words, </w:t>
      </w:r>
      <w:r w:rsidR="005B7392">
        <w:rPr>
          <w:rFonts w:asciiTheme="minorHAnsi" w:eastAsia="Times New Roman" w:hAnsiTheme="minorHAnsi" w:cs="Calibri"/>
          <w:sz w:val="24"/>
          <w:szCs w:val="24"/>
          <w:lang w:val="en-US" w:eastAsia="en-GB"/>
        </w:rPr>
        <w:t xml:space="preserve">membership is not an imposition – it is an option. The right in question is not tied to the verification of any condition. Therefore, the </w:t>
      </w:r>
      <w:r w:rsidR="004829FA" w:rsidRPr="00381DAC">
        <w:rPr>
          <w:rFonts w:asciiTheme="minorHAnsi" w:eastAsia="Times New Roman" w:hAnsiTheme="minorHAnsi" w:cs="Calibri"/>
          <w:sz w:val="24"/>
          <w:szCs w:val="24"/>
          <w:lang w:val="en-US" w:eastAsia="en-GB"/>
        </w:rPr>
        <w:t>Member-States of the E</w:t>
      </w:r>
      <w:r w:rsidR="00D9069D">
        <w:rPr>
          <w:rFonts w:asciiTheme="minorHAnsi" w:eastAsia="Times New Roman" w:hAnsiTheme="minorHAnsi" w:cs="Calibri"/>
          <w:sz w:val="24"/>
          <w:szCs w:val="24"/>
          <w:lang w:val="en-US" w:eastAsia="en-GB"/>
        </w:rPr>
        <w:t xml:space="preserve">U </w:t>
      </w:r>
      <w:r w:rsidR="004829FA" w:rsidRPr="00381DAC">
        <w:rPr>
          <w:rFonts w:asciiTheme="minorHAnsi" w:eastAsia="Times New Roman" w:hAnsiTheme="minorHAnsi" w:cs="Calibri"/>
          <w:sz w:val="24"/>
          <w:szCs w:val="24"/>
          <w:lang w:val="en-US" w:eastAsia="en-GB"/>
        </w:rPr>
        <w:t xml:space="preserve">have a </w:t>
      </w:r>
      <w:r w:rsidR="00AF76C6" w:rsidRPr="00381DAC">
        <w:rPr>
          <w:rFonts w:asciiTheme="minorHAnsi" w:eastAsia="Times New Roman" w:hAnsiTheme="minorHAnsi" w:cs="Calibri"/>
          <w:sz w:val="24"/>
          <w:szCs w:val="24"/>
          <w:lang w:val="en-US" w:eastAsia="en-GB"/>
        </w:rPr>
        <w:t>unilateral</w:t>
      </w:r>
      <w:r w:rsidR="004829FA" w:rsidRPr="00381DAC">
        <w:rPr>
          <w:rFonts w:asciiTheme="minorHAnsi" w:eastAsia="Times New Roman" w:hAnsiTheme="minorHAnsi" w:cs="Calibri"/>
          <w:sz w:val="24"/>
          <w:szCs w:val="24"/>
          <w:lang w:val="en-US" w:eastAsia="en-GB"/>
        </w:rPr>
        <w:t xml:space="preserve"> righ</w:t>
      </w:r>
      <w:r w:rsidR="00D9069D">
        <w:rPr>
          <w:rFonts w:asciiTheme="minorHAnsi" w:eastAsia="Times New Roman" w:hAnsiTheme="minorHAnsi" w:cs="Calibri"/>
          <w:sz w:val="24"/>
          <w:szCs w:val="24"/>
          <w:lang w:val="en-US" w:eastAsia="en-GB"/>
        </w:rPr>
        <w:t xml:space="preserve">t to withdraw from the </w:t>
      </w:r>
      <w:r w:rsidR="004829FA" w:rsidRPr="00381DAC">
        <w:rPr>
          <w:rFonts w:asciiTheme="minorHAnsi" w:eastAsia="Times New Roman" w:hAnsiTheme="minorHAnsi" w:cs="Calibri"/>
          <w:sz w:val="24"/>
          <w:szCs w:val="24"/>
          <w:lang w:val="en-US" w:eastAsia="en-GB"/>
        </w:rPr>
        <w:t>Union which</w:t>
      </w:r>
      <w:r w:rsidR="00E72BE2">
        <w:rPr>
          <w:rFonts w:asciiTheme="minorHAnsi" w:eastAsia="Times New Roman" w:hAnsiTheme="minorHAnsi" w:cs="Calibri"/>
          <w:sz w:val="24"/>
          <w:szCs w:val="24"/>
          <w:lang w:val="en-US" w:eastAsia="en-GB"/>
        </w:rPr>
        <w:t xml:space="preserve"> i</w:t>
      </w:r>
      <w:r w:rsidR="005B7392">
        <w:rPr>
          <w:rFonts w:asciiTheme="minorHAnsi" w:eastAsia="Times New Roman" w:hAnsiTheme="minorHAnsi" w:cs="Calibri"/>
          <w:sz w:val="24"/>
          <w:szCs w:val="24"/>
          <w:lang w:val="en-US" w:eastAsia="en-GB"/>
        </w:rPr>
        <w:t xml:space="preserve">s typical of a confederation. </w:t>
      </w:r>
      <w:r w:rsidRPr="00381DAC">
        <w:rPr>
          <w:rFonts w:asciiTheme="minorHAnsi" w:eastAsia="Times New Roman" w:hAnsiTheme="minorHAnsi" w:cs="Calibri"/>
          <w:sz w:val="24"/>
          <w:szCs w:val="24"/>
          <w:lang w:val="en-US" w:eastAsia="en-GB"/>
        </w:rPr>
        <w:t>However, Article 50º</w:t>
      </w:r>
      <w:r w:rsidR="00EF5DEF">
        <w:rPr>
          <w:rFonts w:asciiTheme="minorHAnsi" w:eastAsia="Times New Roman" w:hAnsiTheme="minorHAnsi" w:cs="Calibri"/>
          <w:sz w:val="24"/>
          <w:szCs w:val="24"/>
          <w:lang w:val="en-US" w:eastAsia="en-GB"/>
        </w:rPr>
        <w:t>,</w:t>
      </w:r>
      <w:r w:rsidRPr="00381DAC">
        <w:rPr>
          <w:rFonts w:asciiTheme="minorHAnsi" w:eastAsia="Times New Roman" w:hAnsiTheme="minorHAnsi" w:cs="Calibri"/>
          <w:sz w:val="24"/>
          <w:szCs w:val="24"/>
          <w:lang w:val="en-US" w:eastAsia="en-GB"/>
        </w:rPr>
        <w:t xml:space="preserve"> of </w:t>
      </w:r>
      <w:r w:rsidR="00EF5DEF">
        <w:rPr>
          <w:rFonts w:asciiTheme="minorHAnsi" w:eastAsia="Times New Roman" w:hAnsiTheme="minorHAnsi" w:cs="Calibri"/>
          <w:sz w:val="24"/>
          <w:szCs w:val="24"/>
          <w:lang w:val="en-US" w:eastAsia="en-GB"/>
        </w:rPr>
        <w:t>the TEU,</w:t>
      </w:r>
      <w:r w:rsidR="00AF76C6" w:rsidRPr="00381DAC">
        <w:rPr>
          <w:rFonts w:asciiTheme="minorHAnsi" w:eastAsia="Times New Roman" w:hAnsiTheme="minorHAnsi" w:cs="Calibri"/>
          <w:sz w:val="24"/>
          <w:szCs w:val="24"/>
          <w:lang w:val="en-US" w:eastAsia="en-GB"/>
        </w:rPr>
        <w:t xml:space="preserve"> is very ske</w:t>
      </w:r>
      <w:r w:rsidR="00C83CC4">
        <w:rPr>
          <w:rFonts w:asciiTheme="minorHAnsi" w:eastAsia="Times New Roman" w:hAnsiTheme="minorHAnsi" w:cs="Calibri"/>
          <w:sz w:val="24"/>
          <w:szCs w:val="24"/>
          <w:lang w:val="en-US" w:eastAsia="en-GB"/>
        </w:rPr>
        <w:t xml:space="preserve">tchy and </w:t>
      </w:r>
      <w:r w:rsidRPr="00381DAC">
        <w:rPr>
          <w:rFonts w:asciiTheme="minorHAnsi" w:eastAsia="Times New Roman" w:hAnsiTheme="minorHAnsi" w:cs="Calibri"/>
          <w:sz w:val="24"/>
          <w:szCs w:val="24"/>
          <w:lang w:val="en-US" w:eastAsia="en-GB"/>
        </w:rPr>
        <w:t>leaves many questions unanswered. T</w:t>
      </w:r>
      <w:r w:rsidR="004829FA" w:rsidRPr="00381DAC">
        <w:rPr>
          <w:rFonts w:asciiTheme="minorHAnsi" w:eastAsia="Times New Roman" w:hAnsiTheme="minorHAnsi" w:cs="Calibri"/>
          <w:sz w:val="24"/>
          <w:szCs w:val="24"/>
          <w:lang w:val="en-US" w:eastAsia="en-GB"/>
        </w:rPr>
        <w:t>he most important question</w:t>
      </w:r>
      <w:r w:rsidR="00AF76C6" w:rsidRPr="00381DAC">
        <w:rPr>
          <w:rFonts w:asciiTheme="minorHAnsi" w:eastAsia="Times New Roman" w:hAnsiTheme="minorHAnsi" w:cs="Calibri"/>
          <w:sz w:val="24"/>
          <w:szCs w:val="24"/>
          <w:lang w:val="en-US" w:eastAsia="en-GB"/>
        </w:rPr>
        <w:t>s surround the absence of legal</w:t>
      </w:r>
      <w:r w:rsidR="004829FA" w:rsidRPr="00381DAC">
        <w:rPr>
          <w:rFonts w:asciiTheme="minorHAnsi" w:eastAsia="Times New Roman" w:hAnsiTheme="minorHAnsi" w:cs="Calibri"/>
          <w:sz w:val="24"/>
          <w:szCs w:val="24"/>
          <w:lang w:val="en-US" w:eastAsia="en-GB"/>
        </w:rPr>
        <w:t xml:space="preserve"> guidelines rega</w:t>
      </w:r>
      <w:r w:rsidR="00AF76C6" w:rsidRPr="00381DAC">
        <w:rPr>
          <w:rFonts w:asciiTheme="minorHAnsi" w:eastAsia="Times New Roman" w:hAnsiTheme="minorHAnsi" w:cs="Calibri"/>
          <w:sz w:val="24"/>
          <w:szCs w:val="24"/>
          <w:lang w:val="en-US" w:eastAsia="en-GB"/>
        </w:rPr>
        <w:t>rding the condition</w:t>
      </w:r>
      <w:r w:rsidR="00C83CC4">
        <w:rPr>
          <w:rFonts w:asciiTheme="minorHAnsi" w:eastAsia="Times New Roman" w:hAnsiTheme="minorHAnsi" w:cs="Calibri"/>
          <w:sz w:val="24"/>
          <w:szCs w:val="24"/>
          <w:lang w:val="en-US" w:eastAsia="en-GB"/>
        </w:rPr>
        <w:t>s</w:t>
      </w:r>
      <w:r w:rsidR="00AF76C6" w:rsidRPr="00381DAC">
        <w:rPr>
          <w:rFonts w:asciiTheme="minorHAnsi" w:eastAsia="Times New Roman" w:hAnsiTheme="minorHAnsi" w:cs="Calibri"/>
          <w:sz w:val="24"/>
          <w:szCs w:val="24"/>
          <w:lang w:val="en-US" w:eastAsia="en-GB"/>
        </w:rPr>
        <w:t xml:space="preserve"> of the exit as well as </w:t>
      </w:r>
      <w:r w:rsidR="004829FA" w:rsidRPr="00381DAC">
        <w:rPr>
          <w:rFonts w:asciiTheme="minorHAnsi" w:eastAsia="Times New Roman" w:hAnsiTheme="minorHAnsi" w:cs="Calibri"/>
          <w:sz w:val="24"/>
          <w:szCs w:val="24"/>
          <w:lang w:val="en-US" w:eastAsia="en-GB"/>
        </w:rPr>
        <w:t xml:space="preserve">what matters should be regulated </w:t>
      </w:r>
      <w:r w:rsidR="00EF5DEF">
        <w:rPr>
          <w:rFonts w:asciiTheme="minorHAnsi" w:eastAsia="Times New Roman" w:hAnsiTheme="minorHAnsi" w:cs="Calibri"/>
          <w:sz w:val="24"/>
          <w:szCs w:val="24"/>
          <w:lang w:val="en-US" w:eastAsia="en-GB"/>
        </w:rPr>
        <w:t xml:space="preserve">in the </w:t>
      </w:r>
      <w:r w:rsidR="007016AD">
        <w:rPr>
          <w:rFonts w:asciiTheme="minorHAnsi" w:eastAsia="Times New Roman" w:hAnsiTheme="minorHAnsi" w:cs="Calibri"/>
          <w:sz w:val="24"/>
          <w:szCs w:val="24"/>
          <w:lang w:val="en-US" w:eastAsia="en-GB"/>
        </w:rPr>
        <w:t xml:space="preserve">withdrawal </w:t>
      </w:r>
      <w:r w:rsidR="00EF5DEF">
        <w:rPr>
          <w:rFonts w:asciiTheme="minorHAnsi" w:eastAsia="Times New Roman" w:hAnsiTheme="minorHAnsi" w:cs="Calibri"/>
          <w:sz w:val="24"/>
          <w:szCs w:val="24"/>
          <w:lang w:val="en-US" w:eastAsia="en-GB"/>
        </w:rPr>
        <w:t xml:space="preserve">agreement </w:t>
      </w:r>
      <w:r w:rsidR="004829FA" w:rsidRPr="00381DAC">
        <w:rPr>
          <w:rFonts w:asciiTheme="minorHAnsi" w:eastAsia="Times New Roman" w:hAnsiTheme="minorHAnsi" w:cs="Calibri"/>
          <w:sz w:val="24"/>
          <w:szCs w:val="24"/>
          <w:lang w:val="en-US" w:eastAsia="en-GB"/>
        </w:rPr>
        <w:t>concerning the</w:t>
      </w:r>
      <w:r w:rsidR="005B7392">
        <w:rPr>
          <w:rFonts w:asciiTheme="minorHAnsi" w:eastAsia="Times New Roman" w:hAnsiTheme="minorHAnsi" w:cs="Calibri"/>
          <w:sz w:val="24"/>
          <w:szCs w:val="24"/>
          <w:lang w:val="en-US" w:eastAsia="en-GB"/>
        </w:rPr>
        <w:t xml:space="preserve"> exit and</w:t>
      </w:r>
      <w:r w:rsidR="004829FA" w:rsidRPr="00381DAC">
        <w:rPr>
          <w:rFonts w:asciiTheme="minorHAnsi" w:eastAsia="Times New Roman" w:hAnsiTheme="minorHAnsi" w:cs="Calibri"/>
          <w:sz w:val="24"/>
          <w:szCs w:val="24"/>
          <w:lang w:val="en-US" w:eastAsia="en-GB"/>
        </w:rPr>
        <w:t xml:space="preserve"> future relations between the two parti</w:t>
      </w:r>
      <w:r w:rsidR="00EF5DEF">
        <w:rPr>
          <w:rFonts w:asciiTheme="minorHAnsi" w:eastAsia="Times New Roman" w:hAnsiTheme="minorHAnsi" w:cs="Calibri"/>
          <w:sz w:val="24"/>
          <w:szCs w:val="24"/>
          <w:lang w:val="en-US" w:eastAsia="en-GB"/>
        </w:rPr>
        <w:t>es that sho</w:t>
      </w:r>
      <w:r w:rsidR="001960C3">
        <w:rPr>
          <w:rFonts w:asciiTheme="minorHAnsi" w:eastAsia="Times New Roman" w:hAnsiTheme="minorHAnsi" w:cs="Calibri"/>
          <w:sz w:val="24"/>
          <w:szCs w:val="24"/>
          <w:lang w:val="en-US" w:eastAsia="en-GB"/>
        </w:rPr>
        <w:t>uld be mandatory. Presently</w:t>
      </w:r>
      <w:r w:rsidR="00EF5DEF">
        <w:rPr>
          <w:rFonts w:asciiTheme="minorHAnsi" w:eastAsia="Times New Roman" w:hAnsiTheme="minorHAnsi" w:cs="Calibri"/>
          <w:sz w:val="24"/>
          <w:szCs w:val="24"/>
          <w:lang w:val="en-US" w:eastAsia="en-GB"/>
        </w:rPr>
        <w:t>, Artic</w:t>
      </w:r>
      <w:r w:rsidR="001960C3">
        <w:rPr>
          <w:rFonts w:asciiTheme="minorHAnsi" w:eastAsia="Times New Roman" w:hAnsiTheme="minorHAnsi" w:cs="Calibri"/>
          <w:sz w:val="24"/>
          <w:szCs w:val="24"/>
          <w:lang w:val="en-US" w:eastAsia="en-GB"/>
        </w:rPr>
        <w:t>le 50º</w:t>
      </w:r>
      <w:r w:rsidR="00B4537C">
        <w:rPr>
          <w:rFonts w:asciiTheme="minorHAnsi" w:eastAsia="Times New Roman" w:hAnsiTheme="minorHAnsi" w:cs="Calibri"/>
          <w:sz w:val="24"/>
          <w:szCs w:val="24"/>
          <w:lang w:val="en-US" w:eastAsia="en-GB"/>
        </w:rPr>
        <w:t>,</w:t>
      </w:r>
      <w:r w:rsidR="001960C3">
        <w:rPr>
          <w:rFonts w:asciiTheme="minorHAnsi" w:eastAsia="Times New Roman" w:hAnsiTheme="minorHAnsi" w:cs="Calibri"/>
          <w:sz w:val="24"/>
          <w:szCs w:val="24"/>
          <w:lang w:val="en-US" w:eastAsia="en-GB"/>
        </w:rPr>
        <w:t xml:space="preserve"> of the TEU</w:t>
      </w:r>
      <w:r w:rsidR="00B4537C">
        <w:rPr>
          <w:rFonts w:asciiTheme="minorHAnsi" w:eastAsia="Times New Roman" w:hAnsiTheme="minorHAnsi" w:cs="Calibri"/>
          <w:sz w:val="24"/>
          <w:szCs w:val="24"/>
          <w:lang w:val="en-US" w:eastAsia="en-GB"/>
        </w:rPr>
        <w:t>,</w:t>
      </w:r>
      <w:r w:rsidR="007016AD">
        <w:rPr>
          <w:rFonts w:asciiTheme="minorHAnsi" w:eastAsia="Times New Roman" w:hAnsiTheme="minorHAnsi" w:cs="Calibri"/>
          <w:sz w:val="24"/>
          <w:szCs w:val="24"/>
          <w:lang w:val="en-US" w:eastAsia="en-GB"/>
        </w:rPr>
        <w:t xml:space="preserve"> is a source of </w:t>
      </w:r>
      <w:r w:rsidR="001960C3">
        <w:rPr>
          <w:rFonts w:asciiTheme="minorHAnsi" w:eastAsia="Times New Roman" w:hAnsiTheme="minorHAnsi" w:cs="Calibri"/>
          <w:sz w:val="24"/>
          <w:szCs w:val="24"/>
          <w:lang w:val="en-US" w:eastAsia="en-GB"/>
        </w:rPr>
        <w:t>legal uncertain</w:t>
      </w:r>
      <w:r w:rsidR="00EF5DEF">
        <w:rPr>
          <w:rFonts w:asciiTheme="minorHAnsi" w:eastAsia="Times New Roman" w:hAnsiTheme="minorHAnsi" w:cs="Calibri"/>
          <w:sz w:val="24"/>
          <w:szCs w:val="24"/>
          <w:lang w:val="en-US" w:eastAsia="en-GB"/>
        </w:rPr>
        <w:t>ty</w:t>
      </w:r>
      <w:r w:rsidR="00EF5DEF" w:rsidRPr="00381DAC">
        <w:rPr>
          <w:rFonts w:asciiTheme="minorHAnsi" w:eastAsia="Times New Roman" w:hAnsiTheme="minorHAnsi" w:cs="Calibri"/>
          <w:sz w:val="24"/>
          <w:szCs w:val="24"/>
          <w:lang w:val="en-US" w:eastAsia="en-GB"/>
        </w:rPr>
        <w:t xml:space="preserve"> </w:t>
      </w:r>
      <w:r w:rsidR="00EF5DEF">
        <w:rPr>
          <w:rFonts w:asciiTheme="minorHAnsi" w:eastAsia="Times New Roman" w:hAnsiTheme="minorHAnsi" w:cs="Calibri"/>
          <w:sz w:val="24"/>
          <w:szCs w:val="24"/>
          <w:lang w:val="en-US" w:eastAsia="en-GB"/>
        </w:rPr>
        <w:t xml:space="preserve">and </w:t>
      </w:r>
      <w:r w:rsidR="001960C3">
        <w:rPr>
          <w:rFonts w:asciiTheme="minorHAnsi" w:eastAsia="Times New Roman" w:hAnsiTheme="minorHAnsi" w:cs="Calibri"/>
          <w:sz w:val="24"/>
          <w:szCs w:val="24"/>
          <w:lang w:val="en-US" w:eastAsia="en-GB"/>
        </w:rPr>
        <w:t>i</w:t>
      </w:r>
      <w:r w:rsidR="00BF13DA">
        <w:rPr>
          <w:rFonts w:asciiTheme="minorHAnsi" w:eastAsia="Times New Roman" w:hAnsiTheme="minorHAnsi" w:cs="Calibri"/>
          <w:sz w:val="24"/>
          <w:szCs w:val="24"/>
          <w:lang w:val="en-US" w:eastAsia="en-GB"/>
        </w:rPr>
        <w:t xml:space="preserve">s not capable of addressing the </w:t>
      </w:r>
      <w:r w:rsidR="001960C3">
        <w:rPr>
          <w:rFonts w:asciiTheme="minorHAnsi" w:eastAsia="Times New Roman" w:hAnsiTheme="minorHAnsi" w:cs="Calibri"/>
          <w:sz w:val="24"/>
          <w:szCs w:val="24"/>
          <w:lang w:val="en-US" w:eastAsia="en-GB"/>
        </w:rPr>
        <w:t>problems that wou</w:t>
      </w:r>
      <w:r w:rsidR="00E700C9">
        <w:rPr>
          <w:rFonts w:asciiTheme="minorHAnsi" w:eastAsia="Times New Roman" w:hAnsiTheme="minorHAnsi" w:cs="Calibri"/>
          <w:sz w:val="24"/>
          <w:szCs w:val="24"/>
          <w:lang w:val="en-US" w:eastAsia="en-GB"/>
        </w:rPr>
        <w:t>ld stem from a withdrawal of</w:t>
      </w:r>
      <w:r w:rsidR="001960C3">
        <w:rPr>
          <w:rFonts w:asciiTheme="minorHAnsi" w:eastAsia="Times New Roman" w:hAnsiTheme="minorHAnsi" w:cs="Calibri"/>
          <w:sz w:val="24"/>
          <w:szCs w:val="24"/>
          <w:lang w:val="en-US" w:eastAsia="en-GB"/>
        </w:rPr>
        <w:t xml:space="preserve"> the Union. In our opinion, </w:t>
      </w:r>
      <w:r w:rsidR="00F84107">
        <w:rPr>
          <w:rFonts w:asciiTheme="minorHAnsi" w:eastAsia="Times New Roman" w:hAnsiTheme="minorHAnsi" w:cs="Calibri"/>
          <w:sz w:val="24"/>
          <w:szCs w:val="24"/>
          <w:lang w:val="en-US" w:eastAsia="en-GB"/>
        </w:rPr>
        <w:t>this provision</w:t>
      </w:r>
      <w:r w:rsidR="00EF5DEF">
        <w:rPr>
          <w:rFonts w:asciiTheme="minorHAnsi" w:eastAsia="Times New Roman" w:hAnsiTheme="minorHAnsi" w:cs="Calibri"/>
          <w:sz w:val="24"/>
          <w:szCs w:val="24"/>
          <w:lang w:val="en-US" w:eastAsia="en-GB"/>
        </w:rPr>
        <w:t xml:space="preserve"> should be amended in a future revision of the </w:t>
      </w:r>
      <w:r w:rsidR="001960C3">
        <w:rPr>
          <w:rFonts w:asciiTheme="minorHAnsi" w:eastAsia="Times New Roman" w:hAnsiTheme="minorHAnsi" w:cs="Calibri"/>
          <w:sz w:val="24"/>
          <w:szCs w:val="24"/>
          <w:lang w:val="en-US" w:eastAsia="en-GB"/>
        </w:rPr>
        <w:t>Lisbon Treaty</w:t>
      </w:r>
      <w:r w:rsidR="007016AD">
        <w:rPr>
          <w:rFonts w:asciiTheme="minorHAnsi" w:eastAsia="Times New Roman" w:hAnsiTheme="minorHAnsi" w:cs="Calibri"/>
          <w:sz w:val="24"/>
          <w:szCs w:val="24"/>
          <w:lang w:val="en-US" w:eastAsia="en-GB"/>
        </w:rPr>
        <w:t xml:space="preserve"> in a manner that addresses the </w:t>
      </w:r>
      <w:r w:rsidR="00F84107">
        <w:rPr>
          <w:rFonts w:asciiTheme="minorHAnsi" w:eastAsia="Times New Roman" w:hAnsiTheme="minorHAnsi" w:cs="Calibri"/>
          <w:sz w:val="24"/>
          <w:szCs w:val="24"/>
          <w:lang w:val="en-US" w:eastAsia="en-GB"/>
        </w:rPr>
        <w:t>questions raised in this paper</w:t>
      </w:r>
      <w:r w:rsidR="007016AD">
        <w:rPr>
          <w:rFonts w:asciiTheme="minorHAnsi" w:eastAsia="Times New Roman" w:hAnsiTheme="minorHAnsi" w:cs="Calibri"/>
          <w:sz w:val="24"/>
          <w:szCs w:val="24"/>
          <w:lang w:val="en-US" w:eastAsia="en-GB"/>
        </w:rPr>
        <w:t xml:space="preserve">. </w:t>
      </w:r>
      <w:r w:rsidR="00EF5DEF">
        <w:rPr>
          <w:rFonts w:asciiTheme="minorHAnsi" w:eastAsia="Times New Roman" w:hAnsiTheme="minorHAnsi" w:cs="Calibri"/>
          <w:sz w:val="24"/>
          <w:szCs w:val="24"/>
          <w:lang w:val="en-US" w:eastAsia="en-GB"/>
        </w:rPr>
        <w:t xml:space="preserve">However, “controlling” </w:t>
      </w:r>
      <w:r w:rsidR="00A25DB3">
        <w:rPr>
          <w:rFonts w:asciiTheme="minorHAnsi" w:eastAsia="Times New Roman" w:hAnsiTheme="minorHAnsi" w:cs="Calibri"/>
          <w:sz w:val="24"/>
          <w:szCs w:val="24"/>
          <w:lang w:val="en-US" w:eastAsia="en-GB"/>
        </w:rPr>
        <w:t xml:space="preserve">or limiting </w:t>
      </w:r>
      <w:r w:rsidR="00EF5DEF">
        <w:rPr>
          <w:rFonts w:asciiTheme="minorHAnsi" w:eastAsia="Times New Roman" w:hAnsiTheme="minorHAnsi" w:cs="Calibri"/>
          <w:sz w:val="24"/>
          <w:szCs w:val="24"/>
          <w:lang w:val="en-US" w:eastAsia="en-GB"/>
        </w:rPr>
        <w:t>secession and making it less unilateral</w:t>
      </w:r>
      <w:r w:rsidR="00FE75FB">
        <w:rPr>
          <w:rFonts w:asciiTheme="minorHAnsi" w:eastAsia="Times New Roman" w:hAnsiTheme="minorHAnsi" w:cs="Calibri"/>
          <w:sz w:val="24"/>
          <w:szCs w:val="24"/>
          <w:lang w:val="en-US" w:eastAsia="en-GB"/>
        </w:rPr>
        <w:t xml:space="preserve"> will </w:t>
      </w:r>
      <w:r w:rsidR="005B7392">
        <w:rPr>
          <w:rFonts w:asciiTheme="minorHAnsi" w:eastAsia="Times New Roman" w:hAnsiTheme="minorHAnsi" w:cs="Calibri"/>
          <w:sz w:val="24"/>
          <w:szCs w:val="24"/>
          <w:lang w:val="en-US" w:eastAsia="en-GB"/>
        </w:rPr>
        <w:t xml:space="preserve">probably </w:t>
      </w:r>
      <w:r w:rsidR="001960C3">
        <w:rPr>
          <w:rFonts w:asciiTheme="minorHAnsi" w:eastAsia="Times New Roman" w:hAnsiTheme="minorHAnsi" w:cs="Calibri"/>
          <w:sz w:val="24"/>
          <w:szCs w:val="24"/>
          <w:lang w:val="en-US" w:eastAsia="en-GB"/>
        </w:rPr>
        <w:t xml:space="preserve">generate </w:t>
      </w:r>
      <w:r w:rsidR="00EF5DEF" w:rsidRPr="00381DAC">
        <w:rPr>
          <w:rFonts w:asciiTheme="minorHAnsi" w:eastAsia="Times New Roman" w:hAnsiTheme="minorHAnsi" w:cs="Calibri"/>
          <w:sz w:val="24"/>
          <w:szCs w:val="24"/>
          <w:lang w:val="en-US" w:eastAsia="en-GB"/>
        </w:rPr>
        <w:t>further politi</w:t>
      </w:r>
      <w:r w:rsidR="00EF5DEF">
        <w:rPr>
          <w:rFonts w:asciiTheme="minorHAnsi" w:eastAsia="Times New Roman" w:hAnsiTheme="minorHAnsi" w:cs="Calibri"/>
          <w:sz w:val="24"/>
          <w:szCs w:val="24"/>
          <w:lang w:val="en-US" w:eastAsia="en-GB"/>
        </w:rPr>
        <w:t xml:space="preserve">cal complications </w:t>
      </w:r>
      <w:r w:rsidR="00EF5DEF" w:rsidRPr="00381DAC">
        <w:rPr>
          <w:rFonts w:asciiTheme="minorHAnsi" w:eastAsia="Times New Roman" w:hAnsiTheme="minorHAnsi" w:cs="Calibri"/>
          <w:sz w:val="24"/>
          <w:szCs w:val="24"/>
          <w:lang w:val="en-US" w:eastAsia="en-GB"/>
        </w:rPr>
        <w:t xml:space="preserve">due to the fact that </w:t>
      </w:r>
      <w:r w:rsidR="00EF5DEF">
        <w:rPr>
          <w:rFonts w:asciiTheme="minorHAnsi" w:eastAsia="Times New Roman" w:hAnsiTheme="minorHAnsi" w:cs="Calibri"/>
          <w:sz w:val="24"/>
          <w:szCs w:val="24"/>
          <w:lang w:val="en-US" w:eastAsia="en-GB"/>
        </w:rPr>
        <w:t xml:space="preserve">this step </w:t>
      </w:r>
      <w:r w:rsidR="001960C3">
        <w:rPr>
          <w:rFonts w:asciiTheme="minorHAnsi" w:eastAsia="Times New Roman" w:hAnsiTheme="minorHAnsi" w:cs="Calibri"/>
          <w:sz w:val="24"/>
          <w:szCs w:val="24"/>
          <w:lang w:val="en-US" w:eastAsia="en-GB"/>
        </w:rPr>
        <w:t xml:space="preserve">(i.e., answering the questions </w:t>
      </w:r>
      <w:r w:rsidR="00BF13DA">
        <w:rPr>
          <w:rFonts w:asciiTheme="minorHAnsi" w:eastAsia="Times New Roman" w:hAnsiTheme="minorHAnsi" w:cs="Calibri"/>
          <w:sz w:val="24"/>
          <w:szCs w:val="24"/>
          <w:lang w:val="en-US" w:eastAsia="en-GB"/>
        </w:rPr>
        <w:t>that were outlined</w:t>
      </w:r>
      <w:r w:rsidR="00EF5DEF">
        <w:rPr>
          <w:rFonts w:asciiTheme="minorHAnsi" w:eastAsia="Times New Roman" w:hAnsiTheme="minorHAnsi" w:cs="Calibri"/>
          <w:sz w:val="24"/>
          <w:szCs w:val="24"/>
          <w:lang w:val="en-US" w:eastAsia="en-GB"/>
        </w:rPr>
        <w:t xml:space="preserve"> in the preceding sections</w:t>
      </w:r>
      <w:r w:rsidR="001960C3">
        <w:rPr>
          <w:rFonts w:asciiTheme="minorHAnsi" w:eastAsia="Times New Roman" w:hAnsiTheme="minorHAnsi" w:cs="Calibri"/>
          <w:sz w:val="24"/>
          <w:szCs w:val="24"/>
          <w:lang w:val="en-US" w:eastAsia="en-GB"/>
        </w:rPr>
        <w:t>)</w:t>
      </w:r>
      <w:r w:rsidR="00EF5DEF">
        <w:rPr>
          <w:rFonts w:asciiTheme="minorHAnsi" w:eastAsia="Times New Roman" w:hAnsiTheme="minorHAnsi" w:cs="Calibri"/>
          <w:sz w:val="24"/>
          <w:szCs w:val="24"/>
          <w:lang w:val="en-US" w:eastAsia="en-GB"/>
        </w:rPr>
        <w:t xml:space="preserve"> </w:t>
      </w:r>
      <w:r w:rsidR="001960C3">
        <w:rPr>
          <w:rFonts w:asciiTheme="minorHAnsi" w:eastAsia="Times New Roman" w:hAnsiTheme="minorHAnsi" w:cs="Calibri"/>
          <w:sz w:val="24"/>
          <w:szCs w:val="24"/>
          <w:lang w:val="en-US" w:eastAsia="en-GB"/>
        </w:rPr>
        <w:t>is</w:t>
      </w:r>
      <w:r w:rsidR="00EF5DEF" w:rsidRPr="00381DAC">
        <w:rPr>
          <w:rFonts w:asciiTheme="minorHAnsi" w:eastAsia="Times New Roman" w:hAnsiTheme="minorHAnsi" w:cs="Calibri"/>
          <w:sz w:val="24"/>
          <w:szCs w:val="24"/>
          <w:lang w:val="en-US" w:eastAsia="en-GB"/>
        </w:rPr>
        <w:t xml:space="preserve"> </w:t>
      </w:r>
      <w:r w:rsidR="00EF5DEF">
        <w:rPr>
          <w:rFonts w:asciiTheme="minorHAnsi" w:eastAsia="Times New Roman" w:hAnsiTheme="minorHAnsi" w:cs="Calibri"/>
          <w:sz w:val="24"/>
          <w:szCs w:val="24"/>
          <w:lang w:val="en-US" w:eastAsia="en-GB"/>
        </w:rPr>
        <w:t>likel</w:t>
      </w:r>
      <w:r w:rsidR="007016AD">
        <w:rPr>
          <w:rFonts w:asciiTheme="minorHAnsi" w:eastAsia="Times New Roman" w:hAnsiTheme="minorHAnsi" w:cs="Calibri"/>
          <w:sz w:val="24"/>
          <w:szCs w:val="24"/>
          <w:lang w:val="en-US" w:eastAsia="en-GB"/>
        </w:rPr>
        <w:t xml:space="preserve">y to divide those that support </w:t>
      </w:r>
      <w:r w:rsidR="001960C3">
        <w:rPr>
          <w:rFonts w:asciiTheme="minorHAnsi" w:eastAsia="Times New Roman" w:hAnsiTheme="minorHAnsi" w:cs="Calibri"/>
          <w:sz w:val="24"/>
          <w:szCs w:val="24"/>
          <w:lang w:val="en-US" w:eastAsia="en-GB"/>
        </w:rPr>
        <w:t>S</w:t>
      </w:r>
      <w:r w:rsidR="00EF5DEF">
        <w:rPr>
          <w:rFonts w:asciiTheme="minorHAnsi" w:eastAsia="Times New Roman" w:hAnsiTheme="minorHAnsi" w:cs="Calibri"/>
          <w:sz w:val="24"/>
          <w:szCs w:val="24"/>
          <w:lang w:val="en-US" w:eastAsia="en-GB"/>
        </w:rPr>
        <w:t xml:space="preserve">tate sovereignty and those that defend a more perfect and </w:t>
      </w:r>
      <w:r w:rsidR="001960C3">
        <w:rPr>
          <w:rFonts w:asciiTheme="minorHAnsi" w:eastAsia="Times New Roman" w:hAnsiTheme="minorHAnsi" w:cs="Calibri"/>
          <w:sz w:val="24"/>
          <w:szCs w:val="24"/>
          <w:lang w:val="en-US" w:eastAsia="en-GB"/>
        </w:rPr>
        <w:t xml:space="preserve">an ever </w:t>
      </w:r>
      <w:r w:rsidR="00EF5DEF">
        <w:rPr>
          <w:rFonts w:asciiTheme="minorHAnsi" w:eastAsia="Times New Roman" w:hAnsiTheme="minorHAnsi" w:cs="Calibri"/>
          <w:sz w:val="24"/>
          <w:szCs w:val="24"/>
          <w:lang w:val="en-US" w:eastAsia="en-GB"/>
        </w:rPr>
        <w:t>closer union.</w:t>
      </w:r>
    </w:p>
    <w:p w:rsidR="00F84107" w:rsidRDefault="00F84107" w:rsidP="00E46FFC">
      <w:pPr>
        <w:spacing w:after="0" w:line="360" w:lineRule="auto"/>
        <w:jc w:val="both"/>
        <w:rPr>
          <w:rFonts w:asciiTheme="minorHAnsi" w:eastAsia="Times New Roman" w:hAnsiTheme="minorHAnsi" w:cs="Calibri"/>
          <w:sz w:val="24"/>
          <w:szCs w:val="24"/>
          <w:lang w:val="en-US" w:eastAsia="en-GB"/>
        </w:rPr>
      </w:pPr>
    </w:p>
    <w:p w:rsidR="00FE75FB" w:rsidRDefault="00FE75FB" w:rsidP="00E46FFC">
      <w:pPr>
        <w:spacing w:after="0" w:line="360" w:lineRule="auto"/>
        <w:jc w:val="both"/>
        <w:rPr>
          <w:rFonts w:asciiTheme="minorHAnsi" w:eastAsia="Times New Roman" w:hAnsiTheme="minorHAnsi" w:cs="Calibri"/>
          <w:sz w:val="24"/>
          <w:szCs w:val="24"/>
          <w:lang w:eastAsia="en-GB"/>
        </w:rPr>
      </w:pPr>
    </w:p>
    <w:p w:rsidR="00D9069D" w:rsidRDefault="00D9069D" w:rsidP="00E46FFC">
      <w:pPr>
        <w:spacing w:after="0" w:line="360" w:lineRule="auto"/>
        <w:jc w:val="both"/>
        <w:rPr>
          <w:rFonts w:asciiTheme="minorHAnsi" w:eastAsia="Times New Roman" w:hAnsiTheme="minorHAnsi" w:cs="Calibri"/>
          <w:sz w:val="24"/>
          <w:szCs w:val="24"/>
          <w:lang w:eastAsia="en-GB"/>
        </w:rPr>
      </w:pPr>
    </w:p>
    <w:p w:rsidR="00D9069D" w:rsidRDefault="00D9069D" w:rsidP="00E46FFC">
      <w:pPr>
        <w:spacing w:after="0" w:line="360" w:lineRule="auto"/>
        <w:jc w:val="both"/>
        <w:rPr>
          <w:rFonts w:asciiTheme="minorHAnsi" w:eastAsia="Times New Roman" w:hAnsiTheme="minorHAnsi" w:cs="Calibri"/>
          <w:sz w:val="24"/>
          <w:szCs w:val="24"/>
          <w:lang w:eastAsia="en-GB"/>
        </w:rPr>
      </w:pPr>
    </w:p>
    <w:p w:rsidR="00D9069D" w:rsidRDefault="00D9069D" w:rsidP="00E46FFC">
      <w:pPr>
        <w:spacing w:after="0" w:line="360" w:lineRule="auto"/>
        <w:jc w:val="both"/>
        <w:rPr>
          <w:rFonts w:asciiTheme="minorHAnsi" w:eastAsia="Times New Roman" w:hAnsiTheme="minorHAnsi" w:cs="Calibri"/>
          <w:sz w:val="24"/>
          <w:szCs w:val="24"/>
          <w:lang w:eastAsia="en-GB"/>
        </w:rPr>
      </w:pPr>
    </w:p>
    <w:p w:rsidR="00D9069D" w:rsidRDefault="00D9069D" w:rsidP="00E46FFC">
      <w:pPr>
        <w:spacing w:after="0" w:line="360" w:lineRule="auto"/>
        <w:jc w:val="both"/>
        <w:rPr>
          <w:rFonts w:asciiTheme="minorHAnsi" w:eastAsia="Times New Roman" w:hAnsiTheme="minorHAnsi" w:cs="Calibri"/>
          <w:sz w:val="24"/>
          <w:szCs w:val="24"/>
          <w:lang w:eastAsia="en-GB"/>
        </w:rPr>
      </w:pPr>
    </w:p>
    <w:p w:rsidR="00D9069D" w:rsidRDefault="00D9069D" w:rsidP="00E46FFC">
      <w:pPr>
        <w:spacing w:after="0" w:line="360" w:lineRule="auto"/>
        <w:jc w:val="both"/>
        <w:rPr>
          <w:rFonts w:asciiTheme="minorHAnsi" w:eastAsia="Times New Roman" w:hAnsiTheme="minorHAnsi" w:cs="Calibri"/>
          <w:sz w:val="24"/>
          <w:szCs w:val="24"/>
          <w:lang w:eastAsia="en-GB"/>
        </w:rPr>
      </w:pPr>
    </w:p>
    <w:p w:rsidR="00D9069D" w:rsidRDefault="00D9069D" w:rsidP="00E46FFC">
      <w:pPr>
        <w:spacing w:after="0" w:line="360" w:lineRule="auto"/>
        <w:jc w:val="both"/>
        <w:rPr>
          <w:rFonts w:asciiTheme="minorHAnsi" w:eastAsia="Times New Roman" w:hAnsiTheme="minorHAnsi" w:cs="Calibri"/>
          <w:sz w:val="24"/>
          <w:szCs w:val="24"/>
          <w:lang w:eastAsia="en-GB"/>
        </w:rPr>
      </w:pPr>
    </w:p>
    <w:p w:rsidR="00D9069D" w:rsidRDefault="00D9069D" w:rsidP="00E46FFC">
      <w:pPr>
        <w:spacing w:after="0" w:line="360" w:lineRule="auto"/>
        <w:jc w:val="both"/>
        <w:rPr>
          <w:rFonts w:asciiTheme="minorHAnsi" w:eastAsia="Times New Roman" w:hAnsiTheme="minorHAnsi" w:cs="Calibri"/>
          <w:sz w:val="24"/>
          <w:szCs w:val="24"/>
          <w:lang w:eastAsia="en-GB"/>
        </w:rPr>
      </w:pPr>
    </w:p>
    <w:p w:rsidR="00D9069D" w:rsidRDefault="00D9069D" w:rsidP="00E46FFC">
      <w:pPr>
        <w:spacing w:after="0" w:line="360" w:lineRule="auto"/>
        <w:jc w:val="both"/>
        <w:rPr>
          <w:rFonts w:asciiTheme="minorHAnsi" w:eastAsia="Times New Roman" w:hAnsiTheme="minorHAnsi" w:cs="Calibri"/>
          <w:sz w:val="24"/>
          <w:szCs w:val="24"/>
          <w:lang w:eastAsia="en-GB"/>
        </w:rPr>
      </w:pPr>
    </w:p>
    <w:p w:rsidR="00E46FFC" w:rsidRDefault="00E46FFC" w:rsidP="00E46FFC">
      <w:pPr>
        <w:spacing w:after="0" w:line="360" w:lineRule="auto"/>
        <w:jc w:val="both"/>
        <w:rPr>
          <w:rFonts w:asciiTheme="minorHAnsi" w:eastAsia="Times New Roman" w:hAnsiTheme="minorHAnsi" w:cs="Calibri"/>
          <w:sz w:val="24"/>
          <w:szCs w:val="24"/>
          <w:lang w:eastAsia="en-GB"/>
        </w:rPr>
      </w:pPr>
      <w:r w:rsidRPr="00BB62A6">
        <w:rPr>
          <w:rFonts w:asciiTheme="minorHAnsi" w:eastAsia="Times New Roman" w:hAnsiTheme="minorHAnsi" w:cs="Calibri"/>
          <w:sz w:val="24"/>
          <w:szCs w:val="24"/>
          <w:lang w:eastAsia="en-GB"/>
        </w:rPr>
        <w:lastRenderedPageBreak/>
        <w:t>BIBLIOGRAPHY</w:t>
      </w:r>
    </w:p>
    <w:p w:rsidR="00E8130C" w:rsidRDefault="00E8130C" w:rsidP="00E46FFC">
      <w:pPr>
        <w:spacing w:after="0" w:line="360" w:lineRule="auto"/>
        <w:jc w:val="both"/>
        <w:rPr>
          <w:rFonts w:asciiTheme="minorHAnsi" w:eastAsia="Times New Roman" w:hAnsiTheme="minorHAnsi" w:cs="Calibri"/>
          <w:sz w:val="24"/>
          <w:szCs w:val="24"/>
          <w:lang w:eastAsia="en-GB"/>
        </w:rPr>
      </w:pPr>
    </w:p>
    <w:p w:rsidR="00E8130C" w:rsidRPr="00BB62A6" w:rsidRDefault="00E8130C" w:rsidP="00E46FFC">
      <w:pPr>
        <w:spacing w:after="0" w:line="360" w:lineRule="auto"/>
        <w:jc w:val="both"/>
        <w:rPr>
          <w:rFonts w:asciiTheme="minorHAnsi" w:eastAsia="Times New Roman" w:hAnsiTheme="minorHAnsi" w:cs="Calibri"/>
          <w:sz w:val="24"/>
          <w:szCs w:val="24"/>
          <w:lang w:eastAsia="en-GB"/>
        </w:rPr>
      </w:pPr>
      <w:r>
        <w:rPr>
          <w:rFonts w:asciiTheme="minorHAnsi" w:eastAsia="Times New Roman" w:hAnsiTheme="minorHAnsi" w:cs="Calibri"/>
          <w:sz w:val="24"/>
          <w:szCs w:val="24"/>
          <w:lang w:eastAsia="en-GB"/>
        </w:rPr>
        <w:t>Barata, Mário</w:t>
      </w:r>
      <w:r w:rsidR="00AB4D7C">
        <w:rPr>
          <w:rFonts w:asciiTheme="minorHAnsi" w:eastAsia="Times New Roman" w:hAnsiTheme="minorHAnsi" w:cs="Calibri"/>
          <w:sz w:val="24"/>
          <w:szCs w:val="24"/>
          <w:lang w:eastAsia="en-GB"/>
        </w:rPr>
        <w:t xml:space="preserve"> S.</w:t>
      </w:r>
      <w:r>
        <w:rPr>
          <w:rFonts w:asciiTheme="minorHAnsi" w:eastAsia="Times New Roman" w:hAnsiTheme="minorHAnsi" w:cs="Calibri"/>
          <w:sz w:val="24"/>
          <w:szCs w:val="24"/>
          <w:lang w:eastAsia="en-GB"/>
        </w:rPr>
        <w:t xml:space="preserve">, «A Natureza Jurídica da União Europeia Após o Tratado de Lisboa», </w:t>
      </w:r>
      <w:r w:rsidRPr="00E8130C">
        <w:rPr>
          <w:rFonts w:asciiTheme="minorHAnsi" w:eastAsia="Times New Roman" w:hAnsiTheme="minorHAnsi" w:cs="Calibri"/>
          <w:i/>
          <w:sz w:val="24"/>
          <w:szCs w:val="24"/>
          <w:lang w:eastAsia="en-GB"/>
        </w:rPr>
        <w:t>Boletim da Faculdade de Direito de Coimbra</w:t>
      </w:r>
      <w:r>
        <w:rPr>
          <w:rFonts w:asciiTheme="minorHAnsi" w:eastAsia="Times New Roman" w:hAnsiTheme="minorHAnsi" w:cs="Calibri"/>
          <w:sz w:val="24"/>
          <w:szCs w:val="24"/>
          <w:lang w:eastAsia="en-GB"/>
        </w:rPr>
        <w:t xml:space="preserve"> 90 (2014): 263-313.</w:t>
      </w:r>
    </w:p>
    <w:p w:rsidR="00D7470D" w:rsidRDefault="00D7470D" w:rsidP="00D7470D">
      <w:pPr>
        <w:spacing w:after="0" w:line="360" w:lineRule="auto"/>
        <w:jc w:val="both"/>
        <w:rPr>
          <w:rFonts w:asciiTheme="minorHAnsi" w:eastAsia="Times New Roman" w:hAnsiTheme="minorHAnsi" w:cs="Calibri"/>
          <w:sz w:val="24"/>
          <w:szCs w:val="24"/>
          <w:lang w:eastAsia="en-GB"/>
        </w:rPr>
      </w:pPr>
    </w:p>
    <w:p w:rsidR="007016AD" w:rsidRDefault="007016AD" w:rsidP="00D7470D">
      <w:pPr>
        <w:spacing w:after="0" w:line="360" w:lineRule="auto"/>
        <w:jc w:val="both"/>
        <w:rPr>
          <w:rFonts w:asciiTheme="minorHAnsi" w:eastAsia="Times New Roman" w:hAnsiTheme="minorHAnsi" w:cs="Calibri"/>
          <w:sz w:val="24"/>
          <w:szCs w:val="24"/>
          <w:lang w:eastAsia="en-GB"/>
        </w:rPr>
      </w:pPr>
      <w:proofErr w:type="spellStart"/>
      <w:r>
        <w:rPr>
          <w:rFonts w:asciiTheme="minorHAnsi" w:eastAsia="Times New Roman" w:hAnsiTheme="minorHAnsi" w:cs="Calibri"/>
          <w:sz w:val="24"/>
          <w:szCs w:val="24"/>
          <w:lang w:eastAsia="en-GB"/>
        </w:rPr>
        <w:t>Dashwood</w:t>
      </w:r>
      <w:proofErr w:type="spellEnd"/>
      <w:r>
        <w:rPr>
          <w:rFonts w:asciiTheme="minorHAnsi" w:eastAsia="Times New Roman" w:hAnsiTheme="minorHAnsi" w:cs="Calibri"/>
          <w:sz w:val="24"/>
          <w:szCs w:val="24"/>
          <w:lang w:eastAsia="en-GB"/>
        </w:rPr>
        <w:t xml:space="preserve">, Alan, Michael </w:t>
      </w:r>
      <w:proofErr w:type="spellStart"/>
      <w:r>
        <w:rPr>
          <w:rFonts w:asciiTheme="minorHAnsi" w:eastAsia="Times New Roman" w:hAnsiTheme="minorHAnsi" w:cs="Calibri"/>
          <w:sz w:val="24"/>
          <w:szCs w:val="24"/>
          <w:lang w:eastAsia="en-GB"/>
        </w:rPr>
        <w:t>Dougan</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Barry</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Rodger</w:t>
      </w:r>
      <w:proofErr w:type="spellEnd"/>
      <w:r>
        <w:rPr>
          <w:rFonts w:asciiTheme="minorHAnsi" w:eastAsia="Times New Roman" w:hAnsiTheme="minorHAnsi" w:cs="Calibri"/>
          <w:sz w:val="24"/>
          <w:szCs w:val="24"/>
          <w:lang w:eastAsia="en-GB"/>
        </w:rPr>
        <w:t xml:space="preserve">, Eleanor </w:t>
      </w:r>
      <w:proofErr w:type="spellStart"/>
      <w:r>
        <w:rPr>
          <w:rFonts w:asciiTheme="minorHAnsi" w:eastAsia="Times New Roman" w:hAnsiTheme="minorHAnsi" w:cs="Calibri"/>
          <w:sz w:val="24"/>
          <w:szCs w:val="24"/>
          <w:lang w:eastAsia="en-GB"/>
        </w:rPr>
        <w:t>S</w:t>
      </w:r>
      <w:r w:rsidR="00E8130C">
        <w:rPr>
          <w:rFonts w:asciiTheme="minorHAnsi" w:eastAsia="Times New Roman" w:hAnsiTheme="minorHAnsi" w:cs="Calibri"/>
          <w:sz w:val="24"/>
          <w:szCs w:val="24"/>
          <w:lang w:eastAsia="en-GB"/>
        </w:rPr>
        <w:t>paventa</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and</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Derrick</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Wyatt</w:t>
      </w:r>
      <w:proofErr w:type="spellEnd"/>
      <w:r w:rsidR="00E8130C">
        <w:rPr>
          <w:rFonts w:asciiTheme="minorHAnsi" w:eastAsia="Times New Roman" w:hAnsiTheme="minorHAnsi" w:cs="Calibri"/>
          <w:sz w:val="24"/>
          <w:szCs w:val="24"/>
          <w:lang w:eastAsia="en-GB"/>
        </w:rPr>
        <w:t xml:space="preserve"> (2011), </w:t>
      </w:r>
      <w:proofErr w:type="spellStart"/>
      <w:r w:rsidR="00E8130C" w:rsidRPr="00E8130C">
        <w:rPr>
          <w:rFonts w:asciiTheme="minorHAnsi" w:eastAsia="Times New Roman" w:hAnsiTheme="minorHAnsi" w:cs="Calibri"/>
          <w:i/>
          <w:sz w:val="24"/>
          <w:szCs w:val="24"/>
          <w:lang w:eastAsia="en-GB"/>
        </w:rPr>
        <w:t>European</w:t>
      </w:r>
      <w:proofErr w:type="spellEnd"/>
      <w:r w:rsidR="00E8130C" w:rsidRPr="00E8130C">
        <w:rPr>
          <w:rFonts w:asciiTheme="minorHAnsi" w:eastAsia="Times New Roman" w:hAnsiTheme="minorHAnsi" w:cs="Calibri"/>
          <w:i/>
          <w:sz w:val="24"/>
          <w:szCs w:val="24"/>
          <w:lang w:eastAsia="en-GB"/>
        </w:rPr>
        <w:t xml:space="preserve"> </w:t>
      </w:r>
      <w:proofErr w:type="spellStart"/>
      <w:r w:rsidR="00E8130C" w:rsidRPr="00E8130C">
        <w:rPr>
          <w:rFonts w:asciiTheme="minorHAnsi" w:eastAsia="Times New Roman" w:hAnsiTheme="minorHAnsi" w:cs="Calibri"/>
          <w:i/>
          <w:sz w:val="24"/>
          <w:szCs w:val="24"/>
          <w:lang w:eastAsia="en-GB"/>
        </w:rPr>
        <w:t>Un</w:t>
      </w:r>
      <w:r w:rsidRPr="00E8130C">
        <w:rPr>
          <w:rFonts w:asciiTheme="minorHAnsi" w:eastAsia="Times New Roman" w:hAnsiTheme="minorHAnsi" w:cs="Calibri"/>
          <w:i/>
          <w:sz w:val="24"/>
          <w:szCs w:val="24"/>
          <w:lang w:eastAsia="en-GB"/>
        </w:rPr>
        <w:t>ion</w:t>
      </w:r>
      <w:proofErr w:type="spellEnd"/>
      <w:r w:rsidRPr="00E8130C">
        <w:rPr>
          <w:rFonts w:asciiTheme="minorHAnsi" w:eastAsia="Times New Roman" w:hAnsiTheme="minorHAnsi" w:cs="Calibri"/>
          <w:i/>
          <w:sz w:val="24"/>
          <w:szCs w:val="24"/>
          <w:lang w:eastAsia="en-GB"/>
        </w:rPr>
        <w:t xml:space="preserve"> </w:t>
      </w:r>
      <w:proofErr w:type="spellStart"/>
      <w:r w:rsidRPr="00E8130C">
        <w:rPr>
          <w:rFonts w:asciiTheme="minorHAnsi" w:eastAsia="Times New Roman" w:hAnsiTheme="minorHAnsi" w:cs="Calibri"/>
          <w:i/>
          <w:sz w:val="24"/>
          <w:szCs w:val="24"/>
          <w:lang w:eastAsia="en-GB"/>
        </w:rPr>
        <w:t>Law</w:t>
      </w:r>
      <w:proofErr w:type="spellEnd"/>
      <w:r w:rsidRPr="00E8130C">
        <w:rPr>
          <w:rFonts w:asciiTheme="minorHAnsi" w:eastAsia="Times New Roman" w:hAnsiTheme="minorHAnsi" w:cs="Calibri"/>
          <w:i/>
          <w:sz w:val="24"/>
          <w:szCs w:val="24"/>
          <w:lang w:eastAsia="en-GB"/>
        </w:rPr>
        <w:t xml:space="preserve">, 6th </w:t>
      </w:r>
      <w:proofErr w:type="spellStart"/>
      <w:r w:rsidRPr="00E8130C">
        <w:rPr>
          <w:rFonts w:asciiTheme="minorHAnsi" w:eastAsia="Times New Roman" w:hAnsiTheme="minorHAnsi" w:cs="Calibri"/>
          <w:i/>
          <w:sz w:val="24"/>
          <w:szCs w:val="24"/>
          <w:lang w:eastAsia="en-GB"/>
        </w:rPr>
        <w:t>ed</w:t>
      </w:r>
      <w:r w:rsidR="00E8130C" w:rsidRPr="00E8130C">
        <w:rPr>
          <w:rFonts w:asciiTheme="minorHAnsi" w:eastAsia="Times New Roman" w:hAnsiTheme="minorHAnsi" w:cs="Calibri"/>
          <w:i/>
          <w:sz w:val="24"/>
          <w:szCs w:val="24"/>
          <w:lang w:eastAsia="en-GB"/>
        </w:rPr>
        <w:t>ition</w:t>
      </w:r>
      <w:proofErr w:type="spellEnd"/>
      <w:r w:rsidR="00E8130C">
        <w:rPr>
          <w:rFonts w:asciiTheme="minorHAnsi" w:eastAsia="Times New Roman" w:hAnsiTheme="minorHAnsi" w:cs="Calibri"/>
          <w:sz w:val="24"/>
          <w:szCs w:val="24"/>
          <w:lang w:eastAsia="en-GB"/>
        </w:rPr>
        <w:t xml:space="preserve">, Oxford: </w:t>
      </w:r>
      <w:proofErr w:type="spellStart"/>
      <w:r w:rsidR="00E8130C">
        <w:rPr>
          <w:rFonts w:asciiTheme="minorHAnsi" w:eastAsia="Times New Roman" w:hAnsiTheme="minorHAnsi" w:cs="Calibri"/>
          <w:sz w:val="24"/>
          <w:szCs w:val="24"/>
          <w:lang w:eastAsia="en-GB"/>
        </w:rPr>
        <w:t>Hart</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Publishing</w:t>
      </w:r>
      <w:proofErr w:type="spellEnd"/>
      <w:r w:rsidR="00E8130C">
        <w:rPr>
          <w:rFonts w:asciiTheme="minorHAnsi" w:eastAsia="Times New Roman" w:hAnsiTheme="minorHAnsi" w:cs="Calibri"/>
          <w:sz w:val="24"/>
          <w:szCs w:val="24"/>
          <w:lang w:eastAsia="en-GB"/>
        </w:rPr>
        <w:t>.</w:t>
      </w:r>
    </w:p>
    <w:p w:rsidR="007016AD" w:rsidRPr="00BB62A6" w:rsidRDefault="007016AD" w:rsidP="00D7470D">
      <w:pPr>
        <w:spacing w:after="0" w:line="360" w:lineRule="auto"/>
        <w:jc w:val="both"/>
        <w:rPr>
          <w:rFonts w:asciiTheme="minorHAnsi" w:eastAsia="Times New Roman" w:hAnsiTheme="minorHAnsi" w:cs="Calibri"/>
          <w:sz w:val="24"/>
          <w:szCs w:val="24"/>
          <w:lang w:eastAsia="en-GB"/>
        </w:rPr>
      </w:pPr>
    </w:p>
    <w:p w:rsidR="000A2AA6" w:rsidRDefault="00A06A0F" w:rsidP="00D7470D">
      <w:pPr>
        <w:spacing w:after="0" w:line="360" w:lineRule="auto"/>
        <w:jc w:val="both"/>
        <w:rPr>
          <w:rFonts w:asciiTheme="minorHAnsi" w:eastAsia="Times New Roman" w:hAnsiTheme="minorHAnsi" w:cs="Calibri"/>
          <w:sz w:val="24"/>
          <w:szCs w:val="24"/>
          <w:lang w:eastAsia="en-GB"/>
        </w:rPr>
      </w:pPr>
      <w:proofErr w:type="spellStart"/>
      <w:r w:rsidRPr="00A06A0F">
        <w:rPr>
          <w:rFonts w:asciiTheme="minorHAnsi" w:eastAsia="Times New Roman" w:hAnsiTheme="minorHAnsi" w:cs="Calibri"/>
          <w:sz w:val="24"/>
          <w:szCs w:val="24"/>
          <w:lang w:eastAsia="en-GB"/>
        </w:rPr>
        <w:t>Dony</w:t>
      </w:r>
      <w:proofErr w:type="spellEnd"/>
      <w:r w:rsidRPr="00A06A0F">
        <w:rPr>
          <w:rFonts w:asciiTheme="minorHAnsi" w:eastAsia="Times New Roman" w:hAnsiTheme="minorHAnsi" w:cs="Calibri"/>
          <w:sz w:val="24"/>
          <w:szCs w:val="24"/>
          <w:lang w:eastAsia="en-GB"/>
        </w:rPr>
        <w:t xml:space="preserve">, </w:t>
      </w:r>
      <w:proofErr w:type="spellStart"/>
      <w:r w:rsidRPr="00A06A0F">
        <w:rPr>
          <w:rFonts w:asciiTheme="minorHAnsi" w:eastAsia="Times New Roman" w:hAnsiTheme="minorHAnsi" w:cs="Calibri"/>
          <w:sz w:val="24"/>
          <w:szCs w:val="24"/>
          <w:lang w:eastAsia="en-GB"/>
        </w:rPr>
        <w:t>Marianne</w:t>
      </w:r>
      <w:proofErr w:type="spellEnd"/>
      <w:r w:rsidR="003B3985">
        <w:rPr>
          <w:rFonts w:asciiTheme="minorHAnsi" w:eastAsia="Times New Roman" w:hAnsiTheme="minorHAnsi" w:cs="Calibri"/>
          <w:sz w:val="24"/>
          <w:szCs w:val="24"/>
          <w:lang w:eastAsia="en-GB"/>
        </w:rPr>
        <w:t xml:space="preserve"> (2010), </w:t>
      </w:r>
      <w:proofErr w:type="spellStart"/>
      <w:r w:rsidR="003B3985" w:rsidRPr="00E8130C">
        <w:rPr>
          <w:rFonts w:asciiTheme="minorHAnsi" w:eastAsia="Times New Roman" w:hAnsiTheme="minorHAnsi" w:cs="Calibri"/>
          <w:i/>
          <w:sz w:val="24"/>
          <w:szCs w:val="24"/>
          <w:lang w:eastAsia="en-GB"/>
        </w:rPr>
        <w:t>Droit</w:t>
      </w:r>
      <w:proofErr w:type="spellEnd"/>
      <w:r w:rsidR="003B3985" w:rsidRPr="00E8130C">
        <w:rPr>
          <w:rFonts w:asciiTheme="minorHAnsi" w:eastAsia="Times New Roman" w:hAnsiTheme="minorHAnsi" w:cs="Calibri"/>
          <w:i/>
          <w:sz w:val="24"/>
          <w:szCs w:val="24"/>
          <w:lang w:eastAsia="en-GB"/>
        </w:rPr>
        <w:t xml:space="preserve"> de </w:t>
      </w:r>
      <w:proofErr w:type="spellStart"/>
      <w:r w:rsidR="003B3985" w:rsidRPr="00E8130C">
        <w:rPr>
          <w:rFonts w:asciiTheme="minorHAnsi" w:eastAsia="Times New Roman" w:hAnsiTheme="minorHAnsi" w:cs="Calibri"/>
          <w:i/>
          <w:sz w:val="24"/>
          <w:szCs w:val="24"/>
          <w:lang w:eastAsia="en-GB"/>
        </w:rPr>
        <w:t>l’U</w:t>
      </w:r>
      <w:r w:rsidRPr="00E8130C">
        <w:rPr>
          <w:rFonts w:asciiTheme="minorHAnsi" w:eastAsia="Times New Roman" w:hAnsiTheme="minorHAnsi" w:cs="Calibri"/>
          <w:i/>
          <w:sz w:val="24"/>
          <w:szCs w:val="24"/>
          <w:lang w:eastAsia="en-GB"/>
        </w:rPr>
        <w:t>nion</w:t>
      </w:r>
      <w:proofErr w:type="spellEnd"/>
      <w:r w:rsidR="00E8130C">
        <w:rPr>
          <w:rFonts w:asciiTheme="minorHAnsi" w:eastAsia="Times New Roman" w:hAnsiTheme="minorHAnsi" w:cs="Calibri"/>
          <w:i/>
          <w:sz w:val="24"/>
          <w:szCs w:val="24"/>
          <w:lang w:eastAsia="en-GB"/>
        </w:rPr>
        <w:t xml:space="preserve"> </w:t>
      </w:r>
      <w:proofErr w:type="spellStart"/>
      <w:r w:rsidR="00E8130C">
        <w:rPr>
          <w:rFonts w:asciiTheme="minorHAnsi" w:eastAsia="Times New Roman" w:hAnsiTheme="minorHAnsi" w:cs="Calibri"/>
          <w:i/>
          <w:sz w:val="24"/>
          <w:szCs w:val="24"/>
          <w:lang w:eastAsia="en-GB"/>
        </w:rPr>
        <w:t>Eu</w:t>
      </w:r>
      <w:r w:rsidR="003B3985" w:rsidRPr="00E8130C">
        <w:rPr>
          <w:rFonts w:asciiTheme="minorHAnsi" w:eastAsia="Times New Roman" w:hAnsiTheme="minorHAnsi" w:cs="Calibri"/>
          <w:i/>
          <w:sz w:val="24"/>
          <w:szCs w:val="24"/>
          <w:lang w:eastAsia="en-GB"/>
        </w:rPr>
        <w:t>ropéene</w:t>
      </w:r>
      <w:proofErr w:type="spellEnd"/>
      <w:r w:rsidR="003B3985">
        <w:rPr>
          <w:rFonts w:asciiTheme="minorHAnsi" w:eastAsia="Times New Roman" w:hAnsiTheme="minorHAnsi" w:cs="Calibri"/>
          <w:sz w:val="24"/>
          <w:szCs w:val="24"/>
          <w:lang w:eastAsia="en-GB"/>
        </w:rPr>
        <w:t xml:space="preserve">, </w:t>
      </w:r>
      <w:proofErr w:type="spellStart"/>
      <w:r w:rsidR="003B3985">
        <w:rPr>
          <w:rFonts w:asciiTheme="minorHAnsi" w:eastAsia="Times New Roman" w:hAnsiTheme="minorHAnsi" w:cs="Calibri"/>
          <w:sz w:val="24"/>
          <w:szCs w:val="24"/>
          <w:lang w:eastAsia="en-GB"/>
        </w:rPr>
        <w:t>Bruxelles</w:t>
      </w:r>
      <w:proofErr w:type="spellEnd"/>
      <w:r w:rsidR="003B3985">
        <w:rPr>
          <w:rFonts w:asciiTheme="minorHAnsi" w:eastAsia="Times New Roman" w:hAnsiTheme="minorHAnsi" w:cs="Calibri"/>
          <w:sz w:val="24"/>
          <w:szCs w:val="24"/>
          <w:lang w:eastAsia="en-GB"/>
        </w:rPr>
        <w:t xml:space="preserve">: </w:t>
      </w:r>
      <w:proofErr w:type="spellStart"/>
      <w:r w:rsidR="003B3985">
        <w:rPr>
          <w:rFonts w:asciiTheme="minorHAnsi" w:eastAsia="Times New Roman" w:hAnsiTheme="minorHAnsi" w:cs="Calibri"/>
          <w:sz w:val="24"/>
          <w:szCs w:val="24"/>
          <w:lang w:eastAsia="en-GB"/>
        </w:rPr>
        <w:t>Edit</w:t>
      </w:r>
      <w:r w:rsidRPr="00A06A0F">
        <w:rPr>
          <w:rFonts w:asciiTheme="minorHAnsi" w:eastAsia="Times New Roman" w:hAnsiTheme="minorHAnsi" w:cs="Calibri"/>
          <w:sz w:val="24"/>
          <w:szCs w:val="24"/>
          <w:lang w:eastAsia="en-GB"/>
        </w:rPr>
        <w:t>ions</w:t>
      </w:r>
      <w:proofErr w:type="spellEnd"/>
      <w:r w:rsidRPr="00A06A0F">
        <w:rPr>
          <w:rFonts w:asciiTheme="minorHAnsi" w:eastAsia="Times New Roman" w:hAnsiTheme="minorHAnsi" w:cs="Calibri"/>
          <w:sz w:val="24"/>
          <w:szCs w:val="24"/>
          <w:lang w:eastAsia="en-GB"/>
        </w:rPr>
        <w:t xml:space="preserve"> de </w:t>
      </w:r>
      <w:proofErr w:type="spellStart"/>
      <w:r w:rsidRPr="00A06A0F">
        <w:rPr>
          <w:rFonts w:asciiTheme="minorHAnsi" w:eastAsia="Times New Roman" w:hAnsiTheme="minorHAnsi" w:cs="Calibri"/>
          <w:sz w:val="24"/>
          <w:szCs w:val="24"/>
          <w:lang w:eastAsia="en-GB"/>
        </w:rPr>
        <w:t>L’Université</w:t>
      </w:r>
      <w:proofErr w:type="spellEnd"/>
      <w:r w:rsidRPr="00A06A0F">
        <w:rPr>
          <w:rFonts w:asciiTheme="minorHAnsi" w:eastAsia="Times New Roman" w:hAnsiTheme="minorHAnsi" w:cs="Calibri"/>
          <w:sz w:val="24"/>
          <w:szCs w:val="24"/>
          <w:lang w:eastAsia="en-GB"/>
        </w:rPr>
        <w:t xml:space="preserve"> de </w:t>
      </w:r>
      <w:proofErr w:type="spellStart"/>
      <w:r w:rsidRPr="00A06A0F">
        <w:rPr>
          <w:rFonts w:asciiTheme="minorHAnsi" w:eastAsia="Times New Roman" w:hAnsiTheme="minorHAnsi" w:cs="Calibri"/>
          <w:sz w:val="24"/>
          <w:szCs w:val="24"/>
          <w:lang w:eastAsia="en-GB"/>
        </w:rPr>
        <w:t>Bruxelles</w:t>
      </w:r>
      <w:proofErr w:type="spellEnd"/>
      <w:r w:rsidRPr="00A06A0F">
        <w:rPr>
          <w:rFonts w:asciiTheme="minorHAnsi" w:eastAsia="Times New Roman" w:hAnsiTheme="minorHAnsi" w:cs="Calibri"/>
          <w:sz w:val="24"/>
          <w:szCs w:val="24"/>
          <w:lang w:eastAsia="en-GB"/>
        </w:rPr>
        <w:t>.</w:t>
      </w:r>
    </w:p>
    <w:p w:rsidR="00B91FF6" w:rsidRDefault="00B91FF6" w:rsidP="00D7470D">
      <w:pPr>
        <w:spacing w:after="0" w:line="360" w:lineRule="auto"/>
        <w:jc w:val="both"/>
        <w:rPr>
          <w:rFonts w:asciiTheme="minorHAnsi" w:eastAsia="Times New Roman" w:hAnsiTheme="minorHAnsi" w:cs="Calibri"/>
          <w:sz w:val="24"/>
          <w:szCs w:val="24"/>
          <w:lang w:eastAsia="en-GB"/>
        </w:rPr>
      </w:pPr>
    </w:p>
    <w:p w:rsidR="00B91FF6" w:rsidRDefault="00B91FF6" w:rsidP="00D7470D">
      <w:pPr>
        <w:spacing w:after="0" w:line="360" w:lineRule="auto"/>
        <w:jc w:val="both"/>
        <w:rPr>
          <w:rFonts w:asciiTheme="minorHAnsi" w:eastAsia="Times New Roman" w:hAnsiTheme="minorHAnsi" w:cs="Calibri"/>
          <w:sz w:val="24"/>
          <w:szCs w:val="24"/>
          <w:lang w:eastAsia="en-GB"/>
        </w:rPr>
      </w:pPr>
      <w:proofErr w:type="spellStart"/>
      <w:r>
        <w:rPr>
          <w:rFonts w:asciiTheme="minorHAnsi" w:eastAsia="Times New Roman" w:hAnsiTheme="minorHAnsi" w:cs="Calibri"/>
          <w:sz w:val="24"/>
          <w:szCs w:val="24"/>
          <w:lang w:eastAsia="en-GB"/>
        </w:rPr>
        <w:t>Dougan</w:t>
      </w:r>
      <w:proofErr w:type="spellEnd"/>
      <w:r>
        <w:rPr>
          <w:rFonts w:asciiTheme="minorHAnsi" w:eastAsia="Times New Roman" w:hAnsiTheme="minorHAnsi" w:cs="Calibri"/>
          <w:sz w:val="24"/>
          <w:szCs w:val="24"/>
          <w:lang w:eastAsia="en-GB"/>
        </w:rPr>
        <w:t xml:space="preserve">, Michael, </w:t>
      </w:r>
      <w:r w:rsidR="00E8130C">
        <w:rPr>
          <w:rFonts w:asciiTheme="minorHAnsi" w:eastAsia="Times New Roman" w:hAnsiTheme="minorHAnsi" w:cs="Calibri"/>
          <w:sz w:val="24"/>
          <w:szCs w:val="24"/>
          <w:lang w:eastAsia="en-GB"/>
        </w:rPr>
        <w:t>«</w:t>
      </w:r>
      <w:proofErr w:type="spellStart"/>
      <w:r>
        <w:rPr>
          <w:rFonts w:asciiTheme="minorHAnsi" w:eastAsia="Times New Roman" w:hAnsiTheme="minorHAnsi" w:cs="Calibri"/>
          <w:sz w:val="24"/>
          <w:szCs w:val="24"/>
          <w:lang w:eastAsia="en-GB"/>
        </w:rPr>
        <w:t>The</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Treaty</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of</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Lisbon</w:t>
      </w:r>
      <w:proofErr w:type="spellEnd"/>
      <w:r>
        <w:rPr>
          <w:rFonts w:asciiTheme="minorHAnsi" w:eastAsia="Times New Roman" w:hAnsiTheme="minorHAnsi" w:cs="Calibri"/>
          <w:sz w:val="24"/>
          <w:szCs w:val="24"/>
          <w:lang w:eastAsia="en-GB"/>
        </w:rPr>
        <w:t xml:space="preserve"> 2007: </w:t>
      </w:r>
      <w:proofErr w:type="spellStart"/>
      <w:r>
        <w:rPr>
          <w:rFonts w:asciiTheme="minorHAnsi" w:eastAsia="Times New Roman" w:hAnsiTheme="minorHAnsi" w:cs="Calibri"/>
          <w:sz w:val="24"/>
          <w:szCs w:val="24"/>
          <w:lang w:eastAsia="en-GB"/>
        </w:rPr>
        <w:t>Winning</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Minds</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not</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Hearts</w:t>
      </w:r>
      <w:proofErr w:type="spellEnd"/>
      <w:r w:rsidR="00E8130C">
        <w:rPr>
          <w:rFonts w:asciiTheme="minorHAnsi" w:eastAsia="Times New Roman" w:hAnsiTheme="minorHAnsi" w:cs="Calibri"/>
          <w:sz w:val="24"/>
          <w:szCs w:val="24"/>
          <w:lang w:eastAsia="en-GB"/>
        </w:rPr>
        <w:t>»</w:t>
      </w:r>
      <w:r>
        <w:rPr>
          <w:rFonts w:asciiTheme="minorHAnsi" w:eastAsia="Times New Roman" w:hAnsiTheme="minorHAnsi" w:cs="Calibri"/>
          <w:sz w:val="24"/>
          <w:szCs w:val="24"/>
          <w:lang w:eastAsia="en-GB"/>
        </w:rPr>
        <w:t xml:space="preserve">, </w:t>
      </w:r>
      <w:proofErr w:type="spellStart"/>
      <w:r w:rsidRPr="00E8130C">
        <w:rPr>
          <w:rFonts w:asciiTheme="minorHAnsi" w:eastAsia="Times New Roman" w:hAnsiTheme="minorHAnsi" w:cs="Calibri"/>
          <w:i/>
          <w:sz w:val="24"/>
          <w:szCs w:val="24"/>
          <w:lang w:eastAsia="en-GB"/>
        </w:rPr>
        <w:t>Common</w:t>
      </w:r>
      <w:proofErr w:type="spellEnd"/>
      <w:r w:rsidRPr="00E8130C">
        <w:rPr>
          <w:rFonts w:asciiTheme="minorHAnsi" w:eastAsia="Times New Roman" w:hAnsiTheme="minorHAnsi" w:cs="Calibri"/>
          <w:i/>
          <w:sz w:val="24"/>
          <w:szCs w:val="24"/>
          <w:lang w:eastAsia="en-GB"/>
        </w:rPr>
        <w:t xml:space="preserve"> </w:t>
      </w:r>
      <w:proofErr w:type="spellStart"/>
      <w:r w:rsidRPr="00E8130C">
        <w:rPr>
          <w:rFonts w:asciiTheme="minorHAnsi" w:eastAsia="Times New Roman" w:hAnsiTheme="minorHAnsi" w:cs="Calibri"/>
          <w:i/>
          <w:sz w:val="24"/>
          <w:szCs w:val="24"/>
          <w:lang w:eastAsia="en-GB"/>
        </w:rPr>
        <w:t>Market</w:t>
      </w:r>
      <w:proofErr w:type="spellEnd"/>
      <w:r w:rsidRPr="00E8130C">
        <w:rPr>
          <w:rFonts w:asciiTheme="minorHAnsi" w:eastAsia="Times New Roman" w:hAnsiTheme="minorHAnsi" w:cs="Calibri"/>
          <w:i/>
          <w:sz w:val="24"/>
          <w:szCs w:val="24"/>
          <w:lang w:eastAsia="en-GB"/>
        </w:rPr>
        <w:t xml:space="preserve"> </w:t>
      </w:r>
      <w:proofErr w:type="spellStart"/>
      <w:r w:rsidRPr="00E8130C">
        <w:rPr>
          <w:rFonts w:asciiTheme="minorHAnsi" w:eastAsia="Times New Roman" w:hAnsiTheme="minorHAnsi" w:cs="Calibri"/>
          <w:i/>
          <w:sz w:val="24"/>
          <w:szCs w:val="24"/>
          <w:lang w:eastAsia="en-GB"/>
        </w:rPr>
        <w:t>Law</w:t>
      </w:r>
      <w:proofErr w:type="spellEnd"/>
      <w:r w:rsidRPr="00E8130C">
        <w:rPr>
          <w:rFonts w:asciiTheme="minorHAnsi" w:eastAsia="Times New Roman" w:hAnsiTheme="minorHAnsi" w:cs="Calibri"/>
          <w:i/>
          <w:sz w:val="24"/>
          <w:szCs w:val="24"/>
          <w:lang w:eastAsia="en-GB"/>
        </w:rPr>
        <w:t xml:space="preserve"> </w:t>
      </w:r>
      <w:proofErr w:type="spellStart"/>
      <w:r w:rsidRPr="00E8130C">
        <w:rPr>
          <w:rFonts w:asciiTheme="minorHAnsi" w:eastAsia="Times New Roman" w:hAnsiTheme="minorHAnsi" w:cs="Calibri"/>
          <w:i/>
          <w:sz w:val="24"/>
          <w:szCs w:val="24"/>
          <w:lang w:eastAsia="en-GB"/>
        </w:rPr>
        <w:t>Review</w:t>
      </w:r>
      <w:proofErr w:type="spellEnd"/>
      <w:r w:rsidRPr="00E8130C">
        <w:rPr>
          <w:rFonts w:asciiTheme="minorHAnsi" w:eastAsia="Times New Roman" w:hAnsiTheme="minorHAnsi" w:cs="Calibri"/>
          <w:i/>
          <w:sz w:val="24"/>
          <w:szCs w:val="24"/>
          <w:lang w:eastAsia="en-GB"/>
        </w:rPr>
        <w:t xml:space="preserve"> </w:t>
      </w:r>
      <w:r>
        <w:rPr>
          <w:rFonts w:asciiTheme="minorHAnsi" w:eastAsia="Times New Roman" w:hAnsiTheme="minorHAnsi" w:cs="Calibri"/>
          <w:sz w:val="24"/>
          <w:szCs w:val="24"/>
          <w:lang w:eastAsia="en-GB"/>
        </w:rPr>
        <w:t>45</w:t>
      </w:r>
      <w:r w:rsidR="00E8130C">
        <w:rPr>
          <w:rFonts w:asciiTheme="minorHAnsi" w:eastAsia="Times New Roman" w:hAnsiTheme="minorHAnsi" w:cs="Calibri"/>
          <w:sz w:val="24"/>
          <w:szCs w:val="24"/>
          <w:lang w:eastAsia="en-GB"/>
        </w:rPr>
        <w:t xml:space="preserve"> </w:t>
      </w:r>
      <w:r>
        <w:rPr>
          <w:rFonts w:asciiTheme="minorHAnsi" w:eastAsia="Times New Roman" w:hAnsiTheme="minorHAnsi" w:cs="Calibri"/>
          <w:sz w:val="24"/>
          <w:szCs w:val="24"/>
          <w:lang w:eastAsia="en-GB"/>
        </w:rPr>
        <w:t>(2008): 617-703.</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D7470D" w:rsidP="00D7470D">
      <w:pPr>
        <w:spacing w:after="0" w:line="360" w:lineRule="auto"/>
        <w:jc w:val="both"/>
        <w:rPr>
          <w:rFonts w:asciiTheme="minorHAnsi" w:eastAsia="Times New Roman" w:hAnsiTheme="minorHAnsi" w:cs="Calibri"/>
          <w:sz w:val="24"/>
          <w:szCs w:val="24"/>
          <w:lang w:eastAsia="en-GB"/>
        </w:rPr>
      </w:pPr>
      <w:r>
        <w:rPr>
          <w:rFonts w:asciiTheme="minorHAnsi" w:eastAsia="Times New Roman" w:hAnsiTheme="minorHAnsi" w:cs="Calibri"/>
          <w:sz w:val="24"/>
          <w:szCs w:val="24"/>
          <w:lang w:eastAsia="en-GB"/>
        </w:rPr>
        <w:t xml:space="preserve">Duarte, Maria </w:t>
      </w:r>
      <w:proofErr w:type="spellStart"/>
      <w:r w:rsidRPr="00D7470D">
        <w:rPr>
          <w:rFonts w:asciiTheme="minorHAnsi" w:eastAsia="Times New Roman" w:hAnsiTheme="minorHAnsi" w:cs="Calibri"/>
          <w:sz w:val="24"/>
          <w:szCs w:val="24"/>
          <w:lang w:eastAsia="en-GB"/>
        </w:rPr>
        <w:t>Luisa</w:t>
      </w:r>
      <w:proofErr w:type="spellEnd"/>
      <w:r w:rsidRPr="00D7470D">
        <w:rPr>
          <w:rFonts w:asciiTheme="minorHAnsi" w:eastAsia="Times New Roman" w:hAnsiTheme="minorHAnsi" w:cs="Calibri"/>
          <w:sz w:val="24"/>
          <w:szCs w:val="24"/>
          <w:lang w:eastAsia="en-GB"/>
        </w:rPr>
        <w:t xml:space="preserve"> (2005), </w:t>
      </w:r>
      <w:r w:rsidRPr="00E8130C">
        <w:rPr>
          <w:rFonts w:asciiTheme="minorHAnsi" w:eastAsia="Times New Roman" w:hAnsiTheme="minorHAnsi" w:cs="Calibri"/>
          <w:i/>
          <w:sz w:val="24"/>
          <w:szCs w:val="24"/>
          <w:lang w:eastAsia="en-GB"/>
        </w:rPr>
        <w:t>Estudos de Direito da União e das Comunidades Europeias II</w:t>
      </w:r>
      <w:r>
        <w:rPr>
          <w:rFonts w:asciiTheme="minorHAnsi" w:eastAsia="Times New Roman" w:hAnsiTheme="minorHAnsi" w:cs="Calibri"/>
          <w:sz w:val="24"/>
          <w:szCs w:val="24"/>
          <w:lang w:eastAsia="en-GB"/>
        </w:rPr>
        <w:t>, Coimbra: Coimbra Editora.</w:t>
      </w:r>
    </w:p>
    <w:p w:rsidR="00470174" w:rsidRDefault="00470174" w:rsidP="00D7470D">
      <w:pPr>
        <w:spacing w:after="0" w:line="360" w:lineRule="auto"/>
        <w:jc w:val="both"/>
        <w:rPr>
          <w:rFonts w:asciiTheme="minorHAnsi" w:eastAsia="Times New Roman" w:hAnsiTheme="minorHAnsi" w:cs="Calibri"/>
          <w:sz w:val="24"/>
          <w:szCs w:val="24"/>
          <w:lang w:eastAsia="en-GB"/>
        </w:rPr>
      </w:pPr>
    </w:p>
    <w:p w:rsidR="00470174" w:rsidRDefault="00470174" w:rsidP="00D7470D">
      <w:pPr>
        <w:spacing w:after="0" w:line="360" w:lineRule="auto"/>
        <w:jc w:val="both"/>
        <w:rPr>
          <w:rFonts w:asciiTheme="minorHAnsi" w:eastAsia="Times New Roman" w:hAnsiTheme="minorHAnsi" w:cs="Calibri"/>
          <w:sz w:val="24"/>
          <w:szCs w:val="24"/>
          <w:lang w:eastAsia="en-GB"/>
        </w:rPr>
      </w:pPr>
      <w:proofErr w:type="spellStart"/>
      <w:r>
        <w:rPr>
          <w:rFonts w:asciiTheme="minorHAnsi" w:eastAsia="Times New Roman" w:hAnsiTheme="minorHAnsi" w:cs="Calibri"/>
          <w:sz w:val="24"/>
          <w:szCs w:val="24"/>
          <w:lang w:eastAsia="en-GB"/>
        </w:rPr>
        <w:t>Elazar</w:t>
      </w:r>
      <w:proofErr w:type="spellEnd"/>
      <w:r>
        <w:rPr>
          <w:rFonts w:asciiTheme="minorHAnsi" w:eastAsia="Times New Roman" w:hAnsiTheme="minorHAnsi" w:cs="Calibri"/>
          <w:sz w:val="24"/>
          <w:szCs w:val="24"/>
          <w:lang w:eastAsia="en-GB"/>
        </w:rPr>
        <w:t xml:space="preserve">, Daniel J. (1998), </w:t>
      </w:r>
      <w:proofErr w:type="spellStart"/>
      <w:r>
        <w:rPr>
          <w:rFonts w:asciiTheme="minorHAnsi" w:eastAsia="Times New Roman" w:hAnsiTheme="minorHAnsi" w:cs="Calibri"/>
          <w:sz w:val="24"/>
          <w:szCs w:val="24"/>
          <w:lang w:eastAsia="en-GB"/>
        </w:rPr>
        <w:t>Constitutionalizing</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Globalization</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The</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Post</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modern</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Revival</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of</w:t>
      </w:r>
      <w:proofErr w:type="spellEnd"/>
      <w:r>
        <w:rPr>
          <w:rFonts w:asciiTheme="minorHAnsi" w:eastAsia="Times New Roman" w:hAnsiTheme="minorHAnsi" w:cs="Calibri"/>
          <w:sz w:val="24"/>
          <w:szCs w:val="24"/>
          <w:lang w:eastAsia="en-GB"/>
        </w:rPr>
        <w:t xml:space="preserve"> Confederal </w:t>
      </w:r>
      <w:proofErr w:type="spellStart"/>
      <w:r>
        <w:rPr>
          <w:rFonts w:asciiTheme="minorHAnsi" w:eastAsia="Times New Roman" w:hAnsiTheme="minorHAnsi" w:cs="Calibri"/>
          <w:sz w:val="24"/>
          <w:szCs w:val="24"/>
          <w:lang w:eastAsia="en-GB"/>
        </w:rPr>
        <w:t>Arrangements</w:t>
      </w:r>
      <w:proofErr w:type="spellEnd"/>
      <w:r>
        <w:rPr>
          <w:rFonts w:asciiTheme="minorHAnsi" w:eastAsia="Times New Roman" w:hAnsiTheme="minorHAnsi" w:cs="Calibri"/>
          <w:sz w:val="24"/>
          <w:szCs w:val="24"/>
          <w:lang w:eastAsia="en-GB"/>
        </w:rPr>
        <w:t xml:space="preserve">, Lanham: </w:t>
      </w:r>
      <w:proofErr w:type="spellStart"/>
      <w:r>
        <w:rPr>
          <w:rFonts w:asciiTheme="minorHAnsi" w:eastAsia="Times New Roman" w:hAnsiTheme="minorHAnsi" w:cs="Calibri"/>
          <w:sz w:val="24"/>
          <w:szCs w:val="24"/>
          <w:lang w:eastAsia="en-GB"/>
        </w:rPr>
        <w:t>Rowan</w:t>
      </w:r>
      <w:proofErr w:type="spellEnd"/>
      <w:r>
        <w:rPr>
          <w:rFonts w:asciiTheme="minorHAnsi" w:eastAsia="Times New Roman" w:hAnsiTheme="minorHAnsi" w:cs="Calibri"/>
          <w:sz w:val="24"/>
          <w:szCs w:val="24"/>
          <w:lang w:eastAsia="en-GB"/>
        </w:rPr>
        <w:t xml:space="preserve"> &amp; </w:t>
      </w:r>
      <w:proofErr w:type="spellStart"/>
      <w:proofErr w:type="gramStart"/>
      <w:r>
        <w:rPr>
          <w:rFonts w:asciiTheme="minorHAnsi" w:eastAsia="Times New Roman" w:hAnsiTheme="minorHAnsi" w:cs="Calibri"/>
          <w:sz w:val="24"/>
          <w:szCs w:val="24"/>
          <w:lang w:eastAsia="en-GB"/>
        </w:rPr>
        <w:t>Littlefield</w:t>
      </w:r>
      <w:proofErr w:type="spellEnd"/>
      <w:r>
        <w:rPr>
          <w:rFonts w:asciiTheme="minorHAnsi" w:eastAsia="Times New Roman" w:hAnsiTheme="minorHAnsi" w:cs="Calibri"/>
          <w:sz w:val="24"/>
          <w:szCs w:val="24"/>
          <w:lang w:eastAsia="en-GB"/>
        </w:rPr>
        <w:t xml:space="preserve">  Publishers</w:t>
      </w:r>
      <w:proofErr w:type="gram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Inc</w:t>
      </w:r>
      <w:proofErr w:type="spellEnd"/>
      <w:r>
        <w:rPr>
          <w:rFonts w:asciiTheme="minorHAnsi" w:eastAsia="Times New Roman" w:hAnsiTheme="minorHAnsi" w:cs="Calibri"/>
          <w:sz w:val="24"/>
          <w:szCs w:val="24"/>
          <w:lang w:eastAsia="en-GB"/>
        </w:rPr>
        <w:t>.</w:t>
      </w:r>
    </w:p>
    <w:p w:rsidR="00E8130C" w:rsidRDefault="00E8130C" w:rsidP="00D7470D">
      <w:pPr>
        <w:spacing w:after="0" w:line="360" w:lineRule="auto"/>
        <w:jc w:val="both"/>
        <w:rPr>
          <w:rFonts w:asciiTheme="minorHAnsi" w:eastAsia="Times New Roman" w:hAnsiTheme="minorHAnsi" w:cs="Calibri"/>
          <w:sz w:val="24"/>
          <w:szCs w:val="24"/>
          <w:lang w:eastAsia="en-GB"/>
        </w:rPr>
      </w:pPr>
    </w:p>
    <w:p w:rsidR="00E8130C" w:rsidRDefault="00052A13" w:rsidP="00D7470D">
      <w:pPr>
        <w:spacing w:after="0" w:line="360" w:lineRule="auto"/>
        <w:jc w:val="both"/>
        <w:rPr>
          <w:rFonts w:asciiTheme="minorHAnsi" w:eastAsia="Times New Roman" w:hAnsiTheme="minorHAnsi" w:cs="Calibri"/>
          <w:sz w:val="24"/>
          <w:szCs w:val="24"/>
          <w:lang w:eastAsia="en-GB"/>
        </w:rPr>
      </w:pPr>
      <w:proofErr w:type="spellStart"/>
      <w:r>
        <w:rPr>
          <w:rFonts w:asciiTheme="minorHAnsi" w:eastAsia="Times New Roman" w:hAnsiTheme="minorHAnsi" w:cs="Calibri"/>
          <w:sz w:val="24"/>
          <w:szCs w:val="24"/>
          <w:lang w:eastAsia="en-GB"/>
        </w:rPr>
        <w:t>Everling</w:t>
      </w:r>
      <w:proofErr w:type="spellEnd"/>
      <w:r>
        <w:rPr>
          <w:rFonts w:asciiTheme="minorHAnsi" w:eastAsia="Times New Roman" w:hAnsiTheme="minorHAnsi" w:cs="Calibri"/>
          <w:sz w:val="24"/>
          <w:szCs w:val="24"/>
          <w:lang w:eastAsia="en-GB"/>
        </w:rPr>
        <w:t xml:space="preserve">, </w:t>
      </w:r>
      <w:proofErr w:type="spellStart"/>
      <w:r>
        <w:rPr>
          <w:rFonts w:asciiTheme="minorHAnsi" w:eastAsia="Times New Roman" w:hAnsiTheme="minorHAnsi" w:cs="Calibri"/>
          <w:sz w:val="24"/>
          <w:szCs w:val="24"/>
          <w:lang w:eastAsia="en-GB"/>
        </w:rPr>
        <w:t>Ulrich</w:t>
      </w:r>
      <w:proofErr w:type="spellEnd"/>
      <w:r>
        <w:rPr>
          <w:rFonts w:asciiTheme="minorHAnsi" w:eastAsia="Times New Roman" w:hAnsiTheme="minorHAnsi" w:cs="Calibri"/>
          <w:sz w:val="24"/>
          <w:szCs w:val="24"/>
          <w:lang w:eastAsia="en-GB"/>
        </w:rPr>
        <w:t xml:space="preserve"> (2010),</w:t>
      </w:r>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The</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European</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Union</w:t>
      </w:r>
      <w:proofErr w:type="spellEnd"/>
      <w:r w:rsidR="00E8130C">
        <w:rPr>
          <w:rFonts w:asciiTheme="minorHAnsi" w:eastAsia="Times New Roman" w:hAnsiTheme="minorHAnsi" w:cs="Calibri"/>
          <w:sz w:val="24"/>
          <w:szCs w:val="24"/>
          <w:lang w:eastAsia="en-GB"/>
        </w:rPr>
        <w:t xml:space="preserve"> as a Federal </w:t>
      </w:r>
      <w:proofErr w:type="spellStart"/>
      <w:r w:rsidR="00E8130C">
        <w:rPr>
          <w:rFonts w:asciiTheme="minorHAnsi" w:eastAsia="Times New Roman" w:hAnsiTheme="minorHAnsi" w:cs="Calibri"/>
          <w:sz w:val="24"/>
          <w:szCs w:val="24"/>
          <w:lang w:eastAsia="en-GB"/>
        </w:rPr>
        <w:t>Association</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of</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States</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and</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Citizens</w:t>
      </w:r>
      <w:proofErr w:type="spellEnd"/>
      <w:r w:rsidR="00E8130C">
        <w:rPr>
          <w:rFonts w:asciiTheme="minorHAnsi" w:eastAsia="Times New Roman" w:hAnsiTheme="minorHAnsi" w:cs="Calibri"/>
          <w:sz w:val="24"/>
          <w:szCs w:val="24"/>
          <w:lang w:eastAsia="en-GB"/>
        </w:rPr>
        <w:t xml:space="preserve">» in </w:t>
      </w:r>
      <w:proofErr w:type="spellStart"/>
      <w:r w:rsidR="00E8130C" w:rsidRPr="00E8130C">
        <w:rPr>
          <w:rFonts w:asciiTheme="minorHAnsi" w:eastAsia="Times New Roman" w:hAnsiTheme="minorHAnsi" w:cs="Calibri"/>
          <w:i/>
          <w:sz w:val="24"/>
          <w:szCs w:val="24"/>
          <w:lang w:eastAsia="en-GB"/>
        </w:rPr>
        <w:t>Principles</w:t>
      </w:r>
      <w:proofErr w:type="spellEnd"/>
      <w:r w:rsidR="00E8130C" w:rsidRPr="00E8130C">
        <w:rPr>
          <w:rFonts w:asciiTheme="minorHAnsi" w:eastAsia="Times New Roman" w:hAnsiTheme="minorHAnsi" w:cs="Calibri"/>
          <w:i/>
          <w:sz w:val="24"/>
          <w:szCs w:val="24"/>
          <w:lang w:eastAsia="en-GB"/>
        </w:rPr>
        <w:t xml:space="preserve"> </w:t>
      </w:r>
      <w:proofErr w:type="spellStart"/>
      <w:r w:rsidR="00E8130C" w:rsidRPr="00E8130C">
        <w:rPr>
          <w:rFonts w:asciiTheme="minorHAnsi" w:eastAsia="Times New Roman" w:hAnsiTheme="minorHAnsi" w:cs="Calibri"/>
          <w:i/>
          <w:sz w:val="24"/>
          <w:szCs w:val="24"/>
          <w:lang w:eastAsia="en-GB"/>
        </w:rPr>
        <w:t>of</w:t>
      </w:r>
      <w:proofErr w:type="spellEnd"/>
      <w:r w:rsidR="00E8130C" w:rsidRPr="00E8130C">
        <w:rPr>
          <w:rFonts w:asciiTheme="minorHAnsi" w:eastAsia="Times New Roman" w:hAnsiTheme="minorHAnsi" w:cs="Calibri"/>
          <w:i/>
          <w:sz w:val="24"/>
          <w:szCs w:val="24"/>
          <w:lang w:eastAsia="en-GB"/>
        </w:rPr>
        <w:t xml:space="preserve"> </w:t>
      </w:r>
      <w:proofErr w:type="spellStart"/>
      <w:r w:rsidR="00E8130C" w:rsidRPr="00E8130C">
        <w:rPr>
          <w:rFonts w:asciiTheme="minorHAnsi" w:eastAsia="Times New Roman" w:hAnsiTheme="minorHAnsi" w:cs="Calibri"/>
          <w:i/>
          <w:sz w:val="24"/>
          <w:szCs w:val="24"/>
          <w:lang w:eastAsia="en-GB"/>
        </w:rPr>
        <w:t>European</w:t>
      </w:r>
      <w:proofErr w:type="spellEnd"/>
      <w:r w:rsidR="00E8130C" w:rsidRPr="00E8130C">
        <w:rPr>
          <w:rFonts w:asciiTheme="minorHAnsi" w:eastAsia="Times New Roman" w:hAnsiTheme="minorHAnsi" w:cs="Calibri"/>
          <w:i/>
          <w:sz w:val="24"/>
          <w:szCs w:val="24"/>
          <w:lang w:eastAsia="en-GB"/>
        </w:rPr>
        <w:t xml:space="preserve"> </w:t>
      </w:r>
      <w:proofErr w:type="spellStart"/>
      <w:r w:rsidR="00E8130C" w:rsidRPr="00E8130C">
        <w:rPr>
          <w:rFonts w:asciiTheme="minorHAnsi" w:eastAsia="Times New Roman" w:hAnsiTheme="minorHAnsi" w:cs="Calibri"/>
          <w:i/>
          <w:sz w:val="24"/>
          <w:szCs w:val="24"/>
          <w:lang w:eastAsia="en-GB"/>
        </w:rPr>
        <w:t>Constitutio</w:t>
      </w:r>
      <w:r w:rsidR="00E8130C">
        <w:rPr>
          <w:rFonts w:asciiTheme="minorHAnsi" w:eastAsia="Times New Roman" w:hAnsiTheme="minorHAnsi" w:cs="Calibri"/>
          <w:i/>
          <w:sz w:val="24"/>
          <w:szCs w:val="24"/>
          <w:lang w:eastAsia="en-GB"/>
        </w:rPr>
        <w:t>nal</w:t>
      </w:r>
      <w:proofErr w:type="spellEnd"/>
      <w:r w:rsidR="00E8130C">
        <w:rPr>
          <w:rFonts w:asciiTheme="minorHAnsi" w:eastAsia="Times New Roman" w:hAnsiTheme="minorHAnsi" w:cs="Calibri"/>
          <w:i/>
          <w:sz w:val="24"/>
          <w:szCs w:val="24"/>
          <w:lang w:eastAsia="en-GB"/>
        </w:rPr>
        <w:t xml:space="preserve"> </w:t>
      </w:r>
      <w:proofErr w:type="spellStart"/>
      <w:r w:rsidR="00E8130C">
        <w:rPr>
          <w:rFonts w:asciiTheme="minorHAnsi" w:eastAsia="Times New Roman" w:hAnsiTheme="minorHAnsi" w:cs="Calibri"/>
          <w:i/>
          <w:sz w:val="24"/>
          <w:szCs w:val="24"/>
          <w:lang w:eastAsia="en-GB"/>
        </w:rPr>
        <w:t>Law</w:t>
      </w:r>
      <w:proofErr w:type="spellEnd"/>
      <w:r w:rsidR="00E8130C">
        <w:rPr>
          <w:rFonts w:asciiTheme="minorHAnsi" w:eastAsia="Times New Roman" w:hAnsiTheme="minorHAnsi" w:cs="Calibri"/>
          <w:i/>
          <w:sz w:val="24"/>
          <w:szCs w:val="24"/>
          <w:lang w:eastAsia="en-GB"/>
        </w:rPr>
        <w:t xml:space="preserve">: </w:t>
      </w:r>
      <w:proofErr w:type="spellStart"/>
      <w:r w:rsidR="00E8130C">
        <w:rPr>
          <w:rFonts w:asciiTheme="minorHAnsi" w:eastAsia="Times New Roman" w:hAnsiTheme="minorHAnsi" w:cs="Calibri"/>
          <w:i/>
          <w:sz w:val="24"/>
          <w:szCs w:val="24"/>
          <w:lang w:eastAsia="en-GB"/>
        </w:rPr>
        <w:t>Revised</w:t>
      </w:r>
      <w:proofErr w:type="spellEnd"/>
      <w:r w:rsidR="00E8130C">
        <w:rPr>
          <w:rFonts w:asciiTheme="minorHAnsi" w:eastAsia="Times New Roman" w:hAnsiTheme="minorHAnsi" w:cs="Calibri"/>
          <w:i/>
          <w:sz w:val="24"/>
          <w:szCs w:val="24"/>
          <w:lang w:eastAsia="en-GB"/>
        </w:rPr>
        <w:t xml:space="preserve"> </w:t>
      </w:r>
      <w:proofErr w:type="spellStart"/>
      <w:r w:rsidR="00E8130C">
        <w:rPr>
          <w:rFonts w:asciiTheme="minorHAnsi" w:eastAsia="Times New Roman" w:hAnsiTheme="minorHAnsi" w:cs="Calibri"/>
          <w:i/>
          <w:sz w:val="24"/>
          <w:szCs w:val="24"/>
          <w:lang w:eastAsia="en-GB"/>
        </w:rPr>
        <w:t>Second</w:t>
      </w:r>
      <w:proofErr w:type="spellEnd"/>
      <w:r w:rsidR="00E8130C">
        <w:rPr>
          <w:rFonts w:asciiTheme="minorHAnsi" w:eastAsia="Times New Roman" w:hAnsiTheme="minorHAnsi" w:cs="Calibri"/>
          <w:i/>
          <w:sz w:val="24"/>
          <w:szCs w:val="24"/>
          <w:lang w:eastAsia="en-GB"/>
        </w:rPr>
        <w:t xml:space="preserve"> </w:t>
      </w:r>
      <w:proofErr w:type="spellStart"/>
      <w:r w:rsidR="00E8130C">
        <w:rPr>
          <w:rFonts w:asciiTheme="minorHAnsi" w:eastAsia="Times New Roman" w:hAnsiTheme="minorHAnsi" w:cs="Calibri"/>
          <w:i/>
          <w:sz w:val="24"/>
          <w:szCs w:val="24"/>
          <w:lang w:eastAsia="en-GB"/>
        </w:rPr>
        <w:t>Edition</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edited</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by</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Armin</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von</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Bogdandy</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and</w:t>
      </w:r>
      <w:proofErr w:type="spellEnd"/>
      <w:r w:rsidR="00E8130C">
        <w:rPr>
          <w:rFonts w:asciiTheme="minorHAnsi" w:eastAsia="Times New Roman" w:hAnsiTheme="minorHAnsi" w:cs="Calibri"/>
          <w:sz w:val="24"/>
          <w:szCs w:val="24"/>
          <w:lang w:eastAsia="en-GB"/>
        </w:rPr>
        <w:t xml:space="preserve"> </w:t>
      </w:r>
      <w:proofErr w:type="spellStart"/>
      <w:r w:rsidR="00E8130C">
        <w:rPr>
          <w:rFonts w:asciiTheme="minorHAnsi" w:eastAsia="Times New Roman" w:hAnsiTheme="minorHAnsi" w:cs="Calibri"/>
          <w:sz w:val="24"/>
          <w:szCs w:val="24"/>
          <w:lang w:eastAsia="en-GB"/>
        </w:rPr>
        <w:t>Jürge</w:t>
      </w:r>
      <w:r w:rsidR="00A4377C">
        <w:rPr>
          <w:rFonts w:asciiTheme="minorHAnsi" w:eastAsia="Times New Roman" w:hAnsiTheme="minorHAnsi" w:cs="Calibri"/>
          <w:sz w:val="24"/>
          <w:szCs w:val="24"/>
          <w:lang w:eastAsia="en-GB"/>
        </w:rPr>
        <w:t>n</w:t>
      </w:r>
      <w:proofErr w:type="spellEnd"/>
      <w:r w:rsidR="00A4377C">
        <w:rPr>
          <w:rFonts w:asciiTheme="minorHAnsi" w:eastAsia="Times New Roman" w:hAnsiTheme="minorHAnsi" w:cs="Calibri"/>
          <w:sz w:val="24"/>
          <w:szCs w:val="24"/>
          <w:lang w:eastAsia="en-GB"/>
        </w:rPr>
        <w:t xml:space="preserve"> </w:t>
      </w:r>
      <w:proofErr w:type="spellStart"/>
      <w:r w:rsidR="00A4377C">
        <w:rPr>
          <w:rFonts w:asciiTheme="minorHAnsi" w:eastAsia="Times New Roman" w:hAnsiTheme="minorHAnsi" w:cs="Calibri"/>
          <w:sz w:val="24"/>
          <w:szCs w:val="24"/>
          <w:lang w:eastAsia="en-GB"/>
        </w:rPr>
        <w:t>Bast</w:t>
      </w:r>
      <w:proofErr w:type="spellEnd"/>
      <w:r w:rsidR="00A4377C">
        <w:rPr>
          <w:rFonts w:asciiTheme="minorHAnsi" w:eastAsia="Times New Roman" w:hAnsiTheme="minorHAnsi" w:cs="Calibri"/>
          <w:sz w:val="24"/>
          <w:szCs w:val="24"/>
          <w:lang w:eastAsia="en-GB"/>
        </w:rPr>
        <w:t xml:space="preserve">, Oxford: </w:t>
      </w:r>
      <w:proofErr w:type="spellStart"/>
      <w:r w:rsidR="00A4377C">
        <w:rPr>
          <w:rFonts w:asciiTheme="minorHAnsi" w:eastAsia="Times New Roman" w:hAnsiTheme="minorHAnsi" w:cs="Calibri"/>
          <w:sz w:val="24"/>
          <w:szCs w:val="24"/>
          <w:lang w:eastAsia="en-GB"/>
        </w:rPr>
        <w:t>Hart</w:t>
      </w:r>
      <w:proofErr w:type="spellEnd"/>
      <w:r w:rsidR="00A4377C">
        <w:rPr>
          <w:rFonts w:asciiTheme="minorHAnsi" w:eastAsia="Times New Roman" w:hAnsiTheme="minorHAnsi" w:cs="Calibri"/>
          <w:sz w:val="24"/>
          <w:szCs w:val="24"/>
          <w:lang w:eastAsia="en-GB"/>
        </w:rPr>
        <w:t xml:space="preserve"> </w:t>
      </w:r>
      <w:proofErr w:type="spellStart"/>
      <w:r w:rsidR="00A4377C">
        <w:rPr>
          <w:rFonts w:asciiTheme="minorHAnsi" w:eastAsia="Times New Roman" w:hAnsiTheme="minorHAnsi" w:cs="Calibri"/>
          <w:sz w:val="24"/>
          <w:szCs w:val="24"/>
          <w:lang w:eastAsia="en-GB"/>
        </w:rPr>
        <w:t>Publishing</w:t>
      </w:r>
      <w:proofErr w:type="spellEnd"/>
      <w:r w:rsidR="00A4377C">
        <w:rPr>
          <w:rFonts w:asciiTheme="minorHAnsi" w:eastAsia="Times New Roman" w:hAnsiTheme="minorHAnsi" w:cs="Calibri"/>
          <w:sz w:val="24"/>
          <w:szCs w:val="24"/>
          <w:lang w:eastAsia="en-GB"/>
        </w:rPr>
        <w:t>, 701-734.</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5445C1" w:rsidP="00D7470D">
      <w:pPr>
        <w:spacing w:after="0" w:line="360" w:lineRule="auto"/>
        <w:jc w:val="both"/>
        <w:rPr>
          <w:rFonts w:asciiTheme="minorHAnsi" w:eastAsia="Times New Roman" w:hAnsiTheme="minorHAnsi" w:cs="Calibri"/>
          <w:sz w:val="24"/>
          <w:szCs w:val="24"/>
          <w:lang w:eastAsia="en-GB"/>
        </w:rPr>
      </w:pPr>
      <w:proofErr w:type="spellStart"/>
      <w:r w:rsidRPr="005445C1">
        <w:rPr>
          <w:rFonts w:asciiTheme="minorHAnsi" w:eastAsia="Times New Roman" w:hAnsiTheme="minorHAnsi" w:cs="Calibri"/>
          <w:sz w:val="24"/>
          <w:szCs w:val="24"/>
          <w:lang w:val="en-US" w:eastAsia="en-GB"/>
        </w:rPr>
        <w:t>Friel</w:t>
      </w:r>
      <w:proofErr w:type="spellEnd"/>
      <w:r w:rsidRPr="005445C1">
        <w:rPr>
          <w:rFonts w:asciiTheme="minorHAnsi" w:eastAsia="Times New Roman" w:hAnsiTheme="minorHAnsi" w:cs="Calibri"/>
          <w:sz w:val="24"/>
          <w:szCs w:val="24"/>
          <w:lang w:val="en-US" w:eastAsia="en-GB"/>
        </w:rPr>
        <w:t>, Raymond J., «Providing a Constitutional Framework for Withdrawal from the EU: Article 59 of the Draft European Constitution»</w:t>
      </w:r>
      <w:r w:rsidR="00E8130C">
        <w:rPr>
          <w:rFonts w:asciiTheme="minorHAnsi" w:eastAsia="Times New Roman" w:hAnsiTheme="minorHAnsi" w:cs="Calibri"/>
          <w:sz w:val="24"/>
          <w:szCs w:val="24"/>
          <w:lang w:val="en-US" w:eastAsia="en-GB"/>
        </w:rPr>
        <w:t>,</w:t>
      </w:r>
      <w:r w:rsidRPr="005445C1">
        <w:rPr>
          <w:rFonts w:asciiTheme="minorHAnsi" w:eastAsia="Times New Roman" w:hAnsiTheme="minorHAnsi" w:cs="Calibri"/>
          <w:sz w:val="24"/>
          <w:szCs w:val="24"/>
          <w:lang w:val="en-US" w:eastAsia="en-GB"/>
        </w:rPr>
        <w:t xml:space="preserve"> </w:t>
      </w:r>
      <w:r w:rsidRPr="00E8130C">
        <w:rPr>
          <w:rFonts w:asciiTheme="minorHAnsi" w:eastAsia="Times New Roman" w:hAnsiTheme="minorHAnsi" w:cs="Calibri"/>
          <w:i/>
          <w:sz w:val="24"/>
          <w:szCs w:val="24"/>
          <w:lang w:val="en-US" w:eastAsia="en-GB"/>
        </w:rPr>
        <w:t>Internati</w:t>
      </w:r>
      <w:r w:rsidR="0003728A" w:rsidRPr="00E8130C">
        <w:rPr>
          <w:rFonts w:asciiTheme="minorHAnsi" w:eastAsia="Times New Roman" w:hAnsiTheme="minorHAnsi" w:cs="Calibri"/>
          <w:i/>
          <w:sz w:val="24"/>
          <w:szCs w:val="24"/>
          <w:lang w:val="en-US" w:eastAsia="en-GB"/>
        </w:rPr>
        <w:t>o</w:t>
      </w:r>
      <w:r w:rsidRPr="00E8130C">
        <w:rPr>
          <w:rFonts w:asciiTheme="minorHAnsi" w:eastAsia="Times New Roman" w:hAnsiTheme="minorHAnsi" w:cs="Calibri"/>
          <w:i/>
          <w:sz w:val="24"/>
          <w:szCs w:val="24"/>
          <w:lang w:val="en-US" w:eastAsia="en-GB"/>
        </w:rPr>
        <w:t xml:space="preserve">nal and Comparative Law Quarterly </w:t>
      </w:r>
      <w:r w:rsidRPr="005445C1">
        <w:rPr>
          <w:rFonts w:asciiTheme="minorHAnsi" w:eastAsia="Times New Roman" w:hAnsiTheme="minorHAnsi" w:cs="Calibri"/>
          <w:sz w:val="24"/>
          <w:szCs w:val="24"/>
          <w:lang w:val="en-US" w:eastAsia="en-GB"/>
        </w:rPr>
        <w:t>53 (April: 2004): 407-428.</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5445C1" w:rsidP="00D7470D">
      <w:pPr>
        <w:spacing w:after="0" w:line="360" w:lineRule="auto"/>
        <w:jc w:val="both"/>
        <w:rPr>
          <w:rFonts w:asciiTheme="minorHAnsi" w:eastAsia="Times New Roman" w:hAnsiTheme="minorHAnsi" w:cs="Calibri"/>
          <w:sz w:val="24"/>
          <w:szCs w:val="24"/>
          <w:lang w:val="en-US" w:eastAsia="en-GB"/>
        </w:rPr>
      </w:pPr>
      <w:proofErr w:type="spellStart"/>
      <w:r>
        <w:rPr>
          <w:rFonts w:asciiTheme="minorHAnsi" w:eastAsia="Times New Roman" w:hAnsiTheme="minorHAnsi" w:cs="Calibri"/>
          <w:sz w:val="24"/>
          <w:szCs w:val="24"/>
          <w:lang w:val="en-US" w:eastAsia="en-GB"/>
        </w:rPr>
        <w:t>Friel</w:t>
      </w:r>
      <w:proofErr w:type="spellEnd"/>
      <w:r>
        <w:rPr>
          <w:rFonts w:asciiTheme="minorHAnsi" w:eastAsia="Times New Roman" w:hAnsiTheme="minorHAnsi" w:cs="Calibri"/>
          <w:sz w:val="24"/>
          <w:szCs w:val="24"/>
          <w:lang w:val="en-US" w:eastAsia="en-GB"/>
        </w:rPr>
        <w:t xml:space="preserve">, </w:t>
      </w:r>
      <w:proofErr w:type="spellStart"/>
      <w:r>
        <w:rPr>
          <w:rFonts w:asciiTheme="minorHAnsi" w:eastAsia="Times New Roman" w:hAnsiTheme="minorHAnsi" w:cs="Calibri"/>
          <w:sz w:val="24"/>
          <w:szCs w:val="24"/>
          <w:lang w:val="en-US" w:eastAsia="en-GB"/>
        </w:rPr>
        <w:t>Raymomd</w:t>
      </w:r>
      <w:proofErr w:type="spellEnd"/>
      <w:r>
        <w:rPr>
          <w:rFonts w:asciiTheme="minorHAnsi" w:eastAsia="Times New Roman" w:hAnsiTheme="minorHAnsi" w:cs="Calibri"/>
          <w:sz w:val="24"/>
          <w:szCs w:val="24"/>
          <w:lang w:val="en-US" w:eastAsia="en-GB"/>
        </w:rPr>
        <w:t xml:space="preserve"> J., «Secession from the European Union: Checking out</w:t>
      </w:r>
      <w:r w:rsidR="0003728A">
        <w:rPr>
          <w:rFonts w:asciiTheme="minorHAnsi" w:eastAsia="Times New Roman" w:hAnsiTheme="minorHAnsi" w:cs="Calibri"/>
          <w:sz w:val="24"/>
          <w:szCs w:val="24"/>
          <w:lang w:val="en-US" w:eastAsia="en-GB"/>
        </w:rPr>
        <w:t xml:space="preserve"> of the Proverbial “Cockroach Mo</w:t>
      </w:r>
      <w:r>
        <w:rPr>
          <w:rFonts w:asciiTheme="minorHAnsi" w:eastAsia="Times New Roman" w:hAnsiTheme="minorHAnsi" w:cs="Calibri"/>
          <w:sz w:val="24"/>
          <w:szCs w:val="24"/>
          <w:lang w:val="en-US" w:eastAsia="en-GB"/>
        </w:rPr>
        <w:t>tel”</w:t>
      </w:r>
      <w:r w:rsidR="00E8130C">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 xml:space="preserve"> </w:t>
      </w:r>
      <w:r w:rsidRPr="00E8130C">
        <w:rPr>
          <w:rFonts w:asciiTheme="minorHAnsi" w:eastAsia="Times New Roman" w:hAnsiTheme="minorHAnsi" w:cs="Calibri"/>
          <w:i/>
          <w:sz w:val="24"/>
          <w:szCs w:val="24"/>
          <w:lang w:val="en-US" w:eastAsia="en-GB"/>
        </w:rPr>
        <w:t>Fordham Inte</w:t>
      </w:r>
      <w:r w:rsidR="00E8130C" w:rsidRPr="00E8130C">
        <w:rPr>
          <w:rFonts w:asciiTheme="minorHAnsi" w:eastAsia="Times New Roman" w:hAnsiTheme="minorHAnsi" w:cs="Calibri"/>
          <w:i/>
          <w:sz w:val="24"/>
          <w:szCs w:val="24"/>
          <w:lang w:val="en-US" w:eastAsia="en-GB"/>
        </w:rPr>
        <w:t>rnational Law Journal</w:t>
      </w:r>
      <w:r w:rsidR="00E8130C">
        <w:rPr>
          <w:rFonts w:asciiTheme="minorHAnsi" w:eastAsia="Times New Roman" w:hAnsiTheme="minorHAnsi" w:cs="Calibri"/>
          <w:sz w:val="24"/>
          <w:szCs w:val="24"/>
          <w:lang w:val="en-US" w:eastAsia="en-GB"/>
        </w:rPr>
        <w:t xml:space="preserve"> 27 (Januar</w:t>
      </w:r>
      <w:r>
        <w:rPr>
          <w:rFonts w:asciiTheme="minorHAnsi" w:eastAsia="Times New Roman" w:hAnsiTheme="minorHAnsi" w:cs="Calibri"/>
          <w:sz w:val="24"/>
          <w:szCs w:val="24"/>
          <w:lang w:val="en-US" w:eastAsia="en-GB"/>
        </w:rPr>
        <w:t>y: 2004): 590 – 640.</w:t>
      </w:r>
    </w:p>
    <w:p w:rsidR="0003728A" w:rsidRDefault="0003728A" w:rsidP="00D7470D">
      <w:pPr>
        <w:spacing w:after="0" w:line="360" w:lineRule="auto"/>
        <w:jc w:val="both"/>
        <w:rPr>
          <w:rFonts w:asciiTheme="minorHAnsi" w:eastAsia="Times New Roman" w:hAnsiTheme="minorHAnsi" w:cs="Calibri"/>
          <w:sz w:val="24"/>
          <w:szCs w:val="24"/>
          <w:lang w:val="en-US" w:eastAsia="en-GB"/>
        </w:rPr>
      </w:pPr>
    </w:p>
    <w:p w:rsidR="0003728A" w:rsidRDefault="00E8130C" w:rsidP="00D7470D">
      <w:pPr>
        <w:spacing w:after="0" w:line="360" w:lineRule="auto"/>
        <w:jc w:val="both"/>
        <w:rPr>
          <w:rFonts w:asciiTheme="minorHAnsi" w:eastAsia="Times New Roman" w:hAnsiTheme="minorHAnsi" w:cs="Calibri"/>
          <w:sz w:val="24"/>
          <w:szCs w:val="24"/>
          <w:lang w:eastAsia="en-GB"/>
        </w:rPr>
      </w:pPr>
      <w:proofErr w:type="spellStart"/>
      <w:r>
        <w:rPr>
          <w:rFonts w:asciiTheme="minorHAnsi" w:eastAsia="Times New Roman" w:hAnsiTheme="minorHAnsi" w:cs="Calibri"/>
          <w:sz w:val="24"/>
          <w:szCs w:val="24"/>
          <w:lang w:val="en-US" w:eastAsia="en-GB"/>
        </w:rPr>
        <w:lastRenderedPageBreak/>
        <w:t>Harbo</w:t>
      </w:r>
      <w:proofErr w:type="spellEnd"/>
      <w:r>
        <w:rPr>
          <w:rFonts w:asciiTheme="minorHAnsi" w:eastAsia="Times New Roman" w:hAnsiTheme="minorHAnsi" w:cs="Calibri"/>
          <w:sz w:val="24"/>
          <w:szCs w:val="24"/>
          <w:lang w:val="en-US" w:eastAsia="en-GB"/>
        </w:rPr>
        <w:t xml:space="preserve">, </w:t>
      </w:r>
      <w:proofErr w:type="spellStart"/>
      <w:r>
        <w:rPr>
          <w:rFonts w:asciiTheme="minorHAnsi" w:eastAsia="Times New Roman" w:hAnsiTheme="minorHAnsi" w:cs="Calibri"/>
          <w:sz w:val="24"/>
          <w:szCs w:val="24"/>
          <w:lang w:val="en-US" w:eastAsia="en-GB"/>
        </w:rPr>
        <w:t>Florentina</w:t>
      </w:r>
      <w:proofErr w:type="spellEnd"/>
      <w:r>
        <w:rPr>
          <w:rFonts w:asciiTheme="minorHAnsi" w:eastAsia="Times New Roman" w:hAnsiTheme="minorHAnsi" w:cs="Calibri"/>
          <w:sz w:val="24"/>
          <w:szCs w:val="24"/>
          <w:lang w:val="en-US" w:eastAsia="en-GB"/>
        </w:rPr>
        <w:t>, «</w:t>
      </w:r>
      <w:r w:rsidR="0003728A">
        <w:rPr>
          <w:rFonts w:asciiTheme="minorHAnsi" w:eastAsia="Times New Roman" w:hAnsiTheme="minorHAnsi" w:cs="Calibri"/>
          <w:sz w:val="24"/>
          <w:szCs w:val="24"/>
          <w:lang w:val="en-US" w:eastAsia="en-GB"/>
        </w:rPr>
        <w:t>Secession Right – an Anti-Federal Principle? Comparative Study of Federal States</w:t>
      </w:r>
      <w:r>
        <w:rPr>
          <w:rFonts w:asciiTheme="minorHAnsi" w:eastAsia="Times New Roman" w:hAnsiTheme="minorHAnsi" w:cs="Calibri"/>
          <w:sz w:val="24"/>
          <w:szCs w:val="24"/>
          <w:lang w:val="en-US" w:eastAsia="en-GB"/>
        </w:rPr>
        <w:t xml:space="preserve"> and the EU</w:t>
      </w:r>
      <w:r w:rsidR="0003728A">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w:t>
      </w:r>
      <w:r w:rsidR="0003728A">
        <w:rPr>
          <w:rFonts w:asciiTheme="minorHAnsi" w:eastAsia="Times New Roman" w:hAnsiTheme="minorHAnsi" w:cs="Calibri"/>
          <w:sz w:val="24"/>
          <w:szCs w:val="24"/>
          <w:lang w:val="en-US" w:eastAsia="en-GB"/>
        </w:rPr>
        <w:t xml:space="preserve"> </w:t>
      </w:r>
      <w:r w:rsidR="0003728A" w:rsidRPr="0003728A">
        <w:rPr>
          <w:rFonts w:asciiTheme="minorHAnsi" w:eastAsia="Times New Roman" w:hAnsiTheme="minorHAnsi" w:cs="Calibri"/>
          <w:i/>
          <w:sz w:val="24"/>
          <w:szCs w:val="24"/>
          <w:lang w:val="en-US" w:eastAsia="en-GB"/>
        </w:rPr>
        <w:t>Journal of Politics and Law</w:t>
      </w:r>
      <w:r w:rsidR="0003728A">
        <w:rPr>
          <w:rFonts w:asciiTheme="minorHAnsi" w:eastAsia="Times New Roman" w:hAnsiTheme="minorHAnsi" w:cs="Calibri"/>
          <w:sz w:val="24"/>
          <w:szCs w:val="24"/>
          <w:lang w:val="en-US" w:eastAsia="en-GB"/>
        </w:rPr>
        <w:t xml:space="preserve"> 1 (3: 2008): 132-148.</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F33029" w:rsidP="00D7470D">
      <w:pPr>
        <w:spacing w:after="0" w:line="360" w:lineRule="auto"/>
        <w:jc w:val="both"/>
        <w:rPr>
          <w:rFonts w:cs="Calibri"/>
          <w:sz w:val="24"/>
          <w:szCs w:val="24"/>
          <w:lang w:val="en-US"/>
        </w:rPr>
      </w:pPr>
      <w:proofErr w:type="spellStart"/>
      <w:r w:rsidRPr="00F33029">
        <w:rPr>
          <w:rFonts w:cs="Calibri"/>
          <w:sz w:val="24"/>
          <w:szCs w:val="24"/>
          <w:lang w:val="en-US"/>
        </w:rPr>
        <w:t>Herbst</w:t>
      </w:r>
      <w:proofErr w:type="spellEnd"/>
      <w:r w:rsidRPr="00F33029">
        <w:rPr>
          <w:rFonts w:cs="Calibri"/>
          <w:sz w:val="24"/>
          <w:szCs w:val="24"/>
          <w:lang w:val="en-US"/>
        </w:rPr>
        <w:t xml:space="preserve">, </w:t>
      </w:r>
      <w:proofErr w:type="spellStart"/>
      <w:r w:rsidR="000C0050">
        <w:rPr>
          <w:rFonts w:cs="Calibri"/>
          <w:sz w:val="24"/>
          <w:szCs w:val="24"/>
          <w:lang w:val="en-US"/>
        </w:rPr>
        <w:t>Jochen</w:t>
      </w:r>
      <w:proofErr w:type="spellEnd"/>
      <w:r w:rsidR="000C0050">
        <w:rPr>
          <w:rFonts w:cs="Calibri"/>
          <w:sz w:val="24"/>
          <w:szCs w:val="24"/>
          <w:lang w:val="en-US"/>
        </w:rPr>
        <w:t xml:space="preserve">, </w:t>
      </w:r>
      <w:r w:rsidRPr="00F33029">
        <w:rPr>
          <w:rFonts w:cs="Calibri"/>
          <w:sz w:val="24"/>
          <w:szCs w:val="24"/>
          <w:lang w:val="en-US"/>
        </w:rPr>
        <w:t>«Observations on the Right to Withdraw from the European Union: Who are the “Masters of the Treaties”</w:t>
      </w:r>
      <w:proofErr w:type="gramStart"/>
      <w:r w:rsidRPr="00F33029">
        <w:rPr>
          <w:rFonts w:cs="Calibri"/>
          <w:sz w:val="24"/>
          <w:szCs w:val="24"/>
          <w:lang w:val="en-US"/>
        </w:rPr>
        <w:t>?»</w:t>
      </w:r>
      <w:proofErr w:type="gramEnd"/>
      <w:r w:rsidRPr="00F33029">
        <w:rPr>
          <w:rFonts w:cs="Calibri"/>
          <w:sz w:val="24"/>
          <w:szCs w:val="24"/>
          <w:lang w:val="en-US"/>
        </w:rPr>
        <w:t xml:space="preserve">, </w:t>
      </w:r>
      <w:r w:rsidRPr="00F33029">
        <w:rPr>
          <w:rFonts w:cs="Calibri"/>
          <w:i/>
          <w:sz w:val="24"/>
          <w:szCs w:val="24"/>
          <w:lang w:val="en-US"/>
        </w:rPr>
        <w:t>German Law Journal</w:t>
      </w:r>
      <w:r w:rsidRPr="00F33029">
        <w:rPr>
          <w:rFonts w:cs="Calibri"/>
          <w:sz w:val="24"/>
          <w:szCs w:val="24"/>
          <w:lang w:val="en-US"/>
        </w:rPr>
        <w:t xml:space="preserve"> 6 (11: 2005): </w:t>
      </w:r>
      <w:r w:rsidR="000C0050">
        <w:rPr>
          <w:rFonts w:cs="Calibri"/>
          <w:sz w:val="24"/>
          <w:szCs w:val="24"/>
          <w:lang w:val="en-US"/>
        </w:rPr>
        <w:t>1755-1760.</w:t>
      </w:r>
    </w:p>
    <w:p w:rsidR="00A96EC3" w:rsidRDefault="00A96EC3" w:rsidP="00D7470D">
      <w:pPr>
        <w:spacing w:after="0" w:line="360" w:lineRule="auto"/>
        <w:jc w:val="both"/>
        <w:rPr>
          <w:rFonts w:cs="Calibri"/>
          <w:sz w:val="24"/>
          <w:szCs w:val="24"/>
          <w:lang w:val="en-US"/>
        </w:rPr>
      </w:pPr>
    </w:p>
    <w:p w:rsidR="00A96EC3" w:rsidRDefault="00A96EC3" w:rsidP="00D7470D">
      <w:pPr>
        <w:spacing w:after="0" w:line="360" w:lineRule="auto"/>
        <w:jc w:val="both"/>
        <w:rPr>
          <w:rFonts w:asciiTheme="minorHAnsi" w:eastAsia="Times New Roman" w:hAnsiTheme="minorHAnsi" w:cs="Calibri"/>
          <w:sz w:val="24"/>
          <w:szCs w:val="24"/>
          <w:lang w:eastAsia="en-GB"/>
        </w:rPr>
      </w:pPr>
      <w:proofErr w:type="spellStart"/>
      <w:r>
        <w:rPr>
          <w:rFonts w:cs="Calibri"/>
          <w:sz w:val="24"/>
          <w:szCs w:val="24"/>
          <w:lang w:val="en-US"/>
        </w:rPr>
        <w:t>Hillion</w:t>
      </w:r>
      <w:proofErr w:type="spellEnd"/>
      <w:r>
        <w:rPr>
          <w:rFonts w:cs="Calibri"/>
          <w:sz w:val="24"/>
          <w:szCs w:val="24"/>
          <w:lang w:val="en-US"/>
        </w:rPr>
        <w:t>, Christophe (201</w:t>
      </w:r>
      <w:r w:rsidR="00E8130C">
        <w:rPr>
          <w:rFonts w:cs="Calibri"/>
          <w:sz w:val="24"/>
          <w:szCs w:val="24"/>
          <w:lang w:val="en-US"/>
        </w:rPr>
        <w:t xml:space="preserve">5), «Accession and Withdrawal in </w:t>
      </w:r>
      <w:r>
        <w:rPr>
          <w:rFonts w:cs="Calibri"/>
          <w:sz w:val="24"/>
          <w:szCs w:val="24"/>
          <w:lang w:val="en-US"/>
        </w:rPr>
        <w:t xml:space="preserve">the Law of the European Union» in </w:t>
      </w:r>
      <w:r w:rsidRPr="00E8130C">
        <w:rPr>
          <w:rFonts w:cs="Calibri"/>
          <w:i/>
          <w:sz w:val="24"/>
          <w:szCs w:val="24"/>
          <w:lang w:val="en-US"/>
        </w:rPr>
        <w:t>The Oxford Handbook of European Union Law</w:t>
      </w:r>
      <w:r>
        <w:rPr>
          <w:rFonts w:cs="Calibri"/>
          <w:sz w:val="24"/>
          <w:szCs w:val="24"/>
          <w:lang w:val="en-US"/>
        </w:rPr>
        <w:t xml:space="preserve">, edited by Anthony </w:t>
      </w:r>
      <w:proofErr w:type="spellStart"/>
      <w:r>
        <w:rPr>
          <w:rFonts w:cs="Calibri"/>
          <w:sz w:val="24"/>
          <w:szCs w:val="24"/>
          <w:lang w:val="en-US"/>
        </w:rPr>
        <w:t>Arnull</w:t>
      </w:r>
      <w:proofErr w:type="spellEnd"/>
      <w:r>
        <w:rPr>
          <w:rFonts w:cs="Calibri"/>
          <w:sz w:val="24"/>
          <w:szCs w:val="24"/>
          <w:lang w:val="en-US"/>
        </w:rPr>
        <w:t xml:space="preserve"> and Damien Chalmers, Oxford: Oxford University Press, 126-152.</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2B19A7" w:rsidP="00D7470D">
      <w:pPr>
        <w:spacing w:after="0" w:line="360" w:lineRule="auto"/>
        <w:jc w:val="both"/>
        <w:rPr>
          <w:rFonts w:cs="Calibri"/>
          <w:sz w:val="24"/>
          <w:szCs w:val="24"/>
          <w:lang w:val="en-US"/>
        </w:rPr>
      </w:pPr>
      <w:proofErr w:type="spellStart"/>
      <w:r>
        <w:rPr>
          <w:rFonts w:cs="Calibri"/>
          <w:sz w:val="24"/>
          <w:szCs w:val="24"/>
          <w:lang w:val="en-US"/>
        </w:rPr>
        <w:t>Hofmeister</w:t>
      </w:r>
      <w:proofErr w:type="spellEnd"/>
      <w:r>
        <w:rPr>
          <w:rFonts w:cs="Calibri"/>
          <w:sz w:val="24"/>
          <w:szCs w:val="24"/>
          <w:lang w:val="en-US"/>
        </w:rPr>
        <w:t>, Hannes</w:t>
      </w:r>
      <w:r w:rsidR="00E8130C">
        <w:rPr>
          <w:rFonts w:cs="Calibri"/>
          <w:sz w:val="24"/>
          <w:szCs w:val="24"/>
          <w:lang w:val="en-US"/>
        </w:rPr>
        <w:t>, «</w:t>
      </w:r>
      <w:r>
        <w:rPr>
          <w:rFonts w:cs="Calibri"/>
          <w:sz w:val="24"/>
          <w:szCs w:val="24"/>
          <w:lang w:val="en-US"/>
        </w:rPr>
        <w:t>Should I Stay or Should I Go? – A Critical Analysis of th</w:t>
      </w:r>
      <w:r w:rsidR="00E8130C">
        <w:rPr>
          <w:rFonts w:cs="Calibri"/>
          <w:sz w:val="24"/>
          <w:szCs w:val="24"/>
          <w:lang w:val="en-US"/>
        </w:rPr>
        <w:t>e Right to Withdraw from the EU»</w:t>
      </w:r>
      <w:r>
        <w:rPr>
          <w:rFonts w:cs="Calibri"/>
          <w:sz w:val="24"/>
          <w:szCs w:val="24"/>
          <w:lang w:val="en-US"/>
        </w:rPr>
        <w:t xml:space="preserve">, </w:t>
      </w:r>
      <w:r w:rsidRPr="00E8130C">
        <w:rPr>
          <w:rFonts w:cs="Calibri"/>
          <w:i/>
          <w:sz w:val="24"/>
          <w:szCs w:val="24"/>
          <w:lang w:val="en-US"/>
        </w:rPr>
        <w:t>European Law Journal</w:t>
      </w:r>
      <w:r>
        <w:rPr>
          <w:rFonts w:cs="Calibri"/>
          <w:sz w:val="24"/>
          <w:szCs w:val="24"/>
          <w:lang w:val="en-US"/>
        </w:rPr>
        <w:t xml:space="preserve"> 16 (5: 2010): 589-603.</w:t>
      </w:r>
    </w:p>
    <w:p w:rsidR="00333285" w:rsidRDefault="00333285" w:rsidP="00D7470D">
      <w:pPr>
        <w:spacing w:after="0" w:line="360" w:lineRule="auto"/>
        <w:jc w:val="both"/>
        <w:rPr>
          <w:rFonts w:cs="Calibri"/>
          <w:sz w:val="24"/>
          <w:szCs w:val="24"/>
          <w:lang w:val="en-US"/>
        </w:rPr>
      </w:pPr>
    </w:p>
    <w:p w:rsidR="00333285" w:rsidRDefault="00E8130C" w:rsidP="00D7470D">
      <w:pPr>
        <w:spacing w:after="0" w:line="360" w:lineRule="auto"/>
        <w:jc w:val="both"/>
        <w:rPr>
          <w:rFonts w:asciiTheme="minorHAnsi" w:eastAsia="Times New Roman" w:hAnsiTheme="minorHAnsi" w:cs="Calibri"/>
          <w:sz w:val="24"/>
          <w:szCs w:val="24"/>
          <w:lang w:eastAsia="en-GB"/>
        </w:rPr>
      </w:pPr>
      <w:proofErr w:type="spellStart"/>
      <w:r>
        <w:rPr>
          <w:rFonts w:cs="Calibri"/>
          <w:sz w:val="24"/>
          <w:szCs w:val="24"/>
          <w:lang w:val="en-US"/>
        </w:rPr>
        <w:t>Lazowski</w:t>
      </w:r>
      <w:proofErr w:type="spellEnd"/>
      <w:r>
        <w:rPr>
          <w:rFonts w:cs="Calibri"/>
          <w:sz w:val="24"/>
          <w:szCs w:val="24"/>
          <w:lang w:val="en-US"/>
        </w:rPr>
        <w:t>, Adam, «</w:t>
      </w:r>
      <w:r w:rsidR="00333285">
        <w:rPr>
          <w:rFonts w:cs="Calibri"/>
          <w:sz w:val="24"/>
          <w:szCs w:val="24"/>
          <w:lang w:val="en-US"/>
        </w:rPr>
        <w:t>Withdrawal from the European Union and alternatives to membe</w:t>
      </w:r>
      <w:r>
        <w:rPr>
          <w:rFonts w:cs="Calibri"/>
          <w:sz w:val="24"/>
          <w:szCs w:val="24"/>
          <w:lang w:val="en-US"/>
        </w:rPr>
        <w:t xml:space="preserve">rship», </w:t>
      </w:r>
      <w:r w:rsidRPr="00E8130C">
        <w:rPr>
          <w:rFonts w:cs="Calibri"/>
          <w:i/>
          <w:sz w:val="24"/>
          <w:szCs w:val="24"/>
          <w:lang w:val="en-US"/>
        </w:rPr>
        <w:t>European Law Review</w:t>
      </w:r>
      <w:r>
        <w:rPr>
          <w:rFonts w:cs="Calibri"/>
          <w:sz w:val="24"/>
          <w:szCs w:val="24"/>
          <w:lang w:val="en-US"/>
        </w:rPr>
        <w:t xml:space="preserve"> 37 (</w:t>
      </w:r>
      <w:r w:rsidR="00333285">
        <w:rPr>
          <w:rFonts w:cs="Calibri"/>
          <w:sz w:val="24"/>
          <w:szCs w:val="24"/>
          <w:lang w:val="en-US"/>
        </w:rPr>
        <w:t>5: 2012): 523-540.</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D7470D" w:rsidP="00D7470D">
      <w:pPr>
        <w:spacing w:after="0" w:line="360" w:lineRule="auto"/>
        <w:jc w:val="both"/>
        <w:rPr>
          <w:rFonts w:asciiTheme="minorHAnsi" w:eastAsia="Times New Roman" w:hAnsiTheme="minorHAnsi" w:cs="Calibri"/>
          <w:sz w:val="24"/>
          <w:szCs w:val="24"/>
          <w:lang w:val="en-US" w:eastAsia="en-GB"/>
        </w:rPr>
      </w:pPr>
      <w:proofErr w:type="spellStart"/>
      <w:r>
        <w:rPr>
          <w:rFonts w:asciiTheme="minorHAnsi" w:eastAsia="Times New Roman" w:hAnsiTheme="minorHAnsi" w:cs="Calibri"/>
          <w:sz w:val="24"/>
          <w:szCs w:val="24"/>
          <w:lang w:val="en-US" w:eastAsia="en-GB"/>
        </w:rPr>
        <w:t>Lenaerts</w:t>
      </w:r>
      <w:proofErr w:type="spellEnd"/>
      <w:r>
        <w:rPr>
          <w:rFonts w:asciiTheme="minorHAnsi" w:eastAsia="Times New Roman" w:hAnsiTheme="minorHAnsi" w:cs="Calibri"/>
          <w:sz w:val="24"/>
          <w:szCs w:val="24"/>
          <w:lang w:val="en-US" w:eastAsia="en-GB"/>
        </w:rPr>
        <w:t xml:space="preserve">, Koen and Piet Van </w:t>
      </w:r>
      <w:proofErr w:type="spellStart"/>
      <w:r>
        <w:rPr>
          <w:rFonts w:asciiTheme="minorHAnsi" w:eastAsia="Times New Roman" w:hAnsiTheme="minorHAnsi" w:cs="Calibri"/>
          <w:sz w:val="24"/>
          <w:szCs w:val="24"/>
          <w:lang w:val="en-US" w:eastAsia="en-GB"/>
        </w:rPr>
        <w:t>Nuffel</w:t>
      </w:r>
      <w:proofErr w:type="spellEnd"/>
      <w:r>
        <w:rPr>
          <w:rFonts w:asciiTheme="minorHAnsi" w:eastAsia="Times New Roman" w:hAnsiTheme="minorHAnsi" w:cs="Calibri"/>
          <w:sz w:val="24"/>
          <w:szCs w:val="24"/>
          <w:lang w:val="en-US" w:eastAsia="en-GB"/>
        </w:rPr>
        <w:t xml:space="preserve"> (2011), </w:t>
      </w:r>
      <w:r w:rsidR="003B3985" w:rsidRPr="00E8130C">
        <w:rPr>
          <w:rFonts w:asciiTheme="minorHAnsi" w:eastAsia="Times New Roman" w:hAnsiTheme="minorHAnsi" w:cs="Calibri"/>
          <w:i/>
          <w:sz w:val="24"/>
          <w:szCs w:val="24"/>
          <w:lang w:val="en-US" w:eastAsia="en-GB"/>
        </w:rPr>
        <w:t>European Union Law</w:t>
      </w:r>
      <w:r w:rsidR="003B3985">
        <w:rPr>
          <w:rFonts w:asciiTheme="minorHAnsi" w:eastAsia="Times New Roman" w:hAnsiTheme="minorHAnsi" w:cs="Calibri"/>
          <w:sz w:val="24"/>
          <w:szCs w:val="24"/>
          <w:lang w:val="en-US" w:eastAsia="en-GB"/>
        </w:rPr>
        <w:t>. London</w:t>
      </w:r>
      <w:r>
        <w:rPr>
          <w:rFonts w:asciiTheme="minorHAnsi" w:eastAsia="Times New Roman" w:hAnsiTheme="minorHAnsi" w:cs="Calibri"/>
          <w:sz w:val="24"/>
          <w:szCs w:val="24"/>
          <w:lang w:val="en-US" w:eastAsia="en-GB"/>
        </w:rPr>
        <w:t>: Sweet &amp; Maxwell.</w:t>
      </w:r>
    </w:p>
    <w:p w:rsidR="00D96D57" w:rsidRDefault="00D96D57" w:rsidP="00D7470D">
      <w:pPr>
        <w:spacing w:after="0" w:line="360" w:lineRule="auto"/>
        <w:jc w:val="both"/>
        <w:rPr>
          <w:rFonts w:asciiTheme="minorHAnsi" w:eastAsia="Times New Roman" w:hAnsiTheme="minorHAnsi" w:cs="Calibri"/>
          <w:sz w:val="24"/>
          <w:szCs w:val="24"/>
          <w:lang w:val="en-US" w:eastAsia="en-GB"/>
        </w:rPr>
      </w:pPr>
    </w:p>
    <w:p w:rsidR="00D96D57" w:rsidRPr="00D96D57" w:rsidRDefault="00D96D57" w:rsidP="00D7470D">
      <w:pPr>
        <w:spacing w:after="0" w:line="360" w:lineRule="auto"/>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 xml:space="preserve">Lister, Frederick K. (1996), </w:t>
      </w:r>
      <w:proofErr w:type="gramStart"/>
      <w:r>
        <w:rPr>
          <w:rFonts w:asciiTheme="minorHAnsi" w:eastAsia="Times New Roman" w:hAnsiTheme="minorHAnsi" w:cs="Calibri"/>
          <w:i/>
          <w:sz w:val="24"/>
          <w:szCs w:val="24"/>
          <w:lang w:val="en-US" w:eastAsia="en-GB"/>
        </w:rPr>
        <w:t>The</w:t>
      </w:r>
      <w:proofErr w:type="gramEnd"/>
      <w:r>
        <w:rPr>
          <w:rFonts w:asciiTheme="minorHAnsi" w:eastAsia="Times New Roman" w:hAnsiTheme="minorHAnsi" w:cs="Calibri"/>
          <w:i/>
          <w:sz w:val="24"/>
          <w:szCs w:val="24"/>
          <w:lang w:val="en-US" w:eastAsia="en-GB"/>
        </w:rPr>
        <w:t xml:space="preserve"> </w:t>
      </w:r>
      <w:r w:rsidRPr="00D96D57">
        <w:rPr>
          <w:rFonts w:asciiTheme="minorHAnsi" w:eastAsia="Times New Roman" w:hAnsiTheme="minorHAnsi" w:cs="Calibri"/>
          <w:i/>
          <w:sz w:val="24"/>
          <w:szCs w:val="24"/>
          <w:lang w:val="en-US" w:eastAsia="en-GB"/>
        </w:rPr>
        <w:t>European Union, the United Nations, and the Revival of Confederal Governance</w:t>
      </w:r>
      <w:r>
        <w:rPr>
          <w:rFonts w:asciiTheme="minorHAnsi" w:eastAsia="Times New Roman" w:hAnsiTheme="minorHAnsi" w:cs="Calibri"/>
          <w:sz w:val="24"/>
          <w:szCs w:val="24"/>
          <w:lang w:val="en-US" w:eastAsia="en-GB"/>
        </w:rPr>
        <w:t>, Westport, Connecticut: Greenwood Press.</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2A4B0D" w:rsidP="00D7470D">
      <w:pPr>
        <w:spacing w:after="0" w:line="360" w:lineRule="auto"/>
        <w:jc w:val="both"/>
        <w:rPr>
          <w:rFonts w:asciiTheme="minorHAnsi" w:eastAsia="Times New Roman" w:hAnsiTheme="minorHAnsi" w:cs="Calibri"/>
          <w:sz w:val="24"/>
          <w:szCs w:val="24"/>
          <w:lang w:eastAsia="en-GB"/>
        </w:rPr>
      </w:pPr>
      <w:r>
        <w:rPr>
          <w:rFonts w:asciiTheme="minorHAnsi" w:eastAsia="Times New Roman" w:hAnsiTheme="minorHAnsi" w:cs="Calibri"/>
          <w:sz w:val="24"/>
          <w:szCs w:val="24"/>
          <w:lang w:val="en-US" w:eastAsia="en-GB"/>
        </w:rPr>
        <w:t>Louis, Jean-Victor</w:t>
      </w:r>
      <w:r w:rsidR="00E8130C">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 xml:space="preserve"> «Le Droit de </w:t>
      </w:r>
      <w:proofErr w:type="spellStart"/>
      <w:r>
        <w:rPr>
          <w:rFonts w:asciiTheme="minorHAnsi" w:eastAsia="Times New Roman" w:hAnsiTheme="minorHAnsi" w:cs="Calibri"/>
          <w:sz w:val="24"/>
          <w:szCs w:val="24"/>
          <w:lang w:val="en-US" w:eastAsia="en-GB"/>
        </w:rPr>
        <w:t>Retrait</w:t>
      </w:r>
      <w:proofErr w:type="spellEnd"/>
      <w:r>
        <w:rPr>
          <w:rFonts w:asciiTheme="minorHAnsi" w:eastAsia="Times New Roman" w:hAnsiTheme="minorHAnsi" w:cs="Calibri"/>
          <w:sz w:val="24"/>
          <w:szCs w:val="24"/>
          <w:lang w:val="en-US" w:eastAsia="en-GB"/>
        </w:rPr>
        <w:t xml:space="preserve"> de </w:t>
      </w:r>
      <w:proofErr w:type="spellStart"/>
      <w:r>
        <w:rPr>
          <w:rFonts w:asciiTheme="minorHAnsi" w:eastAsia="Times New Roman" w:hAnsiTheme="minorHAnsi" w:cs="Calibri"/>
          <w:sz w:val="24"/>
          <w:szCs w:val="24"/>
          <w:lang w:val="en-US" w:eastAsia="en-GB"/>
        </w:rPr>
        <w:t>L’Union</w:t>
      </w:r>
      <w:proofErr w:type="spellEnd"/>
      <w:r>
        <w:rPr>
          <w:rFonts w:asciiTheme="minorHAnsi" w:eastAsia="Times New Roman" w:hAnsiTheme="minorHAnsi" w:cs="Calibri"/>
          <w:sz w:val="24"/>
          <w:szCs w:val="24"/>
          <w:lang w:val="en-US" w:eastAsia="en-GB"/>
        </w:rPr>
        <w:t xml:space="preserve"> </w:t>
      </w:r>
      <w:proofErr w:type="spellStart"/>
      <w:r>
        <w:rPr>
          <w:rFonts w:asciiTheme="minorHAnsi" w:eastAsia="Times New Roman" w:hAnsiTheme="minorHAnsi" w:cs="Calibri"/>
          <w:sz w:val="24"/>
          <w:szCs w:val="24"/>
          <w:lang w:val="en-US" w:eastAsia="en-GB"/>
        </w:rPr>
        <w:t>Européene</w:t>
      </w:r>
      <w:proofErr w:type="spellEnd"/>
      <w:r>
        <w:rPr>
          <w:rFonts w:asciiTheme="minorHAnsi" w:eastAsia="Times New Roman" w:hAnsiTheme="minorHAnsi" w:cs="Calibri"/>
          <w:sz w:val="24"/>
          <w:szCs w:val="24"/>
          <w:lang w:val="en-US" w:eastAsia="en-GB"/>
        </w:rPr>
        <w:t>»</w:t>
      </w:r>
      <w:r w:rsidR="00E8130C">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 xml:space="preserve"> </w:t>
      </w:r>
      <w:r w:rsidR="00E8130C">
        <w:rPr>
          <w:rFonts w:asciiTheme="minorHAnsi" w:eastAsia="Times New Roman" w:hAnsiTheme="minorHAnsi" w:cs="Calibri"/>
          <w:i/>
          <w:sz w:val="24"/>
          <w:szCs w:val="24"/>
          <w:lang w:val="en-US" w:eastAsia="en-GB"/>
        </w:rPr>
        <w:t xml:space="preserve">Cahiers de Droit </w:t>
      </w:r>
      <w:proofErr w:type="spellStart"/>
      <w:r w:rsidR="00E8130C">
        <w:rPr>
          <w:rFonts w:asciiTheme="minorHAnsi" w:eastAsia="Times New Roman" w:hAnsiTheme="minorHAnsi" w:cs="Calibri"/>
          <w:i/>
          <w:sz w:val="24"/>
          <w:szCs w:val="24"/>
          <w:lang w:val="en-US" w:eastAsia="en-GB"/>
        </w:rPr>
        <w:t>Europé</w:t>
      </w:r>
      <w:r w:rsidRPr="00E8130C">
        <w:rPr>
          <w:rFonts w:asciiTheme="minorHAnsi" w:eastAsia="Times New Roman" w:hAnsiTheme="minorHAnsi" w:cs="Calibri"/>
          <w:i/>
          <w:sz w:val="24"/>
          <w:szCs w:val="24"/>
          <w:lang w:val="en-US" w:eastAsia="en-GB"/>
        </w:rPr>
        <w:t>ene</w:t>
      </w:r>
      <w:proofErr w:type="spellEnd"/>
      <w:r w:rsidRPr="00E8130C">
        <w:rPr>
          <w:rFonts w:asciiTheme="minorHAnsi" w:eastAsia="Times New Roman" w:hAnsiTheme="minorHAnsi" w:cs="Calibri"/>
          <w:i/>
          <w:sz w:val="24"/>
          <w:szCs w:val="24"/>
          <w:lang w:val="en-US" w:eastAsia="en-GB"/>
        </w:rPr>
        <w:t xml:space="preserve"> </w:t>
      </w:r>
      <w:r w:rsidR="00AB4D7C" w:rsidRPr="00AB4D7C">
        <w:rPr>
          <w:rFonts w:asciiTheme="minorHAnsi" w:eastAsia="Times New Roman" w:hAnsiTheme="minorHAnsi" w:cs="Calibri"/>
          <w:sz w:val="24"/>
          <w:szCs w:val="24"/>
          <w:lang w:val="en-US" w:eastAsia="en-GB"/>
        </w:rPr>
        <w:t>42</w:t>
      </w:r>
      <w:r w:rsidR="00AB4D7C">
        <w:rPr>
          <w:rFonts w:asciiTheme="minorHAnsi" w:eastAsia="Times New Roman" w:hAnsiTheme="minorHAnsi" w:cs="Calibri"/>
          <w:i/>
          <w:sz w:val="24"/>
          <w:szCs w:val="24"/>
          <w:lang w:val="en-US" w:eastAsia="en-GB"/>
        </w:rPr>
        <w:t xml:space="preserve"> </w:t>
      </w:r>
      <w:r w:rsidR="00AB4D7C">
        <w:rPr>
          <w:rFonts w:asciiTheme="minorHAnsi" w:eastAsia="Times New Roman" w:hAnsiTheme="minorHAnsi" w:cs="Calibri"/>
          <w:sz w:val="24"/>
          <w:szCs w:val="24"/>
          <w:lang w:val="en-US" w:eastAsia="en-GB"/>
        </w:rPr>
        <w:t>(3-4: 2006</w:t>
      </w:r>
      <w:r>
        <w:rPr>
          <w:rFonts w:asciiTheme="minorHAnsi" w:eastAsia="Times New Roman" w:hAnsiTheme="minorHAnsi" w:cs="Calibri"/>
          <w:sz w:val="24"/>
          <w:szCs w:val="24"/>
          <w:lang w:val="en-US" w:eastAsia="en-GB"/>
        </w:rPr>
        <w:t>): 293-314.</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AB4D7C" w:rsidP="00D7470D">
      <w:pPr>
        <w:spacing w:after="0" w:line="360" w:lineRule="auto"/>
        <w:jc w:val="both"/>
        <w:rPr>
          <w:rFonts w:asciiTheme="minorHAnsi" w:eastAsia="Times New Roman" w:hAnsiTheme="minorHAnsi" w:cs="Calibri"/>
          <w:sz w:val="24"/>
          <w:szCs w:val="24"/>
          <w:lang w:val="en-US" w:eastAsia="en-GB"/>
        </w:rPr>
      </w:pPr>
      <w:proofErr w:type="spellStart"/>
      <w:r>
        <w:rPr>
          <w:rFonts w:asciiTheme="minorHAnsi" w:eastAsia="Times New Roman" w:hAnsiTheme="minorHAnsi" w:cs="Calibri"/>
          <w:sz w:val="24"/>
          <w:szCs w:val="24"/>
          <w:lang w:val="en-US" w:eastAsia="en-GB"/>
        </w:rPr>
        <w:t>Malathouni</w:t>
      </w:r>
      <w:proofErr w:type="spellEnd"/>
      <w:r>
        <w:rPr>
          <w:rFonts w:asciiTheme="minorHAnsi" w:eastAsia="Times New Roman" w:hAnsiTheme="minorHAnsi" w:cs="Calibri"/>
          <w:sz w:val="24"/>
          <w:szCs w:val="24"/>
          <w:lang w:val="en-US" w:eastAsia="en-GB"/>
        </w:rPr>
        <w:t>, Eliza, «</w:t>
      </w:r>
      <w:r w:rsidR="00B03801">
        <w:rPr>
          <w:rFonts w:asciiTheme="minorHAnsi" w:eastAsia="Times New Roman" w:hAnsiTheme="minorHAnsi" w:cs="Calibri"/>
          <w:sz w:val="24"/>
          <w:szCs w:val="24"/>
          <w:lang w:val="en-US" w:eastAsia="en-GB"/>
        </w:rPr>
        <w:t>Should I Stay or Should I go: The Suns</w:t>
      </w:r>
      <w:r w:rsidR="00A96EC3">
        <w:rPr>
          <w:rFonts w:asciiTheme="minorHAnsi" w:eastAsia="Times New Roman" w:hAnsiTheme="minorHAnsi" w:cs="Calibri"/>
          <w:sz w:val="24"/>
          <w:szCs w:val="24"/>
          <w:lang w:val="en-US" w:eastAsia="en-GB"/>
        </w:rPr>
        <w:t xml:space="preserve">et Clause as Self-Confidence or </w:t>
      </w:r>
      <w:r>
        <w:rPr>
          <w:rFonts w:asciiTheme="minorHAnsi" w:eastAsia="Times New Roman" w:hAnsiTheme="minorHAnsi" w:cs="Calibri"/>
          <w:sz w:val="24"/>
          <w:szCs w:val="24"/>
          <w:lang w:val="en-US" w:eastAsia="en-GB"/>
        </w:rPr>
        <w:t>Suicide»</w:t>
      </w:r>
      <w:r w:rsidR="00B03801">
        <w:rPr>
          <w:rFonts w:asciiTheme="minorHAnsi" w:eastAsia="Times New Roman" w:hAnsiTheme="minorHAnsi" w:cs="Calibri"/>
          <w:sz w:val="24"/>
          <w:szCs w:val="24"/>
          <w:lang w:val="en-US" w:eastAsia="en-GB"/>
        </w:rPr>
        <w:t xml:space="preserve">, </w:t>
      </w:r>
      <w:r w:rsidR="00B03801" w:rsidRPr="00AB4D7C">
        <w:rPr>
          <w:rFonts w:asciiTheme="minorHAnsi" w:eastAsia="Times New Roman" w:hAnsiTheme="minorHAnsi" w:cs="Calibri"/>
          <w:i/>
          <w:sz w:val="24"/>
          <w:szCs w:val="24"/>
          <w:lang w:val="en-US" w:eastAsia="en-GB"/>
        </w:rPr>
        <w:t>Maastricht Journal of European and Comparative Law</w:t>
      </w:r>
      <w:r w:rsidR="00B03801">
        <w:rPr>
          <w:rFonts w:asciiTheme="minorHAnsi" w:eastAsia="Times New Roman" w:hAnsiTheme="minorHAnsi" w:cs="Calibri"/>
          <w:sz w:val="24"/>
          <w:szCs w:val="24"/>
          <w:lang w:val="en-US" w:eastAsia="en-GB"/>
        </w:rPr>
        <w:t xml:space="preserve"> 15 (2008): 115 – 124.</w:t>
      </w:r>
    </w:p>
    <w:p w:rsidR="008E221A" w:rsidRDefault="008E221A" w:rsidP="00D7470D">
      <w:pPr>
        <w:spacing w:after="0" w:line="360" w:lineRule="auto"/>
        <w:jc w:val="both"/>
        <w:rPr>
          <w:rFonts w:asciiTheme="minorHAnsi" w:eastAsia="Times New Roman" w:hAnsiTheme="minorHAnsi" w:cs="Calibri"/>
          <w:sz w:val="24"/>
          <w:szCs w:val="24"/>
          <w:lang w:val="en-US" w:eastAsia="en-GB"/>
        </w:rPr>
      </w:pPr>
    </w:p>
    <w:p w:rsidR="008E221A" w:rsidRPr="008E221A" w:rsidRDefault="008E221A" w:rsidP="00E74F17">
      <w:pPr>
        <w:pStyle w:val="Textodenotaderodap"/>
        <w:spacing w:line="360" w:lineRule="auto"/>
        <w:jc w:val="both"/>
        <w:rPr>
          <w:sz w:val="24"/>
          <w:szCs w:val="24"/>
        </w:rPr>
      </w:pPr>
      <w:proofErr w:type="spellStart"/>
      <w:r w:rsidRPr="008E221A">
        <w:rPr>
          <w:sz w:val="24"/>
          <w:szCs w:val="24"/>
        </w:rPr>
        <w:t>Mancin</w:t>
      </w:r>
      <w:r w:rsidR="001D6E15">
        <w:rPr>
          <w:sz w:val="24"/>
          <w:szCs w:val="24"/>
        </w:rPr>
        <w:t>n</w:t>
      </w:r>
      <w:r w:rsidRPr="008E221A">
        <w:rPr>
          <w:sz w:val="24"/>
          <w:szCs w:val="24"/>
        </w:rPr>
        <w:t>i</w:t>
      </w:r>
      <w:proofErr w:type="spellEnd"/>
      <w:r w:rsidR="00E74F17">
        <w:rPr>
          <w:sz w:val="24"/>
          <w:szCs w:val="24"/>
        </w:rPr>
        <w:t xml:space="preserve">, </w:t>
      </w:r>
      <w:proofErr w:type="spellStart"/>
      <w:r w:rsidR="00E74F17">
        <w:rPr>
          <w:sz w:val="24"/>
          <w:szCs w:val="24"/>
        </w:rPr>
        <w:t>Susanna</w:t>
      </w:r>
      <w:proofErr w:type="spellEnd"/>
      <w:r w:rsidR="00052A13">
        <w:rPr>
          <w:sz w:val="24"/>
          <w:szCs w:val="24"/>
        </w:rPr>
        <w:t xml:space="preserve"> (2012)</w:t>
      </w:r>
      <w:r w:rsidRPr="008E221A">
        <w:rPr>
          <w:sz w:val="24"/>
          <w:szCs w:val="24"/>
        </w:rPr>
        <w:t>,</w:t>
      </w:r>
      <w:r w:rsidR="00E74F17">
        <w:rPr>
          <w:sz w:val="24"/>
          <w:szCs w:val="24"/>
        </w:rPr>
        <w:t xml:space="preserve"> «</w:t>
      </w:r>
      <w:proofErr w:type="spellStart"/>
      <w:r w:rsidRPr="008E221A">
        <w:rPr>
          <w:sz w:val="24"/>
          <w:szCs w:val="24"/>
        </w:rPr>
        <w:t>Secession</w:t>
      </w:r>
      <w:proofErr w:type="spellEnd"/>
      <w:r w:rsidRPr="008E221A">
        <w:rPr>
          <w:sz w:val="24"/>
          <w:szCs w:val="24"/>
        </w:rPr>
        <w:t xml:space="preserve"> </w:t>
      </w:r>
      <w:proofErr w:type="spellStart"/>
      <w:r w:rsidRPr="008E221A">
        <w:rPr>
          <w:sz w:val="24"/>
          <w:szCs w:val="24"/>
        </w:rPr>
        <w:t>and</w:t>
      </w:r>
      <w:proofErr w:type="spellEnd"/>
      <w:r w:rsidRPr="008E221A">
        <w:rPr>
          <w:sz w:val="24"/>
          <w:szCs w:val="24"/>
        </w:rPr>
        <w:t xml:space="preserve"> Self-</w:t>
      </w:r>
      <w:proofErr w:type="spellStart"/>
      <w:r w:rsidRPr="008E221A">
        <w:rPr>
          <w:sz w:val="24"/>
          <w:szCs w:val="24"/>
        </w:rPr>
        <w:t>Determination</w:t>
      </w:r>
      <w:proofErr w:type="spellEnd"/>
      <w:r w:rsidR="00E74F17">
        <w:rPr>
          <w:sz w:val="24"/>
          <w:szCs w:val="24"/>
        </w:rPr>
        <w:t>»</w:t>
      </w:r>
      <w:r w:rsidRPr="008E221A">
        <w:rPr>
          <w:sz w:val="24"/>
          <w:szCs w:val="24"/>
        </w:rPr>
        <w:t xml:space="preserve"> in</w:t>
      </w:r>
      <w:r w:rsidR="00E74F17">
        <w:rPr>
          <w:sz w:val="24"/>
          <w:szCs w:val="24"/>
        </w:rPr>
        <w:t xml:space="preserve"> </w:t>
      </w:r>
      <w:proofErr w:type="spellStart"/>
      <w:r w:rsidR="00E74F17" w:rsidRPr="00E74F17">
        <w:rPr>
          <w:i/>
          <w:sz w:val="24"/>
          <w:szCs w:val="24"/>
        </w:rPr>
        <w:t>Th</w:t>
      </w:r>
      <w:r w:rsidRPr="00E74F17">
        <w:rPr>
          <w:i/>
          <w:sz w:val="24"/>
          <w:szCs w:val="24"/>
        </w:rPr>
        <w:t>e</w:t>
      </w:r>
      <w:proofErr w:type="spellEnd"/>
      <w:r w:rsidRPr="00E74F17">
        <w:rPr>
          <w:i/>
          <w:sz w:val="24"/>
          <w:szCs w:val="24"/>
        </w:rPr>
        <w:t xml:space="preserve"> Oxford</w:t>
      </w:r>
      <w:r w:rsidR="00E74F17" w:rsidRPr="00E74F17">
        <w:rPr>
          <w:i/>
          <w:sz w:val="24"/>
          <w:szCs w:val="24"/>
        </w:rPr>
        <w:t xml:space="preserve"> </w:t>
      </w:r>
      <w:proofErr w:type="spellStart"/>
      <w:r w:rsidRPr="00E74F17">
        <w:rPr>
          <w:i/>
          <w:sz w:val="24"/>
          <w:szCs w:val="24"/>
        </w:rPr>
        <w:t>Handbook</w:t>
      </w:r>
      <w:proofErr w:type="spellEnd"/>
      <w:r w:rsidRPr="00E74F17">
        <w:rPr>
          <w:i/>
          <w:sz w:val="24"/>
          <w:szCs w:val="24"/>
        </w:rPr>
        <w:t xml:space="preserve"> </w:t>
      </w:r>
      <w:proofErr w:type="spellStart"/>
      <w:r w:rsidRPr="00E74F17">
        <w:rPr>
          <w:i/>
          <w:sz w:val="24"/>
          <w:szCs w:val="24"/>
        </w:rPr>
        <w:t>of</w:t>
      </w:r>
      <w:proofErr w:type="spellEnd"/>
      <w:r w:rsidRPr="00E74F17">
        <w:rPr>
          <w:i/>
          <w:sz w:val="24"/>
          <w:szCs w:val="24"/>
        </w:rPr>
        <w:t xml:space="preserve"> </w:t>
      </w:r>
      <w:proofErr w:type="spellStart"/>
      <w:r w:rsidRPr="00E74F17">
        <w:rPr>
          <w:i/>
          <w:sz w:val="24"/>
          <w:szCs w:val="24"/>
        </w:rPr>
        <w:t>Comparative</w:t>
      </w:r>
      <w:proofErr w:type="spellEnd"/>
      <w:r w:rsidRPr="00E74F17">
        <w:rPr>
          <w:i/>
          <w:sz w:val="24"/>
          <w:szCs w:val="24"/>
        </w:rPr>
        <w:t xml:space="preserve"> </w:t>
      </w:r>
      <w:proofErr w:type="spellStart"/>
      <w:r w:rsidRPr="00E74F17">
        <w:rPr>
          <w:i/>
          <w:sz w:val="24"/>
          <w:szCs w:val="24"/>
        </w:rPr>
        <w:t>Constitutional</w:t>
      </w:r>
      <w:proofErr w:type="spellEnd"/>
      <w:r w:rsidRPr="00E74F17">
        <w:rPr>
          <w:i/>
          <w:sz w:val="24"/>
          <w:szCs w:val="24"/>
        </w:rPr>
        <w:t xml:space="preserve"> </w:t>
      </w:r>
      <w:proofErr w:type="spellStart"/>
      <w:r w:rsidRPr="00E74F17">
        <w:rPr>
          <w:i/>
          <w:sz w:val="24"/>
          <w:szCs w:val="24"/>
        </w:rPr>
        <w:t>Law</w:t>
      </w:r>
      <w:proofErr w:type="spellEnd"/>
      <w:r w:rsidRPr="008E221A">
        <w:rPr>
          <w:sz w:val="24"/>
          <w:szCs w:val="24"/>
        </w:rPr>
        <w:t>,</w:t>
      </w:r>
      <w:r w:rsidR="00E74F17">
        <w:rPr>
          <w:sz w:val="24"/>
          <w:szCs w:val="24"/>
        </w:rPr>
        <w:t xml:space="preserve"> </w:t>
      </w:r>
      <w:proofErr w:type="spellStart"/>
      <w:r w:rsidRPr="008E221A">
        <w:rPr>
          <w:sz w:val="24"/>
          <w:szCs w:val="24"/>
        </w:rPr>
        <w:t>edited</w:t>
      </w:r>
      <w:proofErr w:type="spellEnd"/>
      <w:r w:rsidRPr="008E221A">
        <w:rPr>
          <w:sz w:val="24"/>
          <w:szCs w:val="24"/>
        </w:rPr>
        <w:t xml:space="preserve"> </w:t>
      </w:r>
      <w:proofErr w:type="spellStart"/>
      <w:r w:rsidRPr="008E221A">
        <w:rPr>
          <w:sz w:val="24"/>
          <w:szCs w:val="24"/>
        </w:rPr>
        <w:t>by</w:t>
      </w:r>
      <w:proofErr w:type="spellEnd"/>
      <w:r w:rsidRPr="008E221A">
        <w:rPr>
          <w:sz w:val="24"/>
          <w:szCs w:val="24"/>
        </w:rPr>
        <w:t xml:space="preserve"> Michel </w:t>
      </w:r>
      <w:proofErr w:type="spellStart"/>
      <w:r w:rsidRPr="008E221A">
        <w:rPr>
          <w:sz w:val="24"/>
          <w:szCs w:val="24"/>
        </w:rPr>
        <w:t>Rosenfeld</w:t>
      </w:r>
      <w:proofErr w:type="spellEnd"/>
      <w:r w:rsidR="00E74F17">
        <w:rPr>
          <w:sz w:val="24"/>
          <w:szCs w:val="24"/>
        </w:rPr>
        <w:t xml:space="preserve"> </w:t>
      </w:r>
      <w:proofErr w:type="spellStart"/>
      <w:r w:rsidRPr="008E221A">
        <w:rPr>
          <w:sz w:val="24"/>
          <w:szCs w:val="24"/>
        </w:rPr>
        <w:t>and</w:t>
      </w:r>
      <w:proofErr w:type="spellEnd"/>
      <w:r w:rsidRPr="008E221A">
        <w:rPr>
          <w:sz w:val="24"/>
          <w:szCs w:val="24"/>
        </w:rPr>
        <w:t xml:space="preserve"> </w:t>
      </w:r>
      <w:proofErr w:type="spellStart"/>
      <w:r w:rsidRPr="008E221A">
        <w:rPr>
          <w:sz w:val="24"/>
          <w:szCs w:val="24"/>
        </w:rPr>
        <w:t>András</w:t>
      </w:r>
      <w:proofErr w:type="spellEnd"/>
      <w:r w:rsidRPr="008E221A">
        <w:rPr>
          <w:sz w:val="24"/>
          <w:szCs w:val="24"/>
        </w:rPr>
        <w:t xml:space="preserve"> </w:t>
      </w:r>
      <w:proofErr w:type="spellStart"/>
      <w:r w:rsidRPr="008E221A">
        <w:rPr>
          <w:sz w:val="24"/>
          <w:szCs w:val="24"/>
        </w:rPr>
        <w:t>Sajo</w:t>
      </w:r>
      <w:proofErr w:type="spellEnd"/>
      <w:r w:rsidRPr="008E221A">
        <w:rPr>
          <w:sz w:val="24"/>
          <w:szCs w:val="24"/>
        </w:rPr>
        <w:t>, Oxfor</w:t>
      </w:r>
      <w:r w:rsidR="00E74F17">
        <w:rPr>
          <w:sz w:val="24"/>
          <w:szCs w:val="24"/>
        </w:rPr>
        <w:t>d</w:t>
      </w:r>
      <w:r w:rsidRPr="008E221A">
        <w:rPr>
          <w:sz w:val="24"/>
          <w:szCs w:val="24"/>
        </w:rPr>
        <w:t>:</w:t>
      </w:r>
      <w:r w:rsidR="00E74F17">
        <w:rPr>
          <w:sz w:val="24"/>
          <w:szCs w:val="24"/>
        </w:rPr>
        <w:t xml:space="preserve"> </w:t>
      </w:r>
      <w:r w:rsidRPr="008E221A">
        <w:rPr>
          <w:sz w:val="24"/>
          <w:szCs w:val="24"/>
        </w:rPr>
        <w:t>Oxford</w:t>
      </w:r>
      <w:r w:rsidR="00E74F17">
        <w:rPr>
          <w:sz w:val="24"/>
          <w:szCs w:val="24"/>
        </w:rPr>
        <w:t xml:space="preserve"> </w:t>
      </w:r>
      <w:proofErr w:type="spellStart"/>
      <w:r w:rsidRPr="008E221A">
        <w:rPr>
          <w:sz w:val="24"/>
          <w:szCs w:val="24"/>
        </w:rPr>
        <w:t>University</w:t>
      </w:r>
      <w:proofErr w:type="spellEnd"/>
      <w:r w:rsidR="00052A13">
        <w:rPr>
          <w:sz w:val="24"/>
          <w:szCs w:val="24"/>
        </w:rPr>
        <w:t xml:space="preserve"> </w:t>
      </w:r>
      <w:proofErr w:type="spellStart"/>
      <w:r w:rsidR="00052A13">
        <w:rPr>
          <w:sz w:val="24"/>
          <w:szCs w:val="24"/>
        </w:rPr>
        <w:t>Press</w:t>
      </w:r>
      <w:proofErr w:type="spellEnd"/>
      <w:r w:rsidR="00E74F17">
        <w:rPr>
          <w:sz w:val="24"/>
          <w:szCs w:val="24"/>
        </w:rPr>
        <w:t>, 481-500.</w:t>
      </w:r>
    </w:p>
    <w:p w:rsidR="00E72BE2" w:rsidRDefault="00E72BE2" w:rsidP="00D7470D">
      <w:pPr>
        <w:spacing w:after="0" w:line="360" w:lineRule="auto"/>
        <w:jc w:val="both"/>
        <w:rPr>
          <w:rFonts w:asciiTheme="minorHAnsi" w:eastAsia="Times New Roman" w:hAnsiTheme="minorHAnsi" w:cs="Calibri"/>
          <w:sz w:val="24"/>
          <w:szCs w:val="24"/>
          <w:lang w:val="en-US" w:eastAsia="en-GB"/>
        </w:rPr>
      </w:pPr>
    </w:p>
    <w:p w:rsidR="00E72BE2" w:rsidRDefault="00E72BE2" w:rsidP="00D7470D">
      <w:pPr>
        <w:spacing w:after="0" w:line="360" w:lineRule="auto"/>
        <w:jc w:val="both"/>
        <w:rPr>
          <w:rFonts w:asciiTheme="minorHAnsi" w:eastAsia="Times New Roman" w:hAnsiTheme="minorHAnsi" w:cs="Calibri"/>
          <w:sz w:val="24"/>
          <w:szCs w:val="24"/>
          <w:lang w:eastAsia="en-GB"/>
        </w:rPr>
      </w:pPr>
      <w:proofErr w:type="spellStart"/>
      <w:r>
        <w:rPr>
          <w:rFonts w:asciiTheme="minorHAnsi" w:eastAsia="Times New Roman" w:hAnsiTheme="minorHAnsi" w:cs="Calibri"/>
          <w:sz w:val="24"/>
          <w:szCs w:val="24"/>
          <w:lang w:val="en-US" w:eastAsia="en-GB"/>
        </w:rPr>
        <w:lastRenderedPageBreak/>
        <w:t>Pernice</w:t>
      </w:r>
      <w:proofErr w:type="spellEnd"/>
      <w:r>
        <w:rPr>
          <w:rFonts w:asciiTheme="minorHAnsi" w:eastAsia="Times New Roman" w:hAnsiTheme="minorHAnsi" w:cs="Calibri"/>
          <w:sz w:val="24"/>
          <w:szCs w:val="24"/>
          <w:lang w:val="en-US" w:eastAsia="en-GB"/>
        </w:rPr>
        <w:t xml:space="preserve">, </w:t>
      </w:r>
      <w:proofErr w:type="spellStart"/>
      <w:r>
        <w:rPr>
          <w:rFonts w:asciiTheme="minorHAnsi" w:eastAsia="Times New Roman" w:hAnsiTheme="minorHAnsi" w:cs="Calibri"/>
          <w:sz w:val="24"/>
          <w:szCs w:val="24"/>
          <w:lang w:val="en-US" w:eastAsia="en-GB"/>
        </w:rPr>
        <w:t>Ingolf</w:t>
      </w:r>
      <w:proofErr w:type="spellEnd"/>
      <w:r>
        <w:rPr>
          <w:rFonts w:asciiTheme="minorHAnsi" w:eastAsia="Times New Roman" w:hAnsiTheme="minorHAnsi" w:cs="Calibri"/>
          <w:sz w:val="24"/>
          <w:szCs w:val="24"/>
          <w:lang w:val="en-US" w:eastAsia="en-GB"/>
        </w:rPr>
        <w:t xml:space="preserve">, </w:t>
      </w:r>
      <w:r w:rsidR="00AB4D7C">
        <w:rPr>
          <w:rFonts w:asciiTheme="minorHAnsi" w:eastAsia="Times New Roman" w:hAnsiTheme="minorHAnsi" w:cs="Calibri"/>
          <w:sz w:val="24"/>
          <w:szCs w:val="24"/>
          <w:lang w:val="en-US" w:eastAsia="en-GB"/>
        </w:rPr>
        <w:t>«</w:t>
      </w:r>
      <w:r>
        <w:rPr>
          <w:rFonts w:asciiTheme="minorHAnsi" w:eastAsia="Times New Roman" w:hAnsiTheme="minorHAnsi" w:cs="Calibri"/>
          <w:sz w:val="24"/>
          <w:szCs w:val="24"/>
          <w:lang w:val="en-US" w:eastAsia="en-GB"/>
        </w:rPr>
        <w:t>The Treaty of Lisbon: Multilevel Constituti</w:t>
      </w:r>
      <w:r w:rsidR="00E700C9">
        <w:rPr>
          <w:rFonts w:asciiTheme="minorHAnsi" w:eastAsia="Times New Roman" w:hAnsiTheme="minorHAnsi" w:cs="Calibri"/>
          <w:sz w:val="24"/>
          <w:szCs w:val="24"/>
          <w:lang w:val="en-US" w:eastAsia="en-GB"/>
        </w:rPr>
        <w:t>onalism in Action</w:t>
      </w:r>
      <w:r w:rsidR="00AB4D7C">
        <w:rPr>
          <w:rFonts w:asciiTheme="minorHAnsi" w:eastAsia="Times New Roman" w:hAnsiTheme="minorHAnsi" w:cs="Calibri"/>
          <w:sz w:val="24"/>
          <w:szCs w:val="24"/>
          <w:lang w:val="en-US" w:eastAsia="en-GB"/>
        </w:rPr>
        <w:t>»</w:t>
      </w:r>
      <w:r w:rsidR="00E700C9">
        <w:rPr>
          <w:rFonts w:asciiTheme="minorHAnsi" w:eastAsia="Times New Roman" w:hAnsiTheme="minorHAnsi" w:cs="Calibri"/>
          <w:sz w:val="24"/>
          <w:szCs w:val="24"/>
          <w:lang w:val="en-US" w:eastAsia="en-GB"/>
        </w:rPr>
        <w:t xml:space="preserve">, </w:t>
      </w:r>
      <w:r w:rsidR="00E700C9" w:rsidRPr="00AB4D7C">
        <w:rPr>
          <w:rFonts w:asciiTheme="minorHAnsi" w:eastAsia="Times New Roman" w:hAnsiTheme="minorHAnsi" w:cs="Calibri"/>
          <w:i/>
          <w:sz w:val="24"/>
          <w:szCs w:val="24"/>
          <w:lang w:val="en-US" w:eastAsia="en-GB"/>
        </w:rPr>
        <w:t>Columbia Law</w:t>
      </w:r>
      <w:r w:rsidRPr="00AB4D7C">
        <w:rPr>
          <w:rFonts w:asciiTheme="minorHAnsi" w:eastAsia="Times New Roman" w:hAnsiTheme="minorHAnsi" w:cs="Calibri"/>
          <w:i/>
          <w:sz w:val="24"/>
          <w:szCs w:val="24"/>
          <w:lang w:val="en-US" w:eastAsia="en-GB"/>
        </w:rPr>
        <w:t xml:space="preserve"> Journal </w:t>
      </w:r>
      <w:r>
        <w:rPr>
          <w:rFonts w:asciiTheme="minorHAnsi" w:eastAsia="Times New Roman" w:hAnsiTheme="minorHAnsi" w:cs="Calibri"/>
          <w:sz w:val="24"/>
          <w:szCs w:val="24"/>
          <w:lang w:val="en-US" w:eastAsia="en-GB"/>
        </w:rPr>
        <w:t>15 (</w:t>
      </w:r>
      <w:proofErr w:type="gramStart"/>
      <w:r w:rsidR="00B91FF6">
        <w:rPr>
          <w:rFonts w:asciiTheme="minorHAnsi" w:eastAsia="Times New Roman" w:hAnsiTheme="minorHAnsi" w:cs="Calibri"/>
          <w:sz w:val="24"/>
          <w:szCs w:val="24"/>
          <w:lang w:val="en-US" w:eastAsia="en-GB"/>
        </w:rPr>
        <w:t>Summer</w:t>
      </w:r>
      <w:proofErr w:type="gramEnd"/>
      <w:r>
        <w:rPr>
          <w:rFonts w:asciiTheme="minorHAnsi" w:eastAsia="Times New Roman" w:hAnsiTheme="minorHAnsi" w:cs="Calibri"/>
          <w:sz w:val="24"/>
          <w:szCs w:val="24"/>
          <w:lang w:val="en-US" w:eastAsia="en-GB"/>
        </w:rPr>
        <w:t>: 2009): 349-407.</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D7470D" w:rsidP="00D7470D">
      <w:pPr>
        <w:spacing w:after="0" w:line="360" w:lineRule="auto"/>
        <w:jc w:val="both"/>
        <w:rPr>
          <w:rFonts w:asciiTheme="minorHAnsi" w:eastAsia="Times New Roman" w:hAnsiTheme="minorHAnsi" w:cs="Calibri"/>
          <w:sz w:val="24"/>
          <w:szCs w:val="24"/>
          <w:lang w:val="en-US" w:eastAsia="en-GB"/>
        </w:rPr>
      </w:pPr>
      <w:proofErr w:type="spellStart"/>
      <w:r>
        <w:rPr>
          <w:rFonts w:asciiTheme="minorHAnsi" w:eastAsia="Times New Roman" w:hAnsiTheme="minorHAnsi" w:cs="Calibri"/>
          <w:sz w:val="24"/>
          <w:szCs w:val="24"/>
          <w:lang w:val="en-US" w:eastAsia="en-GB"/>
        </w:rPr>
        <w:t>Piris</w:t>
      </w:r>
      <w:proofErr w:type="spellEnd"/>
      <w:r>
        <w:rPr>
          <w:rFonts w:asciiTheme="minorHAnsi" w:eastAsia="Times New Roman" w:hAnsiTheme="minorHAnsi" w:cs="Calibri"/>
          <w:sz w:val="24"/>
          <w:szCs w:val="24"/>
          <w:lang w:val="en-US" w:eastAsia="en-GB"/>
        </w:rPr>
        <w:t>, Jean-Claude (2010)</w:t>
      </w:r>
      <w:r w:rsidR="003B3985">
        <w:rPr>
          <w:rFonts w:asciiTheme="minorHAnsi" w:eastAsia="Times New Roman" w:hAnsiTheme="minorHAnsi" w:cs="Calibri"/>
          <w:sz w:val="24"/>
          <w:szCs w:val="24"/>
          <w:lang w:val="en-US" w:eastAsia="en-GB"/>
        </w:rPr>
        <w:t xml:space="preserve">, </w:t>
      </w:r>
      <w:proofErr w:type="gramStart"/>
      <w:r w:rsidRPr="00AB4D7C">
        <w:rPr>
          <w:rFonts w:asciiTheme="minorHAnsi" w:eastAsia="Times New Roman" w:hAnsiTheme="minorHAnsi" w:cs="Calibri"/>
          <w:i/>
          <w:sz w:val="24"/>
          <w:szCs w:val="24"/>
          <w:lang w:val="en-US" w:eastAsia="en-GB"/>
        </w:rPr>
        <w:t>The</w:t>
      </w:r>
      <w:proofErr w:type="gramEnd"/>
      <w:r w:rsidRPr="00AB4D7C">
        <w:rPr>
          <w:rFonts w:asciiTheme="minorHAnsi" w:eastAsia="Times New Roman" w:hAnsiTheme="minorHAnsi" w:cs="Calibri"/>
          <w:i/>
          <w:sz w:val="24"/>
          <w:szCs w:val="24"/>
          <w:lang w:val="en-US" w:eastAsia="en-GB"/>
        </w:rPr>
        <w:t xml:space="preserve"> Lisbon Treaty: A Legal and Political Analysis</w:t>
      </w:r>
      <w:r>
        <w:rPr>
          <w:rFonts w:asciiTheme="minorHAnsi" w:eastAsia="Times New Roman" w:hAnsiTheme="minorHAnsi" w:cs="Calibri"/>
          <w:sz w:val="24"/>
          <w:szCs w:val="24"/>
          <w:lang w:val="en-US" w:eastAsia="en-GB"/>
        </w:rPr>
        <w:t>, Cambridge: Cambridge University Press.</w:t>
      </w:r>
    </w:p>
    <w:p w:rsidR="00E55434" w:rsidRDefault="00E55434" w:rsidP="00D7470D">
      <w:pPr>
        <w:spacing w:after="0" w:line="360" w:lineRule="auto"/>
        <w:jc w:val="both"/>
        <w:rPr>
          <w:rFonts w:asciiTheme="minorHAnsi" w:eastAsia="Times New Roman" w:hAnsiTheme="minorHAnsi" w:cs="Calibri"/>
          <w:sz w:val="24"/>
          <w:szCs w:val="24"/>
          <w:lang w:val="en-US" w:eastAsia="en-GB"/>
        </w:rPr>
      </w:pPr>
    </w:p>
    <w:p w:rsidR="00E55434" w:rsidRDefault="00E55434" w:rsidP="00E55434">
      <w:pPr>
        <w:spacing w:after="0" w:line="360" w:lineRule="auto"/>
        <w:jc w:val="both"/>
        <w:rPr>
          <w:rFonts w:asciiTheme="minorHAnsi" w:eastAsia="Times New Roman" w:hAnsiTheme="minorHAnsi" w:cs="Calibri"/>
          <w:sz w:val="24"/>
          <w:szCs w:val="24"/>
          <w:lang w:eastAsia="en-GB"/>
        </w:rPr>
      </w:pPr>
      <w:r w:rsidRPr="0027687D">
        <w:rPr>
          <w:rFonts w:asciiTheme="minorHAnsi" w:eastAsia="Times New Roman" w:hAnsiTheme="minorHAnsi" w:cs="Calibri"/>
          <w:sz w:val="24"/>
          <w:szCs w:val="24"/>
          <w:lang w:eastAsia="en-GB"/>
        </w:rPr>
        <w:t>Quadros, Fausto de (2013)</w:t>
      </w:r>
      <w:r w:rsidR="00052A13">
        <w:rPr>
          <w:rFonts w:asciiTheme="minorHAnsi" w:eastAsia="Times New Roman" w:hAnsiTheme="minorHAnsi" w:cs="Calibri"/>
          <w:sz w:val="24"/>
          <w:szCs w:val="24"/>
          <w:lang w:eastAsia="en-GB"/>
        </w:rPr>
        <w:t>,</w:t>
      </w:r>
      <w:r w:rsidRPr="0027687D">
        <w:rPr>
          <w:rFonts w:asciiTheme="minorHAnsi" w:eastAsia="Times New Roman" w:hAnsiTheme="minorHAnsi" w:cs="Calibri"/>
          <w:sz w:val="24"/>
          <w:szCs w:val="24"/>
          <w:lang w:eastAsia="en-GB"/>
        </w:rPr>
        <w:t xml:space="preserve"> </w:t>
      </w:r>
      <w:r w:rsidRPr="00710106">
        <w:rPr>
          <w:rFonts w:asciiTheme="minorHAnsi" w:eastAsia="Times New Roman" w:hAnsiTheme="minorHAnsi" w:cs="Calibri"/>
          <w:i/>
          <w:sz w:val="24"/>
          <w:szCs w:val="24"/>
          <w:lang w:eastAsia="en-GB"/>
        </w:rPr>
        <w:t>Direito da União Europeia: 3ª edição</w:t>
      </w:r>
      <w:r>
        <w:rPr>
          <w:rFonts w:asciiTheme="minorHAnsi" w:eastAsia="Times New Roman" w:hAnsiTheme="minorHAnsi" w:cs="Calibri"/>
          <w:sz w:val="24"/>
          <w:szCs w:val="24"/>
          <w:lang w:eastAsia="en-GB"/>
        </w:rPr>
        <w:t>, Coimbra: Almedina.</w:t>
      </w:r>
    </w:p>
    <w:p w:rsidR="00710106" w:rsidRDefault="00710106" w:rsidP="00D7470D">
      <w:pPr>
        <w:spacing w:after="0" w:line="360" w:lineRule="auto"/>
        <w:jc w:val="both"/>
        <w:rPr>
          <w:rFonts w:asciiTheme="minorHAnsi" w:eastAsia="Times New Roman" w:hAnsiTheme="minorHAnsi" w:cs="Calibri"/>
          <w:sz w:val="24"/>
          <w:szCs w:val="24"/>
          <w:lang w:val="en-US" w:eastAsia="en-GB"/>
        </w:rPr>
      </w:pPr>
    </w:p>
    <w:p w:rsidR="000A2AA6" w:rsidRDefault="000A2AA6" w:rsidP="00D7470D">
      <w:pPr>
        <w:spacing w:after="0" w:line="360" w:lineRule="auto"/>
        <w:jc w:val="both"/>
        <w:rPr>
          <w:rFonts w:asciiTheme="minorHAnsi" w:eastAsia="Times New Roman" w:hAnsiTheme="minorHAnsi" w:cs="Calibri"/>
          <w:sz w:val="24"/>
          <w:szCs w:val="24"/>
          <w:lang w:eastAsia="en-GB"/>
        </w:rPr>
      </w:pPr>
      <w:proofErr w:type="spellStart"/>
      <w:r>
        <w:rPr>
          <w:rFonts w:asciiTheme="minorHAnsi" w:eastAsia="Times New Roman" w:hAnsiTheme="minorHAnsi" w:cs="Calibri"/>
          <w:sz w:val="24"/>
          <w:szCs w:val="24"/>
          <w:lang w:val="en-US" w:eastAsia="en-GB"/>
        </w:rPr>
        <w:t>Schütze</w:t>
      </w:r>
      <w:proofErr w:type="spellEnd"/>
      <w:r>
        <w:rPr>
          <w:rFonts w:asciiTheme="minorHAnsi" w:eastAsia="Times New Roman" w:hAnsiTheme="minorHAnsi" w:cs="Calibri"/>
          <w:sz w:val="24"/>
          <w:szCs w:val="24"/>
          <w:lang w:val="en-US" w:eastAsia="en-GB"/>
        </w:rPr>
        <w:t xml:space="preserve">, Robert (2015), </w:t>
      </w:r>
      <w:r w:rsidRPr="00AB4D7C">
        <w:rPr>
          <w:rFonts w:asciiTheme="minorHAnsi" w:eastAsia="Times New Roman" w:hAnsiTheme="minorHAnsi" w:cs="Calibri"/>
          <w:i/>
          <w:sz w:val="24"/>
          <w:szCs w:val="24"/>
          <w:lang w:val="en-US" w:eastAsia="en-GB"/>
        </w:rPr>
        <w:t>European Union Law</w:t>
      </w:r>
      <w:r>
        <w:rPr>
          <w:rFonts w:asciiTheme="minorHAnsi" w:eastAsia="Times New Roman" w:hAnsiTheme="minorHAnsi" w:cs="Calibri"/>
          <w:sz w:val="24"/>
          <w:szCs w:val="24"/>
          <w:lang w:val="en-US" w:eastAsia="en-GB"/>
        </w:rPr>
        <w:t>, Cambridge: Cambridge University Press.</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AB4D7C" w:rsidP="00D7470D">
      <w:pPr>
        <w:spacing w:after="0" w:line="360" w:lineRule="auto"/>
        <w:jc w:val="both"/>
        <w:rPr>
          <w:rFonts w:asciiTheme="minorHAnsi" w:eastAsia="Times New Roman" w:hAnsiTheme="minorHAnsi" w:cs="Calibri"/>
          <w:sz w:val="24"/>
          <w:szCs w:val="24"/>
          <w:lang w:eastAsia="en-GB"/>
        </w:rPr>
      </w:pPr>
      <w:proofErr w:type="spellStart"/>
      <w:r>
        <w:rPr>
          <w:rFonts w:asciiTheme="minorHAnsi" w:eastAsia="Times New Roman" w:hAnsiTheme="minorHAnsi" w:cs="Calibri"/>
          <w:sz w:val="24"/>
          <w:szCs w:val="24"/>
          <w:lang w:val="en-US" w:eastAsia="en-GB"/>
        </w:rPr>
        <w:t>Sunstein</w:t>
      </w:r>
      <w:proofErr w:type="spellEnd"/>
      <w:r>
        <w:rPr>
          <w:rFonts w:asciiTheme="minorHAnsi" w:eastAsia="Times New Roman" w:hAnsiTheme="minorHAnsi" w:cs="Calibri"/>
          <w:sz w:val="24"/>
          <w:szCs w:val="24"/>
          <w:lang w:val="en-US" w:eastAsia="en-GB"/>
        </w:rPr>
        <w:t>, Cass R., «</w:t>
      </w:r>
      <w:r w:rsidR="002A4B0D">
        <w:rPr>
          <w:rFonts w:asciiTheme="minorHAnsi" w:eastAsia="Times New Roman" w:hAnsiTheme="minorHAnsi" w:cs="Calibri"/>
          <w:sz w:val="24"/>
          <w:szCs w:val="24"/>
          <w:lang w:val="en-US" w:eastAsia="en-GB"/>
        </w:rPr>
        <w:t>Constitutionali</w:t>
      </w:r>
      <w:r>
        <w:rPr>
          <w:rFonts w:asciiTheme="minorHAnsi" w:eastAsia="Times New Roman" w:hAnsiTheme="minorHAnsi" w:cs="Calibri"/>
          <w:sz w:val="24"/>
          <w:szCs w:val="24"/>
          <w:lang w:val="en-US" w:eastAsia="en-GB"/>
        </w:rPr>
        <w:t xml:space="preserve">sm and Secession», </w:t>
      </w:r>
      <w:proofErr w:type="gramStart"/>
      <w:r w:rsidR="00E8130C" w:rsidRPr="00AB4D7C">
        <w:rPr>
          <w:rFonts w:asciiTheme="minorHAnsi" w:eastAsia="Times New Roman" w:hAnsiTheme="minorHAnsi" w:cs="Calibri"/>
          <w:i/>
          <w:sz w:val="24"/>
          <w:szCs w:val="24"/>
          <w:lang w:val="en-US" w:eastAsia="en-GB"/>
        </w:rPr>
        <w:t>The</w:t>
      </w:r>
      <w:proofErr w:type="gramEnd"/>
      <w:r w:rsidR="00E8130C" w:rsidRPr="00AB4D7C">
        <w:rPr>
          <w:rFonts w:asciiTheme="minorHAnsi" w:eastAsia="Times New Roman" w:hAnsiTheme="minorHAnsi" w:cs="Calibri"/>
          <w:i/>
          <w:sz w:val="24"/>
          <w:szCs w:val="24"/>
          <w:lang w:val="en-US" w:eastAsia="en-GB"/>
        </w:rPr>
        <w:t xml:space="preserve"> Universit</w:t>
      </w:r>
      <w:r w:rsidR="002A4B0D" w:rsidRPr="00AB4D7C">
        <w:rPr>
          <w:rFonts w:asciiTheme="minorHAnsi" w:eastAsia="Times New Roman" w:hAnsiTheme="minorHAnsi" w:cs="Calibri"/>
          <w:i/>
          <w:sz w:val="24"/>
          <w:szCs w:val="24"/>
          <w:lang w:val="en-US" w:eastAsia="en-GB"/>
        </w:rPr>
        <w:t xml:space="preserve">y of Chicago Law Review </w:t>
      </w:r>
      <w:r w:rsidR="002A4B0D">
        <w:rPr>
          <w:rFonts w:asciiTheme="minorHAnsi" w:eastAsia="Times New Roman" w:hAnsiTheme="minorHAnsi" w:cs="Calibri"/>
          <w:sz w:val="24"/>
          <w:szCs w:val="24"/>
          <w:lang w:val="en-US" w:eastAsia="en-GB"/>
        </w:rPr>
        <w:t>58 (2: 1991): 633-670.</w:t>
      </w:r>
    </w:p>
    <w:p w:rsidR="000A2AA6" w:rsidRDefault="000A2AA6" w:rsidP="00D7470D">
      <w:pPr>
        <w:spacing w:after="0" w:line="360" w:lineRule="auto"/>
        <w:jc w:val="both"/>
        <w:rPr>
          <w:rFonts w:asciiTheme="minorHAnsi" w:eastAsia="Times New Roman" w:hAnsiTheme="minorHAnsi" w:cs="Calibri"/>
          <w:sz w:val="24"/>
          <w:szCs w:val="24"/>
          <w:lang w:eastAsia="en-GB"/>
        </w:rPr>
      </w:pPr>
    </w:p>
    <w:p w:rsidR="000A2AA6" w:rsidRDefault="00AB4D7C" w:rsidP="00E46FFC">
      <w:pPr>
        <w:spacing w:after="0" w:line="360" w:lineRule="auto"/>
        <w:jc w:val="both"/>
        <w:rPr>
          <w:rFonts w:asciiTheme="minorHAnsi" w:eastAsia="Times New Roman" w:hAnsiTheme="minorHAnsi" w:cs="Calibri"/>
          <w:sz w:val="24"/>
          <w:szCs w:val="24"/>
          <w:lang w:val="en-US" w:eastAsia="en-GB"/>
        </w:rPr>
      </w:pPr>
      <w:r>
        <w:rPr>
          <w:rFonts w:asciiTheme="minorHAnsi" w:eastAsia="Times New Roman" w:hAnsiTheme="minorHAnsi" w:cs="Calibri"/>
          <w:sz w:val="24"/>
          <w:szCs w:val="24"/>
          <w:lang w:val="en-US" w:eastAsia="en-GB"/>
        </w:rPr>
        <w:t>Tatham, Alan (2012), «</w:t>
      </w:r>
      <w:r w:rsidR="00A06A0F">
        <w:rPr>
          <w:rFonts w:asciiTheme="minorHAnsi" w:eastAsia="Times New Roman" w:hAnsiTheme="minorHAnsi" w:cs="Calibri"/>
          <w:sz w:val="24"/>
          <w:szCs w:val="24"/>
          <w:lang w:val="en-US" w:eastAsia="en-GB"/>
        </w:rPr>
        <w:t>Don´t mention Divorce at the Wedding: Darl</w:t>
      </w:r>
      <w:r w:rsidR="003B3985">
        <w:rPr>
          <w:rFonts w:asciiTheme="minorHAnsi" w:eastAsia="Times New Roman" w:hAnsiTheme="minorHAnsi" w:cs="Calibri"/>
          <w:sz w:val="24"/>
          <w:szCs w:val="24"/>
          <w:lang w:val="en-US" w:eastAsia="en-GB"/>
        </w:rPr>
        <w:t>ing</w:t>
      </w:r>
      <w:proofErr w:type="gramStart"/>
      <w:r w:rsidR="003B3985">
        <w:rPr>
          <w:rFonts w:asciiTheme="minorHAnsi" w:eastAsia="Times New Roman" w:hAnsiTheme="minorHAnsi" w:cs="Calibri"/>
          <w:sz w:val="24"/>
          <w:szCs w:val="24"/>
          <w:lang w:val="en-US" w:eastAsia="en-GB"/>
        </w:rPr>
        <w:t>!:</w:t>
      </w:r>
      <w:proofErr w:type="gramEnd"/>
      <w:r w:rsidR="00A06A0F">
        <w:rPr>
          <w:rFonts w:asciiTheme="minorHAnsi" w:eastAsia="Times New Roman" w:hAnsiTheme="minorHAnsi" w:cs="Calibri"/>
          <w:sz w:val="24"/>
          <w:szCs w:val="24"/>
          <w:lang w:val="en-US" w:eastAsia="en-GB"/>
        </w:rPr>
        <w:t xml:space="preserve"> EU Access</w:t>
      </w:r>
      <w:r>
        <w:rPr>
          <w:rFonts w:asciiTheme="minorHAnsi" w:eastAsia="Times New Roman" w:hAnsiTheme="minorHAnsi" w:cs="Calibri"/>
          <w:sz w:val="24"/>
          <w:szCs w:val="24"/>
          <w:lang w:val="en-US" w:eastAsia="en-GB"/>
        </w:rPr>
        <w:t>ion and Withdrawal after Lisbon»</w:t>
      </w:r>
      <w:r w:rsidR="00A06A0F">
        <w:rPr>
          <w:rFonts w:asciiTheme="minorHAnsi" w:eastAsia="Times New Roman" w:hAnsiTheme="minorHAnsi" w:cs="Calibri"/>
          <w:sz w:val="24"/>
          <w:szCs w:val="24"/>
          <w:lang w:val="en-US" w:eastAsia="en-GB"/>
        </w:rPr>
        <w:t xml:space="preserve"> in </w:t>
      </w:r>
      <w:r w:rsidR="00A06A0F" w:rsidRPr="00710106">
        <w:rPr>
          <w:rFonts w:asciiTheme="minorHAnsi" w:eastAsia="Times New Roman" w:hAnsiTheme="minorHAnsi" w:cs="Calibri"/>
          <w:i/>
          <w:sz w:val="24"/>
          <w:szCs w:val="24"/>
          <w:lang w:val="en-US" w:eastAsia="en-GB"/>
        </w:rPr>
        <w:t>EU Law After Lisbon</w:t>
      </w:r>
      <w:r w:rsidR="00A06A0F">
        <w:rPr>
          <w:rFonts w:asciiTheme="minorHAnsi" w:eastAsia="Times New Roman" w:hAnsiTheme="minorHAnsi" w:cs="Calibri"/>
          <w:sz w:val="24"/>
          <w:szCs w:val="24"/>
          <w:lang w:val="en-US" w:eastAsia="en-GB"/>
        </w:rPr>
        <w:t xml:space="preserve"> edited by Andrea Biondi, Piet </w:t>
      </w:r>
      <w:proofErr w:type="spellStart"/>
      <w:r w:rsidR="00A06A0F">
        <w:rPr>
          <w:rFonts w:asciiTheme="minorHAnsi" w:eastAsia="Times New Roman" w:hAnsiTheme="minorHAnsi" w:cs="Calibri"/>
          <w:sz w:val="24"/>
          <w:szCs w:val="24"/>
          <w:lang w:val="en-US" w:eastAsia="en-GB"/>
        </w:rPr>
        <w:t>Eeckhout</w:t>
      </w:r>
      <w:proofErr w:type="spellEnd"/>
      <w:r w:rsidR="00A06A0F">
        <w:rPr>
          <w:rFonts w:asciiTheme="minorHAnsi" w:eastAsia="Times New Roman" w:hAnsiTheme="minorHAnsi" w:cs="Calibri"/>
          <w:sz w:val="24"/>
          <w:szCs w:val="24"/>
          <w:lang w:val="en-US" w:eastAsia="en-GB"/>
        </w:rPr>
        <w:t xml:space="preserve"> and Stefanie Ripley, </w:t>
      </w:r>
      <w:r w:rsidR="008957D6">
        <w:rPr>
          <w:rFonts w:asciiTheme="minorHAnsi" w:eastAsia="Times New Roman" w:hAnsiTheme="minorHAnsi" w:cs="Calibri"/>
          <w:sz w:val="24"/>
          <w:szCs w:val="24"/>
          <w:lang w:val="en-US" w:eastAsia="en-GB"/>
        </w:rPr>
        <w:t>Oxford: Oxford University Press, 128-154.</w:t>
      </w:r>
    </w:p>
    <w:p w:rsidR="00E74F17" w:rsidRDefault="00E74F17" w:rsidP="00E46FFC">
      <w:pPr>
        <w:spacing w:after="0" w:line="360" w:lineRule="auto"/>
        <w:jc w:val="both"/>
        <w:rPr>
          <w:rFonts w:asciiTheme="minorHAnsi" w:eastAsia="Times New Roman" w:hAnsiTheme="minorHAnsi" w:cs="Calibri"/>
          <w:sz w:val="24"/>
          <w:szCs w:val="24"/>
          <w:lang w:val="en-US" w:eastAsia="en-GB"/>
        </w:rPr>
      </w:pPr>
    </w:p>
    <w:p w:rsidR="00E74F17" w:rsidRDefault="00FF245A" w:rsidP="00E74F17">
      <w:pPr>
        <w:spacing w:after="0" w:line="360" w:lineRule="auto"/>
        <w:jc w:val="both"/>
        <w:rPr>
          <w:rFonts w:cs="Calibri"/>
          <w:sz w:val="24"/>
          <w:szCs w:val="24"/>
          <w:lang w:val="en-US"/>
        </w:rPr>
      </w:pPr>
      <w:r>
        <w:rPr>
          <w:rFonts w:asciiTheme="minorHAnsi" w:eastAsia="Times New Roman" w:hAnsiTheme="minorHAnsi" w:cs="Calibri"/>
          <w:sz w:val="24"/>
          <w:szCs w:val="24"/>
          <w:lang w:val="en-US" w:eastAsia="en-GB"/>
        </w:rPr>
        <w:t xml:space="preserve">Walker, Neil, «The European Fallout», </w:t>
      </w:r>
      <w:r w:rsidR="00E74F17" w:rsidRPr="001D6E15">
        <w:rPr>
          <w:rFonts w:cs="Calibri"/>
          <w:i/>
          <w:sz w:val="24"/>
          <w:szCs w:val="24"/>
          <w:lang w:val="en-US"/>
        </w:rPr>
        <w:t>German Law Journal</w:t>
      </w:r>
      <w:r w:rsidRPr="001D6E15">
        <w:rPr>
          <w:rFonts w:cs="Calibri"/>
          <w:i/>
          <w:sz w:val="24"/>
          <w:szCs w:val="24"/>
          <w:lang w:val="en-US"/>
        </w:rPr>
        <w:t xml:space="preserve"> 17 – Brexit Supplement </w:t>
      </w:r>
      <w:r>
        <w:rPr>
          <w:rFonts w:cs="Calibri"/>
          <w:sz w:val="24"/>
          <w:szCs w:val="24"/>
          <w:lang w:val="en-US"/>
        </w:rPr>
        <w:t xml:space="preserve">(July: </w:t>
      </w:r>
      <w:r w:rsidR="00E74F17">
        <w:rPr>
          <w:rFonts w:cs="Calibri"/>
          <w:sz w:val="24"/>
          <w:szCs w:val="24"/>
          <w:lang w:val="en-US"/>
        </w:rPr>
        <w:t>2016</w:t>
      </w:r>
      <w:r w:rsidR="00E74F17" w:rsidRPr="00F33029">
        <w:rPr>
          <w:rFonts w:cs="Calibri"/>
          <w:sz w:val="24"/>
          <w:szCs w:val="24"/>
          <w:lang w:val="en-US"/>
        </w:rPr>
        <w:t xml:space="preserve">): </w:t>
      </w:r>
      <w:r>
        <w:rPr>
          <w:rFonts w:cs="Calibri"/>
          <w:sz w:val="24"/>
          <w:szCs w:val="24"/>
          <w:lang w:val="en-US"/>
        </w:rPr>
        <w:t>125-129.</w:t>
      </w:r>
    </w:p>
    <w:p w:rsidR="000A2AA6" w:rsidRDefault="000A2AA6" w:rsidP="00E46FFC">
      <w:pPr>
        <w:spacing w:after="0" w:line="360" w:lineRule="auto"/>
        <w:jc w:val="both"/>
        <w:rPr>
          <w:rFonts w:asciiTheme="minorHAnsi" w:eastAsia="Times New Roman" w:hAnsiTheme="minorHAnsi" w:cs="Calibri"/>
          <w:sz w:val="24"/>
          <w:szCs w:val="24"/>
          <w:lang w:eastAsia="en-GB"/>
        </w:rPr>
      </w:pPr>
    </w:p>
    <w:p w:rsidR="000A2AA6" w:rsidRDefault="00E46FFC" w:rsidP="00E46FFC">
      <w:pPr>
        <w:spacing w:after="0" w:line="360" w:lineRule="auto"/>
        <w:jc w:val="both"/>
        <w:rPr>
          <w:rFonts w:asciiTheme="minorHAnsi" w:eastAsia="Times New Roman" w:hAnsiTheme="minorHAnsi" w:cs="Calibri"/>
          <w:sz w:val="24"/>
          <w:szCs w:val="24"/>
          <w:lang w:eastAsia="en-GB"/>
        </w:rPr>
      </w:pPr>
      <w:r w:rsidRPr="00381DAC">
        <w:rPr>
          <w:rFonts w:asciiTheme="minorHAnsi" w:eastAsia="Times New Roman" w:hAnsiTheme="minorHAnsi" w:cs="Calibri"/>
          <w:sz w:val="24"/>
          <w:szCs w:val="24"/>
          <w:lang w:val="en-US" w:eastAsia="en-GB"/>
        </w:rPr>
        <w:t xml:space="preserve">Watts, Ronald </w:t>
      </w:r>
      <w:r w:rsidR="00D96D57">
        <w:rPr>
          <w:rFonts w:asciiTheme="minorHAnsi" w:eastAsia="Times New Roman" w:hAnsiTheme="minorHAnsi" w:cs="Calibri"/>
          <w:sz w:val="24"/>
          <w:szCs w:val="24"/>
          <w:lang w:val="en-US" w:eastAsia="en-GB"/>
        </w:rPr>
        <w:t xml:space="preserve">L. </w:t>
      </w:r>
      <w:r w:rsidRPr="00381DAC">
        <w:rPr>
          <w:rFonts w:asciiTheme="minorHAnsi" w:eastAsia="Times New Roman" w:hAnsiTheme="minorHAnsi" w:cs="Calibri"/>
          <w:sz w:val="24"/>
          <w:szCs w:val="24"/>
          <w:lang w:val="en-US" w:eastAsia="en-GB"/>
        </w:rPr>
        <w:t>(2008)</w:t>
      </w:r>
      <w:r w:rsidR="00AB4D7C">
        <w:rPr>
          <w:rFonts w:asciiTheme="minorHAnsi" w:eastAsia="Times New Roman" w:hAnsiTheme="minorHAnsi" w:cs="Calibri"/>
          <w:sz w:val="24"/>
          <w:szCs w:val="24"/>
          <w:lang w:val="en-US" w:eastAsia="en-GB"/>
        </w:rPr>
        <w:t>,</w:t>
      </w:r>
      <w:r w:rsidRPr="00381DAC">
        <w:rPr>
          <w:rFonts w:asciiTheme="minorHAnsi" w:eastAsia="Times New Roman" w:hAnsiTheme="minorHAnsi" w:cs="Calibri"/>
          <w:sz w:val="24"/>
          <w:szCs w:val="24"/>
          <w:lang w:val="en-US" w:eastAsia="en-GB"/>
        </w:rPr>
        <w:t xml:space="preserve"> </w:t>
      </w:r>
      <w:r w:rsidRPr="00710106">
        <w:rPr>
          <w:rFonts w:asciiTheme="minorHAnsi" w:eastAsia="Times New Roman" w:hAnsiTheme="minorHAnsi" w:cs="Calibri"/>
          <w:i/>
          <w:sz w:val="24"/>
          <w:szCs w:val="24"/>
          <w:lang w:val="en-US" w:eastAsia="en-GB"/>
        </w:rPr>
        <w:t>Comparing Federal Systems, 3</w:t>
      </w:r>
      <w:r w:rsidRPr="00710106">
        <w:rPr>
          <w:rFonts w:asciiTheme="minorHAnsi" w:eastAsia="Times New Roman" w:hAnsiTheme="minorHAnsi" w:cs="Calibri"/>
          <w:i/>
          <w:sz w:val="24"/>
          <w:szCs w:val="24"/>
          <w:vertAlign w:val="superscript"/>
          <w:lang w:val="en-US" w:eastAsia="en-GB"/>
        </w:rPr>
        <w:t>rd</w:t>
      </w:r>
      <w:r w:rsidRPr="00710106">
        <w:rPr>
          <w:rFonts w:asciiTheme="minorHAnsi" w:eastAsia="Times New Roman" w:hAnsiTheme="minorHAnsi" w:cs="Calibri"/>
          <w:i/>
          <w:sz w:val="24"/>
          <w:szCs w:val="24"/>
          <w:lang w:val="en-US" w:eastAsia="en-GB"/>
        </w:rPr>
        <w:t xml:space="preserve"> edition</w:t>
      </w:r>
      <w:r w:rsidRPr="00381DAC">
        <w:rPr>
          <w:rFonts w:asciiTheme="minorHAnsi" w:eastAsia="Times New Roman" w:hAnsiTheme="minorHAnsi" w:cs="Calibri"/>
          <w:sz w:val="24"/>
          <w:szCs w:val="24"/>
          <w:lang w:val="en-US" w:eastAsia="en-GB"/>
        </w:rPr>
        <w:t>, Montreal &amp; Kingston: McGill Queen’s University Press.</w:t>
      </w:r>
    </w:p>
    <w:p w:rsidR="000A2AA6" w:rsidRDefault="000A2AA6" w:rsidP="00E46FFC">
      <w:pPr>
        <w:spacing w:after="0" w:line="360" w:lineRule="auto"/>
        <w:jc w:val="both"/>
        <w:rPr>
          <w:rFonts w:asciiTheme="minorHAnsi" w:eastAsia="Times New Roman" w:hAnsiTheme="minorHAnsi" w:cs="Calibri"/>
          <w:sz w:val="24"/>
          <w:szCs w:val="24"/>
          <w:lang w:eastAsia="en-GB"/>
        </w:rPr>
      </w:pPr>
    </w:p>
    <w:p w:rsidR="00523F0B" w:rsidRDefault="00523F0B" w:rsidP="00E46FFC">
      <w:pPr>
        <w:spacing w:after="0" w:line="360" w:lineRule="auto"/>
        <w:jc w:val="both"/>
        <w:rPr>
          <w:rFonts w:asciiTheme="minorHAnsi" w:eastAsia="Times New Roman" w:hAnsiTheme="minorHAnsi" w:cs="Calibri"/>
          <w:sz w:val="24"/>
          <w:szCs w:val="24"/>
          <w:lang w:val="en-US" w:eastAsia="en-GB"/>
        </w:rPr>
      </w:pPr>
      <w:proofErr w:type="spellStart"/>
      <w:r>
        <w:rPr>
          <w:rFonts w:asciiTheme="minorHAnsi" w:eastAsia="Times New Roman" w:hAnsiTheme="minorHAnsi" w:cs="Calibri"/>
          <w:sz w:val="24"/>
          <w:szCs w:val="24"/>
          <w:lang w:val="en-US" w:eastAsia="en-GB"/>
        </w:rPr>
        <w:t>Wyroz</w:t>
      </w:r>
      <w:r w:rsidR="00AB4D7C">
        <w:rPr>
          <w:rFonts w:asciiTheme="minorHAnsi" w:eastAsia="Times New Roman" w:hAnsiTheme="minorHAnsi" w:cs="Calibri"/>
          <w:sz w:val="24"/>
          <w:szCs w:val="24"/>
          <w:lang w:val="en-US" w:eastAsia="en-GB"/>
        </w:rPr>
        <w:t>umska</w:t>
      </w:r>
      <w:proofErr w:type="spellEnd"/>
      <w:r w:rsidR="00AB4D7C">
        <w:rPr>
          <w:rFonts w:asciiTheme="minorHAnsi" w:eastAsia="Times New Roman" w:hAnsiTheme="minorHAnsi" w:cs="Calibri"/>
          <w:sz w:val="24"/>
          <w:szCs w:val="24"/>
          <w:lang w:val="en-US" w:eastAsia="en-GB"/>
        </w:rPr>
        <w:t>, Anna (2013) «</w:t>
      </w:r>
      <w:r w:rsidR="00022639">
        <w:rPr>
          <w:rFonts w:asciiTheme="minorHAnsi" w:eastAsia="Times New Roman" w:hAnsiTheme="minorHAnsi" w:cs="Calibri"/>
          <w:sz w:val="24"/>
          <w:szCs w:val="24"/>
          <w:lang w:val="en-US" w:eastAsia="en-GB"/>
        </w:rPr>
        <w:t>Article 50 V</w:t>
      </w:r>
      <w:r>
        <w:rPr>
          <w:rFonts w:asciiTheme="minorHAnsi" w:eastAsia="Times New Roman" w:hAnsiTheme="minorHAnsi" w:cs="Calibri"/>
          <w:sz w:val="24"/>
          <w:szCs w:val="24"/>
          <w:lang w:val="en-US" w:eastAsia="en-GB"/>
        </w:rPr>
        <w:t>olu</w:t>
      </w:r>
      <w:r w:rsidR="00AB4D7C">
        <w:rPr>
          <w:rFonts w:asciiTheme="minorHAnsi" w:eastAsia="Times New Roman" w:hAnsiTheme="minorHAnsi" w:cs="Calibri"/>
          <w:sz w:val="24"/>
          <w:szCs w:val="24"/>
          <w:lang w:val="en-US" w:eastAsia="en-GB"/>
        </w:rPr>
        <w:t>ntary Withdrawal from the Union»</w:t>
      </w:r>
      <w:r>
        <w:rPr>
          <w:rFonts w:asciiTheme="minorHAnsi" w:eastAsia="Times New Roman" w:hAnsiTheme="minorHAnsi" w:cs="Calibri"/>
          <w:sz w:val="24"/>
          <w:szCs w:val="24"/>
          <w:lang w:val="en-US" w:eastAsia="en-GB"/>
        </w:rPr>
        <w:t xml:space="preserve"> in </w:t>
      </w:r>
      <w:r w:rsidRPr="00022639">
        <w:rPr>
          <w:rFonts w:asciiTheme="minorHAnsi" w:eastAsia="Times New Roman" w:hAnsiTheme="minorHAnsi" w:cs="Calibri"/>
          <w:i/>
          <w:sz w:val="24"/>
          <w:szCs w:val="24"/>
          <w:lang w:val="en-US" w:eastAsia="en-GB"/>
        </w:rPr>
        <w:t>The Treaty on European Union (TEU): A Commentary</w:t>
      </w:r>
      <w:r>
        <w:rPr>
          <w:rFonts w:asciiTheme="minorHAnsi" w:eastAsia="Times New Roman" w:hAnsiTheme="minorHAnsi" w:cs="Calibri"/>
          <w:sz w:val="24"/>
          <w:szCs w:val="24"/>
          <w:lang w:val="en-US" w:eastAsia="en-GB"/>
        </w:rPr>
        <w:t xml:space="preserve">, edited by Hermann-Josef </w:t>
      </w:r>
      <w:proofErr w:type="spellStart"/>
      <w:r>
        <w:rPr>
          <w:rFonts w:asciiTheme="minorHAnsi" w:eastAsia="Times New Roman" w:hAnsiTheme="minorHAnsi" w:cs="Calibri"/>
          <w:sz w:val="24"/>
          <w:szCs w:val="24"/>
          <w:lang w:val="en-US" w:eastAsia="en-GB"/>
        </w:rPr>
        <w:t>Blanke</w:t>
      </w:r>
      <w:proofErr w:type="spellEnd"/>
      <w:r>
        <w:rPr>
          <w:rFonts w:asciiTheme="minorHAnsi" w:eastAsia="Times New Roman" w:hAnsiTheme="minorHAnsi" w:cs="Calibri"/>
          <w:sz w:val="24"/>
          <w:szCs w:val="24"/>
          <w:lang w:val="en-US" w:eastAsia="en-GB"/>
        </w:rPr>
        <w:t xml:space="preserve"> and </w:t>
      </w:r>
      <w:proofErr w:type="spellStart"/>
      <w:r>
        <w:rPr>
          <w:rFonts w:asciiTheme="minorHAnsi" w:eastAsia="Times New Roman" w:hAnsiTheme="minorHAnsi" w:cs="Calibri"/>
          <w:sz w:val="24"/>
          <w:szCs w:val="24"/>
          <w:lang w:val="en-US" w:eastAsia="en-GB"/>
        </w:rPr>
        <w:t>Stelio</w:t>
      </w:r>
      <w:proofErr w:type="spellEnd"/>
      <w:r>
        <w:rPr>
          <w:rFonts w:asciiTheme="minorHAnsi" w:eastAsia="Times New Roman" w:hAnsiTheme="minorHAnsi" w:cs="Calibri"/>
          <w:sz w:val="24"/>
          <w:szCs w:val="24"/>
          <w:lang w:val="en-US" w:eastAsia="en-GB"/>
        </w:rPr>
        <w:t xml:space="preserve"> </w:t>
      </w:r>
      <w:proofErr w:type="spellStart"/>
      <w:r>
        <w:rPr>
          <w:rFonts w:asciiTheme="minorHAnsi" w:eastAsia="Times New Roman" w:hAnsiTheme="minorHAnsi" w:cs="Calibri"/>
          <w:sz w:val="24"/>
          <w:szCs w:val="24"/>
          <w:lang w:val="en-US" w:eastAsia="en-GB"/>
        </w:rPr>
        <w:t>Mangiamelli</w:t>
      </w:r>
      <w:proofErr w:type="spellEnd"/>
      <w:r>
        <w:rPr>
          <w:rFonts w:asciiTheme="minorHAnsi" w:eastAsia="Times New Roman" w:hAnsiTheme="minorHAnsi" w:cs="Calibri"/>
          <w:sz w:val="24"/>
          <w:szCs w:val="24"/>
          <w:lang w:val="en-US" w:eastAsia="en-GB"/>
        </w:rPr>
        <w:t>,</w:t>
      </w:r>
      <w:r w:rsidR="0027687D">
        <w:rPr>
          <w:rFonts w:asciiTheme="minorHAnsi" w:eastAsia="Times New Roman" w:hAnsiTheme="minorHAnsi" w:cs="Calibri"/>
          <w:sz w:val="24"/>
          <w:szCs w:val="24"/>
          <w:lang w:val="en-US" w:eastAsia="en-GB"/>
        </w:rPr>
        <w:t xml:space="preserve"> </w:t>
      </w:r>
      <w:r w:rsidR="00E55434">
        <w:rPr>
          <w:rFonts w:asciiTheme="minorHAnsi" w:eastAsia="Times New Roman" w:hAnsiTheme="minorHAnsi" w:cs="Calibri"/>
          <w:sz w:val="24"/>
          <w:szCs w:val="24"/>
          <w:lang w:val="en-US" w:eastAsia="en-GB"/>
        </w:rPr>
        <w:t>Heidelberg: Springer, 1385-1418.</w:t>
      </w:r>
    </w:p>
    <w:p w:rsidR="005D770A" w:rsidRDefault="005D770A" w:rsidP="00E46FFC">
      <w:pPr>
        <w:spacing w:after="0" w:line="360" w:lineRule="auto"/>
        <w:jc w:val="both"/>
        <w:rPr>
          <w:rFonts w:asciiTheme="minorHAnsi" w:eastAsia="Times New Roman" w:hAnsiTheme="minorHAnsi" w:cs="Calibri"/>
          <w:sz w:val="24"/>
          <w:szCs w:val="24"/>
          <w:lang w:val="en-US" w:eastAsia="en-GB"/>
        </w:rPr>
      </w:pPr>
    </w:p>
    <w:p w:rsidR="0027687D" w:rsidRDefault="005D770A" w:rsidP="00E46FFC">
      <w:pPr>
        <w:spacing w:after="0" w:line="360" w:lineRule="auto"/>
        <w:jc w:val="both"/>
        <w:rPr>
          <w:rFonts w:asciiTheme="minorHAnsi" w:eastAsia="Times New Roman" w:hAnsiTheme="minorHAnsi" w:cs="Calibri"/>
          <w:sz w:val="24"/>
          <w:szCs w:val="24"/>
          <w:lang w:eastAsia="en-GB"/>
        </w:rPr>
      </w:pPr>
      <w:proofErr w:type="spellStart"/>
      <w:r>
        <w:rPr>
          <w:rFonts w:asciiTheme="minorHAnsi" w:eastAsia="Times New Roman" w:hAnsiTheme="minorHAnsi" w:cs="Calibri"/>
          <w:sz w:val="24"/>
          <w:szCs w:val="24"/>
          <w:lang w:val="en-US" w:eastAsia="en-GB"/>
        </w:rPr>
        <w:t>Wyrozumska</w:t>
      </w:r>
      <w:proofErr w:type="spellEnd"/>
      <w:r>
        <w:rPr>
          <w:rFonts w:asciiTheme="minorHAnsi" w:eastAsia="Times New Roman" w:hAnsiTheme="minorHAnsi" w:cs="Calibri"/>
          <w:sz w:val="24"/>
          <w:szCs w:val="24"/>
          <w:lang w:val="en-US" w:eastAsia="en-GB"/>
        </w:rPr>
        <w:t xml:space="preserve">, Anna </w:t>
      </w:r>
      <w:r w:rsidR="00AB4D7C">
        <w:rPr>
          <w:rFonts w:asciiTheme="minorHAnsi" w:eastAsia="Times New Roman" w:hAnsiTheme="minorHAnsi" w:cs="Calibri"/>
          <w:sz w:val="24"/>
          <w:szCs w:val="24"/>
          <w:lang w:val="en-US" w:eastAsia="en-GB"/>
        </w:rPr>
        <w:t>(2012), «</w:t>
      </w:r>
      <w:r>
        <w:rPr>
          <w:rFonts w:asciiTheme="minorHAnsi" w:eastAsia="Times New Roman" w:hAnsiTheme="minorHAnsi" w:cs="Calibri"/>
          <w:sz w:val="24"/>
          <w:szCs w:val="24"/>
          <w:lang w:val="en-US" w:eastAsia="en-GB"/>
        </w:rPr>
        <w:t>Withdr</w:t>
      </w:r>
      <w:r w:rsidR="00E700C9">
        <w:rPr>
          <w:rFonts w:asciiTheme="minorHAnsi" w:eastAsia="Times New Roman" w:hAnsiTheme="minorHAnsi" w:cs="Calibri"/>
          <w:sz w:val="24"/>
          <w:szCs w:val="24"/>
          <w:lang w:val="en-US" w:eastAsia="en-GB"/>
        </w:rPr>
        <w:t>a</w:t>
      </w:r>
      <w:r>
        <w:rPr>
          <w:rFonts w:asciiTheme="minorHAnsi" w:eastAsia="Times New Roman" w:hAnsiTheme="minorHAnsi" w:cs="Calibri"/>
          <w:sz w:val="24"/>
          <w:szCs w:val="24"/>
          <w:lang w:val="en-US" w:eastAsia="en-GB"/>
        </w:rPr>
        <w:t>wal from t</w:t>
      </w:r>
      <w:r w:rsidR="00AB4D7C">
        <w:rPr>
          <w:rFonts w:asciiTheme="minorHAnsi" w:eastAsia="Times New Roman" w:hAnsiTheme="minorHAnsi" w:cs="Calibri"/>
          <w:sz w:val="24"/>
          <w:szCs w:val="24"/>
          <w:lang w:val="en-US" w:eastAsia="en-GB"/>
        </w:rPr>
        <w:t>he European Union»</w:t>
      </w:r>
      <w:r w:rsidR="00E700C9">
        <w:rPr>
          <w:rFonts w:asciiTheme="minorHAnsi" w:eastAsia="Times New Roman" w:hAnsiTheme="minorHAnsi" w:cs="Calibri"/>
          <w:sz w:val="24"/>
          <w:szCs w:val="24"/>
          <w:lang w:val="en-US" w:eastAsia="en-GB"/>
        </w:rPr>
        <w:t xml:space="preserve"> in </w:t>
      </w:r>
      <w:r w:rsidR="00E700C9" w:rsidRPr="00AB4D7C">
        <w:rPr>
          <w:rFonts w:asciiTheme="minorHAnsi" w:eastAsia="Times New Roman" w:hAnsiTheme="minorHAnsi" w:cs="Calibri"/>
          <w:i/>
          <w:sz w:val="24"/>
          <w:szCs w:val="24"/>
          <w:lang w:val="en-US" w:eastAsia="en-GB"/>
        </w:rPr>
        <w:t>The Europ</w:t>
      </w:r>
      <w:r w:rsidRPr="00AB4D7C">
        <w:rPr>
          <w:rFonts w:asciiTheme="minorHAnsi" w:eastAsia="Times New Roman" w:hAnsiTheme="minorHAnsi" w:cs="Calibri"/>
          <w:i/>
          <w:sz w:val="24"/>
          <w:szCs w:val="24"/>
          <w:lang w:val="en-US" w:eastAsia="en-GB"/>
        </w:rPr>
        <w:t>ean Union after Lisbon: Constitutional Basis, Economic Order and External Action</w:t>
      </w:r>
      <w:r>
        <w:rPr>
          <w:rFonts w:asciiTheme="minorHAnsi" w:eastAsia="Times New Roman" w:hAnsiTheme="minorHAnsi" w:cs="Calibri"/>
          <w:sz w:val="24"/>
          <w:szCs w:val="24"/>
          <w:lang w:val="en-US" w:eastAsia="en-GB"/>
        </w:rPr>
        <w:t xml:space="preserve">, edited by Hermann-Josef </w:t>
      </w:r>
      <w:proofErr w:type="spellStart"/>
      <w:r>
        <w:rPr>
          <w:rFonts w:asciiTheme="minorHAnsi" w:eastAsia="Times New Roman" w:hAnsiTheme="minorHAnsi" w:cs="Calibri"/>
          <w:sz w:val="24"/>
          <w:szCs w:val="24"/>
          <w:lang w:val="en-US" w:eastAsia="en-GB"/>
        </w:rPr>
        <w:t>Blanke</w:t>
      </w:r>
      <w:proofErr w:type="spellEnd"/>
      <w:r>
        <w:rPr>
          <w:rFonts w:asciiTheme="minorHAnsi" w:eastAsia="Times New Roman" w:hAnsiTheme="minorHAnsi" w:cs="Calibri"/>
          <w:sz w:val="24"/>
          <w:szCs w:val="24"/>
          <w:lang w:val="en-US" w:eastAsia="en-GB"/>
        </w:rPr>
        <w:t xml:space="preserve"> and </w:t>
      </w:r>
      <w:proofErr w:type="spellStart"/>
      <w:r>
        <w:rPr>
          <w:rFonts w:asciiTheme="minorHAnsi" w:eastAsia="Times New Roman" w:hAnsiTheme="minorHAnsi" w:cs="Calibri"/>
          <w:sz w:val="24"/>
          <w:szCs w:val="24"/>
          <w:lang w:val="en-US" w:eastAsia="en-GB"/>
        </w:rPr>
        <w:t>Stelio</w:t>
      </w:r>
      <w:proofErr w:type="spellEnd"/>
      <w:r>
        <w:rPr>
          <w:rFonts w:asciiTheme="minorHAnsi" w:eastAsia="Times New Roman" w:hAnsiTheme="minorHAnsi" w:cs="Calibri"/>
          <w:sz w:val="24"/>
          <w:szCs w:val="24"/>
          <w:lang w:val="en-US" w:eastAsia="en-GB"/>
        </w:rPr>
        <w:t xml:space="preserve"> </w:t>
      </w:r>
      <w:proofErr w:type="spellStart"/>
      <w:r>
        <w:rPr>
          <w:rFonts w:asciiTheme="minorHAnsi" w:eastAsia="Times New Roman" w:hAnsiTheme="minorHAnsi" w:cs="Calibri"/>
          <w:sz w:val="24"/>
          <w:szCs w:val="24"/>
          <w:lang w:val="en-US" w:eastAsia="en-GB"/>
        </w:rPr>
        <w:t>Man</w:t>
      </w:r>
      <w:r w:rsidR="00E55434">
        <w:rPr>
          <w:rFonts w:asciiTheme="minorHAnsi" w:eastAsia="Times New Roman" w:hAnsiTheme="minorHAnsi" w:cs="Calibri"/>
          <w:sz w:val="24"/>
          <w:szCs w:val="24"/>
          <w:lang w:val="en-US" w:eastAsia="en-GB"/>
        </w:rPr>
        <w:t>giamelli</w:t>
      </w:r>
      <w:proofErr w:type="spellEnd"/>
      <w:r w:rsidR="00E55434">
        <w:rPr>
          <w:rFonts w:asciiTheme="minorHAnsi" w:eastAsia="Times New Roman" w:hAnsiTheme="minorHAnsi" w:cs="Calibri"/>
          <w:sz w:val="24"/>
          <w:szCs w:val="24"/>
          <w:lang w:val="en-US" w:eastAsia="en-GB"/>
        </w:rPr>
        <w:t>, Heidelberg: Springer, 343- 365.</w:t>
      </w:r>
    </w:p>
    <w:p w:rsidR="00CD0983" w:rsidRDefault="00CD0983" w:rsidP="008C2E5D">
      <w:pPr>
        <w:spacing w:after="0" w:line="360" w:lineRule="auto"/>
        <w:jc w:val="both"/>
        <w:rPr>
          <w:rFonts w:eastAsia="Times New Roman" w:cs="Calibri"/>
          <w:sz w:val="24"/>
          <w:szCs w:val="24"/>
          <w:lang w:eastAsia="en-GB"/>
        </w:rPr>
      </w:pPr>
    </w:p>
    <w:sectPr w:rsidR="00CD0983" w:rsidSect="008C2F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2F" w:rsidRDefault="00945A2F" w:rsidP="008C2E5D">
      <w:pPr>
        <w:spacing w:after="0" w:line="240" w:lineRule="auto"/>
      </w:pPr>
      <w:r>
        <w:separator/>
      </w:r>
    </w:p>
  </w:endnote>
  <w:endnote w:type="continuationSeparator" w:id="0">
    <w:p w:rsidR="00945A2F" w:rsidRDefault="00945A2F" w:rsidP="008C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2F" w:rsidRDefault="00945A2F" w:rsidP="008C2E5D">
      <w:pPr>
        <w:spacing w:after="0" w:line="240" w:lineRule="auto"/>
      </w:pPr>
      <w:r>
        <w:separator/>
      </w:r>
    </w:p>
  </w:footnote>
  <w:footnote w:type="continuationSeparator" w:id="0">
    <w:p w:rsidR="00945A2F" w:rsidRDefault="00945A2F" w:rsidP="008C2E5D">
      <w:pPr>
        <w:spacing w:after="0" w:line="240" w:lineRule="auto"/>
      </w:pPr>
      <w:r>
        <w:continuationSeparator/>
      </w:r>
    </w:p>
  </w:footnote>
  <w:footnote w:id="1">
    <w:p w:rsidR="00DB36C3" w:rsidRDefault="00DB36C3" w:rsidP="002270DA">
      <w:pPr>
        <w:pStyle w:val="Textodenotaderodap"/>
        <w:jc w:val="both"/>
      </w:pPr>
      <w:r>
        <w:rPr>
          <w:rStyle w:val="Refdenotaderodap"/>
        </w:rPr>
        <w:footnoteRef/>
      </w:r>
      <w:r w:rsidR="00F84107">
        <w:t xml:space="preserve"> </w:t>
      </w:r>
      <w:proofErr w:type="spellStart"/>
      <w:r>
        <w:t>Adjunct</w:t>
      </w:r>
      <w:proofErr w:type="spellEnd"/>
      <w:r>
        <w:t xml:space="preserve"> Professor </w:t>
      </w:r>
      <w:proofErr w:type="spellStart"/>
      <w:r>
        <w:t>of</w:t>
      </w:r>
      <w:proofErr w:type="spellEnd"/>
      <w:r>
        <w:t xml:space="preserve"> </w:t>
      </w:r>
      <w:proofErr w:type="spellStart"/>
      <w:r>
        <w:t>Law</w:t>
      </w:r>
      <w:proofErr w:type="spellEnd"/>
      <w:r>
        <w:t xml:space="preserve"> </w:t>
      </w:r>
      <w:proofErr w:type="spellStart"/>
      <w:r w:rsidR="00F84107">
        <w:t>and</w:t>
      </w:r>
      <w:proofErr w:type="spellEnd"/>
      <w:r w:rsidR="00F84107">
        <w:t xml:space="preserve"> </w:t>
      </w:r>
      <w:proofErr w:type="spellStart"/>
      <w:r w:rsidR="00F84107">
        <w:t>Political</w:t>
      </w:r>
      <w:proofErr w:type="spellEnd"/>
      <w:r w:rsidR="00F84107">
        <w:t xml:space="preserve"> </w:t>
      </w:r>
      <w:proofErr w:type="spellStart"/>
      <w:r w:rsidR="00F84107">
        <w:t>Science</w:t>
      </w:r>
      <w:proofErr w:type="spellEnd"/>
      <w:r w:rsidR="00F84107">
        <w:t xml:space="preserve"> </w:t>
      </w:r>
      <w:r>
        <w:t xml:space="preserve">– </w:t>
      </w:r>
      <w:proofErr w:type="spellStart"/>
      <w:r>
        <w:t>Polytechnic</w:t>
      </w:r>
      <w:proofErr w:type="spellEnd"/>
      <w:r>
        <w:t xml:space="preserve"> </w:t>
      </w:r>
      <w:proofErr w:type="spellStart"/>
      <w:r>
        <w:t>Institute</w:t>
      </w:r>
      <w:proofErr w:type="spellEnd"/>
      <w:r>
        <w:t xml:space="preserve"> </w:t>
      </w:r>
      <w:proofErr w:type="spellStart"/>
      <w:r>
        <w:t>of</w:t>
      </w:r>
      <w:proofErr w:type="spellEnd"/>
      <w:r>
        <w:t xml:space="preserve"> Leiria – Portugal.</w:t>
      </w:r>
      <w:r w:rsidR="002270DA">
        <w:t xml:space="preserve"> </w:t>
      </w:r>
      <w:proofErr w:type="spellStart"/>
      <w:r w:rsidR="002270DA">
        <w:t>The</w:t>
      </w:r>
      <w:proofErr w:type="spellEnd"/>
      <w:r w:rsidR="002270DA">
        <w:t xml:space="preserve"> </w:t>
      </w:r>
      <w:proofErr w:type="spellStart"/>
      <w:r w:rsidR="002270DA">
        <w:t>author</w:t>
      </w:r>
      <w:proofErr w:type="spellEnd"/>
      <w:r w:rsidR="002270DA">
        <w:t xml:space="preserve"> </w:t>
      </w:r>
      <w:proofErr w:type="spellStart"/>
      <w:r w:rsidR="002270DA">
        <w:t>is</w:t>
      </w:r>
      <w:proofErr w:type="spellEnd"/>
      <w:r w:rsidR="002270DA">
        <w:t xml:space="preserve"> </w:t>
      </w:r>
      <w:proofErr w:type="spellStart"/>
      <w:r w:rsidR="002270DA">
        <w:t>grateful</w:t>
      </w:r>
      <w:proofErr w:type="spellEnd"/>
      <w:r w:rsidR="002270DA">
        <w:t xml:space="preserve"> for </w:t>
      </w:r>
      <w:proofErr w:type="spellStart"/>
      <w:r w:rsidR="002270DA">
        <w:t>the</w:t>
      </w:r>
      <w:proofErr w:type="spellEnd"/>
      <w:r w:rsidR="002270DA">
        <w:t xml:space="preserve"> </w:t>
      </w:r>
      <w:proofErr w:type="spellStart"/>
      <w:r w:rsidR="002270DA">
        <w:t>generous</w:t>
      </w:r>
      <w:proofErr w:type="spellEnd"/>
      <w:r w:rsidR="002270DA">
        <w:t xml:space="preserve"> </w:t>
      </w:r>
      <w:proofErr w:type="spellStart"/>
      <w:r w:rsidR="002270DA">
        <w:t>grant</w:t>
      </w:r>
      <w:proofErr w:type="spellEnd"/>
      <w:r w:rsidR="002270DA">
        <w:t xml:space="preserve"> </w:t>
      </w:r>
      <w:proofErr w:type="spellStart"/>
      <w:r w:rsidR="002270DA">
        <w:t>provided</w:t>
      </w:r>
      <w:proofErr w:type="spellEnd"/>
      <w:r w:rsidR="002270DA">
        <w:t xml:space="preserve"> </w:t>
      </w:r>
      <w:proofErr w:type="spellStart"/>
      <w:r w:rsidR="002270DA">
        <w:t>by</w:t>
      </w:r>
      <w:proofErr w:type="spellEnd"/>
      <w:r w:rsidR="002270DA">
        <w:t xml:space="preserve"> </w:t>
      </w:r>
      <w:proofErr w:type="spellStart"/>
      <w:r w:rsidR="002270DA">
        <w:t>the</w:t>
      </w:r>
      <w:proofErr w:type="spellEnd"/>
      <w:r w:rsidR="002270DA">
        <w:t xml:space="preserve"> “Fundação Luso-Americana para o Desenvolvimento (</w:t>
      </w:r>
      <w:proofErr w:type="gramStart"/>
      <w:r w:rsidR="002270DA">
        <w:t>FLAD)</w:t>
      </w:r>
      <w:proofErr w:type="gramEnd"/>
      <w:r w:rsidR="002270DA">
        <w:t>”</w:t>
      </w:r>
      <w:r w:rsidR="00052A13">
        <w:t xml:space="preserve"> </w:t>
      </w:r>
      <w:proofErr w:type="spellStart"/>
      <w:r w:rsidR="00F84107">
        <w:t>which</w:t>
      </w:r>
      <w:proofErr w:type="spellEnd"/>
      <w:r w:rsidR="00F84107">
        <w:t xml:space="preserve"> </w:t>
      </w:r>
      <w:proofErr w:type="spellStart"/>
      <w:r w:rsidR="00F84107">
        <w:t>allowed</w:t>
      </w:r>
      <w:proofErr w:type="spellEnd"/>
      <w:r w:rsidR="00F84107">
        <w:t xml:space="preserve"> </w:t>
      </w:r>
      <w:proofErr w:type="spellStart"/>
      <w:r w:rsidR="002270DA">
        <w:t>him</w:t>
      </w:r>
      <w:proofErr w:type="spellEnd"/>
      <w:r w:rsidR="002270DA">
        <w:t xml:space="preserve"> to </w:t>
      </w:r>
      <w:proofErr w:type="spellStart"/>
      <w:r w:rsidR="002270DA">
        <w:t>participate</w:t>
      </w:r>
      <w:proofErr w:type="spellEnd"/>
      <w:r w:rsidR="002270DA">
        <w:t xml:space="preserve"> in </w:t>
      </w:r>
      <w:proofErr w:type="spellStart"/>
      <w:r w:rsidR="002270DA">
        <w:t>the</w:t>
      </w:r>
      <w:proofErr w:type="spellEnd"/>
      <w:r w:rsidR="002270DA">
        <w:t xml:space="preserve"> </w:t>
      </w:r>
      <w:proofErr w:type="spellStart"/>
      <w:r w:rsidR="00682E87">
        <w:t>Fifteenth</w:t>
      </w:r>
      <w:proofErr w:type="spellEnd"/>
      <w:r w:rsidR="00682E87">
        <w:t xml:space="preserve"> </w:t>
      </w:r>
      <w:proofErr w:type="spellStart"/>
      <w:r w:rsidR="00682E87">
        <w:t>Biennial</w:t>
      </w:r>
      <w:proofErr w:type="spellEnd"/>
      <w:r w:rsidR="00682E87">
        <w:t xml:space="preserve"> </w:t>
      </w:r>
      <w:proofErr w:type="spellStart"/>
      <w:r w:rsidR="00682E87">
        <w:t>Internation</w:t>
      </w:r>
      <w:r w:rsidR="007F73A0">
        <w:t>al</w:t>
      </w:r>
      <w:proofErr w:type="spellEnd"/>
      <w:r w:rsidR="00682E87">
        <w:t xml:space="preserve"> Conference</w:t>
      </w:r>
      <w:r w:rsidR="007E62B0" w:rsidRPr="007E62B0">
        <w:t xml:space="preserve"> </w:t>
      </w:r>
      <w:proofErr w:type="spellStart"/>
      <w:r w:rsidR="007F73A0">
        <w:t>of</w:t>
      </w:r>
      <w:proofErr w:type="spellEnd"/>
      <w:r w:rsidR="007F73A0">
        <w:t xml:space="preserve"> </w:t>
      </w:r>
      <w:proofErr w:type="spellStart"/>
      <w:r w:rsidR="007F73A0">
        <w:t>the</w:t>
      </w:r>
      <w:proofErr w:type="spellEnd"/>
      <w:r w:rsidR="007F73A0">
        <w:t xml:space="preserve"> </w:t>
      </w:r>
      <w:proofErr w:type="spellStart"/>
      <w:r w:rsidR="007E62B0" w:rsidRPr="007E62B0">
        <w:t>European</w:t>
      </w:r>
      <w:proofErr w:type="spellEnd"/>
      <w:r w:rsidR="007E62B0" w:rsidRPr="007E62B0">
        <w:t xml:space="preserve"> </w:t>
      </w:r>
      <w:proofErr w:type="spellStart"/>
      <w:r w:rsidR="007E62B0" w:rsidRPr="007E62B0">
        <w:t>Union</w:t>
      </w:r>
      <w:proofErr w:type="spellEnd"/>
      <w:r w:rsidR="007E62B0" w:rsidRPr="007E62B0">
        <w:t xml:space="preserve"> </w:t>
      </w:r>
      <w:proofErr w:type="spellStart"/>
      <w:r w:rsidR="007E62B0" w:rsidRPr="007E62B0">
        <w:t>Studies</w:t>
      </w:r>
      <w:proofErr w:type="spellEnd"/>
      <w:r w:rsidR="007E62B0" w:rsidRPr="007E62B0">
        <w:t xml:space="preserve"> </w:t>
      </w:r>
      <w:proofErr w:type="spellStart"/>
      <w:r w:rsidR="007E62B0" w:rsidRPr="007E62B0">
        <w:t>Association</w:t>
      </w:r>
      <w:proofErr w:type="spellEnd"/>
      <w:r w:rsidR="00682E87">
        <w:t xml:space="preserve">, </w:t>
      </w:r>
      <w:proofErr w:type="spellStart"/>
      <w:r w:rsidR="00682E87">
        <w:t>May</w:t>
      </w:r>
      <w:proofErr w:type="spellEnd"/>
      <w:r w:rsidR="00682E87">
        <w:t xml:space="preserve"> 4-6, 2017, Miami, Florida, United </w:t>
      </w:r>
      <w:proofErr w:type="spellStart"/>
      <w:r w:rsidR="00682E87">
        <w:t>States</w:t>
      </w:r>
      <w:proofErr w:type="spellEnd"/>
      <w:r w:rsidR="00682E87">
        <w:t xml:space="preserve"> </w:t>
      </w:r>
      <w:proofErr w:type="spellStart"/>
      <w:r w:rsidR="00682E87">
        <w:t>of</w:t>
      </w:r>
      <w:proofErr w:type="spellEnd"/>
      <w:r w:rsidR="00682E87">
        <w:t xml:space="preserve"> </w:t>
      </w:r>
      <w:proofErr w:type="spellStart"/>
      <w:r w:rsidR="00682E87">
        <w:t>America</w:t>
      </w:r>
      <w:proofErr w:type="spellEnd"/>
      <w:r w:rsidR="00682E87">
        <w:t>.</w:t>
      </w:r>
    </w:p>
  </w:footnote>
  <w:footnote w:id="2">
    <w:p w:rsidR="0085630F" w:rsidRDefault="0085630F" w:rsidP="00470174">
      <w:pPr>
        <w:pStyle w:val="Textodenotaderodap"/>
        <w:jc w:val="both"/>
      </w:pPr>
      <w:r>
        <w:rPr>
          <w:rStyle w:val="Refdenotaderodap"/>
        </w:rPr>
        <w:footnoteRef/>
      </w:r>
      <w:r>
        <w:t xml:space="preserve"> </w:t>
      </w:r>
      <w:proofErr w:type="spellStart"/>
      <w:r>
        <w:t>Dony</w:t>
      </w:r>
      <w:proofErr w:type="spellEnd"/>
      <w:r>
        <w:t xml:space="preserve">, </w:t>
      </w:r>
      <w:proofErr w:type="spellStart"/>
      <w:r>
        <w:t>Marianne</w:t>
      </w:r>
      <w:proofErr w:type="spellEnd"/>
      <w:r>
        <w:t xml:space="preserve">, </w:t>
      </w:r>
      <w:proofErr w:type="spellStart"/>
      <w:r w:rsidRPr="0085630F">
        <w:rPr>
          <w:i/>
        </w:rPr>
        <w:t>Droit</w:t>
      </w:r>
      <w:proofErr w:type="spellEnd"/>
      <w:r w:rsidRPr="0085630F">
        <w:rPr>
          <w:i/>
        </w:rPr>
        <w:t xml:space="preserve"> de </w:t>
      </w:r>
      <w:proofErr w:type="spellStart"/>
      <w:r w:rsidRPr="0085630F">
        <w:rPr>
          <w:i/>
        </w:rPr>
        <w:t>l’Union</w:t>
      </w:r>
      <w:proofErr w:type="spellEnd"/>
      <w:r w:rsidRPr="0085630F">
        <w:rPr>
          <w:i/>
        </w:rPr>
        <w:t xml:space="preserve"> </w:t>
      </w:r>
      <w:proofErr w:type="spellStart"/>
      <w:r w:rsidRPr="0085630F">
        <w:rPr>
          <w:i/>
        </w:rPr>
        <w:t>européene</w:t>
      </w:r>
      <w:proofErr w:type="spellEnd"/>
      <w:r>
        <w:t xml:space="preserve">, </w:t>
      </w:r>
      <w:proofErr w:type="spellStart"/>
      <w:r>
        <w:t>Bruxelles</w:t>
      </w:r>
      <w:proofErr w:type="spellEnd"/>
      <w:r>
        <w:t xml:space="preserve">: </w:t>
      </w:r>
      <w:proofErr w:type="spellStart"/>
      <w:r>
        <w:t>Editions</w:t>
      </w:r>
      <w:proofErr w:type="spellEnd"/>
      <w:r>
        <w:t xml:space="preserve"> de </w:t>
      </w:r>
      <w:proofErr w:type="spellStart"/>
      <w:r>
        <w:t>L’Université</w:t>
      </w:r>
      <w:proofErr w:type="spellEnd"/>
      <w:r>
        <w:t xml:space="preserve"> de </w:t>
      </w:r>
      <w:proofErr w:type="spellStart"/>
      <w:r>
        <w:t>Bruxelles</w:t>
      </w:r>
      <w:proofErr w:type="spellEnd"/>
      <w:r>
        <w:t>, 2010, p. 67.</w:t>
      </w:r>
    </w:p>
  </w:footnote>
  <w:footnote w:id="3">
    <w:p w:rsidR="0085630F" w:rsidRDefault="0085630F" w:rsidP="00470174">
      <w:pPr>
        <w:pStyle w:val="Textodenotaderodap"/>
        <w:jc w:val="both"/>
      </w:pPr>
      <w:r>
        <w:rPr>
          <w:rStyle w:val="Refdenotaderodap"/>
        </w:rPr>
        <w:footnoteRef/>
      </w:r>
      <w:r>
        <w:t xml:space="preserve"> </w:t>
      </w:r>
      <w:proofErr w:type="spellStart"/>
      <w:r>
        <w:t>Lenaerts</w:t>
      </w:r>
      <w:proofErr w:type="spellEnd"/>
      <w:r>
        <w:t xml:space="preserve">, </w:t>
      </w:r>
      <w:proofErr w:type="spellStart"/>
      <w:r>
        <w:t>Koen</w:t>
      </w:r>
      <w:proofErr w:type="spellEnd"/>
      <w:r>
        <w:t xml:space="preserve"> </w:t>
      </w:r>
      <w:proofErr w:type="spellStart"/>
      <w:r>
        <w:t>and</w:t>
      </w:r>
      <w:proofErr w:type="spellEnd"/>
      <w:r>
        <w:t xml:space="preserve"> </w:t>
      </w:r>
      <w:proofErr w:type="spellStart"/>
      <w:r>
        <w:t>Piet</w:t>
      </w:r>
      <w:proofErr w:type="spellEnd"/>
      <w:r>
        <w:t xml:space="preserve"> van </w:t>
      </w:r>
      <w:proofErr w:type="spellStart"/>
      <w:r>
        <w:t>Nuffel</w:t>
      </w:r>
      <w:proofErr w:type="spellEnd"/>
      <w:r>
        <w:t xml:space="preserve">, </w:t>
      </w:r>
      <w:proofErr w:type="spellStart"/>
      <w:r w:rsidRPr="001F179E">
        <w:rPr>
          <w:i/>
        </w:rPr>
        <w:t>European</w:t>
      </w:r>
      <w:proofErr w:type="spellEnd"/>
      <w:r w:rsidRPr="001F179E">
        <w:rPr>
          <w:i/>
        </w:rPr>
        <w:t xml:space="preserve"> </w:t>
      </w:r>
      <w:proofErr w:type="spellStart"/>
      <w:r w:rsidRPr="001F179E">
        <w:rPr>
          <w:i/>
        </w:rPr>
        <w:t>Union</w:t>
      </w:r>
      <w:proofErr w:type="spellEnd"/>
      <w:r w:rsidRPr="001F179E">
        <w:rPr>
          <w:i/>
        </w:rPr>
        <w:t xml:space="preserve"> </w:t>
      </w:r>
      <w:proofErr w:type="spellStart"/>
      <w:r w:rsidRPr="001F179E">
        <w:rPr>
          <w:i/>
        </w:rPr>
        <w:t>Law</w:t>
      </w:r>
      <w:proofErr w:type="spellEnd"/>
      <w:r>
        <w:t xml:space="preserve">, </w:t>
      </w:r>
      <w:r w:rsidR="001F179E">
        <w:t xml:space="preserve">London: </w:t>
      </w:r>
      <w:proofErr w:type="spellStart"/>
      <w:r w:rsidR="001F179E">
        <w:t>Sweet</w:t>
      </w:r>
      <w:proofErr w:type="spellEnd"/>
      <w:r w:rsidR="001F179E">
        <w:t xml:space="preserve"> &amp; Maxwell, 2011, p. 98.</w:t>
      </w:r>
    </w:p>
  </w:footnote>
  <w:footnote w:id="4">
    <w:p w:rsidR="007E62B0" w:rsidRDefault="007E62B0" w:rsidP="00EB55E1">
      <w:pPr>
        <w:pStyle w:val="Textodenotaderodap"/>
        <w:jc w:val="both"/>
      </w:pPr>
      <w:r>
        <w:rPr>
          <w:rStyle w:val="Refdenotaderodap"/>
        </w:rPr>
        <w:footnoteRef/>
      </w:r>
      <w:r>
        <w:t xml:space="preserve"> </w:t>
      </w:r>
      <w:proofErr w:type="spellStart"/>
      <w:r>
        <w:t>Walker</w:t>
      </w:r>
      <w:proofErr w:type="spellEnd"/>
      <w:r>
        <w:t>, Neil, «</w:t>
      </w:r>
      <w:proofErr w:type="spellStart"/>
      <w:r>
        <w:t>The</w:t>
      </w:r>
      <w:proofErr w:type="spellEnd"/>
      <w:r>
        <w:t xml:space="preserve"> </w:t>
      </w:r>
      <w:proofErr w:type="spellStart"/>
      <w:r>
        <w:t>European</w:t>
      </w:r>
      <w:proofErr w:type="spellEnd"/>
      <w:r>
        <w:t xml:space="preserve"> </w:t>
      </w:r>
      <w:proofErr w:type="spellStart"/>
      <w:r>
        <w:t>Fallout</w:t>
      </w:r>
      <w:proofErr w:type="spellEnd"/>
      <w:r>
        <w:t xml:space="preserve">», </w:t>
      </w:r>
      <w:proofErr w:type="spellStart"/>
      <w:r w:rsidRPr="007E62B0">
        <w:rPr>
          <w:i/>
        </w:rPr>
        <w:t>German</w:t>
      </w:r>
      <w:proofErr w:type="spellEnd"/>
      <w:r w:rsidRPr="007E62B0">
        <w:rPr>
          <w:i/>
        </w:rPr>
        <w:t xml:space="preserve"> </w:t>
      </w:r>
      <w:proofErr w:type="spellStart"/>
      <w:r w:rsidRPr="007E62B0">
        <w:rPr>
          <w:i/>
        </w:rPr>
        <w:t>Law</w:t>
      </w:r>
      <w:proofErr w:type="spellEnd"/>
      <w:r w:rsidRPr="007E62B0">
        <w:rPr>
          <w:i/>
        </w:rPr>
        <w:t xml:space="preserve"> </w:t>
      </w:r>
      <w:proofErr w:type="spellStart"/>
      <w:r w:rsidRPr="007E62B0">
        <w:rPr>
          <w:i/>
        </w:rPr>
        <w:t>Journal</w:t>
      </w:r>
      <w:proofErr w:type="spellEnd"/>
      <w:r w:rsidRPr="007E62B0">
        <w:rPr>
          <w:i/>
        </w:rPr>
        <w:t xml:space="preserve"> 17 – </w:t>
      </w:r>
      <w:proofErr w:type="spellStart"/>
      <w:r w:rsidRPr="007E62B0">
        <w:rPr>
          <w:i/>
        </w:rPr>
        <w:t>Brexit</w:t>
      </w:r>
      <w:proofErr w:type="spellEnd"/>
      <w:r w:rsidRPr="007E62B0">
        <w:rPr>
          <w:i/>
        </w:rPr>
        <w:t xml:space="preserve"> </w:t>
      </w:r>
      <w:proofErr w:type="spellStart"/>
      <w:r w:rsidRPr="007E62B0">
        <w:rPr>
          <w:i/>
        </w:rPr>
        <w:t>Supplement</w:t>
      </w:r>
      <w:proofErr w:type="spellEnd"/>
      <w:r w:rsidR="007F73A0">
        <w:t xml:space="preserve"> (</w:t>
      </w:r>
      <w:proofErr w:type="spellStart"/>
      <w:r w:rsidR="007F73A0">
        <w:t>July</w:t>
      </w:r>
      <w:proofErr w:type="spellEnd"/>
      <w:r w:rsidR="007F73A0">
        <w:t xml:space="preserve">: </w:t>
      </w:r>
      <w:r>
        <w:t>2016), p. 125.</w:t>
      </w:r>
    </w:p>
  </w:footnote>
  <w:footnote w:id="5">
    <w:p w:rsidR="001F179E" w:rsidRPr="00405D63" w:rsidRDefault="001F179E" w:rsidP="00EB55E1">
      <w:pPr>
        <w:spacing w:after="0" w:line="240" w:lineRule="auto"/>
        <w:jc w:val="both"/>
        <w:rPr>
          <w:rFonts w:cs="Calibri"/>
          <w:sz w:val="20"/>
          <w:szCs w:val="20"/>
          <w:lang w:val="en-US"/>
        </w:rPr>
      </w:pPr>
      <w:r w:rsidRPr="00405D63">
        <w:rPr>
          <w:rStyle w:val="Refdenotaderodap"/>
          <w:sz w:val="20"/>
          <w:szCs w:val="20"/>
        </w:rPr>
        <w:footnoteRef/>
      </w:r>
      <w:r w:rsidRPr="00405D63">
        <w:rPr>
          <w:sz w:val="20"/>
          <w:szCs w:val="20"/>
        </w:rPr>
        <w:t xml:space="preserve"> </w:t>
      </w:r>
      <w:proofErr w:type="spellStart"/>
      <w:r w:rsidRPr="00405D63">
        <w:rPr>
          <w:sz w:val="20"/>
          <w:szCs w:val="20"/>
        </w:rPr>
        <w:t>See</w:t>
      </w:r>
      <w:proofErr w:type="spellEnd"/>
      <w:r w:rsidRPr="00405D63">
        <w:rPr>
          <w:sz w:val="20"/>
          <w:szCs w:val="20"/>
        </w:rPr>
        <w:t xml:space="preserve"> </w:t>
      </w:r>
      <w:proofErr w:type="spellStart"/>
      <w:r w:rsidRPr="00405D63">
        <w:rPr>
          <w:sz w:val="20"/>
          <w:szCs w:val="20"/>
        </w:rPr>
        <w:t>Hannes</w:t>
      </w:r>
      <w:proofErr w:type="spellEnd"/>
      <w:r w:rsidRPr="00405D63">
        <w:rPr>
          <w:sz w:val="20"/>
          <w:szCs w:val="20"/>
        </w:rPr>
        <w:t xml:space="preserve"> </w:t>
      </w:r>
      <w:proofErr w:type="spellStart"/>
      <w:r w:rsidRPr="00405D63">
        <w:rPr>
          <w:sz w:val="20"/>
          <w:szCs w:val="20"/>
        </w:rPr>
        <w:t>Hofmeister</w:t>
      </w:r>
      <w:proofErr w:type="spellEnd"/>
      <w:r w:rsidRPr="00405D63">
        <w:rPr>
          <w:sz w:val="20"/>
          <w:szCs w:val="20"/>
        </w:rPr>
        <w:t xml:space="preserve">, </w:t>
      </w:r>
      <w:r w:rsidRPr="00405D63">
        <w:rPr>
          <w:rFonts w:cs="Calibri"/>
          <w:sz w:val="20"/>
          <w:szCs w:val="20"/>
          <w:lang w:val="en-US"/>
        </w:rPr>
        <w:t xml:space="preserve">«Should I Stay or Should I Go? – A Critical Analysis of the Right to Withdraw from the EU», </w:t>
      </w:r>
      <w:r w:rsidRPr="00405D63">
        <w:rPr>
          <w:rFonts w:cs="Calibri"/>
          <w:i/>
          <w:sz w:val="20"/>
          <w:szCs w:val="20"/>
          <w:lang w:val="en-US"/>
        </w:rPr>
        <w:t>European Law Journal</w:t>
      </w:r>
      <w:r w:rsidR="00D96D57" w:rsidRPr="00405D63">
        <w:rPr>
          <w:rFonts w:cs="Calibri"/>
          <w:sz w:val="20"/>
          <w:szCs w:val="20"/>
          <w:lang w:val="en-US"/>
        </w:rPr>
        <w:t xml:space="preserve"> 16 (5: 2010), p. 592; </w:t>
      </w:r>
      <w:r w:rsidRPr="00405D63">
        <w:rPr>
          <w:sz w:val="20"/>
          <w:szCs w:val="20"/>
        </w:rPr>
        <w:t xml:space="preserve">Eliza </w:t>
      </w:r>
      <w:proofErr w:type="spellStart"/>
      <w:r w:rsidRPr="00405D63">
        <w:rPr>
          <w:sz w:val="20"/>
          <w:szCs w:val="20"/>
        </w:rPr>
        <w:t>Malathouni</w:t>
      </w:r>
      <w:proofErr w:type="spellEnd"/>
      <w:r w:rsidR="00D96D57" w:rsidRPr="00405D63">
        <w:rPr>
          <w:sz w:val="20"/>
          <w:szCs w:val="20"/>
        </w:rPr>
        <w:t xml:space="preserve">, </w:t>
      </w:r>
      <w:r w:rsidR="00D96D57" w:rsidRPr="00405D63">
        <w:rPr>
          <w:rFonts w:asciiTheme="minorHAnsi" w:eastAsia="Times New Roman" w:hAnsiTheme="minorHAnsi" w:cs="Calibri"/>
          <w:sz w:val="20"/>
          <w:szCs w:val="20"/>
          <w:lang w:val="en-US" w:eastAsia="en-GB"/>
        </w:rPr>
        <w:t xml:space="preserve">«Should I Stay or Should I go: The Sunset Clause as Self-Confidence or Suicide», </w:t>
      </w:r>
      <w:r w:rsidR="00D96D57" w:rsidRPr="00405D63">
        <w:rPr>
          <w:rFonts w:asciiTheme="minorHAnsi" w:eastAsia="Times New Roman" w:hAnsiTheme="minorHAnsi" w:cs="Calibri"/>
          <w:i/>
          <w:sz w:val="20"/>
          <w:szCs w:val="20"/>
          <w:lang w:val="en-US" w:eastAsia="en-GB"/>
        </w:rPr>
        <w:t>Maastricht Journal of European and Comparative Law</w:t>
      </w:r>
      <w:r w:rsidR="00D96D57" w:rsidRPr="00405D63">
        <w:rPr>
          <w:rFonts w:asciiTheme="minorHAnsi" w:eastAsia="Times New Roman" w:hAnsiTheme="minorHAnsi" w:cs="Calibri"/>
          <w:sz w:val="20"/>
          <w:szCs w:val="20"/>
          <w:lang w:val="en-US" w:eastAsia="en-GB"/>
        </w:rPr>
        <w:t xml:space="preserve"> 15 (2008), p. 115.</w:t>
      </w:r>
    </w:p>
  </w:footnote>
  <w:footnote w:id="6">
    <w:p w:rsidR="00D96D57" w:rsidRPr="00405D63" w:rsidRDefault="00D96D57" w:rsidP="00EB55E1">
      <w:pPr>
        <w:spacing w:after="0" w:line="240" w:lineRule="auto"/>
        <w:jc w:val="both"/>
        <w:rPr>
          <w:rFonts w:asciiTheme="minorHAnsi" w:eastAsia="Times New Roman" w:hAnsiTheme="minorHAnsi" w:cs="Calibri"/>
          <w:sz w:val="20"/>
          <w:szCs w:val="20"/>
          <w:lang w:eastAsia="en-GB"/>
        </w:rPr>
      </w:pPr>
      <w:r w:rsidRPr="00405D63">
        <w:rPr>
          <w:rStyle w:val="Refdenotaderodap"/>
          <w:sz w:val="20"/>
          <w:szCs w:val="20"/>
        </w:rPr>
        <w:footnoteRef/>
      </w:r>
      <w:r w:rsidRPr="00405D63">
        <w:rPr>
          <w:sz w:val="20"/>
          <w:szCs w:val="20"/>
        </w:rPr>
        <w:t xml:space="preserve"> </w:t>
      </w:r>
      <w:proofErr w:type="spellStart"/>
      <w:r w:rsidRPr="00405D63">
        <w:rPr>
          <w:sz w:val="20"/>
          <w:szCs w:val="20"/>
        </w:rPr>
        <w:t>See</w:t>
      </w:r>
      <w:proofErr w:type="spellEnd"/>
      <w:r w:rsidRPr="00405D63">
        <w:rPr>
          <w:sz w:val="20"/>
          <w:szCs w:val="20"/>
        </w:rPr>
        <w:t xml:space="preserve"> </w:t>
      </w:r>
      <w:proofErr w:type="spellStart"/>
      <w:r w:rsidRPr="00405D63">
        <w:rPr>
          <w:sz w:val="20"/>
          <w:szCs w:val="20"/>
        </w:rPr>
        <w:t>Cass</w:t>
      </w:r>
      <w:proofErr w:type="spellEnd"/>
      <w:r w:rsidRPr="00405D63">
        <w:rPr>
          <w:sz w:val="20"/>
          <w:szCs w:val="20"/>
        </w:rPr>
        <w:t xml:space="preserve"> R. </w:t>
      </w:r>
      <w:proofErr w:type="spellStart"/>
      <w:r w:rsidRPr="00405D63">
        <w:rPr>
          <w:sz w:val="20"/>
          <w:szCs w:val="20"/>
        </w:rPr>
        <w:t>Sunstein</w:t>
      </w:r>
      <w:proofErr w:type="spellEnd"/>
      <w:r w:rsidRPr="00405D63">
        <w:rPr>
          <w:rFonts w:asciiTheme="minorHAnsi" w:eastAsia="Times New Roman" w:hAnsiTheme="minorHAnsi" w:cs="Calibri"/>
          <w:sz w:val="20"/>
          <w:szCs w:val="20"/>
          <w:lang w:val="en-US" w:eastAsia="en-GB"/>
        </w:rPr>
        <w:t xml:space="preserve">, «Constitutionalism and Secession», </w:t>
      </w:r>
      <w:r w:rsidRPr="00405D63">
        <w:rPr>
          <w:rFonts w:asciiTheme="minorHAnsi" w:eastAsia="Times New Roman" w:hAnsiTheme="minorHAnsi" w:cs="Calibri"/>
          <w:i/>
          <w:sz w:val="20"/>
          <w:szCs w:val="20"/>
          <w:lang w:val="en-US" w:eastAsia="en-GB"/>
        </w:rPr>
        <w:t xml:space="preserve">The University of Chicago Law Review </w:t>
      </w:r>
      <w:r w:rsidRPr="00405D63">
        <w:rPr>
          <w:rFonts w:asciiTheme="minorHAnsi" w:eastAsia="Times New Roman" w:hAnsiTheme="minorHAnsi" w:cs="Calibri"/>
          <w:sz w:val="20"/>
          <w:szCs w:val="20"/>
          <w:lang w:val="en-US" w:eastAsia="en-GB"/>
        </w:rPr>
        <w:t>58 (2: 1991), p. 654.</w:t>
      </w:r>
    </w:p>
  </w:footnote>
  <w:footnote w:id="7">
    <w:p w:rsidR="00470174" w:rsidRPr="00405D63" w:rsidRDefault="00470174" w:rsidP="00EB55E1">
      <w:pPr>
        <w:spacing w:after="0" w:line="240" w:lineRule="auto"/>
        <w:jc w:val="both"/>
        <w:rPr>
          <w:rFonts w:asciiTheme="minorHAnsi" w:eastAsia="Times New Roman" w:hAnsiTheme="minorHAnsi" w:cs="Calibri"/>
          <w:sz w:val="20"/>
          <w:szCs w:val="20"/>
          <w:lang w:eastAsia="en-GB"/>
        </w:rPr>
      </w:pPr>
      <w:r w:rsidRPr="00405D63">
        <w:rPr>
          <w:rStyle w:val="Refdenotaderodap"/>
          <w:sz w:val="20"/>
          <w:szCs w:val="20"/>
        </w:rPr>
        <w:footnoteRef/>
      </w:r>
      <w:r w:rsidRPr="00405D63">
        <w:rPr>
          <w:sz w:val="20"/>
          <w:szCs w:val="20"/>
        </w:rPr>
        <w:t xml:space="preserve"> </w:t>
      </w:r>
      <w:proofErr w:type="spellStart"/>
      <w:r w:rsidRPr="00405D63">
        <w:rPr>
          <w:sz w:val="20"/>
          <w:szCs w:val="20"/>
        </w:rPr>
        <w:t>See</w:t>
      </w:r>
      <w:proofErr w:type="spellEnd"/>
      <w:r w:rsidRPr="00405D63">
        <w:rPr>
          <w:sz w:val="20"/>
          <w:szCs w:val="20"/>
        </w:rPr>
        <w:t xml:space="preserve"> Daniel J. </w:t>
      </w:r>
      <w:proofErr w:type="spellStart"/>
      <w:r w:rsidRPr="00405D63">
        <w:rPr>
          <w:sz w:val="20"/>
          <w:szCs w:val="20"/>
        </w:rPr>
        <w:t>Elazar</w:t>
      </w:r>
      <w:proofErr w:type="spellEnd"/>
      <w:r w:rsidRPr="00405D63">
        <w:rPr>
          <w:sz w:val="20"/>
          <w:szCs w:val="20"/>
        </w:rPr>
        <w:t xml:space="preserve">, </w:t>
      </w:r>
      <w:proofErr w:type="spellStart"/>
      <w:r w:rsidRPr="007F73A0">
        <w:rPr>
          <w:i/>
          <w:sz w:val="20"/>
          <w:szCs w:val="20"/>
        </w:rPr>
        <w:t>Constitutionalizing</w:t>
      </w:r>
      <w:proofErr w:type="spellEnd"/>
      <w:r w:rsidRPr="007F73A0">
        <w:rPr>
          <w:i/>
          <w:sz w:val="20"/>
          <w:szCs w:val="20"/>
        </w:rPr>
        <w:t xml:space="preserve"> </w:t>
      </w:r>
      <w:proofErr w:type="spellStart"/>
      <w:r w:rsidRPr="007F73A0">
        <w:rPr>
          <w:i/>
          <w:sz w:val="20"/>
          <w:szCs w:val="20"/>
        </w:rPr>
        <w:t>Globalization</w:t>
      </w:r>
      <w:proofErr w:type="spellEnd"/>
      <w:r w:rsidRPr="007F73A0">
        <w:rPr>
          <w:i/>
          <w:sz w:val="20"/>
          <w:szCs w:val="20"/>
        </w:rPr>
        <w:t xml:space="preserve">: </w:t>
      </w:r>
      <w:proofErr w:type="spellStart"/>
      <w:r w:rsidRPr="007F73A0">
        <w:rPr>
          <w:i/>
          <w:sz w:val="20"/>
          <w:szCs w:val="20"/>
        </w:rPr>
        <w:t>The</w:t>
      </w:r>
      <w:proofErr w:type="spellEnd"/>
      <w:r w:rsidRPr="007F73A0">
        <w:rPr>
          <w:i/>
          <w:sz w:val="20"/>
          <w:szCs w:val="20"/>
        </w:rPr>
        <w:t xml:space="preserve"> </w:t>
      </w:r>
      <w:proofErr w:type="spellStart"/>
      <w:r w:rsidRPr="007F73A0">
        <w:rPr>
          <w:i/>
          <w:sz w:val="20"/>
          <w:szCs w:val="20"/>
        </w:rPr>
        <w:t>Postmodern</w:t>
      </w:r>
      <w:proofErr w:type="spellEnd"/>
      <w:r w:rsidRPr="007F73A0">
        <w:rPr>
          <w:i/>
          <w:sz w:val="20"/>
          <w:szCs w:val="20"/>
        </w:rPr>
        <w:t xml:space="preserve"> </w:t>
      </w:r>
      <w:proofErr w:type="spellStart"/>
      <w:r w:rsidRPr="007F73A0">
        <w:rPr>
          <w:i/>
          <w:sz w:val="20"/>
          <w:szCs w:val="20"/>
        </w:rPr>
        <w:t>Revival</w:t>
      </w:r>
      <w:proofErr w:type="spellEnd"/>
      <w:r w:rsidRPr="007F73A0">
        <w:rPr>
          <w:i/>
          <w:sz w:val="20"/>
          <w:szCs w:val="20"/>
        </w:rPr>
        <w:t xml:space="preserve"> </w:t>
      </w:r>
      <w:proofErr w:type="spellStart"/>
      <w:r w:rsidRPr="007F73A0">
        <w:rPr>
          <w:i/>
          <w:sz w:val="20"/>
          <w:szCs w:val="20"/>
        </w:rPr>
        <w:t>of</w:t>
      </w:r>
      <w:proofErr w:type="spellEnd"/>
      <w:r w:rsidRPr="007F73A0">
        <w:rPr>
          <w:i/>
          <w:sz w:val="20"/>
          <w:szCs w:val="20"/>
        </w:rPr>
        <w:t xml:space="preserve"> Confederal </w:t>
      </w:r>
      <w:proofErr w:type="spellStart"/>
      <w:r w:rsidRPr="007F73A0">
        <w:rPr>
          <w:i/>
          <w:sz w:val="20"/>
          <w:szCs w:val="20"/>
        </w:rPr>
        <w:t>Arrangements</w:t>
      </w:r>
      <w:proofErr w:type="spellEnd"/>
      <w:r w:rsidRPr="00405D63">
        <w:rPr>
          <w:sz w:val="20"/>
          <w:szCs w:val="20"/>
        </w:rPr>
        <w:t xml:space="preserve">, Lanham: </w:t>
      </w:r>
      <w:proofErr w:type="spellStart"/>
      <w:r w:rsidRPr="00405D63">
        <w:rPr>
          <w:sz w:val="20"/>
          <w:szCs w:val="20"/>
        </w:rPr>
        <w:t>Rowan</w:t>
      </w:r>
      <w:proofErr w:type="spellEnd"/>
      <w:r w:rsidRPr="00405D63">
        <w:rPr>
          <w:sz w:val="20"/>
          <w:szCs w:val="20"/>
        </w:rPr>
        <w:t xml:space="preserve"> &amp; </w:t>
      </w:r>
      <w:proofErr w:type="spellStart"/>
      <w:r w:rsidRPr="00405D63">
        <w:rPr>
          <w:sz w:val="20"/>
          <w:szCs w:val="20"/>
        </w:rPr>
        <w:t>Littlefield</w:t>
      </w:r>
      <w:proofErr w:type="spellEnd"/>
      <w:r w:rsidRPr="00405D63">
        <w:rPr>
          <w:sz w:val="20"/>
          <w:szCs w:val="20"/>
        </w:rPr>
        <w:t xml:space="preserve"> Publishers, </w:t>
      </w:r>
      <w:proofErr w:type="spellStart"/>
      <w:r w:rsidRPr="00405D63">
        <w:rPr>
          <w:sz w:val="20"/>
          <w:szCs w:val="20"/>
        </w:rPr>
        <w:t>Inc</w:t>
      </w:r>
      <w:proofErr w:type="spellEnd"/>
      <w:r w:rsidRPr="00405D63">
        <w:rPr>
          <w:sz w:val="20"/>
          <w:szCs w:val="20"/>
        </w:rPr>
        <w:t xml:space="preserve">., 1998, p. 8; Ronald L. Watts, </w:t>
      </w:r>
      <w:r w:rsidRPr="00405D63">
        <w:rPr>
          <w:rFonts w:asciiTheme="minorHAnsi" w:eastAsia="Times New Roman" w:hAnsiTheme="minorHAnsi" w:cs="Calibri"/>
          <w:i/>
          <w:sz w:val="20"/>
          <w:szCs w:val="20"/>
          <w:lang w:val="en-US" w:eastAsia="en-GB"/>
        </w:rPr>
        <w:t>Comparing Federal Systems, 3</w:t>
      </w:r>
      <w:r w:rsidRPr="00405D63">
        <w:rPr>
          <w:rFonts w:asciiTheme="minorHAnsi" w:eastAsia="Times New Roman" w:hAnsiTheme="minorHAnsi" w:cs="Calibri"/>
          <w:i/>
          <w:sz w:val="20"/>
          <w:szCs w:val="20"/>
          <w:vertAlign w:val="superscript"/>
          <w:lang w:val="en-US" w:eastAsia="en-GB"/>
        </w:rPr>
        <w:t>rd</w:t>
      </w:r>
      <w:r w:rsidRPr="00405D63">
        <w:rPr>
          <w:rFonts w:asciiTheme="minorHAnsi" w:eastAsia="Times New Roman" w:hAnsiTheme="minorHAnsi" w:cs="Calibri"/>
          <w:i/>
          <w:sz w:val="20"/>
          <w:szCs w:val="20"/>
          <w:lang w:val="en-US" w:eastAsia="en-GB"/>
        </w:rPr>
        <w:t xml:space="preserve"> edition</w:t>
      </w:r>
      <w:r w:rsidRPr="00405D63">
        <w:rPr>
          <w:rFonts w:asciiTheme="minorHAnsi" w:eastAsia="Times New Roman" w:hAnsiTheme="minorHAnsi" w:cs="Calibri"/>
          <w:sz w:val="20"/>
          <w:szCs w:val="20"/>
          <w:lang w:val="en-US" w:eastAsia="en-GB"/>
        </w:rPr>
        <w:t>, Montreal &amp; Kingston: McGill Queen’s University Press, 2008, p. 10 and 11.</w:t>
      </w:r>
    </w:p>
  </w:footnote>
  <w:footnote w:id="8">
    <w:p w:rsidR="00D96D57" w:rsidRPr="00405D63" w:rsidRDefault="00D96D57" w:rsidP="00405D63">
      <w:pPr>
        <w:pStyle w:val="Textodenotaderodap"/>
        <w:jc w:val="both"/>
      </w:pPr>
      <w:r w:rsidRPr="00405D63">
        <w:rPr>
          <w:rStyle w:val="Refdenotaderodap"/>
        </w:rPr>
        <w:footnoteRef/>
      </w:r>
      <w:r w:rsidRPr="00405D63">
        <w:t xml:space="preserve"> </w:t>
      </w:r>
      <w:proofErr w:type="spellStart"/>
      <w:r w:rsidRPr="00405D63">
        <w:t>See</w:t>
      </w:r>
      <w:proofErr w:type="spellEnd"/>
      <w:r w:rsidRPr="00405D63">
        <w:t xml:space="preserve"> </w:t>
      </w:r>
      <w:proofErr w:type="spellStart"/>
      <w:r w:rsidRPr="00405D63">
        <w:t>Frederick</w:t>
      </w:r>
      <w:proofErr w:type="spellEnd"/>
      <w:r w:rsidRPr="00405D63">
        <w:t xml:space="preserve"> K. </w:t>
      </w:r>
      <w:proofErr w:type="spellStart"/>
      <w:r w:rsidRPr="00405D63">
        <w:t>Lister</w:t>
      </w:r>
      <w:proofErr w:type="spellEnd"/>
      <w:r w:rsidRPr="00405D63">
        <w:t xml:space="preserve">, </w:t>
      </w:r>
      <w:proofErr w:type="spellStart"/>
      <w:r w:rsidRPr="00405D63">
        <w:rPr>
          <w:i/>
        </w:rPr>
        <w:t>The</w:t>
      </w:r>
      <w:proofErr w:type="spellEnd"/>
      <w:r w:rsidRPr="00405D63">
        <w:rPr>
          <w:i/>
        </w:rPr>
        <w:t xml:space="preserve"> </w:t>
      </w:r>
      <w:proofErr w:type="spellStart"/>
      <w:r w:rsidRPr="00405D63">
        <w:rPr>
          <w:i/>
        </w:rPr>
        <w:t>European</w:t>
      </w:r>
      <w:proofErr w:type="spellEnd"/>
      <w:r w:rsidRPr="00405D63">
        <w:rPr>
          <w:i/>
        </w:rPr>
        <w:t xml:space="preserve"> </w:t>
      </w:r>
      <w:proofErr w:type="spellStart"/>
      <w:r w:rsidRPr="00405D63">
        <w:rPr>
          <w:i/>
        </w:rPr>
        <w:t>Union</w:t>
      </w:r>
      <w:proofErr w:type="spellEnd"/>
      <w:r w:rsidRPr="00405D63">
        <w:rPr>
          <w:i/>
        </w:rPr>
        <w:t xml:space="preserve">, </w:t>
      </w:r>
      <w:proofErr w:type="spellStart"/>
      <w:r w:rsidRPr="00405D63">
        <w:rPr>
          <w:i/>
        </w:rPr>
        <w:t>the</w:t>
      </w:r>
      <w:proofErr w:type="spellEnd"/>
      <w:r w:rsidRPr="00405D63">
        <w:rPr>
          <w:i/>
        </w:rPr>
        <w:t xml:space="preserve"> United </w:t>
      </w:r>
      <w:proofErr w:type="spellStart"/>
      <w:r w:rsidRPr="00405D63">
        <w:rPr>
          <w:i/>
        </w:rPr>
        <w:t>Nations</w:t>
      </w:r>
      <w:proofErr w:type="spellEnd"/>
      <w:r w:rsidRPr="00405D63">
        <w:rPr>
          <w:i/>
        </w:rPr>
        <w:t xml:space="preserve">, </w:t>
      </w:r>
      <w:proofErr w:type="spellStart"/>
      <w:r w:rsidRPr="00405D63">
        <w:rPr>
          <w:i/>
        </w:rPr>
        <w:t>and</w:t>
      </w:r>
      <w:proofErr w:type="spellEnd"/>
      <w:r w:rsidRPr="00405D63">
        <w:rPr>
          <w:i/>
        </w:rPr>
        <w:t xml:space="preserve"> </w:t>
      </w:r>
      <w:proofErr w:type="spellStart"/>
      <w:r w:rsidRPr="00405D63">
        <w:rPr>
          <w:i/>
        </w:rPr>
        <w:t>the</w:t>
      </w:r>
      <w:proofErr w:type="spellEnd"/>
      <w:r w:rsidRPr="00405D63">
        <w:rPr>
          <w:i/>
        </w:rPr>
        <w:t xml:space="preserve"> </w:t>
      </w:r>
      <w:proofErr w:type="spellStart"/>
      <w:r w:rsidRPr="00405D63">
        <w:rPr>
          <w:i/>
        </w:rPr>
        <w:t>Revival</w:t>
      </w:r>
      <w:proofErr w:type="spellEnd"/>
      <w:r w:rsidRPr="00405D63">
        <w:rPr>
          <w:i/>
        </w:rPr>
        <w:t xml:space="preserve"> </w:t>
      </w:r>
      <w:proofErr w:type="spellStart"/>
      <w:r w:rsidRPr="00405D63">
        <w:rPr>
          <w:i/>
        </w:rPr>
        <w:t>of</w:t>
      </w:r>
      <w:proofErr w:type="spellEnd"/>
      <w:r w:rsidRPr="00405D63">
        <w:rPr>
          <w:i/>
        </w:rPr>
        <w:t xml:space="preserve"> Confederal </w:t>
      </w:r>
      <w:proofErr w:type="spellStart"/>
      <w:r w:rsidRPr="00405D63">
        <w:rPr>
          <w:i/>
        </w:rPr>
        <w:t>Governance</w:t>
      </w:r>
      <w:proofErr w:type="spellEnd"/>
      <w:r w:rsidRPr="00405D63">
        <w:rPr>
          <w:i/>
        </w:rPr>
        <w:t>,</w:t>
      </w:r>
      <w:r w:rsidRPr="00405D63">
        <w:t xml:space="preserve"> </w:t>
      </w:r>
      <w:proofErr w:type="spellStart"/>
      <w:r w:rsidRPr="00405D63">
        <w:t>Westport</w:t>
      </w:r>
      <w:proofErr w:type="spellEnd"/>
      <w:r w:rsidRPr="00405D63">
        <w:t xml:space="preserve">, Connecticut: </w:t>
      </w:r>
      <w:proofErr w:type="spellStart"/>
      <w:r w:rsidRPr="00405D63">
        <w:t>Greenwood</w:t>
      </w:r>
      <w:proofErr w:type="spellEnd"/>
      <w:r w:rsidRPr="00405D63">
        <w:t xml:space="preserve"> </w:t>
      </w:r>
      <w:proofErr w:type="spellStart"/>
      <w:r w:rsidRPr="00405D63">
        <w:t>Press</w:t>
      </w:r>
      <w:proofErr w:type="spellEnd"/>
      <w:r w:rsidRPr="00405D63">
        <w:t>, 1996, p. 35.</w:t>
      </w:r>
    </w:p>
  </w:footnote>
  <w:footnote w:id="9">
    <w:p w:rsidR="00D96D57" w:rsidRPr="00FD3614" w:rsidRDefault="00D96D57" w:rsidP="00FF245A">
      <w:pPr>
        <w:spacing w:after="0" w:line="240" w:lineRule="auto"/>
        <w:jc w:val="both"/>
        <w:rPr>
          <w:rFonts w:asciiTheme="minorHAnsi" w:eastAsia="Times New Roman" w:hAnsiTheme="minorHAnsi" w:cs="Calibri"/>
          <w:sz w:val="20"/>
          <w:szCs w:val="20"/>
          <w:lang w:eastAsia="en-GB"/>
        </w:rPr>
      </w:pPr>
      <w:r w:rsidRPr="00FD3614">
        <w:rPr>
          <w:rStyle w:val="Refdenotaderodap"/>
          <w:sz w:val="20"/>
          <w:szCs w:val="20"/>
        </w:rPr>
        <w:footnoteRef/>
      </w:r>
      <w:r w:rsidR="00470174" w:rsidRPr="00FD3614">
        <w:rPr>
          <w:sz w:val="20"/>
          <w:szCs w:val="20"/>
        </w:rPr>
        <w:t xml:space="preserve"> </w:t>
      </w:r>
      <w:proofErr w:type="spellStart"/>
      <w:r w:rsidR="00470174" w:rsidRPr="00FD3614">
        <w:rPr>
          <w:sz w:val="20"/>
          <w:szCs w:val="20"/>
        </w:rPr>
        <w:t>See</w:t>
      </w:r>
      <w:proofErr w:type="spellEnd"/>
      <w:r w:rsidR="00470174" w:rsidRPr="00FD3614">
        <w:rPr>
          <w:sz w:val="20"/>
          <w:szCs w:val="20"/>
        </w:rPr>
        <w:t xml:space="preserve"> </w:t>
      </w:r>
      <w:r w:rsidRPr="00FD3614">
        <w:rPr>
          <w:sz w:val="20"/>
          <w:szCs w:val="20"/>
        </w:rPr>
        <w:t>Watts,</w:t>
      </w:r>
      <w:r w:rsidRPr="00FD3614">
        <w:rPr>
          <w:rFonts w:asciiTheme="minorHAnsi" w:eastAsia="Times New Roman" w:hAnsiTheme="minorHAnsi" w:cs="Calibri"/>
          <w:sz w:val="20"/>
          <w:szCs w:val="20"/>
          <w:lang w:val="en-US" w:eastAsia="en-GB"/>
        </w:rPr>
        <w:t xml:space="preserve"> </w:t>
      </w:r>
      <w:r w:rsidRPr="00FD3614">
        <w:rPr>
          <w:rFonts w:asciiTheme="minorHAnsi" w:eastAsia="Times New Roman" w:hAnsiTheme="minorHAnsi" w:cs="Calibri"/>
          <w:i/>
          <w:sz w:val="20"/>
          <w:szCs w:val="20"/>
          <w:lang w:val="en-US" w:eastAsia="en-GB"/>
        </w:rPr>
        <w:t xml:space="preserve">Comparing </w:t>
      </w:r>
      <w:r w:rsidR="00470174" w:rsidRPr="00FD3614">
        <w:rPr>
          <w:rFonts w:asciiTheme="minorHAnsi" w:eastAsia="Times New Roman" w:hAnsiTheme="minorHAnsi" w:cs="Calibri"/>
          <w:i/>
          <w:sz w:val="20"/>
          <w:szCs w:val="20"/>
          <w:lang w:val="en-US" w:eastAsia="en-GB"/>
        </w:rPr>
        <w:t>Federal Systems</w:t>
      </w:r>
      <w:r w:rsidRPr="00FD3614">
        <w:rPr>
          <w:rFonts w:asciiTheme="minorHAnsi" w:eastAsia="Times New Roman" w:hAnsiTheme="minorHAnsi" w:cs="Calibri"/>
          <w:sz w:val="20"/>
          <w:szCs w:val="20"/>
          <w:lang w:val="en-US" w:eastAsia="en-GB"/>
        </w:rPr>
        <w:t>, p. 169.</w:t>
      </w:r>
    </w:p>
  </w:footnote>
  <w:footnote w:id="10">
    <w:p w:rsidR="008E221A" w:rsidRDefault="008E221A" w:rsidP="00FF245A">
      <w:pPr>
        <w:pStyle w:val="Textodenotaderodap"/>
        <w:jc w:val="both"/>
      </w:pPr>
      <w:r>
        <w:rPr>
          <w:rStyle w:val="Refdenotaderodap"/>
        </w:rPr>
        <w:footnoteRef/>
      </w:r>
      <w:r>
        <w:t xml:space="preserve"> Susana </w:t>
      </w:r>
      <w:proofErr w:type="spellStart"/>
      <w:r>
        <w:t>Mancin</w:t>
      </w:r>
      <w:r w:rsidR="00682E87">
        <w:t>n</w:t>
      </w:r>
      <w:r>
        <w:t>i</w:t>
      </w:r>
      <w:proofErr w:type="spellEnd"/>
      <w:r>
        <w:t xml:space="preserve"> uses </w:t>
      </w:r>
      <w:proofErr w:type="spellStart"/>
      <w:r>
        <w:t>the</w:t>
      </w:r>
      <w:proofErr w:type="spellEnd"/>
      <w:r>
        <w:t xml:space="preserve"> </w:t>
      </w:r>
      <w:proofErr w:type="spellStart"/>
      <w:r>
        <w:t>term</w:t>
      </w:r>
      <w:proofErr w:type="spellEnd"/>
      <w:r>
        <w:t xml:space="preserve"> ”</w:t>
      </w:r>
      <w:proofErr w:type="spellStart"/>
      <w:r>
        <w:t>negotiated</w:t>
      </w:r>
      <w:proofErr w:type="spellEnd"/>
      <w:r>
        <w:t xml:space="preserve"> </w:t>
      </w:r>
      <w:proofErr w:type="spellStart"/>
      <w:r>
        <w:t>secess</w:t>
      </w:r>
      <w:r w:rsidR="00FF245A">
        <w:t>ion</w:t>
      </w:r>
      <w:proofErr w:type="spellEnd"/>
      <w:r w:rsidR="00FF245A">
        <w:t xml:space="preserve">”. </w:t>
      </w:r>
      <w:proofErr w:type="spellStart"/>
      <w:r w:rsidR="00FF245A">
        <w:t>See</w:t>
      </w:r>
      <w:proofErr w:type="spellEnd"/>
      <w:r w:rsidR="00FF245A">
        <w:t xml:space="preserve"> </w:t>
      </w:r>
      <w:proofErr w:type="spellStart"/>
      <w:r w:rsidR="00FF245A">
        <w:t>Susanna</w:t>
      </w:r>
      <w:proofErr w:type="spellEnd"/>
      <w:r w:rsidR="00FF245A">
        <w:t xml:space="preserve"> </w:t>
      </w:r>
      <w:proofErr w:type="spellStart"/>
      <w:r w:rsidR="00FF245A">
        <w:t>Mancin</w:t>
      </w:r>
      <w:r w:rsidR="007F73A0">
        <w:t>n</w:t>
      </w:r>
      <w:r w:rsidR="00FF245A">
        <w:t>i</w:t>
      </w:r>
      <w:proofErr w:type="spellEnd"/>
      <w:r>
        <w:t>,”</w:t>
      </w:r>
      <w:proofErr w:type="spellStart"/>
      <w:r>
        <w:t>Secession</w:t>
      </w:r>
      <w:proofErr w:type="spellEnd"/>
      <w:r>
        <w:t xml:space="preserve"> </w:t>
      </w:r>
      <w:proofErr w:type="spellStart"/>
      <w:r>
        <w:t>and</w:t>
      </w:r>
      <w:proofErr w:type="spellEnd"/>
      <w:r>
        <w:t xml:space="preserve"> Self-</w:t>
      </w:r>
      <w:proofErr w:type="spellStart"/>
      <w:r>
        <w:t>Determination</w:t>
      </w:r>
      <w:proofErr w:type="spellEnd"/>
      <w:r>
        <w:t>” in</w:t>
      </w:r>
      <w:r w:rsidR="00FF245A">
        <w:t xml:space="preserve"> </w:t>
      </w:r>
      <w:proofErr w:type="spellStart"/>
      <w:r w:rsidR="00FF245A" w:rsidRPr="00FF245A">
        <w:rPr>
          <w:i/>
        </w:rPr>
        <w:t>Th</w:t>
      </w:r>
      <w:r w:rsidRPr="00FF245A">
        <w:rPr>
          <w:i/>
        </w:rPr>
        <w:t>e</w:t>
      </w:r>
      <w:proofErr w:type="spellEnd"/>
      <w:r w:rsidRPr="00FF245A">
        <w:rPr>
          <w:i/>
        </w:rPr>
        <w:t xml:space="preserve"> Oxford</w:t>
      </w:r>
      <w:r w:rsidR="00FF245A" w:rsidRPr="00FF245A">
        <w:rPr>
          <w:i/>
        </w:rPr>
        <w:t xml:space="preserve"> </w:t>
      </w:r>
      <w:proofErr w:type="spellStart"/>
      <w:r w:rsidRPr="00FF245A">
        <w:rPr>
          <w:i/>
        </w:rPr>
        <w:t>Handbook</w:t>
      </w:r>
      <w:proofErr w:type="spellEnd"/>
      <w:r w:rsidRPr="00FF245A">
        <w:rPr>
          <w:i/>
        </w:rPr>
        <w:t xml:space="preserve"> </w:t>
      </w:r>
      <w:proofErr w:type="spellStart"/>
      <w:r w:rsidRPr="00FF245A">
        <w:rPr>
          <w:i/>
        </w:rPr>
        <w:t>of</w:t>
      </w:r>
      <w:proofErr w:type="spellEnd"/>
      <w:r w:rsidRPr="00FF245A">
        <w:rPr>
          <w:i/>
        </w:rPr>
        <w:t xml:space="preserve"> </w:t>
      </w:r>
      <w:proofErr w:type="spellStart"/>
      <w:r w:rsidRPr="00FF245A">
        <w:rPr>
          <w:i/>
        </w:rPr>
        <w:t>Comparative</w:t>
      </w:r>
      <w:proofErr w:type="spellEnd"/>
      <w:r w:rsidRPr="00FF245A">
        <w:rPr>
          <w:i/>
        </w:rPr>
        <w:t xml:space="preserve"> </w:t>
      </w:r>
      <w:proofErr w:type="spellStart"/>
      <w:r w:rsidRPr="00FF245A">
        <w:rPr>
          <w:i/>
        </w:rPr>
        <w:t>Constitutional</w:t>
      </w:r>
      <w:proofErr w:type="spellEnd"/>
      <w:r w:rsidRPr="00FF245A">
        <w:rPr>
          <w:i/>
        </w:rPr>
        <w:t xml:space="preserve"> </w:t>
      </w:r>
      <w:proofErr w:type="spellStart"/>
      <w:r w:rsidRPr="00FF245A">
        <w:rPr>
          <w:i/>
        </w:rPr>
        <w:t>Law</w:t>
      </w:r>
      <w:proofErr w:type="spellEnd"/>
      <w:r>
        <w:t>,</w:t>
      </w:r>
      <w:r w:rsidR="00FF245A">
        <w:t xml:space="preserve"> </w:t>
      </w:r>
      <w:proofErr w:type="spellStart"/>
      <w:r>
        <w:t>edited</w:t>
      </w:r>
      <w:proofErr w:type="spellEnd"/>
      <w:r>
        <w:t xml:space="preserve"> </w:t>
      </w:r>
      <w:proofErr w:type="spellStart"/>
      <w:r>
        <w:t>by</w:t>
      </w:r>
      <w:proofErr w:type="spellEnd"/>
      <w:r>
        <w:t xml:space="preserve"> Michel </w:t>
      </w:r>
      <w:proofErr w:type="spellStart"/>
      <w:r>
        <w:t>Rosenfeld</w:t>
      </w:r>
      <w:proofErr w:type="spellEnd"/>
      <w:r w:rsidR="00FF245A">
        <w:t xml:space="preserve"> </w:t>
      </w:r>
      <w:proofErr w:type="spellStart"/>
      <w:r>
        <w:t>and</w:t>
      </w:r>
      <w:proofErr w:type="spellEnd"/>
      <w:r>
        <w:t xml:space="preserve"> </w:t>
      </w:r>
      <w:proofErr w:type="spellStart"/>
      <w:r>
        <w:t>András</w:t>
      </w:r>
      <w:proofErr w:type="spellEnd"/>
      <w:r>
        <w:t xml:space="preserve"> </w:t>
      </w:r>
      <w:proofErr w:type="spellStart"/>
      <w:r>
        <w:t>Sajo</w:t>
      </w:r>
      <w:proofErr w:type="spellEnd"/>
      <w:r>
        <w:t>, Oxfor</w:t>
      </w:r>
      <w:r w:rsidR="00FF245A">
        <w:t>d</w:t>
      </w:r>
      <w:r>
        <w:t>:</w:t>
      </w:r>
      <w:r w:rsidR="00FF245A">
        <w:t xml:space="preserve"> </w:t>
      </w:r>
      <w:r>
        <w:t>Oxford</w:t>
      </w:r>
      <w:r w:rsidR="00FF245A">
        <w:t xml:space="preserve"> </w:t>
      </w:r>
      <w:proofErr w:type="spellStart"/>
      <w:r>
        <w:t>University</w:t>
      </w:r>
      <w:proofErr w:type="spellEnd"/>
      <w:r w:rsidR="00FF245A">
        <w:t xml:space="preserve"> </w:t>
      </w:r>
      <w:proofErr w:type="spellStart"/>
      <w:r>
        <w:t>Press</w:t>
      </w:r>
      <w:proofErr w:type="spellEnd"/>
      <w:r>
        <w:t>, 2012, p. 497.</w:t>
      </w:r>
    </w:p>
  </w:footnote>
  <w:footnote w:id="11">
    <w:p w:rsidR="00405D63" w:rsidRPr="00FD3614" w:rsidRDefault="00405D63" w:rsidP="00FF245A">
      <w:pPr>
        <w:pStyle w:val="Textodenotaderodap"/>
        <w:jc w:val="both"/>
      </w:pPr>
      <w:r w:rsidRPr="00FD3614">
        <w:rPr>
          <w:rStyle w:val="Refdenotaderodap"/>
        </w:rPr>
        <w:footnoteRef/>
      </w:r>
      <w:r w:rsidRPr="00FD3614">
        <w:t xml:space="preserve"> </w:t>
      </w:r>
      <w:r w:rsidR="00FF245A" w:rsidRPr="00FD3614">
        <w:t>Watts,</w:t>
      </w:r>
      <w:r w:rsidR="00FF245A" w:rsidRPr="00FD3614">
        <w:rPr>
          <w:rFonts w:eastAsia="Times New Roman" w:cs="Calibri"/>
          <w:lang w:val="en-US" w:eastAsia="en-GB"/>
        </w:rPr>
        <w:t xml:space="preserve"> </w:t>
      </w:r>
      <w:r w:rsidR="00FF245A" w:rsidRPr="00FD3614">
        <w:rPr>
          <w:rFonts w:eastAsia="Times New Roman" w:cs="Calibri"/>
          <w:i/>
          <w:lang w:val="en-US" w:eastAsia="en-GB"/>
        </w:rPr>
        <w:t>Comparing Federal Systems</w:t>
      </w:r>
      <w:r w:rsidRPr="00FD3614">
        <w:t xml:space="preserve">, p. 169 </w:t>
      </w:r>
      <w:proofErr w:type="spellStart"/>
      <w:r w:rsidRPr="00FD3614">
        <w:t>and</w:t>
      </w:r>
      <w:proofErr w:type="spellEnd"/>
      <w:r w:rsidRPr="00FD3614">
        <w:t xml:space="preserve"> 170.</w:t>
      </w:r>
    </w:p>
  </w:footnote>
  <w:footnote w:id="12">
    <w:p w:rsidR="00405D63" w:rsidRPr="00EB55E1" w:rsidRDefault="00405D63" w:rsidP="00EB55E1">
      <w:pPr>
        <w:spacing w:after="0" w:line="240" w:lineRule="auto"/>
        <w:jc w:val="both"/>
        <w:rPr>
          <w:rFonts w:asciiTheme="minorHAnsi" w:eastAsia="Times New Roman" w:hAnsiTheme="minorHAnsi" w:cs="Calibri"/>
          <w:sz w:val="20"/>
          <w:szCs w:val="20"/>
          <w:lang w:eastAsia="en-GB"/>
        </w:rPr>
      </w:pPr>
      <w:r w:rsidRPr="00FD3614">
        <w:rPr>
          <w:rStyle w:val="Refdenotaderodap"/>
          <w:sz w:val="20"/>
          <w:szCs w:val="20"/>
        </w:rPr>
        <w:footnoteRef/>
      </w:r>
      <w:r w:rsidRPr="00FD3614">
        <w:rPr>
          <w:sz w:val="20"/>
          <w:szCs w:val="20"/>
        </w:rPr>
        <w:t xml:space="preserve"> </w:t>
      </w:r>
      <w:proofErr w:type="spellStart"/>
      <w:r w:rsidRPr="00FD3614">
        <w:rPr>
          <w:sz w:val="20"/>
          <w:szCs w:val="20"/>
        </w:rPr>
        <w:t>Pernice</w:t>
      </w:r>
      <w:proofErr w:type="spellEnd"/>
      <w:r w:rsidRPr="00FD3614">
        <w:rPr>
          <w:sz w:val="20"/>
          <w:szCs w:val="20"/>
        </w:rPr>
        <w:t xml:space="preserve">, </w:t>
      </w:r>
      <w:proofErr w:type="spellStart"/>
      <w:r w:rsidRPr="00FD3614">
        <w:rPr>
          <w:sz w:val="20"/>
          <w:szCs w:val="20"/>
        </w:rPr>
        <w:t>Ingolf</w:t>
      </w:r>
      <w:proofErr w:type="spellEnd"/>
      <w:r w:rsidRPr="00FD3614">
        <w:rPr>
          <w:sz w:val="20"/>
          <w:szCs w:val="20"/>
        </w:rPr>
        <w:t xml:space="preserve">, </w:t>
      </w:r>
      <w:r w:rsidRPr="00FD3614">
        <w:rPr>
          <w:rFonts w:asciiTheme="minorHAnsi" w:eastAsia="Times New Roman" w:hAnsiTheme="minorHAnsi" w:cs="Calibri"/>
          <w:sz w:val="20"/>
          <w:szCs w:val="20"/>
          <w:lang w:val="en-US" w:eastAsia="en-GB"/>
        </w:rPr>
        <w:t xml:space="preserve">«The Treaty of Lisbon: Multilevel Constitutionalism in Action», </w:t>
      </w:r>
      <w:r w:rsidRPr="00FD3614">
        <w:rPr>
          <w:rFonts w:asciiTheme="minorHAnsi" w:eastAsia="Times New Roman" w:hAnsiTheme="minorHAnsi" w:cs="Calibri"/>
          <w:i/>
          <w:sz w:val="20"/>
          <w:szCs w:val="20"/>
          <w:lang w:val="en-US" w:eastAsia="en-GB"/>
        </w:rPr>
        <w:t xml:space="preserve">Columbia Law Journal </w:t>
      </w:r>
      <w:r w:rsidR="00052A13">
        <w:rPr>
          <w:rFonts w:asciiTheme="minorHAnsi" w:eastAsia="Times New Roman" w:hAnsiTheme="minorHAnsi" w:cs="Calibri"/>
          <w:sz w:val="20"/>
          <w:szCs w:val="20"/>
          <w:lang w:val="en-US" w:eastAsia="en-GB"/>
        </w:rPr>
        <w:t>15 (</w:t>
      </w:r>
      <w:proofErr w:type="gramStart"/>
      <w:r w:rsidR="00052A13">
        <w:rPr>
          <w:rFonts w:asciiTheme="minorHAnsi" w:eastAsia="Times New Roman" w:hAnsiTheme="minorHAnsi" w:cs="Calibri"/>
          <w:sz w:val="20"/>
          <w:szCs w:val="20"/>
          <w:lang w:val="en-US" w:eastAsia="en-GB"/>
        </w:rPr>
        <w:t>Summer</w:t>
      </w:r>
      <w:proofErr w:type="gramEnd"/>
      <w:r w:rsidR="00052A13">
        <w:rPr>
          <w:rFonts w:asciiTheme="minorHAnsi" w:eastAsia="Times New Roman" w:hAnsiTheme="minorHAnsi" w:cs="Calibri"/>
          <w:sz w:val="20"/>
          <w:szCs w:val="20"/>
          <w:lang w:val="en-US" w:eastAsia="en-GB"/>
        </w:rPr>
        <w:t>:</w:t>
      </w:r>
      <w:r w:rsidRPr="00FD3614">
        <w:rPr>
          <w:rFonts w:asciiTheme="minorHAnsi" w:eastAsia="Times New Roman" w:hAnsiTheme="minorHAnsi" w:cs="Calibri"/>
          <w:sz w:val="20"/>
          <w:szCs w:val="20"/>
          <w:lang w:val="en-US" w:eastAsia="en-GB"/>
        </w:rPr>
        <w:t xml:space="preserve"> 2009), p. 405.</w:t>
      </w:r>
    </w:p>
  </w:footnote>
  <w:footnote w:id="13">
    <w:p w:rsidR="00D96D57" w:rsidRPr="00254873" w:rsidRDefault="00D96D57" w:rsidP="00254873">
      <w:pPr>
        <w:spacing w:after="0" w:line="240" w:lineRule="auto"/>
        <w:jc w:val="both"/>
        <w:rPr>
          <w:rFonts w:asciiTheme="minorHAnsi" w:eastAsia="Times New Roman" w:hAnsiTheme="minorHAnsi" w:cs="Calibri"/>
          <w:sz w:val="20"/>
          <w:szCs w:val="20"/>
          <w:lang w:eastAsia="en-GB"/>
        </w:rPr>
      </w:pPr>
      <w:r w:rsidRPr="00254873">
        <w:rPr>
          <w:rStyle w:val="Refdenotaderodap"/>
          <w:sz w:val="20"/>
          <w:szCs w:val="20"/>
        </w:rPr>
        <w:footnoteRef/>
      </w:r>
      <w:r w:rsidRPr="00254873">
        <w:rPr>
          <w:sz w:val="20"/>
          <w:szCs w:val="20"/>
        </w:rPr>
        <w:t xml:space="preserve"> </w:t>
      </w:r>
      <w:proofErr w:type="spellStart"/>
      <w:r w:rsidRPr="00254873">
        <w:rPr>
          <w:sz w:val="20"/>
          <w:szCs w:val="20"/>
        </w:rPr>
        <w:t>See</w:t>
      </w:r>
      <w:proofErr w:type="spellEnd"/>
      <w:r w:rsidRPr="00254873">
        <w:rPr>
          <w:sz w:val="20"/>
          <w:szCs w:val="20"/>
        </w:rPr>
        <w:t xml:space="preserve"> Jean-Victor Louis, </w:t>
      </w:r>
      <w:r w:rsidRPr="00254873">
        <w:rPr>
          <w:rFonts w:asciiTheme="minorHAnsi" w:eastAsia="Times New Roman" w:hAnsiTheme="minorHAnsi" w:cs="Calibri"/>
          <w:sz w:val="20"/>
          <w:szCs w:val="20"/>
          <w:lang w:val="en-US" w:eastAsia="en-GB"/>
        </w:rPr>
        <w:t xml:space="preserve">«Le Droit de </w:t>
      </w:r>
      <w:proofErr w:type="spellStart"/>
      <w:r w:rsidRPr="00254873">
        <w:rPr>
          <w:rFonts w:asciiTheme="minorHAnsi" w:eastAsia="Times New Roman" w:hAnsiTheme="minorHAnsi" w:cs="Calibri"/>
          <w:sz w:val="20"/>
          <w:szCs w:val="20"/>
          <w:lang w:val="en-US" w:eastAsia="en-GB"/>
        </w:rPr>
        <w:t>Retrait</w:t>
      </w:r>
      <w:proofErr w:type="spellEnd"/>
      <w:r w:rsidRPr="00254873">
        <w:rPr>
          <w:rFonts w:asciiTheme="minorHAnsi" w:eastAsia="Times New Roman" w:hAnsiTheme="minorHAnsi" w:cs="Calibri"/>
          <w:sz w:val="20"/>
          <w:szCs w:val="20"/>
          <w:lang w:val="en-US" w:eastAsia="en-GB"/>
        </w:rPr>
        <w:t xml:space="preserve"> de </w:t>
      </w:r>
      <w:proofErr w:type="spellStart"/>
      <w:r w:rsidRPr="00254873">
        <w:rPr>
          <w:rFonts w:asciiTheme="minorHAnsi" w:eastAsia="Times New Roman" w:hAnsiTheme="minorHAnsi" w:cs="Calibri"/>
          <w:sz w:val="20"/>
          <w:szCs w:val="20"/>
          <w:lang w:val="en-US" w:eastAsia="en-GB"/>
        </w:rPr>
        <w:t>L’Union</w:t>
      </w:r>
      <w:proofErr w:type="spellEnd"/>
      <w:r w:rsidRPr="00254873">
        <w:rPr>
          <w:rFonts w:asciiTheme="minorHAnsi" w:eastAsia="Times New Roman" w:hAnsiTheme="minorHAnsi" w:cs="Calibri"/>
          <w:sz w:val="20"/>
          <w:szCs w:val="20"/>
          <w:lang w:val="en-US" w:eastAsia="en-GB"/>
        </w:rPr>
        <w:t xml:space="preserve"> </w:t>
      </w:r>
      <w:proofErr w:type="spellStart"/>
      <w:r w:rsidRPr="00254873">
        <w:rPr>
          <w:rFonts w:asciiTheme="minorHAnsi" w:eastAsia="Times New Roman" w:hAnsiTheme="minorHAnsi" w:cs="Calibri"/>
          <w:sz w:val="20"/>
          <w:szCs w:val="20"/>
          <w:lang w:val="en-US" w:eastAsia="en-GB"/>
        </w:rPr>
        <w:t>Européene</w:t>
      </w:r>
      <w:proofErr w:type="spellEnd"/>
      <w:r w:rsidRPr="00254873">
        <w:rPr>
          <w:rFonts w:asciiTheme="minorHAnsi" w:eastAsia="Times New Roman" w:hAnsiTheme="minorHAnsi" w:cs="Calibri"/>
          <w:sz w:val="20"/>
          <w:szCs w:val="20"/>
          <w:lang w:val="en-US" w:eastAsia="en-GB"/>
        </w:rPr>
        <w:t xml:space="preserve">», </w:t>
      </w:r>
      <w:r w:rsidRPr="00254873">
        <w:rPr>
          <w:rFonts w:asciiTheme="minorHAnsi" w:eastAsia="Times New Roman" w:hAnsiTheme="minorHAnsi" w:cs="Calibri"/>
          <w:i/>
          <w:sz w:val="20"/>
          <w:szCs w:val="20"/>
          <w:lang w:val="en-US" w:eastAsia="en-GB"/>
        </w:rPr>
        <w:t xml:space="preserve">Cahiers de Droit </w:t>
      </w:r>
      <w:proofErr w:type="spellStart"/>
      <w:r w:rsidRPr="00254873">
        <w:rPr>
          <w:rFonts w:asciiTheme="minorHAnsi" w:eastAsia="Times New Roman" w:hAnsiTheme="minorHAnsi" w:cs="Calibri"/>
          <w:i/>
          <w:sz w:val="20"/>
          <w:szCs w:val="20"/>
          <w:lang w:val="en-US" w:eastAsia="en-GB"/>
        </w:rPr>
        <w:t>Européene</w:t>
      </w:r>
      <w:proofErr w:type="spellEnd"/>
      <w:r w:rsidRPr="00254873">
        <w:rPr>
          <w:rFonts w:asciiTheme="minorHAnsi" w:eastAsia="Times New Roman" w:hAnsiTheme="minorHAnsi" w:cs="Calibri"/>
          <w:i/>
          <w:sz w:val="20"/>
          <w:szCs w:val="20"/>
          <w:lang w:val="en-US" w:eastAsia="en-GB"/>
        </w:rPr>
        <w:t xml:space="preserve"> </w:t>
      </w:r>
      <w:r w:rsidRPr="00254873">
        <w:rPr>
          <w:rFonts w:asciiTheme="minorHAnsi" w:eastAsia="Times New Roman" w:hAnsiTheme="minorHAnsi" w:cs="Calibri"/>
          <w:sz w:val="20"/>
          <w:szCs w:val="20"/>
          <w:lang w:val="en-US" w:eastAsia="en-GB"/>
        </w:rPr>
        <w:t>42</w:t>
      </w:r>
      <w:r w:rsidRPr="00254873">
        <w:rPr>
          <w:rFonts w:asciiTheme="minorHAnsi" w:eastAsia="Times New Roman" w:hAnsiTheme="minorHAnsi" w:cs="Calibri"/>
          <w:i/>
          <w:sz w:val="20"/>
          <w:szCs w:val="20"/>
          <w:lang w:val="en-US" w:eastAsia="en-GB"/>
        </w:rPr>
        <w:t xml:space="preserve"> </w:t>
      </w:r>
      <w:r w:rsidRPr="00254873">
        <w:rPr>
          <w:rFonts w:asciiTheme="minorHAnsi" w:eastAsia="Times New Roman" w:hAnsiTheme="minorHAnsi" w:cs="Calibri"/>
          <w:sz w:val="20"/>
          <w:szCs w:val="20"/>
          <w:lang w:val="en-US" w:eastAsia="en-GB"/>
        </w:rPr>
        <w:t>(3-4: 2006</w:t>
      </w:r>
      <w:r w:rsidR="000D0B26" w:rsidRPr="00254873">
        <w:rPr>
          <w:rFonts w:asciiTheme="minorHAnsi" w:eastAsia="Times New Roman" w:hAnsiTheme="minorHAnsi" w:cs="Calibri"/>
          <w:sz w:val="20"/>
          <w:szCs w:val="20"/>
          <w:lang w:val="en-US" w:eastAsia="en-GB"/>
        </w:rPr>
        <w:t>), p. 306.</w:t>
      </w:r>
    </w:p>
  </w:footnote>
  <w:footnote w:id="14">
    <w:p w:rsidR="000D0B26" w:rsidRPr="00254873" w:rsidRDefault="000D0B26" w:rsidP="00254873">
      <w:pPr>
        <w:pStyle w:val="Textodenotaderodap"/>
        <w:jc w:val="both"/>
      </w:pPr>
      <w:r w:rsidRPr="00254873">
        <w:rPr>
          <w:rStyle w:val="Refdenotaderodap"/>
        </w:rPr>
        <w:footnoteRef/>
      </w:r>
      <w:r w:rsidRPr="00254873">
        <w:t xml:space="preserve"> </w:t>
      </w:r>
      <w:proofErr w:type="spellStart"/>
      <w:r w:rsidRPr="00254873">
        <w:t>See</w:t>
      </w:r>
      <w:proofErr w:type="spellEnd"/>
      <w:r w:rsidRPr="00254873">
        <w:t xml:space="preserve"> Robert </w:t>
      </w:r>
      <w:proofErr w:type="spellStart"/>
      <w:r w:rsidRPr="00254873">
        <w:t>Schütze</w:t>
      </w:r>
      <w:proofErr w:type="spellEnd"/>
      <w:r w:rsidRPr="00254873">
        <w:t xml:space="preserve">, </w:t>
      </w:r>
      <w:proofErr w:type="spellStart"/>
      <w:r w:rsidRPr="00254873">
        <w:rPr>
          <w:i/>
        </w:rPr>
        <w:t>European</w:t>
      </w:r>
      <w:proofErr w:type="spellEnd"/>
      <w:r w:rsidRPr="00254873">
        <w:rPr>
          <w:i/>
        </w:rPr>
        <w:t xml:space="preserve"> </w:t>
      </w:r>
      <w:proofErr w:type="spellStart"/>
      <w:r w:rsidRPr="00254873">
        <w:rPr>
          <w:i/>
        </w:rPr>
        <w:t>Union</w:t>
      </w:r>
      <w:proofErr w:type="spellEnd"/>
      <w:r w:rsidRPr="00254873">
        <w:rPr>
          <w:i/>
        </w:rPr>
        <w:t xml:space="preserve"> </w:t>
      </w:r>
      <w:proofErr w:type="spellStart"/>
      <w:r w:rsidRPr="00254873">
        <w:rPr>
          <w:i/>
        </w:rPr>
        <w:t>Law</w:t>
      </w:r>
      <w:proofErr w:type="spellEnd"/>
      <w:r w:rsidRPr="00254873">
        <w:t xml:space="preserve">, Cambridge: Cambridge </w:t>
      </w:r>
      <w:proofErr w:type="spellStart"/>
      <w:r w:rsidRPr="00254873">
        <w:t>University</w:t>
      </w:r>
      <w:proofErr w:type="spellEnd"/>
      <w:r w:rsidRPr="00254873">
        <w:t xml:space="preserve"> </w:t>
      </w:r>
      <w:proofErr w:type="spellStart"/>
      <w:r w:rsidRPr="00254873">
        <w:t>Press</w:t>
      </w:r>
      <w:proofErr w:type="spellEnd"/>
      <w:r w:rsidRPr="00254873">
        <w:t>, 2015, p. 75.</w:t>
      </w:r>
    </w:p>
  </w:footnote>
  <w:footnote w:id="15">
    <w:p w:rsidR="000D0B26" w:rsidRPr="00254873" w:rsidRDefault="000D0B26" w:rsidP="00254873">
      <w:pPr>
        <w:spacing w:after="0" w:line="240" w:lineRule="auto"/>
        <w:jc w:val="both"/>
        <w:rPr>
          <w:rFonts w:asciiTheme="minorHAnsi" w:eastAsia="Times New Roman" w:hAnsiTheme="minorHAnsi" w:cs="Calibri"/>
          <w:sz w:val="20"/>
          <w:szCs w:val="20"/>
          <w:lang w:eastAsia="en-GB"/>
        </w:rPr>
      </w:pPr>
      <w:r w:rsidRPr="00254873">
        <w:rPr>
          <w:rStyle w:val="Refdenotaderodap"/>
          <w:sz w:val="20"/>
          <w:szCs w:val="20"/>
        </w:rPr>
        <w:footnoteRef/>
      </w:r>
      <w:r w:rsidRPr="00254873">
        <w:rPr>
          <w:sz w:val="20"/>
          <w:szCs w:val="20"/>
        </w:rPr>
        <w:t xml:space="preserve"> </w:t>
      </w:r>
      <w:proofErr w:type="spellStart"/>
      <w:r w:rsidRPr="00254873">
        <w:rPr>
          <w:sz w:val="20"/>
          <w:szCs w:val="20"/>
        </w:rPr>
        <w:t>See</w:t>
      </w:r>
      <w:proofErr w:type="spellEnd"/>
      <w:r w:rsidRPr="00254873">
        <w:rPr>
          <w:sz w:val="20"/>
          <w:szCs w:val="20"/>
        </w:rPr>
        <w:t xml:space="preserve"> Florentina </w:t>
      </w:r>
      <w:proofErr w:type="spellStart"/>
      <w:r w:rsidRPr="00254873">
        <w:rPr>
          <w:sz w:val="20"/>
          <w:szCs w:val="20"/>
        </w:rPr>
        <w:t>Harbo</w:t>
      </w:r>
      <w:proofErr w:type="spellEnd"/>
      <w:r w:rsidRPr="00254873">
        <w:rPr>
          <w:sz w:val="20"/>
          <w:szCs w:val="20"/>
        </w:rPr>
        <w:t>,</w:t>
      </w:r>
      <w:r w:rsidRPr="00254873">
        <w:rPr>
          <w:rFonts w:asciiTheme="minorHAnsi" w:eastAsia="Times New Roman" w:hAnsiTheme="minorHAnsi" w:cs="Calibri"/>
          <w:sz w:val="20"/>
          <w:szCs w:val="20"/>
          <w:lang w:val="en-US" w:eastAsia="en-GB"/>
        </w:rPr>
        <w:t xml:space="preserve"> «Secession Right – an Anti-Federal Principle? Comparative Study of Federal States and the EU», </w:t>
      </w:r>
      <w:r w:rsidRPr="00254873">
        <w:rPr>
          <w:rFonts w:asciiTheme="minorHAnsi" w:eastAsia="Times New Roman" w:hAnsiTheme="minorHAnsi" w:cs="Calibri"/>
          <w:i/>
          <w:sz w:val="20"/>
          <w:szCs w:val="20"/>
          <w:lang w:val="en-US" w:eastAsia="en-GB"/>
        </w:rPr>
        <w:t>Journal of Politics and Law</w:t>
      </w:r>
      <w:r w:rsidRPr="00254873">
        <w:rPr>
          <w:rFonts w:asciiTheme="minorHAnsi" w:eastAsia="Times New Roman" w:hAnsiTheme="minorHAnsi" w:cs="Calibri"/>
          <w:sz w:val="20"/>
          <w:szCs w:val="20"/>
          <w:lang w:val="en-US" w:eastAsia="en-GB"/>
        </w:rPr>
        <w:t xml:space="preserve"> 1 (3: 2008), p. </w:t>
      </w:r>
      <w:r w:rsidR="00254873" w:rsidRPr="00254873">
        <w:rPr>
          <w:rFonts w:asciiTheme="minorHAnsi" w:eastAsia="Times New Roman" w:hAnsiTheme="minorHAnsi" w:cs="Calibri"/>
          <w:sz w:val="20"/>
          <w:szCs w:val="20"/>
          <w:lang w:val="en-US" w:eastAsia="en-GB"/>
        </w:rPr>
        <w:t>144.</w:t>
      </w:r>
    </w:p>
  </w:footnote>
  <w:footnote w:id="16">
    <w:p w:rsidR="000D0B26" w:rsidRPr="00254873" w:rsidRDefault="000D0B26" w:rsidP="00254873">
      <w:pPr>
        <w:spacing w:after="0" w:line="240" w:lineRule="auto"/>
        <w:jc w:val="both"/>
        <w:rPr>
          <w:rFonts w:asciiTheme="minorHAnsi" w:eastAsia="Times New Roman" w:hAnsiTheme="minorHAnsi" w:cs="Calibri"/>
          <w:sz w:val="20"/>
          <w:szCs w:val="20"/>
          <w:lang w:eastAsia="en-GB"/>
        </w:rPr>
      </w:pPr>
      <w:r w:rsidRPr="00254873">
        <w:rPr>
          <w:rStyle w:val="Refdenotaderodap"/>
          <w:sz w:val="20"/>
          <w:szCs w:val="20"/>
        </w:rPr>
        <w:footnoteRef/>
      </w:r>
      <w:r w:rsidRPr="00254873">
        <w:rPr>
          <w:sz w:val="20"/>
          <w:szCs w:val="20"/>
        </w:rPr>
        <w:t xml:space="preserve"> </w:t>
      </w:r>
      <w:proofErr w:type="spellStart"/>
      <w:r w:rsidRPr="00254873">
        <w:rPr>
          <w:sz w:val="20"/>
          <w:szCs w:val="20"/>
        </w:rPr>
        <w:t>See</w:t>
      </w:r>
      <w:proofErr w:type="spellEnd"/>
      <w:r w:rsidRPr="00254873">
        <w:rPr>
          <w:sz w:val="20"/>
          <w:szCs w:val="20"/>
        </w:rPr>
        <w:t xml:space="preserve"> </w:t>
      </w:r>
      <w:proofErr w:type="spellStart"/>
      <w:r w:rsidRPr="00254873">
        <w:rPr>
          <w:sz w:val="20"/>
          <w:szCs w:val="20"/>
        </w:rPr>
        <w:t>Ulrich</w:t>
      </w:r>
      <w:proofErr w:type="spellEnd"/>
      <w:r w:rsidRPr="00254873">
        <w:rPr>
          <w:sz w:val="20"/>
          <w:szCs w:val="20"/>
        </w:rPr>
        <w:t xml:space="preserve"> </w:t>
      </w:r>
      <w:proofErr w:type="spellStart"/>
      <w:r w:rsidRPr="00254873">
        <w:rPr>
          <w:sz w:val="20"/>
          <w:szCs w:val="20"/>
        </w:rPr>
        <w:t>Everling</w:t>
      </w:r>
      <w:proofErr w:type="spellEnd"/>
      <w:r w:rsidR="00254873" w:rsidRPr="00254873">
        <w:rPr>
          <w:sz w:val="20"/>
          <w:szCs w:val="20"/>
        </w:rPr>
        <w:t xml:space="preserve">, </w:t>
      </w:r>
      <w:r w:rsidR="00254873" w:rsidRPr="00254873">
        <w:rPr>
          <w:rFonts w:asciiTheme="minorHAnsi" w:eastAsia="Times New Roman" w:hAnsiTheme="minorHAnsi" w:cs="Calibri"/>
          <w:sz w:val="20"/>
          <w:szCs w:val="20"/>
          <w:lang w:eastAsia="en-GB"/>
        </w:rPr>
        <w:t>(2010). «</w:t>
      </w:r>
      <w:proofErr w:type="spellStart"/>
      <w:r w:rsidR="00254873" w:rsidRPr="00254873">
        <w:rPr>
          <w:rFonts w:asciiTheme="minorHAnsi" w:eastAsia="Times New Roman" w:hAnsiTheme="minorHAnsi" w:cs="Calibri"/>
          <w:sz w:val="20"/>
          <w:szCs w:val="20"/>
          <w:lang w:eastAsia="en-GB"/>
        </w:rPr>
        <w:t>The</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European</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Union</w:t>
      </w:r>
      <w:proofErr w:type="spellEnd"/>
      <w:r w:rsidR="00254873" w:rsidRPr="00254873">
        <w:rPr>
          <w:rFonts w:asciiTheme="minorHAnsi" w:eastAsia="Times New Roman" w:hAnsiTheme="minorHAnsi" w:cs="Calibri"/>
          <w:sz w:val="20"/>
          <w:szCs w:val="20"/>
          <w:lang w:eastAsia="en-GB"/>
        </w:rPr>
        <w:t xml:space="preserve"> as a Federal </w:t>
      </w:r>
      <w:proofErr w:type="spellStart"/>
      <w:r w:rsidR="00254873" w:rsidRPr="00254873">
        <w:rPr>
          <w:rFonts w:asciiTheme="minorHAnsi" w:eastAsia="Times New Roman" w:hAnsiTheme="minorHAnsi" w:cs="Calibri"/>
          <w:sz w:val="20"/>
          <w:szCs w:val="20"/>
          <w:lang w:eastAsia="en-GB"/>
        </w:rPr>
        <w:t>Association</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of</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States</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and</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Citizens</w:t>
      </w:r>
      <w:proofErr w:type="spellEnd"/>
      <w:r w:rsidR="00254873" w:rsidRPr="00254873">
        <w:rPr>
          <w:rFonts w:asciiTheme="minorHAnsi" w:eastAsia="Times New Roman" w:hAnsiTheme="minorHAnsi" w:cs="Calibri"/>
          <w:sz w:val="20"/>
          <w:szCs w:val="20"/>
          <w:lang w:eastAsia="en-GB"/>
        </w:rPr>
        <w:t xml:space="preserve">» in </w:t>
      </w:r>
      <w:proofErr w:type="spellStart"/>
      <w:r w:rsidR="00254873" w:rsidRPr="00254873">
        <w:rPr>
          <w:rFonts w:asciiTheme="minorHAnsi" w:eastAsia="Times New Roman" w:hAnsiTheme="minorHAnsi" w:cs="Calibri"/>
          <w:i/>
          <w:sz w:val="20"/>
          <w:szCs w:val="20"/>
          <w:lang w:eastAsia="en-GB"/>
        </w:rPr>
        <w:t>Principles</w:t>
      </w:r>
      <w:proofErr w:type="spellEnd"/>
      <w:r w:rsidR="00254873" w:rsidRPr="00254873">
        <w:rPr>
          <w:rFonts w:asciiTheme="minorHAnsi" w:eastAsia="Times New Roman" w:hAnsiTheme="minorHAnsi" w:cs="Calibri"/>
          <w:i/>
          <w:sz w:val="20"/>
          <w:szCs w:val="20"/>
          <w:lang w:eastAsia="en-GB"/>
        </w:rPr>
        <w:t xml:space="preserve"> </w:t>
      </w:r>
      <w:proofErr w:type="spellStart"/>
      <w:r w:rsidR="00254873" w:rsidRPr="00254873">
        <w:rPr>
          <w:rFonts w:asciiTheme="minorHAnsi" w:eastAsia="Times New Roman" w:hAnsiTheme="minorHAnsi" w:cs="Calibri"/>
          <w:i/>
          <w:sz w:val="20"/>
          <w:szCs w:val="20"/>
          <w:lang w:eastAsia="en-GB"/>
        </w:rPr>
        <w:t>of</w:t>
      </w:r>
      <w:proofErr w:type="spellEnd"/>
      <w:r w:rsidR="00254873" w:rsidRPr="00254873">
        <w:rPr>
          <w:rFonts w:asciiTheme="minorHAnsi" w:eastAsia="Times New Roman" w:hAnsiTheme="minorHAnsi" w:cs="Calibri"/>
          <w:i/>
          <w:sz w:val="20"/>
          <w:szCs w:val="20"/>
          <w:lang w:eastAsia="en-GB"/>
        </w:rPr>
        <w:t xml:space="preserve"> </w:t>
      </w:r>
      <w:proofErr w:type="spellStart"/>
      <w:r w:rsidR="00254873" w:rsidRPr="00254873">
        <w:rPr>
          <w:rFonts w:asciiTheme="minorHAnsi" w:eastAsia="Times New Roman" w:hAnsiTheme="minorHAnsi" w:cs="Calibri"/>
          <w:i/>
          <w:sz w:val="20"/>
          <w:szCs w:val="20"/>
          <w:lang w:eastAsia="en-GB"/>
        </w:rPr>
        <w:t>European</w:t>
      </w:r>
      <w:proofErr w:type="spellEnd"/>
      <w:r w:rsidR="00254873" w:rsidRPr="00254873">
        <w:rPr>
          <w:rFonts w:asciiTheme="minorHAnsi" w:eastAsia="Times New Roman" w:hAnsiTheme="minorHAnsi" w:cs="Calibri"/>
          <w:i/>
          <w:sz w:val="20"/>
          <w:szCs w:val="20"/>
          <w:lang w:eastAsia="en-GB"/>
        </w:rPr>
        <w:t xml:space="preserve"> </w:t>
      </w:r>
      <w:proofErr w:type="spellStart"/>
      <w:r w:rsidR="00254873" w:rsidRPr="00254873">
        <w:rPr>
          <w:rFonts w:asciiTheme="minorHAnsi" w:eastAsia="Times New Roman" w:hAnsiTheme="minorHAnsi" w:cs="Calibri"/>
          <w:i/>
          <w:sz w:val="20"/>
          <w:szCs w:val="20"/>
          <w:lang w:eastAsia="en-GB"/>
        </w:rPr>
        <w:t>Constitutional</w:t>
      </w:r>
      <w:proofErr w:type="spellEnd"/>
      <w:r w:rsidR="00254873" w:rsidRPr="00254873">
        <w:rPr>
          <w:rFonts w:asciiTheme="minorHAnsi" w:eastAsia="Times New Roman" w:hAnsiTheme="minorHAnsi" w:cs="Calibri"/>
          <w:i/>
          <w:sz w:val="20"/>
          <w:szCs w:val="20"/>
          <w:lang w:eastAsia="en-GB"/>
        </w:rPr>
        <w:t xml:space="preserve"> </w:t>
      </w:r>
      <w:proofErr w:type="spellStart"/>
      <w:r w:rsidR="00254873" w:rsidRPr="00254873">
        <w:rPr>
          <w:rFonts w:asciiTheme="minorHAnsi" w:eastAsia="Times New Roman" w:hAnsiTheme="minorHAnsi" w:cs="Calibri"/>
          <w:i/>
          <w:sz w:val="20"/>
          <w:szCs w:val="20"/>
          <w:lang w:eastAsia="en-GB"/>
        </w:rPr>
        <w:t>Law</w:t>
      </w:r>
      <w:proofErr w:type="spellEnd"/>
      <w:r w:rsidR="00254873" w:rsidRPr="00254873">
        <w:rPr>
          <w:rFonts w:asciiTheme="minorHAnsi" w:eastAsia="Times New Roman" w:hAnsiTheme="minorHAnsi" w:cs="Calibri"/>
          <w:i/>
          <w:sz w:val="20"/>
          <w:szCs w:val="20"/>
          <w:lang w:eastAsia="en-GB"/>
        </w:rPr>
        <w:t xml:space="preserve">: </w:t>
      </w:r>
      <w:proofErr w:type="spellStart"/>
      <w:r w:rsidR="00254873" w:rsidRPr="00254873">
        <w:rPr>
          <w:rFonts w:asciiTheme="minorHAnsi" w:eastAsia="Times New Roman" w:hAnsiTheme="minorHAnsi" w:cs="Calibri"/>
          <w:i/>
          <w:sz w:val="20"/>
          <w:szCs w:val="20"/>
          <w:lang w:eastAsia="en-GB"/>
        </w:rPr>
        <w:t>Revised</w:t>
      </w:r>
      <w:proofErr w:type="spellEnd"/>
      <w:r w:rsidR="00254873" w:rsidRPr="00254873">
        <w:rPr>
          <w:rFonts w:asciiTheme="minorHAnsi" w:eastAsia="Times New Roman" w:hAnsiTheme="minorHAnsi" w:cs="Calibri"/>
          <w:i/>
          <w:sz w:val="20"/>
          <w:szCs w:val="20"/>
          <w:lang w:eastAsia="en-GB"/>
        </w:rPr>
        <w:t xml:space="preserve"> </w:t>
      </w:r>
      <w:proofErr w:type="spellStart"/>
      <w:r w:rsidR="00254873" w:rsidRPr="00254873">
        <w:rPr>
          <w:rFonts w:asciiTheme="minorHAnsi" w:eastAsia="Times New Roman" w:hAnsiTheme="minorHAnsi" w:cs="Calibri"/>
          <w:i/>
          <w:sz w:val="20"/>
          <w:szCs w:val="20"/>
          <w:lang w:eastAsia="en-GB"/>
        </w:rPr>
        <w:t>Second</w:t>
      </w:r>
      <w:proofErr w:type="spellEnd"/>
      <w:r w:rsidR="00254873" w:rsidRPr="00254873">
        <w:rPr>
          <w:rFonts w:asciiTheme="minorHAnsi" w:eastAsia="Times New Roman" w:hAnsiTheme="minorHAnsi" w:cs="Calibri"/>
          <w:i/>
          <w:sz w:val="20"/>
          <w:szCs w:val="20"/>
          <w:lang w:eastAsia="en-GB"/>
        </w:rPr>
        <w:t xml:space="preserve"> </w:t>
      </w:r>
      <w:proofErr w:type="spellStart"/>
      <w:r w:rsidR="00254873" w:rsidRPr="00254873">
        <w:rPr>
          <w:rFonts w:asciiTheme="minorHAnsi" w:eastAsia="Times New Roman" w:hAnsiTheme="minorHAnsi" w:cs="Calibri"/>
          <w:i/>
          <w:sz w:val="20"/>
          <w:szCs w:val="20"/>
          <w:lang w:eastAsia="en-GB"/>
        </w:rPr>
        <w:t>Edition</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edited</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by</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Armin</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von</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Bogdandy</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and</w:t>
      </w:r>
      <w:proofErr w:type="spellEnd"/>
      <w:r w:rsidR="00254873" w:rsidRPr="00254873">
        <w:rPr>
          <w:rFonts w:asciiTheme="minorHAnsi" w:eastAsia="Times New Roman" w:hAnsiTheme="minorHAnsi" w:cs="Calibri"/>
          <w:sz w:val="20"/>
          <w:szCs w:val="20"/>
          <w:lang w:eastAsia="en-GB"/>
        </w:rPr>
        <w:t xml:space="preserve"> </w:t>
      </w:r>
      <w:proofErr w:type="spellStart"/>
      <w:r w:rsidR="00254873" w:rsidRPr="00254873">
        <w:rPr>
          <w:rFonts w:asciiTheme="minorHAnsi" w:eastAsia="Times New Roman" w:hAnsiTheme="minorHAnsi" w:cs="Calibri"/>
          <w:sz w:val="20"/>
          <w:szCs w:val="20"/>
          <w:lang w:eastAsia="en-GB"/>
        </w:rPr>
        <w:t>Jürge</w:t>
      </w:r>
      <w:r w:rsidR="00254873">
        <w:rPr>
          <w:rFonts w:asciiTheme="minorHAnsi" w:eastAsia="Times New Roman" w:hAnsiTheme="minorHAnsi" w:cs="Calibri"/>
          <w:sz w:val="20"/>
          <w:szCs w:val="20"/>
          <w:lang w:eastAsia="en-GB"/>
        </w:rPr>
        <w:t>n</w:t>
      </w:r>
      <w:proofErr w:type="spellEnd"/>
      <w:r w:rsidR="00254873">
        <w:rPr>
          <w:rFonts w:asciiTheme="minorHAnsi" w:eastAsia="Times New Roman" w:hAnsiTheme="minorHAnsi" w:cs="Calibri"/>
          <w:sz w:val="20"/>
          <w:szCs w:val="20"/>
          <w:lang w:eastAsia="en-GB"/>
        </w:rPr>
        <w:t xml:space="preserve"> </w:t>
      </w:r>
      <w:proofErr w:type="spellStart"/>
      <w:r w:rsidR="00254873">
        <w:rPr>
          <w:rFonts w:asciiTheme="minorHAnsi" w:eastAsia="Times New Roman" w:hAnsiTheme="minorHAnsi" w:cs="Calibri"/>
          <w:sz w:val="20"/>
          <w:szCs w:val="20"/>
          <w:lang w:eastAsia="en-GB"/>
        </w:rPr>
        <w:t>Bast</w:t>
      </w:r>
      <w:proofErr w:type="spellEnd"/>
      <w:r w:rsidR="00254873">
        <w:rPr>
          <w:rFonts w:asciiTheme="minorHAnsi" w:eastAsia="Times New Roman" w:hAnsiTheme="minorHAnsi" w:cs="Calibri"/>
          <w:sz w:val="20"/>
          <w:szCs w:val="20"/>
          <w:lang w:eastAsia="en-GB"/>
        </w:rPr>
        <w:t xml:space="preserve">, Oxford: </w:t>
      </w:r>
      <w:proofErr w:type="spellStart"/>
      <w:r w:rsidR="00254873">
        <w:rPr>
          <w:rFonts w:asciiTheme="minorHAnsi" w:eastAsia="Times New Roman" w:hAnsiTheme="minorHAnsi" w:cs="Calibri"/>
          <w:sz w:val="20"/>
          <w:szCs w:val="20"/>
          <w:lang w:eastAsia="en-GB"/>
        </w:rPr>
        <w:t>Hart</w:t>
      </w:r>
      <w:proofErr w:type="spellEnd"/>
      <w:r w:rsidR="00254873">
        <w:rPr>
          <w:rFonts w:asciiTheme="minorHAnsi" w:eastAsia="Times New Roman" w:hAnsiTheme="minorHAnsi" w:cs="Calibri"/>
          <w:sz w:val="20"/>
          <w:szCs w:val="20"/>
          <w:lang w:eastAsia="en-GB"/>
        </w:rPr>
        <w:t xml:space="preserve"> </w:t>
      </w:r>
      <w:proofErr w:type="spellStart"/>
      <w:r w:rsidR="00254873">
        <w:rPr>
          <w:rFonts w:asciiTheme="minorHAnsi" w:eastAsia="Times New Roman" w:hAnsiTheme="minorHAnsi" w:cs="Calibri"/>
          <w:sz w:val="20"/>
          <w:szCs w:val="20"/>
          <w:lang w:eastAsia="en-GB"/>
        </w:rPr>
        <w:t>P</w:t>
      </w:r>
      <w:r w:rsidR="00FF237C">
        <w:rPr>
          <w:rFonts w:asciiTheme="minorHAnsi" w:eastAsia="Times New Roman" w:hAnsiTheme="minorHAnsi" w:cs="Calibri"/>
          <w:sz w:val="20"/>
          <w:szCs w:val="20"/>
          <w:lang w:eastAsia="en-GB"/>
        </w:rPr>
        <w:t>ublishing</w:t>
      </w:r>
      <w:proofErr w:type="spellEnd"/>
      <w:r w:rsidR="00FF237C">
        <w:rPr>
          <w:rFonts w:asciiTheme="minorHAnsi" w:eastAsia="Times New Roman" w:hAnsiTheme="minorHAnsi" w:cs="Calibri"/>
          <w:sz w:val="20"/>
          <w:szCs w:val="20"/>
          <w:lang w:eastAsia="en-GB"/>
        </w:rPr>
        <w:t xml:space="preserve">, 2010, p. 701 </w:t>
      </w:r>
      <w:proofErr w:type="spellStart"/>
      <w:r w:rsidR="00FF237C">
        <w:rPr>
          <w:rFonts w:asciiTheme="minorHAnsi" w:eastAsia="Times New Roman" w:hAnsiTheme="minorHAnsi" w:cs="Calibri"/>
          <w:sz w:val="20"/>
          <w:szCs w:val="20"/>
          <w:lang w:eastAsia="en-GB"/>
        </w:rPr>
        <w:t>and</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ff</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This</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understanding</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of</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the</w:t>
      </w:r>
      <w:proofErr w:type="spellEnd"/>
      <w:r w:rsidR="00FF237C">
        <w:rPr>
          <w:rFonts w:asciiTheme="minorHAnsi" w:eastAsia="Times New Roman" w:hAnsiTheme="minorHAnsi" w:cs="Calibri"/>
          <w:sz w:val="20"/>
          <w:szCs w:val="20"/>
          <w:lang w:eastAsia="en-GB"/>
        </w:rPr>
        <w:t xml:space="preserve"> legal </w:t>
      </w:r>
      <w:proofErr w:type="spellStart"/>
      <w:r w:rsidR="00FF237C">
        <w:rPr>
          <w:rFonts w:asciiTheme="minorHAnsi" w:eastAsia="Times New Roman" w:hAnsiTheme="minorHAnsi" w:cs="Calibri"/>
          <w:sz w:val="20"/>
          <w:szCs w:val="20"/>
          <w:lang w:eastAsia="en-GB"/>
        </w:rPr>
        <w:t>nature</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of</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the</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European</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Union</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is</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further</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developed</w:t>
      </w:r>
      <w:proofErr w:type="spellEnd"/>
      <w:r w:rsidR="00FF237C">
        <w:rPr>
          <w:rFonts w:asciiTheme="minorHAnsi" w:eastAsia="Times New Roman" w:hAnsiTheme="minorHAnsi" w:cs="Calibri"/>
          <w:sz w:val="20"/>
          <w:szCs w:val="20"/>
          <w:lang w:eastAsia="en-GB"/>
        </w:rPr>
        <w:t xml:space="preserve"> </w:t>
      </w:r>
      <w:proofErr w:type="spellStart"/>
      <w:r w:rsidR="00FF237C">
        <w:rPr>
          <w:rFonts w:asciiTheme="minorHAnsi" w:eastAsia="Times New Roman" w:hAnsiTheme="minorHAnsi" w:cs="Calibri"/>
          <w:sz w:val="20"/>
          <w:szCs w:val="20"/>
          <w:lang w:eastAsia="en-GB"/>
        </w:rPr>
        <w:t>by</w:t>
      </w:r>
      <w:proofErr w:type="spellEnd"/>
      <w:r w:rsidR="00FF237C">
        <w:rPr>
          <w:rFonts w:asciiTheme="minorHAnsi" w:eastAsia="Times New Roman" w:hAnsiTheme="minorHAnsi" w:cs="Calibri"/>
          <w:sz w:val="20"/>
          <w:szCs w:val="20"/>
          <w:lang w:eastAsia="en-GB"/>
        </w:rPr>
        <w:t xml:space="preserve"> </w:t>
      </w:r>
      <w:r w:rsidR="00254873" w:rsidRPr="00254873">
        <w:rPr>
          <w:rFonts w:asciiTheme="minorHAnsi" w:eastAsia="Times New Roman" w:hAnsiTheme="minorHAnsi" w:cs="Calibri"/>
          <w:sz w:val="20"/>
          <w:szCs w:val="20"/>
          <w:lang w:eastAsia="en-GB"/>
        </w:rPr>
        <w:t>Mário S.</w:t>
      </w:r>
      <w:r w:rsidR="00254873">
        <w:rPr>
          <w:rFonts w:asciiTheme="minorHAnsi" w:eastAsia="Times New Roman" w:hAnsiTheme="minorHAnsi" w:cs="Calibri"/>
          <w:sz w:val="20"/>
          <w:szCs w:val="20"/>
          <w:lang w:eastAsia="en-GB"/>
        </w:rPr>
        <w:t xml:space="preserve"> Barata</w:t>
      </w:r>
      <w:r w:rsidR="00254873" w:rsidRPr="00254873">
        <w:rPr>
          <w:rFonts w:asciiTheme="minorHAnsi" w:eastAsia="Times New Roman" w:hAnsiTheme="minorHAnsi" w:cs="Calibri"/>
          <w:sz w:val="20"/>
          <w:szCs w:val="20"/>
          <w:lang w:eastAsia="en-GB"/>
        </w:rPr>
        <w:t xml:space="preserve">, «A Natureza Jurídica da União Europeia Após o Tratado de Lisboa», </w:t>
      </w:r>
      <w:r w:rsidR="00254873" w:rsidRPr="00254873">
        <w:rPr>
          <w:rFonts w:asciiTheme="minorHAnsi" w:eastAsia="Times New Roman" w:hAnsiTheme="minorHAnsi" w:cs="Calibri"/>
          <w:i/>
          <w:sz w:val="20"/>
          <w:szCs w:val="20"/>
          <w:lang w:eastAsia="en-GB"/>
        </w:rPr>
        <w:t>Boletim da Faculdade de Direito de Coimbra</w:t>
      </w:r>
      <w:r w:rsidR="00254873" w:rsidRPr="00254873">
        <w:rPr>
          <w:rFonts w:asciiTheme="minorHAnsi" w:eastAsia="Times New Roman" w:hAnsiTheme="minorHAnsi" w:cs="Calibri"/>
          <w:sz w:val="20"/>
          <w:szCs w:val="20"/>
          <w:lang w:eastAsia="en-GB"/>
        </w:rPr>
        <w:t xml:space="preserve"> 90 (2014): 263-313.</w:t>
      </w:r>
    </w:p>
  </w:footnote>
  <w:footnote w:id="17">
    <w:p w:rsidR="000D0B26" w:rsidRPr="00470174" w:rsidRDefault="000D0B26" w:rsidP="00470174">
      <w:pPr>
        <w:spacing w:after="0" w:line="240" w:lineRule="auto"/>
        <w:jc w:val="both"/>
        <w:rPr>
          <w:rFonts w:asciiTheme="minorHAnsi" w:eastAsia="Times New Roman" w:hAnsiTheme="minorHAnsi" w:cs="Calibri"/>
          <w:sz w:val="20"/>
          <w:szCs w:val="20"/>
          <w:lang w:eastAsia="en-GB"/>
        </w:rPr>
      </w:pPr>
      <w:r w:rsidRPr="00470174">
        <w:rPr>
          <w:rStyle w:val="Refdenotaderodap"/>
          <w:sz w:val="20"/>
          <w:szCs w:val="20"/>
        </w:rPr>
        <w:footnoteRef/>
      </w:r>
      <w:r w:rsidRPr="00470174">
        <w:rPr>
          <w:sz w:val="20"/>
          <w:szCs w:val="20"/>
        </w:rPr>
        <w:t xml:space="preserve"> </w:t>
      </w:r>
      <w:proofErr w:type="spellStart"/>
      <w:r w:rsidR="00254873" w:rsidRPr="00470174">
        <w:rPr>
          <w:sz w:val="20"/>
          <w:szCs w:val="20"/>
        </w:rPr>
        <w:t>This</w:t>
      </w:r>
      <w:proofErr w:type="spellEnd"/>
      <w:r w:rsidR="00254873" w:rsidRPr="00470174">
        <w:rPr>
          <w:sz w:val="20"/>
          <w:szCs w:val="20"/>
        </w:rPr>
        <w:t xml:space="preserve"> </w:t>
      </w:r>
      <w:proofErr w:type="spellStart"/>
      <w:r w:rsidR="00254873" w:rsidRPr="00470174">
        <w:rPr>
          <w:sz w:val="20"/>
          <w:szCs w:val="20"/>
        </w:rPr>
        <w:t>understanding</w:t>
      </w:r>
      <w:proofErr w:type="spellEnd"/>
      <w:r w:rsidR="00254873" w:rsidRPr="00470174">
        <w:rPr>
          <w:sz w:val="20"/>
          <w:szCs w:val="20"/>
        </w:rPr>
        <w:t xml:space="preserve"> </w:t>
      </w:r>
      <w:proofErr w:type="spellStart"/>
      <w:r w:rsidR="00254873" w:rsidRPr="00470174">
        <w:rPr>
          <w:sz w:val="20"/>
          <w:szCs w:val="20"/>
        </w:rPr>
        <w:t>of</w:t>
      </w:r>
      <w:proofErr w:type="spellEnd"/>
      <w:r w:rsidR="00254873" w:rsidRPr="00470174">
        <w:rPr>
          <w:sz w:val="20"/>
          <w:szCs w:val="20"/>
        </w:rPr>
        <w:t xml:space="preserve"> </w:t>
      </w:r>
      <w:proofErr w:type="spellStart"/>
      <w:r w:rsidR="00254873" w:rsidRPr="00470174">
        <w:rPr>
          <w:sz w:val="20"/>
          <w:szCs w:val="20"/>
        </w:rPr>
        <w:t>the</w:t>
      </w:r>
      <w:proofErr w:type="spellEnd"/>
      <w:r w:rsidR="00254873" w:rsidRPr="00470174">
        <w:rPr>
          <w:sz w:val="20"/>
          <w:szCs w:val="20"/>
        </w:rPr>
        <w:t xml:space="preserve"> </w:t>
      </w:r>
      <w:proofErr w:type="spellStart"/>
      <w:r w:rsidR="00254873" w:rsidRPr="00470174">
        <w:rPr>
          <w:sz w:val="20"/>
          <w:szCs w:val="20"/>
        </w:rPr>
        <w:t>European</w:t>
      </w:r>
      <w:proofErr w:type="spellEnd"/>
      <w:r w:rsidR="00254873" w:rsidRPr="00470174">
        <w:rPr>
          <w:sz w:val="20"/>
          <w:szCs w:val="20"/>
        </w:rPr>
        <w:t xml:space="preserve"> </w:t>
      </w:r>
      <w:proofErr w:type="spellStart"/>
      <w:r w:rsidR="00254873" w:rsidRPr="00470174">
        <w:rPr>
          <w:sz w:val="20"/>
          <w:szCs w:val="20"/>
        </w:rPr>
        <w:t>Union</w:t>
      </w:r>
      <w:proofErr w:type="spellEnd"/>
      <w:r w:rsidR="00254873" w:rsidRPr="00470174">
        <w:rPr>
          <w:sz w:val="20"/>
          <w:szCs w:val="20"/>
        </w:rPr>
        <w:t xml:space="preserve"> </w:t>
      </w:r>
      <w:proofErr w:type="spellStart"/>
      <w:r w:rsidR="00254873" w:rsidRPr="00470174">
        <w:rPr>
          <w:sz w:val="20"/>
          <w:szCs w:val="20"/>
        </w:rPr>
        <w:t>is</w:t>
      </w:r>
      <w:proofErr w:type="spellEnd"/>
      <w:r w:rsidR="00254873" w:rsidRPr="00470174">
        <w:rPr>
          <w:sz w:val="20"/>
          <w:szCs w:val="20"/>
        </w:rPr>
        <w:t xml:space="preserve"> </w:t>
      </w:r>
      <w:proofErr w:type="spellStart"/>
      <w:r w:rsidR="00470174" w:rsidRPr="00470174">
        <w:rPr>
          <w:sz w:val="20"/>
          <w:szCs w:val="20"/>
        </w:rPr>
        <w:t>defended</w:t>
      </w:r>
      <w:proofErr w:type="spellEnd"/>
      <w:r w:rsidR="00470174" w:rsidRPr="00470174">
        <w:rPr>
          <w:sz w:val="20"/>
          <w:szCs w:val="20"/>
        </w:rPr>
        <w:t xml:space="preserve"> </w:t>
      </w:r>
      <w:proofErr w:type="spellStart"/>
      <w:r w:rsidR="00470174" w:rsidRPr="00470174">
        <w:rPr>
          <w:sz w:val="20"/>
          <w:szCs w:val="20"/>
        </w:rPr>
        <w:t>by</w:t>
      </w:r>
      <w:proofErr w:type="spellEnd"/>
      <w:r w:rsidR="00470174" w:rsidRPr="00470174">
        <w:rPr>
          <w:sz w:val="20"/>
          <w:szCs w:val="20"/>
        </w:rPr>
        <w:t xml:space="preserve"> </w:t>
      </w:r>
      <w:proofErr w:type="spellStart"/>
      <w:r w:rsidR="00470174" w:rsidRPr="00470174">
        <w:rPr>
          <w:sz w:val="20"/>
          <w:szCs w:val="20"/>
        </w:rPr>
        <w:t>Ingolf</w:t>
      </w:r>
      <w:proofErr w:type="spellEnd"/>
      <w:r w:rsidR="00470174" w:rsidRPr="00470174">
        <w:rPr>
          <w:sz w:val="20"/>
          <w:szCs w:val="20"/>
        </w:rPr>
        <w:t xml:space="preserve"> </w:t>
      </w:r>
      <w:proofErr w:type="spellStart"/>
      <w:r w:rsidR="00470174" w:rsidRPr="00470174">
        <w:rPr>
          <w:sz w:val="20"/>
          <w:szCs w:val="20"/>
        </w:rPr>
        <w:t>Pernice</w:t>
      </w:r>
      <w:proofErr w:type="spellEnd"/>
      <w:r w:rsidR="00470174" w:rsidRPr="00470174">
        <w:rPr>
          <w:sz w:val="20"/>
          <w:szCs w:val="20"/>
        </w:rPr>
        <w:t xml:space="preserve"> </w:t>
      </w:r>
      <w:proofErr w:type="spellStart"/>
      <w:r w:rsidR="00470174" w:rsidRPr="00470174">
        <w:rPr>
          <w:sz w:val="20"/>
          <w:szCs w:val="20"/>
        </w:rPr>
        <w:t>and</w:t>
      </w:r>
      <w:proofErr w:type="spellEnd"/>
      <w:r w:rsidR="00470174" w:rsidRPr="00470174">
        <w:rPr>
          <w:sz w:val="20"/>
          <w:szCs w:val="20"/>
        </w:rPr>
        <w:t xml:space="preserve"> </w:t>
      </w:r>
      <w:proofErr w:type="spellStart"/>
      <w:r w:rsidR="00470174" w:rsidRPr="00470174">
        <w:rPr>
          <w:sz w:val="20"/>
          <w:szCs w:val="20"/>
        </w:rPr>
        <w:t>this</w:t>
      </w:r>
      <w:proofErr w:type="spellEnd"/>
      <w:r w:rsidR="00470174" w:rsidRPr="00470174">
        <w:rPr>
          <w:sz w:val="20"/>
          <w:szCs w:val="20"/>
        </w:rPr>
        <w:t xml:space="preserve"> </w:t>
      </w:r>
      <w:proofErr w:type="spellStart"/>
      <w:r w:rsidR="00470174" w:rsidRPr="00470174">
        <w:rPr>
          <w:sz w:val="20"/>
          <w:szCs w:val="20"/>
        </w:rPr>
        <w:t>position</w:t>
      </w:r>
      <w:proofErr w:type="spellEnd"/>
      <w:r w:rsidR="00470174" w:rsidRPr="00470174">
        <w:rPr>
          <w:sz w:val="20"/>
          <w:szCs w:val="20"/>
        </w:rPr>
        <w:t xml:space="preserve"> </w:t>
      </w:r>
      <w:proofErr w:type="spellStart"/>
      <w:r w:rsidR="00470174" w:rsidRPr="00470174">
        <w:rPr>
          <w:sz w:val="20"/>
          <w:szCs w:val="20"/>
        </w:rPr>
        <w:t>is</w:t>
      </w:r>
      <w:proofErr w:type="spellEnd"/>
      <w:r w:rsidR="00470174" w:rsidRPr="00470174">
        <w:rPr>
          <w:sz w:val="20"/>
          <w:szCs w:val="20"/>
        </w:rPr>
        <w:t xml:space="preserve"> </w:t>
      </w:r>
      <w:proofErr w:type="spellStart"/>
      <w:r w:rsidR="00254873" w:rsidRPr="00470174">
        <w:rPr>
          <w:sz w:val="20"/>
          <w:szCs w:val="20"/>
        </w:rPr>
        <w:t>analysed</w:t>
      </w:r>
      <w:proofErr w:type="spellEnd"/>
      <w:r w:rsidR="00254873" w:rsidRPr="00470174">
        <w:rPr>
          <w:sz w:val="20"/>
          <w:szCs w:val="20"/>
        </w:rPr>
        <w:t xml:space="preserve"> </w:t>
      </w:r>
      <w:proofErr w:type="spellStart"/>
      <w:r w:rsidR="00254873" w:rsidRPr="00470174">
        <w:rPr>
          <w:sz w:val="20"/>
          <w:szCs w:val="20"/>
        </w:rPr>
        <w:t>by</w:t>
      </w:r>
      <w:proofErr w:type="spellEnd"/>
      <w:r w:rsidR="00254873" w:rsidRPr="00470174">
        <w:rPr>
          <w:sz w:val="20"/>
          <w:szCs w:val="20"/>
        </w:rPr>
        <w:t xml:space="preserve"> </w:t>
      </w:r>
      <w:proofErr w:type="spellStart"/>
      <w:r w:rsidR="00254873" w:rsidRPr="00470174">
        <w:rPr>
          <w:sz w:val="20"/>
          <w:szCs w:val="20"/>
        </w:rPr>
        <w:t>Ulrich</w:t>
      </w:r>
      <w:proofErr w:type="spellEnd"/>
      <w:r w:rsidR="00254873" w:rsidRPr="00470174">
        <w:rPr>
          <w:sz w:val="20"/>
          <w:szCs w:val="20"/>
        </w:rPr>
        <w:t xml:space="preserve"> </w:t>
      </w:r>
      <w:proofErr w:type="spellStart"/>
      <w:r w:rsidR="00254873" w:rsidRPr="00470174">
        <w:rPr>
          <w:sz w:val="20"/>
          <w:szCs w:val="20"/>
        </w:rPr>
        <w:t>Everling</w:t>
      </w:r>
      <w:proofErr w:type="spellEnd"/>
      <w:r w:rsidR="00254873" w:rsidRPr="00470174">
        <w:rPr>
          <w:sz w:val="20"/>
          <w:szCs w:val="20"/>
        </w:rPr>
        <w:t xml:space="preserve"> in «</w:t>
      </w:r>
      <w:proofErr w:type="spellStart"/>
      <w:r w:rsidR="00254873" w:rsidRPr="00470174">
        <w:rPr>
          <w:sz w:val="20"/>
          <w:szCs w:val="20"/>
        </w:rPr>
        <w:t>The</w:t>
      </w:r>
      <w:proofErr w:type="spellEnd"/>
      <w:r w:rsidR="00254873" w:rsidRPr="00470174">
        <w:rPr>
          <w:sz w:val="20"/>
          <w:szCs w:val="20"/>
        </w:rPr>
        <w:t xml:space="preserve"> </w:t>
      </w:r>
      <w:proofErr w:type="spellStart"/>
      <w:r w:rsidR="00254873" w:rsidRPr="00470174">
        <w:rPr>
          <w:sz w:val="20"/>
          <w:szCs w:val="20"/>
        </w:rPr>
        <w:t>European</w:t>
      </w:r>
      <w:proofErr w:type="spellEnd"/>
      <w:r w:rsidR="00254873" w:rsidRPr="00470174">
        <w:rPr>
          <w:sz w:val="20"/>
          <w:szCs w:val="20"/>
        </w:rPr>
        <w:t xml:space="preserve"> </w:t>
      </w:r>
      <w:proofErr w:type="spellStart"/>
      <w:r w:rsidR="00254873" w:rsidRPr="00470174">
        <w:rPr>
          <w:sz w:val="20"/>
          <w:szCs w:val="20"/>
        </w:rPr>
        <w:t>Union</w:t>
      </w:r>
      <w:proofErr w:type="spellEnd"/>
      <w:r w:rsidR="00254873" w:rsidRPr="00470174">
        <w:rPr>
          <w:sz w:val="20"/>
          <w:szCs w:val="20"/>
        </w:rPr>
        <w:t xml:space="preserve"> as a Federal </w:t>
      </w:r>
      <w:proofErr w:type="spellStart"/>
      <w:r w:rsidR="00254873" w:rsidRPr="00470174">
        <w:rPr>
          <w:sz w:val="20"/>
          <w:szCs w:val="20"/>
        </w:rPr>
        <w:t>Association</w:t>
      </w:r>
      <w:proofErr w:type="spellEnd"/>
      <w:r w:rsidR="00254873" w:rsidRPr="00470174">
        <w:rPr>
          <w:sz w:val="20"/>
          <w:szCs w:val="20"/>
        </w:rPr>
        <w:t xml:space="preserve"> </w:t>
      </w:r>
      <w:proofErr w:type="spellStart"/>
      <w:r w:rsidR="00254873" w:rsidRPr="00470174">
        <w:rPr>
          <w:sz w:val="20"/>
          <w:szCs w:val="20"/>
        </w:rPr>
        <w:t>of</w:t>
      </w:r>
      <w:proofErr w:type="spellEnd"/>
      <w:r w:rsidR="00254873" w:rsidRPr="00470174">
        <w:rPr>
          <w:sz w:val="20"/>
          <w:szCs w:val="20"/>
        </w:rPr>
        <w:t xml:space="preserve"> </w:t>
      </w:r>
      <w:proofErr w:type="spellStart"/>
      <w:r w:rsidR="00254873" w:rsidRPr="00470174">
        <w:rPr>
          <w:sz w:val="20"/>
          <w:szCs w:val="20"/>
        </w:rPr>
        <w:t>States</w:t>
      </w:r>
      <w:proofErr w:type="spellEnd"/>
      <w:r w:rsidR="00254873" w:rsidRPr="00470174">
        <w:rPr>
          <w:sz w:val="20"/>
          <w:szCs w:val="20"/>
        </w:rPr>
        <w:t xml:space="preserve"> </w:t>
      </w:r>
      <w:proofErr w:type="spellStart"/>
      <w:r w:rsidR="00254873" w:rsidRPr="00470174">
        <w:rPr>
          <w:sz w:val="20"/>
          <w:szCs w:val="20"/>
        </w:rPr>
        <w:t>and</w:t>
      </w:r>
      <w:proofErr w:type="spellEnd"/>
      <w:r w:rsidR="00254873" w:rsidRPr="00470174">
        <w:rPr>
          <w:sz w:val="20"/>
          <w:szCs w:val="20"/>
        </w:rPr>
        <w:t xml:space="preserve"> </w:t>
      </w:r>
      <w:proofErr w:type="spellStart"/>
      <w:r w:rsidR="00254873" w:rsidRPr="00470174">
        <w:rPr>
          <w:sz w:val="20"/>
          <w:szCs w:val="20"/>
        </w:rPr>
        <w:t>Citizens</w:t>
      </w:r>
      <w:proofErr w:type="spellEnd"/>
      <w:r w:rsidR="00254873" w:rsidRPr="00470174">
        <w:rPr>
          <w:sz w:val="20"/>
          <w:szCs w:val="20"/>
        </w:rPr>
        <w:t xml:space="preserve">», p. </w:t>
      </w:r>
      <w:r w:rsidR="00470174">
        <w:rPr>
          <w:sz w:val="20"/>
          <w:szCs w:val="20"/>
        </w:rPr>
        <w:t xml:space="preserve">729 </w:t>
      </w:r>
      <w:proofErr w:type="spellStart"/>
      <w:r w:rsidR="00470174">
        <w:rPr>
          <w:sz w:val="20"/>
          <w:szCs w:val="20"/>
        </w:rPr>
        <w:t>and</w:t>
      </w:r>
      <w:proofErr w:type="spellEnd"/>
      <w:r w:rsidR="00470174">
        <w:rPr>
          <w:sz w:val="20"/>
          <w:szCs w:val="20"/>
        </w:rPr>
        <w:t xml:space="preserve"> </w:t>
      </w:r>
      <w:proofErr w:type="spellStart"/>
      <w:r w:rsidR="00470174">
        <w:rPr>
          <w:sz w:val="20"/>
          <w:szCs w:val="20"/>
        </w:rPr>
        <w:t>ff</w:t>
      </w:r>
      <w:proofErr w:type="spellEnd"/>
      <w:r w:rsidR="00470174">
        <w:rPr>
          <w:sz w:val="20"/>
          <w:szCs w:val="20"/>
        </w:rPr>
        <w:t xml:space="preserve">; </w:t>
      </w:r>
      <w:proofErr w:type="spellStart"/>
      <w:r w:rsidR="00470174">
        <w:rPr>
          <w:sz w:val="20"/>
          <w:szCs w:val="20"/>
        </w:rPr>
        <w:t>Ingolf</w:t>
      </w:r>
      <w:proofErr w:type="spellEnd"/>
      <w:r w:rsidR="00470174">
        <w:rPr>
          <w:sz w:val="20"/>
          <w:szCs w:val="20"/>
        </w:rPr>
        <w:t xml:space="preserve"> </w:t>
      </w:r>
      <w:proofErr w:type="spellStart"/>
      <w:r w:rsidR="00470174">
        <w:rPr>
          <w:sz w:val="20"/>
          <w:szCs w:val="20"/>
        </w:rPr>
        <w:t>Pernice</w:t>
      </w:r>
      <w:proofErr w:type="spellEnd"/>
      <w:r w:rsidR="00470174">
        <w:rPr>
          <w:sz w:val="20"/>
          <w:szCs w:val="20"/>
        </w:rPr>
        <w:t xml:space="preserve">, </w:t>
      </w:r>
      <w:r w:rsidR="00470174" w:rsidRPr="00470174">
        <w:rPr>
          <w:rFonts w:asciiTheme="minorHAnsi" w:eastAsia="Times New Roman" w:hAnsiTheme="minorHAnsi" w:cs="Calibri"/>
          <w:sz w:val="20"/>
          <w:szCs w:val="20"/>
          <w:lang w:val="en-US" w:eastAsia="en-GB"/>
        </w:rPr>
        <w:t>«The Treaty of Lisbon: Multileve</w:t>
      </w:r>
      <w:r w:rsidR="00405D63">
        <w:rPr>
          <w:rFonts w:asciiTheme="minorHAnsi" w:eastAsia="Times New Roman" w:hAnsiTheme="minorHAnsi" w:cs="Calibri"/>
          <w:sz w:val="20"/>
          <w:szCs w:val="20"/>
          <w:lang w:val="en-US" w:eastAsia="en-GB"/>
        </w:rPr>
        <w:t>l Constitutionalism in Action»</w:t>
      </w:r>
      <w:r w:rsidR="00470174">
        <w:rPr>
          <w:rFonts w:asciiTheme="minorHAnsi" w:eastAsia="Times New Roman" w:hAnsiTheme="minorHAnsi" w:cs="Calibri"/>
          <w:sz w:val="20"/>
          <w:szCs w:val="20"/>
          <w:lang w:val="en-US" w:eastAsia="en-GB"/>
        </w:rPr>
        <w:t>, p. 349 and ff.</w:t>
      </w:r>
    </w:p>
  </w:footnote>
  <w:footnote w:id="18">
    <w:p w:rsidR="000D0B26" w:rsidRPr="00470174" w:rsidRDefault="000D0B26" w:rsidP="00470174">
      <w:pPr>
        <w:pStyle w:val="Textodenotaderodap"/>
        <w:jc w:val="both"/>
      </w:pPr>
      <w:r w:rsidRPr="00470174">
        <w:rPr>
          <w:rStyle w:val="Refdenotaderodap"/>
        </w:rPr>
        <w:footnoteRef/>
      </w:r>
      <w:r w:rsidRPr="00470174">
        <w:t xml:space="preserve"> </w:t>
      </w:r>
      <w:proofErr w:type="spellStart"/>
      <w:r w:rsidRPr="00470174">
        <w:t>German</w:t>
      </w:r>
      <w:proofErr w:type="spellEnd"/>
      <w:r w:rsidRPr="00470174">
        <w:t xml:space="preserve"> Federal </w:t>
      </w:r>
      <w:proofErr w:type="spellStart"/>
      <w:r w:rsidRPr="00470174">
        <w:t>Constitutional</w:t>
      </w:r>
      <w:proofErr w:type="spellEnd"/>
      <w:r w:rsidRPr="00470174">
        <w:t xml:space="preserve"> Court </w:t>
      </w:r>
      <w:proofErr w:type="spellStart"/>
      <w:r w:rsidRPr="00470174">
        <w:t>decision</w:t>
      </w:r>
      <w:proofErr w:type="spellEnd"/>
      <w:r w:rsidRPr="00470174">
        <w:t xml:space="preserve"> </w:t>
      </w:r>
      <w:proofErr w:type="spellStart"/>
      <w:r w:rsidRPr="00470174">
        <w:t>on</w:t>
      </w:r>
      <w:proofErr w:type="spellEnd"/>
      <w:r w:rsidRPr="00470174">
        <w:t xml:space="preserve"> </w:t>
      </w:r>
      <w:proofErr w:type="spellStart"/>
      <w:r w:rsidRPr="00470174">
        <w:t>the</w:t>
      </w:r>
      <w:proofErr w:type="spellEnd"/>
      <w:r w:rsidRPr="00470174">
        <w:t xml:space="preserve"> </w:t>
      </w:r>
      <w:proofErr w:type="spellStart"/>
      <w:r w:rsidRPr="00470174">
        <w:t>Lisbon</w:t>
      </w:r>
      <w:proofErr w:type="spellEnd"/>
      <w:r w:rsidRPr="00470174">
        <w:t xml:space="preserve"> </w:t>
      </w:r>
      <w:proofErr w:type="spellStart"/>
      <w:r w:rsidRPr="00470174">
        <w:t>Treaty</w:t>
      </w:r>
      <w:proofErr w:type="spellEnd"/>
      <w:r w:rsidRPr="00470174">
        <w:t xml:space="preserve">, </w:t>
      </w:r>
      <w:proofErr w:type="spellStart"/>
      <w:r w:rsidRPr="00470174">
        <w:t>June</w:t>
      </w:r>
      <w:proofErr w:type="spellEnd"/>
      <w:r w:rsidRPr="00470174">
        <w:t xml:space="preserve"> 30, 2009, </w:t>
      </w:r>
      <w:proofErr w:type="spellStart"/>
      <w:r w:rsidRPr="00470174">
        <w:t>paragraph</w:t>
      </w:r>
      <w:r w:rsidR="00A4377C" w:rsidRPr="00470174">
        <w:t>s</w:t>
      </w:r>
      <w:proofErr w:type="spellEnd"/>
      <w:r w:rsidR="00A4377C" w:rsidRPr="00470174">
        <w:t xml:space="preserve"> 256, 329 </w:t>
      </w:r>
      <w:proofErr w:type="spellStart"/>
      <w:r w:rsidR="00A4377C" w:rsidRPr="00470174">
        <w:t>and</w:t>
      </w:r>
      <w:proofErr w:type="spellEnd"/>
      <w:r w:rsidR="00A4377C" w:rsidRPr="00470174">
        <w:t xml:space="preserve"> 330.</w:t>
      </w:r>
    </w:p>
  </w:footnote>
  <w:footnote w:id="19">
    <w:p w:rsidR="00470174" w:rsidRPr="00470174" w:rsidRDefault="00470174" w:rsidP="00470174">
      <w:pPr>
        <w:spacing w:after="0" w:line="240" w:lineRule="auto"/>
        <w:jc w:val="both"/>
        <w:rPr>
          <w:rFonts w:asciiTheme="minorHAnsi" w:eastAsia="Times New Roman" w:hAnsiTheme="minorHAnsi" w:cs="Calibri"/>
          <w:sz w:val="20"/>
          <w:szCs w:val="20"/>
          <w:lang w:val="en-US" w:eastAsia="en-GB"/>
        </w:rPr>
      </w:pPr>
      <w:r w:rsidRPr="00470174">
        <w:rPr>
          <w:rStyle w:val="Refdenotaderodap"/>
          <w:sz w:val="20"/>
          <w:szCs w:val="20"/>
        </w:rPr>
        <w:footnoteRef/>
      </w:r>
      <w:r w:rsidRPr="00470174">
        <w:rPr>
          <w:sz w:val="20"/>
          <w:szCs w:val="20"/>
        </w:rPr>
        <w:t xml:space="preserve"> Piris,</w:t>
      </w:r>
      <w:r>
        <w:rPr>
          <w:sz w:val="20"/>
          <w:szCs w:val="20"/>
        </w:rPr>
        <w:t xml:space="preserve"> Jean-Claude, </w:t>
      </w:r>
      <w:r w:rsidRPr="00470174">
        <w:rPr>
          <w:rFonts w:asciiTheme="minorHAnsi" w:eastAsia="Times New Roman" w:hAnsiTheme="minorHAnsi" w:cs="Calibri"/>
          <w:i/>
          <w:sz w:val="20"/>
          <w:szCs w:val="20"/>
          <w:lang w:val="en-US" w:eastAsia="en-GB"/>
        </w:rPr>
        <w:t>The Lisbon Treaty: A Legal and Political Analysis</w:t>
      </w:r>
      <w:r w:rsidRPr="00470174">
        <w:rPr>
          <w:rFonts w:asciiTheme="minorHAnsi" w:eastAsia="Times New Roman" w:hAnsiTheme="minorHAnsi" w:cs="Calibri"/>
          <w:sz w:val="20"/>
          <w:szCs w:val="20"/>
          <w:lang w:val="en-US" w:eastAsia="en-GB"/>
        </w:rPr>
        <w:t>, Cambri</w:t>
      </w:r>
      <w:r>
        <w:rPr>
          <w:rFonts w:asciiTheme="minorHAnsi" w:eastAsia="Times New Roman" w:hAnsiTheme="minorHAnsi" w:cs="Calibri"/>
          <w:sz w:val="20"/>
          <w:szCs w:val="20"/>
          <w:lang w:val="en-US" w:eastAsia="en-GB"/>
        </w:rPr>
        <w:t>dge: Cambridge University Press, 2010, p. 110.</w:t>
      </w:r>
    </w:p>
  </w:footnote>
  <w:footnote w:id="20">
    <w:p w:rsidR="00470174" w:rsidRDefault="00470174">
      <w:pPr>
        <w:pStyle w:val="Textodenotaderodap"/>
      </w:pPr>
      <w:r>
        <w:rPr>
          <w:rStyle w:val="Refdenotaderodap"/>
        </w:rPr>
        <w:footnoteRef/>
      </w:r>
      <w:r>
        <w:t xml:space="preserve"> </w:t>
      </w:r>
      <w:proofErr w:type="spellStart"/>
      <w:r>
        <w:t>Malathouni</w:t>
      </w:r>
      <w:proofErr w:type="spellEnd"/>
      <w:r>
        <w:t xml:space="preserve">, </w:t>
      </w:r>
      <w:r w:rsidRPr="00D96D57">
        <w:rPr>
          <w:rFonts w:eastAsia="Times New Roman" w:cs="Calibri"/>
          <w:lang w:val="en-US" w:eastAsia="en-GB"/>
        </w:rPr>
        <w:t>«Should I Stay or Should I go: The Sunset Clause as Self-Confidence or Suicide»,</w:t>
      </w:r>
      <w:r>
        <w:rPr>
          <w:rFonts w:eastAsia="Times New Roman" w:cs="Calibri"/>
          <w:lang w:val="en-US" w:eastAsia="en-GB"/>
        </w:rPr>
        <w:t xml:space="preserve"> p. 115.</w:t>
      </w:r>
    </w:p>
  </w:footnote>
  <w:footnote w:id="21">
    <w:p w:rsidR="00A4377C" w:rsidRDefault="00A4377C">
      <w:pPr>
        <w:pStyle w:val="Textodenotaderodap"/>
      </w:pPr>
      <w:r>
        <w:rPr>
          <w:rStyle w:val="Refdenotaderodap"/>
        </w:rPr>
        <w:footnoteRef/>
      </w:r>
      <w:r>
        <w:t xml:space="preserve"> </w:t>
      </w:r>
      <w:proofErr w:type="spellStart"/>
      <w:r>
        <w:t>See</w:t>
      </w:r>
      <w:proofErr w:type="spellEnd"/>
      <w:r>
        <w:t xml:space="preserve"> Fausto de Quadros,</w:t>
      </w:r>
      <w:r w:rsidR="00470174">
        <w:t xml:space="preserve"> </w:t>
      </w:r>
      <w:r w:rsidR="00470174" w:rsidRPr="00470174">
        <w:rPr>
          <w:i/>
        </w:rPr>
        <w:t>Direito da União Europeia, 3</w:t>
      </w:r>
      <w:r w:rsidRPr="00470174">
        <w:rPr>
          <w:i/>
        </w:rPr>
        <w:t>ª edição</w:t>
      </w:r>
      <w:r>
        <w:t>, Coimbra: Almedina, 2013, p. 447.</w:t>
      </w:r>
    </w:p>
  </w:footnote>
  <w:footnote w:id="22">
    <w:p w:rsidR="00A4377C" w:rsidRDefault="00A4377C">
      <w:pPr>
        <w:pStyle w:val="Textodenotaderodap"/>
      </w:pPr>
      <w:r>
        <w:rPr>
          <w:rStyle w:val="Refdenotaderodap"/>
        </w:rPr>
        <w:footnoteRef/>
      </w:r>
      <w:r>
        <w:t xml:space="preserve"> </w:t>
      </w:r>
      <w:proofErr w:type="spellStart"/>
      <w:r>
        <w:t>Lenaets</w:t>
      </w:r>
      <w:proofErr w:type="spellEnd"/>
      <w:r>
        <w:t xml:space="preserve"> </w:t>
      </w:r>
      <w:proofErr w:type="spellStart"/>
      <w:r>
        <w:t>and</w:t>
      </w:r>
      <w:proofErr w:type="spellEnd"/>
      <w:r>
        <w:t xml:space="preserve"> </w:t>
      </w:r>
      <w:proofErr w:type="spellStart"/>
      <w:r>
        <w:t>Nuffel</w:t>
      </w:r>
      <w:proofErr w:type="spellEnd"/>
      <w:r>
        <w:t xml:space="preserve">, </w:t>
      </w:r>
      <w:proofErr w:type="spellStart"/>
      <w:r w:rsidRPr="00470174">
        <w:rPr>
          <w:i/>
        </w:rPr>
        <w:t>European</w:t>
      </w:r>
      <w:proofErr w:type="spellEnd"/>
      <w:r w:rsidRPr="00470174">
        <w:rPr>
          <w:i/>
        </w:rPr>
        <w:t xml:space="preserve"> </w:t>
      </w:r>
      <w:proofErr w:type="spellStart"/>
      <w:r w:rsidRPr="00470174">
        <w:rPr>
          <w:i/>
        </w:rPr>
        <w:t>Union</w:t>
      </w:r>
      <w:proofErr w:type="spellEnd"/>
      <w:r w:rsidRPr="00470174">
        <w:rPr>
          <w:i/>
        </w:rPr>
        <w:t xml:space="preserve"> </w:t>
      </w:r>
      <w:proofErr w:type="spellStart"/>
      <w:r w:rsidRPr="00470174">
        <w:rPr>
          <w:i/>
        </w:rPr>
        <w:t>Law</w:t>
      </w:r>
      <w:proofErr w:type="spellEnd"/>
      <w:r>
        <w:t>, p. 99.</w:t>
      </w:r>
    </w:p>
  </w:footnote>
  <w:footnote w:id="23">
    <w:p w:rsidR="00A4377C" w:rsidRPr="00FD3614" w:rsidRDefault="00A4377C" w:rsidP="00FD3614">
      <w:pPr>
        <w:spacing w:after="0" w:line="240" w:lineRule="auto"/>
        <w:jc w:val="both"/>
        <w:rPr>
          <w:rFonts w:cs="Calibri"/>
          <w:sz w:val="20"/>
          <w:szCs w:val="20"/>
          <w:lang w:val="en-US"/>
        </w:rPr>
      </w:pPr>
      <w:r w:rsidRPr="00FD3614">
        <w:rPr>
          <w:rStyle w:val="Refdenotaderodap"/>
          <w:sz w:val="20"/>
          <w:szCs w:val="20"/>
        </w:rPr>
        <w:footnoteRef/>
      </w:r>
      <w:r w:rsidRPr="00FD3614">
        <w:rPr>
          <w:sz w:val="20"/>
          <w:szCs w:val="20"/>
        </w:rPr>
        <w:t xml:space="preserve"> </w:t>
      </w:r>
      <w:proofErr w:type="spellStart"/>
      <w:r w:rsidRPr="00FD3614">
        <w:rPr>
          <w:sz w:val="20"/>
          <w:szCs w:val="20"/>
        </w:rPr>
        <w:t>Herbst</w:t>
      </w:r>
      <w:proofErr w:type="spellEnd"/>
      <w:r w:rsidRPr="00FD3614">
        <w:rPr>
          <w:sz w:val="20"/>
          <w:szCs w:val="20"/>
        </w:rPr>
        <w:t xml:space="preserve">, </w:t>
      </w:r>
      <w:proofErr w:type="spellStart"/>
      <w:r w:rsidRPr="00FD3614">
        <w:rPr>
          <w:rFonts w:cs="Calibri"/>
          <w:sz w:val="20"/>
          <w:szCs w:val="20"/>
          <w:lang w:val="en-US"/>
        </w:rPr>
        <w:t>Jochen</w:t>
      </w:r>
      <w:proofErr w:type="spellEnd"/>
      <w:r w:rsidRPr="00FD3614">
        <w:rPr>
          <w:rFonts w:cs="Calibri"/>
          <w:sz w:val="20"/>
          <w:szCs w:val="20"/>
          <w:lang w:val="en-US"/>
        </w:rPr>
        <w:t>, «Observations on the Right to Withdraw from the European Union: Who are the “Masters of the Treaties”</w:t>
      </w:r>
      <w:proofErr w:type="gramStart"/>
      <w:r w:rsidRPr="00FD3614">
        <w:rPr>
          <w:rFonts w:cs="Calibri"/>
          <w:sz w:val="20"/>
          <w:szCs w:val="20"/>
          <w:lang w:val="en-US"/>
        </w:rPr>
        <w:t>?»</w:t>
      </w:r>
      <w:proofErr w:type="gramEnd"/>
      <w:r w:rsidRPr="00FD3614">
        <w:rPr>
          <w:rFonts w:cs="Calibri"/>
          <w:sz w:val="20"/>
          <w:szCs w:val="20"/>
          <w:lang w:val="en-US"/>
        </w:rPr>
        <w:t xml:space="preserve">, </w:t>
      </w:r>
      <w:r w:rsidRPr="00FD3614">
        <w:rPr>
          <w:rFonts w:cs="Calibri"/>
          <w:i/>
          <w:sz w:val="20"/>
          <w:szCs w:val="20"/>
          <w:lang w:val="en-US"/>
        </w:rPr>
        <w:t>German Law Journal</w:t>
      </w:r>
      <w:r w:rsidRPr="00FD3614">
        <w:rPr>
          <w:rFonts w:cs="Calibri"/>
          <w:sz w:val="20"/>
          <w:szCs w:val="20"/>
          <w:lang w:val="en-US"/>
        </w:rPr>
        <w:t xml:space="preserve"> 6 (11: 2005), p. 1757.</w:t>
      </w:r>
    </w:p>
  </w:footnote>
  <w:footnote w:id="24">
    <w:p w:rsidR="00A4377C" w:rsidRPr="00FE75FB" w:rsidRDefault="00A4377C" w:rsidP="00FE75FB">
      <w:pPr>
        <w:spacing w:after="0" w:line="240" w:lineRule="auto"/>
        <w:jc w:val="both"/>
        <w:rPr>
          <w:rFonts w:cs="Calibri"/>
          <w:sz w:val="20"/>
          <w:szCs w:val="20"/>
          <w:lang w:val="en-US"/>
        </w:rPr>
      </w:pPr>
      <w:r w:rsidRPr="00FD3614">
        <w:rPr>
          <w:rStyle w:val="Refdenotaderodap"/>
          <w:sz w:val="20"/>
          <w:szCs w:val="20"/>
        </w:rPr>
        <w:footnoteRef/>
      </w:r>
      <w:r w:rsidR="00EB55E1">
        <w:rPr>
          <w:sz w:val="20"/>
          <w:szCs w:val="20"/>
        </w:rPr>
        <w:t xml:space="preserve"> </w:t>
      </w:r>
      <w:proofErr w:type="spellStart"/>
      <w:r w:rsidR="00EB55E1">
        <w:rPr>
          <w:sz w:val="20"/>
          <w:szCs w:val="20"/>
        </w:rPr>
        <w:t>Herbst</w:t>
      </w:r>
      <w:proofErr w:type="spellEnd"/>
      <w:r w:rsidR="00EB55E1">
        <w:rPr>
          <w:sz w:val="20"/>
          <w:szCs w:val="20"/>
        </w:rPr>
        <w:t xml:space="preserve">, </w:t>
      </w:r>
      <w:r w:rsidR="00355049" w:rsidRPr="00FD3614">
        <w:rPr>
          <w:rFonts w:cs="Calibri"/>
          <w:sz w:val="20"/>
          <w:szCs w:val="20"/>
          <w:lang w:val="en-US"/>
        </w:rPr>
        <w:t>«Observations on the Right to Withdraw from the European Union: Who are t</w:t>
      </w:r>
      <w:r w:rsidR="00EB55E1">
        <w:rPr>
          <w:rFonts w:cs="Calibri"/>
          <w:sz w:val="20"/>
          <w:szCs w:val="20"/>
          <w:lang w:val="en-US"/>
        </w:rPr>
        <w:t>he “Masters of the Treaties”</w:t>
      </w:r>
      <w:proofErr w:type="gramStart"/>
      <w:r w:rsidR="00EB55E1">
        <w:rPr>
          <w:rFonts w:cs="Calibri"/>
          <w:sz w:val="20"/>
          <w:szCs w:val="20"/>
          <w:lang w:val="en-US"/>
        </w:rPr>
        <w:t>?»</w:t>
      </w:r>
      <w:proofErr w:type="gramEnd"/>
      <w:r w:rsidR="00355049" w:rsidRPr="00FD3614">
        <w:rPr>
          <w:rFonts w:cs="Calibri"/>
          <w:sz w:val="20"/>
          <w:szCs w:val="20"/>
          <w:lang w:val="en-US"/>
        </w:rPr>
        <w:t>, p. 1757.</w:t>
      </w:r>
    </w:p>
  </w:footnote>
  <w:footnote w:id="25">
    <w:p w:rsidR="00F84107" w:rsidRPr="00FD3614" w:rsidRDefault="00F84107" w:rsidP="00F84107">
      <w:pPr>
        <w:spacing w:after="0" w:line="240" w:lineRule="auto"/>
        <w:jc w:val="both"/>
        <w:rPr>
          <w:rFonts w:asciiTheme="minorHAnsi" w:eastAsia="Times New Roman" w:hAnsiTheme="minorHAnsi" w:cs="Calibri"/>
          <w:sz w:val="20"/>
          <w:szCs w:val="20"/>
          <w:lang w:val="en-US" w:eastAsia="en-GB"/>
        </w:rPr>
      </w:pPr>
      <w:r w:rsidRPr="00FD3614">
        <w:rPr>
          <w:rStyle w:val="Refdenotaderodap"/>
          <w:sz w:val="20"/>
          <w:szCs w:val="20"/>
        </w:rPr>
        <w:footnoteRef/>
      </w:r>
      <w:r w:rsidRPr="00FD3614">
        <w:rPr>
          <w:sz w:val="20"/>
          <w:szCs w:val="20"/>
        </w:rPr>
        <w:t xml:space="preserve"> </w:t>
      </w:r>
      <w:proofErr w:type="spellStart"/>
      <w:r w:rsidRPr="00FD3614">
        <w:rPr>
          <w:sz w:val="20"/>
          <w:szCs w:val="20"/>
        </w:rPr>
        <w:t>See</w:t>
      </w:r>
      <w:proofErr w:type="spellEnd"/>
      <w:r w:rsidRPr="00FD3614">
        <w:rPr>
          <w:sz w:val="20"/>
          <w:szCs w:val="20"/>
        </w:rPr>
        <w:t xml:space="preserve"> </w:t>
      </w:r>
      <w:proofErr w:type="spellStart"/>
      <w:r w:rsidRPr="00FD3614">
        <w:rPr>
          <w:sz w:val="20"/>
          <w:szCs w:val="20"/>
        </w:rPr>
        <w:t>Hofmeister</w:t>
      </w:r>
      <w:proofErr w:type="spellEnd"/>
      <w:r w:rsidRPr="00FD3614">
        <w:rPr>
          <w:sz w:val="20"/>
          <w:szCs w:val="20"/>
        </w:rPr>
        <w:t xml:space="preserve">, </w:t>
      </w:r>
      <w:r w:rsidRPr="00FD3614">
        <w:rPr>
          <w:rFonts w:cs="Calibri"/>
          <w:sz w:val="20"/>
          <w:szCs w:val="20"/>
          <w:lang w:val="en-US"/>
        </w:rPr>
        <w:t xml:space="preserve">«Should I Stay or Should I Go? – A Critical Analysis of the Right to Withdraw from the </w:t>
      </w:r>
      <w:proofErr w:type="spellStart"/>
      <w:r w:rsidRPr="00FD3614">
        <w:rPr>
          <w:rFonts w:cs="Calibri"/>
          <w:sz w:val="20"/>
          <w:szCs w:val="20"/>
          <w:lang w:val="en-US"/>
        </w:rPr>
        <w:t>EU»,p</w:t>
      </w:r>
      <w:proofErr w:type="spellEnd"/>
      <w:r w:rsidRPr="00FD3614">
        <w:rPr>
          <w:rFonts w:cs="Calibri"/>
          <w:sz w:val="20"/>
          <w:szCs w:val="20"/>
          <w:lang w:val="en-US"/>
        </w:rPr>
        <w:t xml:space="preserve">. 594; </w:t>
      </w:r>
      <w:proofErr w:type="spellStart"/>
      <w:proofErr w:type="gramStart"/>
      <w:r w:rsidRPr="00FD3614">
        <w:rPr>
          <w:sz w:val="20"/>
          <w:szCs w:val="20"/>
        </w:rPr>
        <w:t>and</w:t>
      </w:r>
      <w:proofErr w:type="spellEnd"/>
      <w:proofErr w:type="gramEnd"/>
      <w:r w:rsidRPr="00FD3614">
        <w:rPr>
          <w:sz w:val="20"/>
          <w:szCs w:val="20"/>
        </w:rPr>
        <w:t xml:space="preserve"> </w:t>
      </w:r>
      <w:proofErr w:type="spellStart"/>
      <w:r w:rsidRPr="00FD3614">
        <w:rPr>
          <w:sz w:val="20"/>
          <w:szCs w:val="20"/>
        </w:rPr>
        <w:t>Raymomd</w:t>
      </w:r>
      <w:proofErr w:type="spellEnd"/>
      <w:r w:rsidRPr="00FD3614">
        <w:rPr>
          <w:sz w:val="20"/>
          <w:szCs w:val="20"/>
        </w:rPr>
        <w:t xml:space="preserve"> J. </w:t>
      </w:r>
      <w:proofErr w:type="spellStart"/>
      <w:r w:rsidRPr="00FD3614">
        <w:rPr>
          <w:sz w:val="20"/>
          <w:szCs w:val="20"/>
        </w:rPr>
        <w:t>Friel</w:t>
      </w:r>
      <w:proofErr w:type="spellEnd"/>
      <w:r w:rsidRPr="00FD3614">
        <w:rPr>
          <w:sz w:val="20"/>
          <w:szCs w:val="20"/>
        </w:rPr>
        <w:t xml:space="preserve">, </w:t>
      </w:r>
      <w:r w:rsidRPr="00FD3614">
        <w:rPr>
          <w:rFonts w:asciiTheme="minorHAnsi" w:eastAsia="Times New Roman" w:hAnsiTheme="minorHAnsi" w:cs="Calibri"/>
          <w:sz w:val="20"/>
          <w:szCs w:val="20"/>
          <w:lang w:val="en-US" w:eastAsia="en-GB"/>
        </w:rPr>
        <w:t xml:space="preserve">«Secession from the European Union: Checking out of the Proverbial “Cockroach Motel”», </w:t>
      </w:r>
      <w:r w:rsidRPr="00FD3614">
        <w:rPr>
          <w:rFonts w:asciiTheme="minorHAnsi" w:eastAsia="Times New Roman" w:hAnsiTheme="minorHAnsi" w:cs="Calibri"/>
          <w:i/>
          <w:sz w:val="20"/>
          <w:szCs w:val="20"/>
          <w:lang w:val="en-US" w:eastAsia="en-GB"/>
        </w:rPr>
        <w:t>Fordham International Law Journal</w:t>
      </w:r>
      <w:r w:rsidRPr="00FD3614">
        <w:rPr>
          <w:rFonts w:asciiTheme="minorHAnsi" w:eastAsia="Times New Roman" w:hAnsiTheme="minorHAnsi" w:cs="Calibri"/>
          <w:sz w:val="20"/>
          <w:szCs w:val="20"/>
          <w:lang w:val="en-US" w:eastAsia="en-GB"/>
        </w:rPr>
        <w:t xml:space="preserve"> 27 (January: 2004), p. 637.</w:t>
      </w:r>
    </w:p>
  </w:footnote>
  <w:footnote w:id="26">
    <w:p w:rsidR="00A4377C" w:rsidRPr="007F01B1" w:rsidRDefault="00A4377C" w:rsidP="007F01B1">
      <w:pPr>
        <w:spacing w:after="0" w:line="240" w:lineRule="auto"/>
        <w:jc w:val="both"/>
        <w:rPr>
          <w:rFonts w:asciiTheme="minorHAnsi" w:eastAsia="Times New Roman" w:hAnsiTheme="minorHAnsi" w:cs="Calibri"/>
          <w:sz w:val="20"/>
          <w:szCs w:val="20"/>
          <w:lang w:eastAsia="en-GB"/>
        </w:rPr>
      </w:pPr>
      <w:r w:rsidRPr="007F01B1">
        <w:rPr>
          <w:rStyle w:val="Refdenotaderodap"/>
          <w:sz w:val="20"/>
          <w:szCs w:val="20"/>
        </w:rPr>
        <w:footnoteRef/>
      </w:r>
      <w:r w:rsidRPr="007F01B1">
        <w:rPr>
          <w:sz w:val="20"/>
          <w:szCs w:val="20"/>
        </w:rPr>
        <w:t xml:space="preserve"> </w:t>
      </w:r>
      <w:proofErr w:type="spellStart"/>
      <w:r w:rsidRPr="007F01B1">
        <w:rPr>
          <w:sz w:val="20"/>
          <w:szCs w:val="20"/>
        </w:rPr>
        <w:t>See</w:t>
      </w:r>
      <w:proofErr w:type="spellEnd"/>
      <w:r w:rsidRPr="007F01B1">
        <w:rPr>
          <w:sz w:val="20"/>
          <w:szCs w:val="20"/>
        </w:rPr>
        <w:t xml:space="preserve"> </w:t>
      </w:r>
      <w:proofErr w:type="spellStart"/>
      <w:r w:rsidRPr="007F01B1">
        <w:rPr>
          <w:sz w:val="20"/>
          <w:szCs w:val="20"/>
        </w:rPr>
        <w:t>Homeister</w:t>
      </w:r>
      <w:proofErr w:type="spellEnd"/>
      <w:r w:rsidRPr="007F01B1">
        <w:rPr>
          <w:sz w:val="20"/>
          <w:szCs w:val="20"/>
        </w:rPr>
        <w:t xml:space="preserve">, </w:t>
      </w:r>
      <w:r w:rsidR="007F01B1" w:rsidRPr="007F01B1">
        <w:rPr>
          <w:rFonts w:cs="Calibri"/>
          <w:sz w:val="20"/>
          <w:szCs w:val="20"/>
          <w:lang w:val="en-US"/>
        </w:rPr>
        <w:t xml:space="preserve">«Should I Stay or Should I Go? – A Critical Analysis of the Right to Withdraw from the </w:t>
      </w:r>
      <w:proofErr w:type="spellStart"/>
      <w:r w:rsidR="007F01B1" w:rsidRPr="007F01B1">
        <w:rPr>
          <w:rFonts w:cs="Calibri"/>
          <w:sz w:val="20"/>
          <w:szCs w:val="20"/>
          <w:lang w:val="en-US"/>
        </w:rPr>
        <w:t>EU»,p</w:t>
      </w:r>
      <w:proofErr w:type="spellEnd"/>
      <w:r w:rsidR="007F01B1" w:rsidRPr="007F01B1">
        <w:rPr>
          <w:rFonts w:cs="Calibri"/>
          <w:sz w:val="20"/>
          <w:szCs w:val="20"/>
          <w:lang w:val="en-US"/>
        </w:rPr>
        <w:t>. 594 and 595</w:t>
      </w:r>
      <w:r w:rsidRPr="007F01B1">
        <w:rPr>
          <w:sz w:val="20"/>
          <w:szCs w:val="20"/>
        </w:rPr>
        <w:t xml:space="preserve">; Raymond </w:t>
      </w:r>
      <w:proofErr w:type="spellStart"/>
      <w:r w:rsidRPr="007F01B1">
        <w:rPr>
          <w:sz w:val="20"/>
          <w:szCs w:val="20"/>
        </w:rPr>
        <w:t>Friel</w:t>
      </w:r>
      <w:proofErr w:type="spellEnd"/>
      <w:r w:rsidR="007F01B1">
        <w:rPr>
          <w:sz w:val="20"/>
          <w:szCs w:val="20"/>
        </w:rPr>
        <w:t>,</w:t>
      </w:r>
      <w:r w:rsidRPr="007F01B1">
        <w:rPr>
          <w:sz w:val="20"/>
          <w:szCs w:val="20"/>
        </w:rPr>
        <w:t xml:space="preserve"> </w:t>
      </w:r>
      <w:r w:rsidR="007F01B1" w:rsidRPr="007F01B1">
        <w:rPr>
          <w:rFonts w:asciiTheme="minorHAnsi" w:eastAsia="Times New Roman" w:hAnsiTheme="minorHAnsi" w:cs="Calibri"/>
          <w:sz w:val="20"/>
          <w:szCs w:val="20"/>
          <w:lang w:val="en-US" w:eastAsia="en-GB"/>
        </w:rPr>
        <w:t xml:space="preserve">«Providing a Constitutional Framework for Withdrawal from the EU: Article 59 of the Draft European Constitution», </w:t>
      </w:r>
      <w:r w:rsidR="007F01B1" w:rsidRPr="007F01B1">
        <w:rPr>
          <w:rFonts w:asciiTheme="minorHAnsi" w:eastAsia="Times New Roman" w:hAnsiTheme="minorHAnsi" w:cs="Calibri"/>
          <w:i/>
          <w:sz w:val="20"/>
          <w:szCs w:val="20"/>
          <w:lang w:val="en-US" w:eastAsia="en-GB"/>
        </w:rPr>
        <w:t xml:space="preserve">International and Comparative Law Quarterly </w:t>
      </w:r>
      <w:r w:rsidR="007F01B1">
        <w:rPr>
          <w:rFonts w:asciiTheme="minorHAnsi" w:eastAsia="Times New Roman" w:hAnsiTheme="minorHAnsi" w:cs="Calibri"/>
          <w:sz w:val="20"/>
          <w:szCs w:val="20"/>
          <w:lang w:val="en-US" w:eastAsia="en-GB"/>
        </w:rPr>
        <w:t>53 (April: 2004), p. 426 and 427.</w:t>
      </w:r>
    </w:p>
  </w:footnote>
  <w:footnote w:id="27">
    <w:p w:rsidR="007F01B1" w:rsidRPr="007F01B1" w:rsidRDefault="007F01B1" w:rsidP="007F01B1">
      <w:pPr>
        <w:spacing w:after="0" w:line="240" w:lineRule="auto"/>
        <w:jc w:val="both"/>
        <w:rPr>
          <w:rFonts w:asciiTheme="minorHAnsi" w:eastAsia="Times New Roman" w:hAnsiTheme="minorHAnsi" w:cs="Calibri"/>
          <w:sz w:val="20"/>
          <w:szCs w:val="20"/>
          <w:lang w:eastAsia="en-GB"/>
        </w:rPr>
      </w:pPr>
      <w:r w:rsidRPr="007F01B1">
        <w:rPr>
          <w:rStyle w:val="Refdenotaderodap"/>
          <w:sz w:val="20"/>
          <w:szCs w:val="20"/>
        </w:rPr>
        <w:footnoteRef/>
      </w:r>
      <w:r w:rsidRPr="007F01B1">
        <w:rPr>
          <w:sz w:val="20"/>
          <w:szCs w:val="20"/>
        </w:rPr>
        <w:t xml:space="preserve"> </w:t>
      </w:r>
      <w:proofErr w:type="spellStart"/>
      <w:r w:rsidRPr="007F01B1">
        <w:rPr>
          <w:sz w:val="20"/>
          <w:szCs w:val="20"/>
        </w:rPr>
        <w:t>Lazowski</w:t>
      </w:r>
      <w:proofErr w:type="spellEnd"/>
      <w:r w:rsidRPr="007F01B1">
        <w:rPr>
          <w:sz w:val="20"/>
          <w:szCs w:val="20"/>
        </w:rPr>
        <w:t>, Adam</w:t>
      </w:r>
      <w:r>
        <w:rPr>
          <w:sz w:val="20"/>
          <w:szCs w:val="20"/>
        </w:rPr>
        <w:t xml:space="preserve">, </w:t>
      </w:r>
      <w:r w:rsidRPr="007F01B1">
        <w:rPr>
          <w:rFonts w:cs="Calibri"/>
          <w:sz w:val="20"/>
          <w:szCs w:val="20"/>
          <w:lang w:val="en-US"/>
        </w:rPr>
        <w:t xml:space="preserve">«Withdrawal from the European Union and alternatives to membership», </w:t>
      </w:r>
      <w:r w:rsidRPr="007F01B1">
        <w:rPr>
          <w:rFonts w:cs="Calibri"/>
          <w:i/>
          <w:sz w:val="20"/>
          <w:szCs w:val="20"/>
          <w:lang w:val="en-US"/>
        </w:rPr>
        <w:t>European Law Review</w:t>
      </w:r>
      <w:r w:rsidRPr="007F01B1">
        <w:rPr>
          <w:rFonts w:cs="Calibri"/>
          <w:sz w:val="20"/>
          <w:szCs w:val="20"/>
          <w:lang w:val="en-US"/>
        </w:rPr>
        <w:t xml:space="preserve"> 37 (</w:t>
      </w:r>
      <w:r w:rsidR="00FE75FB">
        <w:rPr>
          <w:rFonts w:cs="Calibri"/>
          <w:sz w:val="20"/>
          <w:szCs w:val="20"/>
          <w:lang w:val="en-US"/>
        </w:rPr>
        <w:t>5: 2012), p. 529 and 530.</w:t>
      </w:r>
    </w:p>
  </w:footnote>
  <w:footnote w:id="28">
    <w:p w:rsidR="00FF237C" w:rsidRPr="00FF237C" w:rsidRDefault="00FF237C" w:rsidP="00FF237C">
      <w:pPr>
        <w:spacing w:after="0" w:line="240" w:lineRule="auto"/>
        <w:jc w:val="both"/>
        <w:rPr>
          <w:rFonts w:asciiTheme="minorHAnsi" w:eastAsia="Times New Roman" w:hAnsiTheme="minorHAnsi" w:cs="Calibri"/>
          <w:sz w:val="20"/>
          <w:szCs w:val="20"/>
          <w:lang w:eastAsia="en-GB"/>
        </w:rPr>
      </w:pPr>
      <w:r w:rsidRPr="00FF237C">
        <w:rPr>
          <w:rStyle w:val="Refdenotaderodap"/>
          <w:sz w:val="20"/>
          <w:szCs w:val="20"/>
        </w:rPr>
        <w:footnoteRef/>
      </w:r>
      <w:r w:rsidRPr="00FF237C">
        <w:rPr>
          <w:sz w:val="20"/>
          <w:szCs w:val="20"/>
        </w:rPr>
        <w:t xml:space="preserve"> </w:t>
      </w:r>
      <w:proofErr w:type="spellStart"/>
      <w:r w:rsidRPr="00FF237C">
        <w:rPr>
          <w:sz w:val="20"/>
          <w:szCs w:val="20"/>
        </w:rPr>
        <w:t>Hillion</w:t>
      </w:r>
      <w:proofErr w:type="spellEnd"/>
      <w:r w:rsidRPr="00FF237C">
        <w:rPr>
          <w:sz w:val="20"/>
          <w:szCs w:val="20"/>
        </w:rPr>
        <w:t xml:space="preserve">, </w:t>
      </w:r>
      <w:r w:rsidR="00FD3614">
        <w:rPr>
          <w:rFonts w:cs="Calibri"/>
          <w:sz w:val="20"/>
          <w:szCs w:val="20"/>
          <w:lang w:val="en-US"/>
        </w:rPr>
        <w:t>Christophe</w:t>
      </w:r>
      <w:r w:rsidRPr="00FF237C">
        <w:rPr>
          <w:rFonts w:cs="Calibri"/>
          <w:sz w:val="20"/>
          <w:szCs w:val="20"/>
          <w:lang w:val="en-US"/>
        </w:rPr>
        <w:t xml:space="preserve">, «Accession and Withdrawal in the Law of the European Union» in </w:t>
      </w:r>
      <w:r w:rsidRPr="00FF237C">
        <w:rPr>
          <w:rFonts w:cs="Calibri"/>
          <w:i/>
          <w:sz w:val="20"/>
          <w:szCs w:val="20"/>
          <w:lang w:val="en-US"/>
        </w:rPr>
        <w:t>The Oxford Handbook of European Union Law</w:t>
      </w:r>
      <w:r w:rsidRPr="00FF237C">
        <w:rPr>
          <w:rFonts w:cs="Calibri"/>
          <w:sz w:val="20"/>
          <w:szCs w:val="20"/>
          <w:lang w:val="en-US"/>
        </w:rPr>
        <w:t xml:space="preserve">, edited by Anthony </w:t>
      </w:r>
      <w:proofErr w:type="spellStart"/>
      <w:r w:rsidRPr="00FF237C">
        <w:rPr>
          <w:rFonts w:cs="Calibri"/>
          <w:sz w:val="20"/>
          <w:szCs w:val="20"/>
          <w:lang w:val="en-US"/>
        </w:rPr>
        <w:t>Arnull</w:t>
      </w:r>
      <w:proofErr w:type="spellEnd"/>
      <w:r w:rsidRPr="00FF237C">
        <w:rPr>
          <w:rFonts w:cs="Calibri"/>
          <w:sz w:val="20"/>
          <w:szCs w:val="20"/>
          <w:lang w:val="en-US"/>
        </w:rPr>
        <w:t xml:space="preserve"> and Damien Chalmers, Oxford: Oxford University Press, </w:t>
      </w:r>
      <w:r w:rsidR="00FD3614">
        <w:rPr>
          <w:rFonts w:cs="Calibri"/>
          <w:sz w:val="20"/>
          <w:szCs w:val="20"/>
          <w:lang w:val="en-US"/>
        </w:rPr>
        <w:t>2015, p. 136.</w:t>
      </w:r>
    </w:p>
  </w:footnote>
  <w:footnote w:id="29">
    <w:p w:rsidR="007F01B1" w:rsidRPr="00F42F20" w:rsidRDefault="007F01B1" w:rsidP="00F42F20">
      <w:pPr>
        <w:spacing w:after="0" w:line="240" w:lineRule="auto"/>
        <w:jc w:val="both"/>
        <w:rPr>
          <w:rFonts w:asciiTheme="minorHAnsi" w:eastAsia="Times New Roman" w:hAnsiTheme="minorHAnsi" w:cs="Calibri"/>
          <w:sz w:val="20"/>
          <w:szCs w:val="20"/>
          <w:lang w:eastAsia="en-GB"/>
        </w:rPr>
      </w:pPr>
      <w:r w:rsidRPr="007F01B1">
        <w:rPr>
          <w:rStyle w:val="Refdenotaderodap"/>
          <w:sz w:val="20"/>
          <w:szCs w:val="20"/>
        </w:rPr>
        <w:footnoteRef/>
      </w:r>
      <w:r w:rsidR="00FE75FB">
        <w:rPr>
          <w:sz w:val="20"/>
          <w:szCs w:val="20"/>
        </w:rPr>
        <w:t xml:space="preserve"> Duarte, Maria Luísa</w:t>
      </w:r>
      <w:r w:rsidRPr="007F01B1">
        <w:rPr>
          <w:rFonts w:asciiTheme="minorHAnsi" w:eastAsia="Times New Roman" w:hAnsiTheme="minorHAnsi" w:cs="Calibri"/>
          <w:sz w:val="20"/>
          <w:szCs w:val="20"/>
          <w:lang w:eastAsia="en-GB"/>
        </w:rPr>
        <w:t xml:space="preserve">, </w:t>
      </w:r>
      <w:r w:rsidRPr="007F01B1">
        <w:rPr>
          <w:rFonts w:asciiTheme="minorHAnsi" w:eastAsia="Times New Roman" w:hAnsiTheme="minorHAnsi" w:cs="Calibri"/>
          <w:i/>
          <w:sz w:val="20"/>
          <w:szCs w:val="20"/>
          <w:lang w:eastAsia="en-GB"/>
        </w:rPr>
        <w:t>Estudos de Direito da União e das Comunidades Europeias II</w:t>
      </w:r>
      <w:r w:rsidRPr="007F01B1">
        <w:rPr>
          <w:rFonts w:asciiTheme="minorHAnsi" w:eastAsia="Times New Roman" w:hAnsiTheme="minorHAnsi" w:cs="Calibri"/>
          <w:sz w:val="20"/>
          <w:szCs w:val="20"/>
          <w:lang w:eastAsia="en-GB"/>
        </w:rPr>
        <w:t>, Coimbra: Coimbra Editora, 2005, p. 433.</w:t>
      </w:r>
    </w:p>
  </w:footnote>
  <w:footnote w:id="30">
    <w:p w:rsidR="00D45FB3" w:rsidRDefault="00D45FB3" w:rsidP="0073150E">
      <w:pPr>
        <w:pStyle w:val="Textodenotaderodap"/>
        <w:jc w:val="both"/>
      </w:pPr>
      <w:r>
        <w:rPr>
          <w:rStyle w:val="Refdenotaderodap"/>
        </w:rPr>
        <w:footnoteRef/>
      </w:r>
      <w:r>
        <w:t xml:space="preserve"> </w:t>
      </w:r>
      <w:proofErr w:type="spellStart"/>
      <w:r>
        <w:t>See</w:t>
      </w:r>
      <w:proofErr w:type="spellEnd"/>
      <w:r>
        <w:t xml:space="preserve"> </w:t>
      </w:r>
      <w:proofErr w:type="spellStart"/>
      <w:r>
        <w:t>Hofmeister</w:t>
      </w:r>
      <w:proofErr w:type="spellEnd"/>
      <w:r>
        <w:t>,</w:t>
      </w:r>
      <w:r w:rsidRPr="00D45FB3">
        <w:rPr>
          <w:rFonts w:cs="Calibri"/>
          <w:lang w:val="en-US"/>
        </w:rPr>
        <w:t xml:space="preserve"> </w:t>
      </w:r>
      <w:r w:rsidRPr="007F01B1">
        <w:rPr>
          <w:rFonts w:cs="Calibri"/>
          <w:lang w:val="en-US"/>
        </w:rPr>
        <w:t>«Should I Stay or Should I Go? – A Critical Analysis of the Right to With</w:t>
      </w:r>
      <w:r w:rsidR="0073150E">
        <w:rPr>
          <w:rFonts w:cs="Calibri"/>
          <w:lang w:val="en-US"/>
        </w:rPr>
        <w:t>draw from the EU»,</w:t>
      </w:r>
      <w:r w:rsidR="00FE75FB">
        <w:rPr>
          <w:rFonts w:cs="Calibri"/>
          <w:lang w:val="en-US"/>
        </w:rPr>
        <w:t xml:space="preserve"> </w:t>
      </w:r>
      <w:r w:rsidR="0073150E">
        <w:rPr>
          <w:rFonts w:cs="Calibri"/>
          <w:lang w:val="en-US"/>
        </w:rPr>
        <w:t xml:space="preserve">p. 593; </w:t>
      </w:r>
      <w:proofErr w:type="gramStart"/>
      <w:r w:rsidR="0073150E">
        <w:rPr>
          <w:rFonts w:cs="Calibri"/>
          <w:lang w:val="en-US"/>
        </w:rPr>
        <w:t>and</w:t>
      </w:r>
      <w:proofErr w:type="gramEnd"/>
      <w:r w:rsidR="0073150E">
        <w:rPr>
          <w:rFonts w:cs="Calibri"/>
          <w:lang w:val="en-US"/>
        </w:rPr>
        <w:t xml:space="preserve"> </w:t>
      </w:r>
      <w:proofErr w:type="spellStart"/>
      <w:r w:rsidR="0073150E">
        <w:rPr>
          <w:rFonts w:cs="Calibri"/>
          <w:lang w:val="en-US"/>
        </w:rPr>
        <w:t>Dony</w:t>
      </w:r>
      <w:proofErr w:type="spellEnd"/>
      <w:r w:rsidR="0073150E">
        <w:rPr>
          <w:rFonts w:cs="Calibri"/>
          <w:lang w:val="en-US"/>
        </w:rPr>
        <w:t xml:space="preserve">, </w:t>
      </w:r>
      <w:proofErr w:type="spellStart"/>
      <w:r w:rsidR="0073150E" w:rsidRPr="0085630F">
        <w:rPr>
          <w:i/>
        </w:rPr>
        <w:t>Droit</w:t>
      </w:r>
      <w:proofErr w:type="spellEnd"/>
      <w:r w:rsidR="0073150E" w:rsidRPr="0085630F">
        <w:rPr>
          <w:i/>
        </w:rPr>
        <w:t xml:space="preserve"> de </w:t>
      </w:r>
      <w:proofErr w:type="spellStart"/>
      <w:r w:rsidR="0073150E" w:rsidRPr="0085630F">
        <w:rPr>
          <w:i/>
        </w:rPr>
        <w:t>l’Union</w:t>
      </w:r>
      <w:proofErr w:type="spellEnd"/>
      <w:r w:rsidR="0073150E" w:rsidRPr="0085630F">
        <w:rPr>
          <w:i/>
        </w:rPr>
        <w:t xml:space="preserve"> </w:t>
      </w:r>
      <w:proofErr w:type="spellStart"/>
      <w:r w:rsidR="0073150E" w:rsidRPr="0085630F">
        <w:rPr>
          <w:i/>
        </w:rPr>
        <w:t>européene</w:t>
      </w:r>
      <w:proofErr w:type="spellEnd"/>
      <w:r w:rsidR="00052A13">
        <w:t xml:space="preserve">, </w:t>
      </w:r>
      <w:r w:rsidR="0073150E">
        <w:t>p. 67.</w:t>
      </w:r>
    </w:p>
  </w:footnote>
  <w:footnote w:id="31">
    <w:p w:rsidR="007F01B1" w:rsidRPr="007F01B1" w:rsidRDefault="007F01B1" w:rsidP="007F01B1">
      <w:pPr>
        <w:spacing w:after="0" w:line="240" w:lineRule="auto"/>
        <w:jc w:val="both"/>
        <w:rPr>
          <w:rFonts w:cs="Calibri"/>
          <w:sz w:val="20"/>
          <w:szCs w:val="20"/>
          <w:lang w:val="en-US"/>
        </w:rPr>
      </w:pPr>
      <w:r>
        <w:rPr>
          <w:rStyle w:val="Refdenotaderodap"/>
        </w:rPr>
        <w:footnoteRef/>
      </w:r>
      <w:r>
        <w:t xml:space="preserve"> </w:t>
      </w:r>
      <w:proofErr w:type="spellStart"/>
      <w:r>
        <w:t>Herbst</w:t>
      </w:r>
      <w:proofErr w:type="spellEnd"/>
      <w:r>
        <w:t xml:space="preserve">, </w:t>
      </w:r>
      <w:r w:rsidRPr="00A4377C">
        <w:rPr>
          <w:rFonts w:cs="Calibri"/>
          <w:sz w:val="20"/>
          <w:szCs w:val="20"/>
          <w:lang w:val="en-US"/>
        </w:rPr>
        <w:t>«Observations on the Right to Withdraw from the European Union: Who are t</w:t>
      </w:r>
      <w:r w:rsidR="00D9069D">
        <w:rPr>
          <w:rFonts w:cs="Calibri"/>
          <w:sz w:val="20"/>
          <w:szCs w:val="20"/>
          <w:lang w:val="en-US"/>
        </w:rPr>
        <w:t>he “Masters of the Treaties”</w:t>
      </w:r>
      <w:proofErr w:type="gramStart"/>
      <w:r w:rsidR="00D9069D">
        <w:rPr>
          <w:rFonts w:cs="Calibri"/>
          <w:sz w:val="20"/>
          <w:szCs w:val="20"/>
          <w:lang w:val="en-US"/>
        </w:rPr>
        <w:t>?»</w:t>
      </w:r>
      <w:proofErr w:type="gramEnd"/>
      <w:r>
        <w:rPr>
          <w:rFonts w:cs="Calibri"/>
          <w:sz w:val="20"/>
          <w:szCs w:val="20"/>
          <w:lang w:val="en-US"/>
        </w:rPr>
        <w:t>, p. 1758.</w:t>
      </w:r>
    </w:p>
  </w:footnote>
  <w:footnote w:id="32">
    <w:p w:rsidR="007F01B1" w:rsidRPr="00D9069D" w:rsidRDefault="007F01B1" w:rsidP="007F01B1">
      <w:pPr>
        <w:spacing w:after="0" w:line="240" w:lineRule="auto"/>
        <w:jc w:val="both"/>
        <w:rPr>
          <w:rFonts w:asciiTheme="minorHAnsi" w:eastAsia="Times New Roman" w:hAnsiTheme="minorHAnsi" w:cs="Calibri"/>
          <w:sz w:val="20"/>
          <w:szCs w:val="20"/>
          <w:lang w:val="en-US" w:eastAsia="en-GB"/>
        </w:rPr>
      </w:pPr>
      <w:r w:rsidRPr="00D9069D">
        <w:rPr>
          <w:rStyle w:val="Refdenotaderodap"/>
          <w:sz w:val="20"/>
          <w:szCs w:val="20"/>
        </w:rPr>
        <w:footnoteRef/>
      </w:r>
      <w:r w:rsidRPr="00D9069D">
        <w:rPr>
          <w:sz w:val="20"/>
          <w:szCs w:val="20"/>
        </w:rPr>
        <w:t xml:space="preserve"> </w:t>
      </w:r>
      <w:proofErr w:type="spellStart"/>
      <w:r w:rsidR="0073150E" w:rsidRPr="00D9069D">
        <w:rPr>
          <w:sz w:val="20"/>
          <w:szCs w:val="20"/>
        </w:rPr>
        <w:t>See</w:t>
      </w:r>
      <w:proofErr w:type="spellEnd"/>
      <w:r w:rsidR="0073150E" w:rsidRPr="00D9069D">
        <w:rPr>
          <w:sz w:val="20"/>
          <w:szCs w:val="20"/>
        </w:rPr>
        <w:t xml:space="preserve"> </w:t>
      </w:r>
      <w:proofErr w:type="spellStart"/>
      <w:r w:rsidRPr="00D9069D">
        <w:rPr>
          <w:sz w:val="20"/>
          <w:szCs w:val="20"/>
        </w:rPr>
        <w:t>Friel</w:t>
      </w:r>
      <w:proofErr w:type="spellEnd"/>
      <w:r w:rsidRPr="00D9069D">
        <w:rPr>
          <w:sz w:val="20"/>
          <w:szCs w:val="20"/>
        </w:rPr>
        <w:t xml:space="preserve">, </w:t>
      </w:r>
      <w:r w:rsidRPr="00D9069D">
        <w:rPr>
          <w:rFonts w:asciiTheme="minorHAnsi" w:eastAsia="Times New Roman" w:hAnsiTheme="minorHAnsi" w:cs="Calibri"/>
          <w:sz w:val="20"/>
          <w:szCs w:val="20"/>
          <w:lang w:val="en-US" w:eastAsia="en-GB"/>
        </w:rPr>
        <w:t>«Secession from the European Union: Checking out of the</w:t>
      </w:r>
      <w:r w:rsidR="0073150E" w:rsidRPr="00D9069D">
        <w:rPr>
          <w:rFonts w:asciiTheme="minorHAnsi" w:eastAsia="Times New Roman" w:hAnsiTheme="minorHAnsi" w:cs="Calibri"/>
          <w:sz w:val="20"/>
          <w:szCs w:val="20"/>
          <w:lang w:val="en-US" w:eastAsia="en-GB"/>
        </w:rPr>
        <w:t xml:space="preserve"> Proverbial “Cockroach Motel”»</w:t>
      </w:r>
      <w:r w:rsidRPr="00D9069D">
        <w:rPr>
          <w:rFonts w:asciiTheme="minorHAnsi" w:eastAsia="Times New Roman" w:hAnsiTheme="minorHAnsi" w:cs="Calibri"/>
          <w:sz w:val="20"/>
          <w:szCs w:val="20"/>
          <w:lang w:val="en-US" w:eastAsia="en-GB"/>
        </w:rPr>
        <w:t>, p. 637.</w:t>
      </w:r>
    </w:p>
  </w:footnote>
  <w:footnote w:id="33">
    <w:p w:rsidR="007F01B1" w:rsidRPr="00D9069D" w:rsidRDefault="007F01B1" w:rsidP="00355049">
      <w:pPr>
        <w:spacing w:after="0" w:line="240" w:lineRule="auto"/>
        <w:jc w:val="both"/>
        <w:rPr>
          <w:rFonts w:asciiTheme="minorHAnsi" w:eastAsia="Times New Roman" w:hAnsiTheme="minorHAnsi" w:cs="Calibri"/>
          <w:sz w:val="20"/>
          <w:szCs w:val="20"/>
          <w:lang w:eastAsia="en-GB"/>
        </w:rPr>
      </w:pPr>
      <w:r w:rsidRPr="00D9069D">
        <w:rPr>
          <w:rStyle w:val="Refdenotaderodap"/>
          <w:sz w:val="20"/>
          <w:szCs w:val="20"/>
        </w:rPr>
        <w:footnoteRef/>
      </w:r>
      <w:r w:rsidRPr="00D9069D">
        <w:rPr>
          <w:sz w:val="20"/>
          <w:szCs w:val="20"/>
        </w:rPr>
        <w:t xml:space="preserve"> Louis, </w:t>
      </w:r>
      <w:r w:rsidRPr="00D9069D">
        <w:rPr>
          <w:rFonts w:asciiTheme="minorHAnsi" w:eastAsia="Times New Roman" w:hAnsiTheme="minorHAnsi" w:cs="Calibri"/>
          <w:sz w:val="20"/>
          <w:szCs w:val="20"/>
          <w:lang w:val="en-US" w:eastAsia="en-GB"/>
        </w:rPr>
        <w:t>«Le Droit de</w:t>
      </w:r>
      <w:r w:rsidR="00052A13">
        <w:rPr>
          <w:rFonts w:asciiTheme="minorHAnsi" w:eastAsia="Times New Roman" w:hAnsiTheme="minorHAnsi" w:cs="Calibri"/>
          <w:sz w:val="20"/>
          <w:szCs w:val="20"/>
          <w:lang w:val="en-US" w:eastAsia="en-GB"/>
        </w:rPr>
        <w:t xml:space="preserve"> </w:t>
      </w:r>
      <w:proofErr w:type="spellStart"/>
      <w:r w:rsidR="00052A13">
        <w:rPr>
          <w:rFonts w:asciiTheme="minorHAnsi" w:eastAsia="Times New Roman" w:hAnsiTheme="minorHAnsi" w:cs="Calibri"/>
          <w:sz w:val="20"/>
          <w:szCs w:val="20"/>
          <w:lang w:val="en-US" w:eastAsia="en-GB"/>
        </w:rPr>
        <w:t>Retrait</w:t>
      </w:r>
      <w:proofErr w:type="spellEnd"/>
      <w:r w:rsidR="00052A13">
        <w:rPr>
          <w:rFonts w:asciiTheme="minorHAnsi" w:eastAsia="Times New Roman" w:hAnsiTheme="minorHAnsi" w:cs="Calibri"/>
          <w:sz w:val="20"/>
          <w:szCs w:val="20"/>
          <w:lang w:val="en-US" w:eastAsia="en-GB"/>
        </w:rPr>
        <w:t xml:space="preserve"> de </w:t>
      </w:r>
      <w:proofErr w:type="spellStart"/>
      <w:r w:rsidR="00052A13">
        <w:rPr>
          <w:rFonts w:asciiTheme="minorHAnsi" w:eastAsia="Times New Roman" w:hAnsiTheme="minorHAnsi" w:cs="Calibri"/>
          <w:sz w:val="20"/>
          <w:szCs w:val="20"/>
          <w:lang w:val="en-US" w:eastAsia="en-GB"/>
        </w:rPr>
        <w:t>L’Union</w:t>
      </w:r>
      <w:proofErr w:type="spellEnd"/>
      <w:r w:rsidR="00052A13">
        <w:rPr>
          <w:rFonts w:asciiTheme="minorHAnsi" w:eastAsia="Times New Roman" w:hAnsiTheme="minorHAnsi" w:cs="Calibri"/>
          <w:sz w:val="20"/>
          <w:szCs w:val="20"/>
          <w:lang w:val="en-US" w:eastAsia="en-GB"/>
        </w:rPr>
        <w:t xml:space="preserve"> </w:t>
      </w:r>
      <w:proofErr w:type="spellStart"/>
      <w:r w:rsidR="00052A13">
        <w:rPr>
          <w:rFonts w:asciiTheme="minorHAnsi" w:eastAsia="Times New Roman" w:hAnsiTheme="minorHAnsi" w:cs="Calibri"/>
          <w:sz w:val="20"/>
          <w:szCs w:val="20"/>
          <w:lang w:val="en-US" w:eastAsia="en-GB"/>
        </w:rPr>
        <w:t>Européene</w:t>
      </w:r>
      <w:proofErr w:type="spellEnd"/>
      <w:r w:rsidR="00052A13">
        <w:rPr>
          <w:rFonts w:asciiTheme="minorHAnsi" w:eastAsia="Times New Roman" w:hAnsiTheme="minorHAnsi" w:cs="Calibri"/>
          <w:sz w:val="20"/>
          <w:szCs w:val="20"/>
          <w:lang w:val="en-US" w:eastAsia="en-GB"/>
        </w:rPr>
        <w:t>»,</w:t>
      </w:r>
      <w:r w:rsidRPr="00D9069D">
        <w:rPr>
          <w:rFonts w:asciiTheme="minorHAnsi" w:eastAsia="Times New Roman" w:hAnsiTheme="minorHAnsi" w:cs="Calibri"/>
          <w:sz w:val="20"/>
          <w:szCs w:val="20"/>
          <w:lang w:val="en-US" w:eastAsia="en-GB"/>
        </w:rPr>
        <w:t xml:space="preserve"> p. 308.</w:t>
      </w:r>
    </w:p>
  </w:footnote>
  <w:footnote w:id="34">
    <w:p w:rsidR="007F01B1" w:rsidRPr="00D9069D" w:rsidRDefault="007F01B1" w:rsidP="007F01B1">
      <w:pPr>
        <w:spacing w:after="0" w:line="240" w:lineRule="auto"/>
        <w:jc w:val="both"/>
        <w:rPr>
          <w:rFonts w:asciiTheme="minorHAnsi" w:eastAsia="Times New Roman" w:hAnsiTheme="minorHAnsi" w:cs="Calibri"/>
          <w:sz w:val="20"/>
          <w:szCs w:val="20"/>
          <w:lang w:eastAsia="en-GB"/>
        </w:rPr>
      </w:pPr>
      <w:r w:rsidRPr="00D9069D">
        <w:rPr>
          <w:rStyle w:val="Refdenotaderodap"/>
          <w:sz w:val="20"/>
          <w:szCs w:val="20"/>
        </w:rPr>
        <w:footnoteRef/>
      </w:r>
      <w:r w:rsidRPr="00D9069D">
        <w:rPr>
          <w:sz w:val="20"/>
          <w:szCs w:val="20"/>
        </w:rPr>
        <w:t xml:space="preserve"> </w:t>
      </w:r>
      <w:proofErr w:type="spellStart"/>
      <w:r w:rsidRPr="00D9069D">
        <w:rPr>
          <w:sz w:val="20"/>
          <w:szCs w:val="20"/>
        </w:rPr>
        <w:t>See</w:t>
      </w:r>
      <w:proofErr w:type="spellEnd"/>
      <w:r w:rsidRPr="00D9069D">
        <w:rPr>
          <w:sz w:val="20"/>
          <w:szCs w:val="20"/>
        </w:rPr>
        <w:t xml:space="preserve"> Alan </w:t>
      </w:r>
      <w:proofErr w:type="spellStart"/>
      <w:r w:rsidRPr="00D9069D">
        <w:rPr>
          <w:sz w:val="20"/>
          <w:szCs w:val="20"/>
        </w:rPr>
        <w:t>Tatham</w:t>
      </w:r>
      <w:proofErr w:type="spellEnd"/>
      <w:r w:rsidRPr="00D9069D">
        <w:rPr>
          <w:sz w:val="20"/>
          <w:szCs w:val="20"/>
        </w:rPr>
        <w:t xml:space="preserve">, </w:t>
      </w:r>
      <w:r w:rsidRPr="00D9069D">
        <w:rPr>
          <w:rFonts w:asciiTheme="minorHAnsi" w:eastAsia="Times New Roman" w:hAnsiTheme="minorHAnsi" w:cs="Calibri"/>
          <w:sz w:val="20"/>
          <w:szCs w:val="20"/>
          <w:lang w:val="en-US" w:eastAsia="en-GB"/>
        </w:rPr>
        <w:t>«Don´t mention Divorce at the Wedding: Darling</w:t>
      </w:r>
      <w:proofErr w:type="gramStart"/>
      <w:r w:rsidRPr="00D9069D">
        <w:rPr>
          <w:rFonts w:asciiTheme="minorHAnsi" w:eastAsia="Times New Roman" w:hAnsiTheme="minorHAnsi" w:cs="Calibri"/>
          <w:sz w:val="20"/>
          <w:szCs w:val="20"/>
          <w:lang w:val="en-US" w:eastAsia="en-GB"/>
        </w:rPr>
        <w:t>!:</w:t>
      </w:r>
      <w:proofErr w:type="gramEnd"/>
      <w:r w:rsidRPr="00D9069D">
        <w:rPr>
          <w:rFonts w:asciiTheme="minorHAnsi" w:eastAsia="Times New Roman" w:hAnsiTheme="minorHAnsi" w:cs="Calibri"/>
          <w:sz w:val="20"/>
          <w:szCs w:val="20"/>
          <w:lang w:val="en-US" w:eastAsia="en-GB"/>
        </w:rPr>
        <w:t xml:space="preserve"> EU Accession and Withdrawal after Lisbon» in </w:t>
      </w:r>
      <w:r w:rsidRPr="00D9069D">
        <w:rPr>
          <w:rFonts w:asciiTheme="minorHAnsi" w:eastAsia="Times New Roman" w:hAnsiTheme="minorHAnsi" w:cs="Calibri"/>
          <w:i/>
          <w:sz w:val="20"/>
          <w:szCs w:val="20"/>
          <w:lang w:val="en-US" w:eastAsia="en-GB"/>
        </w:rPr>
        <w:t>EU Law After Lisbon</w:t>
      </w:r>
      <w:r w:rsidRPr="00D9069D">
        <w:rPr>
          <w:rFonts w:asciiTheme="minorHAnsi" w:eastAsia="Times New Roman" w:hAnsiTheme="minorHAnsi" w:cs="Calibri"/>
          <w:sz w:val="20"/>
          <w:szCs w:val="20"/>
          <w:lang w:val="en-US" w:eastAsia="en-GB"/>
        </w:rPr>
        <w:t xml:space="preserve"> edited by Andrea Biondi, Piet </w:t>
      </w:r>
      <w:proofErr w:type="spellStart"/>
      <w:r w:rsidRPr="00D9069D">
        <w:rPr>
          <w:rFonts w:asciiTheme="minorHAnsi" w:eastAsia="Times New Roman" w:hAnsiTheme="minorHAnsi" w:cs="Calibri"/>
          <w:sz w:val="20"/>
          <w:szCs w:val="20"/>
          <w:lang w:val="en-US" w:eastAsia="en-GB"/>
        </w:rPr>
        <w:t>Eeckhout</w:t>
      </w:r>
      <w:proofErr w:type="spellEnd"/>
      <w:r w:rsidRPr="00D9069D">
        <w:rPr>
          <w:rFonts w:asciiTheme="minorHAnsi" w:eastAsia="Times New Roman" w:hAnsiTheme="minorHAnsi" w:cs="Calibri"/>
          <w:sz w:val="20"/>
          <w:szCs w:val="20"/>
          <w:lang w:val="en-US" w:eastAsia="en-GB"/>
        </w:rPr>
        <w:t xml:space="preserve"> and Stefanie Ripley, Oxford: Oxford University Press, 2012, p. 151 and 152.</w:t>
      </w:r>
    </w:p>
  </w:footnote>
  <w:footnote w:id="35">
    <w:p w:rsidR="007F01B1" w:rsidRPr="00D9069D" w:rsidRDefault="007F01B1" w:rsidP="007F01B1">
      <w:pPr>
        <w:spacing w:after="0" w:line="240" w:lineRule="auto"/>
        <w:jc w:val="both"/>
        <w:rPr>
          <w:rFonts w:asciiTheme="minorHAnsi" w:eastAsia="Times New Roman" w:hAnsiTheme="minorHAnsi" w:cs="Calibri"/>
          <w:sz w:val="20"/>
          <w:szCs w:val="20"/>
          <w:lang w:eastAsia="en-GB"/>
        </w:rPr>
      </w:pPr>
      <w:r w:rsidRPr="00D9069D">
        <w:rPr>
          <w:rStyle w:val="Refdenotaderodap"/>
          <w:sz w:val="20"/>
          <w:szCs w:val="20"/>
        </w:rPr>
        <w:footnoteRef/>
      </w:r>
      <w:r w:rsidRPr="00D9069D">
        <w:rPr>
          <w:sz w:val="20"/>
          <w:szCs w:val="20"/>
        </w:rPr>
        <w:t xml:space="preserve"> </w:t>
      </w:r>
      <w:proofErr w:type="spellStart"/>
      <w:r w:rsidRPr="00D9069D">
        <w:rPr>
          <w:sz w:val="20"/>
          <w:szCs w:val="20"/>
        </w:rPr>
        <w:t>Friel</w:t>
      </w:r>
      <w:proofErr w:type="spellEnd"/>
      <w:r w:rsidRPr="00D9069D">
        <w:rPr>
          <w:sz w:val="20"/>
          <w:szCs w:val="20"/>
        </w:rPr>
        <w:t>,</w:t>
      </w:r>
      <w:r w:rsidRPr="00D9069D">
        <w:rPr>
          <w:rFonts w:asciiTheme="minorHAnsi" w:eastAsia="Times New Roman" w:hAnsiTheme="minorHAnsi" w:cs="Calibri"/>
          <w:sz w:val="20"/>
          <w:szCs w:val="20"/>
          <w:lang w:val="en-US" w:eastAsia="en-GB"/>
        </w:rPr>
        <w:t xml:space="preserve"> «Providing a Constitutional Framework for Withdrawal from the EU: Article 59 of th</w:t>
      </w:r>
      <w:r w:rsidR="00D9069D">
        <w:rPr>
          <w:rFonts w:asciiTheme="minorHAnsi" w:eastAsia="Times New Roman" w:hAnsiTheme="minorHAnsi" w:cs="Calibri"/>
          <w:sz w:val="20"/>
          <w:szCs w:val="20"/>
          <w:lang w:val="en-US" w:eastAsia="en-GB"/>
        </w:rPr>
        <w:t>e Draft European Constitution»</w:t>
      </w:r>
      <w:r w:rsidRPr="00D9069D">
        <w:rPr>
          <w:rFonts w:asciiTheme="minorHAnsi" w:eastAsia="Times New Roman" w:hAnsiTheme="minorHAnsi" w:cs="Calibri"/>
          <w:sz w:val="20"/>
          <w:szCs w:val="20"/>
          <w:lang w:val="en-US" w:eastAsia="en-GB"/>
        </w:rPr>
        <w:t>, p. 426.</w:t>
      </w:r>
    </w:p>
  </w:footnote>
  <w:footnote w:id="36">
    <w:p w:rsidR="007F01B1" w:rsidRPr="00D9069D" w:rsidRDefault="007F01B1" w:rsidP="007F01B1">
      <w:pPr>
        <w:spacing w:after="0" w:line="240" w:lineRule="auto"/>
        <w:jc w:val="both"/>
        <w:rPr>
          <w:rFonts w:asciiTheme="minorHAnsi" w:eastAsia="Times New Roman" w:hAnsiTheme="minorHAnsi" w:cs="Calibri"/>
          <w:sz w:val="20"/>
          <w:szCs w:val="20"/>
          <w:lang w:eastAsia="en-GB"/>
        </w:rPr>
      </w:pPr>
      <w:r w:rsidRPr="00D9069D">
        <w:rPr>
          <w:rStyle w:val="Refdenotaderodap"/>
          <w:sz w:val="20"/>
          <w:szCs w:val="20"/>
        </w:rPr>
        <w:footnoteRef/>
      </w:r>
      <w:r w:rsidRPr="00D9069D">
        <w:rPr>
          <w:sz w:val="20"/>
          <w:szCs w:val="20"/>
        </w:rPr>
        <w:t xml:space="preserve"> Louis, </w:t>
      </w:r>
      <w:r w:rsidRPr="00D9069D">
        <w:rPr>
          <w:rFonts w:asciiTheme="minorHAnsi" w:eastAsia="Times New Roman" w:hAnsiTheme="minorHAnsi" w:cs="Calibri"/>
          <w:sz w:val="20"/>
          <w:szCs w:val="20"/>
          <w:lang w:val="en-US" w:eastAsia="en-GB"/>
        </w:rPr>
        <w:t>«Le Droit de</w:t>
      </w:r>
      <w:r w:rsidR="0073150E" w:rsidRPr="00D9069D">
        <w:rPr>
          <w:rFonts w:asciiTheme="minorHAnsi" w:eastAsia="Times New Roman" w:hAnsiTheme="minorHAnsi" w:cs="Calibri"/>
          <w:sz w:val="20"/>
          <w:szCs w:val="20"/>
          <w:lang w:val="en-US" w:eastAsia="en-GB"/>
        </w:rPr>
        <w:t xml:space="preserve"> </w:t>
      </w:r>
      <w:proofErr w:type="spellStart"/>
      <w:r w:rsidR="0073150E" w:rsidRPr="00D9069D">
        <w:rPr>
          <w:rFonts w:asciiTheme="minorHAnsi" w:eastAsia="Times New Roman" w:hAnsiTheme="minorHAnsi" w:cs="Calibri"/>
          <w:sz w:val="20"/>
          <w:szCs w:val="20"/>
          <w:lang w:val="en-US" w:eastAsia="en-GB"/>
        </w:rPr>
        <w:t>Retrait</w:t>
      </w:r>
      <w:proofErr w:type="spellEnd"/>
      <w:r w:rsidR="0073150E" w:rsidRPr="00D9069D">
        <w:rPr>
          <w:rFonts w:asciiTheme="minorHAnsi" w:eastAsia="Times New Roman" w:hAnsiTheme="minorHAnsi" w:cs="Calibri"/>
          <w:sz w:val="20"/>
          <w:szCs w:val="20"/>
          <w:lang w:val="en-US" w:eastAsia="en-GB"/>
        </w:rPr>
        <w:t xml:space="preserve"> de </w:t>
      </w:r>
      <w:proofErr w:type="spellStart"/>
      <w:r w:rsidR="0073150E" w:rsidRPr="00D9069D">
        <w:rPr>
          <w:rFonts w:asciiTheme="minorHAnsi" w:eastAsia="Times New Roman" w:hAnsiTheme="minorHAnsi" w:cs="Calibri"/>
          <w:sz w:val="20"/>
          <w:szCs w:val="20"/>
          <w:lang w:val="en-US" w:eastAsia="en-GB"/>
        </w:rPr>
        <w:t>L’Union</w:t>
      </w:r>
      <w:proofErr w:type="spellEnd"/>
      <w:r w:rsidR="0073150E" w:rsidRPr="00D9069D">
        <w:rPr>
          <w:rFonts w:asciiTheme="minorHAnsi" w:eastAsia="Times New Roman" w:hAnsiTheme="minorHAnsi" w:cs="Calibri"/>
          <w:sz w:val="20"/>
          <w:szCs w:val="20"/>
          <w:lang w:val="en-US" w:eastAsia="en-GB"/>
        </w:rPr>
        <w:t xml:space="preserve"> </w:t>
      </w:r>
      <w:proofErr w:type="spellStart"/>
      <w:r w:rsidR="0073150E" w:rsidRPr="00D9069D">
        <w:rPr>
          <w:rFonts w:asciiTheme="minorHAnsi" w:eastAsia="Times New Roman" w:hAnsiTheme="minorHAnsi" w:cs="Calibri"/>
          <w:sz w:val="20"/>
          <w:szCs w:val="20"/>
          <w:lang w:val="en-US" w:eastAsia="en-GB"/>
        </w:rPr>
        <w:t>Européene</w:t>
      </w:r>
      <w:proofErr w:type="spellEnd"/>
      <w:r w:rsidR="0073150E" w:rsidRPr="00D9069D">
        <w:rPr>
          <w:rFonts w:asciiTheme="minorHAnsi" w:eastAsia="Times New Roman" w:hAnsiTheme="minorHAnsi" w:cs="Calibri"/>
          <w:sz w:val="20"/>
          <w:szCs w:val="20"/>
          <w:lang w:val="en-US" w:eastAsia="en-GB"/>
        </w:rPr>
        <w:t xml:space="preserve">», </w:t>
      </w:r>
      <w:r w:rsidRPr="00D9069D">
        <w:rPr>
          <w:rFonts w:asciiTheme="minorHAnsi" w:eastAsia="Times New Roman" w:hAnsiTheme="minorHAnsi" w:cs="Calibri"/>
          <w:sz w:val="20"/>
          <w:szCs w:val="20"/>
          <w:lang w:val="en-US" w:eastAsia="en-GB"/>
        </w:rPr>
        <w:t>p. 30</w:t>
      </w:r>
      <w:r w:rsidR="003C0382" w:rsidRPr="00D9069D">
        <w:rPr>
          <w:rFonts w:asciiTheme="minorHAnsi" w:eastAsia="Times New Roman" w:hAnsiTheme="minorHAnsi" w:cs="Calibri"/>
          <w:sz w:val="20"/>
          <w:szCs w:val="20"/>
          <w:lang w:val="en-US" w:eastAsia="en-GB"/>
        </w:rPr>
        <w:t>8.</w:t>
      </w:r>
    </w:p>
  </w:footnote>
  <w:footnote w:id="37">
    <w:p w:rsidR="003C0382" w:rsidRPr="003C0382" w:rsidRDefault="003C0382" w:rsidP="003C0382">
      <w:pPr>
        <w:spacing w:after="0" w:line="240" w:lineRule="auto"/>
        <w:jc w:val="both"/>
        <w:rPr>
          <w:rFonts w:asciiTheme="minorHAnsi" w:eastAsia="Times New Roman" w:hAnsiTheme="minorHAnsi" w:cs="Calibri"/>
          <w:sz w:val="20"/>
          <w:szCs w:val="20"/>
          <w:lang w:eastAsia="en-GB"/>
        </w:rPr>
      </w:pPr>
      <w:r w:rsidRPr="003C0382">
        <w:rPr>
          <w:rStyle w:val="Refdenotaderodap"/>
          <w:sz w:val="20"/>
          <w:szCs w:val="20"/>
        </w:rPr>
        <w:footnoteRef/>
      </w:r>
      <w:r w:rsidRPr="003C0382">
        <w:rPr>
          <w:sz w:val="20"/>
          <w:szCs w:val="20"/>
        </w:rPr>
        <w:t xml:space="preserve"> </w:t>
      </w:r>
      <w:proofErr w:type="spellStart"/>
      <w:r w:rsidRPr="003C0382">
        <w:rPr>
          <w:sz w:val="20"/>
          <w:szCs w:val="20"/>
        </w:rPr>
        <w:t>Dougan</w:t>
      </w:r>
      <w:proofErr w:type="spellEnd"/>
      <w:r w:rsidRPr="003C0382">
        <w:rPr>
          <w:sz w:val="20"/>
          <w:szCs w:val="20"/>
        </w:rPr>
        <w:t>, Michael,</w:t>
      </w:r>
      <w:r w:rsidRPr="003C0382">
        <w:rPr>
          <w:rFonts w:asciiTheme="minorHAnsi" w:eastAsia="Times New Roman" w:hAnsiTheme="minorHAnsi" w:cs="Calibri"/>
          <w:sz w:val="20"/>
          <w:szCs w:val="20"/>
          <w:lang w:eastAsia="en-GB"/>
        </w:rPr>
        <w:t xml:space="preserve"> «</w:t>
      </w:r>
      <w:proofErr w:type="spellStart"/>
      <w:r w:rsidRPr="003C0382">
        <w:rPr>
          <w:rFonts w:asciiTheme="minorHAnsi" w:eastAsia="Times New Roman" w:hAnsiTheme="minorHAnsi" w:cs="Calibri"/>
          <w:sz w:val="20"/>
          <w:szCs w:val="20"/>
          <w:lang w:eastAsia="en-GB"/>
        </w:rPr>
        <w:t>The</w:t>
      </w:r>
      <w:proofErr w:type="spellEnd"/>
      <w:r w:rsidRPr="003C0382">
        <w:rPr>
          <w:rFonts w:asciiTheme="minorHAnsi" w:eastAsia="Times New Roman" w:hAnsiTheme="minorHAnsi" w:cs="Calibri"/>
          <w:sz w:val="20"/>
          <w:szCs w:val="20"/>
          <w:lang w:eastAsia="en-GB"/>
        </w:rPr>
        <w:t xml:space="preserve"> </w:t>
      </w:r>
      <w:proofErr w:type="spellStart"/>
      <w:r w:rsidRPr="003C0382">
        <w:rPr>
          <w:rFonts w:asciiTheme="minorHAnsi" w:eastAsia="Times New Roman" w:hAnsiTheme="minorHAnsi" w:cs="Calibri"/>
          <w:sz w:val="20"/>
          <w:szCs w:val="20"/>
          <w:lang w:eastAsia="en-GB"/>
        </w:rPr>
        <w:t>Treaty</w:t>
      </w:r>
      <w:proofErr w:type="spellEnd"/>
      <w:r w:rsidRPr="003C0382">
        <w:rPr>
          <w:rFonts w:asciiTheme="minorHAnsi" w:eastAsia="Times New Roman" w:hAnsiTheme="minorHAnsi" w:cs="Calibri"/>
          <w:sz w:val="20"/>
          <w:szCs w:val="20"/>
          <w:lang w:eastAsia="en-GB"/>
        </w:rPr>
        <w:t xml:space="preserve"> </w:t>
      </w:r>
      <w:proofErr w:type="spellStart"/>
      <w:r w:rsidRPr="003C0382">
        <w:rPr>
          <w:rFonts w:asciiTheme="minorHAnsi" w:eastAsia="Times New Roman" w:hAnsiTheme="minorHAnsi" w:cs="Calibri"/>
          <w:sz w:val="20"/>
          <w:szCs w:val="20"/>
          <w:lang w:eastAsia="en-GB"/>
        </w:rPr>
        <w:t>of</w:t>
      </w:r>
      <w:proofErr w:type="spellEnd"/>
      <w:r w:rsidRPr="003C0382">
        <w:rPr>
          <w:rFonts w:asciiTheme="minorHAnsi" w:eastAsia="Times New Roman" w:hAnsiTheme="minorHAnsi" w:cs="Calibri"/>
          <w:sz w:val="20"/>
          <w:szCs w:val="20"/>
          <w:lang w:eastAsia="en-GB"/>
        </w:rPr>
        <w:t xml:space="preserve"> </w:t>
      </w:r>
      <w:proofErr w:type="spellStart"/>
      <w:r w:rsidRPr="003C0382">
        <w:rPr>
          <w:rFonts w:asciiTheme="minorHAnsi" w:eastAsia="Times New Roman" w:hAnsiTheme="minorHAnsi" w:cs="Calibri"/>
          <w:sz w:val="20"/>
          <w:szCs w:val="20"/>
          <w:lang w:eastAsia="en-GB"/>
        </w:rPr>
        <w:t>Lisbon</w:t>
      </w:r>
      <w:proofErr w:type="spellEnd"/>
      <w:r w:rsidRPr="003C0382">
        <w:rPr>
          <w:rFonts w:asciiTheme="minorHAnsi" w:eastAsia="Times New Roman" w:hAnsiTheme="minorHAnsi" w:cs="Calibri"/>
          <w:sz w:val="20"/>
          <w:szCs w:val="20"/>
          <w:lang w:eastAsia="en-GB"/>
        </w:rPr>
        <w:t xml:space="preserve"> 2007: </w:t>
      </w:r>
      <w:proofErr w:type="spellStart"/>
      <w:r w:rsidRPr="003C0382">
        <w:rPr>
          <w:rFonts w:asciiTheme="minorHAnsi" w:eastAsia="Times New Roman" w:hAnsiTheme="minorHAnsi" w:cs="Calibri"/>
          <w:sz w:val="20"/>
          <w:szCs w:val="20"/>
          <w:lang w:eastAsia="en-GB"/>
        </w:rPr>
        <w:t>Winning</w:t>
      </w:r>
      <w:proofErr w:type="spellEnd"/>
      <w:r w:rsidRPr="003C0382">
        <w:rPr>
          <w:rFonts w:asciiTheme="minorHAnsi" w:eastAsia="Times New Roman" w:hAnsiTheme="minorHAnsi" w:cs="Calibri"/>
          <w:sz w:val="20"/>
          <w:szCs w:val="20"/>
          <w:lang w:eastAsia="en-GB"/>
        </w:rPr>
        <w:t xml:space="preserve"> </w:t>
      </w:r>
      <w:proofErr w:type="spellStart"/>
      <w:r w:rsidRPr="003C0382">
        <w:rPr>
          <w:rFonts w:asciiTheme="minorHAnsi" w:eastAsia="Times New Roman" w:hAnsiTheme="minorHAnsi" w:cs="Calibri"/>
          <w:sz w:val="20"/>
          <w:szCs w:val="20"/>
          <w:lang w:eastAsia="en-GB"/>
        </w:rPr>
        <w:t>Minds</w:t>
      </w:r>
      <w:proofErr w:type="spellEnd"/>
      <w:r w:rsidRPr="003C0382">
        <w:rPr>
          <w:rFonts w:asciiTheme="minorHAnsi" w:eastAsia="Times New Roman" w:hAnsiTheme="minorHAnsi" w:cs="Calibri"/>
          <w:sz w:val="20"/>
          <w:szCs w:val="20"/>
          <w:lang w:eastAsia="en-GB"/>
        </w:rPr>
        <w:t xml:space="preserve">, </w:t>
      </w:r>
      <w:proofErr w:type="spellStart"/>
      <w:r w:rsidRPr="003C0382">
        <w:rPr>
          <w:rFonts w:asciiTheme="minorHAnsi" w:eastAsia="Times New Roman" w:hAnsiTheme="minorHAnsi" w:cs="Calibri"/>
          <w:sz w:val="20"/>
          <w:szCs w:val="20"/>
          <w:lang w:eastAsia="en-GB"/>
        </w:rPr>
        <w:t>not</w:t>
      </w:r>
      <w:proofErr w:type="spellEnd"/>
      <w:r w:rsidRPr="003C0382">
        <w:rPr>
          <w:rFonts w:asciiTheme="minorHAnsi" w:eastAsia="Times New Roman" w:hAnsiTheme="minorHAnsi" w:cs="Calibri"/>
          <w:sz w:val="20"/>
          <w:szCs w:val="20"/>
          <w:lang w:eastAsia="en-GB"/>
        </w:rPr>
        <w:t xml:space="preserve"> </w:t>
      </w:r>
      <w:proofErr w:type="spellStart"/>
      <w:r w:rsidRPr="003C0382">
        <w:rPr>
          <w:rFonts w:asciiTheme="minorHAnsi" w:eastAsia="Times New Roman" w:hAnsiTheme="minorHAnsi" w:cs="Calibri"/>
          <w:sz w:val="20"/>
          <w:szCs w:val="20"/>
          <w:lang w:eastAsia="en-GB"/>
        </w:rPr>
        <w:t>Hearts</w:t>
      </w:r>
      <w:proofErr w:type="spellEnd"/>
      <w:r w:rsidRPr="003C0382">
        <w:rPr>
          <w:rFonts w:asciiTheme="minorHAnsi" w:eastAsia="Times New Roman" w:hAnsiTheme="minorHAnsi" w:cs="Calibri"/>
          <w:sz w:val="20"/>
          <w:szCs w:val="20"/>
          <w:lang w:eastAsia="en-GB"/>
        </w:rPr>
        <w:t xml:space="preserve">», </w:t>
      </w:r>
      <w:proofErr w:type="spellStart"/>
      <w:r w:rsidR="00FE75FB">
        <w:rPr>
          <w:rFonts w:asciiTheme="minorHAnsi" w:eastAsia="Times New Roman" w:hAnsiTheme="minorHAnsi" w:cs="Calibri"/>
          <w:i/>
          <w:sz w:val="20"/>
          <w:szCs w:val="20"/>
          <w:lang w:eastAsia="en-GB"/>
        </w:rPr>
        <w:t>Common</w:t>
      </w:r>
      <w:proofErr w:type="spellEnd"/>
      <w:r w:rsidR="00FE75FB">
        <w:rPr>
          <w:rFonts w:asciiTheme="minorHAnsi" w:eastAsia="Times New Roman" w:hAnsiTheme="minorHAnsi" w:cs="Calibri"/>
          <w:i/>
          <w:sz w:val="20"/>
          <w:szCs w:val="20"/>
          <w:lang w:eastAsia="en-GB"/>
        </w:rPr>
        <w:t xml:space="preserve"> </w:t>
      </w:r>
      <w:proofErr w:type="spellStart"/>
      <w:r w:rsidR="00FE75FB">
        <w:rPr>
          <w:rFonts w:asciiTheme="minorHAnsi" w:eastAsia="Times New Roman" w:hAnsiTheme="minorHAnsi" w:cs="Calibri"/>
          <w:i/>
          <w:sz w:val="20"/>
          <w:szCs w:val="20"/>
          <w:lang w:eastAsia="en-GB"/>
        </w:rPr>
        <w:t>Market</w:t>
      </w:r>
      <w:proofErr w:type="spellEnd"/>
      <w:r w:rsidR="00FE75FB">
        <w:rPr>
          <w:rFonts w:asciiTheme="minorHAnsi" w:eastAsia="Times New Roman" w:hAnsiTheme="minorHAnsi" w:cs="Calibri"/>
          <w:i/>
          <w:sz w:val="20"/>
          <w:szCs w:val="20"/>
          <w:lang w:eastAsia="en-GB"/>
        </w:rPr>
        <w:t xml:space="preserve"> </w:t>
      </w:r>
      <w:proofErr w:type="spellStart"/>
      <w:r w:rsidR="00FE75FB">
        <w:rPr>
          <w:rFonts w:asciiTheme="minorHAnsi" w:eastAsia="Times New Roman" w:hAnsiTheme="minorHAnsi" w:cs="Calibri"/>
          <w:i/>
          <w:sz w:val="20"/>
          <w:szCs w:val="20"/>
          <w:lang w:eastAsia="en-GB"/>
        </w:rPr>
        <w:t>Law</w:t>
      </w:r>
      <w:proofErr w:type="spellEnd"/>
      <w:r w:rsidR="00FE75FB">
        <w:rPr>
          <w:rFonts w:asciiTheme="minorHAnsi" w:eastAsia="Times New Roman" w:hAnsiTheme="minorHAnsi" w:cs="Calibri"/>
          <w:i/>
          <w:sz w:val="20"/>
          <w:szCs w:val="20"/>
          <w:lang w:eastAsia="en-GB"/>
        </w:rPr>
        <w:t xml:space="preserve"> </w:t>
      </w:r>
      <w:proofErr w:type="spellStart"/>
      <w:r w:rsidR="00FE75FB">
        <w:rPr>
          <w:rFonts w:asciiTheme="minorHAnsi" w:eastAsia="Times New Roman" w:hAnsiTheme="minorHAnsi" w:cs="Calibri"/>
          <w:i/>
          <w:sz w:val="20"/>
          <w:szCs w:val="20"/>
          <w:lang w:eastAsia="en-GB"/>
        </w:rPr>
        <w:t>Review</w:t>
      </w:r>
      <w:proofErr w:type="spellEnd"/>
      <w:r w:rsidRPr="003C0382">
        <w:rPr>
          <w:rFonts w:asciiTheme="minorHAnsi" w:eastAsia="Times New Roman" w:hAnsiTheme="minorHAnsi" w:cs="Calibri"/>
          <w:i/>
          <w:sz w:val="20"/>
          <w:szCs w:val="20"/>
          <w:lang w:eastAsia="en-GB"/>
        </w:rPr>
        <w:t xml:space="preserve"> </w:t>
      </w:r>
      <w:r w:rsidRPr="003C0382">
        <w:rPr>
          <w:rFonts w:asciiTheme="minorHAnsi" w:eastAsia="Times New Roman" w:hAnsiTheme="minorHAnsi" w:cs="Calibri"/>
          <w:sz w:val="20"/>
          <w:szCs w:val="20"/>
          <w:lang w:eastAsia="en-GB"/>
        </w:rPr>
        <w:t xml:space="preserve">45 </w:t>
      </w:r>
      <w:r w:rsidR="00997BBD">
        <w:rPr>
          <w:rFonts w:asciiTheme="minorHAnsi" w:eastAsia="Times New Roman" w:hAnsiTheme="minorHAnsi" w:cs="Calibri"/>
          <w:sz w:val="20"/>
          <w:szCs w:val="20"/>
          <w:lang w:eastAsia="en-GB"/>
        </w:rPr>
        <w:t>(2008), p. 688.</w:t>
      </w:r>
    </w:p>
  </w:footnote>
  <w:footnote w:id="38">
    <w:p w:rsidR="003C0382" w:rsidRPr="003C0382" w:rsidRDefault="003C0382" w:rsidP="003C0382">
      <w:pPr>
        <w:pStyle w:val="Textodenotaderodap"/>
        <w:jc w:val="both"/>
      </w:pPr>
      <w:r w:rsidRPr="003C0382">
        <w:rPr>
          <w:rStyle w:val="Refdenotaderodap"/>
        </w:rPr>
        <w:footnoteRef/>
      </w:r>
      <w:r w:rsidRPr="003C0382">
        <w:t xml:space="preserve"> </w:t>
      </w:r>
      <w:proofErr w:type="spellStart"/>
      <w:r w:rsidRPr="003C0382">
        <w:t>See</w:t>
      </w:r>
      <w:proofErr w:type="spellEnd"/>
      <w:r w:rsidRPr="003C0382">
        <w:t xml:space="preserve"> </w:t>
      </w:r>
      <w:proofErr w:type="spellStart"/>
      <w:r w:rsidRPr="003C0382">
        <w:t>Ladowski</w:t>
      </w:r>
      <w:proofErr w:type="spellEnd"/>
      <w:r w:rsidRPr="003C0382">
        <w:t xml:space="preserve">, </w:t>
      </w:r>
      <w:r w:rsidRPr="003C0382">
        <w:rPr>
          <w:rFonts w:cs="Calibri"/>
          <w:lang w:val="en-US"/>
        </w:rPr>
        <w:t>«Withdrawal from the European Union and alternatives to membe</w:t>
      </w:r>
      <w:r w:rsidR="00997BBD">
        <w:rPr>
          <w:rFonts w:cs="Calibri"/>
          <w:lang w:val="en-US"/>
        </w:rPr>
        <w:t>rship», p. 531.</w:t>
      </w:r>
    </w:p>
  </w:footnote>
  <w:footnote w:id="39">
    <w:p w:rsidR="003C0382" w:rsidRPr="00FF237C" w:rsidRDefault="003C0382" w:rsidP="00FF237C">
      <w:pPr>
        <w:spacing w:after="0" w:line="240" w:lineRule="auto"/>
        <w:jc w:val="both"/>
        <w:rPr>
          <w:rFonts w:asciiTheme="minorHAnsi" w:eastAsia="Times New Roman" w:hAnsiTheme="minorHAnsi" w:cs="Calibri"/>
          <w:sz w:val="20"/>
          <w:szCs w:val="20"/>
          <w:lang w:eastAsia="en-GB"/>
        </w:rPr>
      </w:pPr>
      <w:r w:rsidRPr="003C0382">
        <w:rPr>
          <w:rStyle w:val="Refdenotaderodap"/>
          <w:sz w:val="20"/>
          <w:szCs w:val="20"/>
        </w:rPr>
        <w:footnoteRef/>
      </w:r>
      <w:r w:rsidRPr="003C0382">
        <w:rPr>
          <w:sz w:val="20"/>
          <w:szCs w:val="20"/>
        </w:rPr>
        <w:t xml:space="preserve"> </w:t>
      </w:r>
      <w:proofErr w:type="spellStart"/>
      <w:r w:rsidRPr="003C0382">
        <w:rPr>
          <w:sz w:val="20"/>
          <w:szCs w:val="20"/>
        </w:rPr>
        <w:t>See</w:t>
      </w:r>
      <w:proofErr w:type="spellEnd"/>
      <w:r w:rsidRPr="003C0382">
        <w:rPr>
          <w:sz w:val="20"/>
          <w:szCs w:val="20"/>
        </w:rPr>
        <w:t xml:space="preserve"> </w:t>
      </w:r>
      <w:proofErr w:type="spellStart"/>
      <w:r w:rsidRPr="003C0382">
        <w:rPr>
          <w:sz w:val="20"/>
          <w:szCs w:val="20"/>
        </w:rPr>
        <w:t>Friel</w:t>
      </w:r>
      <w:proofErr w:type="spellEnd"/>
      <w:r w:rsidRPr="003C0382">
        <w:rPr>
          <w:sz w:val="20"/>
          <w:szCs w:val="20"/>
        </w:rPr>
        <w:t xml:space="preserve">, </w:t>
      </w:r>
      <w:r w:rsidRPr="003C0382">
        <w:rPr>
          <w:rFonts w:asciiTheme="minorHAnsi" w:eastAsia="Times New Roman" w:hAnsiTheme="minorHAnsi" w:cs="Calibri"/>
          <w:sz w:val="20"/>
          <w:szCs w:val="20"/>
          <w:lang w:val="en-US" w:eastAsia="en-GB"/>
        </w:rPr>
        <w:t>«Providing a Constitutional Framework for Withdrawal from the EU: Article 59 of the Draft European Constitution»,</w:t>
      </w:r>
      <w:r>
        <w:rPr>
          <w:rFonts w:asciiTheme="minorHAnsi" w:eastAsia="Times New Roman" w:hAnsiTheme="minorHAnsi" w:cs="Calibri"/>
          <w:sz w:val="20"/>
          <w:szCs w:val="20"/>
          <w:lang w:val="en-US" w:eastAsia="en-GB"/>
        </w:rPr>
        <w:t xml:space="preserve"> p. 425.</w:t>
      </w:r>
    </w:p>
  </w:footnote>
  <w:footnote w:id="40">
    <w:p w:rsidR="003C0382" w:rsidRPr="00BF13DA" w:rsidRDefault="003C0382" w:rsidP="00BF13DA">
      <w:pPr>
        <w:spacing w:after="0" w:line="240" w:lineRule="auto"/>
        <w:jc w:val="both"/>
        <w:rPr>
          <w:rFonts w:asciiTheme="minorHAnsi" w:eastAsia="Times New Roman" w:hAnsiTheme="minorHAnsi" w:cs="Calibri"/>
          <w:sz w:val="20"/>
          <w:szCs w:val="20"/>
          <w:lang w:val="en-US" w:eastAsia="en-GB"/>
        </w:rPr>
      </w:pPr>
      <w:r w:rsidRPr="003C0382">
        <w:rPr>
          <w:rStyle w:val="Refdenotaderodap"/>
          <w:sz w:val="20"/>
          <w:szCs w:val="20"/>
        </w:rPr>
        <w:footnoteRef/>
      </w:r>
      <w:r w:rsidRPr="003C0382">
        <w:rPr>
          <w:sz w:val="20"/>
          <w:szCs w:val="20"/>
        </w:rPr>
        <w:t xml:space="preserve"> </w:t>
      </w:r>
      <w:proofErr w:type="spellStart"/>
      <w:r w:rsidRPr="003C0382">
        <w:rPr>
          <w:rFonts w:asciiTheme="minorHAnsi" w:eastAsia="Times New Roman" w:hAnsiTheme="minorHAnsi" w:cs="Calibri"/>
          <w:sz w:val="20"/>
          <w:szCs w:val="20"/>
          <w:lang w:val="en-US" w:eastAsia="en-GB"/>
        </w:rPr>
        <w:t>Wyroz</w:t>
      </w:r>
      <w:r>
        <w:rPr>
          <w:rFonts w:asciiTheme="minorHAnsi" w:eastAsia="Times New Roman" w:hAnsiTheme="minorHAnsi" w:cs="Calibri"/>
          <w:sz w:val="20"/>
          <w:szCs w:val="20"/>
          <w:lang w:val="en-US" w:eastAsia="en-GB"/>
        </w:rPr>
        <w:t>umska</w:t>
      </w:r>
      <w:proofErr w:type="spellEnd"/>
      <w:r>
        <w:rPr>
          <w:rFonts w:asciiTheme="minorHAnsi" w:eastAsia="Times New Roman" w:hAnsiTheme="minorHAnsi" w:cs="Calibri"/>
          <w:sz w:val="20"/>
          <w:szCs w:val="20"/>
          <w:lang w:val="en-US" w:eastAsia="en-GB"/>
        </w:rPr>
        <w:t xml:space="preserve">, Anna, </w:t>
      </w:r>
      <w:r w:rsidRPr="003C0382">
        <w:rPr>
          <w:rFonts w:asciiTheme="minorHAnsi" w:eastAsia="Times New Roman" w:hAnsiTheme="minorHAnsi" w:cs="Calibri"/>
          <w:sz w:val="20"/>
          <w:szCs w:val="20"/>
          <w:lang w:val="en-US" w:eastAsia="en-GB"/>
        </w:rPr>
        <w:t xml:space="preserve">«Article 50 Voluntary Withdrawal from the Union» in </w:t>
      </w:r>
      <w:r w:rsidRPr="003C0382">
        <w:rPr>
          <w:rFonts w:asciiTheme="minorHAnsi" w:eastAsia="Times New Roman" w:hAnsiTheme="minorHAnsi" w:cs="Calibri"/>
          <w:i/>
          <w:sz w:val="20"/>
          <w:szCs w:val="20"/>
          <w:lang w:val="en-US" w:eastAsia="en-GB"/>
        </w:rPr>
        <w:t>The Treaty on European Union (TEU): A Commentary</w:t>
      </w:r>
      <w:r w:rsidRPr="003C0382">
        <w:rPr>
          <w:rFonts w:asciiTheme="minorHAnsi" w:eastAsia="Times New Roman" w:hAnsiTheme="minorHAnsi" w:cs="Calibri"/>
          <w:sz w:val="20"/>
          <w:szCs w:val="20"/>
          <w:lang w:val="en-US" w:eastAsia="en-GB"/>
        </w:rPr>
        <w:t xml:space="preserve">, edited by Hermann-Josef </w:t>
      </w:r>
      <w:proofErr w:type="spellStart"/>
      <w:r w:rsidRPr="003C0382">
        <w:rPr>
          <w:rFonts w:asciiTheme="minorHAnsi" w:eastAsia="Times New Roman" w:hAnsiTheme="minorHAnsi" w:cs="Calibri"/>
          <w:sz w:val="20"/>
          <w:szCs w:val="20"/>
          <w:lang w:val="en-US" w:eastAsia="en-GB"/>
        </w:rPr>
        <w:t>Blanke</w:t>
      </w:r>
      <w:proofErr w:type="spellEnd"/>
      <w:r w:rsidRPr="003C0382">
        <w:rPr>
          <w:rFonts w:asciiTheme="minorHAnsi" w:eastAsia="Times New Roman" w:hAnsiTheme="minorHAnsi" w:cs="Calibri"/>
          <w:sz w:val="20"/>
          <w:szCs w:val="20"/>
          <w:lang w:val="en-US" w:eastAsia="en-GB"/>
        </w:rPr>
        <w:t xml:space="preserve"> and </w:t>
      </w:r>
      <w:proofErr w:type="spellStart"/>
      <w:r w:rsidRPr="003C0382">
        <w:rPr>
          <w:rFonts w:asciiTheme="minorHAnsi" w:eastAsia="Times New Roman" w:hAnsiTheme="minorHAnsi" w:cs="Calibri"/>
          <w:sz w:val="20"/>
          <w:szCs w:val="20"/>
          <w:lang w:val="en-US" w:eastAsia="en-GB"/>
        </w:rPr>
        <w:t>Stelio</w:t>
      </w:r>
      <w:proofErr w:type="spellEnd"/>
      <w:r w:rsidRPr="003C0382">
        <w:rPr>
          <w:rFonts w:asciiTheme="minorHAnsi" w:eastAsia="Times New Roman" w:hAnsiTheme="minorHAnsi" w:cs="Calibri"/>
          <w:sz w:val="20"/>
          <w:szCs w:val="20"/>
          <w:lang w:val="en-US" w:eastAsia="en-GB"/>
        </w:rPr>
        <w:t xml:space="preserve"> </w:t>
      </w:r>
      <w:proofErr w:type="spellStart"/>
      <w:r w:rsidRPr="003C0382">
        <w:rPr>
          <w:rFonts w:asciiTheme="minorHAnsi" w:eastAsia="Times New Roman" w:hAnsiTheme="minorHAnsi" w:cs="Calibri"/>
          <w:sz w:val="20"/>
          <w:szCs w:val="20"/>
          <w:lang w:val="en-US" w:eastAsia="en-GB"/>
        </w:rPr>
        <w:t>Mangiamelli</w:t>
      </w:r>
      <w:proofErr w:type="spellEnd"/>
      <w:r w:rsidRPr="003C0382">
        <w:rPr>
          <w:rFonts w:asciiTheme="minorHAnsi" w:eastAsia="Times New Roman" w:hAnsiTheme="minorHAnsi" w:cs="Calibri"/>
          <w:sz w:val="20"/>
          <w:szCs w:val="20"/>
          <w:lang w:val="en-US" w:eastAsia="en-GB"/>
        </w:rPr>
        <w:t xml:space="preserve">, Heidelberg: Springer, </w:t>
      </w:r>
      <w:r>
        <w:rPr>
          <w:rFonts w:asciiTheme="minorHAnsi" w:eastAsia="Times New Roman" w:hAnsiTheme="minorHAnsi" w:cs="Calibri"/>
          <w:sz w:val="20"/>
          <w:szCs w:val="20"/>
          <w:lang w:val="en-US" w:eastAsia="en-GB"/>
        </w:rPr>
        <w:t>2013, p. 1410.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B58F4"/>
    <w:multiLevelType w:val="hybridMultilevel"/>
    <w:tmpl w:val="A8DEE830"/>
    <w:lvl w:ilvl="0" w:tplc="B5D07970">
      <w:start w:val="1"/>
      <w:numFmt w:val="upperRoman"/>
      <w:pStyle w:val="heading1"/>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43836B3"/>
    <w:multiLevelType w:val="hybridMultilevel"/>
    <w:tmpl w:val="C46AC564"/>
    <w:lvl w:ilvl="0" w:tplc="1CF2EDC2">
      <w:start w:val="7"/>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41203"/>
    <w:multiLevelType w:val="hybridMultilevel"/>
    <w:tmpl w:val="6482584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5D"/>
    <w:rsid w:val="00021F20"/>
    <w:rsid w:val="00022639"/>
    <w:rsid w:val="00022B09"/>
    <w:rsid w:val="0003728A"/>
    <w:rsid w:val="000433B1"/>
    <w:rsid w:val="00052A13"/>
    <w:rsid w:val="000A2AA6"/>
    <w:rsid w:val="000C0050"/>
    <w:rsid w:val="000D0B26"/>
    <w:rsid w:val="000D7CFB"/>
    <w:rsid w:val="000E2F14"/>
    <w:rsid w:val="00101C52"/>
    <w:rsid w:val="00106806"/>
    <w:rsid w:val="00110367"/>
    <w:rsid w:val="0011492B"/>
    <w:rsid w:val="001247E3"/>
    <w:rsid w:val="00141821"/>
    <w:rsid w:val="00163E3A"/>
    <w:rsid w:val="001707ED"/>
    <w:rsid w:val="00192283"/>
    <w:rsid w:val="001932EF"/>
    <w:rsid w:val="00194590"/>
    <w:rsid w:val="001960C3"/>
    <w:rsid w:val="001A2AD4"/>
    <w:rsid w:val="001B646D"/>
    <w:rsid w:val="001D6E15"/>
    <w:rsid w:val="001F179E"/>
    <w:rsid w:val="001F656C"/>
    <w:rsid w:val="001F7A6E"/>
    <w:rsid w:val="00200188"/>
    <w:rsid w:val="002270DA"/>
    <w:rsid w:val="00251110"/>
    <w:rsid w:val="00254873"/>
    <w:rsid w:val="00257444"/>
    <w:rsid w:val="0027687D"/>
    <w:rsid w:val="00287944"/>
    <w:rsid w:val="002A4B0D"/>
    <w:rsid w:val="002A77A8"/>
    <w:rsid w:val="002B19A7"/>
    <w:rsid w:val="002B4810"/>
    <w:rsid w:val="002C67E5"/>
    <w:rsid w:val="002D1DAA"/>
    <w:rsid w:val="002F0E93"/>
    <w:rsid w:val="002F778D"/>
    <w:rsid w:val="00312932"/>
    <w:rsid w:val="00333285"/>
    <w:rsid w:val="00340BFD"/>
    <w:rsid w:val="0035033D"/>
    <w:rsid w:val="00355049"/>
    <w:rsid w:val="0036100A"/>
    <w:rsid w:val="00365842"/>
    <w:rsid w:val="00370733"/>
    <w:rsid w:val="00375076"/>
    <w:rsid w:val="00381DAC"/>
    <w:rsid w:val="003902A6"/>
    <w:rsid w:val="003940CD"/>
    <w:rsid w:val="003B3985"/>
    <w:rsid w:val="003B3A4B"/>
    <w:rsid w:val="003B4DF6"/>
    <w:rsid w:val="003C0382"/>
    <w:rsid w:val="003E61F5"/>
    <w:rsid w:val="003F304C"/>
    <w:rsid w:val="003F6B62"/>
    <w:rsid w:val="00405D63"/>
    <w:rsid w:val="00431A16"/>
    <w:rsid w:val="0045402A"/>
    <w:rsid w:val="00470174"/>
    <w:rsid w:val="00473E8E"/>
    <w:rsid w:val="004829FA"/>
    <w:rsid w:val="004E0BF1"/>
    <w:rsid w:val="004E0D74"/>
    <w:rsid w:val="00515F33"/>
    <w:rsid w:val="005172C7"/>
    <w:rsid w:val="00523F0B"/>
    <w:rsid w:val="0052462A"/>
    <w:rsid w:val="005445C1"/>
    <w:rsid w:val="005B2EB5"/>
    <w:rsid w:val="005B7392"/>
    <w:rsid w:val="005D356F"/>
    <w:rsid w:val="005D770A"/>
    <w:rsid w:val="00632495"/>
    <w:rsid w:val="00675F3B"/>
    <w:rsid w:val="00682E87"/>
    <w:rsid w:val="00685947"/>
    <w:rsid w:val="006A3289"/>
    <w:rsid w:val="006E10D3"/>
    <w:rsid w:val="007016AD"/>
    <w:rsid w:val="00704F28"/>
    <w:rsid w:val="00710106"/>
    <w:rsid w:val="0073150E"/>
    <w:rsid w:val="0074154C"/>
    <w:rsid w:val="00757F73"/>
    <w:rsid w:val="007709C8"/>
    <w:rsid w:val="0077598C"/>
    <w:rsid w:val="00786063"/>
    <w:rsid w:val="007A044D"/>
    <w:rsid w:val="007A7F10"/>
    <w:rsid w:val="007C0426"/>
    <w:rsid w:val="007E0D26"/>
    <w:rsid w:val="007E2C3E"/>
    <w:rsid w:val="007E62B0"/>
    <w:rsid w:val="007E7BC9"/>
    <w:rsid w:val="007F01B1"/>
    <w:rsid w:val="007F3198"/>
    <w:rsid w:val="007F73A0"/>
    <w:rsid w:val="00800A49"/>
    <w:rsid w:val="00802081"/>
    <w:rsid w:val="008037BB"/>
    <w:rsid w:val="0082113F"/>
    <w:rsid w:val="008263EC"/>
    <w:rsid w:val="0083200E"/>
    <w:rsid w:val="00832AA9"/>
    <w:rsid w:val="00834B43"/>
    <w:rsid w:val="0085630F"/>
    <w:rsid w:val="00864FAC"/>
    <w:rsid w:val="008957D6"/>
    <w:rsid w:val="008A011F"/>
    <w:rsid w:val="008A1841"/>
    <w:rsid w:val="008C2E5D"/>
    <w:rsid w:val="008C2FF3"/>
    <w:rsid w:val="008E221A"/>
    <w:rsid w:val="0090030D"/>
    <w:rsid w:val="0090501B"/>
    <w:rsid w:val="009103B3"/>
    <w:rsid w:val="00945A2F"/>
    <w:rsid w:val="00961AA2"/>
    <w:rsid w:val="009661A8"/>
    <w:rsid w:val="009774F1"/>
    <w:rsid w:val="00981846"/>
    <w:rsid w:val="0099566F"/>
    <w:rsid w:val="00997BBD"/>
    <w:rsid w:val="009B778A"/>
    <w:rsid w:val="00A023E9"/>
    <w:rsid w:val="00A06102"/>
    <w:rsid w:val="00A06A0F"/>
    <w:rsid w:val="00A25DB3"/>
    <w:rsid w:val="00A26B12"/>
    <w:rsid w:val="00A30E26"/>
    <w:rsid w:val="00A40A27"/>
    <w:rsid w:val="00A4377C"/>
    <w:rsid w:val="00A73069"/>
    <w:rsid w:val="00A96EC3"/>
    <w:rsid w:val="00A9778E"/>
    <w:rsid w:val="00AB1E20"/>
    <w:rsid w:val="00AB4D7C"/>
    <w:rsid w:val="00AF76C6"/>
    <w:rsid w:val="00B03712"/>
    <w:rsid w:val="00B03801"/>
    <w:rsid w:val="00B16631"/>
    <w:rsid w:val="00B227C9"/>
    <w:rsid w:val="00B4537C"/>
    <w:rsid w:val="00B91FF6"/>
    <w:rsid w:val="00BB62A6"/>
    <w:rsid w:val="00BB7EDC"/>
    <w:rsid w:val="00BE7C3A"/>
    <w:rsid w:val="00BF13DA"/>
    <w:rsid w:val="00C11DE7"/>
    <w:rsid w:val="00C13871"/>
    <w:rsid w:val="00C13E2A"/>
    <w:rsid w:val="00C60E74"/>
    <w:rsid w:val="00C83CC4"/>
    <w:rsid w:val="00C83E0E"/>
    <w:rsid w:val="00C90639"/>
    <w:rsid w:val="00CD0983"/>
    <w:rsid w:val="00CE04F9"/>
    <w:rsid w:val="00CE5D38"/>
    <w:rsid w:val="00CF6FB6"/>
    <w:rsid w:val="00D00470"/>
    <w:rsid w:val="00D07458"/>
    <w:rsid w:val="00D35DEF"/>
    <w:rsid w:val="00D45FB3"/>
    <w:rsid w:val="00D64A0A"/>
    <w:rsid w:val="00D7470D"/>
    <w:rsid w:val="00D9069D"/>
    <w:rsid w:val="00D9257B"/>
    <w:rsid w:val="00D96D57"/>
    <w:rsid w:val="00DB36C3"/>
    <w:rsid w:val="00DD4F72"/>
    <w:rsid w:val="00DF4F36"/>
    <w:rsid w:val="00E03ED9"/>
    <w:rsid w:val="00E15D14"/>
    <w:rsid w:val="00E4240C"/>
    <w:rsid w:val="00E46FFC"/>
    <w:rsid w:val="00E50832"/>
    <w:rsid w:val="00E51DE2"/>
    <w:rsid w:val="00E55434"/>
    <w:rsid w:val="00E700C9"/>
    <w:rsid w:val="00E72BE2"/>
    <w:rsid w:val="00E74F17"/>
    <w:rsid w:val="00E8130C"/>
    <w:rsid w:val="00E853A3"/>
    <w:rsid w:val="00E911BD"/>
    <w:rsid w:val="00EA6D91"/>
    <w:rsid w:val="00EB4C2B"/>
    <w:rsid w:val="00EB55E1"/>
    <w:rsid w:val="00EC7B88"/>
    <w:rsid w:val="00ED7ED1"/>
    <w:rsid w:val="00EF5DEF"/>
    <w:rsid w:val="00F30800"/>
    <w:rsid w:val="00F33029"/>
    <w:rsid w:val="00F40272"/>
    <w:rsid w:val="00F42F20"/>
    <w:rsid w:val="00F84107"/>
    <w:rsid w:val="00F92E05"/>
    <w:rsid w:val="00FA4FF5"/>
    <w:rsid w:val="00FD3614"/>
    <w:rsid w:val="00FD7790"/>
    <w:rsid w:val="00FE75FB"/>
    <w:rsid w:val="00FF237C"/>
    <w:rsid w:val="00FF245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2046A-DFFD-4E5A-954D-C8535C5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5D"/>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1"/>
    <w:basedOn w:val="PargrafodaLista"/>
    <w:next w:val="Normal"/>
    <w:autoRedefine/>
    <w:qFormat/>
    <w:rsid w:val="001B646D"/>
    <w:pPr>
      <w:numPr>
        <w:numId w:val="1"/>
      </w:numPr>
    </w:pPr>
    <w:rPr>
      <w:rFonts w:ascii="Times New Roman" w:hAnsi="Times New Roman"/>
      <w:b/>
      <w:smallCaps/>
      <w:sz w:val="24"/>
    </w:rPr>
  </w:style>
  <w:style w:type="paragraph" w:styleId="PargrafodaLista">
    <w:name w:val="List Paragraph"/>
    <w:basedOn w:val="Normal"/>
    <w:uiPriority w:val="34"/>
    <w:qFormat/>
    <w:rsid w:val="001B646D"/>
    <w:pPr>
      <w:ind w:left="720"/>
      <w:contextualSpacing/>
    </w:pPr>
    <w:rPr>
      <w:rFonts w:asciiTheme="minorHAnsi" w:eastAsiaTheme="minorHAnsi" w:hAnsiTheme="minorHAnsi" w:cstheme="minorBidi"/>
    </w:rPr>
  </w:style>
  <w:style w:type="paragraph" w:styleId="Textodenotaderodap">
    <w:name w:val="footnote text"/>
    <w:basedOn w:val="Normal"/>
    <w:link w:val="TextodenotaderodapCarter"/>
    <w:uiPriority w:val="99"/>
    <w:semiHidden/>
    <w:unhideWhenUsed/>
    <w:rsid w:val="008C2E5D"/>
    <w:pPr>
      <w:spacing w:after="0" w:line="240" w:lineRule="auto"/>
    </w:pPr>
    <w:rPr>
      <w:rFonts w:asciiTheme="minorHAnsi" w:eastAsiaTheme="minorHAnsi" w:hAnsiTheme="minorHAnsi" w:cstheme="minorBidi"/>
      <w:sz w:val="20"/>
      <w:szCs w:val="20"/>
    </w:rPr>
  </w:style>
  <w:style w:type="character" w:customStyle="1" w:styleId="TextodenotaderodapCarter">
    <w:name w:val="Texto de nota de rodapé Caráter"/>
    <w:basedOn w:val="Tipodeletrapredefinidodopargrafo"/>
    <w:link w:val="Textodenotaderodap"/>
    <w:uiPriority w:val="99"/>
    <w:semiHidden/>
    <w:rsid w:val="008C2E5D"/>
    <w:rPr>
      <w:sz w:val="20"/>
      <w:szCs w:val="20"/>
    </w:rPr>
  </w:style>
  <w:style w:type="character" w:styleId="Refdenotaderodap">
    <w:name w:val="footnote reference"/>
    <w:basedOn w:val="Tipodeletrapredefinidodopargrafo"/>
    <w:semiHidden/>
    <w:unhideWhenUsed/>
    <w:rsid w:val="008C2E5D"/>
    <w:rPr>
      <w:vertAlign w:val="superscript"/>
    </w:rPr>
  </w:style>
  <w:style w:type="paragraph" w:styleId="Cabealho">
    <w:name w:val="header"/>
    <w:basedOn w:val="Normal"/>
    <w:link w:val="CabealhoCarter"/>
    <w:uiPriority w:val="99"/>
    <w:unhideWhenUsed/>
    <w:rsid w:val="00832AA9"/>
    <w:pPr>
      <w:tabs>
        <w:tab w:val="center" w:pos="4419"/>
        <w:tab w:val="right" w:pos="8838"/>
      </w:tabs>
      <w:spacing w:after="0" w:line="240" w:lineRule="auto"/>
    </w:pPr>
  </w:style>
  <w:style w:type="character" w:customStyle="1" w:styleId="CabealhoCarter">
    <w:name w:val="Cabeçalho Caráter"/>
    <w:basedOn w:val="Tipodeletrapredefinidodopargrafo"/>
    <w:link w:val="Cabealho"/>
    <w:uiPriority w:val="99"/>
    <w:rsid w:val="00832AA9"/>
    <w:rPr>
      <w:rFonts w:ascii="Calibri" w:eastAsia="Calibri" w:hAnsi="Calibri" w:cs="Times New Roman"/>
    </w:rPr>
  </w:style>
  <w:style w:type="paragraph" w:styleId="Rodap">
    <w:name w:val="footer"/>
    <w:basedOn w:val="Normal"/>
    <w:link w:val="RodapCarter"/>
    <w:uiPriority w:val="99"/>
    <w:unhideWhenUsed/>
    <w:rsid w:val="00832AA9"/>
    <w:pPr>
      <w:tabs>
        <w:tab w:val="center" w:pos="4419"/>
        <w:tab w:val="right" w:pos="8838"/>
      </w:tabs>
      <w:spacing w:after="0" w:line="240" w:lineRule="auto"/>
    </w:pPr>
  </w:style>
  <w:style w:type="character" w:customStyle="1" w:styleId="RodapCarter">
    <w:name w:val="Rodapé Caráter"/>
    <w:basedOn w:val="Tipodeletrapredefinidodopargrafo"/>
    <w:link w:val="Rodap"/>
    <w:uiPriority w:val="99"/>
    <w:rsid w:val="00832A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0A92-7F85-4DFF-B65E-AC3FF779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4328</Words>
  <Characters>23375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Zezoca</dc:creator>
  <cp:lastModifiedBy>Mario Barata</cp:lastModifiedBy>
  <cp:revision>16</cp:revision>
  <dcterms:created xsi:type="dcterms:W3CDTF">2017-04-26T13:17:00Z</dcterms:created>
  <dcterms:modified xsi:type="dcterms:W3CDTF">2017-04-28T21:48:00Z</dcterms:modified>
</cp:coreProperties>
</file>