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6D" w:rsidRPr="00703D22" w:rsidRDefault="00FE27AE" w:rsidP="00703D22">
      <w:pPr>
        <w:spacing w:after="0" w:line="480" w:lineRule="auto"/>
        <w:rPr>
          <w:b/>
          <w:sz w:val="32"/>
          <w:szCs w:val="32"/>
        </w:rPr>
      </w:pPr>
      <w:r w:rsidRPr="00703D22">
        <w:rPr>
          <w:b/>
          <w:sz w:val="32"/>
          <w:szCs w:val="32"/>
        </w:rPr>
        <w:t xml:space="preserve">Conceptualizing </w:t>
      </w:r>
      <w:r w:rsidR="00643130">
        <w:rPr>
          <w:b/>
          <w:sz w:val="32"/>
          <w:szCs w:val="32"/>
        </w:rPr>
        <w:t xml:space="preserve">the European Multilevel </w:t>
      </w:r>
      <w:r w:rsidRPr="00703D22">
        <w:rPr>
          <w:b/>
          <w:sz w:val="32"/>
          <w:szCs w:val="32"/>
        </w:rPr>
        <w:t xml:space="preserve">Administrative Order </w:t>
      </w:r>
    </w:p>
    <w:p w:rsidR="001B45B8" w:rsidRPr="00703D22" w:rsidRDefault="00FE706D" w:rsidP="00703D22">
      <w:pPr>
        <w:spacing w:after="0" w:line="480" w:lineRule="auto"/>
        <w:rPr>
          <w:b/>
          <w:sz w:val="24"/>
          <w:szCs w:val="24"/>
        </w:rPr>
      </w:pPr>
      <w:r w:rsidRPr="00703D22">
        <w:rPr>
          <w:b/>
          <w:sz w:val="24"/>
          <w:szCs w:val="24"/>
        </w:rPr>
        <w:t xml:space="preserve">Capturing variation in </w:t>
      </w:r>
      <w:r w:rsidR="00643130">
        <w:rPr>
          <w:b/>
          <w:sz w:val="24"/>
          <w:szCs w:val="24"/>
        </w:rPr>
        <w:t xml:space="preserve">the </w:t>
      </w:r>
      <w:r w:rsidRPr="00703D22">
        <w:rPr>
          <w:b/>
          <w:sz w:val="24"/>
          <w:szCs w:val="24"/>
        </w:rPr>
        <w:t>European administrative system</w:t>
      </w:r>
    </w:p>
    <w:p w:rsidR="00FE706D" w:rsidRPr="00703D22" w:rsidRDefault="00FE706D" w:rsidP="00703D22">
      <w:pPr>
        <w:spacing w:after="0" w:line="480" w:lineRule="auto"/>
      </w:pPr>
    </w:p>
    <w:p w:rsidR="00FE706D" w:rsidRPr="00D0186D" w:rsidRDefault="00D0186D" w:rsidP="00703D22">
      <w:pPr>
        <w:spacing w:after="0" w:line="480" w:lineRule="auto"/>
        <w:rPr>
          <w:sz w:val="24"/>
          <w:szCs w:val="24"/>
        </w:rPr>
      </w:pPr>
      <w:r>
        <w:rPr>
          <w:sz w:val="24"/>
          <w:szCs w:val="24"/>
        </w:rPr>
        <w:t xml:space="preserve">JARLE TRONDAL* AND MICHAEL W. BAUER** </w:t>
      </w:r>
    </w:p>
    <w:p w:rsidR="00FE706D" w:rsidRPr="00D0186D" w:rsidRDefault="00D0186D" w:rsidP="00D0186D">
      <w:pPr>
        <w:spacing w:after="0" w:line="480" w:lineRule="auto"/>
        <w:rPr>
          <w:i/>
          <w:sz w:val="24"/>
          <w:szCs w:val="24"/>
        </w:rPr>
      </w:pPr>
      <w:r>
        <w:rPr>
          <w:sz w:val="24"/>
          <w:szCs w:val="24"/>
        </w:rPr>
        <w:t xml:space="preserve">* </w:t>
      </w:r>
      <w:r w:rsidRPr="00D0186D">
        <w:rPr>
          <w:i/>
          <w:sz w:val="24"/>
          <w:szCs w:val="24"/>
        </w:rPr>
        <w:t>Department of Political Science and Management, University of Agder, Norway; and ARENA Centre for European Studies, University of Oslo, Norway</w:t>
      </w:r>
    </w:p>
    <w:p w:rsidR="00D0186D" w:rsidRPr="00D0186D" w:rsidRDefault="00D0186D" w:rsidP="00D0186D">
      <w:pPr>
        <w:spacing w:after="0" w:line="480" w:lineRule="auto"/>
        <w:rPr>
          <w:i/>
          <w:sz w:val="24"/>
          <w:szCs w:val="24"/>
        </w:rPr>
      </w:pPr>
      <w:r w:rsidRPr="00D0186D">
        <w:rPr>
          <w:i/>
          <w:sz w:val="24"/>
          <w:szCs w:val="24"/>
        </w:rPr>
        <w:t>** Chair of Comparative Public Administration and Policy Analysis at the German University of Administrative Sciences in Speyer</w:t>
      </w:r>
    </w:p>
    <w:p w:rsidR="00D0186D" w:rsidRDefault="00D0186D" w:rsidP="004F2632">
      <w:pPr>
        <w:spacing w:after="0" w:line="240" w:lineRule="auto"/>
        <w:rPr>
          <w:sz w:val="24"/>
          <w:szCs w:val="24"/>
        </w:rPr>
      </w:pPr>
    </w:p>
    <w:p w:rsidR="00CC0253" w:rsidRDefault="00C65B1A" w:rsidP="004F2632">
      <w:pPr>
        <w:spacing w:after="0" w:line="240" w:lineRule="auto"/>
        <w:rPr>
          <w:sz w:val="24"/>
          <w:szCs w:val="24"/>
        </w:rPr>
      </w:pPr>
      <w:r>
        <w:rPr>
          <w:sz w:val="24"/>
          <w:szCs w:val="24"/>
        </w:rPr>
        <w:t>Acknowledging</w:t>
      </w:r>
      <w:r w:rsidR="00CC0253" w:rsidRPr="00894766">
        <w:rPr>
          <w:sz w:val="24"/>
          <w:szCs w:val="24"/>
        </w:rPr>
        <w:t xml:space="preserve"> that both analysts and practitioners face problems of meaningful categorization of social order in general and the European political-administrative system in particular, this </w:t>
      </w:r>
      <w:r w:rsidR="004C27BD">
        <w:rPr>
          <w:sz w:val="24"/>
          <w:szCs w:val="24"/>
        </w:rPr>
        <w:t>article</w:t>
      </w:r>
      <w:r w:rsidR="00CC0253" w:rsidRPr="00894766">
        <w:rPr>
          <w:sz w:val="24"/>
          <w:szCs w:val="24"/>
        </w:rPr>
        <w:t xml:space="preserve"> suggests a conceptual frame through which </w:t>
      </w:r>
      <w:r w:rsidR="00C008A2">
        <w:rPr>
          <w:sz w:val="24"/>
          <w:szCs w:val="24"/>
        </w:rPr>
        <w:t xml:space="preserve">European </w:t>
      </w:r>
      <w:r w:rsidR="00CC0253" w:rsidRPr="00894766">
        <w:rPr>
          <w:sz w:val="24"/>
          <w:szCs w:val="24"/>
        </w:rPr>
        <w:t xml:space="preserve">administrative order may be understood. </w:t>
      </w:r>
      <w:r w:rsidR="007F02DA">
        <w:rPr>
          <w:sz w:val="24"/>
          <w:szCs w:val="24"/>
        </w:rPr>
        <w:t>Providing such a frame is important, because</w:t>
      </w:r>
      <w:r w:rsidR="00CC0253">
        <w:rPr>
          <w:sz w:val="24"/>
          <w:szCs w:val="24"/>
        </w:rPr>
        <w:t xml:space="preserve"> the catalogue of categories of the </w:t>
      </w:r>
      <w:r w:rsidR="00C96830">
        <w:rPr>
          <w:sz w:val="24"/>
          <w:szCs w:val="24"/>
        </w:rPr>
        <w:t>European Union (</w:t>
      </w:r>
      <w:r w:rsidR="00CC0253">
        <w:rPr>
          <w:sz w:val="24"/>
          <w:szCs w:val="24"/>
        </w:rPr>
        <w:t>EU</w:t>
      </w:r>
      <w:r w:rsidR="00C96830">
        <w:rPr>
          <w:sz w:val="24"/>
          <w:szCs w:val="24"/>
        </w:rPr>
        <w:t>)</w:t>
      </w:r>
      <w:r w:rsidR="00CC0253">
        <w:rPr>
          <w:sz w:val="24"/>
          <w:szCs w:val="24"/>
        </w:rPr>
        <w:t xml:space="preserve"> polity </w:t>
      </w:r>
      <w:r w:rsidR="00C008A2">
        <w:rPr>
          <w:sz w:val="24"/>
          <w:szCs w:val="24"/>
        </w:rPr>
        <w:t xml:space="preserve">developed so far </w:t>
      </w:r>
      <w:r w:rsidR="00CC0253">
        <w:rPr>
          <w:sz w:val="24"/>
          <w:szCs w:val="24"/>
        </w:rPr>
        <w:t xml:space="preserve">fails to acknowledge </w:t>
      </w:r>
      <w:r w:rsidR="007F02DA">
        <w:rPr>
          <w:sz w:val="24"/>
          <w:szCs w:val="24"/>
        </w:rPr>
        <w:t>its</w:t>
      </w:r>
      <w:r w:rsidR="00CC0253">
        <w:rPr>
          <w:sz w:val="24"/>
          <w:szCs w:val="24"/>
        </w:rPr>
        <w:t xml:space="preserve"> administrative dimension. </w:t>
      </w:r>
      <w:r w:rsidR="00C008A2">
        <w:rPr>
          <w:sz w:val="24"/>
          <w:szCs w:val="24"/>
        </w:rPr>
        <w:t xml:space="preserve">Given that the ongoing political transformation </w:t>
      </w:r>
      <w:r w:rsidR="006D4E5E">
        <w:rPr>
          <w:sz w:val="24"/>
          <w:szCs w:val="24"/>
        </w:rPr>
        <w:t xml:space="preserve">in the </w:t>
      </w:r>
      <w:r w:rsidR="007F02DA">
        <w:rPr>
          <w:sz w:val="24"/>
          <w:szCs w:val="24"/>
        </w:rPr>
        <w:t>EU</w:t>
      </w:r>
      <w:r w:rsidR="006D4E5E">
        <w:rPr>
          <w:sz w:val="24"/>
          <w:szCs w:val="24"/>
        </w:rPr>
        <w:t xml:space="preserve"> implies ever more administrative interaction between political levels in order to coordinate, manage and implement policies, this administrative dimension becomes ever more important. </w:t>
      </w:r>
      <w:r w:rsidR="004F2632">
        <w:rPr>
          <w:sz w:val="24"/>
          <w:szCs w:val="24"/>
        </w:rPr>
        <w:t>This</w:t>
      </w:r>
      <w:r w:rsidR="00CC0253">
        <w:rPr>
          <w:sz w:val="24"/>
          <w:szCs w:val="24"/>
        </w:rPr>
        <w:t xml:space="preserve"> </w:t>
      </w:r>
      <w:r w:rsidR="004C27BD">
        <w:rPr>
          <w:sz w:val="24"/>
          <w:szCs w:val="24"/>
        </w:rPr>
        <w:t>article</w:t>
      </w:r>
      <w:r w:rsidR="006D4E5E">
        <w:rPr>
          <w:sz w:val="24"/>
          <w:szCs w:val="24"/>
        </w:rPr>
        <w:t xml:space="preserve"> thus</w:t>
      </w:r>
      <w:r w:rsidR="00EB01F6">
        <w:rPr>
          <w:sz w:val="24"/>
          <w:szCs w:val="24"/>
        </w:rPr>
        <w:t xml:space="preserve"> sets out a three-fold</w:t>
      </w:r>
      <w:r w:rsidR="004F2632">
        <w:rPr>
          <w:sz w:val="24"/>
          <w:szCs w:val="24"/>
        </w:rPr>
        <w:t xml:space="preserve"> agenda</w:t>
      </w:r>
      <w:r w:rsidR="00CC0253">
        <w:rPr>
          <w:sz w:val="24"/>
          <w:szCs w:val="24"/>
        </w:rPr>
        <w:t xml:space="preserve">: </w:t>
      </w:r>
      <w:r w:rsidR="00CC0253" w:rsidRPr="001006FA">
        <w:rPr>
          <w:sz w:val="24"/>
          <w:szCs w:val="24"/>
        </w:rPr>
        <w:t>Firstly, it offers a supplementary conceptual frame that takes the ‘admin</w:t>
      </w:r>
      <w:r w:rsidR="00375765">
        <w:rPr>
          <w:sz w:val="24"/>
          <w:szCs w:val="24"/>
        </w:rPr>
        <w:t>istrative dimension’ seriously</w:t>
      </w:r>
      <w:r w:rsidR="00CC0253" w:rsidRPr="001006FA">
        <w:rPr>
          <w:sz w:val="24"/>
          <w:szCs w:val="24"/>
        </w:rPr>
        <w:t xml:space="preserve">. It is suggested that the European politico-administrative </w:t>
      </w:r>
      <w:r w:rsidR="007F02DA" w:rsidRPr="001006FA">
        <w:rPr>
          <w:sz w:val="24"/>
          <w:szCs w:val="24"/>
        </w:rPr>
        <w:t>organism</w:t>
      </w:r>
      <w:r w:rsidR="00CC0253" w:rsidRPr="001006FA">
        <w:rPr>
          <w:sz w:val="24"/>
          <w:szCs w:val="24"/>
        </w:rPr>
        <w:t xml:space="preserve"> </w:t>
      </w:r>
      <w:r w:rsidR="006D4E5E">
        <w:rPr>
          <w:sz w:val="24"/>
          <w:szCs w:val="24"/>
        </w:rPr>
        <w:t>should</w:t>
      </w:r>
      <w:r w:rsidR="006D4E5E" w:rsidRPr="001006FA">
        <w:rPr>
          <w:sz w:val="24"/>
          <w:szCs w:val="24"/>
        </w:rPr>
        <w:t xml:space="preserve"> </w:t>
      </w:r>
      <w:r w:rsidR="00CC0253" w:rsidRPr="001006FA">
        <w:rPr>
          <w:sz w:val="24"/>
          <w:szCs w:val="24"/>
        </w:rPr>
        <w:t xml:space="preserve">be </w:t>
      </w:r>
      <w:r w:rsidR="006D4E5E">
        <w:rPr>
          <w:sz w:val="24"/>
          <w:szCs w:val="24"/>
        </w:rPr>
        <w:t>conceived</w:t>
      </w:r>
      <w:r w:rsidR="006D4E5E" w:rsidRPr="001006FA">
        <w:rPr>
          <w:sz w:val="24"/>
          <w:szCs w:val="24"/>
        </w:rPr>
        <w:t xml:space="preserve"> </w:t>
      </w:r>
      <w:r w:rsidR="00CC0253" w:rsidRPr="001006FA">
        <w:rPr>
          <w:sz w:val="24"/>
          <w:szCs w:val="24"/>
        </w:rPr>
        <w:t xml:space="preserve">as a European multilevel administrative system (MLA). </w:t>
      </w:r>
      <w:r w:rsidR="00CC0253">
        <w:rPr>
          <w:sz w:val="24"/>
          <w:szCs w:val="24"/>
        </w:rPr>
        <w:t xml:space="preserve">Secondly, the </w:t>
      </w:r>
      <w:r w:rsidR="00EB01F6">
        <w:rPr>
          <w:sz w:val="24"/>
          <w:szCs w:val="24"/>
        </w:rPr>
        <w:t>article</w:t>
      </w:r>
      <w:r w:rsidR="00CC0253">
        <w:rPr>
          <w:sz w:val="24"/>
          <w:szCs w:val="24"/>
        </w:rPr>
        <w:t xml:space="preserve"> </w:t>
      </w:r>
      <w:r w:rsidR="00EB01F6">
        <w:rPr>
          <w:sz w:val="24"/>
          <w:szCs w:val="24"/>
        </w:rPr>
        <w:t>suggests</w:t>
      </w:r>
      <w:r w:rsidR="006D4E5E">
        <w:rPr>
          <w:sz w:val="24"/>
          <w:szCs w:val="24"/>
        </w:rPr>
        <w:t xml:space="preserve"> </w:t>
      </w:r>
      <w:r w:rsidR="00CC0253">
        <w:rPr>
          <w:sz w:val="24"/>
          <w:szCs w:val="24"/>
        </w:rPr>
        <w:t xml:space="preserve">how the MLA approach differ from one of its </w:t>
      </w:r>
      <w:r w:rsidR="006D4E5E">
        <w:rPr>
          <w:sz w:val="24"/>
          <w:szCs w:val="24"/>
        </w:rPr>
        <w:t xml:space="preserve">main </w:t>
      </w:r>
      <w:r w:rsidR="00CC0253">
        <w:rPr>
          <w:sz w:val="24"/>
          <w:szCs w:val="24"/>
        </w:rPr>
        <w:t>conceptual rivals – the multilevel governance approach (MLG).</w:t>
      </w:r>
      <w:r w:rsidR="004F2632">
        <w:rPr>
          <w:sz w:val="24"/>
          <w:szCs w:val="24"/>
        </w:rPr>
        <w:t xml:space="preserve"> </w:t>
      </w:r>
      <w:r w:rsidR="00CC0253">
        <w:rPr>
          <w:sz w:val="24"/>
          <w:szCs w:val="24"/>
        </w:rPr>
        <w:t xml:space="preserve">Finally, the </w:t>
      </w:r>
      <w:r w:rsidR="004C27BD">
        <w:rPr>
          <w:sz w:val="24"/>
          <w:szCs w:val="24"/>
        </w:rPr>
        <w:t>article</w:t>
      </w:r>
      <w:r w:rsidR="00CC0253">
        <w:rPr>
          <w:sz w:val="24"/>
          <w:szCs w:val="24"/>
        </w:rPr>
        <w:t xml:space="preserve"> offers some empirical illustrations of the </w:t>
      </w:r>
      <w:r w:rsidR="006D4E5E">
        <w:rPr>
          <w:sz w:val="24"/>
          <w:szCs w:val="24"/>
        </w:rPr>
        <w:t xml:space="preserve">value of the developed </w:t>
      </w:r>
      <w:r w:rsidR="00CC0253">
        <w:rPr>
          <w:sz w:val="24"/>
          <w:szCs w:val="24"/>
        </w:rPr>
        <w:t xml:space="preserve">MLA approach </w:t>
      </w:r>
      <w:r w:rsidR="006D4E5E">
        <w:rPr>
          <w:sz w:val="24"/>
          <w:szCs w:val="24"/>
        </w:rPr>
        <w:t xml:space="preserve">for </w:t>
      </w:r>
      <w:r w:rsidR="00F02E0A">
        <w:rPr>
          <w:sz w:val="24"/>
          <w:szCs w:val="24"/>
        </w:rPr>
        <w:t xml:space="preserve">our </w:t>
      </w:r>
      <w:r w:rsidR="006D4E5E">
        <w:rPr>
          <w:sz w:val="24"/>
          <w:szCs w:val="24"/>
        </w:rPr>
        <w:t>understanding of</w:t>
      </w:r>
      <w:r w:rsidR="00453E68">
        <w:rPr>
          <w:sz w:val="24"/>
          <w:szCs w:val="24"/>
        </w:rPr>
        <w:t xml:space="preserve"> </w:t>
      </w:r>
      <w:r w:rsidR="00CC0253">
        <w:rPr>
          <w:sz w:val="24"/>
          <w:szCs w:val="24"/>
        </w:rPr>
        <w:t xml:space="preserve">the contemporary European administrative system. </w:t>
      </w:r>
    </w:p>
    <w:p w:rsidR="00861858" w:rsidRDefault="00861858" w:rsidP="00703D22">
      <w:pPr>
        <w:spacing w:after="0" w:line="480" w:lineRule="auto"/>
        <w:rPr>
          <w:sz w:val="24"/>
          <w:szCs w:val="24"/>
        </w:rPr>
      </w:pPr>
    </w:p>
    <w:p w:rsidR="00D0186D" w:rsidRDefault="00D0186D" w:rsidP="00703D22">
      <w:pPr>
        <w:spacing w:after="0" w:line="480" w:lineRule="auto"/>
        <w:rPr>
          <w:sz w:val="24"/>
          <w:szCs w:val="24"/>
        </w:rPr>
      </w:pPr>
      <w:r w:rsidRPr="00D0186D">
        <w:rPr>
          <w:b/>
          <w:sz w:val="24"/>
          <w:szCs w:val="24"/>
        </w:rPr>
        <w:t>Keywords:</w:t>
      </w:r>
      <w:r>
        <w:rPr>
          <w:sz w:val="24"/>
          <w:szCs w:val="24"/>
        </w:rPr>
        <w:t xml:space="preserve"> administrative order, cooptation, independence, integration, multilevel, governance, organization</w:t>
      </w:r>
    </w:p>
    <w:p w:rsidR="00D0186D" w:rsidRDefault="00D0186D" w:rsidP="00703D22">
      <w:pPr>
        <w:spacing w:after="0" w:line="480" w:lineRule="auto"/>
        <w:rPr>
          <w:sz w:val="24"/>
          <w:szCs w:val="24"/>
        </w:rPr>
      </w:pPr>
    </w:p>
    <w:p w:rsidR="00D0186D" w:rsidRDefault="00D0186D" w:rsidP="00703D22">
      <w:pPr>
        <w:spacing w:after="0" w:line="480" w:lineRule="auto"/>
        <w:rPr>
          <w:sz w:val="24"/>
          <w:szCs w:val="24"/>
        </w:rPr>
      </w:pPr>
    </w:p>
    <w:p w:rsidR="00D0186D" w:rsidRPr="00703D22" w:rsidRDefault="00D0186D" w:rsidP="00703D22">
      <w:pPr>
        <w:spacing w:after="0" w:line="480" w:lineRule="auto"/>
        <w:rPr>
          <w:sz w:val="24"/>
          <w:szCs w:val="24"/>
        </w:rPr>
      </w:pPr>
    </w:p>
    <w:p w:rsidR="00FE27AE" w:rsidRPr="00DF4BC2" w:rsidRDefault="00FE27AE" w:rsidP="00703D22">
      <w:pPr>
        <w:spacing w:after="0" w:line="480" w:lineRule="auto"/>
        <w:rPr>
          <w:b/>
          <w:sz w:val="28"/>
          <w:szCs w:val="28"/>
        </w:rPr>
      </w:pPr>
      <w:r w:rsidRPr="00DF4BC2">
        <w:rPr>
          <w:b/>
          <w:sz w:val="28"/>
          <w:szCs w:val="28"/>
        </w:rPr>
        <w:lastRenderedPageBreak/>
        <w:t>Introduction</w:t>
      </w:r>
    </w:p>
    <w:p w:rsidR="00BD6748" w:rsidRDefault="00151200" w:rsidP="00703D22">
      <w:pPr>
        <w:spacing w:after="0" w:line="480" w:lineRule="auto"/>
        <w:rPr>
          <w:sz w:val="24"/>
          <w:szCs w:val="24"/>
        </w:rPr>
      </w:pPr>
      <w:r>
        <w:rPr>
          <w:sz w:val="24"/>
          <w:szCs w:val="24"/>
        </w:rPr>
        <w:t xml:space="preserve">The recent economic crisis has contributed to </w:t>
      </w:r>
      <w:r w:rsidR="00F173D7">
        <w:rPr>
          <w:sz w:val="24"/>
          <w:szCs w:val="24"/>
        </w:rPr>
        <w:t xml:space="preserve">what can be understood as </w:t>
      </w:r>
      <w:r>
        <w:rPr>
          <w:sz w:val="24"/>
          <w:szCs w:val="24"/>
        </w:rPr>
        <w:t xml:space="preserve">‘institutional soul-searching’ and </w:t>
      </w:r>
      <w:r w:rsidR="00F173D7">
        <w:rPr>
          <w:sz w:val="24"/>
          <w:szCs w:val="24"/>
        </w:rPr>
        <w:t xml:space="preserve">the raising of </w:t>
      </w:r>
      <w:r>
        <w:rPr>
          <w:sz w:val="24"/>
          <w:szCs w:val="24"/>
        </w:rPr>
        <w:t xml:space="preserve">questions </w:t>
      </w:r>
      <w:r w:rsidR="00F173D7">
        <w:rPr>
          <w:sz w:val="24"/>
          <w:szCs w:val="24"/>
        </w:rPr>
        <w:t xml:space="preserve">about </w:t>
      </w:r>
      <w:r>
        <w:rPr>
          <w:sz w:val="24"/>
          <w:szCs w:val="24"/>
        </w:rPr>
        <w:t xml:space="preserve">the nature of </w:t>
      </w:r>
      <w:r w:rsidRPr="00151200">
        <w:rPr>
          <w:i/>
          <w:sz w:val="24"/>
          <w:szCs w:val="24"/>
        </w:rPr>
        <w:t>res publica</w:t>
      </w:r>
      <w:r>
        <w:rPr>
          <w:sz w:val="24"/>
          <w:szCs w:val="24"/>
        </w:rPr>
        <w:t xml:space="preserve"> (Emery and Giauque</w:t>
      </w:r>
      <w:r w:rsidR="00D0186D">
        <w:rPr>
          <w:sz w:val="24"/>
          <w:szCs w:val="24"/>
        </w:rPr>
        <w:t>,</w:t>
      </w:r>
      <w:r>
        <w:rPr>
          <w:sz w:val="24"/>
          <w:szCs w:val="24"/>
        </w:rPr>
        <w:t xml:space="preserve"> 2014: 24). The challenge of understanding social and political order, however, is enduring to the social sciences (Waldo</w:t>
      </w:r>
      <w:r w:rsidR="00D0186D">
        <w:rPr>
          <w:sz w:val="24"/>
          <w:szCs w:val="24"/>
        </w:rPr>
        <w:t>,</w:t>
      </w:r>
      <w:r>
        <w:rPr>
          <w:sz w:val="24"/>
          <w:szCs w:val="24"/>
        </w:rPr>
        <w:t xml:space="preserve"> 1992: 149). Unveiling</w:t>
      </w:r>
      <w:r w:rsidR="00E8497B" w:rsidRPr="00894766">
        <w:rPr>
          <w:sz w:val="24"/>
          <w:szCs w:val="24"/>
        </w:rPr>
        <w:t xml:space="preserve"> social order involves </w:t>
      </w:r>
      <w:r w:rsidR="00D70D25" w:rsidRPr="00894766">
        <w:rPr>
          <w:sz w:val="24"/>
          <w:szCs w:val="24"/>
        </w:rPr>
        <w:t xml:space="preserve">disentangling </w:t>
      </w:r>
      <w:r w:rsidR="00E8497B" w:rsidRPr="00894766">
        <w:rPr>
          <w:sz w:val="24"/>
          <w:szCs w:val="24"/>
        </w:rPr>
        <w:t>causes of order formation and distortions (Bartolini</w:t>
      </w:r>
      <w:r w:rsidR="004C27BD">
        <w:rPr>
          <w:sz w:val="24"/>
          <w:szCs w:val="24"/>
        </w:rPr>
        <w:t>,</w:t>
      </w:r>
      <w:r w:rsidR="00E8497B" w:rsidRPr="00894766">
        <w:rPr>
          <w:sz w:val="24"/>
          <w:szCs w:val="24"/>
        </w:rPr>
        <w:t xml:space="preserve"> 2005;</w:t>
      </w:r>
      <w:r w:rsidR="00D70D25" w:rsidRPr="00894766">
        <w:rPr>
          <w:sz w:val="24"/>
          <w:szCs w:val="24"/>
        </w:rPr>
        <w:t xml:space="preserve"> Fukuyama</w:t>
      </w:r>
      <w:r w:rsidR="004C27BD">
        <w:rPr>
          <w:sz w:val="24"/>
          <w:szCs w:val="24"/>
        </w:rPr>
        <w:t>,</w:t>
      </w:r>
      <w:r w:rsidR="00D70D25" w:rsidRPr="00894766">
        <w:rPr>
          <w:sz w:val="24"/>
          <w:szCs w:val="24"/>
        </w:rPr>
        <w:t xml:space="preserve"> 2011;</w:t>
      </w:r>
      <w:r w:rsidR="00E8497B" w:rsidRPr="00894766">
        <w:rPr>
          <w:sz w:val="24"/>
          <w:szCs w:val="24"/>
        </w:rPr>
        <w:t xml:space="preserve"> </w:t>
      </w:r>
      <w:r w:rsidR="00D70D25" w:rsidRPr="00894766">
        <w:rPr>
          <w:sz w:val="24"/>
          <w:szCs w:val="24"/>
        </w:rPr>
        <w:t>March and Olsen</w:t>
      </w:r>
      <w:r w:rsidR="004C27BD">
        <w:rPr>
          <w:sz w:val="24"/>
          <w:szCs w:val="24"/>
        </w:rPr>
        <w:t>,</w:t>
      </w:r>
      <w:r w:rsidR="00D70D25" w:rsidRPr="00894766">
        <w:rPr>
          <w:sz w:val="24"/>
          <w:szCs w:val="24"/>
        </w:rPr>
        <w:t xml:space="preserve"> 1989; Padgett and Powell</w:t>
      </w:r>
      <w:r w:rsidR="004C27BD">
        <w:rPr>
          <w:sz w:val="24"/>
          <w:szCs w:val="24"/>
        </w:rPr>
        <w:t>,</w:t>
      </w:r>
      <w:r w:rsidR="00D70D25" w:rsidRPr="00894766">
        <w:rPr>
          <w:sz w:val="24"/>
          <w:szCs w:val="24"/>
        </w:rPr>
        <w:t xml:space="preserve"> 2012)</w:t>
      </w:r>
      <w:r w:rsidR="00E8497B" w:rsidRPr="00894766">
        <w:rPr>
          <w:sz w:val="24"/>
          <w:szCs w:val="24"/>
        </w:rPr>
        <w:t>, consequences of order formation</w:t>
      </w:r>
      <w:r w:rsidR="00AA723E" w:rsidRPr="00894766">
        <w:rPr>
          <w:sz w:val="24"/>
          <w:szCs w:val="24"/>
        </w:rPr>
        <w:t xml:space="preserve"> – </w:t>
      </w:r>
      <w:r w:rsidRPr="00894766">
        <w:rPr>
          <w:sz w:val="24"/>
          <w:szCs w:val="24"/>
        </w:rPr>
        <w:t>especially</w:t>
      </w:r>
      <w:r w:rsidR="00AA723E" w:rsidRPr="00894766">
        <w:rPr>
          <w:sz w:val="24"/>
          <w:szCs w:val="24"/>
        </w:rPr>
        <w:t xml:space="preserve"> </w:t>
      </w:r>
      <w:r>
        <w:rPr>
          <w:sz w:val="24"/>
          <w:szCs w:val="24"/>
        </w:rPr>
        <w:t xml:space="preserve">how it challenges already </w:t>
      </w:r>
      <w:r w:rsidR="00E8497B" w:rsidRPr="00894766">
        <w:rPr>
          <w:sz w:val="24"/>
          <w:szCs w:val="24"/>
        </w:rPr>
        <w:t>existing</w:t>
      </w:r>
      <w:r w:rsidR="00AA723E" w:rsidRPr="00894766">
        <w:rPr>
          <w:sz w:val="24"/>
          <w:szCs w:val="24"/>
        </w:rPr>
        <w:t xml:space="preserve"> </w:t>
      </w:r>
      <w:r w:rsidR="00E8497B" w:rsidRPr="00894766">
        <w:rPr>
          <w:sz w:val="24"/>
          <w:szCs w:val="24"/>
        </w:rPr>
        <w:t>orders (Bickerton</w:t>
      </w:r>
      <w:r w:rsidR="004C27BD">
        <w:rPr>
          <w:sz w:val="24"/>
          <w:szCs w:val="24"/>
        </w:rPr>
        <w:t>,</w:t>
      </w:r>
      <w:r w:rsidR="00E8497B" w:rsidRPr="00894766">
        <w:rPr>
          <w:sz w:val="24"/>
          <w:szCs w:val="24"/>
        </w:rPr>
        <w:t xml:space="preserve"> 2012; Olsen</w:t>
      </w:r>
      <w:r w:rsidR="004C27BD">
        <w:rPr>
          <w:sz w:val="24"/>
          <w:szCs w:val="24"/>
        </w:rPr>
        <w:t>,</w:t>
      </w:r>
      <w:r w:rsidR="00E8497B" w:rsidRPr="00894766">
        <w:rPr>
          <w:sz w:val="24"/>
          <w:szCs w:val="24"/>
        </w:rPr>
        <w:t xml:space="preserve"> 2007)</w:t>
      </w:r>
      <w:r w:rsidR="005B44D6">
        <w:rPr>
          <w:sz w:val="24"/>
          <w:szCs w:val="24"/>
        </w:rPr>
        <w:t xml:space="preserve"> –</w:t>
      </w:r>
      <w:r w:rsidR="00AA723E" w:rsidRPr="00894766">
        <w:rPr>
          <w:sz w:val="24"/>
          <w:szCs w:val="24"/>
        </w:rPr>
        <w:t>,</w:t>
      </w:r>
      <w:r w:rsidR="00E8497B" w:rsidRPr="00894766">
        <w:rPr>
          <w:sz w:val="24"/>
          <w:szCs w:val="24"/>
        </w:rPr>
        <w:t xml:space="preserve"> and</w:t>
      </w:r>
      <w:r w:rsidR="00AA723E" w:rsidRPr="00894766">
        <w:rPr>
          <w:sz w:val="24"/>
          <w:szCs w:val="24"/>
        </w:rPr>
        <w:t xml:space="preserve"> suggesting</w:t>
      </w:r>
      <w:r w:rsidR="00E8497B" w:rsidRPr="00894766">
        <w:rPr>
          <w:sz w:val="24"/>
          <w:szCs w:val="24"/>
        </w:rPr>
        <w:t xml:space="preserve"> how </w:t>
      </w:r>
      <w:r w:rsidR="00AA723E" w:rsidRPr="00894766">
        <w:rPr>
          <w:sz w:val="24"/>
          <w:szCs w:val="24"/>
        </w:rPr>
        <w:t>social order can be</w:t>
      </w:r>
      <w:r w:rsidR="00E8497B" w:rsidRPr="00894766">
        <w:rPr>
          <w:sz w:val="24"/>
          <w:szCs w:val="24"/>
        </w:rPr>
        <w:t xml:space="preserve"> conceptualize</w:t>
      </w:r>
      <w:r w:rsidR="00AA723E" w:rsidRPr="00894766">
        <w:rPr>
          <w:sz w:val="24"/>
          <w:szCs w:val="24"/>
        </w:rPr>
        <w:t>d</w:t>
      </w:r>
      <w:r w:rsidR="00E8497B" w:rsidRPr="00894766">
        <w:rPr>
          <w:sz w:val="24"/>
          <w:szCs w:val="24"/>
        </w:rPr>
        <w:t>.</w:t>
      </w:r>
      <w:r w:rsidR="00AA723E" w:rsidRPr="00894766">
        <w:rPr>
          <w:sz w:val="24"/>
          <w:szCs w:val="24"/>
        </w:rPr>
        <w:t xml:space="preserve"> </w:t>
      </w:r>
      <w:r w:rsidR="00F173D7">
        <w:rPr>
          <w:sz w:val="24"/>
          <w:szCs w:val="24"/>
        </w:rPr>
        <w:t>Perhaps unsurprisingly for a political system in the making, the institutional soul searching is particularly intense in the European Union</w:t>
      </w:r>
      <w:r w:rsidR="00453E68">
        <w:rPr>
          <w:sz w:val="24"/>
          <w:szCs w:val="24"/>
        </w:rPr>
        <w:t xml:space="preserve"> (EU)</w:t>
      </w:r>
      <w:r w:rsidR="00F173D7">
        <w:rPr>
          <w:sz w:val="24"/>
          <w:szCs w:val="24"/>
        </w:rPr>
        <w:t xml:space="preserve">. </w:t>
      </w:r>
    </w:p>
    <w:p w:rsidR="00BD6748" w:rsidRDefault="00BD6748" w:rsidP="00703D22">
      <w:pPr>
        <w:spacing w:after="0" w:line="480" w:lineRule="auto"/>
        <w:rPr>
          <w:sz w:val="24"/>
          <w:szCs w:val="24"/>
        </w:rPr>
      </w:pPr>
    </w:p>
    <w:p w:rsidR="001006FA" w:rsidRDefault="0062563C" w:rsidP="00703D22">
      <w:pPr>
        <w:spacing w:after="0" w:line="480" w:lineRule="auto"/>
        <w:rPr>
          <w:sz w:val="24"/>
          <w:szCs w:val="24"/>
        </w:rPr>
      </w:pPr>
      <w:r>
        <w:rPr>
          <w:sz w:val="24"/>
          <w:szCs w:val="24"/>
        </w:rPr>
        <w:t xml:space="preserve">Before this background we attempt to </w:t>
      </w:r>
      <w:r w:rsidR="00453E68">
        <w:rPr>
          <w:sz w:val="24"/>
          <w:szCs w:val="24"/>
        </w:rPr>
        <w:t>a</w:t>
      </w:r>
      <w:r w:rsidR="00453E68" w:rsidRPr="00894766">
        <w:rPr>
          <w:sz w:val="24"/>
          <w:szCs w:val="24"/>
        </w:rPr>
        <w:t>dvance</w:t>
      </w:r>
      <w:r>
        <w:rPr>
          <w:sz w:val="24"/>
          <w:szCs w:val="24"/>
        </w:rPr>
        <w:t xml:space="preserve"> our</w:t>
      </w:r>
      <w:r w:rsidR="00AA723E" w:rsidRPr="00894766">
        <w:rPr>
          <w:sz w:val="24"/>
          <w:szCs w:val="24"/>
        </w:rPr>
        <w:t xml:space="preserve"> understanding of the European administrative order,</w:t>
      </w:r>
      <w:r>
        <w:rPr>
          <w:sz w:val="24"/>
          <w:szCs w:val="24"/>
        </w:rPr>
        <w:t xml:space="preserve"> which, in our view, is the backbone of the emerging political system of the </w:t>
      </w:r>
      <w:r w:rsidR="00F02E0A">
        <w:rPr>
          <w:sz w:val="24"/>
          <w:szCs w:val="24"/>
        </w:rPr>
        <w:t>EU</w:t>
      </w:r>
      <w:r>
        <w:rPr>
          <w:sz w:val="24"/>
          <w:szCs w:val="24"/>
        </w:rPr>
        <w:t>. More concretely, we discuss avenues how best to conceptualize this emerging administrative order</w:t>
      </w:r>
      <w:r w:rsidR="00E8497B" w:rsidRPr="00894766">
        <w:rPr>
          <w:sz w:val="24"/>
          <w:szCs w:val="24"/>
        </w:rPr>
        <w:t xml:space="preserve">. </w:t>
      </w:r>
      <w:r w:rsidR="00FE706D" w:rsidRPr="00894766">
        <w:rPr>
          <w:sz w:val="24"/>
          <w:szCs w:val="24"/>
        </w:rPr>
        <w:t>One enduring challenge in</w:t>
      </w:r>
      <w:r w:rsidR="00AA723E" w:rsidRPr="00894766">
        <w:rPr>
          <w:sz w:val="24"/>
          <w:szCs w:val="24"/>
        </w:rPr>
        <w:t xml:space="preserve"> so doing</w:t>
      </w:r>
      <w:r w:rsidR="00FE706D" w:rsidRPr="00894766">
        <w:rPr>
          <w:sz w:val="24"/>
          <w:szCs w:val="24"/>
        </w:rPr>
        <w:t xml:space="preserve"> is to establish meaningful categories that capture essential </w:t>
      </w:r>
      <w:r w:rsidR="006A22E1" w:rsidRPr="00894766">
        <w:rPr>
          <w:sz w:val="24"/>
          <w:szCs w:val="24"/>
        </w:rPr>
        <w:t xml:space="preserve">and enduring </w:t>
      </w:r>
      <w:r w:rsidR="00FE706D" w:rsidRPr="00894766">
        <w:rPr>
          <w:sz w:val="24"/>
          <w:szCs w:val="24"/>
        </w:rPr>
        <w:t xml:space="preserve">characteristics of such an order. </w:t>
      </w:r>
      <w:r w:rsidR="00AA723E" w:rsidRPr="00894766">
        <w:rPr>
          <w:sz w:val="24"/>
          <w:szCs w:val="24"/>
        </w:rPr>
        <w:t xml:space="preserve">Our starting assumption </w:t>
      </w:r>
      <w:r w:rsidR="00F02E0A" w:rsidRPr="00894766">
        <w:rPr>
          <w:sz w:val="24"/>
          <w:szCs w:val="24"/>
        </w:rPr>
        <w:t xml:space="preserve">is </w:t>
      </w:r>
      <w:r>
        <w:rPr>
          <w:sz w:val="24"/>
          <w:szCs w:val="24"/>
        </w:rPr>
        <w:t xml:space="preserve">therefore </w:t>
      </w:r>
      <w:r w:rsidR="00AA723E" w:rsidRPr="00894766">
        <w:rPr>
          <w:sz w:val="24"/>
          <w:szCs w:val="24"/>
        </w:rPr>
        <w:t xml:space="preserve">that adequate analytical categories to classify contemporary European political-administrative life should offer more empirical variation </w:t>
      </w:r>
      <w:r w:rsidR="00AA723E" w:rsidRPr="00894766">
        <w:rPr>
          <w:i/>
          <w:sz w:val="24"/>
          <w:szCs w:val="24"/>
        </w:rPr>
        <w:t>between</w:t>
      </w:r>
      <w:r w:rsidR="00AA723E" w:rsidRPr="00894766">
        <w:rPr>
          <w:sz w:val="24"/>
          <w:szCs w:val="24"/>
        </w:rPr>
        <w:t xml:space="preserve"> than within categories. </w:t>
      </w:r>
      <w:r w:rsidR="00C65B1A">
        <w:rPr>
          <w:sz w:val="24"/>
          <w:szCs w:val="24"/>
        </w:rPr>
        <w:t>Acknowledging</w:t>
      </w:r>
      <w:r w:rsidR="006A22E1" w:rsidRPr="00894766">
        <w:rPr>
          <w:sz w:val="24"/>
          <w:szCs w:val="24"/>
        </w:rPr>
        <w:t xml:space="preserve"> that both</w:t>
      </w:r>
      <w:r w:rsidR="00935788" w:rsidRPr="00894766">
        <w:rPr>
          <w:sz w:val="24"/>
          <w:szCs w:val="24"/>
        </w:rPr>
        <w:t xml:space="preserve"> a</w:t>
      </w:r>
      <w:r w:rsidR="00FE706D" w:rsidRPr="00894766">
        <w:rPr>
          <w:sz w:val="24"/>
          <w:szCs w:val="24"/>
        </w:rPr>
        <w:t xml:space="preserve">nalysts and practitioners </w:t>
      </w:r>
      <w:r w:rsidR="006A22E1" w:rsidRPr="00894766">
        <w:rPr>
          <w:sz w:val="24"/>
          <w:szCs w:val="24"/>
        </w:rPr>
        <w:t xml:space="preserve">face problems of meaningful categorization </w:t>
      </w:r>
      <w:r w:rsidR="00151200">
        <w:rPr>
          <w:sz w:val="24"/>
          <w:szCs w:val="24"/>
        </w:rPr>
        <w:t>that</w:t>
      </w:r>
      <w:r w:rsidR="00FE706D" w:rsidRPr="00894766">
        <w:rPr>
          <w:sz w:val="24"/>
          <w:szCs w:val="24"/>
        </w:rPr>
        <w:t xml:space="preserve"> capture essential aspects of </w:t>
      </w:r>
      <w:r w:rsidR="00AA723E" w:rsidRPr="00894766">
        <w:rPr>
          <w:sz w:val="24"/>
          <w:szCs w:val="24"/>
        </w:rPr>
        <w:t>social</w:t>
      </w:r>
      <w:r w:rsidR="00935788" w:rsidRPr="00894766">
        <w:rPr>
          <w:sz w:val="24"/>
          <w:szCs w:val="24"/>
        </w:rPr>
        <w:t xml:space="preserve"> order in general</w:t>
      </w:r>
      <w:r w:rsidR="00151200">
        <w:rPr>
          <w:sz w:val="24"/>
          <w:szCs w:val="24"/>
        </w:rPr>
        <w:t xml:space="preserve"> (Dahlstrom et al.</w:t>
      </w:r>
      <w:r w:rsidR="004C27BD">
        <w:rPr>
          <w:sz w:val="24"/>
          <w:szCs w:val="24"/>
        </w:rPr>
        <w:t>,</w:t>
      </w:r>
      <w:r w:rsidR="00151200">
        <w:rPr>
          <w:sz w:val="24"/>
          <w:szCs w:val="24"/>
        </w:rPr>
        <w:t xml:space="preserve"> 2012; Painter and Peters</w:t>
      </w:r>
      <w:r w:rsidR="004C27BD">
        <w:rPr>
          <w:sz w:val="24"/>
          <w:szCs w:val="24"/>
        </w:rPr>
        <w:t>,</w:t>
      </w:r>
      <w:r w:rsidR="00151200">
        <w:rPr>
          <w:sz w:val="24"/>
          <w:szCs w:val="24"/>
        </w:rPr>
        <w:t xml:space="preserve"> 2010: 6; Waldo</w:t>
      </w:r>
      <w:r w:rsidR="004C27BD">
        <w:rPr>
          <w:sz w:val="24"/>
          <w:szCs w:val="24"/>
        </w:rPr>
        <w:t>,</w:t>
      </w:r>
      <w:r w:rsidR="00151200">
        <w:rPr>
          <w:sz w:val="24"/>
          <w:szCs w:val="24"/>
        </w:rPr>
        <w:t xml:space="preserve"> 1992: 37)</w:t>
      </w:r>
      <w:r w:rsidR="00935788" w:rsidRPr="00894766">
        <w:rPr>
          <w:sz w:val="24"/>
          <w:szCs w:val="24"/>
        </w:rPr>
        <w:t xml:space="preserve">, and the European </w:t>
      </w:r>
      <w:r w:rsidR="00FE706D" w:rsidRPr="00894766">
        <w:rPr>
          <w:sz w:val="24"/>
          <w:szCs w:val="24"/>
        </w:rPr>
        <w:t>political-administrative system</w:t>
      </w:r>
      <w:r w:rsidR="00935788" w:rsidRPr="00894766">
        <w:rPr>
          <w:sz w:val="24"/>
          <w:szCs w:val="24"/>
        </w:rPr>
        <w:t xml:space="preserve"> in particular</w:t>
      </w:r>
      <w:r w:rsidR="00AA723E" w:rsidRPr="00894766">
        <w:rPr>
          <w:sz w:val="24"/>
          <w:szCs w:val="24"/>
        </w:rPr>
        <w:t xml:space="preserve">, this paper suggests a conceptual frame through which administrative order may be </w:t>
      </w:r>
      <w:r w:rsidR="00AA723E" w:rsidRPr="00894766">
        <w:rPr>
          <w:sz w:val="24"/>
          <w:szCs w:val="24"/>
        </w:rPr>
        <w:lastRenderedPageBreak/>
        <w:t>understood</w:t>
      </w:r>
      <w:r w:rsidR="00FE706D" w:rsidRPr="00894766">
        <w:rPr>
          <w:sz w:val="24"/>
          <w:szCs w:val="24"/>
        </w:rPr>
        <w:t>.</w:t>
      </w:r>
      <w:r w:rsidR="00935788" w:rsidRPr="00894766">
        <w:rPr>
          <w:sz w:val="24"/>
          <w:szCs w:val="24"/>
        </w:rPr>
        <w:t xml:space="preserve"> </w:t>
      </w:r>
      <w:r>
        <w:rPr>
          <w:sz w:val="24"/>
          <w:szCs w:val="24"/>
        </w:rPr>
        <w:t xml:space="preserve">Putting thus the emphasis on administrative interaction and emerging structures is an attempt to rectify the ongoing debate about the </w:t>
      </w:r>
      <w:r w:rsidR="00BD6748">
        <w:rPr>
          <w:sz w:val="24"/>
          <w:szCs w:val="24"/>
        </w:rPr>
        <w:t>nature</w:t>
      </w:r>
      <w:r>
        <w:rPr>
          <w:sz w:val="24"/>
          <w:szCs w:val="24"/>
        </w:rPr>
        <w:t xml:space="preserve"> of the EU polity in which </w:t>
      </w:r>
      <w:r w:rsidR="00151200">
        <w:rPr>
          <w:sz w:val="24"/>
          <w:szCs w:val="24"/>
        </w:rPr>
        <w:t>the administrative dimension</w:t>
      </w:r>
      <w:r w:rsidR="00C83B0F">
        <w:rPr>
          <w:sz w:val="24"/>
          <w:szCs w:val="24"/>
        </w:rPr>
        <w:t xml:space="preserve"> is by and large neglected</w:t>
      </w:r>
      <w:r w:rsidR="00151200">
        <w:rPr>
          <w:sz w:val="24"/>
          <w:szCs w:val="24"/>
        </w:rPr>
        <w:t xml:space="preserve">. </w:t>
      </w:r>
      <w:r w:rsidR="00C83B0F">
        <w:rPr>
          <w:sz w:val="24"/>
          <w:szCs w:val="24"/>
        </w:rPr>
        <w:t>Be it</w:t>
      </w:r>
      <w:r w:rsidR="00151200">
        <w:rPr>
          <w:sz w:val="24"/>
          <w:szCs w:val="24"/>
        </w:rPr>
        <w:t xml:space="preserve"> </w:t>
      </w:r>
      <w:r w:rsidR="001006FA">
        <w:rPr>
          <w:sz w:val="24"/>
          <w:szCs w:val="24"/>
        </w:rPr>
        <w:t>constructivist perspectives (Checkel</w:t>
      </w:r>
      <w:r w:rsidR="004C27BD">
        <w:rPr>
          <w:sz w:val="24"/>
          <w:szCs w:val="24"/>
        </w:rPr>
        <w:t>,</w:t>
      </w:r>
      <w:r w:rsidR="001006FA">
        <w:rPr>
          <w:sz w:val="24"/>
          <w:szCs w:val="24"/>
        </w:rPr>
        <w:t xml:space="preserve"> 2005), </w:t>
      </w:r>
      <w:r w:rsidR="001006FA" w:rsidRPr="00894766">
        <w:rPr>
          <w:sz w:val="24"/>
          <w:szCs w:val="24"/>
        </w:rPr>
        <w:t>intergovernmental</w:t>
      </w:r>
      <w:r w:rsidR="001006FA">
        <w:rPr>
          <w:sz w:val="24"/>
          <w:szCs w:val="24"/>
        </w:rPr>
        <w:t>ism</w:t>
      </w:r>
      <w:r w:rsidR="001006FA" w:rsidRPr="00894766">
        <w:rPr>
          <w:sz w:val="24"/>
          <w:szCs w:val="24"/>
        </w:rPr>
        <w:t xml:space="preserve"> (Moravcsik</w:t>
      </w:r>
      <w:r w:rsidR="004C27BD">
        <w:rPr>
          <w:sz w:val="24"/>
          <w:szCs w:val="24"/>
        </w:rPr>
        <w:t>,</w:t>
      </w:r>
      <w:r w:rsidR="001006FA">
        <w:rPr>
          <w:sz w:val="24"/>
          <w:szCs w:val="24"/>
        </w:rPr>
        <w:t xml:space="preserve"> 1998), </w:t>
      </w:r>
      <w:r w:rsidR="00C83B0F">
        <w:rPr>
          <w:sz w:val="24"/>
          <w:szCs w:val="24"/>
        </w:rPr>
        <w:t xml:space="preserve">or </w:t>
      </w:r>
      <w:r w:rsidR="00007A68" w:rsidRPr="00894766">
        <w:rPr>
          <w:sz w:val="24"/>
          <w:szCs w:val="24"/>
        </w:rPr>
        <w:t>multilevel governance</w:t>
      </w:r>
      <w:r w:rsidR="00AA723E" w:rsidRPr="00894766">
        <w:rPr>
          <w:sz w:val="24"/>
          <w:szCs w:val="24"/>
        </w:rPr>
        <w:t xml:space="preserve"> </w:t>
      </w:r>
      <w:r w:rsidR="00007A68" w:rsidRPr="00894766">
        <w:rPr>
          <w:sz w:val="24"/>
          <w:szCs w:val="24"/>
        </w:rPr>
        <w:t>(</w:t>
      </w:r>
      <w:r w:rsidR="001006FA">
        <w:rPr>
          <w:sz w:val="24"/>
          <w:szCs w:val="24"/>
        </w:rPr>
        <w:t>Hooghe and Marks</w:t>
      </w:r>
      <w:r w:rsidR="004C27BD">
        <w:rPr>
          <w:sz w:val="24"/>
          <w:szCs w:val="24"/>
        </w:rPr>
        <w:t>,</w:t>
      </w:r>
      <w:r w:rsidR="001006FA">
        <w:rPr>
          <w:sz w:val="24"/>
          <w:szCs w:val="24"/>
        </w:rPr>
        <w:t xml:space="preserve"> 2001; </w:t>
      </w:r>
      <w:r w:rsidR="00AA723E" w:rsidRPr="00894766">
        <w:rPr>
          <w:sz w:val="24"/>
          <w:szCs w:val="24"/>
        </w:rPr>
        <w:t>Marks</w:t>
      </w:r>
      <w:r w:rsidR="004C27BD">
        <w:rPr>
          <w:sz w:val="24"/>
          <w:szCs w:val="24"/>
        </w:rPr>
        <w:t>,</w:t>
      </w:r>
      <w:r w:rsidR="00007A68" w:rsidRPr="00894766">
        <w:rPr>
          <w:sz w:val="24"/>
          <w:szCs w:val="24"/>
        </w:rPr>
        <w:t xml:space="preserve"> 1992)</w:t>
      </w:r>
      <w:r w:rsidR="00C65B1A">
        <w:rPr>
          <w:sz w:val="24"/>
          <w:szCs w:val="24"/>
        </w:rPr>
        <w:t>,</w:t>
      </w:r>
      <w:r w:rsidR="00C83B0F">
        <w:rPr>
          <w:sz w:val="24"/>
          <w:szCs w:val="24"/>
        </w:rPr>
        <w:t xml:space="preserve"> administrative factors are usually treated as secondary importance</w:t>
      </w:r>
      <w:r w:rsidR="001006FA">
        <w:rPr>
          <w:sz w:val="24"/>
          <w:szCs w:val="24"/>
        </w:rPr>
        <w:t>.</w:t>
      </w:r>
      <w:r w:rsidR="00007A68" w:rsidRPr="00894766">
        <w:rPr>
          <w:sz w:val="24"/>
          <w:szCs w:val="24"/>
        </w:rPr>
        <w:t xml:space="preserve"> </w:t>
      </w:r>
      <w:r w:rsidR="003C16AC">
        <w:rPr>
          <w:sz w:val="24"/>
          <w:szCs w:val="24"/>
        </w:rPr>
        <w:t xml:space="preserve">This article follows </w:t>
      </w:r>
      <w:r w:rsidR="00C65B1A">
        <w:rPr>
          <w:sz w:val="24"/>
          <w:szCs w:val="24"/>
        </w:rPr>
        <w:t>a</w:t>
      </w:r>
      <w:r w:rsidR="003C16AC">
        <w:rPr>
          <w:sz w:val="24"/>
          <w:szCs w:val="24"/>
        </w:rPr>
        <w:t xml:space="preserve"> strand of though from early neo-functionalism where integration of bureaucratic elites were considered essential for European integration </w:t>
      </w:r>
      <w:r w:rsidR="003C16AC" w:rsidRPr="003C16AC">
        <w:rPr>
          <w:sz w:val="24"/>
          <w:szCs w:val="24"/>
        </w:rPr>
        <w:t>(Haas</w:t>
      </w:r>
      <w:r w:rsidR="004C27BD">
        <w:rPr>
          <w:sz w:val="24"/>
          <w:szCs w:val="24"/>
        </w:rPr>
        <w:t>,</w:t>
      </w:r>
      <w:r w:rsidR="003C16AC" w:rsidRPr="003C16AC">
        <w:rPr>
          <w:sz w:val="24"/>
          <w:szCs w:val="24"/>
        </w:rPr>
        <w:t xml:space="preserve"> 1958: 16), </w:t>
      </w:r>
      <w:r w:rsidR="00C65B1A">
        <w:rPr>
          <w:sz w:val="24"/>
          <w:szCs w:val="24"/>
        </w:rPr>
        <w:t>and also</w:t>
      </w:r>
      <w:r w:rsidR="00E24A0B">
        <w:rPr>
          <w:sz w:val="24"/>
          <w:szCs w:val="24"/>
        </w:rPr>
        <w:t xml:space="preserve"> </w:t>
      </w:r>
      <w:r w:rsidR="00C65B1A">
        <w:rPr>
          <w:sz w:val="24"/>
          <w:szCs w:val="24"/>
        </w:rPr>
        <w:t>recent</w:t>
      </w:r>
      <w:r w:rsidR="00E24A0B">
        <w:rPr>
          <w:sz w:val="24"/>
          <w:szCs w:val="24"/>
        </w:rPr>
        <w:t xml:space="preserve"> </w:t>
      </w:r>
      <w:r w:rsidR="00C65B1A">
        <w:rPr>
          <w:sz w:val="24"/>
          <w:szCs w:val="24"/>
        </w:rPr>
        <w:t xml:space="preserve">advances in </w:t>
      </w:r>
      <w:r w:rsidR="00E24A0B">
        <w:rPr>
          <w:sz w:val="24"/>
          <w:szCs w:val="24"/>
        </w:rPr>
        <w:t>neo-functionalis</w:t>
      </w:r>
      <w:r w:rsidR="00C65B1A">
        <w:rPr>
          <w:sz w:val="24"/>
          <w:szCs w:val="24"/>
        </w:rPr>
        <w:t>t work</w:t>
      </w:r>
      <w:r w:rsidR="00E24A0B">
        <w:rPr>
          <w:sz w:val="24"/>
          <w:szCs w:val="24"/>
        </w:rPr>
        <w:t xml:space="preserve"> by emphasising how organizations and ways of organizing may bias such processes </w:t>
      </w:r>
      <w:r w:rsidR="003C16AC" w:rsidRPr="003C16AC">
        <w:rPr>
          <w:sz w:val="24"/>
          <w:szCs w:val="24"/>
        </w:rPr>
        <w:t>(Niemann</w:t>
      </w:r>
      <w:r w:rsidR="004C27BD">
        <w:rPr>
          <w:sz w:val="24"/>
          <w:szCs w:val="24"/>
        </w:rPr>
        <w:t>,</w:t>
      </w:r>
      <w:r w:rsidR="003C16AC" w:rsidRPr="003C16AC">
        <w:rPr>
          <w:sz w:val="24"/>
          <w:szCs w:val="24"/>
        </w:rPr>
        <w:t xml:space="preserve"> 2006: 280; Niemann </w:t>
      </w:r>
      <w:r w:rsidR="004C27BD">
        <w:rPr>
          <w:sz w:val="24"/>
          <w:szCs w:val="24"/>
        </w:rPr>
        <w:t>and</w:t>
      </w:r>
      <w:r w:rsidR="003C16AC" w:rsidRPr="003C16AC">
        <w:rPr>
          <w:sz w:val="24"/>
          <w:szCs w:val="24"/>
        </w:rPr>
        <w:t xml:space="preserve"> Schmitter</w:t>
      </w:r>
      <w:r w:rsidR="004C27BD">
        <w:rPr>
          <w:sz w:val="24"/>
          <w:szCs w:val="24"/>
        </w:rPr>
        <w:t>,</w:t>
      </w:r>
      <w:r w:rsidR="003C16AC" w:rsidRPr="003C16AC">
        <w:rPr>
          <w:sz w:val="24"/>
          <w:szCs w:val="24"/>
        </w:rPr>
        <w:t xml:space="preserve"> 2009: 55</w:t>
      </w:r>
      <w:r w:rsidR="00E24A0B">
        <w:rPr>
          <w:sz w:val="24"/>
          <w:szCs w:val="24"/>
        </w:rPr>
        <w:t>; Sverdrup and Trondal</w:t>
      </w:r>
      <w:r w:rsidR="004C27BD">
        <w:rPr>
          <w:sz w:val="24"/>
          <w:szCs w:val="24"/>
        </w:rPr>
        <w:t>,</w:t>
      </w:r>
      <w:r w:rsidR="00E24A0B">
        <w:rPr>
          <w:sz w:val="24"/>
          <w:szCs w:val="24"/>
        </w:rPr>
        <w:t xml:space="preserve"> 2008</w:t>
      </w:r>
      <w:r w:rsidR="003C16AC" w:rsidRPr="003C16AC">
        <w:rPr>
          <w:sz w:val="24"/>
          <w:szCs w:val="24"/>
        </w:rPr>
        <w:t xml:space="preserve">). </w:t>
      </w:r>
      <w:r w:rsidR="001006FA">
        <w:rPr>
          <w:sz w:val="24"/>
          <w:szCs w:val="24"/>
        </w:rPr>
        <w:t xml:space="preserve">The ambition of this </w:t>
      </w:r>
      <w:r w:rsidR="004C27BD">
        <w:rPr>
          <w:sz w:val="24"/>
          <w:szCs w:val="24"/>
        </w:rPr>
        <w:t>article</w:t>
      </w:r>
      <w:r w:rsidR="001006FA">
        <w:rPr>
          <w:sz w:val="24"/>
          <w:szCs w:val="24"/>
        </w:rPr>
        <w:t xml:space="preserve"> is </w:t>
      </w:r>
      <w:r w:rsidR="00BD6748">
        <w:rPr>
          <w:sz w:val="24"/>
          <w:szCs w:val="24"/>
        </w:rPr>
        <w:t>three-fold</w:t>
      </w:r>
      <w:r w:rsidR="001006FA">
        <w:rPr>
          <w:sz w:val="24"/>
          <w:szCs w:val="24"/>
        </w:rPr>
        <w:t xml:space="preserve">: </w:t>
      </w:r>
    </w:p>
    <w:p w:rsidR="001006FA" w:rsidRDefault="001006FA" w:rsidP="00703D22">
      <w:pPr>
        <w:spacing w:after="0" w:line="480" w:lineRule="auto"/>
        <w:rPr>
          <w:sz w:val="24"/>
          <w:szCs w:val="24"/>
        </w:rPr>
      </w:pPr>
    </w:p>
    <w:p w:rsidR="001006FA" w:rsidRDefault="001006FA" w:rsidP="001006FA">
      <w:pPr>
        <w:pStyle w:val="Listeavsnitt"/>
        <w:numPr>
          <w:ilvl w:val="0"/>
          <w:numId w:val="3"/>
        </w:numPr>
        <w:spacing w:after="0" w:line="480" w:lineRule="auto"/>
        <w:rPr>
          <w:sz w:val="24"/>
          <w:szCs w:val="24"/>
        </w:rPr>
      </w:pPr>
      <w:r w:rsidRPr="001006FA">
        <w:rPr>
          <w:sz w:val="24"/>
          <w:szCs w:val="24"/>
        </w:rPr>
        <w:t>Firstly, it</w:t>
      </w:r>
      <w:r w:rsidR="00007A68" w:rsidRPr="001006FA">
        <w:rPr>
          <w:sz w:val="24"/>
          <w:szCs w:val="24"/>
        </w:rPr>
        <w:t xml:space="preserve"> offers a supplementary conceptual frame that takes the ‘administrative dimensions’ seriously. </w:t>
      </w:r>
      <w:r w:rsidR="000B0D3A" w:rsidRPr="001006FA">
        <w:rPr>
          <w:sz w:val="24"/>
          <w:szCs w:val="24"/>
        </w:rPr>
        <w:t xml:space="preserve">It is suggested that the European politico-administrative system </w:t>
      </w:r>
      <w:r w:rsidR="00C83B0F">
        <w:rPr>
          <w:sz w:val="24"/>
          <w:szCs w:val="24"/>
        </w:rPr>
        <w:t>needs to be understood</w:t>
      </w:r>
      <w:r w:rsidR="000B0D3A" w:rsidRPr="001006FA">
        <w:rPr>
          <w:sz w:val="24"/>
          <w:szCs w:val="24"/>
        </w:rPr>
        <w:t xml:space="preserve"> as a European multilevel administrative system (MLA). </w:t>
      </w:r>
    </w:p>
    <w:p w:rsidR="001006FA" w:rsidRDefault="001006FA" w:rsidP="001006FA">
      <w:pPr>
        <w:pStyle w:val="Listeavsnitt"/>
        <w:numPr>
          <w:ilvl w:val="0"/>
          <w:numId w:val="3"/>
        </w:numPr>
        <w:spacing w:after="0" w:line="480" w:lineRule="auto"/>
        <w:rPr>
          <w:sz w:val="24"/>
          <w:szCs w:val="24"/>
        </w:rPr>
      </w:pPr>
      <w:r>
        <w:rPr>
          <w:sz w:val="24"/>
          <w:szCs w:val="24"/>
        </w:rPr>
        <w:t xml:space="preserve">Secondly, the ambition is to </w:t>
      </w:r>
      <w:r w:rsidR="006C4B1B">
        <w:rPr>
          <w:sz w:val="24"/>
          <w:szCs w:val="24"/>
        </w:rPr>
        <w:t>suggest how</w:t>
      </w:r>
      <w:r>
        <w:rPr>
          <w:sz w:val="24"/>
          <w:szCs w:val="24"/>
        </w:rPr>
        <w:t xml:space="preserve"> the MLA approach differ</w:t>
      </w:r>
      <w:r w:rsidR="006C41E1">
        <w:rPr>
          <w:sz w:val="24"/>
          <w:szCs w:val="24"/>
        </w:rPr>
        <w:t>s</w:t>
      </w:r>
      <w:r>
        <w:rPr>
          <w:sz w:val="24"/>
          <w:szCs w:val="24"/>
        </w:rPr>
        <w:t xml:space="preserve"> from </w:t>
      </w:r>
      <w:r w:rsidR="006C41E1">
        <w:rPr>
          <w:sz w:val="24"/>
          <w:szCs w:val="24"/>
        </w:rPr>
        <w:t>what might be perceived as its main</w:t>
      </w:r>
      <w:r>
        <w:rPr>
          <w:sz w:val="24"/>
          <w:szCs w:val="24"/>
        </w:rPr>
        <w:t xml:space="preserve"> </w:t>
      </w:r>
      <w:r w:rsidR="006C4B1B">
        <w:rPr>
          <w:sz w:val="24"/>
          <w:szCs w:val="24"/>
        </w:rPr>
        <w:t>conceptual rivals</w:t>
      </w:r>
      <w:r>
        <w:rPr>
          <w:sz w:val="24"/>
          <w:szCs w:val="24"/>
        </w:rPr>
        <w:t xml:space="preserve"> – the multilevel governance approach (MLG)</w:t>
      </w:r>
      <w:r w:rsidR="006C4B1B">
        <w:rPr>
          <w:sz w:val="24"/>
          <w:szCs w:val="24"/>
        </w:rPr>
        <w:t>.</w:t>
      </w:r>
    </w:p>
    <w:p w:rsidR="001006FA" w:rsidRDefault="001006FA" w:rsidP="001006FA">
      <w:pPr>
        <w:pStyle w:val="Listeavsnitt"/>
        <w:numPr>
          <w:ilvl w:val="0"/>
          <w:numId w:val="3"/>
        </w:numPr>
        <w:spacing w:after="0" w:line="480" w:lineRule="auto"/>
        <w:rPr>
          <w:sz w:val="24"/>
          <w:szCs w:val="24"/>
        </w:rPr>
      </w:pPr>
      <w:r>
        <w:rPr>
          <w:sz w:val="24"/>
          <w:szCs w:val="24"/>
        </w:rPr>
        <w:t xml:space="preserve">Finally, the </w:t>
      </w:r>
      <w:r w:rsidR="004C27BD">
        <w:rPr>
          <w:sz w:val="24"/>
          <w:szCs w:val="24"/>
        </w:rPr>
        <w:t>article</w:t>
      </w:r>
      <w:r>
        <w:rPr>
          <w:sz w:val="24"/>
          <w:szCs w:val="24"/>
        </w:rPr>
        <w:t xml:space="preserve"> offer</w:t>
      </w:r>
      <w:r w:rsidR="006C4B1B">
        <w:rPr>
          <w:sz w:val="24"/>
          <w:szCs w:val="24"/>
        </w:rPr>
        <w:t>s</w:t>
      </w:r>
      <w:r>
        <w:rPr>
          <w:sz w:val="24"/>
          <w:szCs w:val="24"/>
        </w:rPr>
        <w:t xml:space="preserve"> some empirical illustrations of </w:t>
      </w:r>
      <w:r w:rsidR="00C83B0F">
        <w:rPr>
          <w:sz w:val="24"/>
          <w:szCs w:val="24"/>
        </w:rPr>
        <w:t xml:space="preserve">how </w:t>
      </w:r>
      <w:r>
        <w:rPr>
          <w:sz w:val="24"/>
          <w:szCs w:val="24"/>
        </w:rPr>
        <w:t xml:space="preserve">the MLA approach </w:t>
      </w:r>
      <w:r w:rsidR="00C83B0F">
        <w:rPr>
          <w:sz w:val="24"/>
          <w:szCs w:val="24"/>
        </w:rPr>
        <w:t xml:space="preserve">adds to our understanding of organizational formation and interaction in </w:t>
      </w:r>
      <w:r>
        <w:rPr>
          <w:sz w:val="24"/>
          <w:szCs w:val="24"/>
        </w:rPr>
        <w:t xml:space="preserve">the contemporary European administrative system. </w:t>
      </w:r>
    </w:p>
    <w:p w:rsidR="001006FA" w:rsidRDefault="001006FA" w:rsidP="001006FA">
      <w:pPr>
        <w:spacing w:after="0" w:line="480" w:lineRule="auto"/>
        <w:rPr>
          <w:rFonts w:eastAsia="Times New Roman" w:cs="Calibri"/>
          <w:sz w:val="24"/>
          <w:szCs w:val="24"/>
          <w:lang w:eastAsia="de-DE"/>
        </w:rPr>
      </w:pPr>
    </w:p>
    <w:p w:rsidR="006C4B1B" w:rsidRDefault="001006FA" w:rsidP="001006FA">
      <w:pPr>
        <w:spacing w:after="0" w:line="480" w:lineRule="auto"/>
        <w:rPr>
          <w:rFonts w:eastAsia="Times New Roman" w:cs="Calibri"/>
          <w:sz w:val="24"/>
          <w:szCs w:val="24"/>
          <w:lang w:eastAsia="de-DE"/>
        </w:rPr>
      </w:pPr>
      <w:r>
        <w:rPr>
          <w:rFonts w:eastAsia="Times New Roman" w:cs="Calibri"/>
          <w:sz w:val="24"/>
          <w:szCs w:val="24"/>
          <w:lang w:eastAsia="de-DE"/>
        </w:rPr>
        <w:t>D</w:t>
      </w:r>
      <w:r w:rsidR="000B0D3A" w:rsidRPr="001006FA">
        <w:rPr>
          <w:rFonts w:eastAsia="Times New Roman" w:cs="Calibri"/>
          <w:sz w:val="24"/>
          <w:szCs w:val="24"/>
          <w:lang w:eastAsia="de-DE"/>
        </w:rPr>
        <w:t>espite attaching focal attention to the administrative dimensions of the EU polity, ‘public administration’ is not analyzed in isolation</w:t>
      </w:r>
      <w:r w:rsidR="006C4B1B">
        <w:rPr>
          <w:rFonts w:eastAsia="Times New Roman" w:cs="Calibri"/>
          <w:sz w:val="24"/>
          <w:szCs w:val="24"/>
          <w:lang w:eastAsia="de-DE"/>
        </w:rPr>
        <w:t xml:space="preserve"> – as an ‘intellectual wasteland’ (Eluau</w:t>
      </w:r>
      <w:r w:rsidR="004C27BD">
        <w:rPr>
          <w:rFonts w:eastAsia="Times New Roman" w:cs="Calibri"/>
          <w:sz w:val="24"/>
          <w:szCs w:val="24"/>
          <w:lang w:eastAsia="de-DE"/>
        </w:rPr>
        <w:t>,</w:t>
      </w:r>
      <w:r w:rsidR="006C4B1B">
        <w:rPr>
          <w:rFonts w:eastAsia="Times New Roman" w:cs="Calibri"/>
          <w:sz w:val="24"/>
          <w:szCs w:val="24"/>
          <w:lang w:eastAsia="de-DE"/>
        </w:rPr>
        <w:t xml:space="preserve"> 1977: 421)</w:t>
      </w:r>
      <w:r w:rsidR="00453E68">
        <w:rPr>
          <w:rFonts w:eastAsia="Times New Roman" w:cs="Calibri"/>
          <w:sz w:val="24"/>
          <w:szCs w:val="24"/>
          <w:lang w:eastAsia="de-DE"/>
        </w:rPr>
        <w:t xml:space="preserve"> -</w:t>
      </w:r>
      <w:r w:rsidR="000B0D3A" w:rsidRPr="001006FA">
        <w:rPr>
          <w:rFonts w:eastAsia="Times New Roman" w:cs="Calibri"/>
          <w:sz w:val="24"/>
          <w:szCs w:val="24"/>
          <w:lang w:eastAsia="de-DE"/>
        </w:rPr>
        <w:t xml:space="preserve"> </w:t>
      </w:r>
      <w:r w:rsidR="000B0D3A" w:rsidRPr="001006FA">
        <w:rPr>
          <w:rFonts w:eastAsia="Times New Roman" w:cs="Calibri"/>
          <w:sz w:val="24"/>
          <w:szCs w:val="24"/>
          <w:lang w:eastAsia="de-DE"/>
        </w:rPr>
        <w:lastRenderedPageBreak/>
        <w:t>but rather as a set of capacities that mobilize systematic bias in the production of public policy</w:t>
      </w:r>
      <w:r w:rsidR="00C55295">
        <w:rPr>
          <w:rFonts w:eastAsia="Times New Roman" w:cs="Calibri"/>
          <w:sz w:val="24"/>
          <w:szCs w:val="24"/>
          <w:lang w:eastAsia="de-DE"/>
        </w:rPr>
        <w:t xml:space="preserve"> (Arellano-Gault et al.</w:t>
      </w:r>
      <w:r w:rsidR="004C27BD">
        <w:rPr>
          <w:rFonts w:eastAsia="Times New Roman" w:cs="Calibri"/>
          <w:sz w:val="24"/>
          <w:szCs w:val="24"/>
          <w:lang w:eastAsia="de-DE"/>
        </w:rPr>
        <w:t>,</w:t>
      </w:r>
      <w:r w:rsidR="000B0D3A" w:rsidRPr="001006FA">
        <w:rPr>
          <w:rFonts w:eastAsia="Times New Roman" w:cs="Calibri"/>
          <w:sz w:val="24"/>
          <w:szCs w:val="24"/>
          <w:lang w:eastAsia="de-DE"/>
        </w:rPr>
        <w:t xml:space="preserve"> 2013</w:t>
      </w:r>
      <w:r w:rsidR="00C55295">
        <w:rPr>
          <w:rFonts w:eastAsia="Times New Roman" w:cs="Calibri"/>
          <w:sz w:val="24"/>
          <w:szCs w:val="24"/>
          <w:lang w:eastAsia="de-DE"/>
        </w:rPr>
        <w:t>:</w:t>
      </w:r>
      <w:r w:rsidR="000B0D3A" w:rsidRPr="001006FA">
        <w:rPr>
          <w:rFonts w:eastAsia="Times New Roman" w:cs="Calibri"/>
          <w:sz w:val="24"/>
          <w:szCs w:val="24"/>
          <w:lang w:eastAsia="de-DE"/>
        </w:rPr>
        <w:t xml:space="preserve"> 154;</w:t>
      </w:r>
      <w:r w:rsidR="006C4B1B">
        <w:rPr>
          <w:rFonts w:eastAsia="Times New Roman" w:cs="Calibri"/>
          <w:sz w:val="24"/>
          <w:szCs w:val="24"/>
          <w:lang w:eastAsia="de-DE"/>
        </w:rPr>
        <w:t xml:space="preserve"> Gaus</w:t>
      </w:r>
      <w:r w:rsidR="004C27BD">
        <w:rPr>
          <w:rFonts w:eastAsia="Times New Roman" w:cs="Calibri"/>
          <w:sz w:val="24"/>
          <w:szCs w:val="24"/>
          <w:lang w:eastAsia="de-DE"/>
        </w:rPr>
        <w:t>,</w:t>
      </w:r>
      <w:r w:rsidR="006C4B1B">
        <w:rPr>
          <w:rFonts w:eastAsia="Times New Roman" w:cs="Calibri"/>
          <w:sz w:val="24"/>
          <w:szCs w:val="24"/>
          <w:lang w:eastAsia="de-DE"/>
        </w:rPr>
        <w:t xml:space="preserve"> 1950: 168;</w:t>
      </w:r>
      <w:r w:rsidR="000B0D3A" w:rsidRPr="001006FA">
        <w:rPr>
          <w:rFonts w:eastAsia="Times New Roman" w:cs="Calibri"/>
          <w:sz w:val="24"/>
          <w:szCs w:val="24"/>
          <w:lang w:eastAsia="de-DE"/>
        </w:rPr>
        <w:t xml:space="preserve"> Schattschneider</w:t>
      </w:r>
      <w:r w:rsidR="004C27BD">
        <w:rPr>
          <w:rFonts w:eastAsia="Times New Roman" w:cs="Calibri"/>
          <w:sz w:val="24"/>
          <w:szCs w:val="24"/>
          <w:lang w:eastAsia="de-DE"/>
        </w:rPr>
        <w:t>,</w:t>
      </w:r>
      <w:r w:rsidR="000B0D3A" w:rsidRPr="001006FA">
        <w:rPr>
          <w:rFonts w:eastAsia="Times New Roman" w:cs="Calibri"/>
          <w:sz w:val="24"/>
          <w:szCs w:val="24"/>
          <w:lang w:eastAsia="de-DE"/>
        </w:rPr>
        <w:t xml:space="preserve"> 1975). </w:t>
      </w:r>
      <w:r w:rsidR="00F02E0A">
        <w:rPr>
          <w:rFonts w:eastAsia="Times New Roman" w:cs="Calibri"/>
          <w:sz w:val="24"/>
          <w:szCs w:val="24"/>
          <w:lang w:eastAsia="de-DE"/>
        </w:rPr>
        <w:t>A</w:t>
      </w:r>
      <w:r w:rsidR="00825EAC" w:rsidRPr="001006FA">
        <w:rPr>
          <w:rFonts w:eastAsia="Times New Roman" w:cs="Calibri"/>
          <w:sz w:val="24"/>
          <w:szCs w:val="24"/>
          <w:lang w:eastAsia="de-DE"/>
        </w:rPr>
        <w:t>nalyzing</w:t>
      </w:r>
      <w:r w:rsidR="00F02E0A">
        <w:rPr>
          <w:rFonts w:eastAsia="Times New Roman" w:cs="Calibri"/>
          <w:sz w:val="24"/>
          <w:szCs w:val="24"/>
          <w:lang w:eastAsia="de-DE"/>
        </w:rPr>
        <w:t xml:space="preserve"> enduring</w:t>
      </w:r>
      <w:r w:rsidR="00825EAC" w:rsidRPr="001006FA">
        <w:rPr>
          <w:rFonts w:eastAsia="Times New Roman" w:cs="Calibri"/>
          <w:sz w:val="24"/>
          <w:szCs w:val="24"/>
          <w:lang w:eastAsia="de-DE"/>
        </w:rPr>
        <w:t xml:space="preserve"> patterns and dynamics of the administrative capacities of the EU are essential in</w:t>
      </w:r>
      <w:r w:rsidR="00486DF2" w:rsidRPr="001006FA">
        <w:rPr>
          <w:rFonts w:eastAsia="Times New Roman" w:cs="Calibri"/>
          <w:sz w:val="24"/>
          <w:szCs w:val="24"/>
          <w:lang w:eastAsia="de-DE"/>
        </w:rPr>
        <w:t xml:space="preserve"> our</w:t>
      </w:r>
      <w:r w:rsidR="00825EAC" w:rsidRPr="001006FA">
        <w:rPr>
          <w:rFonts w:eastAsia="Times New Roman" w:cs="Calibri"/>
          <w:sz w:val="24"/>
          <w:szCs w:val="24"/>
          <w:lang w:eastAsia="de-DE"/>
        </w:rPr>
        <w:t xml:space="preserve"> understanding</w:t>
      </w:r>
      <w:r w:rsidR="00486DF2" w:rsidRPr="001006FA">
        <w:rPr>
          <w:rFonts w:eastAsia="Times New Roman" w:cs="Calibri"/>
          <w:sz w:val="24"/>
          <w:szCs w:val="24"/>
          <w:lang w:eastAsia="de-DE"/>
        </w:rPr>
        <w:t xml:space="preserve"> of</w:t>
      </w:r>
      <w:r w:rsidR="00825EAC" w:rsidRPr="001006FA">
        <w:rPr>
          <w:rFonts w:eastAsia="Times New Roman" w:cs="Calibri"/>
          <w:sz w:val="24"/>
          <w:szCs w:val="24"/>
          <w:lang w:eastAsia="de-DE"/>
        </w:rPr>
        <w:t xml:space="preserve"> how </w:t>
      </w:r>
      <w:r w:rsidR="00375765" w:rsidRPr="001006FA">
        <w:rPr>
          <w:rFonts w:eastAsia="Times New Roman" w:cs="Calibri"/>
          <w:sz w:val="24"/>
          <w:szCs w:val="24"/>
          <w:lang w:eastAsia="de-DE"/>
        </w:rPr>
        <w:t>public policy</w:t>
      </w:r>
      <w:r w:rsidR="00375765">
        <w:rPr>
          <w:rFonts w:eastAsia="Times New Roman" w:cs="Calibri"/>
          <w:sz w:val="24"/>
          <w:szCs w:val="24"/>
          <w:lang w:eastAsia="de-DE"/>
        </w:rPr>
        <w:t xml:space="preserve"> is</w:t>
      </w:r>
      <w:r w:rsidR="00375765" w:rsidRPr="001006FA">
        <w:rPr>
          <w:rFonts w:eastAsia="Times New Roman" w:cs="Calibri"/>
          <w:sz w:val="24"/>
          <w:szCs w:val="24"/>
          <w:lang w:eastAsia="de-DE"/>
        </w:rPr>
        <w:t xml:space="preserve"> </w:t>
      </w:r>
      <w:r w:rsidR="00825EAC" w:rsidRPr="001006FA">
        <w:rPr>
          <w:rFonts w:eastAsia="Times New Roman" w:cs="Calibri"/>
          <w:sz w:val="24"/>
          <w:szCs w:val="24"/>
          <w:lang w:eastAsia="de-DE"/>
        </w:rPr>
        <w:t>shape</w:t>
      </w:r>
      <w:r w:rsidR="00375765">
        <w:rPr>
          <w:rFonts w:eastAsia="Times New Roman" w:cs="Calibri"/>
          <w:sz w:val="24"/>
          <w:szCs w:val="24"/>
          <w:lang w:eastAsia="de-DE"/>
        </w:rPr>
        <w:t>d</w:t>
      </w:r>
      <w:r w:rsidR="00486DF2" w:rsidRPr="001006FA">
        <w:rPr>
          <w:rFonts w:eastAsia="Times New Roman" w:cs="Calibri"/>
          <w:sz w:val="24"/>
          <w:szCs w:val="24"/>
          <w:lang w:eastAsia="de-DE"/>
        </w:rPr>
        <w:t xml:space="preserve"> and execute</w:t>
      </w:r>
      <w:r w:rsidR="00375765">
        <w:rPr>
          <w:rFonts w:eastAsia="Times New Roman" w:cs="Calibri"/>
          <w:sz w:val="24"/>
          <w:szCs w:val="24"/>
          <w:lang w:eastAsia="de-DE"/>
        </w:rPr>
        <w:t>d.</w:t>
      </w:r>
      <w:r w:rsidR="00825EAC" w:rsidRPr="001006FA">
        <w:rPr>
          <w:rFonts w:eastAsia="Times New Roman" w:cs="Calibri"/>
          <w:sz w:val="24"/>
          <w:szCs w:val="24"/>
          <w:lang w:eastAsia="de-DE"/>
        </w:rPr>
        <w:t xml:space="preserve"> </w:t>
      </w:r>
      <w:r w:rsidR="00F02E0A" w:rsidRPr="00F02E0A">
        <w:rPr>
          <w:sz w:val="24"/>
          <w:szCs w:val="24"/>
        </w:rPr>
        <w:t>The MLA approach is thus also a theory of political organization.</w:t>
      </w:r>
    </w:p>
    <w:p w:rsidR="006C4B1B" w:rsidRDefault="006C4B1B" w:rsidP="001006FA">
      <w:pPr>
        <w:spacing w:after="0" w:line="480" w:lineRule="auto"/>
        <w:rPr>
          <w:rFonts w:eastAsia="Times New Roman" w:cs="Calibri"/>
          <w:sz w:val="24"/>
          <w:szCs w:val="24"/>
          <w:lang w:eastAsia="de-DE"/>
        </w:rPr>
      </w:pPr>
    </w:p>
    <w:p w:rsidR="006C4B1B" w:rsidRPr="00894766" w:rsidRDefault="00825EAC" w:rsidP="006C4B1B">
      <w:pPr>
        <w:spacing w:after="0" w:line="480" w:lineRule="auto"/>
        <w:rPr>
          <w:rFonts w:eastAsia="Times New Roman" w:cs="Calibri"/>
          <w:sz w:val="24"/>
          <w:szCs w:val="24"/>
          <w:lang w:eastAsia="de-DE"/>
        </w:rPr>
      </w:pPr>
      <w:r w:rsidRPr="001006FA">
        <w:rPr>
          <w:rFonts w:eastAsia="Times New Roman" w:cs="Calibri"/>
          <w:sz w:val="24"/>
          <w:szCs w:val="24"/>
          <w:lang w:eastAsia="de-DE"/>
        </w:rPr>
        <w:t>Two concerns underpin the relevance of choosing such a focus.</w:t>
      </w:r>
      <w:r w:rsidR="006C4B1B" w:rsidRPr="006C4B1B">
        <w:rPr>
          <w:rFonts w:cs="Calibri"/>
          <w:sz w:val="24"/>
          <w:szCs w:val="24"/>
        </w:rPr>
        <w:t xml:space="preserve"> </w:t>
      </w:r>
      <w:r w:rsidR="006C4B1B">
        <w:rPr>
          <w:rFonts w:cs="Calibri"/>
          <w:sz w:val="24"/>
          <w:szCs w:val="24"/>
        </w:rPr>
        <w:t>Firstly</w:t>
      </w:r>
      <w:r w:rsidR="006C4B1B" w:rsidRPr="00894766">
        <w:rPr>
          <w:rFonts w:cs="Calibri"/>
          <w:sz w:val="24"/>
          <w:szCs w:val="24"/>
        </w:rPr>
        <w:t xml:space="preserve">, there is a broader theoretical interest behind analyzing the patterns and dynamics of the EU administrative system. This theoretical </w:t>
      </w:r>
      <w:r w:rsidR="00F02E0A">
        <w:rPr>
          <w:rFonts w:cs="Calibri"/>
          <w:sz w:val="24"/>
          <w:szCs w:val="24"/>
        </w:rPr>
        <w:t>agenda</w:t>
      </w:r>
      <w:r w:rsidR="006C4B1B" w:rsidRPr="00894766">
        <w:rPr>
          <w:rFonts w:cs="Calibri"/>
          <w:sz w:val="24"/>
          <w:szCs w:val="24"/>
        </w:rPr>
        <w:t xml:space="preserve"> relate</w:t>
      </w:r>
      <w:r w:rsidR="00F02E0A">
        <w:rPr>
          <w:rFonts w:cs="Calibri"/>
          <w:sz w:val="24"/>
          <w:szCs w:val="24"/>
        </w:rPr>
        <w:t>s</w:t>
      </w:r>
      <w:r w:rsidR="006C4B1B" w:rsidRPr="00894766">
        <w:rPr>
          <w:rFonts w:cs="Calibri"/>
          <w:sz w:val="24"/>
          <w:szCs w:val="24"/>
        </w:rPr>
        <w:t xml:space="preserve"> to the challenge that the emerging EU administrative system poses </w:t>
      </w:r>
      <w:r w:rsidR="00F02E0A">
        <w:rPr>
          <w:rFonts w:cs="Calibri"/>
          <w:sz w:val="24"/>
          <w:szCs w:val="24"/>
        </w:rPr>
        <w:t>to</w:t>
      </w:r>
      <w:r w:rsidR="00F02E0A" w:rsidRPr="00894766">
        <w:rPr>
          <w:rFonts w:cs="Calibri"/>
          <w:sz w:val="24"/>
          <w:szCs w:val="24"/>
        </w:rPr>
        <w:t xml:space="preserve"> </w:t>
      </w:r>
      <w:r w:rsidR="006C4B1B" w:rsidRPr="00894766">
        <w:rPr>
          <w:rFonts w:cs="Calibri"/>
          <w:sz w:val="24"/>
          <w:szCs w:val="24"/>
        </w:rPr>
        <w:t xml:space="preserve">the </w:t>
      </w:r>
      <w:r w:rsidR="00F02E0A">
        <w:rPr>
          <w:rFonts w:cs="Calibri"/>
          <w:sz w:val="24"/>
          <w:szCs w:val="24"/>
        </w:rPr>
        <w:t>sub-</w:t>
      </w:r>
      <w:r w:rsidR="006C4B1B" w:rsidRPr="00894766">
        <w:rPr>
          <w:rFonts w:cs="Calibri"/>
          <w:sz w:val="24"/>
          <w:szCs w:val="24"/>
        </w:rPr>
        <w:t>discipline of public administration which has been largely locked in ‘national laboratories’</w:t>
      </w:r>
      <w:r w:rsidR="006C4B1B">
        <w:rPr>
          <w:rFonts w:cs="Calibri"/>
          <w:sz w:val="24"/>
          <w:szCs w:val="24"/>
        </w:rPr>
        <w:t xml:space="preserve"> (Christensen and Lægreid</w:t>
      </w:r>
      <w:r w:rsidR="004C27BD">
        <w:rPr>
          <w:rFonts w:cs="Calibri"/>
          <w:sz w:val="24"/>
          <w:szCs w:val="24"/>
        </w:rPr>
        <w:t>,</w:t>
      </w:r>
      <w:r w:rsidR="006C4B1B">
        <w:rPr>
          <w:rFonts w:cs="Calibri"/>
          <w:sz w:val="24"/>
          <w:szCs w:val="24"/>
        </w:rPr>
        <w:t xml:space="preserve"> 2011; Verhoest et al.</w:t>
      </w:r>
      <w:r w:rsidR="004C27BD">
        <w:rPr>
          <w:rFonts w:cs="Calibri"/>
          <w:sz w:val="24"/>
          <w:szCs w:val="24"/>
        </w:rPr>
        <w:t>,</w:t>
      </w:r>
      <w:r w:rsidR="006C4B1B">
        <w:rPr>
          <w:rFonts w:cs="Calibri"/>
          <w:sz w:val="24"/>
          <w:szCs w:val="24"/>
        </w:rPr>
        <w:t xml:space="preserve"> 2012)</w:t>
      </w:r>
      <w:r w:rsidR="006C4B1B" w:rsidRPr="00894766">
        <w:rPr>
          <w:rFonts w:cs="Calibri"/>
          <w:sz w:val="24"/>
          <w:szCs w:val="24"/>
        </w:rPr>
        <w:t xml:space="preserve">. Theoretical lessons from social sciences are </w:t>
      </w:r>
      <w:r w:rsidR="00C65B1A">
        <w:rPr>
          <w:rFonts w:cs="Calibri"/>
          <w:sz w:val="24"/>
          <w:szCs w:val="24"/>
        </w:rPr>
        <w:t>often</w:t>
      </w:r>
      <w:r w:rsidR="006C4B1B" w:rsidRPr="00894766">
        <w:rPr>
          <w:rFonts w:cs="Calibri"/>
          <w:sz w:val="24"/>
          <w:szCs w:val="24"/>
        </w:rPr>
        <w:t xml:space="preserve"> affected by the empirical laboratories available to scholars. The domain of public administration</w:t>
      </w:r>
      <w:r w:rsidR="00C65B1A">
        <w:rPr>
          <w:rFonts w:cs="Calibri"/>
          <w:sz w:val="24"/>
          <w:szCs w:val="24"/>
        </w:rPr>
        <w:t xml:space="preserve"> is no exception.</w:t>
      </w:r>
      <w:r w:rsidR="006C4B1B" w:rsidRPr="00894766">
        <w:rPr>
          <w:rFonts w:cs="Calibri"/>
          <w:sz w:val="24"/>
          <w:szCs w:val="24"/>
        </w:rPr>
        <w:t xml:space="preserve"> </w:t>
      </w:r>
      <w:r w:rsidR="00C65B1A">
        <w:rPr>
          <w:rFonts w:cs="Calibri"/>
          <w:sz w:val="24"/>
          <w:szCs w:val="24"/>
        </w:rPr>
        <w:t>T</w:t>
      </w:r>
      <w:r w:rsidR="006C4B1B" w:rsidRPr="00894766">
        <w:rPr>
          <w:rFonts w:cs="Calibri"/>
          <w:sz w:val="24"/>
          <w:szCs w:val="24"/>
        </w:rPr>
        <w:t>heoretical advances</w:t>
      </w:r>
      <w:r w:rsidR="00C65B1A">
        <w:rPr>
          <w:rFonts w:cs="Calibri"/>
          <w:sz w:val="24"/>
          <w:szCs w:val="24"/>
        </w:rPr>
        <w:t xml:space="preserve"> may thus be gained</w:t>
      </w:r>
      <w:r w:rsidR="006C4B1B" w:rsidRPr="00894766">
        <w:rPr>
          <w:rFonts w:cs="Calibri"/>
          <w:sz w:val="24"/>
          <w:szCs w:val="24"/>
        </w:rPr>
        <w:t xml:space="preserve"> by challenging methodological nationalism. As new forms of political and administrative orders emerge, they need to be appropriately analyzed and interpreted in view of the changes they carry for bureaucratic </w:t>
      </w:r>
      <w:r w:rsidR="006C4B1B">
        <w:rPr>
          <w:rFonts w:cs="Calibri"/>
          <w:sz w:val="24"/>
          <w:szCs w:val="24"/>
        </w:rPr>
        <w:t>systems and public policy</w:t>
      </w:r>
      <w:r w:rsidR="006C4B1B" w:rsidRPr="00894766">
        <w:rPr>
          <w:rFonts w:cs="Calibri"/>
          <w:sz w:val="24"/>
          <w:szCs w:val="24"/>
        </w:rPr>
        <w:t>.</w:t>
      </w:r>
    </w:p>
    <w:p w:rsidR="006C4B1B" w:rsidRDefault="006C4B1B" w:rsidP="00703D22">
      <w:pPr>
        <w:spacing w:after="0" w:line="480" w:lineRule="auto"/>
        <w:rPr>
          <w:sz w:val="24"/>
          <w:szCs w:val="24"/>
        </w:rPr>
      </w:pPr>
    </w:p>
    <w:p w:rsidR="00094901" w:rsidRPr="006C4B1B" w:rsidRDefault="006C4B1B" w:rsidP="00703D22">
      <w:pPr>
        <w:spacing w:after="0" w:line="480" w:lineRule="auto"/>
        <w:rPr>
          <w:sz w:val="24"/>
          <w:szCs w:val="24"/>
        </w:rPr>
      </w:pPr>
      <w:r>
        <w:rPr>
          <w:rFonts w:eastAsia="Times New Roman" w:cs="Calibri"/>
          <w:sz w:val="24"/>
          <w:szCs w:val="24"/>
          <w:lang w:eastAsia="de-DE"/>
        </w:rPr>
        <w:t>Secondly, t</w:t>
      </w:r>
      <w:r w:rsidR="00094901" w:rsidRPr="00894766">
        <w:rPr>
          <w:rFonts w:eastAsia="Times New Roman" w:cs="Calibri"/>
          <w:sz w:val="24"/>
          <w:szCs w:val="24"/>
          <w:lang w:eastAsia="de-DE"/>
        </w:rPr>
        <w:t>he MLA approach</w:t>
      </w:r>
      <w:r>
        <w:rPr>
          <w:rFonts w:eastAsia="Times New Roman" w:cs="Calibri"/>
          <w:sz w:val="24"/>
          <w:szCs w:val="24"/>
          <w:lang w:eastAsia="de-DE"/>
        </w:rPr>
        <w:t xml:space="preserve"> </w:t>
      </w:r>
      <w:r w:rsidR="00094901" w:rsidRPr="00894766">
        <w:rPr>
          <w:rFonts w:eastAsia="Times New Roman" w:cs="Calibri"/>
          <w:sz w:val="24"/>
          <w:szCs w:val="24"/>
          <w:lang w:eastAsia="de-DE"/>
        </w:rPr>
        <w:t>direct</w:t>
      </w:r>
      <w:r>
        <w:rPr>
          <w:rFonts w:eastAsia="Times New Roman" w:cs="Calibri"/>
          <w:sz w:val="24"/>
          <w:szCs w:val="24"/>
          <w:lang w:eastAsia="de-DE"/>
        </w:rPr>
        <w:t>s</w:t>
      </w:r>
      <w:r w:rsidR="00094901" w:rsidRPr="00894766">
        <w:rPr>
          <w:rFonts w:eastAsia="Times New Roman" w:cs="Calibri"/>
          <w:sz w:val="24"/>
          <w:szCs w:val="24"/>
          <w:lang w:eastAsia="de-DE"/>
        </w:rPr>
        <w:t xml:space="preserve"> attention towards an emergent administrative order in Europe through the development of </w:t>
      </w:r>
      <w:r w:rsidR="00C65B1A">
        <w:rPr>
          <w:rFonts w:eastAsia="Times New Roman" w:cs="Calibri"/>
          <w:sz w:val="24"/>
          <w:szCs w:val="24"/>
          <w:lang w:eastAsia="de-DE"/>
        </w:rPr>
        <w:t xml:space="preserve">novel </w:t>
      </w:r>
      <w:r w:rsidR="00094901" w:rsidRPr="00894766">
        <w:rPr>
          <w:rFonts w:eastAsia="Times New Roman" w:cs="Calibri"/>
          <w:sz w:val="24"/>
          <w:szCs w:val="24"/>
          <w:lang w:eastAsia="de-DE"/>
        </w:rPr>
        <w:t xml:space="preserve">institutional configurations. </w:t>
      </w:r>
      <w:r w:rsidR="00515AE1">
        <w:rPr>
          <w:rFonts w:eastAsia="Times New Roman" w:cs="Calibri"/>
          <w:sz w:val="24"/>
          <w:szCs w:val="24"/>
          <w:lang w:eastAsia="de-DE"/>
        </w:rPr>
        <w:t xml:space="preserve">The more the </w:t>
      </w:r>
      <w:r w:rsidR="00453E68">
        <w:rPr>
          <w:rFonts w:eastAsia="Times New Roman" w:cs="Calibri"/>
          <w:sz w:val="24"/>
          <w:szCs w:val="24"/>
          <w:lang w:eastAsia="de-DE"/>
        </w:rPr>
        <w:t>EU</w:t>
      </w:r>
      <w:r w:rsidR="00515AE1">
        <w:rPr>
          <w:rFonts w:eastAsia="Times New Roman" w:cs="Calibri"/>
          <w:sz w:val="24"/>
          <w:szCs w:val="24"/>
          <w:lang w:eastAsia="de-DE"/>
        </w:rPr>
        <w:t xml:space="preserve"> is involved in policy coordination and implementation, the more important become issues of administrative interaction between the involved political levels – if only because the EU lacks an administrative basis to conduct </w:t>
      </w:r>
      <w:r w:rsidR="00453E68">
        <w:rPr>
          <w:rFonts w:eastAsia="Times New Roman" w:cs="Calibri"/>
          <w:sz w:val="24"/>
          <w:szCs w:val="24"/>
          <w:lang w:eastAsia="de-DE"/>
        </w:rPr>
        <w:t>’</w:t>
      </w:r>
      <w:r w:rsidR="00515AE1">
        <w:rPr>
          <w:rFonts w:eastAsia="Times New Roman" w:cs="Calibri"/>
          <w:sz w:val="24"/>
          <w:szCs w:val="24"/>
          <w:lang w:eastAsia="de-DE"/>
        </w:rPr>
        <w:t>supranational</w:t>
      </w:r>
      <w:r w:rsidR="00453E68">
        <w:rPr>
          <w:rFonts w:eastAsia="Times New Roman" w:cs="Calibri"/>
          <w:sz w:val="24"/>
          <w:szCs w:val="24"/>
          <w:lang w:eastAsia="de-DE"/>
        </w:rPr>
        <w:t>’</w:t>
      </w:r>
      <w:r w:rsidR="00515AE1">
        <w:rPr>
          <w:rFonts w:eastAsia="Times New Roman" w:cs="Calibri"/>
          <w:sz w:val="24"/>
          <w:szCs w:val="24"/>
          <w:lang w:eastAsia="de-DE"/>
        </w:rPr>
        <w:t xml:space="preserve"> policies independently from member states </w:t>
      </w:r>
      <w:r w:rsidR="00515AE1">
        <w:rPr>
          <w:rFonts w:eastAsia="Times New Roman" w:cs="Calibri"/>
          <w:sz w:val="24"/>
          <w:szCs w:val="24"/>
          <w:lang w:eastAsia="de-DE"/>
        </w:rPr>
        <w:lastRenderedPageBreak/>
        <w:t>administrative systems (Bauer</w:t>
      </w:r>
      <w:r w:rsidR="004C27BD">
        <w:rPr>
          <w:rFonts w:eastAsia="Times New Roman" w:cs="Calibri"/>
          <w:sz w:val="24"/>
          <w:szCs w:val="24"/>
          <w:lang w:eastAsia="de-DE"/>
        </w:rPr>
        <w:t>,</w:t>
      </w:r>
      <w:r w:rsidR="00515AE1">
        <w:rPr>
          <w:rFonts w:eastAsia="Times New Roman" w:cs="Calibri"/>
          <w:sz w:val="24"/>
          <w:szCs w:val="24"/>
          <w:lang w:eastAsia="de-DE"/>
        </w:rPr>
        <w:t xml:space="preserve"> 2006; Bauer</w:t>
      </w:r>
      <w:r w:rsidR="00453E68">
        <w:rPr>
          <w:rFonts w:eastAsia="Times New Roman" w:cs="Calibri"/>
          <w:sz w:val="24"/>
          <w:szCs w:val="24"/>
          <w:lang w:eastAsia="de-DE"/>
        </w:rPr>
        <w:t xml:space="preserve"> and </w:t>
      </w:r>
      <w:r w:rsidR="00515AE1">
        <w:rPr>
          <w:rFonts w:eastAsia="Times New Roman" w:cs="Calibri"/>
          <w:sz w:val="24"/>
          <w:szCs w:val="24"/>
          <w:lang w:eastAsia="de-DE"/>
        </w:rPr>
        <w:t>Becker</w:t>
      </w:r>
      <w:r w:rsidR="004C27BD">
        <w:rPr>
          <w:rFonts w:eastAsia="Times New Roman" w:cs="Calibri"/>
          <w:sz w:val="24"/>
          <w:szCs w:val="24"/>
          <w:lang w:eastAsia="de-DE"/>
        </w:rPr>
        <w:t>,</w:t>
      </w:r>
      <w:r w:rsidR="00515AE1">
        <w:rPr>
          <w:rFonts w:eastAsia="Times New Roman" w:cs="Calibri"/>
          <w:sz w:val="24"/>
          <w:szCs w:val="24"/>
          <w:lang w:eastAsia="de-DE"/>
        </w:rPr>
        <w:t xml:space="preserve"> 2014; Heidbreder</w:t>
      </w:r>
      <w:r w:rsidR="004C27BD">
        <w:rPr>
          <w:rFonts w:eastAsia="Times New Roman" w:cs="Calibri"/>
          <w:sz w:val="24"/>
          <w:szCs w:val="24"/>
          <w:lang w:eastAsia="de-DE"/>
        </w:rPr>
        <w:t>,</w:t>
      </w:r>
      <w:r w:rsidR="00515AE1">
        <w:rPr>
          <w:rFonts w:eastAsia="Times New Roman" w:cs="Calibri"/>
          <w:sz w:val="24"/>
          <w:szCs w:val="24"/>
          <w:lang w:eastAsia="de-DE"/>
        </w:rPr>
        <w:t xml:space="preserve"> 2011). </w:t>
      </w:r>
      <w:r w:rsidR="00094901" w:rsidRPr="00894766">
        <w:rPr>
          <w:rFonts w:eastAsia="Times New Roman" w:cs="Calibri"/>
          <w:sz w:val="24"/>
          <w:szCs w:val="24"/>
          <w:lang w:eastAsia="de-DE"/>
        </w:rPr>
        <w:t xml:space="preserve">This line of research emphasizes </w:t>
      </w:r>
      <w:r w:rsidR="00094901" w:rsidRPr="00894766">
        <w:rPr>
          <w:rFonts w:eastAsia="Times New Roman" w:cs="Calibri"/>
          <w:i/>
          <w:sz w:val="24"/>
          <w:szCs w:val="24"/>
          <w:lang w:eastAsia="de-DE"/>
        </w:rPr>
        <w:t>patterns</w:t>
      </w:r>
      <w:r w:rsidR="00094901" w:rsidRPr="00894766">
        <w:rPr>
          <w:rFonts w:eastAsia="Times New Roman" w:cs="Calibri"/>
          <w:sz w:val="24"/>
          <w:szCs w:val="24"/>
          <w:lang w:eastAsia="de-DE"/>
        </w:rPr>
        <w:t xml:space="preserve"> of integration of public administration</w:t>
      </w:r>
      <w:r w:rsidR="00F02E0A">
        <w:rPr>
          <w:rFonts w:eastAsia="Times New Roman" w:cs="Calibri"/>
          <w:sz w:val="24"/>
          <w:szCs w:val="24"/>
          <w:lang w:eastAsia="de-DE"/>
        </w:rPr>
        <w:t xml:space="preserve"> – not its outcome</w:t>
      </w:r>
      <w:r w:rsidR="00094901" w:rsidRPr="00894766">
        <w:rPr>
          <w:rFonts w:eastAsia="Times New Roman" w:cs="Calibri"/>
          <w:sz w:val="24"/>
          <w:szCs w:val="24"/>
          <w:lang w:eastAsia="de-DE"/>
        </w:rPr>
        <w:t xml:space="preserve">. One early contribution to this line of research was an ‘Italian law school’ studying administrative </w:t>
      </w:r>
      <w:r w:rsidR="00094901" w:rsidRPr="00894766">
        <w:rPr>
          <w:rFonts w:eastAsia="Times New Roman" w:cs="Calibri"/>
          <w:i/>
          <w:sz w:val="24"/>
          <w:szCs w:val="24"/>
          <w:lang w:eastAsia="de-DE"/>
        </w:rPr>
        <w:t>engrenage</w:t>
      </w:r>
      <w:r w:rsidR="00094901" w:rsidRPr="00894766">
        <w:rPr>
          <w:rFonts w:eastAsia="Times New Roman" w:cs="Calibri"/>
          <w:sz w:val="24"/>
          <w:szCs w:val="24"/>
          <w:lang w:eastAsia="de-DE"/>
        </w:rPr>
        <w:t xml:space="preserve"> (Cassese</w:t>
      </w:r>
      <w:r w:rsidR="004C27BD">
        <w:rPr>
          <w:rFonts w:eastAsia="Times New Roman" w:cs="Calibri"/>
          <w:sz w:val="24"/>
          <w:szCs w:val="24"/>
          <w:lang w:eastAsia="de-DE"/>
        </w:rPr>
        <w:t>,</w:t>
      </w:r>
      <w:r w:rsidR="00094901" w:rsidRPr="00894766">
        <w:rPr>
          <w:rFonts w:eastAsia="Times New Roman" w:cs="Calibri"/>
          <w:sz w:val="24"/>
          <w:szCs w:val="24"/>
          <w:lang w:eastAsia="de-DE"/>
        </w:rPr>
        <w:t xml:space="preserve"> 1987; Chiti</w:t>
      </w:r>
      <w:r w:rsidR="004C27BD">
        <w:rPr>
          <w:rFonts w:eastAsia="Times New Roman" w:cs="Calibri"/>
          <w:sz w:val="24"/>
          <w:szCs w:val="24"/>
          <w:lang w:eastAsia="de-DE"/>
        </w:rPr>
        <w:t>,</w:t>
      </w:r>
      <w:r w:rsidR="00094901" w:rsidRPr="00894766">
        <w:rPr>
          <w:rFonts w:eastAsia="Times New Roman" w:cs="Calibri"/>
          <w:sz w:val="24"/>
          <w:szCs w:val="24"/>
          <w:lang w:eastAsia="de-DE"/>
        </w:rPr>
        <w:t xml:space="preserve"> 2004; Franch</w:t>
      </w:r>
      <w:r w:rsidR="000B0D3A" w:rsidRPr="00894766">
        <w:rPr>
          <w:rFonts w:eastAsia="Times New Roman" w:cs="Calibri"/>
          <w:sz w:val="24"/>
          <w:szCs w:val="24"/>
          <w:lang w:eastAsia="de-DE"/>
        </w:rPr>
        <w:t>ini</w:t>
      </w:r>
      <w:r w:rsidR="004C27BD">
        <w:rPr>
          <w:rFonts w:eastAsia="Times New Roman" w:cs="Calibri"/>
          <w:sz w:val="24"/>
          <w:szCs w:val="24"/>
          <w:lang w:eastAsia="de-DE"/>
        </w:rPr>
        <w:t>,</w:t>
      </w:r>
      <w:r w:rsidR="000B0D3A" w:rsidRPr="00894766">
        <w:rPr>
          <w:rFonts w:eastAsia="Times New Roman" w:cs="Calibri"/>
          <w:sz w:val="24"/>
          <w:szCs w:val="24"/>
          <w:lang w:eastAsia="de-DE"/>
        </w:rPr>
        <w:t xml:space="preserve"> 2004; Berlin et al.</w:t>
      </w:r>
      <w:r w:rsidR="004C27BD">
        <w:rPr>
          <w:rFonts w:eastAsia="Times New Roman" w:cs="Calibri"/>
          <w:sz w:val="24"/>
          <w:szCs w:val="24"/>
          <w:lang w:eastAsia="de-DE"/>
        </w:rPr>
        <w:t>,</w:t>
      </w:r>
      <w:r w:rsidR="000B0D3A" w:rsidRPr="00894766">
        <w:rPr>
          <w:rFonts w:eastAsia="Times New Roman" w:cs="Calibri"/>
          <w:sz w:val="24"/>
          <w:szCs w:val="24"/>
          <w:lang w:eastAsia="de-DE"/>
        </w:rPr>
        <w:t xml:space="preserve"> 1987)</w:t>
      </w:r>
      <w:r w:rsidR="00094901" w:rsidRPr="00894766">
        <w:rPr>
          <w:rFonts w:eastAsia="Times New Roman" w:cs="Calibri"/>
          <w:sz w:val="24"/>
          <w:szCs w:val="24"/>
          <w:lang w:eastAsia="de-DE"/>
        </w:rPr>
        <w:t>.</w:t>
      </w:r>
      <w:r w:rsidR="000B0D3A" w:rsidRPr="00894766">
        <w:rPr>
          <w:rFonts w:eastAsia="Times New Roman" w:cs="Calibri"/>
          <w:sz w:val="24"/>
          <w:szCs w:val="24"/>
          <w:lang w:eastAsia="de-DE"/>
        </w:rPr>
        <w:t xml:space="preserve"> Contemporary public administration</w:t>
      </w:r>
      <w:r w:rsidR="00094901" w:rsidRPr="00894766">
        <w:rPr>
          <w:rFonts w:eastAsia="Times New Roman" w:cs="Calibri"/>
          <w:sz w:val="24"/>
          <w:szCs w:val="24"/>
          <w:lang w:eastAsia="de-DE"/>
        </w:rPr>
        <w:t xml:space="preserve"> </w:t>
      </w:r>
      <w:r w:rsidR="000B0D3A" w:rsidRPr="00894766">
        <w:rPr>
          <w:rFonts w:eastAsia="Times New Roman" w:cs="Calibri"/>
          <w:sz w:val="24"/>
          <w:szCs w:val="24"/>
          <w:lang w:eastAsia="de-DE"/>
        </w:rPr>
        <w:t>r</w:t>
      </w:r>
      <w:r w:rsidR="00094901" w:rsidRPr="00894766">
        <w:rPr>
          <w:rFonts w:eastAsia="Times New Roman" w:cs="Calibri"/>
          <w:sz w:val="24"/>
          <w:szCs w:val="24"/>
          <w:lang w:eastAsia="de-DE"/>
        </w:rPr>
        <w:t>esearch has</w:t>
      </w:r>
      <w:r w:rsidR="000B0D3A" w:rsidRPr="00894766">
        <w:rPr>
          <w:rFonts w:eastAsia="Times New Roman" w:cs="Calibri"/>
          <w:sz w:val="24"/>
          <w:szCs w:val="24"/>
          <w:lang w:eastAsia="de-DE"/>
        </w:rPr>
        <w:t xml:space="preserve"> similarly</w:t>
      </w:r>
      <w:r w:rsidR="00094901" w:rsidRPr="00894766">
        <w:rPr>
          <w:rFonts w:eastAsia="Times New Roman" w:cs="Calibri"/>
          <w:sz w:val="24"/>
          <w:szCs w:val="24"/>
          <w:lang w:eastAsia="de-DE"/>
        </w:rPr>
        <w:t xml:space="preserve"> been preoccupied with both understanding the European administrative capacity building (Egeberg</w:t>
      </w:r>
      <w:r w:rsidR="004C27BD">
        <w:rPr>
          <w:rFonts w:eastAsia="Times New Roman" w:cs="Calibri"/>
          <w:sz w:val="24"/>
          <w:szCs w:val="24"/>
          <w:lang w:eastAsia="de-DE"/>
        </w:rPr>
        <w:t>,</w:t>
      </w:r>
      <w:r w:rsidR="00094901" w:rsidRPr="00894766">
        <w:rPr>
          <w:rFonts w:eastAsia="Times New Roman" w:cs="Calibri"/>
          <w:sz w:val="24"/>
          <w:szCs w:val="24"/>
          <w:lang w:eastAsia="de-DE"/>
        </w:rPr>
        <w:t xml:space="preserve"> 2006; Rittberger and Wonka</w:t>
      </w:r>
      <w:r w:rsidR="004C27BD">
        <w:rPr>
          <w:rFonts w:eastAsia="Times New Roman" w:cs="Calibri"/>
          <w:sz w:val="24"/>
          <w:szCs w:val="24"/>
          <w:lang w:eastAsia="de-DE"/>
        </w:rPr>
        <w:t>,</w:t>
      </w:r>
      <w:r w:rsidR="00094901" w:rsidRPr="00894766">
        <w:rPr>
          <w:rFonts w:eastAsia="Times New Roman" w:cs="Calibri"/>
          <w:sz w:val="24"/>
          <w:szCs w:val="24"/>
          <w:lang w:eastAsia="de-DE"/>
        </w:rPr>
        <w:t xml:space="preserve"> 2011), and the interconnected nature of the European public administration (Curtin and Egeberg</w:t>
      </w:r>
      <w:r w:rsidR="004C27BD">
        <w:rPr>
          <w:rFonts w:eastAsia="Times New Roman" w:cs="Calibri"/>
          <w:sz w:val="24"/>
          <w:szCs w:val="24"/>
          <w:lang w:eastAsia="de-DE"/>
        </w:rPr>
        <w:t>,</w:t>
      </w:r>
      <w:r w:rsidR="00094901" w:rsidRPr="00894766">
        <w:rPr>
          <w:rFonts w:eastAsia="Times New Roman" w:cs="Calibri"/>
          <w:sz w:val="24"/>
          <w:szCs w:val="24"/>
          <w:lang w:eastAsia="de-DE"/>
        </w:rPr>
        <w:t xml:space="preserve"> 2008; Egeberg</w:t>
      </w:r>
      <w:r w:rsidR="004C27BD">
        <w:rPr>
          <w:rFonts w:eastAsia="Times New Roman" w:cs="Calibri"/>
          <w:sz w:val="24"/>
          <w:szCs w:val="24"/>
          <w:lang w:eastAsia="de-DE"/>
        </w:rPr>
        <w:t>,</w:t>
      </w:r>
      <w:r w:rsidR="00094901" w:rsidRPr="00894766">
        <w:rPr>
          <w:rFonts w:eastAsia="Times New Roman" w:cs="Calibri"/>
          <w:sz w:val="24"/>
          <w:szCs w:val="24"/>
          <w:lang w:eastAsia="de-DE"/>
        </w:rPr>
        <w:t xml:space="preserve"> 2010; Egeberg and Trondal</w:t>
      </w:r>
      <w:r w:rsidR="004C27BD">
        <w:rPr>
          <w:rFonts w:eastAsia="Times New Roman" w:cs="Calibri"/>
          <w:sz w:val="24"/>
          <w:szCs w:val="24"/>
          <w:lang w:eastAsia="de-DE"/>
        </w:rPr>
        <w:t>,</w:t>
      </w:r>
      <w:r w:rsidR="00094901" w:rsidRPr="00894766">
        <w:rPr>
          <w:rFonts w:eastAsia="Times New Roman" w:cs="Calibri"/>
          <w:sz w:val="24"/>
          <w:szCs w:val="24"/>
          <w:lang w:eastAsia="de-DE"/>
        </w:rPr>
        <w:t xml:space="preserve"> 2009). Illustrative of the latter approach, </w:t>
      </w:r>
      <w:r w:rsidR="000B0D3A" w:rsidRPr="00894766">
        <w:rPr>
          <w:rFonts w:eastAsia="Times New Roman" w:cs="Calibri"/>
          <w:sz w:val="24"/>
          <w:szCs w:val="24"/>
          <w:lang w:eastAsia="de-DE"/>
        </w:rPr>
        <w:t xml:space="preserve">the European administrative system has been conceived of </w:t>
      </w:r>
      <w:r w:rsidR="00094901" w:rsidRPr="00894766">
        <w:rPr>
          <w:rFonts w:eastAsia="Times New Roman" w:cs="Calibri"/>
          <w:sz w:val="24"/>
          <w:szCs w:val="24"/>
          <w:lang w:eastAsia="de-DE"/>
        </w:rPr>
        <w:t>as a multilevel and nested</w:t>
      </w:r>
      <w:r w:rsidRPr="006C4B1B">
        <w:rPr>
          <w:rFonts w:eastAsia="Times New Roman" w:cs="Calibri"/>
          <w:sz w:val="24"/>
          <w:szCs w:val="24"/>
          <w:lang w:eastAsia="de-DE"/>
        </w:rPr>
        <w:t xml:space="preserve"> </w:t>
      </w:r>
      <w:r w:rsidRPr="00894766">
        <w:rPr>
          <w:rFonts w:eastAsia="Times New Roman" w:cs="Calibri"/>
          <w:sz w:val="24"/>
          <w:szCs w:val="24"/>
          <w:lang w:eastAsia="de-DE"/>
        </w:rPr>
        <w:t>network administration</w:t>
      </w:r>
      <w:r w:rsidR="00094901" w:rsidRPr="00894766">
        <w:rPr>
          <w:rFonts w:eastAsia="Times New Roman" w:cs="Calibri"/>
          <w:sz w:val="24"/>
          <w:szCs w:val="24"/>
          <w:lang w:eastAsia="de-DE"/>
        </w:rPr>
        <w:t>, though sometimes loosely coupled (Benz</w:t>
      </w:r>
      <w:r w:rsidR="004C27BD">
        <w:rPr>
          <w:rFonts w:eastAsia="Times New Roman" w:cs="Calibri"/>
          <w:sz w:val="24"/>
          <w:szCs w:val="24"/>
          <w:lang w:eastAsia="de-DE"/>
        </w:rPr>
        <w:t>,</w:t>
      </w:r>
      <w:r w:rsidR="00094901" w:rsidRPr="00894766">
        <w:rPr>
          <w:rFonts w:eastAsia="Times New Roman" w:cs="Calibri"/>
          <w:sz w:val="24"/>
          <w:szCs w:val="24"/>
          <w:lang w:eastAsia="de-DE"/>
        </w:rPr>
        <w:t xml:space="preserve"> 2012</w:t>
      </w:r>
      <w:r w:rsidR="00515AE1">
        <w:rPr>
          <w:rFonts w:eastAsia="Times New Roman" w:cs="Calibri"/>
          <w:sz w:val="24"/>
          <w:szCs w:val="24"/>
          <w:lang w:eastAsia="de-DE"/>
        </w:rPr>
        <w:t>; Benz</w:t>
      </w:r>
      <w:r w:rsidR="004C27BD">
        <w:rPr>
          <w:rFonts w:eastAsia="Times New Roman" w:cs="Calibri"/>
          <w:sz w:val="24"/>
          <w:szCs w:val="24"/>
          <w:lang w:eastAsia="de-DE"/>
        </w:rPr>
        <w:t>,</w:t>
      </w:r>
      <w:r w:rsidR="00515AE1">
        <w:rPr>
          <w:rFonts w:eastAsia="Times New Roman" w:cs="Calibri"/>
          <w:sz w:val="24"/>
          <w:szCs w:val="24"/>
          <w:lang w:eastAsia="de-DE"/>
        </w:rPr>
        <w:t xml:space="preserve"> 201</w:t>
      </w:r>
      <w:r w:rsidR="00453E68">
        <w:rPr>
          <w:rFonts w:eastAsia="Times New Roman" w:cs="Calibri"/>
          <w:sz w:val="24"/>
          <w:szCs w:val="24"/>
          <w:lang w:eastAsia="de-DE"/>
        </w:rPr>
        <w:t>4</w:t>
      </w:r>
      <w:r w:rsidR="00094901" w:rsidRPr="00894766">
        <w:rPr>
          <w:rFonts w:eastAsia="Times New Roman" w:cs="Calibri"/>
          <w:sz w:val="24"/>
          <w:szCs w:val="24"/>
          <w:lang w:eastAsia="de-DE"/>
        </w:rPr>
        <w:t>), where institutions at different levels of government ‘are linked together in the performance of tasks…’ (Hofmann and Turk</w:t>
      </w:r>
      <w:r w:rsidR="004C27BD">
        <w:rPr>
          <w:rFonts w:eastAsia="Times New Roman" w:cs="Calibri"/>
          <w:sz w:val="24"/>
          <w:szCs w:val="24"/>
          <w:lang w:eastAsia="de-DE"/>
        </w:rPr>
        <w:t>,</w:t>
      </w:r>
      <w:r w:rsidR="00094901" w:rsidRPr="00894766">
        <w:rPr>
          <w:rFonts w:eastAsia="Times New Roman" w:cs="Calibri"/>
          <w:sz w:val="24"/>
          <w:szCs w:val="24"/>
          <w:lang w:eastAsia="de-DE"/>
        </w:rPr>
        <w:t xml:space="preserve"> 2006</w:t>
      </w:r>
      <w:r w:rsidR="00C55295">
        <w:rPr>
          <w:rFonts w:eastAsia="Times New Roman" w:cs="Calibri"/>
          <w:sz w:val="24"/>
          <w:szCs w:val="24"/>
          <w:lang w:eastAsia="de-DE"/>
        </w:rPr>
        <w:t>:</w:t>
      </w:r>
      <w:r w:rsidR="00094901" w:rsidRPr="00894766">
        <w:rPr>
          <w:rFonts w:eastAsia="Times New Roman" w:cs="Calibri"/>
          <w:sz w:val="24"/>
          <w:szCs w:val="24"/>
          <w:lang w:eastAsia="de-DE"/>
        </w:rPr>
        <w:t xml:space="preserve"> 583; see also Eising and Kohler-Koch</w:t>
      </w:r>
      <w:r w:rsidR="004C27BD">
        <w:rPr>
          <w:rFonts w:eastAsia="Times New Roman" w:cs="Calibri"/>
          <w:sz w:val="24"/>
          <w:szCs w:val="24"/>
          <w:lang w:eastAsia="de-DE"/>
        </w:rPr>
        <w:t>,</w:t>
      </w:r>
      <w:r w:rsidR="00094901" w:rsidRPr="00894766">
        <w:rPr>
          <w:rFonts w:eastAsia="Times New Roman" w:cs="Calibri"/>
          <w:sz w:val="24"/>
          <w:szCs w:val="24"/>
          <w:lang w:eastAsia="de-DE"/>
        </w:rPr>
        <w:t xml:space="preserve"> 1999).</w:t>
      </w:r>
    </w:p>
    <w:p w:rsidR="00825EAC" w:rsidRPr="00894766" w:rsidRDefault="00825EAC" w:rsidP="00703D22">
      <w:pPr>
        <w:spacing w:after="0" w:line="480" w:lineRule="auto"/>
        <w:rPr>
          <w:rFonts w:eastAsia="Times New Roman" w:cs="Calibri"/>
          <w:sz w:val="24"/>
          <w:szCs w:val="24"/>
          <w:lang w:eastAsia="de-DE"/>
        </w:rPr>
      </w:pPr>
    </w:p>
    <w:p w:rsidR="00825EAC" w:rsidRPr="00894766" w:rsidRDefault="000B0D3A" w:rsidP="00703D22">
      <w:pPr>
        <w:spacing w:after="0" w:line="480" w:lineRule="auto"/>
        <w:rPr>
          <w:rFonts w:cs="Calibri"/>
          <w:sz w:val="24"/>
          <w:szCs w:val="24"/>
        </w:rPr>
      </w:pPr>
      <w:r w:rsidRPr="00894766">
        <w:rPr>
          <w:rFonts w:cs="Calibri"/>
          <w:sz w:val="24"/>
          <w:szCs w:val="24"/>
        </w:rPr>
        <w:t xml:space="preserve">Despite successful advances in conceptualizing the EU administrative system, we argue that two challenges plague contemporary public administration scholarship. </w:t>
      </w:r>
      <w:r w:rsidR="00825EAC" w:rsidRPr="00894766">
        <w:rPr>
          <w:rFonts w:cs="Calibri"/>
          <w:sz w:val="24"/>
          <w:szCs w:val="24"/>
        </w:rPr>
        <w:t xml:space="preserve">First, public administration as </w:t>
      </w:r>
      <w:r w:rsidR="006C4B1B">
        <w:rPr>
          <w:rFonts w:cs="Calibri"/>
          <w:sz w:val="24"/>
          <w:szCs w:val="24"/>
        </w:rPr>
        <w:t>‘</w:t>
      </w:r>
      <w:r w:rsidR="00825EAC" w:rsidRPr="00894766">
        <w:rPr>
          <w:rFonts w:cs="Calibri"/>
          <w:sz w:val="24"/>
          <w:szCs w:val="24"/>
        </w:rPr>
        <w:t>a</w:t>
      </w:r>
      <w:r w:rsidR="006C4B1B">
        <w:rPr>
          <w:rFonts w:cs="Calibri"/>
          <w:sz w:val="24"/>
          <w:szCs w:val="24"/>
        </w:rPr>
        <w:t>’</w:t>
      </w:r>
      <w:r w:rsidR="00825EAC" w:rsidRPr="00894766">
        <w:rPr>
          <w:rFonts w:cs="Calibri"/>
          <w:sz w:val="24"/>
          <w:szCs w:val="24"/>
        </w:rPr>
        <w:t xml:space="preserve"> sub</w:t>
      </w:r>
      <w:r w:rsidRPr="00894766">
        <w:rPr>
          <w:rFonts w:cs="Calibri"/>
          <w:sz w:val="24"/>
          <w:szCs w:val="24"/>
        </w:rPr>
        <w:t>-</w:t>
      </w:r>
      <w:r w:rsidR="00825EAC" w:rsidRPr="00894766">
        <w:rPr>
          <w:rFonts w:cs="Calibri"/>
          <w:sz w:val="24"/>
          <w:szCs w:val="24"/>
        </w:rPr>
        <w:t>discipline</w:t>
      </w:r>
      <w:r w:rsidR="006C4B1B">
        <w:rPr>
          <w:rFonts w:cs="Calibri"/>
          <w:sz w:val="24"/>
          <w:szCs w:val="24"/>
        </w:rPr>
        <w:t xml:space="preserve"> (Raadschelders</w:t>
      </w:r>
      <w:r w:rsidR="004C27BD">
        <w:rPr>
          <w:rFonts w:cs="Calibri"/>
          <w:sz w:val="24"/>
          <w:szCs w:val="24"/>
        </w:rPr>
        <w:t>,</w:t>
      </w:r>
      <w:r w:rsidR="006C4B1B">
        <w:rPr>
          <w:rFonts w:cs="Calibri"/>
          <w:sz w:val="24"/>
          <w:szCs w:val="24"/>
        </w:rPr>
        <w:t xml:space="preserve"> 2011)</w:t>
      </w:r>
      <w:r w:rsidR="00825EAC" w:rsidRPr="00894766">
        <w:rPr>
          <w:rFonts w:cs="Calibri"/>
          <w:sz w:val="24"/>
          <w:szCs w:val="24"/>
        </w:rPr>
        <w:t xml:space="preserve"> </w:t>
      </w:r>
      <w:r w:rsidRPr="00894766">
        <w:rPr>
          <w:rFonts w:cs="Calibri"/>
          <w:sz w:val="24"/>
          <w:szCs w:val="24"/>
        </w:rPr>
        <w:t xml:space="preserve">has paid scant </w:t>
      </w:r>
      <w:r w:rsidR="00825EAC" w:rsidRPr="00894766">
        <w:rPr>
          <w:rFonts w:cs="Calibri"/>
          <w:sz w:val="24"/>
          <w:szCs w:val="24"/>
        </w:rPr>
        <w:t>attention to ongoing transformations of bureaucratic interaction in the EU</w:t>
      </w:r>
      <w:r w:rsidRPr="00894766">
        <w:rPr>
          <w:rFonts w:cs="Calibri"/>
          <w:sz w:val="24"/>
          <w:szCs w:val="24"/>
        </w:rPr>
        <w:t xml:space="preserve">, and how this relates to other developments </w:t>
      </w:r>
      <w:r w:rsidR="006C4B1B">
        <w:rPr>
          <w:rFonts w:cs="Calibri"/>
          <w:sz w:val="24"/>
          <w:szCs w:val="24"/>
        </w:rPr>
        <w:t>in public sector organizations</w:t>
      </w:r>
      <w:r w:rsidR="00A62DC3">
        <w:rPr>
          <w:rFonts w:cs="Calibri"/>
          <w:sz w:val="24"/>
          <w:szCs w:val="24"/>
        </w:rPr>
        <w:t xml:space="preserve"> (Verhoest et al.</w:t>
      </w:r>
      <w:r w:rsidR="004C27BD">
        <w:rPr>
          <w:rFonts w:cs="Calibri"/>
          <w:sz w:val="24"/>
          <w:szCs w:val="24"/>
        </w:rPr>
        <w:t>,</w:t>
      </w:r>
      <w:r w:rsidR="00A62DC3">
        <w:rPr>
          <w:rFonts w:cs="Calibri"/>
          <w:sz w:val="24"/>
          <w:szCs w:val="24"/>
        </w:rPr>
        <w:t xml:space="preserve"> 2012). This literature has failed to </w:t>
      </w:r>
      <w:r w:rsidR="00C65B1A">
        <w:rPr>
          <w:rFonts w:cs="Calibri"/>
          <w:sz w:val="24"/>
          <w:szCs w:val="24"/>
        </w:rPr>
        <w:t>acknowledge</w:t>
      </w:r>
      <w:r w:rsidR="00A62DC3">
        <w:rPr>
          <w:rFonts w:cs="Calibri"/>
          <w:sz w:val="24"/>
          <w:szCs w:val="24"/>
        </w:rPr>
        <w:t xml:space="preserve"> how </w:t>
      </w:r>
      <w:r w:rsidR="00C65B1A">
        <w:rPr>
          <w:rFonts w:cs="Calibri"/>
          <w:sz w:val="24"/>
          <w:szCs w:val="24"/>
        </w:rPr>
        <w:t>shifting</w:t>
      </w:r>
      <w:r w:rsidR="00A62DC3">
        <w:rPr>
          <w:rFonts w:cs="Calibri"/>
          <w:sz w:val="24"/>
          <w:szCs w:val="24"/>
        </w:rPr>
        <w:t xml:space="preserve"> features of the state – such as agencification</w:t>
      </w:r>
      <w:r w:rsidR="004F7FA5">
        <w:rPr>
          <w:rFonts w:cs="Calibri"/>
          <w:sz w:val="24"/>
          <w:szCs w:val="24"/>
        </w:rPr>
        <w:t xml:space="preserve"> and subsequent networking of agencies</w:t>
      </w:r>
      <w:r w:rsidR="00A62DC3">
        <w:rPr>
          <w:rFonts w:cs="Calibri"/>
          <w:sz w:val="24"/>
          <w:szCs w:val="24"/>
        </w:rPr>
        <w:t xml:space="preserve"> – </w:t>
      </w:r>
      <w:r w:rsidR="004F7FA5">
        <w:rPr>
          <w:rFonts w:cs="Calibri"/>
          <w:sz w:val="24"/>
          <w:szCs w:val="24"/>
        </w:rPr>
        <w:t>coexist with</w:t>
      </w:r>
      <w:r w:rsidR="00A62DC3">
        <w:rPr>
          <w:rFonts w:cs="Calibri"/>
          <w:sz w:val="24"/>
          <w:szCs w:val="24"/>
        </w:rPr>
        <w:t xml:space="preserve"> the rise of novel forms of multilevel administrative </w:t>
      </w:r>
      <w:r w:rsidR="00375765">
        <w:rPr>
          <w:rFonts w:cs="Calibri"/>
          <w:sz w:val="24"/>
          <w:szCs w:val="24"/>
        </w:rPr>
        <w:t>‘patterns’</w:t>
      </w:r>
      <w:r w:rsidR="00C96830">
        <w:rPr>
          <w:rFonts w:cs="Calibri"/>
          <w:sz w:val="24"/>
          <w:szCs w:val="24"/>
        </w:rPr>
        <w:t xml:space="preserve"> (</w:t>
      </w:r>
      <w:r w:rsidR="004F7FA5">
        <w:rPr>
          <w:rFonts w:cs="Calibri"/>
          <w:sz w:val="24"/>
          <w:szCs w:val="24"/>
        </w:rPr>
        <w:t>Danielsen and Yesilkagit</w:t>
      </w:r>
      <w:r w:rsidR="004C27BD">
        <w:rPr>
          <w:rFonts w:cs="Calibri"/>
          <w:sz w:val="24"/>
          <w:szCs w:val="24"/>
        </w:rPr>
        <w:t>,</w:t>
      </w:r>
      <w:r w:rsidR="004F7FA5">
        <w:rPr>
          <w:rFonts w:cs="Calibri"/>
          <w:sz w:val="24"/>
          <w:szCs w:val="24"/>
        </w:rPr>
        <w:t xml:space="preserve"> 2014; Egeberg</w:t>
      </w:r>
      <w:r w:rsidR="004C27BD">
        <w:rPr>
          <w:rFonts w:cs="Calibri"/>
          <w:sz w:val="24"/>
          <w:szCs w:val="24"/>
        </w:rPr>
        <w:t>,</w:t>
      </w:r>
      <w:r w:rsidR="004F7FA5">
        <w:rPr>
          <w:rFonts w:cs="Calibri"/>
          <w:sz w:val="24"/>
          <w:szCs w:val="24"/>
        </w:rPr>
        <w:t xml:space="preserve"> 2006; </w:t>
      </w:r>
      <w:r w:rsidR="00AA1DDD">
        <w:rPr>
          <w:rFonts w:cs="Calibri"/>
          <w:sz w:val="24"/>
          <w:szCs w:val="24"/>
        </w:rPr>
        <w:t>Martens</w:t>
      </w:r>
      <w:r w:rsidR="004C27BD">
        <w:rPr>
          <w:rFonts w:cs="Calibri"/>
          <w:sz w:val="24"/>
          <w:szCs w:val="24"/>
        </w:rPr>
        <w:t>,</w:t>
      </w:r>
      <w:r w:rsidR="00AA1DDD">
        <w:rPr>
          <w:rFonts w:cs="Calibri"/>
          <w:sz w:val="24"/>
          <w:szCs w:val="24"/>
        </w:rPr>
        <w:t xml:space="preserve"> 2010; </w:t>
      </w:r>
      <w:r w:rsidR="00C96830">
        <w:rPr>
          <w:rFonts w:cs="Calibri"/>
          <w:sz w:val="24"/>
          <w:szCs w:val="24"/>
        </w:rPr>
        <w:t>Trondal</w:t>
      </w:r>
      <w:r w:rsidR="004C27BD">
        <w:rPr>
          <w:rFonts w:cs="Calibri"/>
          <w:sz w:val="24"/>
          <w:szCs w:val="24"/>
        </w:rPr>
        <w:t>,</w:t>
      </w:r>
      <w:r w:rsidR="00C96830">
        <w:rPr>
          <w:rFonts w:cs="Calibri"/>
          <w:sz w:val="24"/>
          <w:szCs w:val="24"/>
        </w:rPr>
        <w:t xml:space="preserve"> 2014)</w:t>
      </w:r>
      <w:r w:rsidR="00825EAC" w:rsidRPr="00894766">
        <w:rPr>
          <w:rFonts w:cs="Calibri"/>
          <w:sz w:val="24"/>
          <w:szCs w:val="24"/>
        </w:rPr>
        <w:t>.</w:t>
      </w:r>
      <w:r w:rsidR="00C65B1A">
        <w:rPr>
          <w:rFonts w:cs="Calibri"/>
          <w:sz w:val="24"/>
          <w:szCs w:val="24"/>
        </w:rPr>
        <w:t xml:space="preserve"> Much public administration literature has neglected that ways of organizing the making of public policy at one level may </w:t>
      </w:r>
      <w:r w:rsidR="00C65B1A">
        <w:rPr>
          <w:rFonts w:cs="Calibri"/>
          <w:sz w:val="24"/>
          <w:szCs w:val="24"/>
        </w:rPr>
        <w:lastRenderedPageBreak/>
        <w:t xml:space="preserve">bias and ‘lock in’ ways of making public policy across levels. </w:t>
      </w:r>
      <w:r w:rsidR="00825EAC" w:rsidRPr="00894766">
        <w:rPr>
          <w:rFonts w:cs="Calibri"/>
          <w:sz w:val="24"/>
          <w:szCs w:val="24"/>
        </w:rPr>
        <w:t>The administrative realit</w:t>
      </w:r>
      <w:r w:rsidR="00A62DC3">
        <w:rPr>
          <w:rFonts w:cs="Calibri"/>
          <w:sz w:val="24"/>
          <w:szCs w:val="24"/>
        </w:rPr>
        <w:t>ies</w:t>
      </w:r>
      <w:r w:rsidR="00825EAC" w:rsidRPr="00894766">
        <w:rPr>
          <w:rFonts w:cs="Calibri"/>
          <w:sz w:val="24"/>
          <w:szCs w:val="24"/>
        </w:rPr>
        <w:t xml:space="preserve"> of the EU – perhaps with the exception of work concerning the European Commission –remains under-studied</w:t>
      </w:r>
      <w:r w:rsidR="00A62DC3">
        <w:rPr>
          <w:rFonts w:cs="Calibri"/>
          <w:sz w:val="24"/>
          <w:szCs w:val="24"/>
        </w:rPr>
        <w:t xml:space="preserve"> outside EU studies</w:t>
      </w:r>
      <w:r w:rsidR="00375765">
        <w:rPr>
          <w:rFonts w:cs="Calibri"/>
          <w:sz w:val="24"/>
          <w:szCs w:val="24"/>
        </w:rPr>
        <w:t xml:space="preserve"> -</w:t>
      </w:r>
      <w:r w:rsidR="00825EAC" w:rsidRPr="00894766">
        <w:rPr>
          <w:rFonts w:cs="Calibri"/>
          <w:sz w:val="24"/>
          <w:szCs w:val="24"/>
        </w:rPr>
        <w:t xml:space="preserve"> even though it has received increased academic attention in recent years (</w:t>
      </w:r>
      <w:r w:rsidR="00A62DC3">
        <w:rPr>
          <w:rFonts w:cs="Calibri"/>
          <w:sz w:val="24"/>
          <w:szCs w:val="24"/>
        </w:rPr>
        <w:t>Egeberg</w:t>
      </w:r>
      <w:r w:rsidR="004C27BD">
        <w:rPr>
          <w:rFonts w:cs="Calibri"/>
          <w:sz w:val="24"/>
          <w:szCs w:val="24"/>
        </w:rPr>
        <w:t>,</w:t>
      </w:r>
      <w:r w:rsidR="00A62DC3">
        <w:rPr>
          <w:rFonts w:cs="Calibri"/>
          <w:sz w:val="24"/>
          <w:szCs w:val="24"/>
        </w:rPr>
        <w:t xml:space="preserve"> 2006; Ellinas and Suleiman</w:t>
      </w:r>
      <w:r w:rsidR="004C27BD">
        <w:rPr>
          <w:rFonts w:cs="Calibri"/>
          <w:sz w:val="24"/>
          <w:szCs w:val="24"/>
        </w:rPr>
        <w:t>,</w:t>
      </w:r>
      <w:r w:rsidR="00A62DC3">
        <w:rPr>
          <w:rFonts w:cs="Calibri"/>
          <w:sz w:val="24"/>
          <w:szCs w:val="24"/>
        </w:rPr>
        <w:t xml:space="preserve"> 2012; </w:t>
      </w:r>
      <w:r w:rsidR="00825EAC" w:rsidRPr="00894766">
        <w:rPr>
          <w:rFonts w:cs="Calibri"/>
          <w:sz w:val="24"/>
          <w:szCs w:val="24"/>
        </w:rPr>
        <w:t>Kassim et al.</w:t>
      </w:r>
      <w:r w:rsidR="004C27BD">
        <w:rPr>
          <w:rFonts w:cs="Calibri"/>
          <w:sz w:val="24"/>
          <w:szCs w:val="24"/>
        </w:rPr>
        <w:t>,</w:t>
      </w:r>
      <w:r w:rsidR="00825EAC" w:rsidRPr="00894766">
        <w:rPr>
          <w:rFonts w:cs="Calibri"/>
          <w:sz w:val="24"/>
          <w:szCs w:val="24"/>
        </w:rPr>
        <w:t xml:space="preserve"> 2013</w:t>
      </w:r>
      <w:r w:rsidR="00A62DC3">
        <w:rPr>
          <w:rFonts w:cs="Calibri"/>
          <w:sz w:val="24"/>
          <w:szCs w:val="24"/>
        </w:rPr>
        <w:t>; Trondal</w:t>
      </w:r>
      <w:r w:rsidR="004C27BD">
        <w:rPr>
          <w:rFonts w:cs="Calibri"/>
          <w:sz w:val="24"/>
          <w:szCs w:val="24"/>
        </w:rPr>
        <w:t>,</w:t>
      </w:r>
      <w:r w:rsidR="00A62DC3">
        <w:rPr>
          <w:rFonts w:cs="Calibri"/>
          <w:sz w:val="24"/>
          <w:szCs w:val="24"/>
        </w:rPr>
        <w:t xml:space="preserve"> 2010; Wille</w:t>
      </w:r>
      <w:r w:rsidR="004C27BD">
        <w:rPr>
          <w:rFonts w:cs="Calibri"/>
          <w:sz w:val="24"/>
          <w:szCs w:val="24"/>
        </w:rPr>
        <w:t>,</w:t>
      </w:r>
      <w:r w:rsidR="00A62DC3">
        <w:rPr>
          <w:rFonts w:cs="Calibri"/>
          <w:sz w:val="24"/>
          <w:szCs w:val="24"/>
        </w:rPr>
        <w:t xml:space="preserve"> 2013</w:t>
      </w:r>
      <w:r w:rsidR="00825EAC" w:rsidRPr="00894766">
        <w:rPr>
          <w:rFonts w:cs="Calibri"/>
          <w:sz w:val="24"/>
          <w:szCs w:val="24"/>
        </w:rPr>
        <w:t xml:space="preserve">). Public administration scholars have </w:t>
      </w:r>
      <w:r w:rsidR="00A62DC3">
        <w:rPr>
          <w:rFonts w:cs="Calibri"/>
          <w:sz w:val="24"/>
          <w:szCs w:val="24"/>
        </w:rPr>
        <w:t>at best</w:t>
      </w:r>
      <w:r w:rsidR="00825EAC" w:rsidRPr="00894766">
        <w:rPr>
          <w:rFonts w:cs="Calibri"/>
          <w:sz w:val="24"/>
          <w:szCs w:val="24"/>
        </w:rPr>
        <w:t xml:space="preserve"> imperfect and partial understanding</w:t>
      </w:r>
      <w:r w:rsidR="00A62DC3">
        <w:rPr>
          <w:rFonts w:cs="Calibri"/>
          <w:sz w:val="24"/>
          <w:szCs w:val="24"/>
        </w:rPr>
        <w:t>s</w:t>
      </w:r>
      <w:r w:rsidR="00825EAC" w:rsidRPr="00894766">
        <w:rPr>
          <w:rFonts w:cs="Calibri"/>
          <w:sz w:val="24"/>
          <w:szCs w:val="24"/>
        </w:rPr>
        <w:t xml:space="preserve"> of how the </w:t>
      </w:r>
      <w:r w:rsidRPr="00894766">
        <w:rPr>
          <w:rFonts w:cs="Calibri"/>
          <w:sz w:val="24"/>
          <w:szCs w:val="24"/>
        </w:rPr>
        <w:t>European</w:t>
      </w:r>
      <w:r w:rsidR="00825EAC" w:rsidRPr="00894766">
        <w:rPr>
          <w:rFonts w:cs="Calibri"/>
          <w:sz w:val="24"/>
          <w:szCs w:val="24"/>
        </w:rPr>
        <w:t xml:space="preserve"> administration function, how bureaucratic interactions occur horizontally and vertically among various political layers, how administrative structures across levels are developing, how precisely supranational administrative actors cultivate and use resources, and how national bureaucratic structures and actors adapt to and exploit respective constellations. From an administrative science perspective it is of great importance to come to grips with the contemporary bureaucratic reality in the EU.</w:t>
      </w:r>
    </w:p>
    <w:p w:rsidR="00825EAC" w:rsidRPr="00894766" w:rsidRDefault="00825EAC" w:rsidP="00703D22">
      <w:pPr>
        <w:spacing w:after="0" w:line="480" w:lineRule="auto"/>
        <w:rPr>
          <w:rFonts w:cs="Calibri"/>
          <w:sz w:val="24"/>
          <w:szCs w:val="24"/>
        </w:rPr>
      </w:pPr>
    </w:p>
    <w:p w:rsidR="00A06F42" w:rsidRPr="00894766" w:rsidRDefault="00A06F42" w:rsidP="00703D22">
      <w:pPr>
        <w:spacing w:after="0" w:line="480" w:lineRule="auto"/>
        <w:rPr>
          <w:sz w:val="24"/>
          <w:szCs w:val="24"/>
        </w:rPr>
      </w:pPr>
      <w:r w:rsidRPr="00894766">
        <w:rPr>
          <w:sz w:val="24"/>
          <w:szCs w:val="24"/>
        </w:rPr>
        <w:t xml:space="preserve">The </w:t>
      </w:r>
      <w:r w:rsidR="004C27BD">
        <w:rPr>
          <w:sz w:val="24"/>
          <w:szCs w:val="24"/>
        </w:rPr>
        <w:t>article</w:t>
      </w:r>
      <w:r w:rsidRPr="00894766">
        <w:rPr>
          <w:sz w:val="24"/>
          <w:szCs w:val="24"/>
        </w:rPr>
        <w:t xml:space="preserve"> is </w:t>
      </w:r>
      <w:r w:rsidR="00C96830">
        <w:rPr>
          <w:sz w:val="24"/>
          <w:szCs w:val="24"/>
        </w:rPr>
        <w:t>continuous</w:t>
      </w:r>
      <w:r w:rsidR="005972EA" w:rsidRPr="00894766">
        <w:rPr>
          <w:sz w:val="24"/>
          <w:szCs w:val="24"/>
        </w:rPr>
        <w:t xml:space="preserve"> </w:t>
      </w:r>
      <w:r w:rsidRPr="00894766">
        <w:rPr>
          <w:sz w:val="24"/>
          <w:szCs w:val="24"/>
        </w:rPr>
        <w:t xml:space="preserve">in the following steps: </w:t>
      </w:r>
      <w:r w:rsidR="007115FA">
        <w:rPr>
          <w:sz w:val="24"/>
          <w:szCs w:val="24"/>
        </w:rPr>
        <w:t xml:space="preserve">The next step outlines the MLA approach and the three analytical dimensions underneath. This section also subsequently shows how the MLA and the MLG approach are analytically distinct. </w:t>
      </w:r>
      <w:r w:rsidR="00F02E0A" w:rsidRPr="00894766">
        <w:rPr>
          <w:sz w:val="24"/>
          <w:szCs w:val="24"/>
        </w:rPr>
        <w:t xml:space="preserve">According to an MLA approach, the European administrative system, and its component parts, </w:t>
      </w:r>
      <w:r w:rsidR="00F02E0A">
        <w:rPr>
          <w:sz w:val="24"/>
          <w:szCs w:val="24"/>
        </w:rPr>
        <w:t>is</w:t>
      </w:r>
      <w:r w:rsidR="00F02E0A" w:rsidRPr="00894766">
        <w:rPr>
          <w:sz w:val="24"/>
          <w:szCs w:val="24"/>
        </w:rPr>
        <w:t xml:space="preserve"> captured</w:t>
      </w:r>
      <w:r w:rsidR="00F02E0A">
        <w:rPr>
          <w:sz w:val="24"/>
          <w:szCs w:val="24"/>
        </w:rPr>
        <w:t xml:space="preserve"> in this </w:t>
      </w:r>
      <w:r w:rsidR="004C27BD">
        <w:rPr>
          <w:sz w:val="24"/>
          <w:szCs w:val="24"/>
        </w:rPr>
        <w:t>study</w:t>
      </w:r>
      <w:r w:rsidR="00F02E0A" w:rsidRPr="00894766">
        <w:rPr>
          <w:sz w:val="24"/>
          <w:szCs w:val="24"/>
        </w:rPr>
        <w:t xml:space="preserve"> along three analytical dimensions: </w:t>
      </w:r>
      <w:r w:rsidR="00F02E0A" w:rsidRPr="00C96830">
        <w:rPr>
          <w:i/>
          <w:sz w:val="24"/>
          <w:szCs w:val="24"/>
        </w:rPr>
        <w:t xml:space="preserve">(i) </w:t>
      </w:r>
      <w:r w:rsidR="00F02E0A" w:rsidRPr="005972EA">
        <w:rPr>
          <w:i/>
          <w:sz w:val="24"/>
          <w:szCs w:val="24"/>
        </w:rPr>
        <w:t>institutional</w:t>
      </w:r>
      <w:r w:rsidR="00F02E0A" w:rsidRPr="00894766">
        <w:rPr>
          <w:i/>
          <w:sz w:val="24"/>
          <w:szCs w:val="24"/>
        </w:rPr>
        <w:t xml:space="preserve"> independence, </w:t>
      </w:r>
      <w:r w:rsidR="00F02E0A">
        <w:rPr>
          <w:i/>
          <w:sz w:val="24"/>
          <w:szCs w:val="24"/>
        </w:rPr>
        <w:t xml:space="preserve">(ii) </w:t>
      </w:r>
      <w:r w:rsidR="00F02E0A" w:rsidRPr="00894766">
        <w:rPr>
          <w:i/>
          <w:sz w:val="24"/>
          <w:szCs w:val="24"/>
        </w:rPr>
        <w:t>integration, and</w:t>
      </w:r>
      <w:r w:rsidR="00F02E0A">
        <w:rPr>
          <w:i/>
          <w:sz w:val="24"/>
          <w:szCs w:val="24"/>
        </w:rPr>
        <w:t xml:space="preserve"> (iii)</w:t>
      </w:r>
      <w:r w:rsidR="00F02E0A" w:rsidRPr="00894766">
        <w:rPr>
          <w:i/>
          <w:sz w:val="24"/>
          <w:szCs w:val="24"/>
        </w:rPr>
        <w:t xml:space="preserve"> co-optation</w:t>
      </w:r>
      <w:r w:rsidR="00F02E0A" w:rsidRPr="00894766">
        <w:rPr>
          <w:sz w:val="24"/>
          <w:szCs w:val="24"/>
        </w:rPr>
        <w:t xml:space="preserve">. These dimensions </w:t>
      </w:r>
      <w:r w:rsidR="00F02E0A">
        <w:rPr>
          <w:sz w:val="24"/>
          <w:szCs w:val="24"/>
        </w:rPr>
        <w:t xml:space="preserve">will subsequently </w:t>
      </w:r>
      <w:r w:rsidR="00F02E0A" w:rsidRPr="00894766">
        <w:rPr>
          <w:sz w:val="24"/>
          <w:szCs w:val="24"/>
        </w:rPr>
        <w:t>serve</w:t>
      </w:r>
      <w:r w:rsidR="00F02E0A">
        <w:rPr>
          <w:sz w:val="24"/>
          <w:szCs w:val="24"/>
        </w:rPr>
        <w:t xml:space="preserve"> on the one hand </w:t>
      </w:r>
      <w:r w:rsidR="00F02E0A" w:rsidRPr="00894766">
        <w:rPr>
          <w:sz w:val="24"/>
          <w:szCs w:val="24"/>
        </w:rPr>
        <w:t xml:space="preserve">to </w:t>
      </w:r>
      <w:r w:rsidR="00F02E0A" w:rsidRPr="007115FA">
        <w:rPr>
          <w:i/>
          <w:sz w:val="24"/>
          <w:szCs w:val="24"/>
        </w:rPr>
        <w:t>capture central aspects</w:t>
      </w:r>
      <w:r w:rsidR="00F02E0A" w:rsidRPr="00894766">
        <w:rPr>
          <w:sz w:val="24"/>
          <w:szCs w:val="24"/>
        </w:rPr>
        <w:t xml:space="preserve"> of the integration of public administration in Europe</w:t>
      </w:r>
      <w:r w:rsidR="00F02E0A">
        <w:rPr>
          <w:sz w:val="24"/>
          <w:szCs w:val="24"/>
        </w:rPr>
        <w:t>, and on the other hand</w:t>
      </w:r>
      <w:r w:rsidR="00F02E0A" w:rsidRPr="00894766">
        <w:rPr>
          <w:sz w:val="24"/>
          <w:szCs w:val="24"/>
        </w:rPr>
        <w:t xml:space="preserve"> to </w:t>
      </w:r>
      <w:r w:rsidR="00F02E0A" w:rsidRPr="007115FA">
        <w:rPr>
          <w:i/>
          <w:sz w:val="24"/>
          <w:szCs w:val="24"/>
        </w:rPr>
        <w:t>accentuate</w:t>
      </w:r>
      <w:r w:rsidR="00F02E0A" w:rsidRPr="00894766">
        <w:rPr>
          <w:sz w:val="24"/>
          <w:szCs w:val="24"/>
        </w:rPr>
        <w:t xml:space="preserve"> what makes the MLA approach different from</w:t>
      </w:r>
      <w:r w:rsidR="00F02E0A">
        <w:rPr>
          <w:sz w:val="24"/>
          <w:szCs w:val="24"/>
        </w:rPr>
        <w:t xml:space="preserve"> its major rival - </w:t>
      </w:r>
      <w:r w:rsidR="00F02E0A" w:rsidRPr="00894766">
        <w:rPr>
          <w:sz w:val="24"/>
          <w:szCs w:val="24"/>
        </w:rPr>
        <w:t>the MLG approach</w:t>
      </w:r>
      <w:r w:rsidR="00F02E0A">
        <w:rPr>
          <w:sz w:val="24"/>
          <w:szCs w:val="24"/>
        </w:rPr>
        <w:t>.</w:t>
      </w:r>
      <w:r w:rsidR="00F02E0A" w:rsidRPr="00894766">
        <w:rPr>
          <w:sz w:val="24"/>
          <w:szCs w:val="24"/>
        </w:rPr>
        <w:t xml:space="preserve"> </w:t>
      </w:r>
      <w:r w:rsidR="007115FA">
        <w:rPr>
          <w:sz w:val="24"/>
          <w:szCs w:val="24"/>
        </w:rPr>
        <w:t>The final section applies the MLA approach empirically and demonstrates why we should bother about the MLA approach.</w:t>
      </w:r>
    </w:p>
    <w:p w:rsidR="00A06F42" w:rsidRPr="00703D22" w:rsidRDefault="00A06F42" w:rsidP="00703D22">
      <w:pPr>
        <w:spacing w:after="0" w:line="480" w:lineRule="auto"/>
      </w:pPr>
    </w:p>
    <w:p w:rsidR="00FE27AE" w:rsidRPr="00DF4BC2" w:rsidRDefault="00A06F42" w:rsidP="00703D22">
      <w:pPr>
        <w:spacing w:after="0" w:line="480" w:lineRule="auto"/>
        <w:rPr>
          <w:b/>
          <w:sz w:val="28"/>
          <w:szCs w:val="28"/>
        </w:rPr>
      </w:pPr>
      <w:r w:rsidRPr="00DF4BC2">
        <w:rPr>
          <w:b/>
          <w:sz w:val="28"/>
          <w:szCs w:val="28"/>
        </w:rPr>
        <w:t>A</w:t>
      </w:r>
      <w:r w:rsidR="00FE27AE" w:rsidRPr="00DF4BC2">
        <w:rPr>
          <w:b/>
          <w:sz w:val="28"/>
          <w:szCs w:val="28"/>
        </w:rPr>
        <w:t xml:space="preserve"> </w:t>
      </w:r>
      <w:r w:rsidR="00A62DC3" w:rsidRPr="00DF4BC2">
        <w:rPr>
          <w:b/>
          <w:sz w:val="28"/>
          <w:szCs w:val="28"/>
        </w:rPr>
        <w:t>Multilevel Administration (</w:t>
      </w:r>
      <w:r w:rsidR="00FE27AE" w:rsidRPr="00DF4BC2">
        <w:rPr>
          <w:b/>
          <w:sz w:val="28"/>
          <w:szCs w:val="28"/>
        </w:rPr>
        <w:t>MLA</w:t>
      </w:r>
      <w:r w:rsidR="00A62DC3" w:rsidRPr="00DF4BC2">
        <w:rPr>
          <w:b/>
          <w:sz w:val="28"/>
          <w:szCs w:val="28"/>
        </w:rPr>
        <w:t>)</w:t>
      </w:r>
      <w:r w:rsidR="00FE27AE" w:rsidRPr="00DF4BC2">
        <w:rPr>
          <w:b/>
          <w:sz w:val="28"/>
          <w:szCs w:val="28"/>
        </w:rPr>
        <w:t xml:space="preserve"> approach</w:t>
      </w:r>
    </w:p>
    <w:p w:rsidR="00C77603" w:rsidRDefault="00C77603" w:rsidP="00703D22">
      <w:pPr>
        <w:spacing w:after="0" w:line="480" w:lineRule="auto"/>
        <w:rPr>
          <w:rFonts w:cs="Calibri"/>
          <w:sz w:val="24"/>
          <w:szCs w:val="24"/>
        </w:rPr>
      </w:pPr>
      <w:r>
        <w:rPr>
          <w:rFonts w:cs="Calibri"/>
          <w:sz w:val="24"/>
          <w:szCs w:val="24"/>
        </w:rPr>
        <w:t xml:space="preserve">This section </w:t>
      </w:r>
      <w:r w:rsidR="0058078A">
        <w:rPr>
          <w:rFonts w:cs="Calibri"/>
          <w:sz w:val="24"/>
          <w:szCs w:val="24"/>
        </w:rPr>
        <w:t>contributes in two important ways to our argument</w:t>
      </w:r>
      <w:r>
        <w:rPr>
          <w:rFonts w:cs="Calibri"/>
          <w:sz w:val="24"/>
          <w:szCs w:val="24"/>
        </w:rPr>
        <w:t xml:space="preserve">: </w:t>
      </w:r>
      <w:r w:rsidR="0058078A">
        <w:rPr>
          <w:rFonts w:cs="Calibri"/>
          <w:sz w:val="24"/>
          <w:szCs w:val="24"/>
        </w:rPr>
        <w:t>First it</w:t>
      </w:r>
      <w:r>
        <w:rPr>
          <w:rFonts w:cs="Calibri"/>
          <w:sz w:val="24"/>
          <w:szCs w:val="24"/>
        </w:rPr>
        <w:t xml:space="preserve"> outlines the contours of </w:t>
      </w:r>
      <w:r w:rsidR="00A62DC3">
        <w:rPr>
          <w:rFonts w:cs="Calibri"/>
          <w:sz w:val="24"/>
          <w:szCs w:val="24"/>
        </w:rPr>
        <w:t>a</w:t>
      </w:r>
      <w:r>
        <w:rPr>
          <w:rFonts w:cs="Calibri"/>
          <w:sz w:val="24"/>
          <w:szCs w:val="24"/>
        </w:rPr>
        <w:t xml:space="preserve"> MLA approach</w:t>
      </w:r>
      <w:r w:rsidR="0058078A">
        <w:rPr>
          <w:rFonts w:cs="Calibri"/>
          <w:sz w:val="24"/>
          <w:szCs w:val="24"/>
        </w:rPr>
        <w:t>; second it discusses</w:t>
      </w:r>
      <w:r w:rsidR="00A62DC3">
        <w:rPr>
          <w:rFonts w:cs="Calibri"/>
          <w:sz w:val="24"/>
          <w:szCs w:val="24"/>
        </w:rPr>
        <w:t xml:space="preserve"> how</w:t>
      </w:r>
      <w:r>
        <w:rPr>
          <w:rFonts w:cs="Calibri"/>
          <w:sz w:val="24"/>
          <w:szCs w:val="24"/>
        </w:rPr>
        <w:t xml:space="preserve"> this approach</w:t>
      </w:r>
      <w:r w:rsidR="00A62DC3">
        <w:rPr>
          <w:rFonts w:cs="Calibri"/>
          <w:sz w:val="24"/>
          <w:szCs w:val="24"/>
        </w:rPr>
        <w:t xml:space="preserve"> differs from </w:t>
      </w:r>
      <w:r>
        <w:rPr>
          <w:rFonts w:cs="Calibri"/>
          <w:sz w:val="24"/>
          <w:szCs w:val="24"/>
        </w:rPr>
        <w:t xml:space="preserve">the MLG approach. </w:t>
      </w:r>
    </w:p>
    <w:p w:rsidR="00C77603" w:rsidRDefault="00C77603" w:rsidP="00703D22">
      <w:pPr>
        <w:spacing w:after="0" w:line="480" w:lineRule="auto"/>
        <w:rPr>
          <w:rFonts w:cs="Calibri"/>
          <w:sz w:val="24"/>
          <w:szCs w:val="24"/>
        </w:rPr>
      </w:pPr>
    </w:p>
    <w:p w:rsidR="00474BD1" w:rsidRDefault="00474BD1" w:rsidP="00703D22">
      <w:pPr>
        <w:spacing w:after="0" w:line="480" w:lineRule="auto"/>
        <w:rPr>
          <w:rFonts w:cs="Calibri"/>
          <w:sz w:val="24"/>
          <w:szCs w:val="24"/>
        </w:rPr>
      </w:pPr>
      <w:r>
        <w:rPr>
          <w:rFonts w:cs="Calibri"/>
          <w:sz w:val="24"/>
          <w:szCs w:val="24"/>
        </w:rPr>
        <w:t>During two decades t</w:t>
      </w:r>
      <w:r w:rsidR="00EC1F74" w:rsidRPr="00894766">
        <w:rPr>
          <w:rFonts w:cs="Calibri"/>
          <w:sz w:val="24"/>
          <w:szCs w:val="24"/>
        </w:rPr>
        <w:t>he multilevel character of the EU system has been intensively discussed (Marks</w:t>
      </w:r>
      <w:r w:rsidR="004C27BD">
        <w:rPr>
          <w:rFonts w:cs="Calibri"/>
          <w:sz w:val="24"/>
          <w:szCs w:val="24"/>
        </w:rPr>
        <w:t>,</w:t>
      </w:r>
      <w:r w:rsidR="00EC1F74" w:rsidRPr="00894766">
        <w:rPr>
          <w:rFonts w:cs="Calibri"/>
          <w:sz w:val="24"/>
          <w:szCs w:val="24"/>
        </w:rPr>
        <w:t xml:space="preserve"> 1993; Piattoni</w:t>
      </w:r>
      <w:r w:rsidR="004C27BD">
        <w:rPr>
          <w:rFonts w:cs="Calibri"/>
          <w:sz w:val="24"/>
          <w:szCs w:val="24"/>
        </w:rPr>
        <w:t>,</w:t>
      </w:r>
      <w:r w:rsidR="00EC1F74" w:rsidRPr="00894766">
        <w:rPr>
          <w:rFonts w:cs="Calibri"/>
          <w:sz w:val="24"/>
          <w:szCs w:val="24"/>
        </w:rPr>
        <w:t xml:space="preserve"> 2010). Referring to the EU as a multilevel system has become so colloquial that the term often gets used rather metaphorically thereby hollowing out its analytical value. This has perhaps contributed to the fact that the mechanisms which fuel the </w:t>
      </w:r>
      <w:r w:rsidR="00C55295">
        <w:rPr>
          <w:rFonts w:cs="Calibri"/>
          <w:sz w:val="24"/>
          <w:szCs w:val="24"/>
        </w:rPr>
        <w:t>transforming</w:t>
      </w:r>
      <w:r w:rsidR="00EC1F74" w:rsidRPr="00894766">
        <w:rPr>
          <w:rFonts w:cs="Calibri"/>
          <w:sz w:val="24"/>
          <w:szCs w:val="24"/>
        </w:rPr>
        <w:t xml:space="preserve"> potential of the multilevel constellation of EU policy making remain vague and poorly understood – in particular in view of their impact on the administrative dimension. </w:t>
      </w:r>
    </w:p>
    <w:p w:rsidR="00474BD1" w:rsidRDefault="00474BD1" w:rsidP="00703D22">
      <w:pPr>
        <w:spacing w:after="0" w:line="480" w:lineRule="auto"/>
        <w:rPr>
          <w:rFonts w:cs="Calibri"/>
          <w:sz w:val="24"/>
          <w:szCs w:val="24"/>
        </w:rPr>
      </w:pPr>
    </w:p>
    <w:p w:rsidR="00EC1F74" w:rsidRPr="00894766" w:rsidRDefault="00EC1F74" w:rsidP="00703D22">
      <w:pPr>
        <w:spacing w:after="0" w:line="480" w:lineRule="auto"/>
        <w:rPr>
          <w:rFonts w:eastAsia="Times New Roman" w:cs="Calibri"/>
          <w:sz w:val="24"/>
          <w:szCs w:val="24"/>
          <w:lang w:eastAsia="de-DE"/>
        </w:rPr>
      </w:pPr>
      <w:r w:rsidRPr="00894766">
        <w:rPr>
          <w:rFonts w:cs="Calibri"/>
          <w:sz w:val="24"/>
          <w:szCs w:val="24"/>
        </w:rPr>
        <w:t xml:space="preserve">This </w:t>
      </w:r>
      <w:r w:rsidR="004C27BD">
        <w:rPr>
          <w:rFonts w:cs="Calibri"/>
          <w:sz w:val="24"/>
          <w:szCs w:val="24"/>
        </w:rPr>
        <w:t>article</w:t>
      </w:r>
      <w:r w:rsidRPr="00894766">
        <w:rPr>
          <w:rFonts w:cs="Calibri"/>
          <w:sz w:val="24"/>
          <w:szCs w:val="24"/>
        </w:rPr>
        <w:t xml:space="preserve"> proposes that a ‘level’ refers to the</w:t>
      </w:r>
      <w:r w:rsidR="00474BD1">
        <w:rPr>
          <w:rFonts w:cs="Calibri"/>
          <w:sz w:val="24"/>
          <w:szCs w:val="24"/>
        </w:rPr>
        <w:t xml:space="preserve"> following items: S</w:t>
      </w:r>
      <w:r w:rsidRPr="00894766">
        <w:rPr>
          <w:rFonts w:cs="Calibri"/>
          <w:sz w:val="24"/>
          <w:szCs w:val="24"/>
        </w:rPr>
        <w:t xml:space="preserve">eparate and relatively independent sets of institutions, </w:t>
      </w:r>
      <w:r w:rsidR="00375765" w:rsidRPr="00894766">
        <w:rPr>
          <w:rFonts w:cs="Calibri"/>
          <w:sz w:val="24"/>
          <w:szCs w:val="24"/>
        </w:rPr>
        <w:t>rules</w:t>
      </w:r>
      <w:r w:rsidR="00375765">
        <w:rPr>
          <w:rFonts w:cs="Calibri"/>
          <w:sz w:val="24"/>
          <w:szCs w:val="24"/>
        </w:rPr>
        <w:t>, procedures and</w:t>
      </w:r>
      <w:r w:rsidR="00375765" w:rsidRPr="00894766">
        <w:rPr>
          <w:rFonts w:cs="Calibri"/>
          <w:sz w:val="24"/>
          <w:szCs w:val="24"/>
        </w:rPr>
        <w:t xml:space="preserve"> </w:t>
      </w:r>
      <w:r w:rsidRPr="00894766">
        <w:rPr>
          <w:rFonts w:cs="Calibri"/>
          <w:sz w:val="24"/>
          <w:szCs w:val="24"/>
        </w:rPr>
        <w:t>personnel</w:t>
      </w:r>
      <w:r w:rsidR="00375765">
        <w:rPr>
          <w:rFonts w:cs="Calibri"/>
          <w:sz w:val="24"/>
          <w:szCs w:val="24"/>
        </w:rPr>
        <w:t>.</w:t>
      </w:r>
      <w:r w:rsidR="00474BD1">
        <w:rPr>
          <w:rFonts w:cs="Calibri"/>
          <w:sz w:val="24"/>
          <w:szCs w:val="24"/>
        </w:rPr>
        <w:t xml:space="preserve"> </w:t>
      </w:r>
      <w:r w:rsidRPr="00894766">
        <w:rPr>
          <w:rFonts w:eastAsia="Times New Roman" w:cs="Calibri"/>
          <w:sz w:val="24"/>
          <w:szCs w:val="24"/>
          <w:lang w:eastAsia="de-DE"/>
        </w:rPr>
        <w:t>Multilevel</w:t>
      </w:r>
      <w:r w:rsidR="00375765">
        <w:rPr>
          <w:rFonts w:eastAsia="Times New Roman" w:cs="Calibri"/>
          <w:sz w:val="24"/>
          <w:szCs w:val="24"/>
          <w:lang w:eastAsia="de-DE"/>
        </w:rPr>
        <w:t xml:space="preserve"> administration thus entails</w:t>
      </w:r>
      <w:r w:rsidRPr="00894766">
        <w:rPr>
          <w:rFonts w:eastAsia="Times New Roman" w:cs="Calibri"/>
          <w:sz w:val="24"/>
          <w:szCs w:val="24"/>
          <w:lang w:eastAsia="de-DE"/>
        </w:rPr>
        <w:t xml:space="preserve"> that a new platform emerges that interlinks the</w:t>
      </w:r>
      <w:r w:rsidR="00474BD1">
        <w:rPr>
          <w:rFonts w:eastAsia="Times New Roman" w:cs="Calibri"/>
          <w:sz w:val="24"/>
          <w:szCs w:val="24"/>
          <w:lang w:eastAsia="de-DE"/>
        </w:rPr>
        <w:t>se</w:t>
      </w:r>
      <w:r w:rsidRPr="00894766">
        <w:rPr>
          <w:rFonts w:eastAsia="Times New Roman" w:cs="Calibri"/>
          <w:sz w:val="24"/>
          <w:szCs w:val="24"/>
          <w:lang w:eastAsia="de-DE"/>
        </w:rPr>
        <w:t xml:space="preserve"> </w:t>
      </w:r>
      <w:r w:rsidR="00474BD1">
        <w:rPr>
          <w:rFonts w:eastAsia="Times New Roman" w:cs="Calibri"/>
          <w:sz w:val="24"/>
          <w:szCs w:val="24"/>
          <w:lang w:eastAsia="de-DE"/>
        </w:rPr>
        <w:t>items</w:t>
      </w:r>
      <w:r w:rsidR="00375765">
        <w:rPr>
          <w:rFonts w:eastAsia="Times New Roman" w:cs="Calibri"/>
          <w:sz w:val="24"/>
          <w:szCs w:val="24"/>
          <w:lang w:eastAsia="de-DE"/>
        </w:rPr>
        <w:t xml:space="preserve"> at national level</w:t>
      </w:r>
      <w:r w:rsidR="00474BD1">
        <w:rPr>
          <w:rFonts w:eastAsia="Times New Roman" w:cs="Calibri"/>
          <w:sz w:val="24"/>
          <w:szCs w:val="24"/>
          <w:lang w:eastAsia="de-DE"/>
        </w:rPr>
        <w:t xml:space="preserve"> </w:t>
      </w:r>
      <w:r w:rsidRPr="00894766">
        <w:rPr>
          <w:rFonts w:eastAsia="Times New Roman" w:cs="Calibri"/>
          <w:sz w:val="24"/>
          <w:szCs w:val="24"/>
          <w:lang w:eastAsia="de-DE"/>
        </w:rPr>
        <w:t xml:space="preserve">with </w:t>
      </w:r>
      <w:r w:rsidR="00375765">
        <w:rPr>
          <w:rFonts w:eastAsia="Times New Roman" w:cs="Calibri"/>
          <w:sz w:val="24"/>
          <w:szCs w:val="24"/>
          <w:lang w:eastAsia="de-DE"/>
        </w:rPr>
        <w:t>parallel</w:t>
      </w:r>
      <w:r w:rsidR="00474BD1">
        <w:rPr>
          <w:rFonts w:eastAsia="Times New Roman" w:cs="Calibri"/>
          <w:sz w:val="24"/>
          <w:szCs w:val="24"/>
          <w:lang w:eastAsia="de-DE"/>
        </w:rPr>
        <w:t xml:space="preserve"> items at the level above</w:t>
      </w:r>
      <w:r w:rsidRPr="00894766">
        <w:rPr>
          <w:rFonts w:eastAsia="Times New Roman" w:cs="Calibri"/>
          <w:sz w:val="24"/>
          <w:szCs w:val="24"/>
          <w:lang w:eastAsia="de-DE"/>
        </w:rPr>
        <w:t>. This platform</w:t>
      </w:r>
      <w:r w:rsidR="00474BD1">
        <w:rPr>
          <w:rFonts w:eastAsia="Times New Roman" w:cs="Calibri"/>
          <w:sz w:val="24"/>
          <w:szCs w:val="24"/>
          <w:lang w:eastAsia="de-DE"/>
        </w:rPr>
        <w:t xml:space="preserve"> of items</w:t>
      </w:r>
      <w:r w:rsidRPr="00894766">
        <w:rPr>
          <w:rFonts w:eastAsia="Times New Roman" w:cs="Calibri"/>
          <w:sz w:val="24"/>
          <w:szCs w:val="24"/>
          <w:lang w:eastAsia="de-DE"/>
        </w:rPr>
        <w:t xml:space="preserve"> consists of the paradoxical mix of institutional independence and institutional interconnectedness across levels of government. It consists of separate institutions (such as the Commission) that are able to act relatively independently from member-state governments, and at the same time of an institutional interconnectedness between the very same institutions </w:t>
      </w:r>
      <w:r w:rsidR="00375765">
        <w:rPr>
          <w:rFonts w:eastAsia="Times New Roman" w:cs="Calibri"/>
          <w:sz w:val="24"/>
          <w:szCs w:val="24"/>
          <w:lang w:eastAsia="de-DE"/>
        </w:rPr>
        <w:t>(March</w:t>
      </w:r>
      <w:r w:rsidR="004C27BD">
        <w:rPr>
          <w:rFonts w:eastAsia="Times New Roman" w:cs="Calibri"/>
          <w:sz w:val="24"/>
          <w:szCs w:val="24"/>
          <w:lang w:eastAsia="de-DE"/>
        </w:rPr>
        <w:t>,</w:t>
      </w:r>
      <w:r w:rsidR="00375765">
        <w:rPr>
          <w:rFonts w:eastAsia="Times New Roman" w:cs="Calibri"/>
          <w:sz w:val="24"/>
          <w:szCs w:val="24"/>
          <w:lang w:eastAsia="de-DE"/>
        </w:rPr>
        <w:t xml:space="preserve"> 1999)</w:t>
      </w:r>
      <w:r w:rsidRPr="00894766">
        <w:rPr>
          <w:rFonts w:eastAsia="Times New Roman" w:cs="Calibri"/>
          <w:sz w:val="24"/>
          <w:szCs w:val="24"/>
          <w:lang w:eastAsia="de-DE"/>
        </w:rPr>
        <w:t xml:space="preserve">. </w:t>
      </w:r>
      <w:r w:rsidR="00375765">
        <w:rPr>
          <w:rFonts w:eastAsia="Times New Roman" w:cs="Calibri"/>
          <w:sz w:val="24"/>
          <w:szCs w:val="24"/>
          <w:lang w:eastAsia="de-DE"/>
        </w:rPr>
        <w:t>Already acknowledged by the multilevel governance literature, u</w:t>
      </w:r>
      <w:r w:rsidRPr="00894766">
        <w:rPr>
          <w:rFonts w:eastAsia="Times New Roman" w:cs="Calibri"/>
          <w:sz w:val="24"/>
          <w:szCs w:val="24"/>
          <w:lang w:eastAsia="de-DE"/>
        </w:rPr>
        <w:t xml:space="preserve">nderstanding the dynamics of this paradoxical mix – of </w:t>
      </w:r>
      <w:r w:rsidR="00C22D72">
        <w:rPr>
          <w:rFonts w:eastAsia="Times New Roman" w:cs="Calibri"/>
          <w:sz w:val="24"/>
          <w:szCs w:val="24"/>
          <w:lang w:eastAsia="de-DE"/>
        </w:rPr>
        <w:t>system</w:t>
      </w:r>
      <w:r w:rsidR="00C22D72" w:rsidRPr="00894766">
        <w:rPr>
          <w:rFonts w:eastAsia="Times New Roman" w:cs="Calibri"/>
          <w:sz w:val="24"/>
          <w:szCs w:val="24"/>
          <w:lang w:eastAsia="de-DE"/>
        </w:rPr>
        <w:t xml:space="preserve"> </w:t>
      </w:r>
      <w:r w:rsidRPr="00894766">
        <w:rPr>
          <w:rFonts w:eastAsia="Times New Roman" w:cs="Calibri"/>
          <w:sz w:val="24"/>
          <w:szCs w:val="24"/>
          <w:lang w:eastAsia="de-DE"/>
        </w:rPr>
        <w:t xml:space="preserve">independence and interdependence – is essential in order to gain an adequate </w:t>
      </w:r>
      <w:r w:rsidRPr="00894766">
        <w:rPr>
          <w:rFonts w:eastAsia="Times New Roman" w:cs="Calibri"/>
          <w:sz w:val="24"/>
          <w:szCs w:val="24"/>
          <w:lang w:eastAsia="de-DE"/>
        </w:rPr>
        <w:lastRenderedPageBreak/>
        <w:t>understanding of the multilevel character of the EU administrative system</w:t>
      </w:r>
      <w:r w:rsidR="00C55295">
        <w:rPr>
          <w:rFonts w:eastAsia="Times New Roman" w:cs="Calibri"/>
          <w:sz w:val="24"/>
          <w:szCs w:val="24"/>
          <w:lang w:eastAsia="de-DE"/>
        </w:rPr>
        <w:t xml:space="preserve"> (Hooghe and Marks</w:t>
      </w:r>
      <w:r w:rsidR="004C27BD">
        <w:rPr>
          <w:rFonts w:eastAsia="Times New Roman" w:cs="Calibri"/>
          <w:sz w:val="24"/>
          <w:szCs w:val="24"/>
          <w:lang w:eastAsia="de-DE"/>
        </w:rPr>
        <w:t>,</w:t>
      </w:r>
      <w:r w:rsidR="00C55295">
        <w:rPr>
          <w:rFonts w:eastAsia="Times New Roman" w:cs="Calibri"/>
          <w:sz w:val="24"/>
          <w:szCs w:val="24"/>
          <w:lang w:eastAsia="de-DE"/>
        </w:rPr>
        <w:t xml:space="preserve"> 2001</w:t>
      </w:r>
      <w:r w:rsidR="00C22D72">
        <w:rPr>
          <w:rFonts w:eastAsia="Times New Roman" w:cs="Calibri"/>
          <w:sz w:val="24"/>
          <w:szCs w:val="24"/>
          <w:lang w:eastAsia="de-DE"/>
        </w:rPr>
        <w:t>; Marks et al.</w:t>
      </w:r>
      <w:r w:rsidR="004C27BD">
        <w:rPr>
          <w:rFonts w:eastAsia="Times New Roman" w:cs="Calibri"/>
          <w:sz w:val="24"/>
          <w:szCs w:val="24"/>
          <w:lang w:eastAsia="de-DE"/>
        </w:rPr>
        <w:t>,</w:t>
      </w:r>
      <w:r w:rsidR="00C22D72">
        <w:rPr>
          <w:rFonts w:eastAsia="Times New Roman" w:cs="Calibri"/>
          <w:sz w:val="24"/>
          <w:szCs w:val="24"/>
          <w:lang w:eastAsia="de-DE"/>
        </w:rPr>
        <w:t xml:space="preserve"> 1996a</w:t>
      </w:r>
      <w:r w:rsidR="00C55295">
        <w:rPr>
          <w:rFonts w:eastAsia="Times New Roman" w:cs="Calibri"/>
          <w:sz w:val="24"/>
          <w:szCs w:val="24"/>
          <w:lang w:eastAsia="de-DE"/>
        </w:rPr>
        <w:t>)</w:t>
      </w:r>
      <w:r w:rsidRPr="00894766">
        <w:rPr>
          <w:rFonts w:eastAsia="Times New Roman" w:cs="Calibri"/>
          <w:sz w:val="24"/>
          <w:szCs w:val="24"/>
          <w:lang w:eastAsia="de-DE"/>
        </w:rPr>
        <w:t>.</w:t>
      </w:r>
    </w:p>
    <w:p w:rsidR="00EC1F74" w:rsidRPr="00894766" w:rsidRDefault="00EC1F74" w:rsidP="00703D22">
      <w:pPr>
        <w:spacing w:after="0" w:line="480" w:lineRule="auto"/>
        <w:rPr>
          <w:sz w:val="24"/>
          <w:szCs w:val="24"/>
        </w:rPr>
      </w:pPr>
    </w:p>
    <w:p w:rsidR="00094901" w:rsidRDefault="00094901" w:rsidP="00703D22">
      <w:pPr>
        <w:spacing w:after="0" w:line="480" w:lineRule="auto"/>
        <w:rPr>
          <w:rFonts w:eastAsia="Times New Roman" w:cs="Calibri"/>
          <w:sz w:val="24"/>
          <w:szCs w:val="24"/>
          <w:lang w:eastAsia="de-DE"/>
        </w:rPr>
      </w:pPr>
      <w:r w:rsidRPr="00894766">
        <w:rPr>
          <w:rFonts w:eastAsia="Times New Roman" w:cs="Calibri"/>
          <w:sz w:val="24"/>
          <w:szCs w:val="24"/>
          <w:lang w:eastAsia="de-DE"/>
        </w:rPr>
        <w:t>A core part of the literature on the European administrative system has centered on the emergence of a multilevel administrative system, sometimes characterized as a European administrative spac</w:t>
      </w:r>
      <w:r w:rsidR="00375765">
        <w:rPr>
          <w:rFonts w:eastAsia="Times New Roman" w:cs="Calibri"/>
          <w:sz w:val="24"/>
          <w:szCs w:val="24"/>
          <w:lang w:eastAsia="de-DE"/>
        </w:rPr>
        <w:t>e (Trondal and Peters</w:t>
      </w:r>
      <w:r w:rsidR="004C27BD">
        <w:rPr>
          <w:rFonts w:eastAsia="Times New Roman" w:cs="Calibri"/>
          <w:sz w:val="24"/>
          <w:szCs w:val="24"/>
          <w:lang w:eastAsia="de-DE"/>
        </w:rPr>
        <w:t>,</w:t>
      </w:r>
      <w:r w:rsidR="00375765">
        <w:rPr>
          <w:rFonts w:eastAsia="Times New Roman" w:cs="Calibri"/>
          <w:sz w:val="24"/>
          <w:szCs w:val="24"/>
          <w:lang w:eastAsia="de-DE"/>
        </w:rPr>
        <w:t xml:space="preserve"> 2013</w:t>
      </w:r>
      <w:r w:rsidR="00474BD1">
        <w:rPr>
          <w:rFonts w:eastAsia="Times New Roman" w:cs="Calibri"/>
          <w:sz w:val="24"/>
          <w:szCs w:val="24"/>
          <w:lang w:eastAsia="de-DE"/>
        </w:rPr>
        <w:t>). This scholarship has been</w:t>
      </w:r>
      <w:r w:rsidRPr="00894766">
        <w:rPr>
          <w:rFonts w:eastAsia="Times New Roman" w:cs="Calibri"/>
          <w:sz w:val="24"/>
          <w:szCs w:val="24"/>
          <w:lang w:eastAsia="de-DE"/>
        </w:rPr>
        <w:t xml:space="preserve"> </w:t>
      </w:r>
      <w:r w:rsidR="00474BD1">
        <w:rPr>
          <w:rFonts w:eastAsia="Times New Roman" w:cs="Calibri"/>
          <w:sz w:val="24"/>
          <w:szCs w:val="24"/>
          <w:lang w:eastAsia="de-DE"/>
        </w:rPr>
        <w:t>subdivided</w:t>
      </w:r>
      <w:r w:rsidRPr="00894766">
        <w:rPr>
          <w:rFonts w:eastAsia="Times New Roman" w:cs="Calibri"/>
          <w:sz w:val="24"/>
          <w:szCs w:val="24"/>
          <w:lang w:eastAsia="de-DE"/>
        </w:rPr>
        <w:t xml:space="preserve"> into</w:t>
      </w:r>
      <w:r w:rsidR="00474BD1">
        <w:rPr>
          <w:rFonts w:eastAsia="Times New Roman" w:cs="Calibri"/>
          <w:sz w:val="24"/>
          <w:szCs w:val="24"/>
          <w:lang w:eastAsia="de-DE"/>
        </w:rPr>
        <w:t xml:space="preserve"> a</w:t>
      </w:r>
      <w:r w:rsidRPr="00894766">
        <w:rPr>
          <w:rFonts w:eastAsia="Times New Roman" w:cs="Calibri"/>
          <w:sz w:val="24"/>
          <w:szCs w:val="24"/>
          <w:lang w:eastAsia="de-DE"/>
        </w:rPr>
        <w:t xml:space="preserve"> two-dimensional </w:t>
      </w:r>
      <w:r w:rsidR="00474BD1">
        <w:rPr>
          <w:rFonts w:eastAsia="Times New Roman" w:cs="Calibri"/>
          <w:sz w:val="24"/>
          <w:szCs w:val="24"/>
          <w:lang w:eastAsia="de-DE"/>
        </w:rPr>
        <w:t>debate</w:t>
      </w:r>
      <w:r w:rsidRPr="00894766">
        <w:rPr>
          <w:rFonts w:eastAsia="Times New Roman" w:cs="Calibri"/>
          <w:sz w:val="24"/>
          <w:szCs w:val="24"/>
          <w:lang w:eastAsia="de-DE"/>
        </w:rPr>
        <w:t>. Firstly, a political</w:t>
      </w:r>
      <w:r w:rsidR="00F02E0A">
        <w:rPr>
          <w:rFonts w:eastAsia="Times New Roman" w:cs="Calibri"/>
          <w:sz w:val="24"/>
          <w:szCs w:val="24"/>
          <w:lang w:eastAsia="de-DE"/>
        </w:rPr>
        <w:t xml:space="preserve"> </w:t>
      </w:r>
      <w:r w:rsidRPr="00894766">
        <w:rPr>
          <w:rFonts w:eastAsia="Times New Roman" w:cs="Calibri"/>
          <w:sz w:val="24"/>
          <w:szCs w:val="24"/>
          <w:lang w:eastAsia="de-DE"/>
        </w:rPr>
        <w:t xml:space="preserve">science </w:t>
      </w:r>
      <w:r w:rsidR="00474BD1">
        <w:rPr>
          <w:rFonts w:eastAsia="Times New Roman" w:cs="Calibri"/>
          <w:sz w:val="24"/>
          <w:szCs w:val="24"/>
          <w:lang w:eastAsia="de-DE"/>
        </w:rPr>
        <w:t>deb</w:t>
      </w:r>
      <w:r w:rsidR="00375765">
        <w:rPr>
          <w:rFonts w:eastAsia="Times New Roman" w:cs="Calibri"/>
          <w:sz w:val="24"/>
          <w:szCs w:val="24"/>
          <w:lang w:eastAsia="de-DE"/>
        </w:rPr>
        <w:t>a</w:t>
      </w:r>
      <w:r w:rsidR="00474BD1">
        <w:rPr>
          <w:rFonts w:eastAsia="Times New Roman" w:cs="Calibri"/>
          <w:sz w:val="24"/>
          <w:szCs w:val="24"/>
          <w:lang w:eastAsia="de-DE"/>
        </w:rPr>
        <w:t>te</w:t>
      </w:r>
      <w:r w:rsidRPr="00894766">
        <w:rPr>
          <w:rFonts w:eastAsia="Times New Roman" w:cs="Calibri"/>
          <w:sz w:val="24"/>
          <w:szCs w:val="24"/>
          <w:lang w:eastAsia="de-DE"/>
        </w:rPr>
        <w:t xml:space="preserve"> that tries to theoretically conceptualize multilevel governance (MLG) more broadly (Benz</w:t>
      </w:r>
      <w:r w:rsidR="004C27BD">
        <w:rPr>
          <w:rFonts w:eastAsia="Times New Roman" w:cs="Calibri"/>
          <w:sz w:val="24"/>
          <w:szCs w:val="24"/>
          <w:lang w:eastAsia="de-DE"/>
        </w:rPr>
        <w:t>,</w:t>
      </w:r>
      <w:r w:rsidRPr="00894766">
        <w:rPr>
          <w:rFonts w:eastAsia="Times New Roman" w:cs="Calibri"/>
          <w:sz w:val="24"/>
          <w:szCs w:val="24"/>
          <w:lang w:eastAsia="de-DE"/>
        </w:rPr>
        <w:t xml:space="preserve"> 2012; Hooghe and Marks</w:t>
      </w:r>
      <w:r w:rsidR="004C27BD">
        <w:rPr>
          <w:rFonts w:eastAsia="Times New Roman" w:cs="Calibri"/>
          <w:sz w:val="24"/>
          <w:szCs w:val="24"/>
          <w:lang w:eastAsia="de-DE"/>
        </w:rPr>
        <w:t>,</w:t>
      </w:r>
      <w:r w:rsidRPr="00894766">
        <w:rPr>
          <w:rFonts w:eastAsia="Times New Roman" w:cs="Calibri"/>
          <w:sz w:val="24"/>
          <w:szCs w:val="24"/>
          <w:lang w:eastAsia="de-DE"/>
        </w:rPr>
        <w:t xml:space="preserve"> 2001; Marks</w:t>
      </w:r>
      <w:r w:rsidR="004C27BD">
        <w:rPr>
          <w:rFonts w:eastAsia="Times New Roman" w:cs="Calibri"/>
          <w:sz w:val="24"/>
          <w:szCs w:val="24"/>
          <w:lang w:eastAsia="de-DE"/>
        </w:rPr>
        <w:t>,</w:t>
      </w:r>
      <w:r w:rsidRPr="00894766">
        <w:rPr>
          <w:rFonts w:eastAsia="Times New Roman" w:cs="Calibri"/>
          <w:sz w:val="24"/>
          <w:szCs w:val="24"/>
          <w:lang w:eastAsia="de-DE"/>
        </w:rPr>
        <w:t xml:space="preserve"> 1993), and a more recent public</w:t>
      </w:r>
      <w:r w:rsidR="00F02E0A">
        <w:rPr>
          <w:rFonts w:eastAsia="Times New Roman" w:cs="Calibri"/>
          <w:sz w:val="24"/>
          <w:szCs w:val="24"/>
          <w:lang w:eastAsia="de-DE"/>
        </w:rPr>
        <w:t xml:space="preserve"> </w:t>
      </w:r>
      <w:r w:rsidRPr="00894766">
        <w:rPr>
          <w:rFonts w:eastAsia="Times New Roman" w:cs="Calibri"/>
          <w:sz w:val="24"/>
          <w:szCs w:val="24"/>
          <w:lang w:eastAsia="de-DE"/>
        </w:rPr>
        <w:t xml:space="preserve">administration </w:t>
      </w:r>
      <w:r w:rsidR="00474BD1">
        <w:rPr>
          <w:rFonts w:eastAsia="Times New Roman" w:cs="Calibri"/>
          <w:sz w:val="24"/>
          <w:szCs w:val="24"/>
          <w:lang w:eastAsia="de-DE"/>
        </w:rPr>
        <w:t>debate</w:t>
      </w:r>
      <w:r w:rsidRPr="00894766">
        <w:rPr>
          <w:rFonts w:eastAsia="Times New Roman" w:cs="Calibri"/>
          <w:sz w:val="24"/>
          <w:szCs w:val="24"/>
          <w:lang w:eastAsia="de-DE"/>
        </w:rPr>
        <w:t xml:space="preserve"> that aims to understand the EU as a multilevel administrative system (MLA) (</w:t>
      </w:r>
      <w:r w:rsidR="00375765">
        <w:rPr>
          <w:rFonts w:eastAsia="Times New Roman" w:cs="Calibri"/>
          <w:sz w:val="24"/>
          <w:szCs w:val="24"/>
          <w:lang w:eastAsia="de-DE"/>
        </w:rPr>
        <w:t>Bauer and Trondal</w:t>
      </w:r>
      <w:r w:rsidR="004C27BD">
        <w:rPr>
          <w:rFonts w:eastAsia="Times New Roman" w:cs="Calibri"/>
          <w:sz w:val="24"/>
          <w:szCs w:val="24"/>
          <w:lang w:eastAsia="de-DE"/>
        </w:rPr>
        <w:t>,</w:t>
      </w:r>
      <w:r w:rsidR="00375765">
        <w:rPr>
          <w:rFonts w:eastAsia="Times New Roman" w:cs="Calibri"/>
          <w:sz w:val="24"/>
          <w:szCs w:val="24"/>
          <w:lang w:eastAsia="de-DE"/>
        </w:rPr>
        <w:t xml:space="preserve"> </w:t>
      </w:r>
      <w:r w:rsidR="005972EA">
        <w:rPr>
          <w:rFonts w:eastAsia="Times New Roman" w:cs="Calibri"/>
          <w:sz w:val="24"/>
          <w:szCs w:val="24"/>
          <w:lang w:eastAsia="de-DE"/>
        </w:rPr>
        <w:t>2015</w:t>
      </w:r>
      <w:r w:rsidR="00375765">
        <w:rPr>
          <w:rFonts w:eastAsia="Times New Roman" w:cs="Calibri"/>
          <w:sz w:val="24"/>
          <w:szCs w:val="24"/>
          <w:lang w:eastAsia="de-DE"/>
        </w:rPr>
        <w:t xml:space="preserve">; </w:t>
      </w:r>
      <w:r w:rsidRPr="00894766">
        <w:rPr>
          <w:rFonts w:eastAsia="Times New Roman" w:cs="Calibri"/>
          <w:sz w:val="24"/>
          <w:szCs w:val="24"/>
          <w:lang w:eastAsia="de-DE"/>
        </w:rPr>
        <w:t>Egeberg</w:t>
      </w:r>
      <w:r w:rsidR="004C27BD">
        <w:rPr>
          <w:rFonts w:eastAsia="Times New Roman" w:cs="Calibri"/>
          <w:sz w:val="24"/>
          <w:szCs w:val="24"/>
          <w:lang w:eastAsia="de-DE"/>
        </w:rPr>
        <w:t>,</w:t>
      </w:r>
      <w:r w:rsidRPr="00894766">
        <w:rPr>
          <w:rFonts w:eastAsia="Times New Roman" w:cs="Calibri"/>
          <w:sz w:val="24"/>
          <w:szCs w:val="24"/>
          <w:lang w:eastAsia="de-DE"/>
        </w:rPr>
        <w:t xml:space="preserve"> 2006; Trondal</w:t>
      </w:r>
      <w:r w:rsidR="004C27BD">
        <w:rPr>
          <w:rFonts w:eastAsia="Times New Roman" w:cs="Calibri"/>
          <w:sz w:val="24"/>
          <w:szCs w:val="24"/>
          <w:lang w:eastAsia="de-DE"/>
        </w:rPr>
        <w:t>,</w:t>
      </w:r>
      <w:r w:rsidRPr="00894766">
        <w:rPr>
          <w:rFonts w:eastAsia="Times New Roman" w:cs="Calibri"/>
          <w:sz w:val="24"/>
          <w:szCs w:val="24"/>
          <w:lang w:eastAsia="de-DE"/>
        </w:rPr>
        <w:t xml:space="preserve"> 2007</w:t>
      </w:r>
      <w:r w:rsidR="0058078A">
        <w:rPr>
          <w:rFonts w:eastAsia="Times New Roman" w:cs="Calibri"/>
          <w:sz w:val="24"/>
          <w:szCs w:val="24"/>
          <w:lang w:eastAsia="de-DE"/>
        </w:rPr>
        <w:t>; Benz</w:t>
      </w:r>
      <w:r w:rsidR="004C27BD">
        <w:rPr>
          <w:rFonts w:eastAsia="Times New Roman" w:cs="Calibri"/>
          <w:sz w:val="24"/>
          <w:szCs w:val="24"/>
          <w:lang w:eastAsia="de-DE"/>
        </w:rPr>
        <w:t>,</w:t>
      </w:r>
      <w:r w:rsidR="0058078A">
        <w:rPr>
          <w:rFonts w:eastAsia="Times New Roman" w:cs="Calibri"/>
          <w:sz w:val="24"/>
          <w:szCs w:val="24"/>
          <w:lang w:eastAsia="de-DE"/>
        </w:rPr>
        <w:t xml:space="preserve"> 201</w:t>
      </w:r>
      <w:r w:rsidR="00C300B1">
        <w:rPr>
          <w:rFonts w:eastAsia="Times New Roman" w:cs="Calibri"/>
          <w:sz w:val="24"/>
          <w:szCs w:val="24"/>
          <w:lang w:eastAsia="de-DE"/>
        </w:rPr>
        <w:t>5</w:t>
      </w:r>
      <w:r w:rsidRPr="00894766">
        <w:rPr>
          <w:rFonts w:eastAsia="Times New Roman" w:cs="Calibri"/>
          <w:sz w:val="24"/>
          <w:szCs w:val="24"/>
          <w:lang w:eastAsia="de-DE"/>
        </w:rPr>
        <w:t xml:space="preserve">). </w:t>
      </w:r>
    </w:p>
    <w:p w:rsidR="00375765" w:rsidRDefault="00375765" w:rsidP="00703D22">
      <w:pPr>
        <w:spacing w:after="0" w:line="480" w:lineRule="auto"/>
        <w:rPr>
          <w:rFonts w:eastAsia="Times New Roman" w:cs="Calibri"/>
          <w:sz w:val="24"/>
          <w:szCs w:val="24"/>
          <w:lang w:eastAsia="de-DE"/>
        </w:rPr>
      </w:pPr>
    </w:p>
    <w:p w:rsidR="00AF2F1C" w:rsidRPr="00AF2F1C" w:rsidRDefault="00AF2F1C" w:rsidP="00703D22">
      <w:pPr>
        <w:spacing w:after="0" w:line="480" w:lineRule="auto"/>
        <w:rPr>
          <w:rFonts w:eastAsia="Times New Roman" w:cs="Calibri"/>
          <w:b/>
          <w:sz w:val="24"/>
          <w:szCs w:val="24"/>
          <w:lang w:eastAsia="de-DE"/>
        </w:rPr>
      </w:pPr>
      <w:r>
        <w:rPr>
          <w:rFonts w:eastAsia="Times New Roman" w:cs="Calibri"/>
          <w:b/>
          <w:sz w:val="24"/>
          <w:szCs w:val="24"/>
          <w:lang w:eastAsia="de-DE"/>
        </w:rPr>
        <w:t xml:space="preserve">Dimensions of MLA: Institutional </w:t>
      </w:r>
      <w:r w:rsidRPr="00AF2F1C">
        <w:rPr>
          <w:rFonts w:eastAsia="Times New Roman" w:cs="Calibri"/>
          <w:b/>
          <w:sz w:val="24"/>
          <w:szCs w:val="24"/>
          <w:lang w:eastAsia="de-DE"/>
        </w:rPr>
        <w:t>Independence, integration, co-optation</w:t>
      </w:r>
    </w:p>
    <w:p w:rsidR="00AF2F1C" w:rsidRPr="00AF2F1C" w:rsidRDefault="00AF2F1C" w:rsidP="00AF2F1C">
      <w:pPr>
        <w:spacing w:after="0" w:line="480" w:lineRule="auto"/>
        <w:rPr>
          <w:rFonts w:eastAsia="Times New Roman" w:cs="Calibri"/>
          <w:sz w:val="24"/>
          <w:szCs w:val="24"/>
          <w:lang w:eastAsia="de-DE"/>
        </w:rPr>
      </w:pPr>
      <w:r w:rsidRPr="00AF2F1C">
        <w:rPr>
          <w:rFonts w:eastAsia="Times New Roman" w:cs="Calibri"/>
          <w:sz w:val="24"/>
          <w:szCs w:val="24"/>
          <w:lang w:eastAsia="de-DE"/>
        </w:rPr>
        <w:t xml:space="preserve">We </w:t>
      </w:r>
      <w:r w:rsidR="005972EA">
        <w:rPr>
          <w:rFonts w:eastAsia="Times New Roman" w:cs="Calibri"/>
          <w:sz w:val="24"/>
          <w:szCs w:val="24"/>
          <w:lang w:eastAsia="de-DE"/>
        </w:rPr>
        <w:t>can identify</w:t>
      </w:r>
      <w:r w:rsidRPr="00AF2F1C">
        <w:rPr>
          <w:rFonts w:eastAsia="Times New Roman" w:cs="Calibri"/>
          <w:sz w:val="24"/>
          <w:szCs w:val="24"/>
          <w:lang w:eastAsia="de-DE"/>
        </w:rPr>
        <w:t xml:space="preserve"> bas</w:t>
      </w:r>
      <w:r w:rsidR="00474BD1">
        <w:rPr>
          <w:rFonts w:eastAsia="Times New Roman" w:cs="Calibri"/>
          <w:sz w:val="24"/>
          <w:szCs w:val="24"/>
          <w:lang w:eastAsia="de-DE"/>
        </w:rPr>
        <w:t>ically two waves of study of ‘MLA</w:t>
      </w:r>
      <w:r w:rsidRPr="00AF2F1C">
        <w:rPr>
          <w:rFonts w:eastAsia="Times New Roman" w:cs="Calibri"/>
          <w:sz w:val="24"/>
          <w:szCs w:val="24"/>
          <w:lang w:eastAsia="de-DE"/>
        </w:rPr>
        <w:t>’ (</w:t>
      </w:r>
      <w:r w:rsidR="00F02E0A">
        <w:rPr>
          <w:rFonts w:eastAsia="Times New Roman" w:cs="Calibri"/>
          <w:sz w:val="24"/>
          <w:szCs w:val="24"/>
          <w:lang w:eastAsia="de-DE"/>
        </w:rPr>
        <w:t xml:space="preserve">hereby termed </w:t>
      </w:r>
      <w:r w:rsidRPr="00AF2F1C">
        <w:rPr>
          <w:rFonts w:eastAsia="Times New Roman" w:cs="Calibri"/>
          <w:sz w:val="24"/>
          <w:szCs w:val="24"/>
          <w:lang w:eastAsia="de-DE"/>
        </w:rPr>
        <w:t>‘</w:t>
      </w:r>
      <w:r w:rsidR="00474BD1">
        <w:rPr>
          <w:rFonts w:eastAsia="Times New Roman" w:cs="Calibri"/>
          <w:sz w:val="24"/>
          <w:szCs w:val="24"/>
          <w:lang w:eastAsia="de-DE"/>
        </w:rPr>
        <w:t>MLA</w:t>
      </w:r>
      <w:r w:rsidRPr="00AF2F1C">
        <w:rPr>
          <w:rFonts w:eastAsia="Times New Roman" w:cs="Calibri"/>
          <w:sz w:val="24"/>
          <w:szCs w:val="24"/>
          <w:lang w:eastAsia="de-DE"/>
        </w:rPr>
        <w:t xml:space="preserve"> I’ and ‘</w:t>
      </w:r>
      <w:r w:rsidR="00474BD1">
        <w:rPr>
          <w:rFonts w:eastAsia="Times New Roman" w:cs="Calibri"/>
          <w:sz w:val="24"/>
          <w:szCs w:val="24"/>
          <w:lang w:eastAsia="de-DE"/>
        </w:rPr>
        <w:t>MLA</w:t>
      </w:r>
      <w:r w:rsidRPr="00AF2F1C">
        <w:rPr>
          <w:rFonts w:eastAsia="Times New Roman" w:cs="Calibri"/>
          <w:sz w:val="24"/>
          <w:szCs w:val="24"/>
          <w:lang w:eastAsia="de-DE"/>
        </w:rPr>
        <w:t xml:space="preserve"> II’). This </w:t>
      </w:r>
      <w:r w:rsidR="004C27BD">
        <w:rPr>
          <w:rFonts w:eastAsia="Times New Roman" w:cs="Calibri"/>
          <w:sz w:val="24"/>
          <w:szCs w:val="24"/>
          <w:lang w:eastAsia="de-DE"/>
        </w:rPr>
        <w:t>study</w:t>
      </w:r>
      <w:r w:rsidRPr="00AF2F1C">
        <w:rPr>
          <w:rFonts w:eastAsia="Times New Roman" w:cs="Calibri"/>
          <w:sz w:val="24"/>
          <w:szCs w:val="24"/>
          <w:lang w:eastAsia="de-DE"/>
        </w:rPr>
        <w:t xml:space="preserve"> draws attention to the second surge of research (‘</w:t>
      </w:r>
      <w:r w:rsidR="00474BD1">
        <w:rPr>
          <w:rFonts w:eastAsia="Times New Roman" w:cs="Calibri"/>
          <w:sz w:val="24"/>
          <w:szCs w:val="24"/>
          <w:lang w:eastAsia="de-DE"/>
        </w:rPr>
        <w:t>MLA</w:t>
      </w:r>
      <w:r w:rsidRPr="00AF2F1C">
        <w:rPr>
          <w:rFonts w:eastAsia="Times New Roman" w:cs="Calibri"/>
          <w:sz w:val="24"/>
          <w:szCs w:val="24"/>
          <w:lang w:eastAsia="de-DE"/>
        </w:rPr>
        <w:t xml:space="preserve"> II’).</w:t>
      </w:r>
    </w:p>
    <w:p w:rsidR="00AF2F1C" w:rsidRPr="00AF2F1C" w:rsidRDefault="00474BD1" w:rsidP="00AF2F1C">
      <w:pPr>
        <w:spacing w:after="0" w:line="480" w:lineRule="auto"/>
        <w:rPr>
          <w:rFonts w:eastAsia="Times New Roman" w:cs="Calibri"/>
          <w:sz w:val="24"/>
          <w:szCs w:val="24"/>
          <w:lang w:eastAsia="de-DE"/>
        </w:rPr>
      </w:pPr>
      <w:r>
        <w:rPr>
          <w:rFonts w:eastAsia="Times New Roman" w:cs="Calibri"/>
          <w:sz w:val="24"/>
          <w:szCs w:val="24"/>
          <w:lang w:eastAsia="de-DE"/>
        </w:rPr>
        <w:t>•</w:t>
      </w:r>
      <w:r>
        <w:rPr>
          <w:rFonts w:eastAsia="Times New Roman" w:cs="Calibri"/>
          <w:sz w:val="24"/>
          <w:szCs w:val="24"/>
          <w:lang w:eastAsia="de-DE"/>
        </w:rPr>
        <w:tab/>
        <w:t>‘MLA</w:t>
      </w:r>
      <w:r w:rsidR="00AF2F1C" w:rsidRPr="00AF2F1C">
        <w:rPr>
          <w:rFonts w:eastAsia="Times New Roman" w:cs="Calibri"/>
          <w:sz w:val="24"/>
          <w:szCs w:val="24"/>
          <w:lang w:eastAsia="de-DE"/>
        </w:rPr>
        <w:t xml:space="preserve"> I’: The</w:t>
      </w:r>
      <w:r>
        <w:rPr>
          <w:rFonts w:eastAsia="Times New Roman" w:cs="Calibri"/>
          <w:sz w:val="24"/>
          <w:szCs w:val="24"/>
          <w:lang w:eastAsia="de-DE"/>
        </w:rPr>
        <w:t xml:space="preserve"> first wave of research emphasiz</w:t>
      </w:r>
      <w:r w:rsidR="00AF2F1C" w:rsidRPr="00AF2F1C">
        <w:rPr>
          <w:rFonts w:eastAsia="Times New Roman" w:cs="Calibri"/>
          <w:sz w:val="24"/>
          <w:szCs w:val="24"/>
          <w:lang w:eastAsia="de-DE"/>
        </w:rPr>
        <w:t>ed convergence of administrative systems and policies.</w:t>
      </w:r>
      <w:r w:rsidR="00F02E0A">
        <w:rPr>
          <w:rFonts w:eastAsia="Times New Roman" w:cs="Calibri"/>
          <w:sz w:val="24"/>
          <w:szCs w:val="24"/>
          <w:lang w:eastAsia="de-DE"/>
        </w:rPr>
        <w:t xml:space="preserve"> This resea</w:t>
      </w:r>
      <w:r w:rsidR="00257355">
        <w:rPr>
          <w:rFonts w:eastAsia="Times New Roman" w:cs="Calibri"/>
          <w:sz w:val="24"/>
          <w:szCs w:val="24"/>
          <w:lang w:eastAsia="de-DE"/>
        </w:rPr>
        <w:t xml:space="preserve">rch measured MLA by its </w:t>
      </w:r>
      <w:r w:rsidR="00257355" w:rsidRPr="00257355">
        <w:rPr>
          <w:rFonts w:eastAsia="Times New Roman" w:cs="Calibri"/>
          <w:i/>
          <w:sz w:val="24"/>
          <w:szCs w:val="24"/>
          <w:lang w:eastAsia="de-DE"/>
        </w:rPr>
        <w:t>outcome</w:t>
      </w:r>
      <w:r w:rsidR="00257355">
        <w:rPr>
          <w:rFonts w:eastAsia="Times New Roman" w:cs="Calibri"/>
          <w:sz w:val="24"/>
          <w:szCs w:val="24"/>
          <w:lang w:eastAsia="de-DE"/>
        </w:rPr>
        <w:t xml:space="preserve"> - which were more convergent administrative forms, practices and ways of doing things.</w:t>
      </w:r>
      <w:r w:rsidR="00AF2F1C" w:rsidRPr="00AF2F1C">
        <w:rPr>
          <w:rFonts w:eastAsia="Times New Roman" w:cs="Calibri"/>
          <w:sz w:val="24"/>
          <w:szCs w:val="24"/>
          <w:lang w:eastAsia="de-DE"/>
        </w:rPr>
        <w:t xml:space="preserve"> This research </w:t>
      </w:r>
      <w:r w:rsidR="00257355">
        <w:rPr>
          <w:rFonts w:eastAsia="Times New Roman" w:cs="Calibri"/>
          <w:sz w:val="24"/>
          <w:szCs w:val="24"/>
          <w:lang w:eastAsia="de-DE"/>
        </w:rPr>
        <w:t>developed from</w:t>
      </w:r>
      <w:r w:rsidR="00AF2F1C" w:rsidRPr="00AF2F1C">
        <w:rPr>
          <w:rFonts w:eastAsia="Times New Roman" w:cs="Calibri"/>
          <w:sz w:val="24"/>
          <w:szCs w:val="24"/>
          <w:lang w:eastAsia="de-DE"/>
        </w:rPr>
        <w:t xml:space="preserve"> the fields of comparative government and comparative public administration, studying for example origins and spread of common administrative traditions (Knill</w:t>
      </w:r>
      <w:r w:rsidR="004C27BD">
        <w:rPr>
          <w:rFonts w:eastAsia="Times New Roman" w:cs="Calibri"/>
          <w:sz w:val="24"/>
          <w:szCs w:val="24"/>
          <w:lang w:eastAsia="de-DE"/>
        </w:rPr>
        <w:t>,</w:t>
      </w:r>
      <w:r w:rsidR="00AF2F1C" w:rsidRPr="00AF2F1C">
        <w:rPr>
          <w:rFonts w:eastAsia="Times New Roman" w:cs="Calibri"/>
          <w:sz w:val="24"/>
          <w:szCs w:val="24"/>
          <w:lang w:eastAsia="de-DE"/>
        </w:rPr>
        <w:t xml:space="preserve"> 2001; Meyer-Sahling and Yesilkagit</w:t>
      </w:r>
      <w:r w:rsidR="004C27BD">
        <w:rPr>
          <w:rFonts w:eastAsia="Times New Roman" w:cs="Calibri"/>
          <w:sz w:val="24"/>
          <w:szCs w:val="24"/>
          <w:lang w:eastAsia="de-DE"/>
        </w:rPr>
        <w:t>,</w:t>
      </w:r>
      <w:r w:rsidR="00AF2F1C" w:rsidRPr="00AF2F1C">
        <w:rPr>
          <w:rFonts w:eastAsia="Times New Roman" w:cs="Calibri"/>
          <w:sz w:val="24"/>
          <w:szCs w:val="24"/>
          <w:lang w:eastAsia="de-DE"/>
        </w:rPr>
        <w:t xml:space="preserve"> 2011) and public management practices </w:t>
      </w:r>
      <w:r w:rsidR="00BD6748">
        <w:rPr>
          <w:rFonts w:eastAsia="Times New Roman" w:cs="Calibri"/>
          <w:sz w:val="24"/>
          <w:szCs w:val="24"/>
          <w:lang w:eastAsia="de-DE"/>
        </w:rPr>
        <w:t>(</w:t>
      </w:r>
      <w:r w:rsidR="00AF2F1C" w:rsidRPr="00AF2F1C">
        <w:rPr>
          <w:rFonts w:eastAsia="Times New Roman" w:cs="Calibri"/>
          <w:sz w:val="24"/>
          <w:szCs w:val="24"/>
          <w:lang w:eastAsia="de-DE"/>
        </w:rPr>
        <w:t>Christensen and Lægreid</w:t>
      </w:r>
      <w:r w:rsidR="004C27BD">
        <w:rPr>
          <w:rFonts w:eastAsia="Times New Roman" w:cs="Calibri"/>
          <w:sz w:val="24"/>
          <w:szCs w:val="24"/>
          <w:lang w:eastAsia="de-DE"/>
        </w:rPr>
        <w:t>,</w:t>
      </w:r>
      <w:r w:rsidR="00AF2F1C" w:rsidRPr="00AF2F1C">
        <w:rPr>
          <w:rFonts w:eastAsia="Times New Roman" w:cs="Calibri"/>
          <w:sz w:val="24"/>
          <w:szCs w:val="24"/>
          <w:lang w:eastAsia="de-DE"/>
        </w:rPr>
        <w:t xml:space="preserve"> 2011). ‘</w:t>
      </w:r>
      <w:r>
        <w:rPr>
          <w:rFonts w:eastAsia="Times New Roman" w:cs="Calibri"/>
          <w:sz w:val="24"/>
          <w:szCs w:val="24"/>
          <w:lang w:eastAsia="de-DE"/>
        </w:rPr>
        <w:t>MLA’</w:t>
      </w:r>
      <w:r w:rsidR="00AF2F1C" w:rsidRPr="00AF2F1C">
        <w:rPr>
          <w:rFonts w:eastAsia="Times New Roman" w:cs="Calibri"/>
          <w:sz w:val="24"/>
          <w:szCs w:val="24"/>
          <w:lang w:eastAsia="de-DE"/>
        </w:rPr>
        <w:t xml:space="preserve"> was conceived of as featuring the convergence of administrative systems around some shared </w:t>
      </w:r>
      <w:r w:rsidR="00AF2F1C" w:rsidRPr="00AF2F1C">
        <w:rPr>
          <w:rFonts w:eastAsia="Times New Roman" w:cs="Calibri"/>
          <w:sz w:val="24"/>
          <w:szCs w:val="24"/>
          <w:lang w:eastAsia="de-DE"/>
        </w:rPr>
        <w:lastRenderedPageBreak/>
        <w:t>forms</w:t>
      </w:r>
      <w:r w:rsidR="0058078A">
        <w:rPr>
          <w:rFonts w:eastAsia="Times New Roman" w:cs="Calibri"/>
          <w:sz w:val="24"/>
          <w:szCs w:val="24"/>
          <w:lang w:eastAsia="de-DE"/>
        </w:rPr>
        <w:t>, organizational standards and values</w:t>
      </w:r>
      <w:r w:rsidR="00AF2F1C" w:rsidRPr="00AF2F1C">
        <w:rPr>
          <w:rFonts w:eastAsia="Times New Roman" w:cs="Calibri"/>
          <w:sz w:val="24"/>
          <w:szCs w:val="24"/>
          <w:lang w:eastAsia="de-DE"/>
        </w:rPr>
        <w:t>. One early contribution to thi</w:t>
      </w:r>
      <w:r>
        <w:rPr>
          <w:rFonts w:eastAsia="Times New Roman" w:cs="Calibri"/>
          <w:sz w:val="24"/>
          <w:szCs w:val="24"/>
          <w:lang w:eastAsia="de-DE"/>
        </w:rPr>
        <w:t>s strand of research defined ‘MLA</w:t>
      </w:r>
      <w:r w:rsidR="00AF2F1C" w:rsidRPr="00AF2F1C">
        <w:rPr>
          <w:rFonts w:eastAsia="Times New Roman" w:cs="Calibri"/>
          <w:sz w:val="24"/>
          <w:szCs w:val="24"/>
          <w:lang w:eastAsia="de-DE"/>
        </w:rPr>
        <w:t>’ as European administrative convergence, or the ‘convergence on a common European model’ (Olsen</w:t>
      </w:r>
      <w:r w:rsidR="004C27BD">
        <w:rPr>
          <w:rFonts w:eastAsia="Times New Roman" w:cs="Calibri"/>
          <w:sz w:val="24"/>
          <w:szCs w:val="24"/>
          <w:lang w:eastAsia="de-DE"/>
        </w:rPr>
        <w:t>,</w:t>
      </w:r>
      <w:r w:rsidR="00AF2F1C" w:rsidRPr="00AF2F1C">
        <w:rPr>
          <w:rFonts w:eastAsia="Times New Roman" w:cs="Calibri"/>
          <w:sz w:val="24"/>
          <w:szCs w:val="24"/>
          <w:lang w:eastAsia="de-DE"/>
        </w:rPr>
        <w:t xml:space="preserve"> 2003: 506). One example is the seminal study of national co-ordination of EU policy by Kassim et al. (2000). They basically examined degrees of convergence of co-ordination arrangements in EU member-states.  Amoretti and Musilla (2011) has more recently showed how e-government tools create shared and integrated digital administrative architectures in Europe.</w:t>
      </w:r>
      <w:r w:rsidR="00EB01F6">
        <w:rPr>
          <w:rFonts w:eastAsia="Times New Roman" w:cs="Calibri"/>
          <w:sz w:val="24"/>
          <w:szCs w:val="24"/>
          <w:lang w:eastAsia="de-DE"/>
        </w:rPr>
        <w:t xml:space="preserve"> Several examples along the ‘new governance’ research track could be added.</w:t>
      </w:r>
    </w:p>
    <w:p w:rsidR="00AF2F1C" w:rsidRPr="00AF2F1C" w:rsidRDefault="00AF2F1C" w:rsidP="00AF2F1C">
      <w:pPr>
        <w:spacing w:after="0" w:line="480" w:lineRule="auto"/>
        <w:rPr>
          <w:rFonts w:eastAsia="Times New Roman" w:cs="Calibri"/>
          <w:sz w:val="24"/>
          <w:szCs w:val="24"/>
          <w:lang w:eastAsia="de-DE"/>
        </w:rPr>
      </w:pPr>
      <w:r w:rsidRPr="00AF2F1C">
        <w:rPr>
          <w:rFonts w:eastAsia="Times New Roman" w:cs="Calibri"/>
          <w:sz w:val="24"/>
          <w:szCs w:val="24"/>
          <w:lang w:eastAsia="de-DE"/>
        </w:rPr>
        <w:t>•</w:t>
      </w:r>
      <w:r w:rsidRPr="00AF2F1C">
        <w:rPr>
          <w:rFonts w:eastAsia="Times New Roman" w:cs="Calibri"/>
          <w:sz w:val="24"/>
          <w:szCs w:val="24"/>
          <w:lang w:eastAsia="de-DE"/>
        </w:rPr>
        <w:tab/>
      </w:r>
      <w:r w:rsidR="00474BD1">
        <w:rPr>
          <w:rFonts w:eastAsia="Times New Roman" w:cs="Calibri"/>
          <w:sz w:val="24"/>
          <w:szCs w:val="24"/>
          <w:lang w:eastAsia="de-DE"/>
        </w:rPr>
        <w:t>‘MLA</w:t>
      </w:r>
      <w:r w:rsidRPr="00AF2F1C">
        <w:rPr>
          <w:rFonts w:eastAsia="Times New Roman" w:cs="Calibri"/>
          <w:sz w:val="24"/>
          <w:szCs w:val="24"/>
          <w:lang w:eastAsia="de-DE"/>
        </w:rPr>
        <w:t xml:space="preserve"> II’: A second and more recent l</w:t>
      </w:r>
      <w:r w:rsidR="00474BD1">
        <w:rPr>
          <w:rFonts w:eastAsia="Times New Roman" w:cs="Calibri"/>
          <w:sz w:val="24"/>
          <w:szCs w:val="24"/>
          <w:lang w:eastAsia="de-DE"/>
        </w:rPr>
        <w:t>ine of research conceive</w:t>
      </w:r>
      <w:r w:rsidR="005972EA">
        <w:rPr>
          <w:rFonts w:eastAsia="Times New Roman" w:cs="Calibri"/>
          <w:sz w:val="24"/>
          <w:szCs w:val="24"/>
          <w:lang w:eastAsia="de-DE"/>
        </w:rPr>
        <w:t>s</w:t>
      </w:r>
      <w:r w:rsidR="00474BD1">
        <w:rPr>
          <w:rFonts w:eastAsia="Times New Roman" w:cs="Calibri"/>
          <w:sz w:val="24"/>
          <w:szCs w:val="24"/>
          <w:lang w:eastAsia="de-DE"/>
        </w:rPr>
        <w:t xml:space="preserve"> of ‘MLA</w:t>
      </w:r>
      <w:r w:rsidRPr="00AF2F1C">
        <w:rPr>
          <w:rFonts w:eastAsia="Times New Roman" w:cs="Calibri"/>
          <w:sz w:val="24"/>
          <w:szCs w:val="24"/>
          <w:lang w:eastAsia="de-DE"/>
        </w:rPr>
        <w:t>’ as featuring an emergent common administrative order in Europe through the development of new institutional constellations and configurations</w:t>
      </w:r>
      <w:r w:rsidR="00643130">
        <w:rPr>
          <w:rFonts w:eastAsia="Times New Roman" w:cs="Calibri"/>
          <w:sz w:val="24"/>
          <w:szCs w:val="24"/>
          <w:lang w:eastAsia="de-DE"/>
        </w:rPr>
        <w:t xml:space="preserve"> (Benz</w:t>
      </w:r>
      <w:r w:rsidR="004C27BD">
        <w:rPr>
          <w:rFonts w:eastAsia="Times New Roman" w:cs="Calibri"/>
          <w:sz w:val="24"/>
          <w:szCs w:val="24"/>
          <w:lang w:eastAsia="de-DE"/>
        </w:rPr>
        <w:t>,</w:t>
      </w:r>
      <w:r w:rsidR="00643130">
        <w:rPr>
          <w:rFonts w:eastAsia="Times New Roman" w:cs="Calibri"/>
          <w:sz w:val="24"/>
          <w:szCs w:val="24"/>
          <w:lang w:eastAsia="de-DE"/>
        </w:rPr>
        <w:t xml:space="preserve"> 201</w:t>
      </w:r>
      <w:r w:rsidR="00C300B1">
        <w:rPr>
          <w:rFonts w:eastAsia="Times New Roman" w:cs="Calibri"/>
          <w:sz w:val="24"/>
          <w:szCs w:val="24"/>
          <w:lang w:eastAsia="de-DE"/>
        </w:rPr>
        <w:t>5</w:t>
      </w:r>
      <w:r w:rsidR="0058078A">
        <w:rPr>
          <w:rFonts w:eastAsia="Times New Roman" w:cs="Calibri"/>
          <w:sz w:val="24"/>
          <w:szCs w:val="24"/>
          <w:lang w:eastAsia="de-DE"/>
        </w:rPr>
        <w:t>; Heidbreder</w:t>
      </w:r>
      <w:r w:rsidR="004C27BD">
        <w:rPr>
          <w:rFonts w:eastAsia="Times New Roman" w:cs="Calibri"/>
          <w:sz w:val="24"/>
          <w:szCs w:val="24"/>
          <w:lang w:eastAsia="de-DE"/>
        </w:rPr>
        <w:t>,</w:t>
      </w:r>
      <w:r w:rsidR="0058078A">
        <w:rPr>
          <w:rFonts w:eastAsia="Times New Roman" w:cs="Calibri"/>
          <w:sz w:val="24"/>
          <w:szCs w:val="24"/>
          <w:lang w:eastAsia="de-DE"/>
        </w:rPr>
        <w:t xml:space="preserve"> 201</w:t>
      </w:r>
      <w:r w:rsidR="00C300B1">
        <w:rPr>
          <w:rFonts w:eastAsia="Times New Roman" w:cs="Calibri"/>
          <w:sz w:val="24"/>
          <w:szCs w:val="24"/>
          <w:lang w:eastAsia="de-DE"/>
        </w:rPr>
        <w:t>5</w:t>
      </w:r>
      <w:r w:rsidR="00643130">
        <w:rPr>
          <w:rFonts w:eastAsia="Times New Roman" w:cs="Calibri"/>
          <w:sz w:val="24"/>
          <w:szCs w:val="24"/>
          <w:lang w:eastAsia="de-DE"/>
        </w:rPr>
        <w:t>)</w:t>
      </w:r>
      <w:r w:rsidRPr="00AF2F1C">
        <w:rPr>
          <w:rFonts w:eastAsia="Times New Roman" w:cs="Calibri"/>
          <w:sz w:val="24"/>
          <w:szCs w:val="24"/>
          <w:lang w:eastAsia="de-DE"/>
        </w:rPr>
        <w:t xml:space="preserve">. This </w:t>
      </w:r>
      <w:r w:rsidR="00474BD1">
        <w:rPr>
          <w:rFonts w:eastAsia="Times New Roman" w:cs="Calibri"/>
          <w:sz w:val="24"/>
          <w:szCs w:val="24"/>
          <w:lang w:eastAsia="de-DE"/>
        </w:rPr>
        <w:t>second line of research emphasiz</w:t>
      </w:r>
      <w:r w:rsidRPr="00AF2F1C">
        <w:rPr>
          <w:rFonts w:eastAsia="Times New Roman" w:cs="Calibri"/>
          <w:sz w:val="24"/>
          <w:szCs w:val="24"/>
          <w:lang w:eastAsia="de-DE"/>
        </w:rPr>
        <w:t xml:space="preserve">es new </w:t>
      </w:r>
      <w:r w:rsidRPr="00257355">
        <w:rPr>
          <w:rFonts w:eastAsia="Times New Roman" w:cs="Calibri"/>
          <w:i/>
          <w:sz w:val="24"/>
          <w:szCs w:val="24"/>
          <w:lang w:eastAsia="de-DE"/>
        </w:rPr>
        <w:t>patterns</w:t>
      </w:r>
      <w:r w:rsidRPr="00AF2F1C">
        <w:rPr>
          <w:rFonts w:eastAsia="Times New Roman" w:cs="Calibri"/>
          <w:sz w:val="24"/>
          <w:szCs w:val="24"/>
          <w:lang w:eastAsia="de-DE"/>
        </w:rPr>
        <w:t xml:space="preserve"> </w:t>
      </w:r>
      <w:r w:rsidR="00257355" w:rsidRPr="00257355">
        <w:rPr>
          <w:rFonts w:eastAsia="Times New Roman" w:cs="Calibri"/>
          <w:i/>
          <w:sz w:val="24"/>
          <w:szCs w:val="24"/>
          <w:lang w:eastAsia="de-DE"/>
        </w:rPr>
        <w:t>or processes</w:t>
      </w:r>
      <w:r w:rsidR="00257355">
        <w:rPr>
          <w:rFonts w:eastAsia="Times New Roman" w:cs="Calibri"/>
          <w:sz w:val="24"/>
          <w:szCs w:val="24"/>
          <w:lang w:eastAsia="de-DE"/>
        </w:rPr>
        <w:t xml:space="preserve"> </w:t>
      </w:r>
      <w:r w:rsidRPr="00AF2F1C">
        <w:rPr>
          <w:rFonts w:eastAsia="Times New Roman" w:cs="Calibri"/>
          <w:sz w:val="24"/>
          <w:szCs w:val="24"/>
          <w:lang w:eastAsia="de-DE"/>
        </w:rPr>
        <w:t>of integration of public administration</w:t>
      </w:r>
      <w:r w:rsidR="00257355">
        <w:rPr>
          <w:rFonts w:eastAsia="Times New Roman" w:cs="Calibri"/>
          <w:sz w:val="24"/>
          <w:szCs w:val="24"/>
          <w:lang w:eastAsia="de-DE"/>
        </w:rPr>
        <w:t xml:space="preserve"> – not its outcome</w:t>
      </w:r>
      <w:r w:rsidRPr="00AF2F1C">
        <w:rPr>
          <w:rFonts w:eastAsia="Times New Roman" w:cs="Calibri"/>
          <w:sz w:val="24"/>
          <w:szCs w:val="24"/>
          <w:lang w:eastAsia="de-DE"/>
        </w:rPr>
        <w:t>. Research has been preoccupied with both understanding European administrative capacity-building (</w:t>
      </w:r>
      <w:r w:rsidR="00C300B1">
        <w:rPr>
          <w:rFonts w:eastAsia="Times New Roman" w:cs="Calibri"/>
          <w:sz w:val="24"/>
          <w:szCs w:val="24"/>
          <w:lang w:eastAsia="de-DE"/>
        </w:rPr>
        <w:t>Bauer</w:t>
      </w:r>
      <w:r w:rsidR="004C27BD">
        <w:rPr>
          <w:rFonts w:eastAsia="Times New Roman" w:cs="Calibri"/>
          <w:sz w:val="24"/>
          <w:szCs w:val="24"/>
          <w:lang w:eastAsia="de-DE"/>
        </w:rPr>
        <w:t>,</w:t>
      </w:r>
      <w:r w:rsidR="00C300B1">
        <w:rPr>
          <w:rFonts w:eastAsia="Times New Roman" w:cs="Calibri"/>
          <w:sz w:val="24"/>
          <w:szCs w:val="24"/>
          <w:lang w:eastAsia="de-DE"/>
        </w:rPr>
        <w:t xml:space="preserve"> 2006; </w:t>
      </w:r>
      <w:r w:rsidRPr="00AF2F1C">
        <w:rPr>
          <w:rFonts w:eastAsia="Times New Roman" w:cs="Calibri"/>
          <w:sz w:val="24"/>
          <w:szCs w:val="24"/>
          <w:lang w:eastAsia="de-DE"/>
        </w:rPr>
        <w:t>Egeberg</w:t>
      </w:r>
      <w:r w:rsidR="004C27BD">
        <w:rPr>
          <w:rFonts w:eastAsia="Times New Roman" w:cs="Calibri"/>
          <w:sz w:val="24"/>
          <w:szCs w:val="24"/>
          <w:lang w:eastAsia="de-DE"/>
        </w:rPr>
        <w:t>,</w:t>
      </w:r>
      <w:r w:rsidRPr="00AF2F1C">
        <w:rPr>
          <w:rFonts w:eastAsia="Times New Roman" w:cs="Calibri"/>
          <w:sz w:val="24"/>
          <w:szCs w:val="24"/>
          <w:lang w:eastAsia="de-DE"/>
        </w:rPr>
        <w:t xml:space="preserve"> 2006; Rittberger and Wonka</w:t>
      </w:r>
      <w:r w:rsidR="004C27BD">
        <w:rPr>
          <w:rFonts w:eastAsia="Times New Roman" w:cs="Calibri"/>
          <w:sz w:val="24"/>
          <w:szCs w:val="24"/>
          <w:lang w:eastAsia="de-DE"/>
        </w:rPr>
        <w:t>,</w:t>
      </w:r>
      <w:r w:rsidRPr="00AF2F1C">
        <w:rPr>
          <w:rFonts w:eastAsia="Times New Roman" w:cs="Calibri"/>
          <w:sz w:val="24"/>
          <w:szCs w:val="24"/>
          <w:lang w:eastAsia="de-DE"/>
        </w:rPr>
        <w:t xml:space="preserve"> 2011), and understanding the interconnected nature of the European public administration (Curtin and Egeberg</w:t>
      </w:r>
      <w:r w:rsidR="004C27BD">
        <w:rPr>
          <w:rFonts w:eastAsia="Times New Roman" w:cs="Calibri"/>
          <w:sz w:val="24"/>
          <w:szCs w:val="24"/>
          <w:lang w:eastAsia="de-DE"/>
        </w:rPr>
        <w:t>,</w:t>
      </w:r>
      <w:r w:rsidRPr="00AF2F1C">
        <w:rPr>
          <w:rFonts w:eastAsia="Times New Roman" w:cs="Calibri"/>
          <w:sz w:val="24"/>
          <w:szCs w:val="24"/>
          <w:lang w:eastAsia="de-DE"/>
        </w:rPr>
        <w:t xml:space="preserve"> 2008; Egeberg</w:t>
      </w:r>
      <w:r w:rsidR="004C27BD">
        <w:rPr>
          <w:rFonts w:eastAsia="Times New Roman" w:cs="Calibri"/>
          <w:sz w:val="24"/>
          <w:szCs w:val="24"/>
          <w:lang w:eastAsia="de-DE"/>
        </w:rPr>
        <w:t>,</w:t>
      </w:r>
      <w:r w:rsidRPr="00AF2F1C">
        <w:rPr>
          <w:rFonts w:eastAsia="Times New Roman" w:cs="Calibri"/>
          <w:sz w:val="24"/>
          <w:szCs w:val="24"/>
          <w:lang w:eastAsia="de-DE"/>
        </w:rPr>
        <w:t xml:space="preserve"> 2010; Egeberg and Trondal</w:t>
      </w:r>
      <w:r w:rsidR="004C27BD">
        <w:rPr>
          <w:rFonts w:eastAsia="Times New Roman" w:cs="Calibri"/>
          <w:sz w:val="24"/>
          <w:szCs w:val="24"/>
          <w:lang w:eastAsia="de-DE"/>
        </w:rPr>
        <w:t>,</w:t>
      </w:r>
      <w:r w:rsidRPr="00AF2F1C">
        <w:rPr>
          <w:rFonts w:eastAsia="Times New Roman" w:cs="Calibri"/>
          <w:sz w:val="24"/>
          <w:szCs w:val="24"/>
          <w:lang w:eastAsia="de-DE"/>
        </w:rPr>
        <w:t xml:space="preserve"> 2009). Illustrative of the latter approach, Hofmann and Turk (2006) and</w:t>
      </w:r>
      <w:r w:rsidR="00474BD1">
        <w:rPr>
          <w:rFonts w:eastAsia="Times New Roman" w:cs="Calibri"/>
          <w:sz w:val="24"/>
          <w:szCs w:val="24"/>
          <w:lang w:eastAsia="de-DE"/>
        </w:rPr>
        <w:t xml:space="preserve"> Hofmann (2008) conceive of ‘MLA</w:t>
      </w:r>
      <w:r w:rsidRPr="00AF2F1C">
        <w:rPr>
          <w:rFonts w:eastAsia="Times New Roman" w:cs="Calibri"/>
          <w:sz w:val="24"/>
          <w:szCs w:val="24"/>
          <w:lang w:eastAsia="de-DE"/>
        </w:rPr>
        <w:t>’ as the emergence of a multilevel and nested network-administration where institutions at different levels of government ‘are linked together in the performance of tasks…’ (Hofmann and Turk</w:t>
      </w:r>
      <w:r w:rsidR="004C27BD">
        <w:rPr>
          <w:rFonts w:eastAsia="Times New Roman" w:cs="Calibri"/>
          <w:sz w:val="24"/>
          <w:szCs w:val="24"/>
          <w:lang w:eastAsia="de-DE"/>
        </w:rPr>
        <w:t>, 2006: 583</w:t>
      </w:r>
      <w:r w:rsidRPr="00AF2F1C">
        <w:rPr>
          <w:rFonts w:eastAsia="Times New Roman" w:cs="Calibri"/>
          <w:sz w:val="24"/>
          <w:szCs w:val="24"/>
          <w:lang w:eastAsia="de-DE"/>
        </w:rPr>
        <w:t xml:space="preserve">). </w:t>
      </w:r>
    </w:p>
    <w:p w:rsidR="00AF2F1C" w:rsidRPr="00AF2F1C" w:rsidRDefault="00AF2F1C" w:rsidP="00AF2F1C">
      <w:pPr>
        <w:spacing w:after="0" w:line="480" w:lineRule="auto"/>
        <w:rPr>
          <w:rFonts w:eastAsia="Times New Roman" w:cs="Calibri"/>
          <w:sz w:val="24"/>
          <w:szCs w:val="24"/>
          <w:lang w:eastAsia="de-DE"/>
        </w:rPr>
      </w:pPr>
    </w:p>
    <w:p w:rsidR="00AF2F1C" w:rsidRPr="00AF2F1C" w:rsidRDefault="00EB01F6" w:rsidP="00AF2F1C">
      <w:pPr>
        <w:spacing w:after="0" w:line="480" w:lineRule="auto"/>
        <w:rPr>
          <w:rFonts w:eastAsia="Times New Roman" w:cs="Calibri"/>
          <w:sz w:val="24"/>
          <w:szCs w:val="24"/>
          <w:lang w:eastAsia="de-DE"/>
        </w:rPr>
      </w:pPr>
      <w:r>
        <w:rPr>
          <w:rFonts w:eastAsia="Times New Roman" w:cs="Calibri"/>
          <w:sz w:val="24"/>
          <w:szCs w:val="24"/>
          <w:lang w:eastAsia="de-DE"/>
        </w:rPr>
        <w:lastRenderedPageBreak/>
        <w:t>H</w:t>
      </w:r>
      <w:r>
        <w:rPr>
          <w:rFonts w:eastAsia="Times New Roman" w:cs="Calibri"/>
          <w:sz w:val="24"/>
          <w:szCs w:val="24"/>
          <w:lang w:eastAsia="de-DE"/>
        </w:rPr>
        <w:t>ow</w:t>
      </w:r>
      <w:r>
        <w:rPr>
          <w:rFonts w:eastAsia="Times New Roman" w:cs="Calibri"/>
          <w:sz w:val="24"/>
          <w:szCs w:val="24"/>
          <w:lang w:eastAsia="de-DE"/>
        </w:rPr>
        <w:t>,</w:t>
      </w:r>
      <w:r>
        <w:rPr>
          <w:rFonts w:eastAsia="Times New Roman" w:cs="Calibri"/>
          <w:sz w:val="24"/>
          <w:szCs w:val="24"/>
          <w:lang w:eastAsia="de-DE"/>
        </w:rPr>
        <w:t xml:space="preserve"> </w:t>
      </w:r>
      <w:r>
        <w:rPr>
          <w:rFonts w:eastAsia="Times New Roman" w:cs="Calibri"/>
          <w:sz w:val="24"/>
          <w:szCs w:val="24"/>
          <w:lang w:eastAsia="de-DE"/>
        </w:rPr>
        <w:t>t</w:t>
      </w:r>
      <w:r w:rsidR="00AA630C">
        <w:rPr>
          <w:rFonts w:eastAsia="Times New Roman" w:cs="Calibri"/>
          <w:sz w:val="24"/>
          <w:szCs w:val="24"/>
          <w:lang w:eastAsia="de-DE"/>
        </w:rPr>
        <w:t>hen, can one recogniz</w:t>
      </w:r>
      <w:r w:rsidR="00474BD1">
        <w:rPr>
          <w:rFonts w:eastAsia="Times New Roman" w:cs="Calibri"/>
          <w:sz w:val="24"/>
          <w:szCs w:val="24"/>
          <w:lang w:eastAsia="de-DE"/>
        </w:rPr>
        <w:t>e ‘MLA II</w:t>
      </w:r>
      <w:r w:rsidR="00AF2F1C" w:rsidRPr="00AF2F1C">
        <w:rPr>
          <w:rFonts w:eastAsia="Times New Roman" w:cs="Calibri"/>
          <w:sz w:val="24"/>
          <w:szCs w:val="24"/>
          <w:lang w:eastAsia="de-DE"/>
        </w:rPr>
        <w:t xml:space="preserve">’ </w:t>
      </w:r>
      <w:r w:rsidR="00257355">
        <w:rPr>
          <w:rFonts w:eastAsia="Times New Roman" w:cs="Calibri"/>
          <w:sz w:val="24"/>
          <w:szCs w:val="24"/>
          <w:lang w:eastAsia="de-DE"/>
        </w:rPr>
        <w:t>if it occurs</w:t>
      </w:r>
      <w:r w:rsidR="00AF2F1C" w:rsidRPr="00AF2F1C">
        <w:rPr>
          <w:rFonts w:eastAsia="Times New Roman" w:cs="Calibri"/>
          <w:sz w:val="24"/>
          <w:szCs w:val="24"/>
          <w:lang w:eastAsia="de-DE"/>
        </w:rPr>
        <w:t xml:space="preserve">? Following the second wave of </w:t>
      </w:r>
      <w:r w:rsidR="00474BD1">
        <w:rPr>
          <w:rFonts w:eastAsia="Times New Roman" w:cs="Calibri"/>
          <w:sz w:val="24"/>
          <w:szCs w:val="24"/>
          <w:lang w:eastAsia="de-DE"/>
        </w:rPr>
        <w:t>‘MLA</w:t>
      </w:r>
      <w:r w:rsidR="00AF2F1C" w:rsidRPr="00AF2F1C">
        <w:rPr>
          <w:rFonts w:eastAsia="Times New Roman" w:cs="Calibri"/>
          <w:sz w:val="24"/>
          <w:szCs w:val="24"/>
          <w:lang w:eastAsia="de-DE"/>
        </w:rPr>
        <w:t>’ research (‘</w:t>
      </w:r>
      <w:r w:rsidR="00474BD1">
        <w:rPr>
          <w:rFonts w:eastAsia="Times New Roman" w:cs="Calibri"/>
          <w:sz w:val="24"/>
          <w:szCs w:val="24"/>
          <w:lang w:eastAsia="de-DE"/>
        </w:rPr>
        <w:t>MLA</w:t>
      </w:r>
      <w:r w:rsidR="00AF2F1C" w:rsidRPr="00AF2F1C">
        <w:rPr>
          <w:rFonts w:eastAsia="Times New Roman" w:cs="Calibri"/>
          <w:sz w:val="24"/>
          <w:szCs w:val="24"/>
          <w:lang w:eastAsia="de-DE"/>
        </w:rPr>
        <w:t xml:space="preserve"> II’), </w:t>
      </w:r>
      <w:r w:rsidR="00257355">
        <w:rPr>
          <w:rFonts w:eastAsia="Times New Roman" w:cs="Calibri"/>
          <w:sz w:val="24"/>
          <w:szCs w:val="24"/>
          <w:lang w:eastAsia="de-DE"/>
        </w:rPr>
        <w:t>three proxies are suggested for analysis:</w:t>
      </w:r>
      <w:r w:rsidR="00AF2F1C" w:rsidRPr="00AF2F1C">
        <w:rPr>
          <w:rFonts w:eastAsia="Times New Roman" w:cs="Calibri"/>
          <w:sz w:val="24"/>
          <w:szCs w:val="24"/>
          <w:lang w:eastAsia="de-DE"/>
        </w:rPr>
        <w:t xml:space="preserve"> institutional independence, integration and co-optation. </w:t>
      </w:r>
    </w:p>
    <w:p w:rsidR="00AF2F1C" w:rsidRPr="00AF2F1C" w:rsidRDefault="00AF2F1C" w:rsidP="00AF2F1C">
      <w:pPr>
        <w:spacing w:after="0" w:line="480" w:lineRule="auto"/>
        <w:rPr>
          <w:rFonts w:eastAsia="Times New Roman" w:cs="Calibri"/>
          <w:sz w:val="24"/>
          <w:szCs w:val="24"/>
          <w:lang w:eastAsia="de-DE"/>
        </w:rPr>
      </w:pPr>
    </w:p>
    <w:p w:rsidR="00AF2F1C" w:rsidRPr="00AA630C" w:rsidRDefault="00AF2F1C" w:rsidP="00AF2F1C">
      <w:pPr>
        <w:spacing w:after="0" w:line="480" w:lineRule="auto"/>
        <w:rPr>
          <w:rFonts w:eastAsia="Times New Roman" w:cs="Calibri"/>
          <w:i/>
          <w:sz w:val="24"/>
          <w:szCs w:val="24"/>
          <w:lang w:eastAsia="de-DE"/>
        </w:rPr>
      </w:pPr>
      <w:r w:rsidRPr="00AA630C">
        <w:rPr>
          <w:rFonts w:eastAsia="Times New Roman" w:cs="Calibri"/>
          <w:i/>
          <w:sz w:val="24"/>
          <w:szCs w:val="24"/>
          <w:lang w:eastAsia="de-DE"/>
        </w:rPr>
        <w:t>Independence</w:t>
      </w:r>
    </w:p>
    <w:p w:rsidR="00AF2F1C" w:rsidRDefault="00AF2F1C" w:rsidP="00AF2F1C">
      <w:pPr>
        <w:spacing w:after="0" w:line="480" w:lineRule="auto"/>
        <w:rPr>
          <w:rFonts w:eastAsia="Times New Roman" w:cs="Calibri"/>
          <w:sz w:val="24"/>
          <w:szCs w:val="24"/>
          <w:lang w:eastAsia="de-DE"/>
        </w:rPr>
      </w:pPr>
      <w:r w:rsidRPr="00AF2F1C">
        <w:rPr>
          <w:rFonts w:eastAsia="Times New Roman" w:cs="Calibri"/>
          <w:sz w:val="24"/>
          <w:szCs w:val="24"/>
          <w:lang w:eastAsia="de-DE"/>
        </w:rPr>
        <w:t xml:space="preserve">First, </w:t>
      </w:r>
      <w:r w:rsidR="00474BD1">
        <w:rPr>
          <w:rFonts w:eastAsia="Times New Roman" w:cs="Calibri"/>
          <w:sz w:val="24"/>
          <w:szCs w:val="24"/>
          <w:lang w:eastAsia="de-DE"/>
        </w:rPr>
        <w:t>‘MLA</w:t>
      </w:r>
      <w:r w:rsidR="00375765">
        <w:rPr>
          <w:rFonts w:eastAsia="Times New Roman" w:cs="Calibri"/>
          <w:sz w:val="24"/>
          <w:szCs w:val="24"/>
          <w:lang w:eastAsia="de-DE"/>
        </w:rPr>
        <w:t xml:space="preserve"> II</w:t>
      </w:r>
      <w:r w:rsidRPr="00AF2F1C">
        <w:rPr>
          <w:rFonts w:eastAsia="Times New Roman" w:cs="Calibri"/>
          <w:sz w:val="24"/>
          <w:szCs w:val="24"/>
          <w:lang w:eastAsia="de-DE"/>
        </w:rPr>
        <w:t>’ involves institutionali</w:t>
      </w:r>
      <w:r w:rsidR="00474BD1">
        <w:rPr>
          <w:rFonts w:eastAsia="Times New Roman" w:cs="Calibri"/>
          <w:sz w:val="24"/>
          <w:szCs w:val="24"/>
          <w:lang w:eastAsia="de-DE"/>
        </w:rPr>
        <w:t>z</w:t>
      </w:r>
      <w:r w:rsidRPr="00AF2F1C">
        <w:rPr>
          <w:rFonts w:eastAsia="Times New Roman" w:cs="Calibri"/>
          <w:sz w:val="24"/>
          <w:szCs w:val="24"/>
          <w:lang w:eastAsia="de-DE"/>
        </w:rPr>
        <w:t>ing some level of independent administrative capacity at a European level, notably the rise of relatively permanent and separate institutions that are able to act relatively independent from member-state governments. In his analysis of institutionali</w:t>
      </w:r>
      <w:r w:rsidR="00474BD1">
        <w:rPr>
          <w:rFonts w:eastAsia="Times New Roman" w:cs="Calibri"/>
          <w:sz w:val="24"/>
          <w:szCs w:val="24"/>
          <w:lang w:eastAsia="de-DE"/>
        </w:rPr>
        <w:t>z</w:t>
      </w:r>
      <w:r w:rsidRPr="00AF2F1C">
        <w:rPr>
          <w:rFonts w:eastAsia="Times New Roman" w:cs="Calibri"/>
          <w:sz w:val="24"/>
          <w:szCs w:val="24"/>
          <w:lang w:eastAsia="de-DE"/>
        </w:rPr>
        <w:t xml:space="preserve">ation in the context of political development, Huntington (1968) argued that autonomy was a first requirement of successful state development. </w:t>
      </w:r>
      <w:r w:rsidR="00EB01F6">
        <w:rPr>
          <w:rFonts w:eastAsia="Times New Roman" w:cs="Calibri"/>
          <w:sz w:val="24"/>
          <w:szCs w:val="24"/>
          <w:lang w:eastAsia="de-DE"/>
        </w:rPr>
        <w:t>An independent European administrative system</w:t>
      </w:r>
      <w:r w:rsidR="00EB01F6" w:rsidRPr="00EB01F6">
        <w:rPr>
          <w:rFonts w:eastAsia="Times New Roman" w:cs="Calibri"/>
          <w:sz w:val="24"/>
          <w:szCs w:val="24"/>
          <w:lang w:eastAsia="de-DE"/>
        </w:rPr>
        <w:t xml:space="preserve"> must possess some capacity of its own (Zurn 2012: 731). Envisaged already by Saint-Simon in 1814 (1964: 35-38), one necessary factor in building common administrative systems – even common political order - is the establishment of common institutions, including a permanent congress independent of national governments serving the common interest.</w:t>
      </w:r>
      <w:r w:rsidR="00EB01F6">
        <w:rPr>
          <w:rFonts w:eastAsia="Times New Roman" w:cs="Calibri"/>
          <w:sz w:val="24"/>
          <w:szCs w:val="24"/>
          <w:lang w:eastAsia="de-DE"/>
        </w:rPr>
        <w:t xml:space="preserve"> </w:t>
      </w:r>
      <w:r w:rsidRPr="00AF2F1C">
        <w:rPr>
          <w:rFonts w:eastAsia="Times New Roman" w:cs="Calibri"/>
          <w:sz w:val="24"/>
          <w:szCs w:val="24"/>
          <w:lang w:eastAsia="de-DE"/>
        </w:rPr>
        <w:t xml:space="preserve">This </w:t>
      </w:r>
      <w:r w:rsidR="004C27BD">
        <w:rPr>
          <w:rFonts w:eastAsia="Times New Roman" w:cs="Calibri"/>
          <w:sz w:val="24"/>
          <w:szCs w:val="24"/>
          <w:lang w:eastAsia="de-DE"/>
        </w:rPr>
        <w:t>article</w:t>
      </w:r>
      <w:r w:rsidR="00474BD1">
        <w:rPr>
          <w:rFonts w:eastAsia="Times New Roman" w:cs="Calibri"/>
          <w:sz w:val="24"/>
          <w:szCs w:val="24"/>
          <w:lang w:eastAsia="de-DE"/>
        </w:rPr>
        <w:t xml:space="preserve"> suggests</w:t>
      </w:r>
      <w:r w:rsidRPr="00AF2F1C">
        <w:rPr>
          <w:rFonts w:eastAsia="Times New Roman" w:cs="Calibri"/>
          <w:sz w:val="24"/>
          <w:szCs w:val="24"/>
          <w:lang w:eastAsia="de-DE"/>
        </w:rPr>
        <w:t xml:space="preserve"> how the growth of administrative capacities not only within the Commission but also in institutions surrounding the Commission may contribute to strengthening the independent capacities of the Commission - and thus </w:t>
      </w:r>
      <w:r w:rsidR="00474BD1">
        <w:rPr>
          <w:rFonts w:eastAsia="Times New Roman" w:cs="Calibri"/>
          <w:sz w:val="24"/>
          <w:szCs w:val="24"/>
          <w:lang w:eastAsia="de-DE"/>
        </w:rPr>
        <w:t>facilitate the formation of ‘MLA</w:t>
      </w:r>
      <w:r w:rsidRPr="00AF2F1C">
        <w:rPr>
          <w:rFonts w:eastAsia="Times New Roman" w:cs="Calibri"/>
          <w:sz w:val="24"/>
          <w:szCs w:val="24"/>
          <w:lang w:eastAsia="de-DE"/>
        </w:rPr>
        <w:t xml:space="preserve">’. In addition to in-house organisational capacities the Commission is supplied with the auxiliary capacities composed of </w:t>
      </w:r>
      <w:r w:rsidR="00375765">
        <w:rPr>
          <w:rFonts w:eastAsia="Times New Roman" w:cs="Calibri"/>
          <w:sz w:val="24"/>
          <w:szCs w:val="24"/>
          <w:lang w:eastAsia="de-DE"/>
        </w:rPr>
        <w:t>expert committees (ECs)</w:t>
      </w:r>
      <w:r w:rsidR="00474BD1">
        <w:rPr>
          <w:rFonts w:eastAsia="Times New Roman" w:cs="Calibri"/>
          <w:sz w:val="24"/>
          <w:szCs w:val="24"/>
          <w:lang w:eastAsia="de-DE"/>
        </w:rPr>
        <w:t xml:space="preserve"> and</w:t>
      </w:r>
      <w:r w:rsidRPr="00AF2F1C">
        <w:rPr>
          <w:rFonts w:eastAsia="Times New Roman" w:cs="Calibri"/>
          <w:sz w:val="24"/>
          <w:szCs w:val="24"/>
          <w:lang w:eastAsia="de-DE"/>
        </w:rPr>
        <w:t xml:space="preserve"> EU agencies.</w:t>
      </w:r>
      <w:r w:rsidR="00257355">
        <w:rPr>
          <w:rFonts w:eastAsia="Times New Roman" w:cs="Calibri"/>
          <w:sz w:val="24"/>
          <w:szCs w:val="24"/>
          <w:lang w:eastAsia="de-DE"/>
        </w:rPr>
        <w:t xml:space="preserve"> Independent administrative capacities will subsequently enable the independent development and implementation of public policy at</w:t>
      </w:r>
      <w:r w:rsidR="008B32A0">
        <w:rPr>
          <w:rFonts w:eastAsia="Times New Roman" w:cs="Calibri"/>
          <w:sz w:val="24"/>
          <w:szCs w:val="24"/>
          <w:lang w:eastAsia="de-DE"/>
        </w:rPr>
        <w:t xml:space="preserve"> or from</w:t>
      </w:r>
      <w:r w:rsidR="00257355">
        <w:rPr>
          <w:rFonts w:eastAsia="Times New Roman" w:cs="Calibri"/>
          <w:sz w:val="24"/>
          <w:szCs w:val="24"/>
          <w:lang w:eastAsia="de-DE"/>
        </w:rPr>
        <w:t xml:space="preserve"> a ‘European’ level.</w:t>
      </w:r>
    </w:p>
    <w:p w:rsidR="00AF2F1C" w:rsidRDefault="00AF2F1C" w:rsidP="00AF2F1C">
      <w:pPr>
        <w:spacing w:after="0" w:line="480" w:lineRule="auto"/>
        <w:rPr>
          <w:rFonts w:eastAsia="Times New Roman" w:cs="Calibri"/>
          <w:sz w:val="24"/>
          <w:szCs w:val="24"/>
          <w:lang w:eastAsia="de-DE"/>
        </w:rPr>
      </w:pPr>
    </w:p>
    <w:p w:rsidR="00AF2F1C" w:rsidRPr="00AA630C" w:rsidRDefault="00AF2F1C" w:rsidP="00AF2F1C">
      <w:pPr>
        <w:spacing w:after="0" w:line="480" w:lineRule="auto"/>
        <w:rPr>
          <w:rFonts w:eastAsia="Times New Roman" w:cs="Calibri"/>
          <w:i/>
          <w:sz w:val="24"/>
          <w:szCs w:val="24"/>
          <w:lang w:eastAsia="de-DE"/>
        </w:rPr>
      </w:pPr>
      <w:r w:rsidRPr="00AA630C">
        <w:rPr>
          <w:rFonts w:eastAsia="Times New Roman" w:cs="Calibri"/>
          <w:i/>
          <w:sz w:val="24"/>
          <w:szCs w:val="24"/>
          <w:lang w:eastAsia="de-DE"/>
        </w:rPr>
        <w:lastRenderedPageBreak/>
        <w:t>Integration</w:t>
      </w:r>
    </w:p>
    <w:p w:rsidR="00AF2F1C" w:rsidRPr="00375765" w:rsidRDefault="00AF2F1C" w:rsidP="00AF2F1C">
      <w:pPr>
        <w:spacing w:after="0" w:line="480" w:lineRule="auto"/>
        <w:rPr>
          <w:rFonts w:eastAsia="Times New Roman" w:cs="Calibri"/>
          <w:sz w:val="24"/>
          <w:szCs w:val="24"/>
          <w:lang w:eastAsia="de-DE"/>
        </w:rPr>
      </w:pPr>
      <w:r w:rsidRPr="00AF2F1C">
        <w:rPr>
          <w:rFonts w:eastAsia="Times New Roman" w:cs="Calibri"/>
          <w:sz w:val="24"/>
          <w:szCs w:val="24"/>
          <w:lang w:eastAsia="de-DE"/>
        </w:rPr>
        <w:t>Empirically it is often observed that the rise of common administrative space do n</w:t>
      </w:r>
      <w:r w:rsidR="00445621">
        <w:rPr>
          <w:rFonts w:eastAsia="Times New Roman" w:cs="Calibri"/>
          <w:sz w:val="24"/>
          <w:szCs w:val="24"/>
          <w:lang w:eastAsia="de-DE"/>
        </w:rPr>
        <w:t>ot result in the institutionaliz</w:t>
      </w:r>
      <w:r w:rsidRPr="00AF2F1C">
        <w:rPr>
          <w:rFonts w:eastAsia="Times New Roman" w:cs="Calibri"/>
          <w:sz w:val="24"/>
          <w:szCs w:val="24"/>
          <w:lang w:eastAsia="de-DE"/>
        </w:rPr>
        <w:t xml:space="preserve">ation of coherent administrative capacities. Instead, different components of </w:t>
      </w:r>
      <w:r w:rsidR="00445621">
        <w:rPr>
          <w:rFonts w:eastAsia="Times New Roman" w:cs="Calibri"/>
          <w:sz w:val="24"/>
          <w:szCs w:val="24"/>
          <w:lang w:eastAsia="de-DE"/>
        </w:rPr>
        <w:t>administrative center</w:t>
      </w:r>
      <w:r w:rsidRPr="00AF2F1C">
        <w:rPr>
          <w:rFonts w:eastAsia="Times New Roman" w:cs="Calibri"/>
          <w:sz w:val="24"/>
          <w:szCs w:val="24"/>
          <w:lang w:eastAsia="de-DE"/>
        </w:rPr>
        <w:t xml:space="preserve">s </w:t>
      </w:r>
      <w:r w:rsidR="00C66C66">
        <w:rPr>
          <w:rFonts w:eastAsia="Times New Roman" w:cs="Calibri"/>
          <w:sz w:val="24"/>
          <w:szCs w:val="24"/>
          <w:lang w:eastAsia="de-DE"/>
        </w:rPr>
        <w:t>do usually</w:t>
      </w:r>
      <w:r w:rsidRPr="00AF2F1C">
        <w:rPr>
          <w:rFonts w:eastAsia="Times New Roman" w:cs="Calibri"/>
          <w:sz w:val="24"/>
          <w:szCs w:val="24"/>
          <w:lang w:eastAsia="de-DE"/>
        </w:rPr>
        <w:t xml:space="preserve"> overlap, counteract, layer and sometimes be out of sync rather than being integrated, coordinated and ‘ordered’ (Orren and Skowronek</w:t>
      </w:r>
      <w:r w:rsidR="004C27BD">
        <w:rPr>
          <w:rFonts w:eastAsia="Times New Roman" w:cs="Calibri"/>
          <w:sz w:val="24"/>
          <w:szCs w:val="24"/>
          <w:lang w:eastAsia="de-DE"/>
        </w:rPr>
        <w:t>,</w:t>
      </w:r>
      <w:r w:rsidRPr="00AF2F1C">
        <w:rPr>
          <w:rFonts w:eastAsia="Times New Roman" w:cs="Calibri"/>
          <w:sz w:val="24"/>
          <w:szCs w:val="24"/>
          <w:lang w:eastAsia="de-DE"/>
        </w:rPr>
        <w:t xml:space="preserve"> 2004). Suppleme</w:t>
      </w:r>
      <w:r w:rsidR="00445621">
        <w:rPr>
          <w:rFonts w:eastAsia="Times New Roman" w:cs="Calibri"/>
          <w:sz w:val="24"/>
          <w:szCs w:val="24"/>
          <w:lang w:eastAsia="de-DE"/>
        </w:rPr>
        <w:t>nting the vertical specializ</w:t>
      </w:r>
      <w:r w:rsidRPr="00AF2F1C">
        <w:rPr>
          <w:rFonts w:eastAsia="Times New Roman" w:cs="Calibri"/>
          <w:sz w:val="24"/>
          <w:szCs w:val="24"/>
          <w:lang w:eastAsia="de-DE"/>
        </w:rPr>
        <w:t>ation of administrative systems, the internal integration of administrative systems is also increasingly documented within national governme</w:t>
      </w:r>
      <w:r w:rsidR="00445621">
        <w:rPr>
          <w:rFonts w:eastAsia="Times New Roman" w:cs="Calibri"/>
          <w:sz w:val="24"/>
          <w:szCs w:val="24"/>
          <w:lang w:eastAsia="de-DE"/>
        </w:rPr>
        <w:t>nts - notably reasserting center</w:t>
      </w:r>
      <w:r w:rsidRPr="00AF2F1C">
        <w:rPr>
          <w:rFonts w:eastAsia="Times New Roman" w:cs="Calibri"/>
          <w:sz w:val="24"/>
          <w:szCs w:val="24"/>
          <w:lang w:eastAsia="de-DE"/>
        </w:rPr>
        <w:t>s of executive government (Peters</w:t>
      </w:r>
      <w:r w:rsidR="004C27BD">
        <w:rPr>
          <w:rFonts w:eastAsia="Times New Roman" w:cs="Calibri"/>
          <w:sz w:val="24"/>
          <w:szCs w:val="24"/>
          <w:lang w:eastAsia="de-DE"/>
        </w:rPr>
        <w:t>,</w:t>
      </w:r>
      <w:r w:rsidRPr="00AF2F1C">
        <w:rPr>
          <w:rFonts w:eastAsia="Times New Roman" w:cs="Calibri"/>
          <w:sz w:val="24"/>
          <w:szCs w:val="24"/>
          <w:lang w:eastAsia="de-DE"/>
        </w:rPr>
        <w:t xml:space="preserve"> 2004; Poguntke and Webb</w:t>
      </w:r>
      <w:r w:rsidR="004C27BD">
        <w:rPr>
          <w:rFonts w:eastAsia="Times New Roman" w:cs="Calibri"/>
          <w:sz w:val="24"/>
          <w:szCs w:val="24"/>
          <w:lang w:eastAsia="de-DE"/>
        </w:rPr>
        <w:t>,</w:t>
      </w:r>
      <w:r w:rsidRPr="00AF2F1C">
        <w:rPr>
          <w:rFonts w:eastAsia="Times New Roman" w:cs="Calibri"/>
          <w:sz w:val="24"/>
          <w:szCs w:val="24"/>
          <w:lang w:eastAsia="de-DE"/>
        </w:rPr>
        <w:t xml:space="preserve"> 2005). Similarly, one strand of contemporary research suggests that the Commission has become increasingly integrated – both within the Commission administration and between the Commission administration and the College of Commissioners (Wille</w:t>
      </w:r>
      <w:r w:rsidR="00A359F7">
        <w:rPr>
          <w:rFonts w:eastAsia="Times New Roman" w:cs="Calibri"/>
          <w:sz w:val="24"/>
          <w:szCs w:val="24"/>
          <w:lang w:eastAsia="de-DE"/>
        </w:rPr>
        <w:t>,</w:t>
      </w:r>
      <w:r w:rsidRPr="00AF2F1C">
        <w:rPr>
          <w:rFonts w:eastAsia="Times New Roman" w:cs="Calibri"/>
          <w:sz w:val="24"/>
          <w:szCs w:val="24"/>
          <w:lang w:eastAsia="de-DE"/>
        </w:rPr>
        <w:t xml:space="preserve"> 2012). The history of the Commission documents periods of internal integration. Best known, perhaps, is the legacy of the Delors C</w:t>
      </w:r>
      <w:r w:rsidR="00445621">
        <w:rPr>
          <w:rFonts w:eastAsia="Times New Roman" w:cs="Calibri"/>
          <w:sz w:val="24"/>
          <w:szCs w:val="24"/>
          <w:lang w:eastAsia="de-DE"/>
        </w:rPr>
        <w:t>ommission (1985-94), characteriz</w:t>
      </w:r>
      <w:r w:rsidRPr="00AF2F1C">
        <w:rPr>
          <w:rFonts w:eastAsia="Times New Roman" w:cs="Calibri"/>
          <w:sz w:val="24"/>
          <w:szCs w:val="24"/>
          <w:lang w:eastAsia="de-DE"/>
        </w:rPr>
        <w:t xml:space="preserve">ed by presidential steering and a relative disregard of </w:t>
      </w:r>
      <w:r w:rsidRPr="00375765">
        <w:rPr>
          <w:rFonts w:eastAsia="Times New Roman" w:cs="Calibri"/>
          <w:sz w:val="24"/>
          <w:szCs w:val="24"/>
          <w:lang w:eastAsia="de-DE"/>
        </w:rPr>
        <w:t>administrative routines (Christiansen</w:t>
      </w:r>
      <w:r w:rsidR="00A359F7">
        <w:rPr>
          <w:rFonts w:eastAsia="Times New Roman" w:cs="Calibri"/>
          <w:sz w:val="24"/>
          <w:szCs w:val="24"/>
          <w:lang w:eastAsia="de-DE"/>
        </w:rPr>
        <w:t>,</w:t>
      </w:r>
      <w:r w:rsidRPr="00375765">
        <w:rPr>
          <w:rFonts w:eastAsia="Times New Roman" w:cs="Calibri"/>
          <w:sz w:val="24"/>
          <w:szCs w:val="24"/>
          <w:lang w:eastAsia="de-DE"/>
        </w:rPr>
        <w:t xml:space="preserve"> 2008: 63; Kassim</w:t>
      </w:r>
      <w:r w:rsidR="00A359F7">
        <w:rPr>
          <w:rFonts w:eastAsia="Times New Roman" w:cs="Calibri"/>
          <w:sz w:val="24"/>
          <w:szCs w:val="24"/>
          <w:lang w:eastAsia="de-DE"/>
        </w:rPr>
        <w:t>,</w:t>
      </w:r>
      <w:r w:rsidRPr="00375765">
        <w:rPr>
          <w:rFonts w:eastAsia="Times New Roman" w:cs="Calibri"/>
          <w:sz w:val="24"/>
          <w:szCs w:val="24"/>
          <w:lang w:eastAsia="de-DE"/>
        </w:rPr>
        <w:t xml:space="preserve"> 2006). </w:t>
      </w:r>
      <w:r w:rsidR="00445621" w:rsidRPr="00375765">
        <w:rPr>
          <w:rFonts w:eastAsia="Times New Roman" w:cs="Calibri"/>
          <w:sz w:val="24"/>
          <w:szCs w:val="24"/>
          <w:lang w:eastAsia="de-DE"/>
        </w:rPr>
        <w:t>MLA thus center</w:t>
      </w:r>
      <w:r w:rsidRPr="00375765">
        <w:rPr>
          <w:rFonts w:eastAsia="Times New Roman" w:cs="Calibri"/>
          <w:sz w:val="24"/>
          <w:szCs w:val="24"/>
          <w:lang w:eastAsia="de-DE"/>
        </w:rPr>
        <w:t xml:space="preserve">s attention on the extent to which we </w:t>
      </w:r>
      <w:r w:rsidR="00445621" w:rsidRPr="00375765">
        <w:rPr>
          <w:rFonts w:eastAsia="Times New Roman" w:cs="Calibri"/>
          <w:sz w:val="24"/>
          <w:szCs w:val="24"/>
          <w:lang w:eastAsia="de-DE"/>
        </w:rPr>
        <w:t>see</w:t>
      </w:r>
      <w:r w:rsidRPr="00375765">
        <w:rPr>
          <w:rFonts w:eastAsia="Times New Roman" w:cs="Calibri"/>
          <w:sz w:val="24"/>
          <w:szCs w:val="24"/>
          <w:lang w:eastAsia="de-DE"/>
        </w:rPr>
        <w:t xml:space="preserve"> inter- and intra-organizational coordination of EU-level administrative </w:t>
      </w:r>
      <w:r w:rsidR="00257355">
        <w:rPr>
          <w:rFonts w:eastAsia="Times New Roman" w:cs="Calibri"/>
          <w:sz w:val="24"/>
          <w:szCs w:val="24"/>
          <w:lang w:eastAsia="de-DE"/>
        </w:rPr>
        <w:t>capacities</w:t>
      </w:r>
      <w:r w:rsidR="00257355" w:rsidRPr="00375765">
        <w:rPr>
          <w:rFonts w:eastAsia="Times New Roman" w:cs="Calibri"/>
          <w:sz w:val="24"/>
          <w:szCs w:val="24"/>
          <w:lang w:eastAsia="de-DE"/>
        </w:rPr>
        <w:t xml:space="preserve"> </w:t>
      </w:r>
      <w:r w:rsidRPr="00375765">
        <w:rPr>
          <w:rFonts w:eastAsia="Times New Roman" w:cs="Calibri"/>
          <w:sz w:val="24"/>
          <w:szCs w:val="24"/>
          <w:lang w:eastAsia="de-DE"/>
        </w:rPr>
        <w:t>– notably</w:t>
      </w:r>
      <w:r w:rsidR="00257355">
        <w:rPr>
          <w:rFonts w:eastAsia="Times New Roman" w:cs="Calibri"/>
          <w:sz w:val="24"/>
          <w:szCs w:val="24"/>
          <w:lang w:eastAsia="de-DE"/>
        </w:rPr>
        <w:t xml:space="preserve"> within</w:t>
      </w:r>
      <w:r w:rsidRPr="00375765">
        <w:rPr>
          <w:rFonts w:eastAsia="Times New Roman" w:cs="Calibri"/>
          <w:sz w:val="24"/>
          <w:szCs w:val="24"/>
          <w:lang w:eastAsia="de-DE"/>
        </w:rPr>
        <w:t xml:space="preserve"> the Commission – and the extent to which we observe parallel fragmentation,</w:t>
      </w:r>
      <w:r w:rsidR="00445621" w:rsidRPr="00375765">
        <w:rPr>
          <w:rFonts w:eastAsia="Times New Roman" w:cs="Calibri"/>
          <w:sz w:val="24"/>
          <w:szCs w:val="24"/>
          <w:lang w:eastAsia="de-DE"/>
        </w:rPr>
        <w:t xml:space="preserve"> ‘silo-iz</w:t>
      </w:r>
      <w:r w:rsidRPr="00375765">
        <w:rPr>
          <w:rFonts w:eastAsia="Times New Roman" w:cs="Calibri"/>
          <w:sz w:val="24"/>
          <w:szCs w:val="24"/>
          <w:lang w:eastAsia="de-DE"/>
        </w:rPr>
        <w:t>ation’, and sub-culturali</w:t>
      </w:r>
      <w:r w:rsidR="00445621" w:rsidRPr="00375765">
        <w:rPr>
          <w:rFonts w:eastAsia="Times New Roman" w:cs="Calibri"/>
          <w:sz w:val="24"/>
          <w:szCs w:val="24"/>
          <w:lang w:eastAsia="de-DE"/>
        </w:rPr>
        <w:t>z</w:t>
      </w:r>
      <w:r w:rsidRPr="00375765">
        <w:rPr>
          <w:rFonts w:eastAsia="Times New Roman" w:cs="Calibri"/>
          <w:sz w:val="24"/>
          <w:szCs w:val="24"/>
          <w:lang w:eastAsia="de-DE"/>
        </w:rPr>
        <w:t>ation of the</w:t>
      </w:r>
      <w:r w:rsidR="00257355">
        <w:rPr>
          <w:rFonts w:eastAsia="Times New Roman" w:cs="Calibri"/>
          <w:sz w:val="24"/>
          <w:szCs w:val="24"/>
          <w:lang w:eastAsia="de-DE"/>
        </w:rPr>
        <w:t xml:space="preserve"> administrative</w:t>
      </w:r>
      <w:r w:rsidRPr="00375765">
        <w:rPr>
          <w:rFonts w:eastAsia="Times New Roman" w:cs="Calibri"/>
          <w:sz w:val="24"/>
          <w:szCs w:val="24"/>
          <w:lang w:eastAsia="de-DE"/>
        </w:rPr>
        <w:t xml:space="preserve"> services.</w:t>
      </w:r>
      <w:r w:rsidRPr="00375765">
        <w:rPr>
          <w:sz w:val="24"/>
          <w:szCs w:val="24"/>
        </w:rPr>
        <w:t xml:space="preserve"> The question remain</w:t>
      </w:r>
      <w:r w:rsidR="00C55295">
        <w:rPr>
          <w:sz w:val="24"/>
          <w:szCs w:val="24"/>
        </w:rPr>
        <w:t>s</w:t>
      </w:r>
      <w:r w:rsidRPr="00375765">
        <w:rPr>
          <w:sz w:val="24"/>
          <w:szCs w:val="24"/>
        </w:rPr>
        <w:t xml:space="preserve"> also if these competing </w:t>
      </w:r>
      <w:r w:rsidR="00257355">
        <w:rPr>
          <w:sz w:val="24"/>
          <w:szCs w:val="24"/>
        </w:rPr>
        <w:t>patterns of administrative integration and disintegration</w:t>
      </w:r>
      <w:r w:rsidR="00257355" w:rsidRPr="00375765">
        <w:rPr>
          <w:sz w:val="24"/>
          <w:szCs w:val="24"/>
        </w:rPr>
        <w:t xml:space="preserve"> </w:t>
      </w:r>
      <w:r w:rsidRPr="00375765">
        <w:rPr>
          <w:sz w:val="24"/>
          <w:szCs w:val="24"/>
        </w:rPr>
        <w:t>m</w:t>
      </w:r>
      <w:r w:rsidR="00C55295">
        <w:rPr>
          <w:sz w:val="24"/>
          <w:szCs w:val="24"/>
        </w:rPr>
        <w:t>a</w:t>
      </w:r>
      <w:r w:rsidRPr="00375765">
        <w:rPr>
          <w:sz w:val="24"/>
          <w:szCs w:val="24"/>
        </w:rPr>
        <w:t>y</w:t>
      </w:r>
      <w:r w:rsidR="00445621" w:rsidRPr="00375765">
        <w:rPr>
          <w:rFonts w:eastAsia="Times New Roman" w:cs="Calibri"/>
          <w:sz w:val="24"/>
          <w:szCs w:val="24"/>
          <w:lang w:eastAsia="de-DE"/>
        </w:rPr>
        <w:t xml:space="preserve"> co-</w:t>
      </w:r>
      <w:r w:rsidRPr="00375765">
        <w:rPr>
          <w:rFonts w:eastAsia="Times New Roman" w:cs="Calibri"/>
          <w:sz w:val="24"/>
          <w:szCs w:val="24"/>
          <w:lang w:eastAsia="de-DE"/>
        </w:rPr>
        <w:t xml:space="preserve">exist within the European administration, albeit embedded and layered within different </w:t>
      </w:r>
      <w:r w:rsidR="00375765">
        <w:rPr>
          <w:rFonts w:eastAsia="Times New Roman" w:cs="Calibri"/>
          <w:sz w:val="24"/>
          <w:szCs w:val="24"/>
          <w:lang w:eastAsia="de-DE"/>
        </w:rPr>
        <w:t xml:space="preserve">administrative </w:t>
      </w:r>
      <w:r w:rsidRPr="00375765">
        <w:rPr>
          <w:rFonts w:eastAsia="Times New Roman" w:cs="Calibri"/>
          <w:sz w:val="24"/>
          <w:szCs w:val="24"/>
          <w:lang w:eastAsia="de-DE"/>
        </w:rPr>
        <w:t xml:space="preserve">sub-units. As shown in previous studies, administrative silo-ization </w:t>
      </w:r>
      <w:r w:rsidR="00AA630C" w:rsidRPr="00375765">
        <w:rPr>
          <w:rFonts w:eastAsia="Times New Roman" w:cs="Calibri"/>
          <w:sz w:val="24"/>
          <w:szCs w:val="24"/>
          <w:lang w:eastAsia="de-DE"/>
        </w:rPr>
        <w:t xml:space="preserve">is </w:t>
      </w:r>
      <w:r w:rsidR="00445621" w:rsidRPr="00375765">
        <w:rPr>
          <w:rFonts w:eastAsia="Times New Roman" w:cs="Calibri"/>
          <w:sz w:val="24"/>
          <w:szCs w:val="24"/>
          <w:lang w:eastAsia="de-DE"/>
        </w:rPr>
        <w:t>found</w:t>
      </w:r>
      <w:r w:rsidRPr="00375765">
        <w:rPr>
          <w:rFonts w:eastAsia="Times New Roman" w:cs="Calibri"/>
          <w:sz w:val="24"/>
          <w:szCs w:val="24"/>
          <w:lang w:eastAsia="de-DE"/>
        </w:rPr>
        <w:t xml:space="preserve"> at the heart of policy DGs in the Commission</w:t>
      </w:r>
      <w:r w:rsidR="00AA630C" w:rsidRPr="00375765">
        <w:rPr>
          <w:rFonts w:eastAsia="Times New Roman" w:cs="Calibri"/>
          <w:sz w:val="24"/>
          <w:szCs w:val="24"/>
          <w:lang w:eastAsia="de-DE"/>
        </w:rPr>
        <w:t xml:space="preserve"> (Trondal</w:t>
      </w:r>
      <w:r w:rsidR="00A359F7">
        <w:rPr>
          <w:rFonts w:eastAsia="Times New Roman" w:cs="Calibri"/>
          <w:sz w:val="24"/>
          <w:szCs w:val="24"/>
          <w:lang w:eastAsia="de-DE"/>
        </w:rPr>
        <w:t>,</w:t>
      </w:r>
      <w:r w:rsidR="00AA630C" w:rsidRPr="00375765">
        <w:rPr>
          <w:rFonts w:eastAsia="Times New Roman" w:cs="Calibri"/>
          <w:sz w:val="24"/>
          <w:szCs w:val="24"/>
          <w:lang w:eastAsia="de-DE"/>
        </w:rPr>
        <w:t xml:space="preserve"> 2012)</w:t>
      </w:r>
      <w:r w:rsidRPr="00375765">
        <w:rPr>
          <w:rFonts w:eastAsia="Times New Roman" w:cs="Calibri"/>
          <w:sz w:val="24"/>
          <w:szCs w:val="24"/>
          <w:lang w:eastAsia="de-DE"/>
        </w:rPr>
        <w:t xml:space="preserve"> whilst at the same time </w:t>
      </w:r>
      <w:r w:rsidR="00445621" w:rsidRPr="00375765">
        <w:rPr>
          <w:rFonts w:eastAsia="Times New Roman" w:cs="Calibri"/>
          <w:sz w:val="24"/>
          <w:szCs w:val="24"/>
          <w:lang w:eastAsia="de-DE"/>
        </w:rPr>
        <w:t xml:space="preserve">we see </w:t>
      </w:r>
      <w:r w:rsidR="00AA630C" w:rsidRPr="00375765">
        <w:rPr>
          <w:rFonts w:eastAsia="Times New Roman" w:cs="Calibri"/>
          <w:sz w:val="24"/>
          <w:szCs w:val="24"/>
          <w:lang w:eastAsia="de-DE"/>
        </w:rPr>
        <w:t>organisational capacities</w:t>
      </w:r>
      <w:r w:rsidR="00445621" w:rsidRPr="00375765">
        <w:rPr>
          <w:rFonts w:eastAsia="Times New Roman" w:cs="Calibri"/>
          <w:sz w:val="24"/>
          <w:szCs w:val="24"/>
          <w:lang w:eastAsia="de-DE"/>
        </w:rPr>
        <w:t xml:space="preserve"> emerging</w:t>
      </w:r>
      <w:r w:rsidR="00AA630C" w:rsidRPr="00375765">
        <w:rPr>
          <w:rFonts w:eastAsia="Times New Roman" w:cs="Calibri"/>
          <w:sz w:val="24"/>
          <w:szCs w:val="24"/>
          <w:lang w:eastAsia="de-DE"/>
        </w:rPr>
        <w:t xml:space="preserve"> around the Commission President, partly </w:t>
      </w:r>
      <w:r w:rsidR="00AA630C" w:rsidRPr="00375765">
        <w:rPr>
          <w:rFonts w:eastAsia="Times New Roman" w:cs="Calibri"/>
          <w:sz w:val="24"/>
          <w:szCs w:val="24"/>
          <w:lang w:eastAsia="de-DE"/>
        </w:rPr>
        <w:lastRenderedPageBreak/>
        <w:t xml:space="preserve">by reforming the Secretariat-General (SG) into an administrative service center at the disposal for the President (Kassim </w:t>
      </w:r>
      <w:r w:rsidR="00BD6748">
        <w:rPr>
          <w:rFonts w:eastAsia="Times New Roman" w:cs="Calibri"/>
          <w:sz w:val="24"/>
          <w:szCs w:val="24"/>
          <w:lang w:eastAsia="de-DE"/>
        </w:rPr>
        <w:t>et al.</w:t>
      </w:r>
      <w:r w:rsidR="00A359F7">
        <w:rPr>
          <w:rFonts w:eastAsia="Times New Roman" w:cs="Calibri"/>
          <w:sz w:val="24"/>
          <w:szCs w:val="24"/>
          <w:lang w:eastAsia="de-DE"/>
        </w:rPr>
        <w:t>,</w:t>
      </w:r>
      <w:r w:rsidR="00AA630C" w:rsidRPr="00375765">
        <w:rPr>
          <w:rFonts w:eastAsia="Times New Roman" w:cs="Calibri"/>
          <w:sz w:val="24"/>
          <w:szCs w:val="24"/>
          <w:lang w:eastAsia="de-DE"/>
        </w:rPr>
        <w:t xml:space="preserve"> 201</w:t>
      </w:r>
      <w:r w:rsidR="00BD6748">
        <w:rPr>
          <w:rFonts w:eastAsia="Times New Roman" w:cs="Calibri"/>
          <w:sz w:val="24"/>
          <w:szCs w:val="24"/>
          <w:lang w:eastAsia="de-DE"/>
        </w:rPr>
        <w:t>3</w:t>
      </w:r>
      <w:r w:rsidR="00AA630C" w:rsidRPr="00375765">
        <w:rPr>
          <w:rFonts w:eastAsia="Times New Roman" w:cs="Calibri"/>
          <w:sz w:val="24"/>
          <w:szCs w:val="24"/>
          <w:lang w:eastAsia="de-DE"/>
        </w:rPr>
        <w:t>).</w:t>
      </w:r>
    </w:p>
    <w:p w:rsidR="00AF2F1C" w:rsidRDefault="00AF2F1C" w:rsidP="00AF2F1C">
      <w:pPr>
        <w:spacing w:after="0" w:line="480" w:lineRule="auto"/>
        <w:rPr>
          <w:rFonts w:eastAsia="Times New Roman" w:cs="Calibri"/>
          <w:sz w:val="24"/>
          <w:szCs w:val="24"/>
          <w:lang w:eastAsia="de-DE"/>
        </w:rPr>
      </w:pPr>
    </w:p>
    <w:p w:rsidR="00AA630C" w:rsidRPr="00AA630C" w:rsidRDefault="00AA630C" w:rsidP="00AA630C">
      <w:pPr>
        <w:spacing w:after="0" w:line="480" w:lineRule="auto"/>
        <w:rPr>
          <w:rFonts w:eastAsia="Times New Roman" w:cs="Calibri"/>
          <w:i/>
          <w:sz w:val="24"/>
          <w:szCs w:val="24"/>
          <w:lang w:eastAsia="de-DE"/>
        </w:rPr>
      </w:pPr>
      <w:r w:rsidRPr="00AA630C">
        <w:rPr>
          <w:rFonts w:eastAsia="Times New Roman" w:cs="Calibri"/>
          <w:i/>
          <w:sz w:val="24"/>
          <w:szCs w:val="24"/>
          <w:lang w:eastAsia="de-DE"/>
        </w:rPr>
        <w:t>Co-optation</w:t>
      </w:r>
    </w:p>
    <w:p w:rsidR="00AA630C" w:rsidRDefault="00AA630C" w:rsidP="00AA630C">
      <w:pPr>
        <w:spacing w:after="0" w:line="480" w:lineRule="auto"/>
        <w:rPr>
          <w:rFonts w:eastAsia="Times New Roman" w:cs="Calibri"/>
          <w:sz w:val="24"/>
          <w:szCs w:val="24"/>
          <w:lang w:eastAsia="de-DE"/>
        </w:rPr>
      </w:pPr>
      <w:r w:rsidRPr="00AA630C">
        <w:rPr>
          <w:rFonts w:eastAsia="Times New Roman" w:cs="Calibri"/>
          <w:sz w:val="24"/>
          <w:szCs w:val="24"/>
          <w:lang w:eastAsia="de-DE"/>
        </w:rPr>
        <w:t xml:space="preserve">The independence and integration of </w:t>
      </w:r>
      <w:r w:rsidR="00257355">
        <w:rPr>
          <w:rFonts w:eastAsia="Times New Roman" w:cs="Calibri"/>
          <w:sz w:val="24"/>
          <w:szCs w:val="24"/>
          <w:lang w:eastAsia="de-DE"/>
        </w:rPr>
        <w:t>administrative capacities at the European level</w:t>
      </w:r>
      <w:r w:rsidRPr="00AA630C">
        <w:rPr>
          <w:rFonts w:eastAsia="Times New Roman" w:cs="Calibri"/>
          <w:sz w:val="24"/>
          <w:szCs w:val="24"/>
          <w:lang w:eastAsia="de-DE"/>
        </w:rPr>
        <w:t xml:space="preserve"> </w:t>
      </w:r>
      <w:r w:rsidR="00375765">
        <w:rPr>
          <w:rFonts w:eastAsia="Times New Roman" w:cs="Calibri"/>
          <w:sz w:val="24"/>
          <w:szCs w:val="24"/>
          <w:lang w:eastAsia="de-DE"/>
        </w:rPr>
        <w:t>may</w:t>
      </w:r>
      <w:r w:rsidRPr="00AA630C">
        <w:rPr>
          <w:rFonts w:eastAsia="Times New Roman" w:cs="Calibri"/>
          <w:sz w:val="24"/>
          <w:szCs w:val="24"/>
          <w:lang w:eastAsia="de-DE"/>
        </w:rPr>
        <w:t xml:space="preserve"> not only</w:t>
      </w:r>
      <w:r w:rsidR="00375765">
        <w:rPr>
          <w:rFonts w:eastAsia="Times New Roman" w:cs="Calibri"/>
          <w:sz w:val="24"/>
          <w:szCs w:val="24"/>
          <w:lang w:eastAsia="de-DE"/>
        </w:rPr>
        <w:t xml:space="preserve"> have</w:t>
      </w:r>
      <w:r w:rsidRPr="00AA630C">
        <w:rPr>
          <w:rFonts w:eastAsia="Times New Roman" w:cs="Calibri"/>
          <w:sz w:val="24"/>
          <w:szCs w:val="24"/>
          <w:lang w:eastAsia="de-DE"/>
        </w:rPr>
        <w:t xml:space="preserve"> implications for how </w:t>
      </w:r>
      <w:r w:rsidR="00257355">
        <w:rPr>
          <w:rFonts w:eastAsia="Times New Roman" w:cs="Calibri"/>
          <w:sz w:val="24"/>
          <w:szCs w:val="24"/>
          <w:lang w:eastAsia="de-DE"/>
        </w:rPr>
        <w:t xml:space="preserve">the </w:t>
      </w:r>
      <w:r w:rsidRPr="00AA630C">
        <w:rPr>
          <w:rFonts w:eastAsia="Times New Roman" w:cs="Calibri"/>
          <w:sz w:val="24"/>
          <w:szCs w:val="24"/>
          <w:lang w:eastAsia="de-DE"/>
        </w:rPr>
        <w:t xml:space="preserve">Commission </w:t>
      </w:r>
      <w:r w:rsidR="00257355">
        <w:rPr>
          <w:rFonts w:eastAsia="Times New Roman" w:cs="Calibri"/>
          <w:sz w:val="24"/>
          <w:szCs w:val="24"/>
          <w:lang w:eastAsia="de-DE"/>
        </w:rPr>
        <w:t>formulates and enacts public policy</w:t>
      </w:r>
      <w:r w:rsidRPr="00AA630C">
        <w:rPr>
          <w:rFonts w:eastAsia="Times New Roman" w:cs="Calibri"/>
          <w:sz w:val="24"/>
          <w:szCs w:val="24"/>
          <w:lang w:eastAsia="de-DE"/>
        </w:rPr>
        <w:t>. The rise of independent and integrated European administrative capacities</w:t>
      </w:r>
      <w:r w:rsidR="00375765">
        <w:rPr>
          <w:rFonts w:eastAsia="Times New Roman" w:cs="Calibri"/>
          <w:sz w:val="24"/>
          <w:szCs w:val="24"/>
          <w:lang w:eastAsia="de-DE"/>
        </w:rPr>
        <w:t xml:space="preserve"> may</w:t>
      </w:r>
      <w:r w:rsidRPr="00AA630C">
        <w:rPr>
          <w:rFonts w:eastAsia="Times New Roman" w:cs="Calibri"/>
          <w:sz w:val="24"/>
          <w:szCs w:val="24"/>
          <w:lang w:eastAsia="de-DE"/>
        </w:rPr>
        <w:t xml:space="preserve"> also increase its ability to co-opt administr</w:t>
      </w:r>
      <w:r w:rsidR="00C55295">
        <w:rPr>
          <w:rFonts w:eastAsia="Times New Roman" w:cs="Calibri"/>
          <w:sz w:val="24"/>
          <w:szCs w:val="24"/>
          <w:lang w:eastAsia="de-DE"/>
        </w:rPr>
        <w:t>ative sub-center</w:t>
      </w:r>
      <w:r w:rsidRPr="00AA630C">
        <w:rPr>
          <w:rFonts w:eastAsia="Times New Roman" w:cs="Calibri"/>
          <w:sz w:val="24"/>
          <w:szCs w:val="24"/>
          <w:lang w:eastAsia="de-DE"/>
        </w:rPr>
        <w:t>s by stealth – notably EU agencies and domestic agencies, but probably also agencies wi</w:t>
      </w:r>
      <w:r w:rsidR="00C55295">
        <w:rPr>
          <w:rFonts w:eastAsia="Times New Roman" w:cs="Calibri"/>
          <w:sz w:val="24"/>
          <w:szCs w:val="24"/>
          <w:lang w:eastAsia="de-DE"/>
        </w:rPr>
        <w:t>thin other international organiz</w:t>
      </w:r>
      <w:r w:rsidRPr="00AA630C">
        <w:rPr>
          <w:rFonts w:eastAsia="Times New Roman" w:cs="Calibri"/>
          <w:sz w:val="24"/>
          <w:szCs w:val="24"/>
          <w:lang w:eastAsia="de-DE"/>
        </w:rPr>
        <w:t>ations thus reaching into global administrative architectures.</w:t>
      </w:r>
      <w:r>
        <w:rPr>
          <w:rFonts w:eastAsia="Times New Roman" w:cs="Calibri"/>
          <w:sz w:val="24"/>
          <w:szCs w:val="24"/>
          <w:lang w:eastAsia="de-DE"/>
        </w:rPr>
        <w:t xml:space="preserve"> T</w:t>
      </w:r>
      <w:r w:rsidRPr="00AA630C">
        <w:rPr>
          <w:rFonts w:eastAsia="Times New Roman" w:cs="Calibri"/>
          <w:sz w:val="24"/>
          <w:szCs w:val="24"/>
          <w:lang w:eastAsia="de-DE"/>
        </w:rPr>
        <w:t xml:space="preserve">he </w:t>
      </w:r>
      <w:r w:rsidR="00257355">
        <w:rPr>
          <w:rFonts w:eastAsia="Times New Roman" w:cs="Calibri"/>
          <w:sz w:val="24"/>
          <w:szCs w:val="24"/>
          <w:lang w:eastAsia="de-DE"/>
        </w:rPr>
        <w:t xml:space="preserve">horizontal sector specialization of </w:t>
      </w:r>
      <w:r w:rsidRPr="00AA630C">
        <w:rPr>
          <w:rFonts w:eastAsia="Times New Roman" w:cs="Calibri"/>
          <w:sz w:val="24"/>
          <w:szCs w:val="24"/>
          <w:lang w:eastAsia="de-DE"/>
        </w:rPr>
        <w:t>the Commission services</w:t>
      </w:r>
      <w:r>
        <w:rPr>
          <w:rFonts w:eastAsia="Times New Roman" w:cs="Calibri"/>
          <w:sz w:val="24"/>
          <w:szCs w:val="24"/>
          <w:lang w:eastAsia="de-DE"/>
        </w:rPr>
        <w:t xml:space="preserve"> may a</w:t>
      </w:r>
      <w:r w:rsidRPr="00AA630C">
        <w:rPr>
          <w:rFonts w:eastAsia="Times New Roman" w:cs="Calibri"/>
          <w:sz w:val="24"/>
          <w:szCs w:val="24"/>
          <w:lang w:eastAsia="de-DE"/>
        </w:rPr>
        <w:t xml:space="preserve">ffect </w:t>
      </w:r>
      <w:r w:rsidR="00257355" w:rsidRPr="00257355">
        <w:rPr>
          <w:rFonts w:eastAsia="Times New Roman" w:cs="Calibri"/>
          <w:i/>
          <w:sz w:val="24"/>
          <w:szCs w:val="24"/>
          <w:lang w:eastAsia="de-DE"/>
        </w:rPr>
        <w:t>how</w:t>
      </w:r>
      <w:r w:rsidR="00257355">
        <w:rPr>
          <w:rFonts w:eastAsia="Times New Roman" w:cs="Calibri"/>
          <w:sz w:val="24"/>
          <w:szCs w:val="24"/>
          <w:lang w:eastAsia="de-DE"/>
        </w:rPr>
        <w:t xml:space="preserve"> the </w:t>
      </w:r>
      <w:r>
        <w:rPr>
          <w:rFonts w:eastAsia="Times New Roman" w:cs="Calibri"/>
          <w:sz w:val="24"/>
          <w:szCs w:val="24"/>
          <w:lang w:eastAsia="de-DE"/>
        </w:rPr>
        <w:t>Commission</w:t>
      </w:r>
      <w:r w:rsidRPr="00AA630C">
        <w:rPr>
          <w:rFonts w:eastAsia="Times New Roman" w:cs="Calibri"/>
          <w:sz w:val="24"/>
          <w:szCs w:val="24"/>
          <w:lang w:eastAsia="de-DE"/>
        </w:rPr>
        <w:t xml:space="preserve"> co-opt</w:t>
      </w:r>
      <w:r w:rsidR="00257355">
        <w:rPr>
          <w:rFonts w:eastAsia="Times New Roman" w:cs="Calibri"/>
          <w:sz w:val="24"/>
          <w:szCs w:val="24"/>
          <w:lang w:eastAsia="de-DE"/>
        </w:rPr>
        <w:t>s</w:t>
      </w:r>
      <w:r w:rsidRPr="00AA630C">
        <w:rPr>
          <w:rFonts w:eastAsia="Times New Roman" w:cs="Calibri"/>
          <w:sz w:val="24"/>
          <w:szCs w:val="24"/>
          <w:lang w:eastAsia="de-DE"/>
        </w:rPr>
        <w:t xml:space="preserve"> administrative sub-units. This </w:t>
      </w:r>
      <w:r>
        <w:rPr>
          <w:rFonts w:eastAsia="Times New Roman" w:cs="Calibri"/>
          <w:sz w:val="24"/>
          <w:szCs w:val="24"/>
          <w:lang w:eastAsia="de-DE"/>
        </w:rPr>
        <w:t>may</w:t>
      </w:r>
      <w:r w:rsidRPr="00AA630C">
        <w:rPr>
          <w:rFonts w:eastAsia="Times New Roman" w:cs="Calibri"/>
          <w:sz w:val="24"/>
          <w:szCs w:val="24"/>
          <w:lang w:eastAsia="de-DE"/>
        </w:rPr>
        <w:t xml:space="preserve"> </w:t>
      </w:r>
      <w:r>
        <w:rPr>
          <w:rFonts w:eastAsia="Times New Roman" w:cs="Calibri"/>
          <w:sz w:val="24"/>
          <w:szCs w:val="24"/>
          <w:lang w:eastAsia="de-DE"/>
        </w:rPr>
        <w:t xml:space="preserve">be </w:t>
      </w:r>
      <w:r w:rsidRPr="00AA630C">
        <w:rPr>
          <w:rFonts w:eastAsia="Times New Roman" w:cs="Calibri"/>
          <w:sz w:val="24"/>
          <w:szCs w:val="24"/>
          <w:lang w:eastAsia="de-DE"/>
        </w:rPr>
        <w:t>reflected in the development of direct links between Commissioners and ‘their’ EU agencies</w:t>
      </w:r>
      <w:r>
        <w:rPr>
          <w:rFonts w:eastAsia="Times New Roman" w:cs="Calibri"/>
          <w:sz w:val="24"/>
          <w:szCs w:val="24"/>
          <w:lang w:eastAsia="de-DE"/>
        </w:rPr>
        <w:t xml:space="preserve">, as well as the development of relatively tight ties between Commission DGs and domestic agencies that work within similar policy fields. </w:t>
      </w:r>
      <w:r w:rsidR="00445621">
        <w:rPr>
          <w:rFonts w:eastAsia="Times New Roman" w:cs="Calibri"/>
          <w:sz w:val="24"/>
          <w:szCs w:val="24"/>
          <w:lang w:eastAsia="de-DE"/>
        </w:rPr>
        <w:t>According to an MLA II approach, b</w:t>
      </w:r>
      <w:r w:rsidRPr="00AA630C">
        <w:rPr>
          <w:rFonts w:eastAsia="Times New Roman" w:cs="Calibri"/>
          <w:sz w:val="24"/>
          <w:szCs w:val="24"/>
          <w:lang w:eastAsia="de-DE"/>
        </w:rPr>
        <w:t>oth horizontal networks of regulators (Yesilgakit</w:t>
      </w:r>
      <w:r w:rsidR="00A359F7">
        <w:rPr>
          <w:rFonts w:eastAsia="Times New Roman" w:cs="Calibri"/>
          <w:sz w:val="24"/>
          <w:szCs w:val="24"/>
          <w:lang w:eastAsia="de-DE"/>
        </w:rPr>
        <w:t>,</w:t>
      </w:r>
      <w:r w:rsidRPr="00AA630C">
        <w:rPr>
          <w:rFonts w:eastAsia="Times New Roman" w:cs="Calibri"/>
          <w:sz w:val="24"/>
          <w:szCs w:val="24"/>
          <w:lang w:eastAsia="de-DE"/>
        </w:rPr>
        <w:t xml:space="preserve"> 2011) and domestic agencies (Egeberg and Trondal</w:t>
      </w:r>
      <w:r w:rsidR="00A359F7">
        <w:rPr>
          <w:rFonts w:eastAsia="Times New Roman" w:cs="Calibri"/>
          <w:sz w:val="24"/>
          <w:szCs w:val="24"/>
          <w:lang w:eastAsia="de-DE"/>
        </w:rPr>
        <w:t>,</w:t>
      </w:r>
      <w:r w:rsidRPr="00AA630C">
        <w:rPr>
          <w:rFonts w:eastAsia="Times New Roman" w:cs="Calibri"/>
          <w:sz w:val="24"/>
          <w:szCs w:val="24"/>
          <w:lang w:eastAsia="de-DE"/>
        </w:rPr>
        <w:t xml:space="preserve"> 2009) </w:t>
      </w:r>
      <w:r>
        <w:rPr>
          <w:rFonts w:eastAsia="Times New Roman" w:cs="Calibri"/>
          <w:sz w:val="24"/>
          <w:szCs w:val="24"/>
          <w:lang w:eastAsia="de-DE"/>
        </w:rPr>
        <w:t>may be co-opted by</w:t>
      </w:r>
      <w:r w:rsidRPr="00AA630C">
        <w:rPr>
          <w:rFonts w:eastAsia="Times New Roman" w:cs="Calibri"/>
          <w:sz w:val="24"/>
          <w:szCs w:val="24"/>
          <w:lang w:eastAsia="de-DE"/>
        </w:rPr>
        <w:t xml:space="preserve"> the Commission</w:t>
      </w:r>
      <w:r>
        <w:rPr>
          <w:rFonts w:eastAsia="Times New Roman" w:cs="Calibri"/>
          <w:sz w:val="24"/>
          <w:szCs w:val="24"/>
          <w:lang w:eastAsia="de-DE"/>
        </w:rPr>
        <w:t xml:space="preserve"> and offer supplies of</w:t>
      </w:r>
      <w:r w:rsidRPr="00AA630C">
        <w:rPr>
          <w:rFonts w:eastAsia="Times New Roman" w:cs="Calibri"/>
          <w:sz w:val="24"/>
          <w:szCs w:val="24"/>
          <w:lang w:eastAsia="de-DE"/>
        </w:rPr>
        <w:t xml:space="preserve"> rel</w:t>
      </w:r>
      <w:r w:rsidR="00445621">
        <w:rPr>
          <w:rFonts w:eastAsia="Times New Roman" w:cs="Calibri"/>
          <w:sz w:val="24"/>
          <w:szCs w:val="24"/>
          <w:lang w:eastAsia="de-DE"/>
        </w:rPr>
        <w:t>evant administrative capacities</w:t>
      </w:r>
      <w:r w:rsidRPr="00AA630C">
        <w:rPr>
          <w:rFonts w:eastAsia="Times New Roman" w:cs="Calibri"/>
          <w:sz w:val="24"/>
          <w:szCs w:val="24"/>
          <w:lang w:eastAsia="de-DE"/>
        </w:rPr>
        <w:t>.</w:t>
      </w:r>
    </w:p>
    <w:p w:rsidR="00257355" w:rsidRDefault="00257355" w:rsidP="00AA630C">
      <w:pPr>
        <w:spacing w:after="0" w:line="480" w:lineRule="auto"/>
        <w:rPr>
          <w:rFonts w:eastAsia="Times New Roman" w:cs="Calibri"/>
          <w:sz w:val="24"/>
          <w:szCs w:val="24"/>
          <w:lang w:eastAsia="de-DE"/>
        </w:rPr>
      </w:pPr>
    </w:p>
    <w:p w:rsidR="00AF2F1C" w:rsidRPr="000E2B1D" w:rsidRDefault="00C300B1" w:rsidP="00703D22">
      <w:pPr>
        <w:spacing w:after="0" w:line="480" w:lineRule="auto"/>
        <w:rPr>
          <w:rFonts w:eastAsia="Times New Roman" w:cs="Calibri"/>
          <w:b/>
          <w:sz w:val="24"/>
          <w:szCs w:val="24"/>
          <w:lang w:eastAsia="de-DE"/>
        </w:rPr>
      </w:pPr>
      <w:r w:rsidRPr="000E2B1D">
        <w:rPr>
          <w:rFonts w:eastAsia="Times New Roman" w:cs="Calibri"/>
          <w:b/>
          <w:sz w:val="24"/>
          <w:szCs w:val="24"/>
          <w:lang w:eastAsia="de-DE"/>
        </w:rPr>
        <w:t>Multilevel Governance and Multilevel Administration</w:t>
      </w:r>
    </w:p>
    <w:p w:rsidR="00EC1F74" w:rsidRPr="00894766" w:rsidRDefault="00AA630C" w:rsidP="00703D22">
      <w:pPr>
        <w:spacing w:after="0" w:line="480" w:lineRule="auto"/>
        <w:rPr>
          <w:rFonts w:eastAsia="Times New Roman" w:cs="Calibri"/>
          <w:sz w:val="24"/>
          <w:szCs w:val="24"/>
          <w:lang w:eastAsia="de-DE"/>
        </w:rPr>
      </w:pPr>
      <w:r>
        <w:rPr>
          <w:rFonts w:eastAsia="Times New Roman" w:cs="Calibri"/>
          <w:sz w:val="24"/>
          <w:szCs w:val="24"/>
          <w:lang w:eastAsia="de-DE"/>
        </w:rPr>
        <w:t>The MLA</w:t>
      </w:r>
      <w:r w:rsidR="00AD2A5C">
        <w:rPr>
          <w:rFonts w:eastAsia="Times New Roman" w:cs="Calibri"/>
          <w:sz w:val="24"/>
          <w:szCs w:val="24"/>
          <w:lang w:eastAsia="de-DE"/>
        </w:rPr>
        <w:t xml:space="preserve"> II</w:t>
      </w:r>
      <w:r>
        <w:rPr>
          <w:rFonts w:eastAsia="Times New Roman" w:cs="Calibri"/>
          <w:sz w:val="24"/>
          <w:szCs w:val="24"/>
          <w:lang w:eastAsia="de-DE"/>
        </w:rPr>
        <w:t xml:space="preserve"> approach </w:t>
      </w:r>
      <w:r w:rsidR="00AD2A5C">
        <w:rPr>
          <w:rFonts w:eastAsia="Times New Roman" w:cs="Calibri"/>
          <w:sz w:val="24"/>
          <w:szCs w:val="24"/>
          <w:lang w:eastAsia="de-DE"/>
        </w:rPr>
        <w:t xml:space="preserve">(hereafter termed MLA) </w:t>
      </w:r>
      <w:r>
        <w:rPr>
          <w:rFonts w:eastAsia="Times New Roman" w:cs="Calibri"/>
          <w:sz w:val="24"/>
          <w:szCs w:val="24"/>
          <w:lang w:eastAsia="de-DE"/>
        </w:rPr>
        <w:t>highlight</w:t>
      </w:r>
      <w:r w:rsidR="00AD2A5C">
        <w:rPr>
          <w:rFonts w:eastAsia="Times New Roman" w:cs="Calibri"/>
          <w:sz w:val="24"/>
          <w:szCs w:val="24"/>
          <w:lang w:eastAsia="de-DE"/>
        </w:rPr>
        <w:t>s</w:t>
      </w:r>
      <w:r>
        <w:rPr>
          <w:rFonts w:eastAsia="Times New Roman" w:cs="Calibri"/>
          <w:sz w:val="24"/>
          <w:szCs w:val="24"/>
          <w:lang w:eastAsia="de-DE"/>
        </w:rPr>
        <w:t xml:space="preserve"> analytical dimensions largely left untouched by the MLG approach. </w:t>
      </w:r>
      <w:r w:rsidR="00EC01E0" w:rsidRPr="00EC01E0">
        <w:rPr>
          <w:rFonts w:eastAsia="Times New Roman" w:cs="Calibri"/>
          <w:sz w:val="24"/>
          <w:szCs w:val="24"/>
          <w:lang w:eastAsia="de-DE"/>
        </w:rPr>
        <w:t>The</w:t>
      </w:r>
      <w:r w:rsidR="00EC01E0">
        <w:rPr>
          <w:rFonts w:eastAsia="Times New Roman" w:cs="Calibri"/>
          <w:sz w:val="24"/>
          <w:szCs w:val="24"/>
          <w:lang w:eastAsia="de-DE"/>
        </w:rPr>
        <w:t xml:space="preserve"> above</w:t>
      </w:r>
      <w:r w:rsidR="00EC01E0" w:rsidRPr="00EC01E0">
        <w:rPr>
          <w:rFonts w:eastAsia="Times New Roman" w:cs="Calibri"/>
          <w:sz w:val="24"/>
          <w:szCs w:val="24"/>
          <w:lang w:eastAsia="de-DE"/>
        </w:rPr>
        <w:t xml:space="preserve"> </w:t>
      </w:r>
      <w:r w:rsidR="00EC01E0">
        <w:rPr>
          <w:rFonts w:eastAsia="Times New Roman" w:cs="Calibri"/>
          <w:sz w:val="24"/>
          <w:szCs w:val="24"/>
          <w:lang w:eastAsia="de-DE"/>
        </w:rPr>
        <w:t xml:space="preserve">analytical </w:t>
      </w:r>
      <w:r w:rsidR="00EC01E0" w:rsidRPr="00EC01E0">
        <w:rPr>
          <w:rFonts w:eastAsia="Times New Roman" w:cs="Calibri"/>
          <w:sz w:val="24"/>
          <w:szCs w:val="24"/>
          <w:lang w:eastAsia="de-DE"/>
        </w:rPr>
        <w:t xml:space="preserve">dimensions serve </w:t>
      </w:r>
      <w:r w:rsidR="00EC01E0">
        <w:rPr>
          <w:rFonts w:eastAsia="Times New Roman" w:cs="Calibri"/>
          <w:sz w:val="24"/>
          <w:szCs w:val="24"/>
          <w:lang w:eastAsia="de-DE"/>
        </w:rPr>
        <w:t xml:space="preserve">not only </w:t>
      </w:r>
      <w:r w:rsidR="00EC01E0" w:rsidRPr="00EC01E0">
        <w:rPr>
          <w:rFonts w:eastAsia="Times New Roman" w:cs="Calibri"/>
          <w:sz w:val="24"/>
          <w:szCs w:val="24"/>
          <w:lang w:eastAsia="de-DE"/>
        </w:rPr>
        <w:t xml:space="preserve">to capture central aspects of the integration of public administration in Europe, </w:t>
      </w:r>
      <w:r w:rsidR="00EC01E0">
        <w:rPr>
          <w:rFonts w:eastAsia="Times New Roman" w:cs="Calibri"/>
          <w:sz w:val="24"/>
          <w:szCs w:val="24"/>
          <w:lang w:eastAsia="de-DE"/>
        </w:rPr>
        <w:t>but also</w:t>
      </w:r>
      <w:r w:rsidR="00EC01E0" w:rsidRPr="00EC01E0">
        <w:rPr>
          <w:rFonts w:eastAsia="Times New Roman" w:cs="Calibri"/>
          <w:sz w:val="24"/>
          <w:szCs w:val="24"/>
          <w:lang w:eastAsia="de-DE"/>
        </w:rPr>
        <w:t xml:space="preserve"> to accentuate what makes the MLA approach different from its major rival - the MLG approach: </w:t>
      </w:r>
      <w:r w:rsidR="00EC1F74" w:rsidRPr="00894766">
        <w:rPr>
          <w:rFonts w:eastAsia="Times New Roman" w:cs="Calibri"/>
          <w:sz w:val="24"/>
          <w:szCs w:val="24"/>
          <w:lang w:eastAsia="de-DE"/>
        </w:rPr>
        <w:t xml:space="preserve">This section </w:t>
      </w:r>
      <w:r w:rsidR="00EC1F74" w:rsidRPr="00894766">
        <w:rPr>
          <w:rFonts w:eastAsia="Times New Roman" w:cs="Calibri"/>
          <w:sz w:val="24"/>
          <w:szCs w:val="24"/>
          <w:lang w:eastAsia="de-DE"/>
        </w:rPr>
        <w:lastRenderedPageBreak/>
        <w:t xml:space="preserve">suggests that the MLG and MLA </w:t>
      </w:r>
      <w:r>
        <w:rPr>
          <w:rFonts w:eastAsia="Times New Roman" w:cs="Calibri"/>
          <w:sz w:val="24"/>
          <w:szCs w:val="24"/>
          <w:lang w:eastAsia="de-DE"/>
        </w:rPr>
        <w:t>approaches</w:t>
      </w:r>
      <w:r w:rsidR="00EC1F74" w:rsidRPr="00894766">
        <w:rPr>
          <w:rFonts w:eastAsia="Times New Roman" w:cs="Calibri"/>
          <w:sz w:val="24"/>
          <w:szCs w:val="24"/>
          <w:lang w:eastAsia="de-DE"/>
        </w:rPr>
        <w:t xml:space="preserve"> </w:t>
      </w:r>
      <w:r w:rsidR="00AD2A5C">
        <w:rPr>
          <w:rFonts w:eastAsia="Times New Roman" w:cs="Calibri"/>
          <w:sz w:val="24"/>
          <w:szCs w:val="24"/>
          <w:lang w:eastAsia="de-DE"/>
        </w:rPr>
        <w:t xml:space="preserve">mainly </w:t>
      </w:r>
      <w:r w:rsidR="00EC1F74" w:rsidRPr="00894766">
        <w:rPr>
          <w:rFonts w:eastAsia="Times New Roman" w:cs="Calibri"/>
          <w:sz w:val="24"/>
          <w:szCs w:val="24"/>
          <w:lang w:eastAsia="de-DE"/>
        </w:rPr>
        <w:t xml:space="preserve">vary with respect to units of analysis, conceptions of the coherence of units, and sources of contingency of governance. Our point here is not </w:t>
      </w:r>
      <w:r w:rsidR="00375765">
        <w:rPr>
          <w:rFonts w:eastAsia="Times New Roman" w:cs="Calibri"/>
          <w:sz w:val="24"/>
          <w:szCs w:val="24"/>
          <w:lang w:eastAsia="de-DE"/>
        </w:rPr>
        <w:t>to</w:t>
      </w:r>
      <w:r w:rsidR="00EC1F74" w:rsidRPr="00894766">
        <w:rPr>
          <w:rFonts w:eastAsia="Times New Roman" w:cs="Calibri"/>
          <w:sz w:val="24"/>
          <w:szCs w:val="24"/>
          <w:lang w:eastAsia="de-DE"/>
        </w:rPr>
        <w:t xml:space="preserve"> </w:t>
      </w:r>
      <w:r w:rsidR="00375765" w:rsidRPr="00894766">
        <w:rPr>
          <w:rFonts w:eastAsia="Times New Roman" w:cs="Calibri"/>
          <w:sz w:val="24"/>
          <w:szCs w:val="24"/>
          <w:lang w:eastAsia="de-DE"/>
        </w:rPr>
        <w:t>recap</w:t>
      </w:r>
      <w:r w:rsidR="00EC1F74" w:rsidRPr="00894766">
        <w:rPr>
          <w:rFonts w:eastAsia="Times New Roman" w:cs="Calibri"/>
          <w:sz w:val="24"/>
          <w:szCs w:val="24"/>
          <w:lang w:eastAsia="de-DE"/>
        </w:rPr>
        <w:t xml:space="preserve"> the MLG approach (</w:t>
      </w:r>
      <w:r w:rsidR="00094901" w:rsidRPr="00894766">
        <w:rPr>
          <w:rFonts w:eastAsia="Times New Roman" w:cs="Calibri"/>
          <w:sz w:val="24"/>
          <w:szCs w:val="24"/>
          <w:lang w:eastAsia="de-DE"/>
        </w:rPr>
        <w:t>Bache and Flinders</w:t>
      </w:r>
      <w:r w:rsidR="00A359F7">
        <w:rPr>
          <w:rFonts w:eastAsia="Times New Roman" w:cs="Calibri"/>
          <w:sz w:val="24"/>
          <w:szCs w:val="24"/>
          <w:lang w:eastAsia="de-DE"/>
        </w:rPr>
        <w:t>,</w:t>
      </w:r>
      <w:r w:rsidR="00094901" w:rsidRPr="00894766">
        <w:rPr>
          <w:rFonts w:eastAsia="Times New Roman" w:cs="Calibri"/>
          <w:sz w:val="24"/>
          <w:szCs w:val="24"/>
          <w:lang w:eastAsia="de-DE"/>
        </w:rPr>
        <w:t xml:space="preserve"> 2004</w:t>
      </w:r>
      <w:r>
        <w:rPr>
          <w:rFonts w:eastAsia="Times New Roman" w:cs="Calibri"/>
          <w:sz w:val="24"/>
          <w:szCs w:val="24"/>
          <w:lang w:eastAsia="de-DE"/>
        </w:rPr>
        <w:t>; Hooghe and Marks</w:t>
      </w:r>
      <w:r w:rsidR="00A359F7">
        <w:rPr>
          <w:rFonts w:eastAsia="Times New Roman" w:cs="Calibri"/>
          <w:sz w:val="24"/>
          <w:szCs w:val="24"/>
          <w:lang w:eastAsia="de-DE"/>
        </w:rPr>
        <w:t>,</w:t>
      </w:r>
      <w:r>
        <w:rPr>
          <w:rFonts w:eastAsia="Times New Roman" w:cs="Calibri"/>
          <w:sz w:val="24"/>
          <w:szCs w:val="24"/>
          <w:lang w:eastAsia="de-DE"/>
        </w:rPr>
        <w:t xml:space="preserve"> 2004; Piattoni</w:t>
      </w:r>
      <w:r w:rsidR="00A359F7">
        <w:rPr>
          <w:rFonts w:eastAsia="Times New Roman" w:cs="Calibri"/>
          <w:sz w:val="24"/>
          <w:szCs w:val="24"/>
          <w:lang w:eastAsia="de-DE"/>
        </w:rPr>
        <w:t>,</w:t>
      </w:r>
      <w:r>
        <w:rPr>
          <w:rFonts w:eastAsia="Times New Roman" w:cs="Calibri"/>
          <w:sz w:val="24"/>
          <w:szCs w:val="24"/>
          <w:lang w:eastAsia="de-DE"/>
        </w:rPr>
        <w:t xml:space="preserve"> 2010), but to suggest how a MLA approach may offer attention to the administrative dimension of the European administrative system</w:t>
      </w:r>
      <w:r w:rsidR="00C66C66">
        <w:rPr>
          <w:rFonts w:eastAsia="Times New Roman" w:cs="Calibri"/>
          <w:sz w:val="24"/>
          <w:szCs w:val="24"/>
          <w:lang w:eastAsia="de-DE"/>
        </w:rPr>
        <w:t xml:space="preserve"> and thus complements and helps systematizing </w:t>
      </w:r>
      <w:r w:rsidR="000F03C6">
        <w:rPr>
          <w:rFonts w:eastAsia="Times New Roman" w:cs="Calibri"/>
          <w:sz w:val="24"/>
          <w:szCs w:val="24"/>
          <w:lang w:eastAsia="de-DE"/>
        </w:rPr>
        <w:t>a more encompassing theory</w:t>
      </w:r>
      <w:r w:rsidR="00257355">
        <w:rPr>
          <w:rFonts w:eastAsia="Times New Roman" w:cs="Calibri"/>
          <w:sz w:val="24"/>
          <w:szCs w:val="24"/>
          <w:lang w:eastAsia="de-DE"/>
        </w:rPr>
        <w:t xml:space="preserve"> of multilevel governance</w:t>
      </w:r>
      <w:r w:rsidR="00094901" w:rsidRPr="00894766">
        <w:rPr>
          <w:rFonts w:eastAsia="Times New Roman" w:cs="Calibri"/>
          <w:sz w:val="24"/>
          <w:szCs w:val="24"/>
          <w:lang w:eastAsia="de-DE"/>
        </w:rPr>
        <w:t xml:space="preserve">. </w:t>
      </w:r>
    </w:p>
    <w:p w:rsidR="00375765" w:rsidRDefault="00375765" w:rsidP="00703D22">
      <w:pPr>
        <w:spacing w:after="0" w:line="480" w:lineRule="auto"/>
        <w:rPr>
          <w:rFonts w:eastAsia="Times New Roman" w:cs="Calibri"/>
          <w:i/>
          <w:sz w:val="24"/>
          <w:szCs w:val="24"/>
          <w:lang w:eastAsia="de-DE"/>
        </w:rPr>
      </w:pPr>
    </w:p>
    <w:p w:rsidR="00094901" w:rsidRDefault="00291CDB" w:rsidP="00291CDB">
      <w:pPr>
        <w:spacing w:after="0" w:line="480" w:lineRule="auto"/>
        <w:jc w:val="center"/>
        <w:rPr>
          <w:rFonts w:eastAsia="Times New Roman" w:cs="Calibri"/>
          <w:sz w:val="24"/>
          <w:szCs w:val="24"/>
          <w:lang w:eastAsia="de-DE"/>
        </w:rPr>
      </w:pPr>
      <w:r>
        <w:rPr>
          <w:rFonts w:eastAsia="Times New Roman" w:cs="Calibri"/>
          <w:sz w:val="24"/>
          <w:szCs w:val="24"/>
          <w:lang w:eastAsia="de-DE"/>
        </w:rPr>
        <w:t>Table 1 about here</w:t>
      </w:r>
    </w:p>
    <w:p w:rsidR="00291CDB" w:rsidRPr="00894766" w:rsidRDefault="00291CDB" w:rsidP="00703D22">
      <w:pPr>
        <w:spacing w:after="0" w:line="480" w:lineRule="auto"/>
        <w:rPr>
          <w:rFonts w:eastAsia="Times New Roman" w:cs="Calibri"/>
          <w:i/>
          <w:sz w:val="24"/>
          <w:szCs w:val="24"/>
          <w:lang w:eastAsia="de-DE"/>
        </w:rPr>
      </w:pPr>
    </w:p>
    <w:p w:rsidR="00EC1F74" w:rsidRPr="00894766" w:rsidRDefault="00DE75F4" w:rsidP="00703D22">
      <w:pPr>
        <w:spacing w:after="0" w:line="480" w:lineRule="auto"/>
        <w:rPr>
          <w:rFonts w:eastAsia="Times New Roman" w:cs="Calibri"/>
          <w:i/>
          <w:sz w:val="24"/>
          <w:szCs w:val="24"/>
          <w:lang w:eastAsia="de-DE"/>
        </w:rPr>
      </w:pPr>
      <w:r w:rsidRPr="00DE75F4">
        <w:rPr>
          <w:rFonts w:eastAsia="Times New Roman" w:cs="Calibri"/>
          <w:sz w:val="24"/>
          <w:szCs w:val="24"/>
          <w:lang w:eastAsia="de-DE"/>
        </w:rPr>
        <w:t>Firstly, the unit</w:t>
      </w:r>
      <w:r w:rsidR="00EC1F74" w:rsidRPr="00DE75F4">
        <w:rPr>
          <w:rFonts w:eastAsia="Times New Roman" w:cs="Calibri"/>
          <w:sz w:val="24"/>
          <w:szCs w:val="24"/>
          <w:lang w:eastAsia="de-DE"/>
        </w:rPr>
        <w:t xml:space="preserve"> of analysis</w:t>
      </w:r>
      <w:r w:rsidRPr="00DE75F4">
        <w:rPr>
          <w:rFonts w:eastAsia="Times New Roman" w:cs="Calibri"/>
          <w:sz w:val="24"/>
          <w:szCs w:val="24"/>
          <w:lang w:eastAsia="de-DE"/>
        </w:rPr>
        <w:t xml:space="preserve"> differs</w:t>
      </w:r>
      <w:r>
        <w:rPr>
          <w:rFonts w:eastAsia="Times New Roman" w:cs="Calibri"/>
          <w:sz w:val="24"/>
          <w:szCs w:val="24"/>
          <w:lang w:eastAsia="de-DE"/>
        </w:rPr>
        <w:t xml:space="preserve"> in MLG and MLA approaches</w:t>
      </w:r>
      <w:r w:rsidRPr="00DE75F4">
        <w:rPr>
          <w:rFonts w:eastAsia="Times New Roman" w:cs="Calibri"/>
          <w:sz w:val="24"/>
          <w:szCs w:val="24"/>
          <w:lang w:eastAsia="de-DE"/>
        </w:rPr>
        <w:t>.</w:t>
      </w:r>
      <w:r w:rsidR="00EC1F74" w:rsidRPr="00894766">
        <w:rPr>
          <w:rFonts w:eastAsia="Times New Roman" w:cs="Calibri"/>
          <w:i/>
          <w:sz w:val="24"/>
          <w:szCs w:val="24"/>
          <w:lang w:eastAsia="de-DE"/>
        </w:rPr>
        <w:t xml:space="preserve"> </w:t>
      </w:r>
      <w:r w:rsidR="00EC1F74" w:rsidRPr="00894766">
        <w:rPr>
          <w:rFonts w:eastAsia="Times New Roman" w:cs="Calibri"/>
          <w:sz w:val="24"/>
          <w:szCs w:val="24"/>
          <w:lang w:eastAsia="de-DE"/>
        </w:rPr>
        <w:t>The MLG approach has both historically and contemporarily applied regions as their favorite unit of analysis (</w:t>
      </w:r>
      <w:r w:rsidR="00C22D72">
        <w:rPr>
          <w:rFonts w:eastAsia="Times New Roman" w:cs="Calibri"/>
          <w:sz w:val="24"/>
          <w:szCs w:val="24"/>
          <w:lang w:eastAsia="de-DE"/>
        </w:rPr>
        <w:t>Marks et al.</w:t>
      </w:r>
      <w:r w:rsidR="00A359F7">
        <w:rPr>
          <w:rFonts w:eastAsia="Times New Roman" w:cs="Calibri"/>
          <w:sz w:val="24"/>
          <w:szCs w:val="24"/>
          <w:lang w:eastAsia="de-DE"/>
        </w:rPr>
        <w:t>,</w:t>
      </w:r>
      <w:r w:rsidR="00C22D72">
        <w:rPr>
          <w:rFonts w:eastAsia="Times New Roman" w:cs="Calibri"/>
          <w:sz w:val="24"/>
          <w:szCs w:val="24"/>
          <w:lang w:eastAsia="de-DE"/>
        </w:rPr>
        <w:t xml:space="preserve"> 1996b; </w:t>
      </w:r>
      <w:r w:rsidR="00EC1F74" w:rsidRPr="00894766">
        <w:rPr>
          <w:rFonts w:eastAsia="Times New Roman" w:cs="Calibri"/>
          <w:sz w:val="24"/>
          <w:szCs w:val="24"/>
          <w:lang w:eastAsia="de-DE"/>
        </w:rPr>
        <w:t>Marks et al.</w:t>
      </w:r>
      <w:r w:rsidR="00A359F7">
        <w:rPr>
          <w:rFonts w:eastAsia="Times New Roman" w:cs="Calibri"/>
          <w:sz w:val="24"/>
          <w:szCs w:val="24"/>
          <w:lang w:eastAsia="de-DE"/>
        </w:rPr>
        <w:t>,</w:t>
      </w:r>
      <w:r w:rsidR="00EC1F74" w:rsidRPr="00894766">
        <w:rPr>
          <w:rFonts w:eastAsia="Times New Roman" w:cs="Calibri"/>
          <w:sz w:val="24"/>
          <w:szCs w:val="24"/>
          <w:lang w:eastAsia="de-DE"/>
        </w:rPr>
        <w:t xml:space="preserve"> 2008</w:t>
      </w:r>
      <w:r w:rsidR="00C55295">
        <w:rPr>
          <w:rFonts w:eastAsia="Times New Roman" w:cs="Calibri"/>
          <w:sz w:val="24"/>
          <w:szCs w:val="24"/>
          <w:lang w:eastAsia="de-DE"/>
        </w:rPr>
        <w:t>:</w:t>
      </w:r>
      <w:r w:rsidR="00EC1F74" w:rsidRPr="00894766">
        <w:rPr>
          <w:rFonts w:eastAsia="Times New Roman" w:cs="Calibri"/>
          <w:sz w:val="24"/>
          <w:szCs w:val="24"/>
          <w:lang w:eastAsia="de-DE"/>
        </w:rPr>
        <w:t xml:space="preserve"> 113; Piattoni</w:t>
      </w:r>
      <w:r w:rsidR="00A359F7">
        <w:rPr>
          <w:rFonts w:eastAsia="Times New Roman" w:cs="Calibri"/>
          <w:sz w:val="24"/>
          <w:szCs w:val="24"/>
          <w:lang w:eastAsia="de-DE"/>
        </w:rPr>
        <w:t>,</w:t>
      </w:r>
      <w:r w:rsidR="00EC1F74" w:rsidRPr="00894766">
        <w:rPr>
          <w:rFonts w:eastAsia="Times New Roman" w:cs="Calibri"/>
          <w:sz w:val="24"/>
          <w:szCs w:val="24"/>
          <w:lang w:eastAsia="de-DE"/>
        </w:rPr>
        <w:t xml:space="preserve"> 2010). Focus has been on the relative autonomy of regions and how this autonomy supplies regions with a capacity to bypass state governments in their interaction with the Brussels </w:t>
      </w:r>
      <w:r>
        <w:rPr>
          <w:rFonts w:eastAsia="Times New Roman" w:cs="Calibri"/>
          <w:sz w:val="24"/>
          <w:szCs w:val="24"/>
          <w:lang w:eastAsia="de-DE"/>
        </w:rPr>
        <w:t>apparatus</w:t>
      </w:r>
      <w:r w:rsidR="00EC1F74" w:rsidRPr="00894766">
        <w:rPr>
          <w:rFonts w:eastAsia="Times New Roman" w:cs="Calibri"/>
          <w:sz w:val="24"/>
          <w:szCs w:val="24"/>
          <w:lang w:eastAsia="de-DE"/>
        </w:rPr>
        <w:t xml:space="preserve">. One conclusion is that the separation of domestic and international politics – and thus domestic and foreign affairs administrations – is ambiguous due to the interconnectedness of political authority across levels </w:t>
      </w:r>
      <w:r w:rsidR="00C55295">
        <w:rPr>
          <w:rFonts w:eastAsia="Times New Roman" w:cs="Calibri"/>
          <w:sz w:val="24"/>
          <w:szCs w:val="24"/>
          <w:lang w:eastAsia="de-DE"/>
        </w:rPr>
        <w:t>of governance (Hooghe and Marks</w:t>
      </w:r>
      <w:r w:rsidR="00A359F7">
        <w:rPr>
          <w:rFonts w:eastAsia="Times New Roman" w:cs="Calibri"/>
          <w:sz w:val="24"/>
          <w:szCs w:val="24"/>
          <w:lang w:eastAsia="de-DE"/>
        </w:rPr>
        <w:t>,</w:t>
      </w:r>
      <w:r w:rsidR="00EC1F74" w:rsidRPr="00894766">
        <w:rPr>
          <w:rFonts w:eastAsia="Times New Roman" w:cs="Calibri"/>
          <w:sz w:val="24"/>
          <w:szCs w:val="24"/>
          <w:lang w:eastAsia="de-DE"/>
        </w:rPr>
        <w:t xml:space="preserve"> 2001</w:t>
      </w:r>
      <w:r w:rsidR="00A359F7">
        <w:rPr>
          <w:rFonts w:eastAsia="Times New Roman" w:cs="Calibri"/>
          <w:sz w:val="24"/>
          <w:szCs w:val="24"/>
          <w:lang w:eastAsia="de-DE"/>
        </w:rPr>
        <w:t>:</w:t>
      </w:r>
      <w:r w:rsidR="00EC1F74" w:rsidRPr="00894766">
        <w:rPr>
          <w:rFonts w:eastAsia="Times New Roman" w:cs="Calibri"/>
          <w:sz w:val="24"/>
          <w:szCs w:val="24"/>
          <w:lang w:eastAsia="de-DE"/>
        </w:rPr>
        <w:t xml:space="preserve"> 4). In contrast, </w:t>
      </w:r>
      <w:r>
        <w:rPr>
          <w:rFonts w:eastAsia="Times New Roman" w:cs="Calibri"/>
          <w:sz w:val="24"/>
          <w:szCs w:val="24"/>
          <w:lang w:eastAsia="de-DE"/>
        </w:rPr>
        <w:t xml:space="preserve">the </w:t>
      </w:r>
      <w:r w:rsidR="00EC1F74" w:rsidRPr="00894766">
        <w:rPr>
          <w:rFonts w:eastAsia="Times New Roman" w:cs="Calibri"/>
          <w:sz w:val="24"/>
          <w:szCs w:val="24"/>
          <w:lang w:eastAsia="de-DE"/>
        </w:rPr>
        <w:t>MLA</w:t>
      </w:r>
      <w:r>
        <w:rPr>
          <w:rFonts w:eastAsia="Times New Roman" w:cs="Calibri"/>
          <w:sz w:val="24"/>
          <w:szCs w:val="24"/>
          <w:lang w:eastAsia="de-DE"/>
        </w:rPr>
        <w:t xml:space="preserve"> approach</w:t>
      </w:r>
      <w:r w:rsidR="00EC1F74" w:rsidRPr="00894766">
        <w:rPr>
          <w:rFonts w:eastAsia="Times New Roman" w:cs="Calibri"/>
          <w:sz w:val="24"/>
          <w:szCs w:val="24"/>
          <w:lang w:eastAsia="de-DE"/>
        </w:rPr>
        <w:t xml:space="preserve"> </w:t>
      </w:r>
      <w:r>
        <w:rPr>
          <w:rFonts w:eastAsia="Times New Roman" w:cs="Calibri"/>
          <w:sz w:val="24"/>
          <w:szCs w:val="24"/>
          <w:lang w:eastAsia="de-DE"/>
        </w:rPr>
        <w:t>suggests</w:t>
      </w:r>
      <w:r w:rsidR="00EC1F74" w:rsidRPr="00894766">
        <w:rPr>
          <w:rFonts w:eastAsia="Times New Roman" w:cs="Calibri"/>
          <w:sz w:val="24"/>
          <w:szCs w:val="24"/>
          <w:lang w:eastAsia="de-DE"/>
        </w:rPr>
        <w:t xml:space="preserve"> </w:t>
      </w:r>
      <w:r w:rsidR="00375765">
        <w:rPr>
          <w:rFonts w:eastAsia="Times New Roman" w:cs="Calibri"/>
          <w:sz w:val="24"/>
          <w:szCs w:val="24"/>
          <w:lang w:eastAsia="de-DE"/>
        </w:rPr>
        <w:t>that</w:t>
      </w:r>
      <w:r w:rsidR="00EC1F74" w:rsidRPr="00894766">
        <w:rPr>
          <w:rFonts w:eastAsia="Times New Roman" w:cs="Calibri"/>
          <w:sz w:val="24"/>
          <w:szCs w:val="24"/>
          <w:lang w:eastAsia="de-DE"/>
        </w:rPr>
        <w:t xml:space="preserve"> research focus</w:t>
      </w:r>
      <w:r>
        <w:rPr>
          <w:rFonts w:eastAsia="Times New Roman" w:cs="Calibri"/>
          <w:sz w:val="24"/>
          <w:szCs w:val="24"/>
          <w:lang w:eastAsia="de-DE"/>
        </w:rPr>
        <w:t xml:space="preserve"> </w:t>
      </w:r>
      <w:r w:rsidR="00375765">
        <w:rPr>
          <w:rFonts w:eastAsia="Times New Roman" w:cs="Calibri"/>
          <w:sz w:val="24"/>
          <w:szCs w:val="24"/>
          <w:lang w:eastAsia="de-DE"/>
        </w:rPr>
        <w:t xml:space="preserve">should shift </w:t>
      </w:r>
      <w:r>
        <w:rPr>
          <w:rFonts w:eastAsia="Times New Roman" w:cs="Calibri"/>
          <w:sz w:val="24"/>
          <w:szCs w:val="24"/>
          <w:lang w:eastAsia="de-DE"/>
        </w:rPr>
        <w:t xml:space="preserve">from regions </w:t>
      </w:r>
      <w:r w:rsidR="00EC1F74" w:rsidRPr="00894766">
        <w:rPr>
          <w:rFonts w:eastAsia="Times New Roman" w:cs="Calibri"/>
          <w:sz w:val="24"/>
          <w:szCs w:val="24"/>
          <w:lang w:eastAsia="de-DE"/>
        </w:rPr>
        <w:t>towards the administrative interior</w:t>
      </w:r>
      <w:r>
        <w:rPr>
          <w:rFonts w:eastAsia="Times New Roman" w:cs="Calibri"/>
          <w:sz w:val="24"/>
          <w:szCs w:val="24"/>
          <w:lang w:eastAsia="de-DE"/>
        </w:rPr>
        <w:t xml:space="preserve"> </w:t>
      </w:r>
      <w:r w:rsidR="00257355">
        <w:rPr>
          <w:rFonts w:eastAsia="Times New Roman" w:cs="Calibri"/>
          <w:sz w:val="24"/>
          <w:szCs w:val="24"/>
          <w:lang w:eastAsia="de-DE"/>
        </w:rPr>
        <w:t xml:space="preserve">of </w:t>
      </w:r>
      <w:r>
        <w:rPr>
          <w:rFonts w:eastAsia="Times New Roman" w:cs="Calibri"/>
          <w:sz w:val="24"/>
          <w:szCs w:val="24"/>
          <w:lang w:eastAsia="de-DE"/>
        </w:rPr>
        <w:t xml:space="preserve">government institutions at different levels of government, principally </w:t>
      </w:r>
      <w:r w:rsidR="00EC1F74" w:rsidRPr="00894766">
        <w:rPr>
          <w:rFonts w:eastAsia="Times New Roman" w:cs="Calibri"/>
          <w:sz w:val="24"/>
          <w:szCs w:val="24"/>
          <w:lang w:eastAsia="de-DE"/>
        </w:rPr>
        <w:t>towards administrative subunits</w:t>
      </w:r>
      <w:r>
        <w:rPr>
          <w:rFonts w:eastAsia="Times New Roman" w:cs="Calibri"/>
          <w:sz w:val="24"/>
          <w:szCs w:val="24"/>
          <w:lang w:eastAsia="de-DE"/>
        </w:rPr>
        <w:t xml:space="preserve"> at each level</w:t>
      </w:r>
      <w:r w:rsidR="00AD2A5C">
        <w:rPr>
          <w:rFonts w:eastAsia="Times New Roman" w:cs="Calibri"/>
          <w:sz w:val="24"/>
          <w:szCs w:val="24"/>
          <w:lang w:eastAsia="de-DE"/>
        </w:rPr>
        <w:t>,</w:t>
      </w:r>
      <w:r>
        <w:rPr>
          <w:rFonts w:eastAsia="Times New Roman" w:cs="Calibri"/>
          <w:sz w:val="24"/>
          <w:szCs w:val="24"/>
          <w:lang w:eastAsia="de-DE"/>
        </w:rPr>
        <w:t xml:space="preserve"> and how the</w:t>
      </w:r>
      <w:r w:rsidR="00AD2A5C">
        <w:rPr>
          <w:rFonts w:eastAsia="Times New Roman" w:cs="Calibri"/>
          <w:sz w:val="24"/>
          <w:szCs w:val="24"/>
          <w:lang w:eastAsia="de-DE"/>
        </w:rPr>
        <w:t>se</w:t>
      </w:r>
      <w:r>
        <w:rPr>
          <w:rFonts w:eastAsia="Times New Roman" w:cs="Calibri"/>
          <w:sz w:val="24"/>
          <w:szCs w:val="24"/>
          <w:lang w:eastAsia="de-DE"/>
        </w:rPr>
        <w:t xml:space="preserve"> </w:t>
      </w:r>
      <w:r w:rsidR="00375765">
        <w:rPr>
          <w:rFonts w:eastAsia="Times New Roman" w:cs="Calibri"/>
          <w:sz w:val="24"/>
          <w:szCs w:val="24"/>
          <w:lang w:eastAsia="de-DE"/>
        </w:rPr>
        <w:t>mutually relate</w:t>
      </w:r>
      <w:r>
        <w:rPr>
          <w:rFonts w:eastAsia="Times New Roman" w:cs="Calibri"/>
          <w:sz w:val="24"/>
          <w:szCs w:val="24"/>
          <w:lang w:eastAsia="de-DE"/>
        </w:rPr>
        <w:t>.</w:t>
      </w:r>
      <w:r w:rsidR="00EC1F74" w:rsidRPr="00894766">
        <w:rPr>
          <w:rFonts w:eastAsia="Times New Roman" w:cs="Calibri"/>
          <w:sz w:val="24"/>
          <w:szCs w:val="24"/>
          <w:lang w:eastAsia="de-DE"/>
        </w:rPr>
        <w:t xml:space="preserve"> </w:t>
      </w:r>
      <w:r>
        <w:rPr>
          <w:rFonts w:eastAsia="Times New Roman" w:cs="Calibri"/>
          <w:sz w:val="24"/>
          <w:szCs w:val="24"/>
          <w:lang w:eastAsia="de-DE"/>
        </w:rPr>
        <w:t>To illustrate</w:t>
      </w:r>
      <w:r w:rsidR="00EC1F74" w:rsidRPr="00894766">
        <w:rPr>
          <w:rFonts w:eastAsia="Times New Roman" w:cs="Calibri"/>
          <w:sz w:val="24"/>
          <w:szCs w:val="24"/>
          <w:lang w:eastAsia="de-DE"/>
        </w:rPr>
        <w:t>,</w:t>
      </w:r>
      <w:r>
        <w:rPr>
          <w:rFonts w:eastAsia="Times New Roman" w:cs="Calibri"/>
          <w:sz w:val="24"/>
          <w:szCs w:val="24"/>
          <w:lang w:eastAsia="de-DE"/>
        </w:rPr>
        <w:t xml:space="preserve"> the</w:t>
      </w:r>
      <w:r w:rsidR="00EC1F74" w:rsidRPr="00894766">
        <w:rPr>
          <w:rFonts w:eastAsia="Times New Roman" w:cs="Calibri"/>
          <w:sz w:val="24"/>
          <w:szCs w:val="24"/>
          <w:lang w:eastAsia="de-DE"/>
        </w:rPr>
        <w:t xml:space="preserve"> MLA</w:t>
      </w:r>
      <w:r>
        <w:rPr>
          <w:rFonts w:eastAsia="Times New Roman" w:cs="Calibri"/>
          <w:sz w:val="24"/>
          <w:szCs w:val="24"/>
          <w:lang w:eastAsia="de-DE"/>
        </w:rPr>
        <w:t xml:space="preserve"> approach directs attention towards</w:t>
      </w:r>
      <w:r w:rsidR="00EC1F74" w:rsidRPr="00894766">
        <w:rPr>
          <w:rFonts w:eastAsia="Times New Roman" w:cs="Calibri"/>
          <w:sz w:val="24"/>
          <w:szCs w:val="24"/>
          <w:lang w:eastAsia="de-DE"/>
        </w:rPr>
        <w:t xml:space="preserve"> the behavior and role perceptions of unelected office holde</w:t>
      </w:r>
      <w:r w:rsidR="00C55295">
        <w:rPr>
          <w:rFonts w:eastAsia="Times New Roman" w:cs="Calibri"/>
          <w:sz w:val="24"/>
          <w:szCs w:val="24"/>
          <w:lang w:eastAsia="de-DE"/>
        </w:rPr>
        <w:t>rs (Trondal et al.</w:t>
      </w:r>
      <w:r w:rsidR="00A359F7">
        <w:rPr>
          <w:rFonts w:eastAsia="Times New Roman" w:cs="Calibri"/>
          <w:sz w:val="24"/>
          <w:szCs w:val="24"/>
          <w:lang w:eastAsia="de-DE"/>
        </w:rPr>
        <w:t>,</w:t>
      </w:r>
      <w:r w:rsidR="00EC1F74" w:rsidRPr="00894766">
        <w:rPr>
          <w:rFonts w:eastAsia="Times New Roman" w:cs="Calibri"/>
          <w:sz w:val="24"/>
          <w:szCs w:val="24"/>
          <w:lang w:eastAsia="de-DE"/>
        </w:rPr>
        <w:t xml:space="preserve"> 2010), the autonomy and </w:t>
      </w:r>
      <w:r w:rsidR="00AD2A5C">
        <w:rPr>
          <w:rFonts w:eastAsia="Times New Roman" w:cs="Calibri"/>
          <w:sz w:val="24"/>
          <w:szCs w:val="24"/>
          <w:lang w:eastAsia="de-DE"/>
        </w:rPr>
        <w:t xml:space="preserve">interaction </w:t>
      </w:r>
      <w:r w:rsidR="00EC1F74" w:rsidRPr="00894766">
        <w:rPr>
          <w:rFonts w:eastAsia="Times New Roman" w:cs="Calibri"/>
          <w:sz w:val="24"/>
          <w:szCs w:val="24"/>
          <w:lang w:eastAsia="de-DE"/>
        </w:rPr>
        <w:t>of subunits</w:t>
      </w:r>
      <w:r w:rsidR="00AD2A5C">
        <w:rPr>
          <w:rFonts w:eastAsia="Times New Roman" w:cs="Calibri"/>
          <w:sz w:val="24"/>
          <w:szCs w:val="24"/>
          <w:lang w:eastAsia="de-DE"/>
        </w:rPr>
        <w:t xml:space="preserve"> at each administrative level</w:t>
      </w:r>
      <w:r w:rsidR="00C55295">
        <w:rPr>
          <w:rFonts w:eastAsia="Times New Roman" w:cs="Calibri"/>
          <w:sz w:val="24"/>
          <w:szCs w:val="24"/>
          <w:lang w:eastAsia="de-DE"/>
        </w:rPr>
        <w:t xml:space="preserve"> (Ege and Bauer</w:t>
      </w:r>
      <w:r w:rsidR="00A359F7">
        <w:rPr>
          <w:rFonts w:eastAsia="Times New Roman" w:cs="Calibri"/>
          <w:sz w:val="24"/>
          <w:szCs w:val="24"/>
          <w:lang w:eastAsia="de-DE"/>
        </w:rPr>
        <w:t>,</w:t>
      </w:r>
      <w:r w:rsidR="00EC1F74" w:rsidRPr="00894766">
        <w:rPr>
          <w:rFonts w:eastAsia="Times New Roman" w:cs="Calibri"/>
          <w:sz w:val="24"/>
          <w:szCs w:val="24"/>
          <w:lang w:eastAsia="de-DE"/>
        </w:rPr>
        <w:t xml:space="preserve"> 2013; Egeberg</w:t>
      </w:r>
      <w:r w:rsidR="00A359F7">
        <w:rPr>
          <w:rFonts w:eastAsia="Times New Roman" w:cs="Calibri"/>
          <w:sz w:val="24"/>
          <w:szCs w:val="24"/>
          <w:lang w:eastAsia="de-DE"/>
        </w:rPr>
        <w:t>,</w:t>
      </w:r>
      <w:r w:rsidR="00EC1F74" w:rsidRPr="00894766">
        <w:rPr>
          <w:rFonts w:eastAsia="Times New Roman" w:cs="Calibri"/>
          <w:sz w:val="24"/>
          <w:szCs w:val="24"/>
          <w:lang w:eastAsia="de-DE"/>
        </w:rPr>
        <w:t xml:space="preserve"> 2006; Trondal and Peters</w:t>
      </w:r>
      <w:r w:rsidR="00A359F7">
        <w:rPr>
          <w:rFonts w:eastAsia="Times New Roman" w:cs="Calibri"/>
          <w:sz w:val="24"/>
          <w:szCs w:val="24"/>
          <w:lang w:eastAsia="de-DE"/>
        </w:rPr>
        <w:t>,</w:t>
      </w:r>
      <w:r w:rsidR="00EC1F74" w:rsidRPr="00894766">
        <w:rPr>
          <w:rFonts w:eastAsia="Times New Roman" w:cs="Calibri"/>
          <w:sz w:val="24"/>
          <w:szCs w:val="24"/>
          <w:lang w:eastAsia="de-DE"/>
        </w:rPr>
        <w:t xml:space="preserve"> </w:t>
      </w:r>
      <w:r w:rsidR="00EC1F74" w:rsidRPr="00894766">
        <w:rPr>
          <w:rFonts w:eastAsia="Times New Roman" w:cs="Calibri"/>
          <w:sz w:val="24"/>
          <w:szCs w:val="24"/>
          <w:lang w:eastAsia="de-DE"/>
        </w:rPr>
        <w:lastRenderedPageBreak/>
        <w:t>2013), the ‘in-house’ socialization processes of staff (</w:t>
      </w:r>
      <w:r w:rsidR="00C55295">
        <w:rPr>
          <w:rFonts w:eastAsia="Times New Roman" w:cs="Calibri"/>
          <w:sz w:val="24"/>
          <w:szCs w:val="24"/>
          <w:lang w:eastAsia="de-DE"/>
        </w:rPr>
        <w:t>Beyers</w:t>
      </w:r>
      <w:r w:rsidR="00A359F7">
        <w:rPr>
          <w:rFonts w:eastAsia="Times New Roman" w:cs="Calibri"/>
          <w:sz w:val="24"/>
          <w:szCs w:val="24"/>
          <w:lang w:eastAsia="de-DE"/>
        </w:rPr>
        <w:t>,</w:t>
      </w:r>
      <w:r>
        <w:rPr>
          <w:rFonts w:eastAsia="Times New Roman" w:cs="Calibri"/>
          <w:sz w:val="24"/>
          <w:szCs w:val="24"/>
          <w:lang w:eastAsia="de-DE"/>
        </w:rPr>
        <w:t xml:space="preserve"> 2010)</w:t>
      </w:r>
      <w:r w:rsidR="00AD2A5C">
        <w:rPr>
          <w:rFonts w:eastAsia="Times New Roman" w:cs="Calibri"/>
          <w:sz w:val="24"/>
          <w:szCs w:val="24"/>
          <w:lang w:eastAsia="de-DE"/>
        </w:rPr>
        <w:t>, etc</w:t>
      </w:r>
      <w:r w:rsidR="00EC1F74" w:rsidRPr="00894766">
        <w:rPr>
          <w:rFonts w:eastAsia="Times New Roman" w:cs="Calibri"/>
          <w:sz w:val="24"/>
          <w:szCs w:val="24"/>
          <w:lang w:eastAsia="de-DE"/>
        </w:rPr>
        <w:t xml:space="preserve">. Focus is thus not primarily on government apparatuses as </w:t>
      </w:r>
      <w:r w:rsidR="00EC1F74" w:rsidRPr="00894766">
        <w:rPr>
          <w:rFonts w:eastAsia="Times New Roman" w:cs="Calibri"/>
          <w:i/>
          <w:sz w:val="24"/>
          <w:szCs w:val="24"/>
          <w:lang w:eastAsia="de-DE"/>
        </w:rPr>
        <w:t>arenas</w:t>
      </w:r>
      <w:r w:rsidR="00EC1F74" w:rsidRPr="00894766">
        <w:rPr>
          <w:rFonts w:eastAsia="Times New Roman" w:cs="Calibri"/>
          <w:sz w:val="24"/>
          <w:szCs w:val="24"/>
          <w:lang w:eastAsia="de-DE"/>
        </w:rPr>
        <w:t>, but rather on government apparatuses as normative structures that</w:t>
      </w:r>
      <w:r w:rsidR="00C55295">
        <w:rPr>
          <w:rFonts w:eastAsia="Times New Roman" w:cs="Calibri"/>
          <w:sz w:val="24"/>
          <w:szCs w:val="24"/>
          <w:lang w:eastAsia="de-DE"/>
        </w:rPr>
        <w:t xml:space="preserve"> mobilize bias (Schattschneider</w:t>
      </w:r>
      <w:r w:rsidR="00A359F7">
        <w:rPr>
          <w:rFonts w:eastAsia="Times New Roman" w:cs="Calibri"/>
          <w:sz w:val="24"/>
          <w:szCs w:val="24"/>
          <w:lang w:eastAsia="de-DE"/>
        </w:rPr>
        <w:t>,</w:t>
      </w:r>
      <w:r w:rsidR="00EC1F74" w:rsidRPr="00894766">
        <w:rPr>
          <w:rFonts w:eastAsia="Times New Roman" w:cs="Calibri"/>
          <w:sz w:val="24"/>
          <w:szCs w:val="24"/>
          <w:lang w:eastAsia="de-DE"/>
        </w:rPr>
        <w:t xml:space="preserve"> 1975) and that contribute to a systematic patterning of </w:t>
      </w:r>
      <w:r w:rsidR="00AD2A5C">
        <w:rPr>
          <w:rFonts w:eastAsia="Times New Roman" w:cs="Calibri"/>
          <w:sz w:val="24"/>
          <w:szCs w:val="24"/>
          <w:lang w:eastAsia="de-DE"/>
        </w:rPr>
        <w:t>behavioural patterns</w:t>
      </w:r>
      <w:r w:rsidR="00C55295">
        <w:rPr>
          <w:rFonts w:eastAsia="Times New Roman" w:cs="Calibri"/>
          <w:sz w:val="24"/>
          <w:szCs w:val="24"/>
          <w:lang w:eastAsia="de-DE"/>
        </w:rPr>
        <w:t xml:space="preserve"> among office holders (Simon</w:t>
      </w:r>
      <w:r w:rsidR="00A359F7">
        <w:rPr>
          <w:rFonts w:eastAsia="Times New Roman" w:cs="Calibri"/>
          <w:sz w:val="24"/>
          <w:szCs w:val="24"/>
          <w:lang w:eastAsia="de-DE"/>
        </w:rPr>
        <w:t>,</w:t>
      </w:r>
      <w:r w:rsidR="00EC1F74" w:rsidRPr="00894766">
        <w:rPr>
          <w:rFonts w:eastAsia="Times New Roman" w:cs="Calibri"/>
          <w:sz w:val="24"/>
          <w:szCs w:val="24"/>
          <w:lang w:eastAsia="de-DE"/>
        </w:rPr>
        <w:t xml:space="preserve"> 1957). Consequently, the way administrative subunits are formally organized at all levels of government is assumed to bias the roles, beliefs, identities, and behavior evoked by the staff involved, and ultimately the </w:t>
      </w:r>
      <w:r w:rsidR="00AD2A5C">
        <w:rPr>
          <w:rFonts w:eastAsia="Times New Roman" w:cs="Calibri"/>
          <w:sz w:val="24"/>
          <w:szCs w:val="24"/>
          <w:lang w:eastAsia="de-DE"/>
        </w:rPr>
        <w:t xml:space="preserve">multilevel </w:t>
      </w:r>
      <w:r>
        <w:rPr>
          <w:rFonts w:eastAsia="Times New Roman" w:cs="Calibri"/>
          <w:sz w:val="24"/>
          <w:szCs w:val="24"/>
          <w:lang w:eastAsia="de-DE"/>
        </w:rPr>
        <w:t>administrative governance processes</w:t>
      </w:r>
      <w:r w:rsidR="00EC1F74" w:rsidRPr="00894766">
        <w:rPr>
          <w:rFonts w:eastAsia="Times New Roman" w:cs="Calibri"/>
          <w:sz w:val="24"/>
          <w:szCs w:val="24"/>
          <w:lang w:eastAsia="de-DE"/>
        </w:rPr>
        <w:t xml:space="preserve"> being </w:t>
      </w:r>
      <w:r w:rsidR="00BD6748">
        <w:rPr>
          <w:rFonts w:eastAsia="Times New Roman" w:cs="Calibri"/>
          <w:sz w:val="24"/>
          <w:szCs w:val="24"/>
          <w:lang w:eastAsia="de-DE"/>
        </w:rPr>
        <w:t>processed</w:t>
      </w:r>
      <w:r w:rsidR="00EC1F74" w:rsidRPr="00894766">
        <w:rPr>
          <w:rFonts w:eastAsia="Times New Roman" w:cs="Calibri"/>
          <w:sz w:val="24"/>
          <w:szCs w:val="24"/>
          <w:lang w:eastAsia="de-DE"/>
        </w:rPr>
        <w:t>.</w:t>
      </w:r>
      <w:r w:rsidR="00E762D1" w:rsidRPr="00E762D1">
        <w:rPr>
          <w:sz w:val="24"/>
          <w:szCs w:val="24"/>
        </w:rPr>
        <w:t xml:space="preserve"> </w:t>
      </w:r>
      <w:r w:rsidR="00E762D1">
        <w:rPr>
          <w:sz w:val="24"/>
          <w:szCs w:val="24"/>
        </w:rPr>
        <w:t xml:space="preserve">Such </w:t>
      </w:r>
      <w:r w:rsidR="00E5017A">
        <w:rPr>
          <w:sz w:val="24"/>
          <w:szCs w:val="24"/>
        </w:rPr>
        <w:t xml:space="preserve">organizational </w:t>
      </w:r>
      <w:r w:rsidR="00E762D1">
        <w:rPr>
          <w:sz w:val="24"/>
          <w:szCs w:val="24"/>
        </w:rPr>
        <w:t>characteristics might include organizational capacity, o</w:t>
      </w:r>
      <w:r w:rsidR="00E762D1" w:rsidRPr="00540071">
        <w:rPr>
          <w:sz w:val="24"/>
          <w:szCs w:val="24"/>
        </w:rPr>
        <w:t xml:space="preserve">rganisational </w:t>
      </w:r>
      <w:r w:rsidR="00E762D1">
        <w:rPr>
          <w:sz w:val="24"/>
          <w:szCs w:val="24"/>
        </w:rPr>
        <w:t>specialization (horizontal/vertical), organizational affiliation (primary/secondary), organizational coupling (tight/loose)</w:t>
      </w:r>
      <w:r w:rsidR="00E5017A">
        <w:rPr>
          <w:sz w:val="24"/>
          <w:szCs w:val="24"/>
        </w:rPr>
        <w:t>, etc</w:t>
      </w:r>
      <w:r w:rsidR="00E762D1">
        <w:rPr>
          <w:sz w:val="24"/>
          <w:szCs w:val="24"/>
        </w:rPr>
        <w:t xml:space="preserve">. </w:t>
      </w:r>
    </w:p>
    <w:p w:rsidR="00EC1F74" w:rsidRPr="00894766" w:rsidRDefault="00EC1F74" w:rsidP="00703D22">
      <w:pPr>
        <w:spacing w:after="0" w:line="480" w:lineRule="auto"/>
        <w:rPr>
          <w:rFonts w:eastAsia="Times New Roman" w:cs="Calibri"/>
          <w:sz w:val="24"/>
          <w:szCs w:val="24"/>
          <w:lang w:eastAsia="de-DE"/>
        </w:rPr>
      </w:pPr>
    </w:p>
    <w:p w:rsidR="00DE75F4" w:rsidRDefault="00DE75F4" w:rsidP="00703D22">
      <w:pPr>
        <w:spacing w:after="0" w:line="480" w:lineRule="auto"/>
        <w:rPr>
          <w:rFonts w:eastAsia="Times New Roman" w:cs="Calibri"/>
          <w:sz w:val="24"/>
          <w:szCs w:val="24"/>
          <w:lang w:eastAsia="de-DE"/>
        </w:rPr>
      </w:pPr>
      <w:r w:rsidRPr="00DE75F4">
        <w:rPr>
          <w:rFonts w:eastAsia="Times New Roman" w:cs="Calibri"/>
          <w:sz w:val="24"/>
          <w:szCs w:val="24"/>
          <w:lang w:eastAsia="de-DE"/>
        </w:rPr>
        <w:t>Secondly, assumptions on the c</w:t>
      </w:r>
      <w:r w:rsidR="00EC1F74" w:rsidRPr="00DE75F4">
        <w:rPr>
          <w:rFonts w:eastAsia="Times New Roman" w:cs="Calibri"/>
          <w:sz w:val="24"/>
          <w:szCs w:val="24"/>
          <w:lang w:eastAsia="de-DE"/>
        </w:rPr>
        <w:t>oherence of units</w:t>
      </w:r>
      <w:r w:rsidRPr="00DE75F4">
        <w:rPr>
          <w:rFonts w:eastAsia="Times New Roman" w:cs="Calibri"/>
          <w:sz w:val="24"/>
          <w:szCs w:val="24"/>
          <w:lang w:eastAsia="de-DE"/>
        </w:rPr>
        <w:t xml:space="preserve"> of analysis vary</w:t>
      </w:r>
      <w:r>
        <w:rPr>
          <w:rFonts w:eastAsia="Times New Roman" w:cs="Calibri"/>
          <w:sz w:val="24"/>
          <w:szCs w:val="24"/>
          <w:lang w:eastAsia="de-DE"/>
        </w:rPr>
        <w:t xml:space="preserve"> between </w:t>
      </w:r>
      <w:r w:rsidR="00081229">
        <w:rPr>
          <w:rFonts w:eastAsia="Times New Roman" w:cs="Calibri"/>
          <w:sz w:val="24"/>
          <w:szCs w:val="24"/>
          <w:lang w:eastAsia="de-DE"/>
        </w:rPr>
        <w:t xml:space="preserve">MLG </w:t>
      </w:r>
      <w:r>
        <w:rPr>
          <w:rFonts w:eastAsia="Times New Roman" w:cs="Calibri"/>
          <w:sz w:val="24"/>
          <w:szCs w:val="24"/>
          <w:lang w:eastAsia="de-DE"/>
        </w:rPr>
        <w:t>and MLA approaches</w:t>
      </w:r>
      <w:r w:rsidRPr="00DE75F4">
        <w:rPr>
          <w:rFonts w:eastAsia="Times New Roman" w:cs="Calibri"/>
          <w:sz w:val="24"/>
          <w:szCs w:val="24"/>
          <w:lang w:eastAsia="de-DE"/>
        </w:rPr>
        <w:t>.</w:t>
      </w:r>
      <w:r w:rsidR="00EC1F74" w:rsidRPr="00894766">
        <w:rPr>
          <w:rFonts w:eastAsia="Times New Roman" w:cs="Calibri"/>
          <w:sz w:val="24"/>
          <w:szCs w:val="24"/>
          <w:lang w:eastAsia="de-DE"/>
        </w:rPr>
        <w:t xml:space="preserve"> Although the MLG approach </w:t>
      </w:r>
      <w:r w:rsidR="00AD2A5C">
        <w:rPr>
          <w:rFonts w:eastAsia="Times New Roman" w:cs="Calibri"/>
          <w:sz w:val="24"/>
          <w:szCs w:val="24"/>
          <w:lang w:eastAsia="de-DE"/>
        </w:rPr>
        <w:t>successfully</w:t>
      </w:r>
      <w:r w:rsidR="00EC1F74" w:rsidRPr="00894766">
        <w:rPr>
          <w:rFonts w:eastAsia="Times New Roman" w:cs="Calibri"/>
          <w:sz w:val="24"/>
          <w:szCs w:val="24"/>
          <w:lang w:eastAsia="de-DE"/>
        </w:rPr>
        <w:t xml:space="preserve"> challenge</w:t>
      </w:r>
      <w:r w:rsidR="00AD2A5C">
        <w:rPr>
          <w:rFonts w:eastAsia="Times New Roman" w:cs="Calibri"/>
          <w:sz w:val="24"/>
          <w:szCs w:val="24"/>
          <w:lang w:eastAsia="de-DE"/>
        </w:rPr>
        <w:t>d</w:t>
      </w:r>
      <w:r w:rsidR="00EC1F74" w:rsidRPr="00894766">
        <w:rPr>
          <w:rFonts w:eastAsia="Times New Roman" w:cs="Calibri"/>
          <w:sz w:val="24"/>
          <w:szCs w:val="24"/>
          <w:lang w:eastAsia="de-DE"/>
        </w:rPr>
        <w:t xml:space="preserve"> the cohe</w:t>
      </w:r>
      <w:r w:rsidR="00C55295">
        <w:rPr>
          <w:rFonts w:eastAsia="Times New Roman" w:cs="Calibri"/>
          <w:sz w:val="24"/>
          <w:szCs w:val="24"/>
          <w:lang w:eastAsia="de-DE"/>
        </w:rPr>
        <w:t>rent nature of states (Piattoni</w:t>
      </w:r>
      <w:r w:rsidR="00A359F7">
        <w:rPr>
          <w:rFonts w:eastAsia="Times New Roman" w:cs="Calibri"/>
          <w:sz w:val="24"/>
          <w:szCs w:val="24"/>
          <w:lang w:eastAsia="de-DE"/>
        </w:rPr>
        <w:t>,</w:t>
      </w:r>
      <w:r w:rsidR="00EC1F74" w:rsidRPr="00894766">
        <w:rPr>
          <w:rFonts w:eastAsia="Times New Roman" w:cs="Calibri"/>
          <w:sz w:val="24"/>
          <w:szCs w:val="24"/>
          <w:lang w:eastAsia="de-DE"/>
        </w:rPr>
        <w:t xml:space="preserve"> 2010</w:t>
      </w:r>
      <w:r w:rsidR="00C55295">
        <w:rPr>
          <w:rFonts w:eastAsia="Times New Roman" w:cs="Calibri"/>
          <w:sz w:val="24"/>
          <w:szCs w:val="24"/>
          <w:lang w:eastAsia="de-DE"/>
        </w:rPr>
        <w:t>:</w:t>
      </w:r>
      <w:r w:rsidR="00EC1F74" w:rsidRPr="00894766">
        <w:rPr>
          <w:rFonts w:eastAsia="Times New Roman" w:cs="Calibri"/>
          <w:sz w:val="24"/>
          <w:szCs w:val="24"/>
          <w:lang w:eastAsia="de-DE"/>
        </w:rPr>
        <w:t xml:space="preserve"> 2), at the same time </w:t>
      </w:r>
      <w:r w:rsidR="00375765">
        <w:rPr>
          <w:rFonts w:eastAsia="Times New Roman" w:cs="Calibri"/>
          <w:sz w:val="24"/>
          <w:szCs w:val="24"/>
          <w:lang w:eastAsia="de-DE"/>
        </w:rPr>
        <w:t xml:space="preserve">it </w:t>
      </w:r>
      <w:r w:rsidR="00EC1F74" w:rsidRPr="00894766">
        <w:rPr>
          <w:rFonts w:eastAsia="Times New Roman" w:cs="Calibri"/>
          <w:sz w:val="24"/>
          <w:szCs w:val="24"/>
          <w:lang w:eastAsia="de-DE"/>
        </w:rPr>
        <w:t xml:space="preserve">largely treated </w:t>
      </w:r>
      <w:r w:rsidR="00EC1F74" w:rsidRPr="00894766">
        <w:rPr>
          <w:rFonts w:eastAsia="Times New Roman" w:cs="Calibri"/>
          <w:i/>
          <w:sz w:val="24"/>
          <w:szCs w:val="24"/>
          <w:lang w:eastAsia="de-DE"/>
        </w:rPr>
        <w:t>its</w:t>
      </w:r>
      <w:r w:rsidR="00EC1F74" w:rsidRPr="00894766">
        <w:rPr>
          <w:rFonts w:eastAsia="Times New Roman" w:cs="Calibri"/>
          <w:sz w:val="24"/>
          <w:szCs w:val="24"/>
          <w:lang w:eastAsia="de-DE"/>
        </w:rPr>
        <w:t xml:space="preserve"> unit of analysis – regions – as coherent unit</w:t>
      </w:r>
      <w:r>
        <w:rPr>
          <w:rFonts w:eastAsia="Times New Roman" w:cs="Calibri"/>
          <w:sz w:val="24"/>
          <w:szCs w:val="24"/>
          <w:lang w:eastAsia="de-DE"/>
        </w:rPr>
        <w:t>s</w:t>
      </w:r>
      <w:r w:rsidR="00EC1F74" w:rsidRPr="00894766">
        <w:rPr>
          <w:rFonts w:eastAsia="Times New Roman" w:cs="Calibri"/>
          <w:sz w:val="24"/>
          <w:szCs w:val="24"/>
          <w:lang w:eastAsia="de-DE"/>
        </w:rPr>
        <w:t xml:space="preserve"> of analysis. The definition of regions </w:t>
      </w:r>
      <w:r w:rsidR="00375765">
        <w:rPr>
          <w:rFonts w:eastAsia="Times New Roman" w:cs="Calibri"/>
          <w:sz w:val="24"/>
          <w:szCs w:val="24"/>
          <w:lang w:eastAsia="de-DE"/>
        </w:rPr>
        <w:t>did</w:t>
      </w:r>
      <w:r w:rsidR="00EC1F74" w:rsidRPr="00894766">
        <w:rPr>
          <w:rFonts w:eastAsia="Times New Roman" w:cs="Calibri"/>
          <w:sz w:val="24"/>
          <w:szCs w:val="24"/>
          <w:lang w:eastAsia="de-DE"/>
        </w:rPr>
        <w:t xml:space="preserve"> not ‘encompass possible sources of regi</w:t>
      </w:r>
      <w:r w:rsidR="00C55295">
        <w:rPr>
          <w:rFonts w:eastAsia="Times New Roman" w:cs="Calibri"/>
          <w:sz w:val="24"/>
          <w:szCs w:val="24"/>
          <w:lang w:eastAsia="de-DE"/>
        </w:rPr>
        <w:t>onal authority …’ (Marks et al.</w:t>
      </w:r>
      <w:r w:rsidR="00A359F7">
        <w:rPr>
          <w:rFonts w:eastAsia="Times New Roman" w:cs="Calibri"/>
          <w:sz w:val="24"/>
          <w:szCs w:val="24"/>
          <w:lang w:eastAsia="de-DE"/>
        </w:rPr>
        <w:t>,</w:t>
      </w:r>
      <w:r w:rsidR="00EC1F74" w:rsidRPr="00894766">
        <w:rPr>
          <w:rFonts w:eastAsia="Times New Roman" w:cs="Calibri"/>
          <w:sz w:val="24"/>
          <w:szCs w:val="24"/>
          <w:lang w:eastAsia="de-DE"/>
        </w:rPr>
        <w:t xml:space="preserve"> 2008</w:t>
      </w:r>
      <w:r w:rsidR="00C55295">
        <w:rPr>
          <w:rFonts w:eastAsia="Times New Roman" w:cs="Calibri"/>
          <w:sz w:val="24"/>
          <w:szCs w:val="24"/>
          <w:lang w:eastAsia="de-DE"/>
        </w:rPr>
        <w:t>:</w:t>
      </w:r>
      <w:r w:rsidR="00EC1F74" w:rsidRPr="00894766">
        <w:rPr>
          <w:rFonts w:eastAsia="Times New Roman" w:cs="Calibri"/>
          <w:sz w:val="24"/>
          <w:szCs w:val="24"/>
          <w:lang w:eastAsia="de-DE"/>
        </w:rPr>
        <w:t xml:space="preserve"> 113). Importantly, the dimensions applied to measure regional authority</w:t>
      </w:r>
      <w:r>
        <w:rPr>
          <w:rFonts w:eastAsia="Times New Roman" w:cs="Calibri"/>
          <w:sz w:val="24"/>
          <w:szCs w:val="24"/>
          <w:lang w:eastAsia="de-DE"/>
        </w:rPr>
        <w:t xml:space="preserve"> in the MLG approach </w:t>
      </w:r>
      <w:r w:rsidR="00257355">
        <w:rPr>
          <w:rFonts w:eastAsia="Times New Roman" w:cs="Calibri"/>
          <w:sz w:val="24"/>
          <w:szCs w:val="24"/>
          <w:lang w:eastAsia="de-DE"/>
        </w:rPr>
        <w:t xml:space="preserve">did </w:t>
      </w:r>
      <w:r>
        <w:rPr>
          <w:rFonts w:eastAsia="Times New Roman" w:cs="Calibri"/>
          <w:sz w:val="24"/>
          <w:szCs w:val="24"/>
          <w:lang w:eastAsia="de-DE"/>
        </w:rPr>
        <w:t>not contribute to</w:t>
      </w:r>
      <w:r w:rsidR="00EC1F74" w:rsidRPr="00894766">
        <w:rPr>
          <w:rFonts w:eastAsia="Times New Roman" w:cs="Calibri"/>
          <w:sz w:val="24"/>
          <w:szCs w:val="24"/>
          <w:lang w:eastAsia="de-DE"/>
        </w:rPr>
        <w:t xml:space="preserve"> unpack the organizational architecture of regions (Marks et al.</w:t>
      </w:r>
      <w:r w:rsidR="00A359F7">
        <w:rPr>
          <w:rFonts w:eastAsia="Times New Roman" w:cs="Calibri"/>
          <w:sz w:val="24"/>
          <w:szCs w:val="24"/>
          <w:lang w:eastAsia="de-DE"/>
        </w:rPr>
        <w:t>,</w:t>
      </w:r>
      <w:r w:rsidR="00EC1F74" w:rsidRPr="00894766">
        <w:rPr>
          <w:rFonts w:eastAsia="Times New Roman" w:cs="Calibri"/>
          <w:sz w:val="24"/>
          <w:szCs w:val="24"/>
          <w:lang w:eastAsia="de-DE"/>
        </w:rPr>
        <w:t xml:space="preserve"> 2008</w:t>
      </w:r>
      <w:r w:rsidR="00C55295">
        <w:rPr>
          <w:rFonts w:eastAsia="Times New Roman" w:cs="Calibri"/>
          <w:sz w:val="24"/>
          <w:szCs w:val="24"/>
          <w:lang w:eastAsia="de-DE"/>
        </w:rPr>
        <w:t>:</w:t>
      </w:r>
      <w:r w:rsidR="00EC1F74" w:rsidRPr="00894766">
        <w:rPr>
          <w:rFonts w:eastAsia="Times New Roman" w:cs="Calibri"/>
          <w:sz w:val="24"/>
          <w:szCs w:val="24"/>
          <w:lang w:eastAsia="de-DE"/>
        </w:rPr>
        <w:t xml:space="preserve"> 115 – table 1). For example, the nine dimensions applied by Marks et al. (2008) to measure local authority aim</w:t>
      </w:r>
      <w:r w:rsidR="00257355">
        <w:rPr>
          <w:rFonts w:eastAsia="Times New Roman" w:cs="Calibri"/>
          <w:sz w:val="24"/>
          <w:szCs w:val="24"/>
          <w:lang w:eastAsia="de-DE"/>
        </w:rPr>
        <w:t>ed</w:t>
      </w:r>
      <w:r w:rsidR="00EC1F74" w:rsidRPr="00894766">
        <w:rPr>
          <w:rFonts w:eastAsia="Times New Roman" w:cs="Calibri"/>
          <w:sz w:val="24"/>
          <w:szCs w:val="24"/>
          <w:lang w:eastAsia="de-DE"/>
        </w:rPr>
        <w:t xml:space="preserve"> to gauge relationships between regions (as coherent black boxes) and national governments. None of t</w:t>
      </w:r>
      <w:r>
        <w:rPr>
          <w:rFonts w:eastAsia="Times New Roman" w:cs="Calibri"/>
          <w:sz w:val="24"/>
          <w:szCs w:val="24"/>
          <w:lang w:eastAsia="de-DE"/>
        </w:rPr>
        <w:t>hese dimensions, however, suggest</w:t>
      </w:r>
      <w:r w:rsidR="00257355">
        <w:rPr>
          <w:rFonts w:eastAsia="Times New Roman" w:cs="Calibri"/>
          <w:sz w:val="24"/>
          <w:szCs w:val="24"/>
          <w:lang w:eastAsia="de-DE"/>
        </w:rPr>
        <w:t>ed</w:t>
      </w:r>
      <w:r w:rsidR="00EC1F74" w:rsidRPr="00894766">
        <w:rPr>
          <w:rFonts w:eastAsia="Times New Roman" w:cs="Calibri"/>
          <w:sz w:val="24"/>
          <w:szCs w:val="24"/>
          <w:lang w:eastAsia="de-DE"/>
        </w:rPr>
        <w:t xml:space="preserve"> how the administrative interior of regions make</w:t>
      </w:r>
      <w:r w:rsidR="00AD2A5C">
        <w:rPr>
          <w:rFonts w:eastAsia="Times New Roman" w:cs="Calibri"/>
          <w:sz w:val="24"/>
          <w:szCs w:val="24"/>
          <w:lang w:eastAsia="de-DE"/>
        </w:rPr>
        <w:t>s</w:t>
      </w:r>
      <w:r w:rsidR="00EC1F74" w:rsidRPr="00894766">
        <w:rPr>
          <w:rFonts w:eastAsia="Times New Roman" w:cs="Calibri"/>
          <w:sz w:val="24"/>
          <w:szCs w:val="24"/>
          <w:lang w:eastAsia="de-DE"/>
        </w:rPr>
        <w:t xml:space="preserve"> a difference in this regard. This lack of interest in the administrative inland of regions is a direct consequence of the fact that the </w:t>
      </w:r>
      <w:r w:rsidR="00EC1F74" w:rsidRPr="00894766">
        <w:rPr>
          <w:rFonts w:eastAsia="Times New Roman" w:cs="Calibri"/>
          <w:sz w:val="24"/>
          <w:szCs w:val="24"/>
          <w:lang w:eastAsia="de-DE"/>
        </w:rPr>
        <w:lastRenderedPageBreak/>
        <w:t>MLG approach is basically interested in ‘the allocation of authority across general purpose jurisdictions’</w:t>
      </w:r>
      <w:r w:rsidR="00094901" w:rsidRPr="00894766">
        <w:rPr>
          <w:rFonts w:eastAsia="Times New Roman" w:cs="Calibri"/>
          <w:sz w:val="24"/>
          <w:szCs w:val="24"/>
          <w:lang w:eastAsia="de-DE"/>
        </w:rPr>
        <w:t xml:space="preserve"> and not the internal administrative architecture of regions as items for analysis</w:t>
      </w:r>
      <w:r w:rsidR="00EC1F74" w:rsidRPr="00894766">
        <w:rPr>
          <w:rFonts w:eastAsia="Times New Roman" w:cs="Calibri"/>
          <w:sz w:val="24"/>
          <w:szCs w:val="24"/>
          <w:lang w:eastAsia="de-DE"/>
        </w:rPr>
        <w:t xml:space="preserve"> (Marks et al.</w:t>
      </w:r>
      <w:r w:rsidR="00A359F7">
        <w:rPr>
          <w:rFonts w:eastAsia="Times New Roman" w:cs="Calibri"/>
          <w:sz w:val="24"/>
          <w:szCs w:val="24"/>
          <w:lang w:eastAsia="de-DE"/>
        </w:rPr>
        <w:t>,</w:t>
      </w:r>
      <w:r w:rsidR="00EC1F74" w:rsidRPr="00894766">
        <w:rPr>
          <w:rFonts w:eastAsia="Times New Roman" w:cs="Calibri"/>
          <w:sz w:val="24"/>
          <w:szCs w:val="24"/>
          <w:lang w:eastAsia="de-DE"/>
        </w:rPr>
        <w:t xml:space="preserve"> 2008</w:t>
      </w:r>
      <w:r w:rsidR="00C55295">
        <w:rPr>
          <w:rFonts w:eastAsia="Times New Roman" w:cs="Calibri"/>
          <w:sz w:val="24"/>
          <w:szCs w:val="24"/>
          <w:lang w:eastAsia="de-DE"/>
        </w:rPr>
        <w:t>:</w:t>
      </w:r>
      <w:r w:rsidR="00EC1F74" w:rsidRPr="00894766">
        <w:rPr>
          <w:rFonts w:eastAsia="Times New Roman" w:cs="Calibri"/>
          <w:sz w:val="24"/>
          <w:szCs w:val="24"/>
          <w:lang w:eastAsia="de-DE"/>
        </w:rPr>
        <w:t xml:space="preserve"> 111).</w:t>
      </w:r>
      <w:r w:rsidR="00094901" w:rsidRPr="00894766">
        <w:rPr>
          <w:rFonts w:eastAsia="Times New Roman" w:cs="Calibri"/>
          <w:sz w:val="24"/>
          <w:szCs w:val="24"/>
          <w:lang w:eastAsia="de-DE"/>
        </w:rPr>
        <w:t xml:space="preserve"> </w:t>
      </w:r>
    </w:p>
    <w:p w:rsidR="00DE75F4" w:rsidRDefault="00DE75F4" w:rsidP="00703D22">
      <w:pPr>
        <w:spacing w:after="0" w:line="480" w:lineRule="auto"/>
        <w:rPr>
          <w:rFonts w:eastAsia="Times New Roman" w:cs="Calibri"/>
          <w:sz w:val="24"/>
          <w:szCs w:val="24"/>
          <w:lang w:eastAsia="de-DE"/>
        </w:rPr>
      </w:pPr>
    </w:p>
    <w:p w:rsidR="00EC1F74" w:rsidRPr="00894766" w:rsidRDefault="00094901" w:rsidP="00703D22">
      <w:pPr>
        <w:spacing w:after="0" w:line="480" w:lineRule="auto"/>
        <w:rPr>
          <w:rFonts w:eastAsia="Times New Roman" w:cs="Calibri"/>
          <w:sz w:val="24"/>
          <w:szCs w:val="24"/>
          <w:lang w:eastAsia="de-DE"/>
        </w:rPr>
      </w:pPr>
      <w:r w:rsidRPr="00894766">
        <w:rPr>
          <w:rFonts w:eastAsia="Times New Roman" w:cs="Calibri"/>
          <w:sz w:val="24"/>
          <w:szCs w:val="24"/>
          <w:lang w:eastAsia="de-DE"/>
        </w:rPr>
        <w:t>This lack of attention to the organizational dimensions of multilevel systems</w:t>
      </w:r>
      <w:r w:rsidR="00DE75F4">
        <w:rPr>
          <w:rFonts w:eastAsia="Times New Roman" w:cs="Calibri"/>
          <w:sz w:val="24"/>
          <w:szCs w:val="24"/>
          <w:lang w:eastAsia="de-DE"/>
        </w:rPr>
        <w:t xml:space="preserve"> in the MLG approach</w:t>
      </w:r>
      <w:r w:rsidRPr="00894766">
        <w:rPr>
          <w:rFonts w:eastAsia="Times New Roman" w:cs="Calibri"/>
          <w:sz w:val="24"/>
          <w:szCs w:val="24"/>
          <w:lang w:eastAsia="de-DE"/>
        </w:rPr>
        <w:t xml:space="preserve"> is</w:t>
      </w:r>
      <w:r w:rsidR="00DE75F4">
        <w:rPr>
          <w:rFonts w:eastAsia="Times New Roman" w:cs="Calibri"/>
          <w:sz w:val="24"/>
          <w:szCs w:val="24"/>
          <w:lang w:eastAsia="de-DE"/>
        </w:rPr>
        <w:t xml:space="preserve"> paralleled</w:t>
      </w:r>
      <w:r w:rsidRPr="00894766">
        <w:rPr>
          <w:rFonts w:eastAsia="Times New Roman" w:cs="Calibri"/>
          <w:sz w:val="24"/>
          <w:szCs w:val="24"/>
          <w:lang w:eastAsia="de-DE"/>
        </w:rPr>
        <w:t xml:space="preserve"> in international organization (IO) studies.</w:t>
      </w:r>
      <w:r w:rsidR="00EC1F74" w:rsidRPr="00894766">
        <w:rPr>
          <w:rFonts w:eastAsia="Times New Roman" w:cs="Calibri"/>
          <w:sz w:val="24"/>
          <w:szCs w:val="24"/>
          <w:lang w:eastAsia="de-DE"/>
        </w:rPr>
        <w:t xml:space="preserve"> </w:t>
      </w:r>
      <w:r w:rsidR="00AD2A5C">
        <w:rPr>
          <w:rFonts w:eastAsia="Times New Roman" w:cs="Calibri"/>
          <w:sz w:val="24"/>
          <w:szCs w:val="24"/>
          <w:lang w:eastAsia="de-DE"/>
        </w:rPr>
        <w:t>R</w:t>
      </w:r>
      <w:r w:rsidRPr="00894766">
        <w:rPr>
          <w:rFonts w:eastAsia="Times New Roman" w:cs="Calibri"/>
          <w:sz w:val="24"/>
          <w:szCs w:val="24"/>
          <w:lang w:eastAsia="de-DE"/>
        </w:rPr>
        <w:t>ecent research on governance in IOs pays only scant attention to the bureaucracies of these organizations (Hawkins et al.</w:t>
      </w:r>
      <w:r w:rsidR="00A359F7">
        <w:rPr>
          <w:rFonts w:eastAsia="Times New Roman" w:cs="Calibri"/>
          <w:sz w:val="24"/>
          <w:szCs w:val="24"/>
          <w:lang w:eastAsia="de-DE"/>
        </w:rPr>
        <w:t>,</w:t>
      </w:r>
      <w:r w:rsidRPr="00894766">
        <w:rPr>
          <w:rFonts w:eastAsia="Times New Roman" w:cs="Calibri"/>
          <w:sz w:val="24"/>
          <w:szCs w:val="24"/>
          <w:lang w:eastAsia="de-DE"/>
        </w:rPr>
        <w:t xml:space="preserve"> 2006; Karns and Mingst</w:t>
      </w:r>
      <w:r w:rsidR="00A359F7">
        <w:rPr>
          <w:rFonts w:eastAsia="Times New Roman" w:cs="Calibri"/>
          <w:sz w:val="24"/>
          <w:szCs w:val="24"/>
          <w:lang w:eastAsia="de-DE"/>
        </w:rPr>
        <w:t>,</w:t>
      </w:r>
      <w:r w:rsidRPr="00894766">
        <w:rPr>
          <w:rFonts w:eastAsia="Times New Roman" w:cs="Calibri"/>
          <w:sz w:val="24"/>
          <w:szCs w:val="24"/>
          <w:lang w:eastAsia="de-DE"/>
        </w:rPr>
        <w:t xml:space="preserve"> 2004</w:t>
      </w:r>
      <w:r w:rsidR="000F03C6">
        <w:rPr>
          <w:rFonts w:eastAsia="Times New Roman" w:cs="Calibri"/>
          <w:sz w:val="24"/>
          <w:szCs w:val="24"/>
          <w:lang w:eastAsia="de-DE"/>
        </w:rPr>
        <w:t>, but see Biermann</w:t>
      </w:r>
      <w:r w:rsidR="00EC01E0">
        <w:rPr>
          <w:rFonts w:eastAsia="Times New Roman" w:cs="Calibri"/>
          <w:sz w:val="24"/>
          <w:szCs w:val="24"/>
          <w:lang w:eastAsia="de-DE"/>
        </w:rPr>
        <w:t xml:space="preserve"> and </w:t>
      </w:r>
      <w:r w:rsidR="000F03C6">
        <w:rPr>
          <w:rFonts w:eastAsia="Times New Roman" w:cs="Calibri"/>
          <w:sz w:val="24"/>
          <w:szCs w:val="24"/>
          <w:lang w:eastAsia="de-DE"/>
        </w:rPr>
        <w:t>Siebenhühner</w:t>
      </w:r>
      <w:r w:rsidR="00A359F7">
        <w:rPr>
          <w:rFonts w:eastAsia="Times New Roman" w:cs="Calibri"/>
          <w:sz w:val="24"/>
          <w:szCs w:val="24"/>
          <w:lang w:eastAsia="de-DE"/>
        </w:rPr>
        <w:t>,</w:t>
      </w:r>
      <w:r w:rsidR="000F03C6">
        <w:rPr>
          <w:rFonts w:eastAsia="Times New Roman" w:cs="Calibri"/>
          <w:sz w:val="24"/>
          <w:szCs w:val="24"/>
          <w:lang w:eastAsia="de-DE"/>
        </w:rPr>
        <w:t xml:space="preserve"> 2009; Bauer </w:t>
      </w:r>
      <w:r w:rsidR="00EC01E0">
        <w:rPr>
          <w:rFonts w:eastAsia="Times New Roman" w:cs="Calibri"/>
          <w:sz w:val="24"/>
          <w:szCs w:val="24"/>
          <w:lang w:eastAsia="de-DE"/>
        </w:rPr>
        <w:t>and</w:t>
      </w:r>
      <w:r w:rsidR="000F03C6">
        <w:rPr>
          <w:rFonts w:eastAsia="Times New Roman" w:cs="Calibri"/>
          <w:sz w:val="24"/>
          <w:szCs w:val="24"/>
          <w:lang w:eastAsia="de-DE"/>
        </w:rPr>
        <w:t xml:space="preserve"> Ege</w:t>
      </w:r>
      <w:r w:rsidR="00A359F7">
        <w:rPr>
          <w:rFonts w:eastAsia="Times New Roman" w:cs="Calibri"/>
          <w:sz w:val="24"/>
          <w:szCs w:val="24"/>
          <w:lang w:eastAsia="de-DE"/>
        </w:rPr>
        <w:t>,</w:t>
      </w:r>
      <w:r w:rsidR="000F03C6">
        <w:rPr>
          <w:rFonts w:eastAsia="Times New Roman" w:cs="Calibri"/>
          <w:sz w:val="24"/>
          <w:szCs w:val="24"/>
          <w:lang w:eastAsia="de-DE"/>
        </w:rPr>
        <w:t xml:space="preserve"> 2014</w:t>
      </w:r>
      <w:r w:rsidRPr="00894766">
        <w:rPr>
          <w:rFonts w:eastAsia="Times New Roman" w:cs="Calibri"/>
          <w:sz w:val="24"/>
          <w:szCs w:val="24"/>
          <w:lang w:eastAsia="de-DE"/>
        </w:rPr>
        <w:t xml:space="preserve">). One explanation for this lack of scholarly attention to </w:t>
      </w:r>
      <w:r w:rsidR="00AD2A5C">
        <w:rPr>
          <w:rFonts w:eastAsia="Times New Roman" w:cs="Calibri"/>
          <w:sz w:val="24"/>
          <w:szCs w:val="24"/>
          <w:lang w:eastAsia="de-DE"/>
        </w:rPr>
        <w:t>the administrative dimension</w:t>
      </w:r>
      <w:r w:rsidRPr="00894766">
        <w:rPr>
          <w:rFonts w:eastAsia="Times New Roman" w:cs="Calibri"/>
          <w:sz w:val="24"/>
          <w:szCs w:val="24"/>
          <w:lang w:eastAsia="de-DE"/>
        </w:rPr>
        <w:t xml:space="preserve"> is partly the gulf that exists between IO literature and public administration literature. One clear example of this gulf is the book by Acharya and Johnston (2007) that makes a comparative analysis of IOs without </w:t>
      </w:r>
      <w:r w:rsidR="00AD2A5C">
        <w:rPr>
          <w:rFonts w:eastAsia="Times New Roman" w:cs="Calibri"/>
          <w:sz w:val="24"/>
          <w:szCs w:val="24"/>
          <w:lang w:eastAsia="de-DE"/>
        </w:rPr>
        <w:t>mentioning</w:t>
      </w:r>
      <w:r w:rsidRPr="00894766">
        <w:rPr>
          <w:rFonts w:eastAsia="Times New Roman" w:cs="Calibri"/>
          <w:sz w:val="24"/>
          <w:szCs w:val="24"/>
          <w:lang w:eastAsia="de-DE"/>
        </w:rPr>
        <w:t xml:space="preserve"> their administrative systems. Rationalist accounts of IOs – the realist, neo-realist, and liberalist variants – treat international </w:t>
      </w:r>
      <w:r w:rsidR="00AD2A5C">
        <w:rPr>
          <w:rFonts w:eastAsia="Times New Roman" w:cs="Calibri"/>
          <w:sz w:val="24"/>
          <w:szCs w:val="24"/>
          <w:lang w:eastAsia="de-DE"/>
        </w:rPr>
        <w:t>administrations</w:t>
      </w:r>
      <w:r w:rsidRPr="00894766">
        <w:rPr>
          <w:rFonts w:eastAsia="Times New Roman" w:cs="Calibri"/>
          <w:sz w:val="24"/>
          <w:szCs w:val="24"/>
          <w:lang w:eastAsia="de-DE"/>
        </w:rPr>
        <w:t xml:space="preserve"> as epiphenomena of the interaction </w:t>
      </w:r>
      <w:r w:rsidR="00375765">
        <w:rPr>
          <w:rFonts w:eastAsia="Times New Roman" w:cs="Calibri"/>
          <w:sz w:val="24"/>
          <w:szCs w:val="24"/>
          <w:lang w:eastAsia="de-DE"/>
        </w:rPr>
        <w:t>of</w:t>
      </w:r>
      <w:r w:rsidRPr="00894766">
        <w:rPr>
          <w:rFonts w:eastAsia="Times New Roman" w:cs="Calibri"/>
          <w:sz w:val="24"/>
          <w:szCs w:val="24"/>
          <w:lang w:eastAsia="de-DE"/>
        </w:rPr>
        <w:t xml:space="preserve"> states. Studies of IOs have been preoccupied with studying the more visible interplay of states rather than the back-stage activities of the secretariats (Rochester</w:t>
      </w:r>
      <w:r w:rsidR="00A359F7">
        <w:rPr>
          <w:rFonts w:eastAsia="Times New Roman" w:cs="Calibri"/>
          <w:sz w:val="24"/>
          <w:szCs w:val="24"/>
          <w:lang w:eastAsia="de-DE"/>
        </w:rPr>
        <w:t>,</w:t>
      </w:r>
      <w:r w:rsidRPr="00894766">
        <w:rPr>
          <w:rFonts w:eastAsia="Times New Roman" w:cs="Calibri"/>
          <w:sz w:val="24"/>
          <w:szCs w:val="24"/>
          <w:lang w:eastAsia="de-DE"/>
        </w:rPr>
        <w:t xml:space="preserve"> 1986). One notable exception is the growing volume of studies of the Commission and to some extent reports on the UN Secretariat (Chesterman</w:t>
      </w:r>
      <w:r w:rsidR="00A359F7">
        <w:rPr>
          <w:rFonts w:eastAsia="Times New Roman" w:cs="Calibri"/>
          <w:sz w:val="24"/>
          <w:szCs w:val="24"/>
          <w:lang w:eastAsia="de-DE"/>
        </w:rPr>
        <w:t>,</w:t>
      </w:r>
      <w:r w:rsidRPr="00894766">
        <w:rPr>
          <w:rFonts w:eastAsia="Times New Roman" w:cs="Calibri"/>
          <w:sz w:val="24"/>
          <w:szCs w:val="24"/>
          <w:lang w:eastAsia="de-DE"/>
        </w:rPr>
        <w:t xml:space="preserve"> 2007; Egeberg</w:t>
      </w:r>
      <w:r w:rsidR="00A359F7">
        <w:rPr>
          <w:rFonts w:eastAsia="Times New Roman" w:cs="Calibri"/>
          <w:sz w:val="24"/>
          <w:szCs w:val="24"/>
          <w:lang w:eastAsia="de-DE"/>
        </w:rPr>
        <w:t>,</w:t>
      </w:r>
      <w:r w:rsidRPr="00894766">
        <w:rPr>
          <w:rFonts w:eastAsia="Times New Roman" w:cs="Calibri"/>
          <w:sz w:val="24"/>
          <w:szCs w:val="24"/>
          <w:lang w:eastAsia="de-DE"/>
        </w:rPr>
        <w:t xml:space="preserve"> 2006). Researching the everyday decision making of international bureaucracies has been of less interest than studying the voting behavior of states in general assemblies (Hix</w:t>
      </w:r>
      <w:r w:rsidR="00A359F7">
        <w:rPr>
          <w:rFonts w:eastAsia="Times New Roman" w:cs="Calibri"/>
          <w:sz w:val="24"/>
          <w:szCs w:val="24"/>
          <w:lang w:eastAsia="de-DE"/>
        </w:rPr>
        <w:t>,</w:t>
      </w:r>
      <w:r w:rsidRPr="00894766">
        <w:rPr>
          <w:rFonts w:eastAsia="Times New Roman" w:cs="Calibri"/>
          <w:sz w:val="24"/>
          <w:szCs w:val="24"/>
          <w:lang w:eastAsia="de-DE"/>
        </w:rPr>
        <w:t xml:space="preserve"> 2002), analyzing the great leaders of international bureaucracies, such as the UN General Secretary (Chesterman</w:t>
      </w:r>
      <w:r w:rsidR="00A359F7">
        <w:rPr>
          <w:rFonts w:eastAsia="Times New Roman" w:cs="Calibri"/>
          <w:sz w:val="24"/>
          <w:szCs w:val="24"/>
          <w:lang w:eastAsia="de-DE"/>
        </w:rPr>
        <w:t>,</w:t>
      </w:r>
      <w:r w:rsidRPr="00894766">
        <w:rPr>
          <w:rFonts w:eastAsia="Times New Roman" w:cs="Calibri"/>
          <w:sz w:val="24"/>
          <w:szCs w:val="24"/>
          <w:lang w:eastAsia="de-DE"/>
        </w:rPr>
        <w:t xml:space="preserve"> 2007; Cox</w:t>
      </w:r>
      <w:r w:rsidR="00A359F7">
        <w:rPr>
          <w:rFonts w:eastAsia="Times New Roman" w:cs="Calibri"/>
          <w:sz w:val="24"/>
          <w:szCs w:val="24"/>
          <w:lang w:eastAsia="de-DE"/>
        </w:rPr>
        <w:t>,</w:t>
      </w:r>
      <w:r w:rsidRPr="00894766">
        <w:rPr>
          <w:rFonts w:eastAsia="Times New Roman" w:cs="Calibri"/>
          <w:sz w:val="24"/>
          <w:szCs w:val="24"/>
          <w:lang w:eastAsia="de-DE"/>
        </w:rPr>
        <w:t xml:space="preserve"> 1969</w:t>
      </w:r>
      <w:r w:rsidR="00C55295">
        <w:rPr>
          <w:rFonts w:eastAsia="Times New Roman" w:cs="Calibri"/>
          <w:sz w:val="24"/>
          <w:szCs w:val="24"/>
          <w:lang w:eastAsia="de-DE"/>
        </w:rPr>
        <w:t>:</w:t>
      </w:r>
      <w:r w:rsidRPr="00894766">
        <w:rPr>
          <w:rFonts w:eastAsia="Times New Roman" w:cs="Calibri"/>
          <w:sz w:val="24"/>
          <w:szCs w:val="24"/>
          <w:lang w:eastAsia="de-DE"/>
        </w:rPr>
        <w:t xml:space="preserve"> 202; Rochester</w:t>
      </w:r>
      <w:r w:rsidR="00A359F7">
        <w:rPr>
          <w:rFonts w:eastAsia="Times New Roman" w:cs="Calibri"/>
          <w:sz w:val="24"/>
          <w:szCs w:val="24"/>
          <w:lang w:eastAsia="de-DE"/>
        </w:rPr>
        <w:t>,</w:t>
      </w:r>
      <w:r w:rsidRPr="00894766">
        <w:rPr>
          <w:rFonts w:eastAsia="Times New Roman" w:cs="Calibri"/>
          <w:sz w:val="24"/>
          <w:szCs w:val="24"/>
          <w:lang w:eastAsia="de-DE"/>
        </w:rPr>
        <w:t xml:space="preserve"> 1986), and studying reforms of IOs (Bauer and Knill</w:t>
      </w:r>
      <w:r w:rsidR="00A359F7">
        <w:rPr>
          <w:rFonts w:eastAsia="Times New Roman" w:cs="Calibri"/>
          <w:sz w:val="24"/>
          <w:szCs w:val="24"/>
          <w:lang w:eastAsia="de-DE"/>
        </w:rPr>
        <w:t>,</w:t>
      </w:r>
      <w:r w:rsidRPr="00894766">
        <w:rPr>
          <w:rFonts w:eastAsia="Times New Roman" w:cs="Calibri"/>
          <w:sz w:val="24"/>
          <w:szCs w:val="24"/>
          <w:lang w:eastAsia="de-DE"/>
        </w:rPr>
        <w:t xml:space="preserve"> 2007).</w:t>
      </w:r>
      <w:r w:rsidRPr="00894766">
        <w:rPr>
          <w:sz w:val="24"/>
          <w:szCs w:val="24"/>
        </w:rPr>
        <w:t xml:space="preserve"> </w:t>
      </w:r>
      <w:r w:rsidR="00DE75F4">
        <w:rPr>
          <w:sz w:val="24"/>
          <w:szCs w:val="24"/>
        </w:rPr>
        <w:t>Similarly, r</w:t>
      </w:r>
      <w:r w:rsidRPr="00894766">
        <w:rPr>
          <w:rFonts w:eastAsia="Times New Roman" w:cs="Calibri"/>
          <w:sz w:val="24"/>
          <w:szCs w:val="24"/>
          <w:lang w:eastAsia="de-DE"/>
        </w:rPr>
        <w:t>egime analysis tend</w:t>
      </w:r>
      <w:r w:rsidR="00DE75F4">
        <w:rPr>
          <w:rFonts w:eastAsia="Times New Roman" w:cs="Calibri"/>
          <w:sz w:val="24"/>
          <w:szCs w:val="24"/>
          <w:lang w:eastAsia="de-DE"/>
        </w:rPr>
        <w:t xml:space="preserve">s </w:t>
      </w:r>
      <w:r w:rsidRPr="00894766">
        <w:rPr>
          <w:rFonts w:eastAsia="Times New Roman" w:cs="Calibri"/>
          <w:sz w:val="24"/>
          <w:szCs w:val="24"/>
          <w:lang w:eastAsia="de-DE"/>
        </w:rPr>
        <w:t xml:space="preserve">to look at international </w:t>
      </w:r>
      <w:r w:rsidR="00AD2A5C">
        <w:rPr>
          <w:rFonts w:eastAsia="Times New Roman" w:cs="Calibri"/>
          <w:sz w:val="24"/>
          <w:szCs w:val="24"/>
          <w:lang w:eastAsia="de-DE"/>
        </w:rPr>
        <w:t>administrations</w:t>
      </w:r>
      <w:r w:rsidRPr="00894766">
        <w:rPr>
          <w:rFonts w:eastAsia="Times New Roman" w:cs="Calibri"/>
          <w:sz w:val="24"/>
          <w:szCs w:val="24"/>
          <w:lang w:eastAsia="de-DE"/>
        </w:rPr>
        <w:t xml:space="preserve"> as intervening variables </w:t>
      </w:r>
      <w:r w:rsidRPr="00894766">
        <w:rPr>
          <w:rFonts w:eastAsia="Times New Roman" w:cs="Calibri"/>
          <w:sz w:val="24"/>
          <w:szCs w:val="24"/>
          <w:lang w:eastAsia="de-DE"/>
        </w:rPr>
        <w:lastRenderedPageBreak/>
        <w:t>that ‘someho</w:t>
      </w:r>
      <w:r w:rsidR="00DE75F4">
        <w:rPr>
          <w:rFonts w:eastAsia="Times New Roman" w:cs="Calibri"/>
          <w:sz w:val="24"/>
          <w:szCs w:val="24"/>
          <w:lang w:eastAsia="de-DE"/>
        </w:rPr>
        <w:t xml:space="preserve">w affect regime outcomes’, </w:t>
      </w:r>
      <w:r w:rsidR="00375765">
        <w:rPr>
          <w:rFonts w:eastAsia="Times New Roman" w:cs="Calibri"/>
          <w:sz w:val="24"/>
          <w:szCs w:val="24"/>
          <w:lang w:eastAsia="de-DE"/>
        </w:rPr>
        <w:t>thus not treating international administrations as institutions</w:t>
      </w:r>
      <w:r w:rsidRPr="00894766">
        <w:rPr>
          <w:rFonts w:eastAsia="Times New Roman" w:cs="Calibri"/>
          <w:sz w:val="24"/>
          <w:szCs w:val="24"/>
          <w:lang w:eastAsia="de-DE"/>
        </w:rPr>
        <w:t xml:space="preserve"> in their own right (Bauer</w:t>
      </w:r>
      <w:r w:rsidR="00A359F7">
        <w:rPr>
          <w:rFonts w:eastAsia="Times New Roman" w:cs="Calibri"/>
          <w:sz w:val="24"/>
          <w:szCs w:val="24"/>
          <w:lang w:eastAsia="de-DE"/>
        </w:rPr>
        <w:t>,</w:t>
      </w:r>
      <w:r w:rsidRPr="00894766">
        <w:rPr>
          <w:rFonts w:eastAsia="Times New Roman" w:cs="Calibri"/>
          <w:sz w:val="24"/>
          <w:szCs w:val="24"/>
          <w:lang w:eastAsia="de-DE"/>
        </w:rPr>
        <w:t xml:space="preserve"> 2006</w:t>
      </w:r>
      <w:r w:rsidR="00C55295">
        <w:rPr>
          <w:rFonts w:eastAsia="Times New Roman" w:cs="Calibri"/>
          <w:sz w:val="24"/>
          <w:szCs w:val="24"/>
          <w:lang w:eastAsia="de-DE"/>
        </w:rPr>
        <w:t>:</w:t>
      </w:r>
      <w:r w:rsidRPr="00894766">
        <w:rPr>
          <w:rFonts w:eastAsia="Times New Roman" w:cs="Calibri"/>
          <w:sz w:val="24"/>
          <w:szCs w:val="24"/>
          <w:lang w:eastAsia="de-DE"/>
        </w:rPr>
        <w:t xml:space="preserve"> 26; Reinalda</w:t>
      </w:r>
      <w:r w:rsidR="00A359F7">
        <w:rPr>
          <w:rFonts w:eastAsia="Times New Roman" w:cs="Calibri"/>
          <w:sz w:val="24"/>
          <w:szCs w:val="24"/>
          <w:lang w:eastAsia="de-DE"/>
        </w:rPr>
        <w:t>,</w:t>
      </w:r>
      <w:r w:rsidRPr="00894766">
        <w:rPr>
          <w:rFonts w:eastAsia="Times New Roman" w:cs="Calibri"/>
          <w:sz w:val="24"/>
          <w:szCs w:val="24"/>
          <w:lang w:eastAsia="de-DE"/>
        </w:rPr>
        <w:t xml:space="preserve"> 2013</w:t>
      </w:r>
      <w:r w:rsidR="00375765">
        <w:rPr>
          <w:rFonts w:eastAsia="Times New Roman" w:cs="Calibri"/>
          <w:sz w:val="24"/>
          <w:szCs w:val="24"/>
          <w:lang w:eastAsia="de-DE"/>
        </w:rPr>
        <w:t>;</w:t>
      </w:r>
      <w:r w:rsidR="00375765" w:rsidRPr="00375765">
        <w:rPr>
          <w:rFonts w:eastAsia="Times New Roman" w:cs="Calibri"/>
          <w:sz w:val="24"/>
          <w:szCs w:val="24"/>
          <w:lang w:eastAsia="de-DE"/>
        </w:rPr>
        <w:t xml:space="preserve"> </w:t>
      </w:r>
      <w:r w:rsidR="00375765" w:rsidRPr="00894766">
        <w:rPr>
          <w:rFonts w:eastAsia="Times New Roman" w:cs="Calibri"/>
          <w:sz w:val="24"/>
          <w:szCs w:val="24"/>
          <w:lang w:eastAsia="de-DE"/>
        </w:rPr>
        <w:t>Underdal</w:t>
      </w:r>
      <w:r w:rsidR="00A359F7">
        <w:rPr>
          <w:rFonts w:eastAsia="Times New Roman" w:cs="Calibri"/>
          <w:sz w:val="24"/>
          <w:szCs w:val="24"/>
          <w:lang w:eastAsia="de-DE"/>
        </w:rPr>
        <w:t>,</w:t>
      </w:r>
      <w:r w:rsidR="00375765" w:rsidRPr="00894766">
        <w:rPr>
          <w:rFonts w:eastAsia="Times New Roman" w:cs="Calibri"/>
          <w:sz w:val="24"/>
          <w:szCs w:val="24"/>
          <w:lang w:eastAsia="de-DE"/>
        </w:rPr>
        <w:t xml:space="preserve"> 2008</w:t>
      </w:r>
      <w:r w:rsidRPr="00894766">
        <w:rPr>
          <w:rFonts w:eastAsia="Times New Roman" w:cs="Calibri"/>
          <w:sz w:val="24"/>
          <w:szCs w:val="24"/>
          <w:lang w:eastAsia="de-DE"/>
        </w:rPr>
        <w:t xml:space="preserve">). </w:t>
      </w:r>
      <w:r w:rsidR="00AD2A5C">
        <w:rPr>
          <w:rFonts w:eastAsia="Times New Roman" w:cs="Calibri"/>
          <w:sz w:val="24"/>
          <w:szCs w:val="24"/>
          <w:lang w:eastAsia="de-DE"/>
        </w:rPr>
        <w:t>Illustrative, t</w:t>
      </w:r>
      <w:r w:rsidRPr="00894766">
        <w:rPr>
          <w:rFonts w:eastAsia="Times New Roman" w:cs="Calibri"/>
          <w:sz w:val="24"/>
          <w:szCs w:val="24"/>
          <w:lang w:eastAsia="de-DE"/>
        </w:rPr>
        <w:t>he seminal work of Cox and Jacobson (1973</w:t>
      </w:r>
      <w:r w:rsidR="00C55295">
        <w:rPr>
          <w:rFonts w:eastAsia="Times New Roman" w:cs="Calibri"/>
          <w:sz w:val="24"/>
          <w:szCs w:val="24"/>
          <w:lang w:eastAsia="de-DE"/>
        </w:rPr>
        <w:t>:</w:t>
      </w:r>
      <w:r w:rsidRPr="00894766">
        <w:rPr>
          <w:rFonts w:eastAsia="Times New Roman" w:cs="Calibri"/>
          <w:sz w:val="24"/>
          <w:szCs w:val="24"/>
          <w:lang w:eastAsia="de-DE"/>
        </w:rPr>
        <w:t xml:space="preserve"> 428) reflect</w:t>
      </w:r>
      <w:r w:rsidR="00AD2A5C">
        <w:rPr>
          <w:rFonts w:eastAsia="Times New Roman" w:cs="Calibri"/>
          <w:sz w:val="24"/>
          <w:szCs w:val="24"/>
          <w:lang w:eastAsia="de-DE"/>
        </w:rPr>
        <w:t>s</w:t>
      </w:r>
      <w:r w:rsidRPr="00894766">
        <w:rPr>
          <w:rFonts w:eastAsia="Times New Roman" w:cs="Calibri"/>
          <w:sz w:val="24"/>
          <w:szCs w:val="24"/>
          <w:lang w:eastAsia="de-DE"/>
        </w:rPr>
        <w:t xml:space="preserve"> this lack of </w:t>
      </w:r>
      <w:r w:rsidR="00AD2A5C">
        <w:rPr>
          <w:rFonts w:eastAsia="Times New Roman" w:cs="Calibri"/>
          <w:sz w:val="24"/>
          <w:szCs w:val="24"/>
          <w:lang w:eastAsia="de-DE"/>
        </w:rPr>
        <w:t>administrative</w:t>
      </w:r>
      <w:r w:rsidRPr="00894766">
        <w:rPr>
          <w:rFonts w:eastAsia="Times New Roman" w:cs="Calibri"/>
          <w:sz w:val="24"/>
          <w:szCs w:val="24"/>
          <w:lang w:eastAsia="de-DE"/>
        </w:rPr>
        <w:t xml:space="preserve"> focus, concluding that ‘international organizations facilitate the orderly management of intergovernmental relations without significantly changing the structure of power that governs these relations …’. Discovering that international </w:t>
      </w:r>
      <w:r w:rsidR="00AD2A5C">
        <w:rPr>
          <w:rFonts w:eastAsia="Times New Roman" w:cs="Calibri"/>
          <w:sz w:val="24"/>
          <w:szCs w:val="24"/>
          <w:lang w:eastAsia="de-DE"/>
        </w:rPr>
        <w:t>administrations</w:t>
      </w:r>
      <w:r w:rsidRPr="00894766">
        <w:rPr>
          <w:rFonts w:eastAsia="Times New Roman" w:cs="Calibri"/>
          <w:sz w:val="24"/>
          <w:szCs w:val="24"/>
          <w:lang w:eastAsia="de-DE"/>
        </w:rPr>
        <w:t xml:space="preserve"> can have identities, resources, authority, and interests of their own was, of course, an important dev</w:t>
      </w:r>
      <w:r w:rsidR="00C55295">
        <w:rPr>
          <w:rFonts w:eastAsia="Times New Roman" w:cs="Calibri"/>
          <w:sz w:val="24"/>
          <w:szCs w:val="24"/>
          <w:lang w:eastAsia="de-DE"/>
        </w:rPr>
        <w:t>elopment (Barnett and Finnemore</w:t>
      </w:r>
      <w:r w:rsidR="00A359F7">
        <w:rPr>
          <w:rFonts w:eastAsia="Times New Roman" w:cs="Calibri"/>
          <w:sz w:val="24"/>
          <w:szCs w:val="24"/>
          <w:lang w:eastAsia="de-DE"/>
        </w:rPr>
        <w:t>,</w:t>
      </w:r>
      <w:r w:rsidRPr="00894766">
        <w:rPr>
          <w:rFonts w:eastAsia="Times New Roman" w:cs="Calibri"/>
          <w:sz w:val="24"/>
          <w:szCs w:val="24"/>
          <w:lang w:eastAsia="de-DE"/>
        </w:rPr>
        <w:t xml:space="preserve"> 2004). However, seen from a public administration point of view, these observations are </w:t>
      </w:r>
      <w:r w:rsidR="00AD2A5C">
        <w:rPr>
          <w:rFonts w:eastAsia="Times New Roman" w:cs="Calibri"/>
          <w:sz w:val="24"/>
          <w:szCs w:val="24"/>
          <w:lang w:eastAsia="de-DE"/>
        </w:rPr>
        <w:t xml:space="preserve">less </w:t>
      </w:r>
      <w:r w:rsidR="00081229">
        <w:rPr>
          <w:rFonts w:eastAsia="Times New Roman" w:cs="Calibri"/>
          <w:sz w:val="24"/>
          <w:szCs w:val="24"/>
          <w:lang w:eastAsia="de-DE"/>
        </w:rPr>
        <w:t>su</w:t>
      </w:r>
      <w:r w:rsidR="00291CDB">
        <w:rPr>
          <w:rFonts w:eastAsia="Times New Roman" w:cs="Calibri"/>
          <w:sz w:val="24"/>
          <w:szCs w:val="24"/>
          <w:lang w:eastAsia="de-DE"/>
        </w:rPr>
        <w:t>r</w:t>
      </w:r>
      <w:r w:rsidR="00081229">
        <w:rPr>
          <w:rFonts w:eastAsia="Times New Roman" w:cs="Calibri"/>
          <w:sz w:val="24"/>
          <w:szCs w:val="24"/>
          <w:lang w:eastAsia="de-DE"/>
        </w:rPr>
        <w:t>prising</w:t>
      </w:r>
      <w:r w:rsidR="00081229" w:rsidRPr="00894766">
        <w:rPr>
          <w:rFonts w:eastAsia="Times New Roman" w:cs="Calibri"/>
          <w:sz w:val="24"/>
          <w:szCs w:val="24"/>
          <w:lang w:eastAsia="de-DE"/>
        </w:rPr>
        <w:t xml:space="preserve"> </w:t>
      </w:r>
      <w:r w:rsidRPr="00894766">
        <w:rPr>
          <w:rFonts w:eastAsia="Times New Roman" w:cs="Calibri"/>
          <w:sz w:val="24"/>
          <w:szCs w:val="24"/>
          <w:lang w:eastAsia="de-DE"/>
        </w:rPr>
        <w:t>(Ege and Bauer</w:t>
      </w:r>
      <w:r w:rsidR="00A359F7">
        <w:rPr>
          <w:rFonts w:eastAsia="Times New Roman" w:cs="Calibri"/>
          <w:sz w:val="24"/>
          <w:szCs w:val="24"/>
          <w:lang w:eastAsia="de-DE"/>
        </w:rPr>
        <w:t>,</w:t>
      </w:r>
      <w:r w:rsidRPr="00894766">
        <w:rPr>
          <w:rFonts w:eastAsia="Times New Roman" w:cs="Calibri"/>
          <w:sz w:val="24"/>
          <w:szCs w:val="24"/>
          <w:lang w:eastAsia="de-DE"/>
        </w:rPr>
        <w:t xml:space="preserve"> 2013).</w:t>
      </w:r>
      <w:r w:rsidR="00AD2A5C">
        <w:rPr>
          <w:rFonts w:eastAsia="Times New Roman" w:cs="Calibri"/>
          <w:sz w:val="24"/>
          <w:szCs w:val="24"/>
          <w:lang w:eastAsia="de-DE"/>
        </w:rPr>
        <w:t xml:space="preserve"> T</w:t>
      </w:r>
      <w:r w:rsidR="00DE75F4">
        <w:rPr>
          <w:rFonts w:eastAsia="Times New Roman" w:cs="Calibri"/>
          <w:sz w:val="24"/>
          <w:szCs w:val="24"/>
          <w:lang w:eastAsia="de-DE"/>
        </w:rPr>
        <w:t>he</w:t>
      </w:r>
      <w:r w:rsidR="00EC1F74" w:rsidRPr="00894766">
        <w:rPr>
          <w:rFonts w:eastAsia="Times New Roman" w:cs="Calibri"/>
          <w:sz w:val="24"/>
          <w:szCs w:val="24"/>
          <w:lang w:eastAsia="de-DE"/>
        </w:rPr>
        <w:t xml:space="preserve"> MLA</w:t>
      </w:r>
      <w:r w:rsidR="00DE75F4">
        <w:rPr>
          <w:rFonts w:eastAsia="Times New Roman" w:cs="Calibri"/>
          <w:sz w:val="24"/>
          <w:szCs w:val="24"/>
          <w:lang w:eastAsia="de-DE"/>
        </w:rPr>
        <w:t xml:space="preserve"> approach</w:t>
      </w:r>
      <w:r w:rsidR="00EC1F74" w:rsidRPr="00894766">
        <w:rPr>
          <w:rFonts w:eastAsia="Times New Roman" w:cs="Calibri"/>
          <w:sz w:val="24"/>
          <w:szCs w:val="24"/>
          <w:lang w:eastAsia="de-DE"/>
        </w:rPr>
        <w:t xml:space="preserve"> treats their units of analysis as internally specialized. It is assumed that different degrees and types of organizational specialization – both at national and EU level – may have systematic </w:t>
      </w:r>
      <w:r w:rsidR="00DE75F4">
        <w:rPr>
          <w:rFonts w:eastAsia="Times New Roman" w:cs="Calibri"/>
          <w:sz w:val="24"/>
          <w:szCs w:val="24"/>
          <w:lang w:eastAsia="de-DE"/>
        </w:rPr>
        <w:t>implications</w:t>
      </w:r>
      <w:r w:rsidR="00EC1F74" w:rsidRPr="00894766">
        <w:rPr>
          <w:rFonts w:eastAsia="Times New Roman" w:cs="Calibri"/>
          <w:sz w:val="24"/>
          <w:szCs w:val="24"/>
          <w:lang w:eastAsia="de-DE"/>
        </w:rPr>
        <w:t xml:space="preserve"> on </w:t>
      </w:r>
      <w:r w:rsidR="00AD2A5C">
        <w:rPr>
          <w:rFonts w:eastAsia="Times New Roman" w:cs="Calibri"/>
          <w:sz w:val="24"/>
          <w:szCs w:val="24"/>
          <w:lang w:eastAsia="de-DE"/>
        </w:rPr>
        <w:t xml:space="preserve">multilevel </w:t>
      </w:r>
      <w:r w:rsidR="00DE75F4">
        <w:rPr>
          <w:rFonts w:eastAsia="Times New Roman" w:cs="Calibri"/>
          <w:sz w:val="24"/>
          <w:szCs w:val="24"/>
          <w:lang w:eastAsia="de-DE"/>
        </w:rPr>
        <w:t>administrative governance</w:t>
      </w:r>
      <w:r w:rsidR="00AD2A5C">
        <w:rPr>
          <w:rFonts w:eastAsia="Times New Roman" w:cs="Calibri"/>
          <w:sz w:val="24"/>
          <w:szCs w:val="24"/>
          <w:lang w:eastAsia="de-DE"/>
        </w:rPr>
        <w:t xml:space="preserve"> processes</w:t>
      </w:r>
      <w:r w:rsidR="00DE75F4">
        <w:rPr>
          <w:rFonts w:eastAsia="Times New Roman" w:cs="Calibri"/>
          <w:sz w:val="24"/>
          <w:szCs w:val="24"/>
          <w:lang w:eastAsia="de-DE"/>
        </w:rPr>
        <w:t>.</w:t>
      </w:r>
    </w:p>
    <w:p w:rsidR="00EC1F74" w:rsidRPr="00894766" w:rsidRDefault="00EC1F74" w:rsidP="00703D22">
      <w:pPr>
        <w:spacing w:after="0" w:line="480" w:lineRule="auto"/>
        <w:rPr>
          <w:rFonts w:eastAsia="Times New Roman" w:cs="Calibri"/>
          <w:sz w:val="24"/>
          <w:szCs w:val="24"/>
          <w:lang w:eastAsia="de-DE"/>
        </w:rPr>
      </w:pPr>
    </w:p>
    <w:p w:rsidR="00C77603" w:rsidRDefault="00DE75F4" w:rsidP="00703D22">
      <w:pPr>
        <w:spacing w:after="0" w:line="480" w:lineRule="auto"/>
        <w:rPr>
          <w:rFonts w:eastAsia="Times New Roman" w:cs="Calibri"/>
          <w:sz w:val="24"/>
          <w:szCs w:val="24"/>
          <w:lang w:eastAsia="nb-NO"/>
        </w:rPr>
      </w:pPr>
      <w:r w:rsidRPr="00DE75F4">
        <w:rPr>
          <w:rFonts w:eastAsia="Times New Roman" w:cs="Calibri"/>
          <w:sz w:val="24"/>
          <w:szCs w:val="24"/>
          <w:lang w:eastAsia="de-DE"/>
        </w:rPr>
        <w:t xml:space="preserve">Finally, MLG and MLA approaches diverge on </w:t>
      </w:r>
      <w:r w:rsidR="00AD2A5C">
        <w:rPr>
          <w:rFonts w:eastAsia="Times New Roman" w:cs="Calibri"/>
          <w:sz w:val="24"/>
          <w:szCs w:val="24"/>
          <w:lang w:eastAsia="de-DE"/>
        </w:rPr>
        <w:t xml:space="preserve">core </w:t>
      </w:r>
      <w:r w:rsidRPr="00DE75F4">
        <w:rPr>
          <w:rFonts w:eastAsia="Times New Roman" w:cs="Calibri"/>
          <w:sz w:val="24"/>
          <w:szCs w:val="24"/>
          <w:lang w:eastAsia="de-DE"/>
        </w:rPr>
        <w:t xml:space="preserve">assumptions </w:t>
      </w:r>
      <w:r w:rsidR="00AD2A5C">
        <w:rPr>
          <w:rFonts w:eastAsia="Times New Roman" w:cs="Calibri"/>
          <w:sz w:val="24"/>
          <w:szCs w:val="24"/>
          <w:lang w:eastAsia="de-DE"/>
        </w:rPr>
        <w:t>on the</w:t>
      </w:r>
      <w:r w:rsidR="00EC1F74" w:rsidRPr="00DE75F4">
        <w:rPr>
          <w:rFonts w:eastAsia="Times New Roman" w:cs="Calibri"/>
          <w:sz w:val="24"/>
          <w:szCs w:val="24"/>
          <w:lang w:eastAsia="de-DE"/>
        </w:rPr>
        <w:t xml:space="preserve"> contingency of</w:t>
      </w:r>
      <w:r w:rsidR="00AD2A5C">
        <w:rPr>
          <w:rFonts w:eastAsia="Times New Roman" w:cs="Calibri"/>
          <w:sz w:val="24"/>
          <w:szCs w:val="24"/>
          <w:lang w:eastAsia="de-DE"/>
        </w:rPr>
        <w:t xml:space="preserve"> </w:t>
      </w:r>
      <w:r w:rsidR="00EC1F74" w:rsidRPr="00DE75F4">
        <w:rPr>
          <w:rFonts w:eastAsia="Times New Roman" w:cs="Calibri"/>
          <w:sz w:val="24"/>
          <w:szCs w:val="24"/>
          <w:lang w:eastAsia="de-DE"/>
        </w:rPr>
        <w:t>governance</w:t>
      </w:r>
      <w:r w:rsidR="00AD2A5C">
        <w:rPr>
          <w:rFonts w:eastAsia="Times New Roman" w:cs="Calibri"/>
          <w:sz w:val="24"/>
          <w:szCs w:val="24"/>
          <w:lang w:eastAsia="de-DE"/>
        </w:rPr>
        <w:t xml:space="preserve"> processes</w:t>
      </w:r>
      <w:r w:rsidRPr="00DE75F4">
        <w:rPr>
          <w:rFonts w:eastAsia="Times New Roman" w:cs="Calibri"/>
          <w:sz w:val="24"/>
          <w:szCs w:val="24"/>
          <w:lang w:eastAsia="de-DE"/>
        </w:rPr>
        <w:t>.</w:t>
      </w:r>
      <w:r w:rsidR="00EC1F74" w:rsidRPr="00894766">
        <w:rPr>
          <w:rFonts w:eastAsia="Times New Roman" w:cs="Calibri"/>
          <w:sz w:val="24"/>
          <w:szCs w:val="24"/>
          <w:lang w:eastAsia="de-DE"/>
        </w:rPr>
        <w:t xml:space="preserve"> The MLG approach has been successful in measuring regional authority, and thus in accounting for local conditions of multilevel processes (Marks et al.</w:t>
      </w:r>
      <w:r w:rsidR="00A359F7">
        <w:rPr>
          <w:rFonts w:eastAsia="Times New Roman" w:cs="Calibri"/>
          <w:sz w:val="24"/>
          <w:szCs w:val="24"/>
          <w:lang w:eastAsia="de-DE"/>
        </w:rPr>
        <w:t>,</w:t>
      </w:r>
      <w:r w:rsidR="00EC1F74" w:rsidRPr="00894766">
        <w:rPr>
          <w:rFonts w:eastAsia="Times New Roman" w:cs="Calibri"/>
          <w:sz w:val="24"/>
          <w:szCs w:val="24"/>
          <w:lang w:eastAsia="de-DE"/>
        </w:rPr>
        <w:t xml:space="preserve"> 2008). It </w:t>
      </w:r>
      <w:r w:rsidR="00C77603">
        <w:rPr>
          <w:rFonts w:eastAsia="Times New Roman" w:cs="Calibri"/>
          <w:sz w:val="24"/>
          <w:szCs w:val="24"/>
          <w:lang w:eastAsia="de-DE"/>
        </w:rPr>
        <w:t>is</w:t>
      </w:r>
      <w:r w:rsidR="00EC1F74" w:rsidRPr="00894766">
        <w:rPr>
          <w:rFonts w:eastAsia="Times New Roman" w:cs="Calibri"/>
          <w:sz w:val="24"/>
          <w:szCs w:val="24"/>
          <w:lang w:eastAsia="de-DE"/>
        </w:rPr>
        <w:t xml:space="preserve"> assumed that multilevel processes are primarily </w:t>
      </w:r>
      <w:r w:rsidR="00C77603">
        <w:rPr>
          <w:rFonts w:eastAsia="Times New Roman" w:cs="Calibri"/>
          <w:sz w:val="24"/>
          <w:szCs w:val="24"/>
          <w:lang w:eastAsia="de-DE"/>
        </w:rPr>
        <w:t>fostered by</w:t>
      </w:r>
      <w:r w:rsidR="00EC1F74" w:rsidRPr="00894766">
        <w:rPr>
          <w:rFonts w:eastAsia="Times New Roman" w:cs="Calibri"/>
          <w:sz w:val="24"/>
          <w:szCs w:val="24"/>
          <w:lang w:eastAsia="de-DE"/>
        </w:rPr>
        <w:t xml:space="preserve"> different degrees and types of </w:t>
      </w:r>
      <w:r w:rsidR="00EC1F74" w:rsidRPr="00894766">
        <w:rPr>
          <w:rFonts w:eastAsia="Times New Roman" w:cs="Calibri"/>
          <w:i/>
          <w:sz w:val="24"/>
          <w:szCs w:val="24"/>
          <w:lang w:eastAsia="de-DE"/>
        </w:rPr>
        <w:t>regional</w:t>
      </w:r>
      <w:r w:rsidR="00EC1F74" w:rsidRPr="00894766">
        <w:rPr>
          <w:rFonts w:eastAsia="Times New Roman" w:cs="Calibri"/>
          <w:sz w:val="24"/>
          <w:szCs w:val="24"/>
          <w:lang w:eastAsia="de-DE"/>
        </w:rPr>
        <w:t xml:space="preserve"> autonomy, although contemporary MLG research is also increasingly interested in assessing IO authority</w:t>
      </w:r>
      <w:r w:rsidR="00A6672D">
        <w:rPr>
          <w:rFonts w:eastAsia="Times New Roman" w:cs="Calibri"/>
          <w:sz w:val="24"/>
          <w:szCs w:val="24"/>
          <w:lang w:eastAsia="de-DE"/>
        </w:rPr>
        <w:t xml:space="preserve"> (Hoog</w:t>
      </w:r>
      <w:r w:rsidR="00EC01E0">
        <w:rPr>
          <w:rFonts w:eastAsia="Times New Roman" w:cs="Calibri"/>
          <w:sz w:val="24"/>
          <w:szCs w:val="24"/>
          <w:lang w:eastAsia="de-DE"/>
        </w:rPr>
        <w:t>h</w:t>
      </w:r>
      <w:r w:rsidR="00A6672D">
        <w:rPr>
          <w:rFonts w:eastAsia="Times New Roman" w:cs="Calibri"/>
          <w:sz w:val="24"/>
          <w:szCs w:val="24"/>
          <w:lang w:eastAsia="de-DE"/>
        </w:rPr>
        <w:t xml:space="preserve">e </w:t>
      </w:r>
      <w:r w:rsidR="00EC01E0">
        <w:rPr>
          <w:rFonts w:eastAsia="Times New Roman" w:cs="Calibri"/>
          <w:sz w:val="24"/>
          <w:szCs w:val="24"/>
          <w:lang w:eastAsia="de-DE"/>
        </w:rPr>
        <w:t xml:space="preserve">and </w:t>
      </w:r>
      <w:r w:rsidR="00A6672D">
        <w:rPr>
          <w:rFonts w:eastAsia="Times New Roman" w:cs="Calibri"/>
          <w:sz w:val="24"/>
          <w:szCs w:val="24"/>
          <w:lang w:eastAsia="de-DE"/>
        </w:rPr>
        <w:t>Marks</w:t>
      </w:r>
      <w:r w:rsidR="00A359F7">
        <w:rPr>
          <w:rFonts w:eastAsia="Times New Roman" w:cs="Calibri"/>
          <w:sz w:val="24"/>
          <w:szCs w:val="24"/>
          <w:lang w:eastAsia="de-DE"/>
        </w:rPr>
        <w:t>,</w:t>
      </w:r>
      <w:r w:rsidR="00A6672D">
        <w:rPr>
          <w:rFonts w:eastAsia="Times New Roman" w:cs="Calibri"/>
          <w:sz w:val="24"/>
          <w:szCs w:val="24"/>
          <w:lang w:eastAsia="de-DE"/>
        </w:rPr>
        <w:t xml:space="preserve"> 2013)</w:t>
      </w:r>
      <w:r w:rsidR="00EC1F74" w:rsidRPr="00894766">
        <w:rPr>
          <w:rFonts w:eastAsia="Times New Roman" w:cs="Calibri"/>
          <w:sz w:val="24"/>
          <w:szCs w:val="24"/>
          <w:lang w:eastAsia="de-DE"/>
        </w:rPr>
        <w:t>.</w:t>
      </w:r>
      <w:r w:rsidR="00C22D72">
        <w:rPr>
          <w:rFonts w:eastAsia="Times New Roman" w:cs="Calibri"/>
          <w:sz w:val="24"/>
          <w:szCs w:val="24"/>
          <w:lang w:eastAsia="de-DE"/>
        </w:rPr>
        <w:t xml:space="preserve"> The MLG approach is theoretically actor-centered (Marks et al.</w:t>
      </w:r>
      <w:r w:rsidR="00A359F7">
        <w:rPr>
          <w:rFonts w:eastAsia="Times New Roman" w:cs="Calibri"/>
          <w:sz w:val="24"/>
          <w:szCs w:val="24"/>
          <w:lang w:eastAsia="de-DE"/>
        </w:rPr>
        <w:t>,</w:t>
      </w:r>
      <w:r w:rsidR="00C22D72">
        <w:rPr>
          <w:rFonts w:eastAsia="Times New Roman" w:cs="Calibri"/>
          <w:sz w:val="24"/>
          <w:szCs w:val="24"/>
          <w:lang w:eastAsia="de-DE"/>
        </w:rPr>
        <w:t xml:space="preserve"> 1996</w:t>
      </w:r>
      <w:r w:rsidR="00DB3880">
        <w:rPr>
          <w:rFonts w:eastAsia="Times New Roman" w:cs="Calibri"/>
          <w:sz w:val="24"/>
          <w:szCs w:val="24"/>
          <w:lang w:eastAsia="de-DE"/>
        </w:rPr>
        <w:t>a</w:t>
      </w:r>
      <w:r w:rsidR="00C22D72">
        <w:rPr>
          <w:rFonts w:eastAsia="Times New Roman" w:cs="Calibri"/>
          <w:sz w:val="24"/>
          <w:szCs w:val="24"/>
          <w:lang w:eastAsia="de-DE"/>
        </w:rPr>
        <w:t>: 348)</w:t>
      </w:r>
      <w:r w:rsidR="00DB3880">
        <w:rPr>
          <w:rFonts w:eastAsia="Times New Roman" w:cs="Calibri"/>
          <w:sz w:val="24"/>
          <w:szCs w:val="24"/>
          <w:lang w:eastAsia="de-DE"/>
        </w:rPr>
        <w:t>. To the extent that institutional variables enter the equation, they are treated as aggregative items (Marks et al.</w:t>
      </w:r>
      <w:r w:rsidR="00A359F7">
        <w:rPr>
          <w:rFonts w:eastAsia="Times New Roman" w:cs="Calibri"/>
          <w:sz w:val="24"/>
          <w:szCs w:val="24"/>
          <w:lang w:eastAsia="de-DE"/>
        </w:rPr>
        <w:t>,</w:t>
      </w:r>
      <w:r w:rsidR="00DB3880">
        <w:rPr>
          <w:rFonts w:eastAsia="Times New Roman" w:cs="Calibri"/>
          <w:sz w:val="24"/>
          <w:szCs w:val="24"/>
          <w:lang w:eastAsia="de-DE"/>
        </w:rPr>
        <w:t xml:space="preserve"> 1996b: 170) and thus compatible with a thin ‘exchange based’ conception of institutions. In such an account, ‘politics can be seen </w:t>
      </w:r>
      <w:r w:rsidR="00DB3880">
        <w:rPr>
          <w:rFonts w:eastAsia="Times New Roman" w:cs="Calibri"/>
          <w:sz w:val="24"/>
          <w:szCs w:val="24"/>
          <w:lang w:eastAsia="de-DE"/>
        </w:rPr>
        <w:lastRenderedPageBreak/>
        <w:t>as aggregating individual preferences into collective action by procedures of rational bargaining, negotiation, coalition formation, and exchange’ (March and Olsen</w:t>
      </w:r>
      <w:r w:rsidR="00A359F7">
        <w:rPr>
          <w:rFonts w:eastAsia="Times New Roman" w:cs="Calibri"/>
          <w:sz w:val="24"/>
          <w:szCs w:val="24"/>
          <w:lang w:eastAsia="de-DE"/>
        </w:rPr>
        <w:t>,</w:t>
      </w:r>
      <w:r w:rsidR="00DB3880">
        <w:rPr>
          <w:rFonts w:eastAsia="Times New Roman" w:cs="Calibri"/>
          <w:sz w:val="24"/>
          <w:szCs w:val="24"/>
          <w:lang w:eastAsia="de-DE"/>
        </w:rPr>
        <w:t xml:space="preserve"> 1995: 7). Institutional variables are merely treated as intervening variables that </w:t>
      </w:r>
      <w:r w:rsidR="00D07C4F">
        <w:rPr>
          <w:rFonts w:eastAsia="Times New Roman" w:cs="Calibri"/>
          <w:sz w:val="24"/>
          <w:szCs w:val="24"/>
          <w:lang w:eastAsia="de-DE"/>
        </w:rPr>
        <w:t>constrain</w:t>
      </w:r>
      <w:r w:rsidR="00DB3880">
        <w:rPr>
          <w:rFonts w:eastAsia="Times New Roman" w:cs="Calibri"/>
          <w:sz w:val="24"/>
          <w:szCs w:val="24"/>
          <w:lang w:eastAsia="de-DE"/>
        </w:rPr>
        <w:t xml:space="preserve"> purposeful action</w:t>
      </w:r>
      <w:r w:rsidR="00960EBA">
        <w:rPr>
          <w:rFonts w:eastAsia="Times New Roman" w:cs="Calibri"/>
          <w:sz w:val="24"/>
          <w:szCs w:val="24"/>
          <w:lang w:eastAsia="de-DE"/>
        </w:rPr>
        <w:t>. Nowhere does the MLG approach ‘unpack’ institutions as independent variables. By contrast, the MLA approach assumes institutions as independent variables. O</w:t>
      </w:r>
      <w:r w:rsidR="00EC1F74" w:rsidRPr="00894766">
        <w:rPr>
          <w:rFonts w:eastAsia="Times New Roman" w:cs="Calibri"/>
          <w:sz w:val="24"/>
          <w:szCs w:val="24"/>
          <w:lang w:eastAsia="de-DE"/>
        </w:rPr>
        <w:t xml:space="preserve">ne </w:t>
      </w:r>
      <w:r w:rsidR="00960EBA">
        <w:rPr>
          <w:rFonts w:eastAsia="Times New Roman" w:cs="Calibri"/>
          <w:sz w:val="24"/>
          <w:szCs w:val="24"/>
          <w:lang w:eastAsia="de-DE"/>
        </w:rPr>
        <w:t>crucial</w:t>
      </w:r>
      <w:r w:rsidR="00960EBA" w:rsidRPr="00894766">
        <w:rPr>
          <w:rFonts w:eastAsia="Times New Roman" w:cs="Calibri"/>
          <w:sz w:val="24"/>
          <w:szCs w:val="24"/>
          <w:lang w:eastAsia="de-DE"/>
        </w:rPr>
        <w:t xml:space="preserve"> </w:t>
      </w:r>
      <w:r w:rsidR="00EC1F74" w:rsidRPr="00894766">
        <w:rPr>
          <w:rFonts w:eastAsia="Times New Roman" w:cs="Calibri"/>
          <w:sz w:val="24"/>
          <w:szCs w:val="24"/>
          <w:lang w:eastAsia="de-DE"/>
        </w:rPr>
        <w:t xml:space="preserve">causal mechanism </w:t>
      </w:r>
      <w:r w:rsidR="00960EBA">
        <w:rPr>
          <w:rFonts w:eastAsia="Times New Roman" w:cs="Calibri"/>
          <w:sz w:val="24"/>
          <w:szCs w:val="24"/>
          <w:lang w:eastAsia="de-DE"/>
        </w:rPr>
        <w:t xml:space="preserve">in the MLA approach </w:t>
      </w:r>
      <w:r w:rsidR="00EC1F74" w:rsidRPr="00894766">
        <w:rPr>
          <w:rFonts w:eastAsia="Times New Roman" w:cs="Calibri"/>
          <w:sz w:val="24"/>
          <w:szCs w:val="24"/>
          <w:lang w:eastAsia="de-DE"/>
        </w:rPr>
        <w:t xml:space="preserve">is the supply of administrative capacities at </w:t>
      </w:r>
      <w:r w:rsidR="00EC1F74" w:rsidRPr="00894766">
        <w:rPr>
          <w:rFonts w:eastAsia="Times New Roman" w:cs="Calibri"/>
          <w:i/>
          <w:sz w:val="24"/>
          <w:szCs w:val="24"/>
          <w:lang w:eastAsia="de-DE"/>
        </w:rPr>
        <w:t>each</w:t>
      </w:r>
      <w:r w:rsidR="00EC1F74" w:rsidRPr="00894766">
        <w:rPr>
          <w:rFonts w:eastAsia="Times New Roman" w:cs="Calibri"/>
          <w:sz w:val="24"/>
          <w:szCs w:val="24"/>
          <w:lang w:eastAsia="de-DE"/>
        </w:rPr>
        <w:t xml:space="preserve"> level of government.</w:t>
      </w:r>
      <w:r w:rsidR="00EC1F74" w:rsidRPr="00894766">
        <w:rPr>
          <w:rFonts w:eastAsia="Times New Roman" w:cs="Calibri"/>
          <w:sz w:val="24"/>
          <w:szCs w:val="24"/>
          <w:lang w:eastAsia="nb-NO"/>
        </w:rPr>
        <w:t xml:space="preserve"> It is suggested that the supply of organizational</w:t>
      </w:r>
      <w:r w:rsidR="00375765">
        <w:rPr>
          <w:rFonts w:eastAsia="Times New Roman" w:cs="Calibri"/>
          <w:sz w:val="24"/>
          <w:szCs w:val="24"/>
          <w:lang w:eastAsia="nb-NO"/>
        </w:rPr>
        <w:t xml:space="preserve"> capacities at </w:t>
      </w:r>
      <w:r w:rsidR="00AD2A5C">
        <w:rPr>
          <w:rFonts w:eastAsia="Times New Roman" w:cs="Calibri"/>
          <w:sz w:val="24"/>
          <w:szCs w:val="24"/>
          <w:lang w:eastAsia="nb-NO"/>
        </w:rPr>
        <w:t>sub-unit level</w:t>
      </w:r>
      <w:r w:rsidR="00EC1F74" w:rsidRPr="00894766">
        <w:rPr>
          <w:rFonts w:eastAsia="Times New Roman" w:cs="Calibri"/>
          <w:sz w:val="24"/>
          <w:szCs w:val="24"/>
          <w:lang w:eastAsia="nb-NO"/>
        </w:rPr>
        <w:t xml:space="preserve"> </w:t>
      </w:r>
      <w:r w:rsidR="00375765">
        <w:rPr>
          <w:rFonts w:eastAsia="Times New Roman" w:cs="Calibri"/>
          <w:sz w:val="24"/>
          <w:szCs w:val="24"/>
          <w:lang w:eastAsia="nb-NO"/>
        </w:rPr>
        <w:t>may</w:t>
      </w:r>
      <w:r w:rsidR="00EC1F74" w:rsidRPr="00894766">
        <w:rPr>
          <w:rFonts w:eastAsia="Times New Roman" w:cs="Calibri"/>
          <w:sz w:val="24"/>
          <w:szCs w:val="24"/>
          <w:lang w:eastAsia="nb-NO"/>
        </w:rPr>
        <w:t xml:space="preserve"> have certain implications for how organizations and </w:t>
      </w:r>
      <w:r w:rsidR="00C77603">
        <w:rPr>
          <w:rFonts w:eastAsia="Times New Roman" w:cs="Calibri"/>
          <w:sz w:val="24"/>
          <w:szCs w:val="24"/>
          <w:lang w:eastAsia="nb-NO"/>
        </w:rPr>
        <w:t>humans act</w:t>
      </w:r>
      <w:r w:rsidR="00EC1F74" w:rsidRPr="00894766">
        <w:rPr>
          <w:rFonts w:eastAsia="Times New Roman" w:cs="Calibri"/>
          <w:sz w:val="24"/>
          <w:szCs w:val="24"/>
          <w:lang w:eastAsia="nb-NO"/>
        </w:rPr>
        <w:t>.</w:t>
      </w:r>
      <w:r w:rsidR="00AD2A5C">
        <w:rPr>
          <w:rFonts w:eastAsia="Times New Roman" w:cs="Calibri"/>
          <w:sz w:val="24"/>
          <w:szCs w:val="24"/>
          <w:lang w:eastAsia="nb-NO"/>
        </w:rPr>
        <w:t xml:space="preserve"> The MLA approach is thus also a theory of political organization.</w:t>
      </w:r>
      <w:r w:rsidR="00EC1F74" w:rsidRPr="00894766">
        <w:rPr>
          <w:rFonts w:eastAsia="Times New Roman" w:cs="Calibri"/>
          <w:sz w:val="24"/>
          <w:szCs w:val="24"/>
          <w:lang w:eastAsia="nb-NO"/>
        </w:rPr>
        <w:t xml:space="preserve"> It is assumed that organizational capacity building provides government institutions with leverage to act independently and to integrate external institutions into their orbits. </w:t>
      </w:r>
      <w:r w:rsidR="00C77603">
        <w:rPr>
          <w:rFonts w:eastAsia="Times New Roman" w:cs="Calibri"/>
          <w:sz w:val="24"/>
          <w:szCs w:val="24"/>
          <w:lang w:eastAsia="nb-NO"/>
        </w:rPr>
        <w:t xml:space="preserve">The </w:t>
      </w:r>
      <w:r w:rsidR="00EC1F74" w:rsidRPr="00894766">
        <w:rPr>
          <w:rFonts w:eastAsia="Times New Roman" w:cs="Calibri"/>
          <w:sz w:val="24"/>
          <w:szCs w:val="24"/>
          <w:lang w:eastAsia="nb-NO"/>
        </w:rPr>
        <w:t>MLA</w:t>
      </w:r>
      <w:r w:rsidR="00C77603">
        <w:rPr>
          <w:rFonts w:eastAsia="Times New Roman" w:cs="Calibri"/>
          <w:sz w:val="24"/>
          <w:szCs w:val="24"/>
          <w:lang w:eastAsia="nb-NO"/>
        </w:rPr>
        <w:t xml:space="preserve"> approach</w:t>
      </w:r>
      <w:r w:rsidR="00EC1F74" w:rsidRPr="00894766">
        <w:rPr>
          <w:rFonts w:eastAsia="Times New Roman" w:cs="Calibri"/>
          <w:sz w:val="24"/>
          <w:szCs w:val="24"/>
          <w:lang w:eastAsia="nb-NO"/>
        </w:rPr>
        <w:t xml:space="preserve"> departs from the assumption that norms, rules, and routines embedded in institutions mobilize biases in public policy because these factors offer cognitive and normative shortcuts and categories that simplify and guide decision makers’ search </w:t>
      </w:r>
      <w:r w:rsidR="00D07C4F">
        <w:rPr>
          <w:rFonts w:eastAsia="Times New Roman" w:cs="Calibri"/>
          <w:sz w:val="24"/>
          <w:szCs w:val="24"/>
          <w:lang w:eastAsia="nb-NO"/>
        </w:rPr>
        <w:t>for satisficing and appropriate solutions</w:t>
      </w:r>
      <w:r w:rsidR="00EC1F74" w:rsidRPr="00894766">
        <w:rPr>
          <w:rFonts w:eastAsia="Times New Roman" w:cs="Calibri"/>
          <w:sz w:val="24"/>
          <w:szCs w:val="24"/>
          <w:lang w:eastAsia="nb-NO"/>
        </w:rPr>
        <w:t xml:space="preserve"> (</w:t>
      </w:r>
      <w:r w:rsidR="00D07C4F">
        <w:rPr>
          <w:rFonts w:eastAsia="Times New Roman" w:cs="Calibri"/>
          <w:sz w:val="24"/>
          <w:szCs w:val="24"/>
          <w:lang w:eastAsia="nb-NO"/>
        </w:rPr>
        <w:t>Cyert and March</w:t>
      </w:r>
      <w:r w:rsidR="00A359F7">
        <w:rPr>
          <w:rFonts w:eastAsia="Times New Roman" w:cs="Calibri"/>
          <w:sz w:val="24"/>
          <w:szCs w:val="24"/>
          <w:lang w:eastAsia="nb-NO"/>
        </w:rPr>
        <w:t>,</w:t>
      </w:r>
      <w:r w:rsidR="00D07C4F">
        <w:rPr>
          <w:rFonts w:eastAsia="Times New Roman" w:cs="Calibri"/>
          <w:sz w:val="24"/>
          <w:szCs w:val="24"/>
          <w:lang w:eastAsia="nb-NO"/>
        </w:rPr>
        <w:t xml:space="preserve"> 1963; </w:t>
      </w:r>
      <w:r w:rsidR="00345FC4">
        <w:rPr>
          <w:rFonts w:eastAsia="Times New Roman" w:cs="Calibri"/>
          <w:sz w:val="24"/>
          <w:szCs w:val="24"/>
          <w:lang w:eastAsia="nb-NO"/>
        </w:rPr>
        <w:t>March and Olsen</w:t>
      </w:r>
      <w:r w:rsidR="00A359F7">
        <w:rPr>
          <w:rFonts w:eastAsia="Times New Roman" w:cs="Calibri"/>
          <w:sz w:val="24"/>
          <w:szCs w:val="24"/>
          <w:lang w:eastAsia="nb-NO"/>
        </w:rPr>
        <w:t>,</w:t>
      </w:r>
      <w:r w:rsidR="00345FC4">
        <w:rPr>
          <w:rFonts w:eastAsia="Times New Roman" w:cs="Calibri"/>
          <w:sz w:val="24"/>
          <w:szCs w:val="24"/>
          <w:lang w:eastAsia="nb-NO"/>
        </w:rPr>
        <w:t xml:space="preserve"> 1989; </w:t>
      </w:r>
      <w:r w:rsidR="00EC1F74" w:rsidRPr="00894766">
        <w:rPr>
          <w:rFonts w:eastAsia="Times New Roman" w:cs="Calibri"/>
          <w:sz w:val="24"/>
          <w:szCs w:val="24"/>
          <w:lang w:eastAsia="nb-NO"/>
        </w:rPr>
        <w:t>Schattschneider</w:t>
      </w:r>
      <w:r w:rsidR="00A359F7">
        <w:rPr>
          <w:rFonts w:eastAsia="Times New Roman" w:cs="Calibri"/>
          <w:sz w:val="24"/>
          <w:szCs w:val="24"/>
          <w:lang w:eastAsia="nb-NO"/>
        </w:rPr>
        <w:t>,</w:t>
      </w:r>
      <w:r w:rsidR="00EC1F74" w:rsidRPr="00894766">
        <w:rPr>
          <w:rFonts w:eastAsia="Times New Roman" w:cs="Calibri"/>
          <w:sz w:val="24"/>
          <w:szCs w:val="24"/>
          <w:lang w:eastAsia="nb-NO"/>
        </w:rPr>
        <w:t xml:space="preserve"> 1975; Simon</w:t>
      </w:r>
      <w:r w:rsidR="00A359F7">
        <w:rPr>
          <w:rFonts w:eastAsia="Times New Roman" w:cs="Calibri"/>
          <w:sz w:val="24"/>
          <w:szCs w:val="24"/>
          <w:lang w:eastAsia="nb-NO"/>
        </w:rPr>
        <w:t>,</w:t>
      </w:r>
      <w:r w:rsidR="00EC1F74" w:rsidRPr="00894766">
        <w:rPr>
          <w:rFonts w:eastAsia="Times New Roman" w:cs="Calibri"/>
          <w:sz w:val="24"/>
          <w:szCs w:val="24"/>
          <w:lang w:eastAsia="nb-NO"/>
        </w:rPr>
        <w:t xml:space="preserve"> 1957). Consequently, the decision-making behavior of ‘</w:t>
      </w:r>
      <w:r w:rsidR="00A6672D">
        <w:rPr>
          <w:rFonts w:eastAsia="Times New Roman" w:cs="Calibri"/>
          <w:sz w:val="24"/>
          <w:szCs w:val="24"/>
          <w:lang w:eastAsia="nb-NO"/>
        </w:rPr>
        <w:t>E</w:t>
      </w:r>
      <w:r w:rsidR="00EC1F74" w:rsidRPr="00894766">
        <w:rPr>
          <w:rFonts w:eastAsia="Times New Roman" w:cs="Calibri"/>
          <w:sz w:val="24"/>
          <w:szCs w:val="24"/>
          <w:lang w:eastAsia="nb-NO"/>
        </w:rPr>
        <w:t>urocrats’ is likely to reflect their primary organizational embedment into government institutions</w:t>
      </w:r>
      <w:r w:rsidR="00C77603">
        <w:rPr>
          <w:rFonts w:eastAsia="Times New Roman" w:cs="Calibri"/>
          <w:sz w:val="24"/>
          <w:szCs w:val="24"/>
          <w:lang w:eastAsia="nb-NO"/>
        </w:rPr>
        <w:t xml:space="preserve"> and their sub-units</w:t>
      </w:r>
      <w:r w:rsidR="00EC1F74" w:rsidRPr="00894766">
        <w:rPr>
          <w:rFonts w:eastAsia="Times New Roman" w:cs="Calibri"/>
          <w:sz w:val="24"/>
          <w:szCs w:val="24"/>
          <w:lang w:eastAsia="nb-NO"/>
        </w:rPr>
        <w:t xml:space="preserve">. </w:t>
      </w:r>
    </w:p>
    <w:p w:rsidR="00C77603" w:rsidRDefault="00C77603" w:rsidP="00703D22">
      <w:pPr>
        <w:spacing w:after="0" w:line="480" w:lineRule="auto"/>
        <w:rPr>
          <w:rFonts w:eastAsia="Times New Roman" w:cs="Calibri"/>
          <w:sz w:val="24"/>
          <w:szCs w:val="24"/>
          <w:lang w:eastAsia="nb-NO"/>
        </w:rPr>
      </w:pPr>
    </w:p>
    <w:p w:rsidR="00EC1F74" w:rsidRDefault="00EC1F74" w:rsidP="00703D22">
      <w:pPr>
        <w:spacing w:after="0" w:line="480" w:lineRule="auto"/>
        <w:rPr>
          <w:rFonts w:eastAsia="Times New Roman" w:cs="Calibri"/>
          <w:sz w:val="24"/>
          <w:szCs w:val="24"/>
          <w:lang w:eastAsia="de-DE"/>
        </w:rPr>
      </w:pPr>
      <w:r w:rsidRPr="00894766">
        <w:rPr>
          <w:rFonts w:eastAsia="Times New Roman" w:cs="Calibri"/>
          <w:sz w:val="24"/>
          <w:szCs w:val="24"/>
          <w:lang w:eastAsia="nb-NO"/>
        </w:rPr>
        <w:t>T</w:t>
      </w:r>
      <w:r w:rsidRPr="00894766">
        <w:rPr>
          <w:rFonts w:eastAsia="Times New Roman" w:cs="Calibri"/>
          <w:sz w:val="24"/>
          <w:szCs w:val="24"/>
          <w:lang w:eastAsia="de-DE"/>
        </w:rPr>
        <w:t>wo empirical predictions follow from this assumption: Firstly, the supply of independent administrative capacities is necessary for government institutions to act and to affect how other institutions act.</w:t>
      </w:r>
      <w:r w:rsidRPr="00894766">
        <w:rPr>
          <w:rFonts w:eastAsia="Times New Roman" w:cs="Calibri"/>
          <w:sz w:val="24"/>
          <w:szCs w:val="24"/>
          <w:lang w:eastAsia="nb-NO"/>
        </w:rPr>
        <w:t xml:space="preserve"> Thus, the supply of administrative capacities in the Commission is expected to increase the likelihood that signals from the Commission will be ascribed importance by officials </w:t>
      </w:r>
      <w:r w:rsidRPr="00894766">
        <w:rPr>
          <w:rFonts w:eastAsia="Times New Roman" w:cs="Calibri"/>
          <w:sz w:val="24"/>
          <w:szCs w:val="24"/>
          <w:lang w:eastAsia="nb-NO"/>
        </w:rPr>
        <w:lastRenderedPageBreak/>
        <w:t xml:space="preserve">in </w:t>
      </w:r>
      <w:r w:rsidR="00AD2A5C">
        <w:rPr>
          <w:rFonts w:eastAsia="Times New Roman" w:cs="Calibri"/>
          <w:sz w:val="24"/>
          <w:szCs w:val="24"/>
          <w:lang w:eastAsia="nb-NO"/>
        </w:rPr>
        <w:t xml:space="preserve">other </w:t>
      </w:r>
      <w:r w:rsidRPr="00894766">
        <w:rPr>
          <w:rFonts w:eastAsia="Times New Roman" w:cs="Calibri"/>
          <w:sz w:val="24"/>
          <w:szCs w:val="24"/>
          <w:lang w:eastAsia="nb-NO"/>
        </w:rPr>
        <w:t>EU</w:t>
      </w:r>
      <w:r w:rsidR="00AD2A5C">
        <w:rPr>
          <w:rFonts w:eastAsia="Times New Roman" w:cs="Calibri"/>
          <w:sz w:val="24"/>
          <w:szCs w:val="24"/>
          <w:lang w:eastAsia="nb-NO"/>
        </w:rPr>
        <w:t xml:space="preserve"> institutions</w:t>
      </w:r>
      <w:r w:rsidRPr="00894766">
        <w:rPr>
          <w:rFonts w:eastAsia="Times New Roman" w:cs="Calibri"/>
          <w:sz w:val="24"/>
          <w:szCs w:val="24"/>
          <w:lang w:eastAsia="nb-NO"/>
        </w:rPr>
        <w:t xml:space="preserve"> and</w:t>
      </w:r>
      <w:r w:rsidR="00AD2A5C">
        <w:rPr>
          <w:rFonts w:eastAsia="Times New Roman" w:cs="Calibri"/>
          <w:sz w:val="24"/>
          <w:szCs w:val="24"/>
          <w:lang w:eastAsia="nb-NO"/>
        </w:rPr>
        <w:t xml:space="preserve"> in</w:t>
      </w:r>
      <w:r w:rsidRPr="00894766">
        <w:rPr>
          <w:rFonts w:eastAsia="Times New Roman" w:cs="Calibri"/>
          <w:sz w:val="24"/>
          <w:szCs w:val="24"/>
          <w:lang w:eastAsia="nb-NO"/>
        </w:rPr>
        <w:t xml:space="preserve"> domestic agencies. In effect, patterns of multilevel </w:t>
      </w:r>
      <w:r w:rsidR="00C77603">
        <w:rPr>
          <w:rFonts w:eastAsia="Times New Roman" w:cs="Calibri"/>
          <w:sz w:val="24"/>
          <w:szCs w:val="24"/>
          <w:lang w:eastAsia="nb-NO"/>
        </w:rPr>
        <w:t>administrative governance</w:t>
      </w:r>
      <w:r w:rsidRPr="00894766">
        <w:rPr>
          <w:rFonts w:eastAsia="Times New Roman" w:cs="Calibri"/>
          <w:sz w:val="24"/>
          <w:szCs w:val="24"/>
          <w:lang w:eastAsia="nb-NO"/>
        </w:rPr>
        <w:t xml:space="preserve"> </w:t>
      </w:r>
      <w:r w:rsidR="00C77603">
        <w:rPr>
          <w:rFonts w:eastAsia="Times New Roman" w:cs="Calibri"/>
          <w:sz w:val="24"/>
          <w:szCs w:val="24"/>
          <w:lang w:eastAsia="nb-NO"/>
        </w:rPr>
        <w:t>between</w:t>
      </w:r>
      <w:r w:rsidRPr="00894766">
        <w:rPr>
          <w:rFonts w:eastAsia="Times New Roman" w:cs="Calibri"/>
          <w:sz w:val="24"/>
          <w:szCs w:val="24"/>
          <w:lang w:eastAsia="nb-NO"/>
        </w:rPr>
        <w:t xml:space="preserve"> subunits are assumed to be supplied by the variety of administrative capacities of the Commission. </w:t>
      </w:r>
      <w:r w:rsidRPr="00894766">
        <w:rPr>
          <w:rFonts w:eastAsia="Times New Roman" w:cs="Calibri"/>
          <w:sz w:val="24"/>
          <w:szCs w:val="24"/>
          <w:lang w:eastAsia="de-DE"/>
        </w:rPr>
        <w:t xml:space="preserve">Secondly, the behavior, role, and identity perceptions evoked by government officials are expected to be primarily directed towards those administrative subunits that are the </w:t>
      </w:r>
      <w:r w:rsidRPr="00894766">
        <w:rPr>
          <w:rFonts w:eastAsia="Times New Roman" w:cs="Calibri"/>
          <w:i/>
          <w:sz w:val="24"/>
          <w:szCs w:val="24"/>
          <w:lang w:eastAsia="de-DE"/>
        </w:rPr>
        <w:t>primary supplier</w:t>
      </w:r>
      <w:r w:rsidRPr="00894766">
        <w:rPr>
          <w:rFonts w:eastAsia="Times New Roman" w:cs="Calibri"/>
          <w:sz w:val="24"/>
          <w:szCs w:val="24"/>
          <w:lang w:eastAsia="de-DE"/>
        </w:rPr>
        <w:t xml:space="preserve"> of relevant decision premises. It is assumed that multilevel </w:t>
      </w:r>
      <w:r w:rsidR="00C77603">
        <w:rPr>
          <w:rFonts w:eastAsia="Times New Roman" w:cs="Calibri"/>
          <w:sz w:val="24"/>
          <w:szCs w:val="24"/>
          <w:lang w:eastAsia="de-DE"/>
        </w:rPr>
        <w:t>administrative governance is f</w:t>
      </w:r>
      <w:r w:rsidRPr="00894766">
        <w:rPr>
          <w:rFonts w:eastAsia="Times New Roman" w:cs="Calibri"/>
          <w:sz w:val="24"/>
          <w:szCs w:val="24"/>
          <w:lang w:eastAsia="de-DE"/>
        </w:rPr>
        <w:t>acilitated by the organizational capacities of government subunits at both levels of government. One</w:t>
      </w:r>
      <w:r w:rsidR="00C77603">
        <w:rPr>
          <w:rFonts w:eastAsia="Times New Roman" w:cs="Calibri"/>
          <w:sz w:val="24"/>
          <w:szCs w:val="24"/>
          <w:lang w:eastAsia="de-DE"/>
        </w:rPr>
        <w:t xml:space="preserve"> empirical</w:t>
      </w:r>
      <w:r w:rsidRPr="00894766">
        <w:rPr>
          <w:rFonts w:eastAsia="Times New Roman" w:cs="Calibri"/>
          <w:sz w:val="24"/>
          <w:szCs w:val="24"/>
          <w:lang w:eastAsia="de-DE"/>
        </w:rPr>
        <w:t xml:space="preserve"> implication is administrative integration along sectoral lines, for example between Commission DGs and agency subunits. </w:t>
      </w:r>
    </w:p>
    <w:p w:rsidR="00EC01E0" w:rsidRDefault="00EC01E0" w:rsidP="00703D22">
      <w:pPr>
        <w:spacing w:after="0" w:line="480" w:lineRule="auto"/>
        <w:rPr>
          <w:rFonts w:eastAsia="Times New Roman" w:cs="Calibri"/>
          <w:sz w:val="24"/>
          <w:szCs w:val="24"/>
          <w:highlight w:val="yellow"/>
          <w:lang w:eastAsia="de-DE"/>
        </w:rPr>
      </w:pPr>
    </w:p>
    <w:p w:rsidR="00A6672D" w:rsidRPr="00894766" w:rsidRDefault="00EC01E0" w:rsidP="00703D22">
      <w:pPr>
        <w:spacing w:after="0" w:line="480" w:lineRule="auto"/>
        <w:rPr>
          <w:rFonts w:eastAsia="Times New Roman" w:cs="Calibri"/>
          <w:sz w:val="24"/>
          <w:szCs w:val="24"/>
          <w:lang w:eastAsia="de-DE"/>
        </w:rPr>
      </w:pPr>
      <w:r w:rsidRPr="00C22D72">
        <w:rPr>
          <w:rFonts w:eastAsia="Times New Roman" w:cs="Calibri"/>
          <w:sz w:val="24"/>
          <w:szCs w:val="24"/>
          <w:lang w:eastAsia="de-DE"/>
        </w:rPr>
        <w:t>In sum,</w:t>
      </w:r>
      <w:r w:rsidR="00A6672D" w:rsidRPr="00C22D72">
        <w:rPr>
          <w:rFonts w:eastAsia="Times New Roman" w:cs="Calibri"/>
          <w:sz w:val="24"/>
          <w:szCs w:val="24"/>
          <w:lang w:eastAsia="de-DE"/>
        </w:rPr>
        <w:t xml:space="preserve"> </w:t>
      </w:r>
      <w:r>
        <w:rPr>
          <w:sz w:val="24"/>
          <w:szCs w:val="24"/>
        </w:rPr>
        <w:t>t</w:t>
      </w:r>
      <w:r w:rsidRPr="00EC01E0">
        <w:rPr>
          <w:rFonts w:eastAsia="Times New Roman" w:cs="Calibri"/>
          <w:sz w:val="24"/>
          <w:szCs w:val="24"/>
          <w:lang w:eastAsia="de-DE"/>
        </w:rPr>
        <w:t>his section</w:t>
      </w:r>
      <w:r>
        <w:rPr>
          <w:rFonts w:eastAsia="Times New Roman" w:cs="Calibri"/>
          <w:sz w:val="24"/>
          <w:szCs w:val="24"/>
          <w:lang w:eastAsia="de-DE"/>
        </w:rPr>
        <w:t xml:space="preserve"> has</w:t>
      </w:r>
      <w:r w:rsidRPr="00EC01E0">
        <w:rPr>
          <w:rFonts w:eastAsia="Times New Roman" w:cs="Calibri"/>
          <w:sz w:val="24"/>
          <w:szCs w:val="24"/>
          <w:lang w:eastAsia="de-DE"/>
        </w:rPr>
        <w:t xml:space="preserve"> suggest</w:t>
      </w:r>
      <w:r>
        <w:rPr>
          <w:rFonts w:eastAsia="Times New Roman" w:cs="Calibri"/>
          <w:sz w:val="24"/>
          <w:szCs w:val="24"/>
          <w:lang w:eastAsia="de-DE"/>
        </w:rPr>
        <w:t>ed</w:t>
      </w:r>
      <w:r w:rsidRPr="00EC01E0">
        <w:rPr>
          <w:rFonts w:eastAsia="Times New Roman" w:cs="Calibri"/>
          <w:sz w:val="24"/>
          <w:szCs w:val="24"/>
          <w:lang w:eastAsia="de-DE"/>
        </w:rPr>
        <w:t xml:space="preserve"> that the MLA approaches</w:t>
      </w:r>
      <w:r>
        <w:rPr>
          <w:rFonts w:eastAsia="Times New Roman" w:cs="Calibri"/>
          <w:sz w:val="24"/>
          <w:szCs w:val="24"/>
          <w:lang w:eastAsia="de-DE"/>
        </w:rPr>
        <w:t xml:space="preserve"> is an important element in a broader theory of multilevel governance than suggested by the MLG approach.</w:t>
      </w:r>
      <w:r w:rsidRPr="00EC01E0">
        <w:rPr>
          <w:rFonts w:eastAsia="Times New Roman" w:cs="Calibri"/>
          <w:sz w:val="24"/>
          <w:szCs w:val="24"/>
          <w:lang w:eastAsia="de-DE"/>
        </w:rPr>
        <w:t xml:space="preserve"> </w:t>
      </w:r>
      <w:r w:rsidR="00FA7B7B">
        <w:rPr>
          <w:rFonts w:eastAsia="Times New Roman" w:cs="Calibri"/>
          <w:sz w:val="24"/>
          <w:szCs w:val="24"/>
          <w:lang w:eastAsia="de-DE"/>
        </w:rPr>
        <w:t>The</w:t>
      </w:r>
      <w:r w:rsidRPr="00EC01E0">
        <w:rPr>
          <w:rFonts w:eastAsia="Times New Roman" w:cs="Calibri"/>
          <w:sz w:val="24"/>
          <w:szCs w:val="24"/>
          <w:lang w:eastAsia="de-DE"/>
        </w:rPr>
        <w:t xml:space="preserve"> MLA approach may offer attention to the administrative dimension of the European administrative system and </w:t>
      </w:r>
      <w:r w:rsidR="00A6672D" w:rsidRPr="00C22D72">
        <w:rPr>
          <w:rFonts w:eastAsia="Times New Roman" w:cs="Calibri"/>
          <w:sz w:val="24"/>
          <w:szCs w:val="24"/>
          <w:lang w:eastAsia="de-DE"/>
        </w:rPr>
        <w:t xml:space="preserve">its added value is the conceptualization of administrative structures, values and interaction across levels of government – and </w:t>
      </w:r>
      <w:r w:rsidR="00FA7B7B" w:rsidRPr="00C22D72">
        <w:rPr>
          <w:rFonts w:eastAsia="Times New Roman" w:cs="Calibri"/>
          <w:sz w:val="24"/>
          <w:szCs w:val="24"/>
          <w:lang w:eastAsia="de-DE"/>
        </w:rPr>
        <w:t>is therefore a theory of political organization of the European administrative system</w:t>
      </w:r>
      <w:r w:rsidR="00A6672D" w:rsidRPr="00C22D72">
        <w:rPr>
          <w:rFonts w:eastAsia="Times New Roman" w:cs="Calibri"/>
          <w:sz w:val="24"/>
          <w:szCs w:val="24"/>
          <w:lang w:eastAsia="de-DE"/>
        </w:rPr>
        <w:t>.</w:t>
      </w:r>
    </w:p>
    <w:p w:rsidR="00291CDB" w:rsidRDefault="00291CDB" w:rsidP="00703D22">
      <w:pPr>
        <w:spacing w:after="0" w:line="480" w:lineRule="auto"/>
        <w:rPr>
          <w:b/>
          <w:sz w:val="28"/>
          <w:szCs w:val="28"/>
        </w:rPr>
      </w:pPr>
    </w:p>
    <w:p w:rsidR="00FE27AE" w:rsidRPr="00DF4BC2" w:rsidRDefault="00A6672D" w:rsidP="00703D22">
      <w:pPr>
        <w:spacing w:after="0" w:line="480" w:lineRule="auto"/>
        <w:rPr>
          <w:b/>
          <w:sz w:val="28"/>
          <w:szCs w:val="28"/>
        </w:rPr>
      </w:pPr>
      <w:r w:rsidRPr="00DF4BC2">
        <w:rPr>
          <w:b/>
          <w:sz w:val="28"/>
          <w:szCs w:val="28"/>
        </w:rPr>
        <w:t xml:space="preserve">Why bother </w:t>
      </w:r>
      <w:r w:rsidR="00FA7B7B" w:rsidRPr="00DF4BC2">
        <w:rPr>
          <w:b/>
          <w:sz w:val="28"/>
          <w:szCs w:val="28"/>
        </w:rPr>
        <w:t>a</w:t>
      </w:r>
      <w:r w:rsidRPr="00DF4BC2">
        <w:rPr>
          <w:b/>
          <w:sz w:val="28"/>
          <w:szCs w:val="28"/>
        </w:rPr>
        <w:t xml:space="preserve">bout </w:t>
      </w:r>
      <w:r w:rsidR="00FA7B7B" w:rsidRPr="00DF4BC2">
        <w:rPr>
          <w:b/>
          <w:sz w:val="28"/>
          <w:szCs w:val="28"/>
        </w:rPr>
        <w:t>t</w:t>
      </w:r>
      <w:r w:rsidR="00EC1F74" w:rsidRPr="00DF4BC2">
        <w:rPr>
          <w:b/>
          <w:sz w:val="28"/>
          <w:szCs w:val="28"/>
        </w:rPr>
        <w:t>he European administrative system</w:t>
      </w:r>
      <w:r w:rsidRPr="00DF4BC2">
        <w:rPr>
          <w:b/>
          <w:sz w:val="28"/>
          <w:szCs w:val="28"/>
        </w:rPr>
        <w:t>?</w:t>
      </w:r>
      <w:r w:rsidR="00EC1F74" w:rsidRPr="00DF4BC2">
        <w:rPr>
          <w:b/>
          <w:sz w:val="28"/>
          <w:szCs w:val="28"/>
        </w:rPr>
        <w:t xml:space="preserve"> </w:t>
      </w:r>
      <w:r w:rsidR="00AD2A5C" w:rsidRPr="00DF4BC2">
        <w:rPr>
          <w:b/>
          <w:sz w:val="28"/>
          <w:szCs w:val="28"/>
        </w:rPr>
        <w:t>E</w:t>
      </w:r>
      <w:r w:rsidR="00EC1F74" w:rsidRPr="00DF4BC2">
        <w:rPr>
          <w:b/>
          <w:sz w:val="28"/>
          <w:szCs w:val="28"/>
        </w:rPr>
        <w:t xml:space="preserve">mpirical </w:t>
      </w:r>
      <w:r w:rsidRPr="00DF4BC2">
        <w:rPr>
          <w:b/>
          <w:sz w:val="28"/>
          <w:szCs w:val="28"/>
        </w:rPr>
        <w:t>Illustrations</w:t>
      </w:r>
    </w:p>
    <w:p w:rsidR="00FA7B7B" w:rsidRDefault="00FA7B7B" w:rsidP="00703D22">
      <w:pPr>
        <w:spacing w:after="0" w:line="480" w:lineRule="auto"/>
        <w:rPr>
          <w:rFonts w:eastAsia="Times New Roman" w:cs="Calibri"/>
          <w:sz w:val="24"/>
          <w:szCs w:val="24"/>
          <w:lang w:eastAsia="de-DE"/>
        </w:rPr>
      </w:pPr>
      <w:r>
        <w:rPr>
          <w:rFonts w:eastAsia="Times New Roman" w:cs="Calibri"/>
          <w:sz w:val="24"/>
          <w:szCs w:val="24"/>
          <w:lang w:eastAsia="de-DE"/>
        </w:rPr>
        <w:t xml:space="preserve">A complete empirical application of the MLA approach is beyond the remit of this </w:t>
      </w:r>
      <w:r w:rsidR="004C27BD">
        <w:rPr>
          <w:rFonts w:eastAsia="Times New Roman" w:cs="Calibri"/>
          <w:sz w:val="24"/>
          <w:szCs w:val="24"/>
          <w:lang w:eastAsia="de-DE"/>
        </w:rPr>
        <w:t>article</w:t>
      </w:r>
      <w:r>
        <w:rPr>
          <w:rFonts w:eastAsia="Times New Roman" w:cs="Calibri"/>
          <w:sz w:val="24"/>
          <w:szCs w:val="24"/>
          <w:lang w:eastAsia="de-DE"/>
        </w:rPr>
        <w:t xml:space="preserve"> (Bauer and Trondal</w:t>
      </w:r>
      <w:r w:rsidR="00A359F7">
        <w:rPr>
          <w:rFonts w:eastAsia="Times New Roman" w:cs="Calibri"/>
          <w:sz w:val="24"/>
          <w:szCs w:val="24"/>
          <w:lang w:eastAsia="de-DE"/>
        </w:rPr>
        <w:t>,</w:t>
      </w:r>
      <w:r>
        <w:rPr>
          <w:rFonts w:eastAsia="Times New Roman" w:cs="Calibri"/>
          <w:sz w:val="24"/>
          <w:szCs w:val="24"/>
          <w:lang w:eastAsia="de-DE"/>
        </w:rPr>
        <w:t xml:space="preserve"> 201</w:t>
      </w:r>
      <w:r w:rsidR="00C300B1">
        <w:rPr>
          <w:rFonts w:eastAsia="Times New Roman" w:cs="Calibri"/>
          <w:sz w:val="24"/>
          <w:szCs w:val="24"/>
          <w:lang w:eastAsia="de-DE"/>
        </w:rPr>
        <w:t>5</w:t>
      </w:r>
      <w:r>
        <w:rPr>
          <w:rFonts w:eastAsia="Times New Roman" w:cs="Calibri"/>
          <w:sz w:val="24"/>
          <w:szCs w:val="24"/>
          <w:lang w:eastAsia="de-DE"/>
        </w:rPr>
        <w:t xml:space="preserve">). The suggestive illustrations centers on the core node of the European administration, namely its executive arm – the Commission. However, some footnotes are also offered to administrative sub-units outside the Commission, but which serve as part of the </w:t>
      </w:r>
      <w:r>
        <w:rPr>
          <w:rFonts w:eastAsia="Times New Roman" w:cs="Calibri"/>
          <w:sz w:val="24"/>
          <w:szCs w:val="24"/>
          <w:lang w:eastAsia="de-DE"/>
        </w:rPr>
        <w:lastRenderedPageBreak/>
        <w:t>multilevel European administration. This section</w:t>
      </w:r>
      <w:r w:rsidRPr="00FA7B7B">
        <w:rPr>
          <w:rFonts w:eastAsia="Times New Roman" w:cs="Calibri"/>
          <w:sz w:val="24"/>
          <w:szCs w:val="24"/>
          <w:lang w:eastAsia="de-DE"/>
        </w:rPr>
        <w:t xml:space="preserve"> examines the European administrative system with regard to </w:t>
      </w:r>
      <w:r w:rsidRPr="00DF4BC2">
        <w:rPr>
          <w:rFonts w:eastAsia="Times New Roman" w:cs="Calibri"/>
          <w:i/>
          <w:sz w:val="24"/>
          <w:szCs w:val="24"/>
          <w:lang w:eastAsia="de-DE"/>
        </w:rPr>
        <w:t>institutional independence, integration, and co-optation</w:t>
      </w:r>
      <w:r>
        <w:rPr>
          <w:rFonts w:eastAsia="Times New Roman" w:cs="Calibri"/>
          <w:sz w:val="24"/>
          <w:szCs w:val="24"/>
          <w:lang w:eastAsia="de-DE"/>
        </w:rPr>
        <w:t>.</w:t>
      </w:r>
    </w:p>
    <w:p w:rsidR="00FA7B7B" w:rsidRDefault="00FA7B7B" w:rsidP="00703D22">
      <w:pPr>
        <w:spacing w:after="0" w:line="480" w:lineRule="auto"/>
        <w:rPr>
          <w:rFonts w:eastAsia="Times New Roman" w:cs="Calibri"/>
          <w:sz w:val="24"/>
          <w:szCs w:val="24"/>
          <w:lang w:eastAsia="de-DE"/>
        </w:rPr>
      </w:pPr>
    </w:p>
    <w:p w:rsidR="00094901" w:rsidRDefault="00094901" w:rsidP="00703D22">
      <w:pPr>
        <w:spacing w:after="0" w:line="480" w:lineRule="auto"/>
        <w:rPr>
          <w:rFonts w:eastAsia="Times New Roman" w:cs="Calibri"/>
          <w:sz w:val="24"/>
          <w:szCs w:val="24"/>
          <w:lang w:eastAsia="de-DE"/>
        </w:rPr>
      </w:pPr>
      <w:r w:rsidRPr="00703D22">
        <w:rPr>
          <w:rFonts w:eastAsia="Times New Roman" w:cs="Calibri"/>
          <w:sz w:val="24"/>
          <w:szCs w:val="24"/>
          <w:lang w:eastAsia="de-DE"/>
        </w:rPr>
        <w:t>Academic interest in the administrative dimension of the European integration process grew in the aftermath of the European Single Act and the completion of the Common Market. It is perhaps no coincidence that the area from which this scholarly interest initially emerged was questions concerning the coherent and uniform national implementation of policies agreed upon at EU level (Siedentopf and Ziller</w:t>
      </w:r>
      <w:r w:rsidR="00A359F7">
        <w:rPr>
          <w:rFonts w:eastAsia="Times New Roman" w:cs="Calibri"/>
          <w:sz w:val="24"/>
          <w:szCs w:val="24"/>
          <w:lang w:eastAsia="de-DE"/>
        </w:rPr>
        <w:t>,</w:t>
      </w:r>
      <w:r w:rsidRPr="00703D22">
        <w:rPr>
          <w:rFonts w:eastAsia="Times New Roman" w:cs="Calibri"/>
          <w:sz w:val="24"/>
          <w:szCs w:val="24"/>
          <w:lang w:eastAsia="de-DE"/>
        </w:rPr>
        <w:t xml:space="preserve"> 1988). It was the problem of ‘making European policies work’ coherently and timely where the differential reality of national public administration systems came to the forefront (Knill</w:t>
      </w:r>
      <w:r w:rsidR="00A359F7">
        <w:rPr>
          <w:rFonts w:eastAsia="Times New Roman" w:cs="Calibri"/>
          <w:sz w:val="24"/>
          <w:szCs w:val="24"/>
          <w:lang w:eastAsia="de-DE"/>
        </w:rPr>
        <w:t>,</w:t>
      </w:r>
      <w:r w:rsidRPr="00703D22">
        <w:rPr>
          <w:rFonts w:eastAsia="Times New Roman" w:cs="Calibri"/>
          <w:sz w:val="24"/>
          <w:szCs w:val="24"/>
          <w:lang w:eastAsia="de-DE"/>
        </w:rPr>
        <w:t xml:space="preserve"> 2001).</w:t>
      </w:r>
    </w:p>
    <w:p w:rsidR="00C77603" w:rsidRPr="00703D22" w:rsidRDefault="00C77603" w:rsidP="00703D22">
      <w:pPr>
        <w:spacing w:after="0" w:line="480" w:lineRule="auto"/>
        <w:rPr>
          <w:rFonts w:eastAsia="Times New Roman" w:cs="Calibri"/>
          <w:sz w:val="24"/>
          <w:szCs w:val="24"/>
          <w:lang w:eastAsia="de-DE"/>
        </w:rPr>
      </w:pPr>
    </w:p>
    <w:p w:rsidR="00935217" w:rsidRPr="00703D22" w:rsidRDefault="00935217" w:rsidP="00703D22">
      <w:pPr>
        <w:spacing w:after="0" w:line="480" w:lineRule="auto"/>
        <w:rPr>
          <w:sz w:val="24"/>
          <w:szCs w:val="24"/>
        </w:rPr>
      </w:pPr>
      <w:r w:rsidRPr="00703D22">
        <w:rPr>
          <w:sz w:val="24"/>
          <w:szCs w:val="24"/>
        </w:rPr>
        <w:t xml:space="preserve">Formulating and implementing public policy in Europe has </w:t>
      </w:r>
      <w:r w:rsidR="00C77603">
        <w:rPr>
          <w:sz w:val="24"/>
          <w:szCs w:val="24"/>
        </w:rPr>
        <w:t xml:space="preserve">historically </w:t>
      </w:r>
      <w:r w:rsidRPr="00703D22">
        <w:rPr>
          <w:sz w:val="24"/>
          <w:szCs w:val="24"/>
        </w:rPr>
        <w:t>been a prerogative of national administrations. The capacity of the state has largely been determined by ‘the [administrative] capacity of the state to effectively achieve the chosen policy outcomes’ (Matthews</w:t>
      </w:r>
      <w:r w:rsidR="00A359F7">
        <w:rPr>
          <w:sz w:val="24"/>
          <w:szCs w:val="24"/>
        </w:rPr>
        <w:t>,</w:t>
      </w:r>
      <w:r w:rsidRPr="00703D22">
        <w:rPr>
          <w:sz w:val="24"/>
          <w:szCs w:val="24"/>
        </w:rPr>
        <w:t xml:space="preserve"> 2012</w:t>
      </w:r>
      <w:r w:rsidR="00C55295">
        <w:rPr>
          <w:sz w:val="24"/>
          <w:szCs w:val="24"/>
        </w:rPr>
        <w:t>:</w:t>
      </w:r>
      <w:r w:rsidRPr="00703D22">
        <w:rPr>
          <w:sz w:val="24"/>
          <w:szCs w:val="24"/>
        </w:rPr>
        <w:t xml:space="preserve"> 281). </w:t>
      </w:r>
      <w:r w:rsidR="00C77603">
        <w:rPr>
          <w:sz w:val="24"/>
          <w:szCs w:val="24"/>
        </w:rPr>
        <w:t>Recent studies, however, suggest that</w:t>
      </w:r>
      <w:r w:rsidRPr="00703D22">
        <w:rPr>
          <w:sz w:val="24"/>
          <w:szCs w:val="24"/>
        </w:rPr>
        <w:t xml:space="preserve"> these prerogatives have become complemented with the rise in administrative capacities within and among EU institutions and their interaction with (sub)national actors</w:t>
      </w:r>
      <w:r w:rsidR="00C77603">
        <w:rPr>
          <w:sz w:val="24"/>
          <w:szCs w:val="24"/>
        </w:rPr>
        <w:t xml:space="preserve"> (Genschel and Jachtenfuchs</w:t>
      </w:r>
      <w:r w:rsidR="00A359F7">
        <w:rPr>
          <w:sz w:val="24"/>
          <w:szCs w:val="24"/>
        </w:rPr>
        <w:t>,</w:t>
      </w:r>
      <w:r w:rsidR="00C77603">
        <w:rPr>
          <w:sz w:val="24"/>
          <w:szCs w:val="24"/>
        </w:rPr>
        <w:t xml:space="preserve"> 2014)</w:t>
      </w:r>
      <w:r w:rsidRPr="00703D22">
        <w:rPr>
          <w:sz w:val="24"/>
          <w:szCs w:val="24"/>
        </w:rPr>
        <w:t>. A European administrative system serves to create an institutional infrastructure for the joint formulation and execution of public policy. The rise of a genuine European public administration is shown to reflect administrative capacity building, primarily in the Commission and EU agencies but increasingly also in domestic agencies and networks of regulatory agencies</w:t>
      </w:r>
      <w:r w:rsidR="00C77603">
        <w:rPr>
          <w:sz w:val="24"/>
          <w:szCs w:val="24"/>
        </w:rPr>
        <w:t xml:space="preserve"> (Egeberg, Trondal and Vestlund</w:t>
      </w:r>
      <w:r w:rsidR="00A359F7">
        <w:rPr>
          <w:sz w:val="24"/>
          <w:szCs w:val="24"/>
        </w:rPr>
        <w:t>,</w:t>
      </w:r>
      <w:r w:rsidR="00C77603">
        <w:rPr>
          <w:sz w:val="24"/>
          <w:szCs w:val="24"/>
        </w:rPr>
        <w:t xml:space="preserve"> 201</w:t>
      </w:r>
      <w:r w:rsidR="00C300B1">
        <w:rPr>
          <w:sz w:val="24"/>
          <w:szCs w:val="24"/>
        </w:rPr>
        <w:t>5</w:t>
      </w:r>
      <w:r w:rsidR="00C77603">
        <w:rPr>
          <w:sz w:val="24"/>
          <w:szCs w:val="24"/>
        </w:rPr>
        <w:t>; Trondal</w:t>
      </w:r>
      <w:r w:rsidR="00A359F7">
        <w:rPr>
          <w:sz w:val="24"/>
          <w:szCs w:val="24"/>
        </w:rPr>
        <w:t>,</w:t>
      </w:r>
      <w:r w:rsidR="00C77603">
        <w:rPr>
          <w:sz w:val="24"/>
          <w:szCs w:val="24"/>
        </w:rPr>
        <w:t xml:space="preserve"> 201</w:t>
      </w:r>
      <w:r w:rsidR="00C300B1">
        <w:rPr>
          <w:sz w:val="24"/>
          <w:szCs w:val="24"/>
        </w:rPr>
        <w:t>5</w:t>
      </w:r>
      <w:r w:rsidR="00C77603">
        <w:rPr>
          <w:sz w:val="24"/>
          <w:szCs w:val="24"/>
        </w:rPr>
        <w:t>)</w:t>
      </w:r>
      <w:r w:rsidRPr="00703D22">
        <w:rPr>
          <w:sz w:val="24"/>
          <w:szCs w:val="24"/>
        </w:rPr>
        <w:t xml:space="preserve">. Capacity building at the EU center may subsequently </w:t>
      </w:r>
      <w:r w:rsidRPr="00703D22">
        <w:rPr>
          <w:sz w:val="24"/>
          <w:szCs w:val="24"/>
        </w:rPr>
        <w:lastRenderedPageBreak/>
        <w:t xml:space="preserve">strengthen the Commission’s capacity to pursue independent policy formulation, to manage decentralized policy implementation, and to draw common lessons from experience. In this regard, the rise of a European administrative system at EU level may also strengthen the Commission’s capacity to </w:t>
      </w:r>
      <w:r w:rsidR="00B21FCD">
        <w:rPr>
          <w:sz w:val="24"/>
          <w:szCs w:val="24"/>
        </w:rPr>
        <w:t>co-opt</w:t>
      </w:r>
      <w:r w:rsidRPr="00703D22">
        <w:rPr>
          <w:sz w:val="24"/>
          <w:szCs w:val="24"/>
        </w:rPr>
        <w:t xml:space="preserve"> domestic non-majoritarian instit</w:t>
      </w:r>
      <w:r w:rsidR="00375765">
        <w:rPr>
          <w:sz w:val="24"/>
          <w:szCs w:val="24"/>
        </w:rPr>
        <w:t>utions</w:t>
      </w:r>
      <w:r w:rsidR="00B21FCD">
        <w:rPr>
          <w:sz w:val="24"/>
          <w:szCs w:val="24"/>
        </w:rPr>
        <w:t xml:space="preserve"> and networks of these</w:t>
      </w:r>
      <w:r w:rsidRPr="00703D22">
        <w:rPr>
          <w:sz w:val="24"/>
          <w:szCs w:val="24"/>
        </w:rPr>
        <w:t>, thus integrating public administration in Europe across levels of government. Despite public administration being conceived of as a core state power (Genschel and Jachtenfuchs</w:t>
      </w:r>
      <w:r w:rsidR="00A359F7">
        <w:rPr>
          <w:sz w:val="24"/>
          <w:szCs w:val="24"/>
        </w:rPr>
        <w:t>,</w:t>
      </w:r>
      <w:r w:rsidRPr="00703D22">
        <w:rPr>
          <w:sz w:val="24"/>
          <w:szCs w:val="24"/>
        </w:rPr>
        <w:t xml:space="preserve"> 2014), capacity building in public administration serves to achieve regulatory integration in mostly non-core state policies. </w:t>
      </w:r>
    </w:p>
    <w:p w:rsidR="00935217" w:rsidRPr="00703D22" w:rsidRDefault="00935217" w:rsidP="00703D22">
      <w:pPr>
        <w:spacing w:after="0" w:line="480" w:lineRule="auto"/>
        <w:rPr>
          <w:sz w:val="24"/>
          <w:szCs w:val="24"/>
        </w:rPr>
      </w:pPr>
    </w:p>
    <w:p w:rsidR="00935217" w:rsidRPr="00703D22" w:rsidRDefault="00DF4BC2" w:rsidP="00703D22">
      <w:pPr>
        <w:spacing w:after="0" w:line="480" w:lineRule="auto"/>
        <w:rPr>
          <w:sz w:val="24"/>
          <w:szCs w:val="24"/>
        </w:rPr>
      </w:pPr>
      <w:r w:rsidRPr="00DF4BC2">
        <w:rPr>
          <w:b/>
          <w:i/>
          <w:sz w:val="24"/>
          <w:szCs w:val="24"/>
        </w:rPr>
        <w:t>Institutional independence:</w:t>
      </w:r>
      <w:r>
        <w:rPr>
          <w:sz w:val="24"/>
          <w:szCs w:val="24"/>
        </w:rPr>
        <w:t xml:space="preserve"> </w:t>
      </w:r>
      <w:r w:rsidR="00935217" w:rsidRPr="00703D22">
        <w:rPr>
          <w:sz w:val="24"/>
          <w:szCs w:val="24"/>
        </w:rPr>
        <w:t xml:space="preserve">Firstly, the rise of a European administrative system involves institutionalizing some degree of </w:t>
      </w:r>
      <w:r w:rsidR="00935217" w:rsidRPr="00C77603">
        <w:rPr>
          <w:i/>
          <w:sz w:val="24"/>
          <w:szCs w:val="24"/>
        </w:rPr>
        <w:t>independent administrative capacity</w:t>
      </w:r>
      <w:r w:rsidR="00935217" w:rsidRPr="00703D22">
        <w:rPr>
          <w:sz w:val="24"/>
          <w:szCs w:val="24"/>
        </w:rPr>
        <w:t xml:space="preserve"> at European level, especially relatively permanent and separate institutions that are able to act fairly independently from member-state governments. </w:t>
      </w:r>
      <w:r w:rsidR="00C77603">
        <w:rPr>
          <w:sz w:val="24"/>
          <w:szCs w:val="24"/>
        </w:rPr>
        <w:t>T</w:t>
      </w:r>
      <w:r w:rsidR="00935217" w:rsidRPr="00703D22">
        <w:rPr>
          <w:sz w:val="24"/>
          <w:szCs w:val="24"/>
        </w:rPr>
        <w:t xml:space="preserve">he growth of administrative capacities, not only within the Commission but also in institutions surrounding the Commission, may contribute to strengthening the independent capacities of the Commission – thus facilitating the formation of a common European administrative system. In addition to in-house organizational capacities, the Commission has increasingly been supplied with auxiliary capacities composed of expert committees, EU agencies, networks of national regulators, and even the </w:t>
      </w:r>
      <w:r w:rsidR="00B21FCD">
        <w:rPr>
          <w:sz w:val="24"/>
          <w:szCs w:val="24"/>
        </w:rPr>
        <w:t>European Parliament (</w:t>
      </w:r>
      <w:r w:rsidR="00935217" w:rsidRPr="00703D22">
        <w:rPr>
          <w:sz w:val="24"/>
          <w:szCs w:val="24"/>
        </w:rPr>
        <w:t>EP</w:t>
      </w:r>
      <w:r w:rsidR="00B21FCD">
        <w:rPr>
          <w:sz w:val="24"/>
          <w:szCs w:val="24"/>
        </w:rPr>
        <w:t>)</w:t>
      </w:r>
      <w:r w:rsidR="00935217" w:rsidRPr="00703D22">
        <w:rPr>
          <w:sz w:val="24"/>
          <w:szCs w:val="24"/>
        </w:rPr>
        <w:t xml:space="preserve"> administration.</w:t>
      </w:r>
    </w:p>
    <w:p w:rsidR="00935217" w:rsidRPr="00703D22" w:rsidRDefault="00935217" w:rsidP="00703D22">
      <w:pPr>
        <w:spacing w:after="0" w:line="480" w:lineRule="auto"/>
        <w:rPr>
          <w:sz w:val="24"/>
          <w:szCs w:val="24"/>
        </w:rPr>
      </w:pPr>
    </w:p>
    <w:p w:rsidR="00935217" w:rsidRPr="00703D22" w:rsidRDefault="00935217" w:rsidP="00703D22">
      <w:pPr>
        <w:spacing w:after="0" w:line="480" w:lineRule="auto"/>
        <w:rPr>
          <w:sz w:val="24"/>
          <w:szCs w:val="24"/>
        </w:rPr>
      </w:pPr>
      <w:r w:rsidRPr="00703D22">
        <w:rPr>
          <w:sz w:val="24"/>
          <w:szCs w:val="24"/>
        </w:rPr>
        <w:t xml:space="preserve">Jean Monnet intended to create a small, independent, and entrepreneurial </w:t>
      </w:r>
      <w:r w:rsidR="00B21FCD">
        <w:rPr>
          <w:sz w:val="24"/>
          <w:szCs w:val="24"/>
        </w:rPr>
        <w:t>European executive institution</w:t>
      </w:r>
      <w:r w:rsidRPr="00703D22">
        <w:rPr>
          <w:sz w:val="24"/>
          <w:szCs w:val="24"/>
        </w:rPr>
        <w:t xml:space="preserve"> above member-state governments for the ever-closer integration of states. However, </w:t>
      </w:r>
      <w:r w:rsidRPr="00703D22">
        <w:rPr>
          <w:sz w:val="24"/>
          <w:szCs w:val="24"/>
        </w:rPr>
        <w:lastRenderedPageBreak/>
        <w:t>following a steady growth of staff over the subsequent 60 years, the most recent expansion of the EU administration is found at the level below the Commission, notably among EU agencies</w:t>
      </w:r>
      <w:r w:rsidR="00C77603">
        <w:rPr>
          <w:sz w:val="24"/>
          <w:szCs w:val="24"/>
        </w:rPr>
        <w:t xml:space="preserve"> (Busuioc et al.</w:t>
      </w:r>
      <w:r w:rsidR="00A359F7">
        <w:rPr>
          <w:sz w:val="24"/>
          <w:szCs w:val="24"/>
        </w:rPr>
        <w:t>,</w:t>
      </w:r>
      <w:r w:rsidR="00C77603">
        <w:rPr>
          <w:sz w:val="24"/>
          <w:szCs w:val="24"/>
        </w:rPr>
        <w:t xml:space="preserve"> 2012; Egeberg and Trondal</w:t>
      </w:r>
      <w:r w:rsidR="00A359F7">
        <w:rPr>
          <w:sz w:val="24"/>
          <w:szCs w:val="24"/>
        </w:rPr>
        <w:t>,</w:t>
      </w:r>
      <w:r w:rsidR="00C77603">
        <w:rPr>
          <w:sz w:val="24"/>
          <w:szCs w:val="24"/>
        </w:rPr>
        <w:t xml:space="preserve"> 2011; Rittberger and Wonka</w:t>
      </w:r>
      <w:r w:rsidR="00A359F7">
        <w:rPr>
          <w:sz w:val="24"/>
          <w:szCs w:val="24"/>
        </w:rPr>
        <w:t>,</w:t>
      </w:r>
      <w:r w:rsidR="00C77603">
        <w:rPr>
          <w:sz w:val="24"/>
          <w:szCs w:val="24"/>
        </w:rPr>
        <w:t xml:space="preserve"> 2011)</w:t>
      </w:r>
      <w:r w:rsidRPr="00703D22">
        <w:rPr>
          <w:sz w:val="24"/>
          <w:szCs w:val="24"/>
        </w:rPr>
        <w:t>.</w:t>
      </w:r>
      <w:r w:rsidR="00375765">
        <w:rPr>
          <w:sz w:val="24"/>
          <w:szCs w:val="24"/>
        </w:rPr>
        <w:t xml:space="preserve"> </w:t>
      </w:r>
      <w:r w:rsidR="00DF4BC2">
        <w:rPr>
          <w:sz w:val="24"/>
          <w:szCs w:val="24"/>
        </w:rPr>
        <w:t>In the Commission literature a</w:t>
      </w:r>
      <w:r w:rsidRPr="00703D22">
        <w:rPr>
          <w:sz w:val="24"/>
          <w:szCs w:val="24"/>
        </w:rPr>
        <w:t xml:space="preserve"> </w:t>
      </w:r>
      <w:r w:rsidR="00DF4BC2" w:rsidRPr="00703D22">
        <w:rPr>
          <w:sz w:val="24"/>
          <w:szCs w:val="24"/>
        </w:rPr>
        <w:t>long-</w:t>
      </w:r>
      <w:r w:rsidR="00DF4BC2">
        <w:rPr>
          <w:sz w:val="24"/>
          <w:szCs w:val="24"/>
        </w:rPr>
        <w:t>standing</w:t>
      </w:r>
      <w:r w:rsidR="00DF4BC2" w:rsidRPr="00703D22">
        <w:rPr>
          <w:sz w:val="24"/>
          <w:szCs w:val="24"/>
        </w:rPr>
        <w:t xml:space="preserve"> </w:t>
      </w:r>
      <w:r w:rsidRPr="00703D22">
        <w:rPr>
          <w:sz w:val="24"/>
          <w:szCs w:val="24"/>
        </w:rPr>
        <w:t xml:space="preserve">myth </w:t>
      </w:r>
      <w:r w:rsidR="00DF4BC2">
        <w:rPr>
          <w:sz w:val="24"/>
          <w:szCs w:val="24"/>
        </w:rPr>
        <w:t>has challenged the idea of an independent Commission arguing</w:t>
      </w:r>
      <w:r w:rsidRPr="00703D22">
        <w:rPr>
          <w:sz w:val="24"/>
          <w:szCs w:val="24"/>
        </w:rPr>
        <w:t xml:space="preserve"> that nationality fundamentally shapes the preferences of Commission staff and ultimately the internal functioning o</w:t>
      </w:r>
      <w:r w:rsidR="00C55295">
        <w:rPr>
          <w:sz w:val="24"/>
          <w:szCs w:val="24"/>
        </w:rPr>
        <w:t>f the Commission (Kassim et al.</w:t>
      </w:r>
      <w:r w:rsidR="00A359F7">
        <w:rPr>
          <w:sz w:val="24"/>
          <w:szCs w:val="24"/>
        </w:rPr>
        <w:t>,</w:t>
      </w:r>
      <w:r w:rsidRPr="00703D22">
        <w:rPr>
          <w:sz w:val="24"/>
          <w:szCs w:val="24"/>
        </w:rPr>
        <w:t xml:space="preserve"> 2013). However</w:t>
      </w:r>
      <w:r w:rsidR="00DF4BC2">
        <w:rPr>
          <w:sz w:val="24"/>
          <w:szCs w:val="24"/>
        </w:rPr>
        <w:t>, more recent work</w:t>
      </w:r>
      <w:r w:rsidRPr="00703D22">
        <w:rPr>
          <w:sz w:val="24"/>
          <w:szCs w:val="24"/>
        </w:rPr>
        <w:t xml:space="preserve"> report</w:t>
      </w:r>
      <w:r w:rsidR="00DF4BC2">
        <w:rPr>
          <w:sz w:val="24"/>
          <w:szCs w:val="24"/>
        </w:rPr>
        <w:t>s</w:t>
      </w:r>
      <w:r w:rsidRPr="00703D22">
        <w:rPr>
          <w:sz w:val="24"/>
          <w:szCs w:val="24"/>
        </w:rPr>
        <w:t xml:space="preserve"> that the Commission administration </w:t>
      </w:r>
      <w:r w:rsidR="00DF4BC2">
        <w:rPr>
          <w:sz w:val="24"/>
          <w:szCs w:val="24"/>
        </w:rPr>
        <w:t>is able to act</w:t>
      </w:r>
      <w:r w:rsidRPr="00703D22">
        <w:rPr>
          <w:sz w:val="24"/>
          <w:szCs w:val="24"/>
        </w:rPr>
        <w:t xml:space="preserve"> fairly independent of member-state governments. </w:t>
      </w:r>
      <w:r w:rsidR="00DF4BC2">
        <w:rPr>
          <w:sz w:val="24"/>
          <w:szCs w:val="24"/>
        </w:rPr>
        <w:t>S</w:t>
      </w:r>
      <w:r w:rsidR="00DF4BC2" w:rsidRPr="00703D22">
        <w:rPr>
          <w:sz w:val="24"/>
          <w:szCs w:val="24"/>
        </w:rPr>
        <w:t xml:space="preserve">tudies suggest that the </w:t>
      </w:r>
      <w:r w:rsidR="00DF4BC2">
        <w:rPr>
          <w:sz w:val="24"/>
          <w:szCs w:val="24"/>
        </w:rPr>
        <w:t xml:space="preserve">rise of </w:t>
      </w:r>
      <w:r w:rsidR="00DF4BC2" w:rsidRPr="00703D22">
        <w:rPr>
          <w:sz w:val="24"/>
          <w:szCs w:val="24"/>
        </w:rPr>
        <w:t>organizational capacity inside the Commission, particularly in sectorally-organized DGs, in practice tends to safeguard its independence vis-à-vis member-state governments.</w:t>
      </w:r>
      <w:r w:rsidR="00DF4BC2">
        <w:rPr>
          <w:sz w:val="24"/>
          <w:szCs w:val="24"/>
        </w:rPr>
        <w:t xml:space="preserve"> </w:t>
      </w:r>
      <w:r w:rsidR="00C55295">
        <w:rPr>
          <w:sz w:val="24"/>
          <w:szCs w:val="24"/>
        </w:rPr>
        <w:t>Ellinas and Suleiman (2012:</w:t>
      </w:r>
      <w:r w:rsidRPr="00703D22">
        <w:rPr>
          <w:sz w:val="24"/>
          <w:szCs w:val="24"/>
        </w:rPr>
        <w:t xml:space="preserve"> 65) show that top Commission bureaucrats tend to rely</w:t>
      </w:r>
      <w:r w:rsidR="00B21FCD">
        <w:rPr>
          <w:sz w:val="24"/>
          <w:szCs w:val="24"/>
        </w:rPr>
        <w:t xml:space="preserve"> customarily</w:t>
      </w:r>
      <w:r w:rsidRPr="00703D22">
        <w:rPr>
          <w:sz w:val="24"/>
          <w:szCs w:val="24"/>
        </w:rPr>
        <w:t xml:space="preserve"> on information from </w:t>
      </w:r>
      <w:r w:rsidRPr="00DF4BC2">
        <w:rPr>
          <w:i/>
          <w:sz w:val="24"/>
          <w:szCs w:val="24"/>
        </w:rPr>
        <w:t>within</w:t>
      </w:r>
      <w:r w:rsidRPr="00703D22">
        <w:rPr>
          <w:sz w:val="24"/>
          <w:szCs w:val="24"/>
        </w:rPr>
        <w:t xml:space="preserve"> the Commission administration. Moreover, Commission officials, </w:t>
      </w:r>
      <w:r w:rsidR="00DF4BC2">
        <w:rPr>
          <w:sz w:val="24"/>
          <w:szCs w:val="24"/>
        </w:rPr>
        <w:t>also the</w:t>
      </w:r>
      <w:r w:rsidR="00DF4BC2" w:rsidRPr="00703D22">
        <w:rPr>
          <w:sz w:val="24"/>
          <w:szCs w:val="24"/>
        </w:rPr>
        <w:t xml:space="preserve"> </w:t>
      </w:r>
      <w:r w:rsidRPr="00703D22">
        <w:rPr>
          <w:sz w:val="24"/>
          <w:szCs w:val="24"/>
        </w:rPr>
        <w:t xml:space="preserve">seconded national experts, indicate a rather low degree of identification with their home governments and tend to have infrequent contact with their </w:t>
      </w:r>
      <w:r w:rsidR="00375765">
        <w:rPr>
          <w:sz w:val="24"/>
          <w:szCs w:val="24"/>
        </w:rPr>
        <w:t xml:space="preserve">home </w:t>
      </w:r>
      <w:r w:rsidRPr="00703D22">
        <w:rPr>
          <w:sz w:val="24"/>
          <w:szCs w:val="24"/>
        </w:rPr>
        <w:t>administration (</w:t>
      </w:r>
      <w:r w:rsidR="00C77603">
        <w:rPr>
          <w:sz w:val="24"/>
          <w:szCs w:val="24"/>
        </w:rPr>
        <w:t>Murdoch and Trondal</w:t>
      </w:r>
      <w:r w:rsidR="00A359F7">
        <w:rPr>
          <w:sz w:val="24"/>
          <w:szCs w:val="24"/>
        </w:rPr>
        <w:t>,</w:t>
      </w:r>
      <w:r w:rsidR="00C77603">
        <w:rPr>
          <w:sz w:val="24"/>
          <w:szCs w:val="24"/>
        </w:rPr>
        <w:t xml:space="preserve"> 2013</w:t>
      </w:r>
      <w:r w:rsidRPr="00703D22">
        <w:rPr>
          <w:sz w:val="24"/>
          <w:szCs w:val="24"/>
        </w:rPr>
        <w:t xml:space="preserve">). Similar observations are made on the position formation among permanent </w:t>
      </w:r>
      <w:r w:rsidR="00B21FCD">
        <w:rPr>
          <w:sz w:val="24"/>
          <w:szCs w:val="24"/>
        </w:rPr>
        <w:t>officials</w:t>
      </w:r>
      <w:r w:rsidR="00C55295">
        <w:rPr>
          <w:sz w:val="24"/>
          <w:szCs w:val="24"/>
        </w:rPr>
        <w:t xml:space="preserve"> (Hartlapp et al.</w:t>
      </w:r>
      <w:r w:rsidR="00A359F7">
        <w:rPr>
          <w:sz w:val="24"/>
          <w:szCs w:val="24"/>
        </w:rPr>
        <w:t>,</w:t>
      </w:r>
      <w:r w:rsidRPr="00703D22">
        <w:rPr>
          <w:sz w:val="24"/>
          <w:szCs w:val="24"/>
        </w:rPr>
        <w:t xml:space="preserve"> 2010) and</w:t>
      </w:r>
      <w:r w:rsidR="00DF4BC2">
        <w:rPr>
          <w:sz w:val="24"/>
          <w:szCs w:val="24"/>
        </w:rPr>
        <w:t xml:space="preserve"> on the role perceptions among</w:t>
      </w:r>
      <w:r w:rsidRPr="00703D22">
        <w:rPr>
          <w:sz w:val="24"/>
          <w:szCs w:val="24"/>
        </w:rPr>
        <w:t xml:space="preserve"> the Co</w:t>
      </w:r>
      <w:r w:rsidR="00C55295">
        <w:rPr>
          <w:sz w:val="24"/>
          <w:szCs w:val="24"/>
        </w:rPr>
        <w:t>llege of Commissioners (Egeberg</w:t>
      </w:r>
      <w:r w:rsidR="00A359F7">
        <w:rPr>
          <w:sz w:val="24"/>
          <w:szCs w:val="24"/>
        </w:rPr>
        <w:t>,</w:t>
      </w:r>
      <w:r w:rsidRPr="00703D22">
        <w:rPr>
          <w:sz w:val="24"/>
          <w:szCs w:val="24"/>
        </w:rPr>
        <w:t xml:space="preserve"> 2006).</w:t>
      </w:r>
    </w:p>
    <w:p w:rsidR="00935217" w:rsidRPr="00703D22" w:rsidRDefault="00935217" w:rsidP="00703D22">
      <w:pPr>
        <w:spacing w:after="0" w:line="480" w:lineRule="auto"/>
        <w:rPr>
          <w:sz w:val="24"/>
          <w:szCs w:val="24"/>
        </w:rPr>
      </w:pPr>
    </w:p>
    <w:p w:rsidR="00935217" w:rsidRPr="00703D22" w:rsidRDefault="00935217" w:rsidP="00703D22">
      <w:pPr>
        <w:spacing w:after="0" w:line="480" w:lineRule="auto"/>
        <w:rPr>
          <w:sz w:val="24"/>
          <w:szCs w:val="24"/>
        </w:rPr>
      </w:pPr>
      <w:r w:rsidRPr="00703D22">
        <w:rPr>
          <w:sz w:val="24"/>
          <w:szCs w:val="24"/>
        </w:rPr>
        <w:t xml:space="preserve">Faced with an increasing agenda overload, one supplementary strategy available to the Commission, in addition to building in-house administrative capacities, </w:t>
      </w:r>
      <w:r w:rsidR="00375765">
        <w:rPr>
          <w:sz w:val="24"/>
          <w:szCs w:val="24"/>
        </w:rPr>
        <w:t>has been</w:t>
      </w:r>
      <w:r w:rsidRPr="00703D22">
        <w:rPr>
          <w:sz w:val="24"/>
          <w:szCs w:val="24"/>
        </w:rPr>
        <w:t xml:space="preserve"> to import external experts when preparing legislative initiatives</w:t>
      </w:r>
      <w:r w:rsidR="00C77603">
        <w:rPr>
          <w:sz w:val="24"/>
          <w:szCs w:val="24"/>
        </w:rPr>
        <w:t xml:space="preserve"> (Christiansen and Kirchner</w:t>
      </w:r>
      <w:r w:rsidR="00A359F7">
        <w:rPr>
          <w:sz w:val="24"/>
          <w:szCs w:val="24"/>
        </w:rPr>
        <w:t>,</w:t>
      </w:r>
      <w:r w:rsidR="00C77603">
        <w:rPr>
          <w:sz w:val="24"/>
          <w:szCs w:val="24"/>
        </w:rPr>
        <w:t xml:space="preserve"> 2000; Egeberg et al.</w:t>
      </w:r>
      <w:r w:rsidR="00A359F7">
        <w:rPr>
          <w:sz w:val="24"/>
          <w:szCs w:val="24"/>
        </w:rPr>
        <w:t>,</w:t>
      </w:r>
      <w:r w:rsidR="00C77603">
        <w:rPr>
          <w:sz w:val="24"/>
          <w:szCs w:val="24"/>
        </w:rPr>
        <w:t xml:space="preserve"> 2003; Gornitzka and Sverdrup</w:t>
      </w:r>
      <w:r w:rsidR="00A359F7">
        <w:rPr>
          <w:sz w:val="24"/>
          <w:szCs w:val="24"/>
        </w:rPr>
        <w:t>,</w:t>
      </w:r>
      <w:r w:rsidR="00C77603">
        <w:rPr>
          <w:sz w:val="24"/>
          <w:szCs w:val="24"/>
        </w:rPr>
        <w:t xml:space="preserve"> 201</w:t>
      </w:r>
      <w:r w:rsidR="00C300B1">
        <w:rPr>
          <w:sz w:val="24"/>
          <w:szCs w:val="24"/>
        </w:rPr>
        <w:t>5</w:t>
      </w:r>
      <w:r w:rsidR="00C77603">
        <w:rPr>
          <w:sz w:val="24"/>
          <w:szCs w:val="24"/>
        </w:rPr>
        <w:t>; Larsson</w:t>
      </w:r>
      <w:r w:rsidR="00A359F7">
        <w:rPr>
          <w:sz w:val="24"/>
          <w:szCs w:val="24"/>
        </w:rPr>
        <w:t>,</w:t>
      </w:r>
      <w:r w:rsidR="00C77603">
        <w:rPr>
          <w:sz w:val="24"/>
          <w:szCs w:val="24"/>
        </w:rPr>
        <w:t xml:space="preserve"> 2003)</w:t>
      </w:r>
      <w:r w:rsidRPr="00703D22">
        <w:rPr>
          <w:sz w:val="24"/>
          <w:szCs w:val="24"/>
        </w:rPr>
        <w:t>.</w:t>
      </w:r>
      <w:r w:rsidR="00C77603">
        <w:rPr>
          <w:sz w:val="24"/>
          <w:szCs w:val="24"/>
        </w:rPr>
        <w:t xml:space="preserve"> Studies suggest that</w:t>
      </w:r>
      <w:r w:rsidRPr="00703D22">
        <w:rPr>
          <w:sz w:val="24"/>
          <w:szCs w:val="24"/>
        </w:rPr>
        <w:t xml:space="preserve"> </w:t>
      </w:r>
      <w:r w:rsidR="00C77603">
        <w:rPr>
          <w:sz w:val="24"/>
          <w:szCs w:val="24"/>
        </w:rPr>
        <w:t>e</w:t>
      </w:r>
      <w:r w:rsidRPr="00703D22">
        <w:rPr>
          <w:sz w:val="24"/>
          <w:szCs w:val="24"/>
        </w:rPr>
        <w:t xml:space="preserve">xpert committees tend in practice to strengthen the administrative capacity of the sectoral structure </w:t>
      </w:r>
      <w:r w:rsidRPr="00703D22">
        <w:rPr>
          <w:sz w:val="24"/>
          <w:szCs w:val="24"/>
        </w:rPr>
        <w:lastRenderedPageBreak/>
        <w:t xml:space="preserve">of the Commission administration for two main reasons. Firstly, these committees are typically subordinated directly under </w:t>
      </w:r>
      <w:r w:rsidR="00375765">
        <w:rPr>
          <w:sz w:val="24"/>
          <w:szCs w:val="24"/>
        </w:rPr>
        <w:t>respective</w:t>
      </w:r>
      <w:r w:rsidRPr="00703D22">
        <w:rPr>
          <w:sz w:val="24"/>
          <w:szCs w:val="24"/>
        </w:rPr>
        <w:t xml:space="preserve"> DGs; most expert committees report to their parent DG and seldom to other DGs. Secondly, most expert committees are single-task entities largely mirroring the sector specialization of the DGs (see Gornitzka and Sverdrup</w:t>
      </w:r>
      <w:r w:rsidR="00A359F7">
        <w:rPr>
          <w:sz w:val="24"/>
          <w:szCs w:val="24"/>
        </w:rPr>
        <w:t>,</w:t>
      </w:r>
      <w:r w:rsidRPr="00703D22">
        <w:rPr>
          <w:sz w:val="24"/>
          <w:szCs w:val="24"/>
        </w:rPr>
        <w:t xml:space="preserve"> 201</w:t>
      </w:r>
      <w:r w:rsidR="00C300B1">
        <w:rPr>
          <w:sz w:val="24"/>
          <w:szCs w:val="24"/>
        </w:rPr>
        <w:t>5</w:t>
      </w:r>
      <w:r w:rsidRPr="00703D22">
        <w:rPr>
          <w:sz w:val="24"/>
          <w:szCs w:val="24"/>
        </w:rPr>
        <w:t>).</w:t>
      </w:r>
      <w:r w:rsidR="00DF4BC2">
        <w:rPr>
          <w:sz w:val="24"/>
          <w:szCs w:val="24"/>
        </w:rPr>
        <w:t xml:space="preserve"> National government officials attending these committees also evoke a role perception that reflects their sector portfolios to a larger extent than their country of origin (Egeberg et al.</w:t>
      </w:r>
      <w:r w:rsidR="00A359F7">
        <w:rPr>
          <w:sz w:val="24"/>
          <w:szCs w:val="24"/>
        </w:rPr>
        <w:t>,</w:t>
      </w:r>
      <w:r w:rsidR="00DF4BC2">
        <w:rPr>
          <w:sz w:val="24"/>
          <w:szCs w:val="24"/>
        </w:rPr>
        <w:t xml:space="preserve"> 2003).</w:t>
      </w:r>
    </w:p>
    <w:p w:rsidR="00935217" w:rsidRPr="00703D22" w:rsidRDefault="00935217" w:rsidP="00703D22">
      <w:pPr>
        <w:spacing w:after="0" w:line="480" w:lineRule="auto"/>
        <w:rPr>
          <w:sz w:val="24"/>
          <w:szCs w:val="24"/>
        </w:rPr>
      </w:pPr>
    </w:p>
    <w:p w:rsidR="00935217" w:rsidRPr="00703D22" w:rsidRDefault="00935217" w:rsidP="00703D22">
      <w:pPr>
        <w:spacing w:after="0" w:line="480" w:lineRule="auto"/>
        <w:rPr>
          <w:sz w:val="24"/>
          <w:szCs w:val="24"/>
        </w:rPr>
      </w:pPr>
      <w:r w:rsidRPr="00703D22">
        <w:rPr>
          <w:sz w:val="24"/>
          <w:szCs w:val="24"/>
        </w:rPr>
        <w:t>In addition, the Commission also has EU agencies and networks of independent national agencies at its disposal (see Busuioc et al.</w:t>
      </w:r>
      <w:r w:rsidR="00A359F7">
        <w:rPr>
          <w:sz w:val="24"/>
          <w:szCs w:val="24"/>
        </w:rPr>
        <w:t>,</w:t>
      </w:r>
      <w:r w:rsidRPr="00703D22">
        <w:rPr>
          <w:sz w:val="24"/>
          <w:szCs w:val="24"/>
        </w:rPr>
        <w:t xml:space="preserve"> 2012). Firstly, EU agencies may supply the Commission with relevant administrative and executive capacity. </w:t>
      </w:r>
      <w:r w:rsidR="00B21FCD">
        <w:rPr>
          <w:sz w:val="24"/>
          <w:szCs w:val="24"/>
        </w:rPr>
        <w:t xml:space="preserve">The </w:t>
      </w:r>
      <w:r w:rsidRPr="00703D22">
        <w:rPr>
          <w:sz w:val="24"/>
          <w:szCs w:val="24"/>
        </w:rPr>
        <w:t>‘</w:t>
      </w:r>
      <w:r w:rsidR="00B21FCD">
        <w:rPr>
          <w:sz w:val="24"/>
          <w:szCs w:val="24"/>
        </w:rPr>
        <w:t>a</w:t>
      </w:r>
      <w:r w:rsidRPr="00703D22">
        <w:rPr>
          <w:sz w:val="24"/>
          <w:szCs w:val="24"/>
        </w:rPr>
        <w:t>gency fever’ at EU level has been accelerating fairl</w:t>
      </w:r>
      <w:r w:rsidR="00C55295">
        <w:rPr>
          <w:sz w:val="24"/>
          <w:szCs w:val="24"/>
        </w:rPr>
        <w:t>y recently (Curtin and Dehousse</w:t>
      </w:r>
      <w:r w:rsidR="00A359F7">
        <w:rPr>
          <w:sz w:val="24"/>
          <w:szCs w:val="24"/>
        </w:rPr>
        <w:t>,</w:t>
      </w:r>
      <w:r w:rsidRPr="00703D22">
        <w:rPr>
          <w:sz w:val="24"/>
          <w:szCs w:val="24"/>
        </w:rPr>
        <w:t xml:space="preserve"> 2012) – since the early 1990s more than </w:t>
      </w:r>
      <w:r w:rsidR="00C77603">
        <w:rPr>
          <w:sz w:val="24"/>
          <w:szCs w:val="24"/>
        </w:rPr>
        <w:t>30 regulatory</w:t>
      </w:r>
      <w:r w:rsidRPr="00703D22">
        <w:rPr>
          <w:sz w:val="24"/>
          <w:szCs w:val="24"/>
        </w:rPr>
        <w:t xml:space="preserve"> EU agencies have been created. Several of the agencies currently existing are granted some degree of formal decision-making power, while the remaining agencies have tasks such as information gathering, technical support</w:t>
      </w:r>
      <w:r w:rsidR="00C55295">
        <w:rPr>
          <w:sz w:val="24"/>
          <w:szCs w:val="24"/>
        </w:rPr>
        <w:t>, and administration (Groenleer</w:t>
      </w:r>
      <w:r w:rsidR="00A359F7">
        <w:rPr>
          <w:sz w:val="24"/>
          <w:szCs w:val="24"/>
        </w:rPr>
        <w:t>,</w:t>
      </w:r>
      <w:r w:rsidRPr="00703D22">
        <w:rPr>
          <w:sz w:val="24"/>
          <w:szCs w:val="24"/>
        </w:rPr>
        <w:t xml:space="preserve"> 2009). Most EU agencies have restricted de jure powers, particularly with regard to making decisions.</w:t>
      </w:r>
      <w:r w:rsidR="00DF4BC2">
        <w:rPr>
          <w:sz w:val="24"/>
          <w:szCs w:val="24"/>
        </w:rPr>
        <w:t xml:space="preserve"> Still, studies document profound task expansion also among ‘non-regulatory’ EU agencies (Egeberg and Trondal</w:t>
      </w:r>
      <w:r w:rsidR="00A359F7">
        <w:rPr>
          <w:sz w:val="24"/>
          <w:szCs w:val="24"/>
        </w:rPr>
        <w:t>,</w:t>
      </w:r>
      <w:r w:rsidR="00DF4BC2">
        <w:rPr>
          <w:sz w:val="24"/>
          <w:szCs w:val="24"/>
        </w:rPr>
        <w:t xml:space="preserve"> 2011). EU agencies in practice thus tend to supply the Commission with executive capacities at the implementation stage of the policy-making cycle.</w:t>
      </w:r>
      <w:r w:rsidRPr="00703D22">
        <w:rPr>
          <w:sz w:val="24"/>
          <w:szCs w:val="24"/>
        </w:rPr>
        <w:t xml:space="preserve"> In addition to EU agencies, networks of national regulatory agencies have mushroomed, particularly with the role of facilitating the implementation of EU regulations (</w:t>
      </w:r>
      <w:r w:rsidR="00861858">
        <w:rPr>
          <w:sz w:val="24"/>
          <w:szCs w:val="24"/>
        </w:rPr>
        <w:t>Egeberg, Martens and Trondal</w:t>
      </w:r>
      <w:r w:rsidR="00A359F7">
        <w:rPr>
          <w:sz w:val="24"/>
          <w:szCs w:val="24"/>
        </w:rPr>
        <w:t>,</w:t>
      </w:r>
      <w:r w:rsidR="00861858">
        <w:rPr>
          <w:sz w:val="24"/>
          <w:szCs w:val="24"/>
        </w:rPr>
        <w:t xml:space="preserve"> 201</w:t>
      </w:r>
      <w:r w:rsidR="00C300B1">
        <w:rPr>
          <w:sz w:val="24"/>
          <w:szCs w:val="24"/>
        </w:rPr>
        <w:t>5</w:t>
      </w:r>
      <w:r w:rsidRPr="00703D22">
        <w:rPr>
          <w:sz w:val="24"/>
          <w:szCs w:val="24"/>
        </w:rPr>
        <w:t xml:space="preserve">). These networks have developed largely on the basis of pre-existing structures (for example, comitology committees), and have contributed to the accumulation and layering of </w:t>
      </w:r>
      <w:r w:rsidRPr="00703D22">
        <w:rPr>
          <w:sz w:val="24"/>
          <w:szCs w:val="24"/>
        </w:rPr>
        <w:lastRenderedPageBreak/>
        <w:t xml:space="preserve">independent administrative capacities that </w:t>
      </w:r>
      <w:r w:rsidR="00DF4BC2">
        <w:rPr>
          <w:sz w:val="24"/>
          <w:szCs w:val="24"/>
        </w:rPr>
        <w:t>supports the independent</w:t>
      </w:r>
      <w:r w:rsidRPr="00703D22">
        <w:rPr>
          <w:sz w:val="24"/>
          <w:szCs w:val="24"/>
        </w:rPr>
        <w:t xml:space="preserve"> implementation of EU regulations.</w:t>
      </w:r>
    </w:p>
    <w:p w:rsidR="00935217" w:rsidRPr="00703D22" w:rsidRDefault="00935217" w:rsidP="00703D22">
      <w:pPr>
        <w:spacing w:after="0" w:line="480" w:lineRule="auto"/>
        <w:rPr>
          <w:sz w:val="24"/>
          <w:szCs w:val="24"/>
        </w:rPr>
      </w:pPr>
    </w:p>
    <w:p w:rsidR="00DF4BC2" w:rsidRDefault="00935217" w:rsidP="00703D22">
      <w:pPr>
        <w:spacing w:after="0" w:line="480" w:lineRule="auto"/>
        <w:rPr>
          <w:sz w:val="24"/>
          <w:szCs w:val="24"/>
        </w:rPr>
      </w:pPr>
      <w:r w:rsidRPr="00703D22">
        <w:rPr>
          <w:sz w:val="24"/>
          <w:szCs w:val="24"/>
        </w:rPr>
        <w:t>Finally, even the EP administration is shown to supply the Commission with relevant administrative capacities (</w:t>
      </w:r>
      <w:r w:rsidR="00861858">
        <w:rPr>
          <w:sz w:val="24"/>
          <w:szCs w:val="24"/>
        </w:rPr>
        <w:t>Dobbels and Neuhold</w:t>
      </w:r>
      <w:r w:rsidR="00A359F7">
        <w:rPr>
          <w:sz w:val="24"/>
          <w:szCs w:val="24"/>
        </w:rPr>
        <w:t>,</w:t>
      </w:r>
      <w:r w:rsidR="00861858">
        <w:rPr>
          <w:sz w:val="24"/>
          <w:szCs w:val="24"/>
        </w:rPr>
        <w:t xml:space="preserve"> 2014; Egeberg</w:t>
      </w:r>
      <w:r w:rsidR="00763F80">
        <w:rPr>
          <w:sz w:val="24"/>
          <w:szCs w:val="24"/>
        </w:rPr>
        <w:t>, Gornitzka, Trondal and Johannesen</w:t>
      </w:r>
      <w:r w:rsidR="00A359F7">
        <w:rPr>
          <w:sz w:val="24"/>
          <w:szCs w:val="24"/>
        </w:rPr>
        <w:t>,</w:t>
      </w:r>
      <w:r w:rsidR="00861858">
        <w:rPr>
          <w:sz w:val="24"/>
          <w:szCs w:val="24"/>
        </w:rPr>
        <w:t xml:space="preserve"> 201</w:t>
      </w:r>
      <w:r w:rsidR="00763F80">
        <w:rPr>
          <w:sz w:val="24"/>
          <w:szCs w:val="24"/>
        </w:rPr>
        <w:t>5</w:t>
      </w:r>
      <w:r w:rsidRPr="00703D22">
        <w:rPr>
          <w:sz w:val="24"/>
          <w:szCs w:val="24"/>
        </w:rPr>
        <w:t xml:space="preserve">). Since the EP was established </w:t>
      </w:r>
      <w:r w:rsidR="00B21FCD">
        <w:rPr>
          <w:sz w:val="24"/>
          <w:szCs w:val="24"/>
        </w:rPr>
        <w:t>it has witnessed a profound</w:t>
      </w:r>
      <w:r w:rsidRPr="00703D22">
        <w:rPr>
          <w:sz w:val="24"/>
          <w:szCs w:val="24"/>
        </w:rPr>
        <w:t xml:space="preserve"> growth in its General Secretariat.</w:t>
      </w:r>
      <w:r w:rsidR="00291CDB">
        <w:rPr>
          <w:sz w:val="24"/>
          <w:szCs w:val="24"/>
        </w:rPr>
        <w:t xml:space="preserve"> The EP Secretariat, however, is observed to gravitate towards Commission DGs.</w:t>
      </w:r>
      <w:r w:rsidRPr="00703D22">
        <w:rPr>
          <w:sz w:val="24"/>
          <w:szCs w:val="24"/>
        </w:rPr>
        <w:t xml:space="preserve"> </w:t>
      </w:r>
      <w:r w:rsidR="00291CDB">
        <w:rPr>
          <w:sz w:val="24"/>
          <w:szCs w:val="24"/>
        </w:rPr>
        <w:t xml:space="preserve">For example, </w:t>
      </w:r>
      <w:r w:rsidR="00861858">
        <w:rPr>
          <w:sz w:val="24"/>
          <w:szCs w:val="24"/>
        </w:rPr>
        <w:t>Egeberg</w:t>
      </w:r>
      <w:r w:rsidR="00291CDB">
        <w:rPr>
          <w:sz w:val="24"/>
          <w:szCs w:val="24"/>
        </w:rPr>
        <w:t>, Gornitzka, Trondal and Johannessen</w:t>
      </w:r>
      <w:r w:rsidR="00861858">
        <w:rPr>
          <w:sz w:val="24"/>
          <w:szCs w:val="24"/>
        </w:rPr>
        <w:t xml:space="preserve"> (201</w:t>
      </w:r>
      <w:r w:rsidR="00C300B1">
        <w:rPr>
          <w:sz w:val="24"/>
          <w:szCs w:val="24"/>
        </w:rPr>
        <w:t>5</w:t>
      </w:r>
      <w:r w:rsidR="00861858">
        <w:rPr>
          <w:sz w:val="24"/>
          <w:szCs w:val="24"/>
        </w:rPr>
        <w:t>)</w:t>
      </w:r>
      <w:r w:rsidRPr="00703D22">
        <w:rPr>
          <w:sz w:val="24"/>
          <w:szCs w:val="24"/>
        </w:rPr>
        <w:t xml:space="preserve"> show that EP officials </w:t>
      </w:r>
      <w:r w:rsidR="00291CDB">
        <w:rPr>
          <w:sz w:val="24"/>
          <w:szCs w:val="24"/>
        </w:rPr>
        <w:t>enjoy</w:t>
      </w:r>
      <w:r w:rsidR="00291CDB" w:rsidRPr="00703D22">
        <w:rPr>
          <w:sz w:val="24"/>
          <w:szCs w:val="24"/>
        </w:rPr>
        <w:t xml:space="preserve"> </w:t>
      </w:r>
      <w:r w:rsidRPr="00703D22">
        <w:rPr>
          <w:sz w:val="24"/>
          <w:szCs w:val="24"/>
        </w:rPr>
        <w:t>a multiplicity of contacts as part of their daily work. However, the most important contact point reported is the Commission. EP officials also tend to emphasize most strongly arguments from the Commission, next to those from the Council. In short, the Commission seems to be the key interlocutor for the EP administration, although a systematic comparison with the Council Secretariat has not been reported (Egeberg et al.</w:t>
      </w:r>
      <w:r w:rsidR="00A359F7">
        <w:rPr>
          <w:sz w:val="24"/>
          <w:szCs w:val="24"/>
        </w:rPr>
        <w:t>,</w:t>
      </w:r>
      <w:r w:rsidRPr="00703D22">
        <w:rPr>
          <w:sz w:val="24"/>
          <w:szCs w:val="24"/>
        </w:rPr>
        <w:t xml:space="preserve"> 201</w:t>
      </w:r>
      <w:r w:rsidR="00C300B1">
        <w:rPr>
          <w:sz w:val="24"/>
          <w:szCs w:val="24"/>
        </w:rPr>
        <w:t>5</w:t>
      </w:r>
      <w:r w:rsidRPr="00703D22">
        <w:rPr>
          <w:sz w:val="24"/>
          <w:szCs w:val="24"/>
        </w:rPr>
        <w:t xml:space="preserve">). </w:t>
      </w:r>
    </w:p>
    <w:p w:rsidR="00DF4BC2" w:rsidRDefault="00DF4BC2" w:rsidP="00703D22">
      <w:pPr>
        <w:spacing w:after="0" w:line="480" w:lineRule="auto"/>
        <w:rPr>
          <w:sz w:val="24"/>
          <w:szCs w:val="24"/>
        </w:rPr>
      </w:pPr>
    </w:p>
    <w:p w:rsidR="00935217" w:rsidRPr="00703D22" w:rsidRDefault="00935217" w:rsidP="00703D22">
      <w:pPr>
        <w:spacing w:after="0" w:line="480" w:lineRule="auto"/>
        <w:rPr>
          <w:sz w:val="24"/>
          <w:szCs w:val="24"/>
        </w:rPr>
      </w:pPr>
      <w:r w:rsidRPr="00703D22">
        <w:rPr>
          <w:sz w:val="24"/>
          <w:szCs w:val="24"/>
        </w:rPr>
        <w:t>In summary, therefore, the Commission now has profound independent administrative capacities at its disposal in addition to its increased in-house capacity.</w:t>
      </w:r>
    </w:p>
    <w:p w:rsidR="00935217" w:rsidRPr="00703D22" w:rsidRDefault="00935217" w:rsidP="00703D22">
      <w:pPr>
        <w:spacing w:after="0" w:line="480" w:lineRule="auto"/>
        <w:rPr>
          <w:sz w:val="24"/>
          <w:szCs w:val="24"/>
        </w:rPr>
      </w:pPr>
    </w:p>
    <w:p w:rsidR="00A359F7" w:rsidRDefault="00DF4BC2" w:rsidP="00703D22">
      <w:pPr>
        <w:spacing w:after="0" w:line="480" w:lineRule="auto"/>
        <w:rPr>
          <w:sz w:val="24"/>
          <w:szCs w:val="24"/>
        </w:rPr>
      </w:pPr>
      <w:r w:rsidRPr="004C4717">
        <w:rPr>
          <w:b/>
          <w:i/>
          <w:sz w:val="24"/>
          <w:szCs w:val="24"/>
        </w:rPr>
        <w:t>Institutional integration:</w:t>
      </w:r>
      <w:r>
        <w:rPr>
          <w:sz w:val="24"/>
          <w:szCs w:val="24"/>
        </w:rPr>
        <w:t xml:space="preserve"> </w:t>
      </w:r>
      <w:r w:rsidR="00935217" w:rsidRPr="00703D22">
        <w:rPr>
          <w:sz w:val="24"/>
          <w:szCs w:val="24"/>
        </w:rPr>
        <w:t xml:space="preserve">Supplementing the vertical specialization of administrative systems, the </w:t>
      </w:r>
      <w:r w:rsidR="00935217" w:rsidRPr="00861858">
        <w:rPr>
          <w:i/>
          <w:sz w:val="24"/>
          <w:szCs w:val="24"/>
        </w:rPr>
        <w:t>internal integration</w:t>
      </w:r>
      <w:r w:rsidR="00935217" w:rsidRPr="00703D22">
        <w:rPr>
          <w:sz w:val="24"/>
          <w:szCs w:val="24"/>
        </w:rPr>
        <w:t xml:space="preserve"> of administrative systems is also increasingly </w:t>
      </w:r>
      <w:r w:rsidR="00763F80">
        <w:rPr>
          <w:sz w:val="24"/>
          <w:szCs w:val="24"/>
        </w:rPr>
        <w:t xml:space="preserve">debated and </w:t>
      </w:r>
      <w:r w:rsidR="00935217" w:rsidRPr="00703D22">
        <w:rPr>
          <w:sz w:val="24"/>
          <w:szCs w:val="24"/>
        </w:rPr>
        <w:t>documented within national governments – notably reasserting centers of executive government (Peters</w:t>
      </w:r>
      <w:r w:rsidR="00A359F7">
        <w:rPr>
          <w:sz w:val="24"/>
          <w:szCs w:val="24"/>
        </w:rPr>
        <w:t>,</w:t>
      </w:r>
      <w:r w:rsidR="00935217" w:rsidRPr="00703D22">
        <w:rPr>
          <w:sz w:val="24"/>
          <w:szCs w:val="24"/>
        </w:rPr>
        <w:t xml:space="preserve"> 2004; Poguntke and Webb</w:t>
      </w:r>
      <w:r w:rsidR="00A359F7">
        <w:rPr>
          <w:sz w:val="24"/>
          <w:szCs w:val="24"/>
        </w:rPr>
        <w:t>,</w:t>
      </w:r>
      <w:r w:rsidR="00935217" w:rsidRPr="00703D22">
        <w:rPr>
          <w:sz w:val="24"/>
          <w:szCs w:val="24"/>
        </w:rPr>
        <w:t xml:space="preserve"> 2005).</w:t>
      </w:r>
      <w:r>
        <w:rPr>
          <w:sz w:val="24"/>
          <w:szCs w:val="24"/>
        </w:rPr>
        <w:t xml:space="preserve"> </w:t>
      </w:r>
      <w:r w:rsidR="00A359F7">
        <w:rPr>
          <w:sz w:val="24"/>
          <w:szCs w:val="24"/>
        </w:rPr>
        <w:t xml:space="preserve">The literature has documented </w:t>
      </w:r>
      <w:r w:rsidR="00A359F7" w:rsidRPr="00A359F7">
        <w:rPr>
          <w:sz w:val="24"/>
          <w:szCs w:val="24"/>
        </w:rPr>
        <w:t xml:space="preserve">pendulum shift from </w:t>
      </w:r>
      <w:r w:rsidR="00A359F7">
        <w:rPr>
          <w:sz w:val="24"/>
          <w:szCs w:val="24"/>
        </w:rPr>
        <w:t>New Public Management</w:t>
      </w:r>
      <w:r w:rsidR="00A359F7" w:rsidRPr="00A359F7">
        <w:rPr>
          <w:sz w:val="24"/>
          <w:szCs w:val="24"/>
        </w:rPr>
        <w:t xml:space="preserve"> reform measures towards ‘joined-up government’ in public sector </w:t>
      </w:r>
      <w:r w:rsidR="00A359F7" w:rsidRPr="00A359F7">
        <w:rPr>
          <w:sz w:val="24"/>
          <w:szCs w:val="24"/>
        </w:rPr>
        <w:lastRenderedPageBreak/>
        <w:t>organi</w:t>
      </w:r>
      <w:r w:rsidR="00A359F7">
        <w:rPr>
          <w:sz w:val="24"/>
          <w:szCs w:val="24"/>
        </w:rPr>
        <w:t>z</w:t>
      </w:r>
      <w:r w:rsidR="00A359F7" w:rsidRPr="00A359F7">
        <w:rPr>
          <w:sz w:val="24"/>
          <w:szCs w:val="24"/>
        </w:rPr>
        <w:t>ations. The latter is seen as a wide-ranging concept geared towards reducing fragmentation of the public sector and public service delivery (Christensen et al.</w:t>
      </w:r>
      <w:r w:rsidR="00A359F7">
        <w:rPr>
          <w:sz w:val="24"/>
          <w:szCs w:val="24"/>
        </w:rPr>
        <w:t>,</w:t>
      </w:r>
      <w:r w:rsidR="00A359F7" w:rsidRPr="00A359F7">
        <w:rPr>
          <w:sz w:val="24"/>
          <w:szCs w:val="24"/>
        </w:rPr>
        <w:t xml:space="preserve"> 2014: 443). In organisational terms this shift has accompanied ambitions to build action capacities within government(s) generally and ambitions towards stronger political coordination of sub-ordinate agencies particularly. Increased national administrative coordination in this sense has been interpreted as a reaction to problems of governing a ‘decentred public sector’ (Peters</w:t>
      </w:r>
      <w:r w:rsidR="00A359F7">
        <w:rPr>
          <w:sz w:val="24"/>
          <w:szCs w:val="24"/>
        </w:rPr>
        <w:t>,</w:t>
      </w:r>
      <w:r w:rsidR="00A359F7" w:rsidRPr="00A359F7">
        <w:rPr>
          <w:sz w:val="24"/>
          <w:szCs w:val="24"/>
        </w:rPr>
        <w:t xml:space="preserve"> 20</w:t>
      </w:r>
      <w:r w:rsidR="00A359F7">
        <w:rPr>
          <w:sz w:val="24"/>
          <w:szCs w:val="24"/>
        </w:rPr>
        <w:t>04: 131). Reasserting the center</w:t>
      </w:r>
      <w:r w:rsidR="00A359F7" w:rsidRPr="00A359F7">
        <w:rPr>
          <w:sz w:val="24"/>
          <w:szCs w:val="24"/>
        </w:rPr>
        <w:t xml:space="preserve"> has had at least two ingredients:</w:t>
      </w:r>
      <w:r w:rsidR="00A359F7">
        <w:rPr>
          <w:sz w:val="24"/>
          <w:szCs w:val="24"/>
        </w:rPr>
        <w:t xml:space="preserve"> First, an ambition to centraliz</w:t>
      </w:r>
      <w:r w:rsidR="00A359F7" w:rsidRPr="00A359F7">
        <w:rPr>
          <w:sz w:val="24"/>
          <w:szCs w:val="24"/>
        </w:rPr>
        <w:t>e executive powers within national governments, and secondly to concentrate power resources around national executive heads (Dahlström et al</w:t>
      </w:r>
      <w:r w:rsidR="00A359F7">
        <w:rPr>
          <w:sz w:val="24"/>
          <w:szCs w:val="24"/>
        </w:rPr>
        <w:t>.,</w:t>
      </w:r>
      <w:r w:rsidR="00A359F7" w:rsidRPr="00A359F7">
        <w:rPr>
          <w:sz w:val="24"/>
          <w:szCs w:val="24"/>
        </w:rPr>
        <w:t xml:space="preserve"> 2011). </w:t>
      </w:r>
    </w:p>
    <w:p w:rsidR="00A359F7" w:rsidRDefault="00A359F7" w:rsidP="00703D22">
      <w:pPr>
        <w:spacing w:after="0" w:line="480" w:lineRule="auto"/>
        <w:rPr>
          <w:sz w:val="24"/>
          <w:szCs w:val="24"/>
        </w:rPr>
      </w:pPr>
    </w:p>
    <w:p w:rsidR="00935217" w:rsidRPr="00703D22" w:rsidRDefault="00A359F7" w:rsidP="00703D22">
      <w:pPr>
        <w:spacing w:after="0" w:line="480" w:lineRule="auto"/>
        <w:rPr>
          <w:sz w:val="24"/>
          <w:szCs w:val="24"/>
        </w:rPr>
      </w:pPr>
      <w:r>
        <w:rPr>
          <w:sz w:val="24"/>
          <w:szCs w:val="24"/>
        </w:rPr>
        <w:t>In</w:t>
      </w:r>
      <w:r w:rsidR="0008386D">
        <w:rPr>
          <w:sz w:val="24"/>
          <w:szCs w:val="24"/>
        </w:rPr>
        <w:t xml:space="preserve"> the European Union</w:t>
      </w:r>
      <w:r>
        <w:rPr>
          <w:sz w:val="24"/>
          <w:szCs w:val="24"/>
        </w:rPr>
        <w:t xml:space="preserve"> studies have shown</w:t>
      </w:r>
      <w:r w:rsidR="0008386D">
        <w:rPr>
          <w:sz w:val="24"/>
          <w:szCs w:val="24"/>
        </w:rPr>
        <w:t xml:space="preserve"> </w:t>
      </w:r>
      <w:r>
        <w:rPr>
          <w:sz w:val="24"/>
          <w:szCs w:val="24"/>
        </w:rPr>
        <w:t xml:space="preserve">a relative intensifying of </w:t>
      </w:r>
      <w:r w:rsidR="0008386D">
        <w:rPr>
          <w:sz w:val="24"/>
          <w:szCs w:val="24"/>
        </w:rPr>
        <w:t>vertical administrative interaction</w:t>
      </w:r>
      <w:r>
        <w:rPr>
          <w:sz w:val="24"/>
          <w:szCs w:val="24"/>
        </w:rPr>
        <w:t>s</w:t>
      </w:r>
      <w:r w:rsidR="0008386D">
        <w:rPr>
          <w:sz w:val="24"/>
          <w:szCs w:val="24"/>
        </w:rPr>
        <w:t xml:space="preserve"> – in particular after the Maastricht treaty went into force (Wessels</w:t>
      </w:r>
      <w:r>
        <w:rPr>
          <w:sz w:val="24"/>
          <w:szCs w:val="24"/>
        </w:rPr>
        <w:t>,</w:t>
      </w:r>
      <w:r w:rsidR="0008386D">
        <w:rPr>
          <w:sz w:val="24"/>
          <w:szCs w:val="24"/>
        </w:rPr>
        <w:t xml:space="preserve"> 1998, 2000). Again this trend of increasing administrative interaction following ever greater political cooperation is best studied on the example of the European Commission. </w:t>
      </w:r>
      <w:r w:rsidR="00DF4BC2">
        <w:rPr>
          <w:sz w:val="24"/>
          <w:szCs w:val="24"/>
        </w:rPr>
        <w:t>Studies suggest that the Commission has faced an enduring tension between administrative integration and disintegration – over time and in different parts of the services.</w:t>
      </w:r>
      <w:r w:rsidR="00935217" w:rsidRPr="00703D22">
        <w:rPr>
          <w:sz w:val="24"/>
          <w:szCs w:val="24"/>
        </w:rPr>
        <w:t xml:space="preserve"> </w:t>
      </w:r>
      <w:r w:rsidR="004C4717">
        <w:rPr>
          <w:sz w:val="24"/>
          <w:szCs w:val="24"/>
        </w:rPr>
        <w:t>O</w:t>
      </w:r>
      <w:r w:rsidR="00935217" w:rsidRPr="00703D22">
        <w:rPr>
          <w:sz w:val="24"/>
          <w:szCs w:val="24"/>
        </w:rPr>
        <w:t>ne strand of contemporary research suggests that the Commission has become increasingly integrated – both within the Commission administration and between the Commission administration and the College of Commissioners – supported by an enhanced coordination role of the Secretariat General (Kassim et al.</w:t>
      </w:r>
      <w:r>
        <w:rPr>
          <w:sz w:val="24"/>
          <w:szCs w:val="24"/>
        </w:rPr>
        <w:t>,</w:t>
      </w:r>
      <w:r w:rsidR="00935217" w:rsidRPr="00703D22">
        <w:rPr>
          <w:sz w:val="24"/>
          <w:szCs w:val="24"/>
        </w:rPr>
        <w:t xml:space="preserve"> 2013; Wille</w:t>
      </w:r>
      <w:r>
        <w:rPr>
          <w:sz w:val="24"/>
          <w:szCs w:val="24"/>
        </w:rPr>
        <w:t>,</w:t>
      </w:r>
      <w:r w:rsidR="00935217" w:rsidRPr="00703D22">
        <w:rPr>
          <w:sz w:val="24"/>
          <w:szCs w:val="24"/>
        </w:rPr>
        <w:t xml:space="preserve"> 2012). The history of the Commission documents periods of internal integration – the best known of which, perhaps, are the legacies of the Jean Monnet presidency and the Delors presidency. Essentially, however, the power-base of those presidents was largely </w:t>
      </w:r>
      <w:r w:rsidR="00935217" w:rsidRPr="00703D22">
        <w:rPr>
          <w:sz w:val="24"/>
          <w:szCs w:val="24"/>
        </w:rPr>
        <w:lastRenderedPageBreak/>
        <w:t>based on their personal capacities and achievements</w:t>
      </w:r>
      <w:r w:rsidR="00375765">
        <w:rPr>
          <w:sz w:val="24"/>
          <w:szCs w:val="24"/>
        </w:rPr>
        <w:t>. The power-base was, however, less</w:t>
      </w:r>
      <w:r w:rsidR="00935217" w:rsidRPr="00703D22">
        <w:rPr>
          <w:sz w:val="24"/>
          <w:szCs w:val="24"/>
        </w:rPr>
        <w:t xml:space="preserve"> safeguarded through administrative capacity building (Drake</w:t>
      </w:r>
      <w:r>
        <w:rPr>
          <w:sz w:val="24"/>
          <w:szCs w:val="24"/>
        </w:rPr>
        <w:t>,</w:t>
      </w:r>
      <w:r w:rsidR="00935217" w:rsidRPr="00703D22">
        <w:rPr>
          <w:sz w:val="24"/>
          <w:szCs w:val="24"/>
        </w:rPr>
        <w:t xml:space="preserve"> 2000; Duchène</w:t>
      </w:r>
      <w:r>
        <w:rPr>
          <w:sz w:val="24"/>
          <w:szCs w:val="24"/>
        </w:rPr>
        <w:t>,</w:t>
      </w:r>
      <w:r w:rsidR="00935217" w:rsidRPr="00703D22">
        <w:rPr>
          <w:sz w:val="24"/>
          <w:szCs w:val="24"/>
        </w:rPr>
        <w:t xml:space="preserve"> 1994). The contemporary internal integration of the Commission is centered on building organizational capacities around the President, partly by reforming the Secretariat-General (SG) into an administrative service center at the disposal of the President (Kassim </w:t>
      </w:r>
      <w:r>
        <w:rPr>
          <w:sz w:val="24"/>
          <w:szCs w:val="24"/>
        </w:rPr>
        <w:t>et al.,</w:t>
      </w:r>
      <w:r w:rsidR="00935217" w:rsidRPr="00703D22">
        <w:rPr>
          <w:sz w:val="24"/>
          <w:szCs w:val="24"/>
        </w:rPr>
        <w:t xml:space="preserve"> 201</w:t>
      </w:r>
      <w:r>
        <w:rPr>
          <w:sz w:val="24"/>
          <w:szCs w:val="24"/>
        </w:rPr>
        <w:t>3</w:t>
      </w:r>
      <w:r w:rsidR="00935217" w:rsidRPr="00703D22">
        <w:rPr>
          <w:sz w:val="24"/>
          <w:szCs w:val="24"/>
        </w:rPr>
        <w:t xml:space="preserve">). Hussein </w:t>
      </w:r>
      <w:r w:rsidR="000E2B1D">
        <w:rPr>
          <w:sz w:val="24"/>
          <w:szCs w:val="24"/>
        </w:rPr>
        <w:t xml:space="preserve">et al. </w:t>
      </w:r>
      <w:r w:rsidR="00935217" w:rsidRPr="00703D22">
        <w:rPr>
          <w:sz w:val="24"/>
          <w:szCs w:val="24"/>
        </w:rPr>
        <w:t>(20</w:t>
      </w:r>
      <w:r w:rsidR="00B21FCD">
        <w:rPr>
          <w:sz w:val="24"/>
          <w:szCs w:val="24"/>
        </w:rPr>
        <w:t>1</w:t>
      </w:r>
      <w:r w:rsidR="000E2B1D">
        <w:rPr>
          <w:sz w:val="24"/>
          <w:szCs w:val="24"/>
        </w:rPr>
        <w:t>3</w:t>
      </w:r>
      <w:r w:rsidR="00B21FCD">
        <w:rPr>
          <w:sz w:val="24"/>
          <w:szCs w:val="24"/>
        </w:rPr>
        <w:t>) and Hartlapp et al. (2010</w:t>
      </w:r>
      <w:r w:rsidR="000E2B1D">
        <w:rPr>
          <w:sz w:val="24"/>
          <w:szCs w:val="24"/>
        </w:rPr>
        <w:t>, 2014</w:t>
      </w:r>
      <w:r w:rsidR="00B21FCD">
        <w:rPr>
          <w:sz w:val="24"/>
          <w:szCs w:val="24"/>
        </w:rPr>
        <w:t>)</w:t>
      </w:r>
      <w:r w:rsidR="00935217" w:rsidRPr="00703D22">
        <w:rPr>
          <w:sz w:val="24"/>
          <w:szCs w:val="24"/>
        </w:rPr>
        <w:t>, suggest that this bureaucratic integration</w:t>
      </w:r>
      <w:r w:rsidR="00B21FCD">
        <w:rPr>
          <w:sz w:val="24"/>
          <w:szCs w:val="24"/>
        </w:rPr>
        <w:t xml:space="preserve"> is</w:t>
      </w:r>
      <w:r w:rsidR="00935217" w:rsidRPr="00703D22">
        <w:rPr>
          <w:sz w:val="24"/>
          <w:szCs w:val="24"/>
        </w:rPr>
        <w:t xml:space="preserve"> mainly forged by the Commission SG. Integration within the Commission administration is also observed with regard to intra-service decision-making processes, the rise of a common ‘culture’ across DGs, and structured relationships between the Commission administration and outside actors – such as international organizations, EU agencies, and domestic </w:t>
      </w:r>
      <w:r w:rsidR="004C4717">
        <w:rPr>
          <w:sz w:val="24"/>
          <w:szCs w:val="24"/>
        </w:rPr>
        <w:t>agencies</w:t>
      </w:r>
      <w:r w:rsidR="00935217" w:rsidRPr="00703D22">
        <w:rPr>
          <w:sz w:val="24"/>
          <w:szCs w:val="24"/>
        </w:rPr>
        <w:t xml:space="preserve"> (see Hartlapp</w:t>
      </w:r>
      <w:r w:rsidR="000E2B1D">
        <w:rPr>
          <w:sz w:val="24"/>
          <w:szCs w:val="24"/>
        </w:rPr>
        <w:t>,</w:t>
      </w:r>
      <w:r w:rsidR="00935217" w:rsidRPr="00703D22">
        <w:rPr>
          <w:sz w:val="24"/>
          <w:szCs w:val="24"/>
        </w:rPr>
        <w:t xml:space="preserve"> 201</w:t>
      </w:r>
      <w:r w:rsidR="00763F80">
        <w:rPr>
          <w:sz w:val="24"/>
          <w:szCs w:val="24"/>
        </w:rPr>
        <w:t>5</w:t>
      </w:r>
      <w:r w:rsidR="00935217" w:rsidRPr="00703D22">
        <w:rPr>
          <w:sz w:val="24"/>
          <w:szCs w:val="24"/>
        </w:rPr>
        <w:t>; Kassim et al.</w:t>
      </w:r>
      <w:r w:rsidR="000E2B1D">
        <w:rPr>
          <w:sz w:val="24"/>
          <w:szCs w:val="24"/>
        </w:rPr>
        <w:t>,</w:t>
      </w:r>
      <w:r w:rsidR="00935217" w:rsidRPr="00703D22">
        <w:rPr>
          <w:sz w:val="24"/>
          <w:szCs w:val="24"/>
        </w:rPr>
        <w:t xml:space="preserve"> 2013; Mur</w:t>
      </w:r>
      <w:r w:rsidR="000E2B1D">
        <w:rPr>
          <w:sz w:val="24"/>
          <w:szCs w:val="24"/>
        </w:rPr>
        <w:t>d</w:t>
      </w:r>
      <w:r w:rsidR="00935217" w:rsidRPr="00703D22">
        <w:rPr>
          <w:sz w:val="24"/>
          <w:szCs w:val="24"/>
        </w:rPr>
        <w:t>och and Trondal</w:t>
      </w:r>
      <w:r w:rsidR="000E2B1D">
        <w:rPr>
          <w:sz w:val="24"/>
          <w:szCs w:val="24"/>
        </w:rPr>
        <w:t>,</w:t>
      </w:r>
      <w:r w:rsidR="00861858">
        <w:rPr>
          <w:sz w:val="24"/>
          <w:szCs w:val="24"/>
        </w:rPr>
        <w:t xml:space="preserve"> 2013</w:t>
      </w:r>
      <w:r w:rsidR="00935217" w:rsidRPr="00703D22">
        <w:rPr>
          <w:sz w:val="24"/>
          <w:szCs w:val="24"/>
        </w:rPr>
        <w:t>).</w:t>
      </w:r>
    </w:p>
    <w:p w:rsidR="00935217" w:rsidRPr="00703D22" w:rsidRDefault="00935217" w:rsidP="00703D22">
      <w:pPr>
        <w:spacing w:after="0" w:line="480" w:lineRule="auto"/>
        <w:rPr>
          <w:sz w:val="24"/>
          <w:szCs w:val="24"/>
        </w:rPr>
      </w:pPr>
    </w:p>
    <w:p w:rsidR="00935217" w:rsidRDefault="00935217" w:rsidP="00703D22">
      <w:pPr>
        <w:spacing w:after="0" w:line="480" w:lineRule="auto"/>
        <w:rPr>
          <w:sz w:val="24"/>
          <w:szCs w:val="24"/>
        </w:rPr>
      </w:pPr>
      <w:r w:rsidRPr="00703D22">
        <w:rPr>
          <w:sz w:val="24"/>
          <w:szCs w:val="24"/>
        </w:rPr>
        <w:t xml:space="preserve">A second strand of research, however, highlights that the </w:t>
      </w:r>
      <w:r w:rsidR="00861858">
        <w:rPr>
          <w:sz w:val="24"/>
          <w:szCs w:val="24"/>
        </w:rPr>
        <w:t>internal administrative integration</w:t>
      </w:r>
      <w:r w:rsidRPr="00703D22">
        <w:rPr>
          <w:sz w:val="24"/>
          <w:szCs w:val="24"/>
        </w:rPr>
        <w:t xml:space="preserve"> of the Commission merely co-exists with </w:t>
      </w:r>
      <w:r w:rsidR="004C4717">
        <w:rPr>
          <w:sz w:val="24"/>
          <w:szCs w:val="24"/>
        </w:rPr>
        <w:t>administrative disintegration</w:t>
      </w:r>
      <w:r w:rsidRPr="00703D22">
        <w:rPr>
          <w:sz w:val="24"/>
          <w:szCs w:val="24"/>
        </w:rPr>
        <w:t>, ‘silo-ization’, and subculturalization of the Commission administration (Ellinas and Suleiman</w:t>
      </w:r>
      <w:r w:rsidR="000E2B1D">
        <w:rPr>
          <w:sz w:val="24"/>
          <w:szCs w:val="24"/>
        </w:rPr>
        <w:t>,</w:t>
      </w:r>
      <w:r w:rsidRPr="00703D22">
        <w:rPr>
          <w:sz w:val="24"/>
          <w:szCs w:val="24"/>
        </w:rPr>
        <w:t xml:space="preserve"> 2012; Trondal</w:t>
      </w:r>
      <w:r w:rsidR="000E2B1D">
        <w:rPr>
          <w:sz w:val="24"/>
          <w:szCs w:val="24"/>
        </w:rPr>
        <w:t>,</w:t>
      </w:r>
      <w:r w:rsidRPr="00703D22">
        <w:rPr>
          <w:sz w:val="24"/>
          <w:szCs w:val="24"/>
        </w:rPr>
        <w:t xml:space="preserve"> 2012). A recent study suggests that the integrative ambitions of the Commission President and the SG sometimes exceed </w:t>
      </w:r>
      <w:r w:rsidR="00375765">
        <w:rPr>
          <w:sz w:val="24"/>
          <w:szCs w:val="24"/>
        </w:rPr>
        <w:t xml:space="preserve">their </w:t>
      </w:r>
      <w:r w:rsidRPr="00703D22">
        <w:rPr>
          <w:sz w:val="24"/>
          <w:szCs w:val="24"/>
        </w:rPr>
        <w:t>integrative capacities (Trondal</w:t>
      </w:r>
      <w:r w:rsidR="000E2B1D">
        <w:rPr>
          <w:sz w:val="24"/>
          <w:szCs w:val="24"/>
        </w:rPr>
        <w:t>,</w:t>
      </w:r>
      <w:r w:rsidRPr="00703D22">
        <w:rPr>
          <w:sz w:val="24"/>
          <w:szCs w:val="24"/>
        </w:rPr>
        <w:t xml:space="preserve"> 2012). The horizontal interlocking role of the SG tends to collide with the organizational resources embedded in policy DGs, fuelling inter-DG conflicts of turf</w:t>
      </w:r>
      <w:r w:rsidR="00375765">
        <w:rPr>
          <w:sz w:val="24"/>
          <w:szCs w:val="24"/>
        </w:rPr>
        <w:t>s</w:t>
      </w:r>
      <w:r w:rsidRPr="00703D22">
        <w:rPr>
          <w:sz w:val="24"/>
          <w:szCs w:val="24"/>
        </w:rPr>
        <w:t xml:space="preserve"> and policies (Hartlapp et al.</w:t>
      </w:r>
      <w:r w:rsidR="000E2B1D">
        <w:rPr>
          <w:sz w:val="24"/>
          <w:szCs w:val="24"/>
        </w:rPr>
        <w:t>,</w:t>
      </w:r>
      <w:r w:rsidRPr="00703D22">
        <w:rPr>
          <w:sz w:val="24"/>
          <w:szCs w:val="24"/>
        </w:rPr>
        <w:t xml:space="preserve"> 2012</w:t>
      </w:r>
      <w:r w:rsidR="00C55295">
        <w:rPr>
          <w:sz w:val="24"/>
          <w:szCs w:val="24"/>
        </w:rPr>
        <w:t>:</w:t>
      </w:r>
      <w:r w:rsidRPr="00703D22">
        <w:rPr>
          <w:sz w:val="24"/>
          <w:szCs w:val="24"/>
        </w:rPr>
        <w:t xml:space="preserve"> 27). The administrative integration of the Commission seems in practice to sometimes be thwarted by the horizontal specialization of the DGs and the influence of the most powerful DGs (Hartlapp et al.</w:t>
      </w:r>
      <w:r w:rsidR="000E2B1D">
        <w:rPr>
          <w:sz w:val="24"/>
          <w:szCs w:val="24"/>
        </w:rPr>
        <w:t>,</w:t>
      </w:r>
      <w:r w:rsidRPr="00703D22">
        <w:rPr>
          <w:sz w:val="24"/>
          <w:szCs w:val="24"/>
        </w:rPr>
        <w:t xml:space="preserve"> 201</w:t>
      </w:r>
      <w:r w:rsidR="00D0186D">
        <w:rPr>
          <w:sz w:val="24"/>
          <w:szCs w:val="24"/>
        </w:rPr>
        <w:t>4</w:t>
      </w:r>
      <w:r w:rsidRPr="00703D22">
        <w:rPr>
          <w:sz w:val="24"/>
          <w:szCs w:val="24"/>
        </w:rPr>
        <w:t xml:space="preserve">). </w:t>
      </w:r>
    </w:p>
    <w:p w:rsidR="004C4717" w:rsidRDefault="004C4717" w:rsidP="00703D22">
      <w:pPr>
        <w:spacing w:after="0" w:line="480" w:lineRule="auto"/>
        <w:rPr>
          <w:sz w:val="24"/>
          <w:szCs w:val="24"/>
        </w:rPr>
      </w:pPr>
    </w:p>
    <w:p w:rsidR="004C4717" w:rsidRDefault="004C4717" w:rsidP="00703D22">
      <w:pPr>
        <w:spacing w:after="0" w:line="480" w:lineRule="auto"/>
        <w:rPr>
          <w:sz w:val="24"/>
          <w:szCs w:val="24"/>
        </w:rPr>
      </w:pPr>
      <w:r>
        <w:rPr>
          <w:sz w:val="24"/>
          <w:szCs w:val="24"/>
        </w:rPr>
        <w:t xml:space="preserve">In sum, despite observing profound institutional independence in the European administration – notably within the Commission administration (see above), the same administrative apparatus face a lasting tension between administrative integration and disintegration. </w:t>
      </w:r>
    </w:p>
    <w:p w:rsidR="00B21FCD" w:rsidRPr="00703D22" w:rsidRDefault="00B21FCD" w:rsidP="00703D22">
      <w:pPr>
        <w:spacing w:after="0" w:line="480" w:lineRule="auto"/>
        <w:rPr>
          <w:sz w:val="24"/>
          <w:szCs w:val="24"/>
        </w:rPr>
      </w:pPr>
    </w:p>
    <w:p w:rsidR="00935217" w:rsidRPr="00703D22" w:rsidRDefault="004C4717" w:rsidP="00703D22">
      <w:pPr>
        <w:spacing w:after="0" w:line="480" w:lineRule="auto"/>
        <w:rPr>
          <w:sz w:val="24"/>
          <w:szCs w:val="24"/>
        </w:rPr>
      </w:pPr>
      <w:r w:rsidRPr="004C4717">
        <w:rPr>
          <w:b/>
          <w:i/>
          <w:sz w:val="24"/>
          <w:szCs w:val="24"/>
        </w:rPr>
        <w:t>Institutional cooptation:</w:t>
      </w:r>
      <w:r>
        <w:rPr>
          <w:sz w:val="24"/>
          <w:szCs w:val="24"/>
        </w:rPr>
        <w:t xml:space="preserve"> </w:t>
      </w:r>
      <w:r w:rsidR="00861858">
        <w:rPr>
          <w:sz w:val="24"/>
          <w:szCs w:val="24"/>
        </w:rPr>
        <w:t>Finally, t</w:t>
      </w:r>
      <w:r w:rsidR="00935217" w:rsidRPr="00703D22">
        <w:rPr>
          <w:sz w:val="24"/>
          <w:szCs w:val="24"/>
        </w:rPr>
        <w:t xml:space="preserve">he independence and integration of the Commission not only has implications for how Commission officials think and act. The rise of independent and integrated European administrative capacities also increases its ability to </w:t>
      </w:r>
      <w:r w:rsidR="00935217" w:rsidRPr="00861858">
        <w:rPr>
          <w:i/>
          <w:sz w:val="24"/>
          <w:szCs w:val="24"/>
        </w:rPr>
        <w:t>co-opt</w:t>
      </w:r>
      <w:r w:rsidR="00935217" w:rsidRPr="00703D22">
        <w:rPr>
          <w:sz w:val="24"/>
          <w:szCs w:val="24"/>
        </w:rPr>
        <w:t xml:space="preserve"> administrative sub-centers by stealth – particularly EU agencies and domestic agencies, but also agencies within other international organizations, thus reaching into global administrative architectures (see Gulbrandsen</w:t>
      </w:r>
      <w:r w:rsidR="000E2B1D">
        <w:rPr>
          <w:sz w:val="24"/>
          <w:szCs w:val="24"/>
        </w:rPr>
        <w:t>,</w:t>
      </w:r>
      <w:r w:rsidR="00935217" w:rsidRPr="00703D22">
        <w:rPr>
          <w:sz w:val="24"/>
          <w:szCs w:val="24"/>
        </w:rPr>
        <w:t xml:space="preserve"> 2012).</w:t>
      </w:r>
      <w:r w:rsidR="00375765">
        <w:rPr>
          <w:sz w:val="24"/>
          <w:szCs w:val="24"/>
        </w:rPr>
        <w:t xml:space="preserve"> S</w:t>
      </w:r>
      <w:r w:rsidR="00935217" w:rsidRPr="00703D22">
        <w:rPr>
          <w:sz w:val="24"/>
          <w:szCs w:val="24"/>
        </w:rPr>
        <w:t>tudies suggest that the inherent sectoral logic within the Commission services has certain effects on its ability to co-opt administrative subunits. This is reflected in the development of direct links between Commissioners</w:t>
      </w:r>
      <w:r w:rsidR="00861858">
        <w:rPr>
          <w:sz w:val="24"/>
          <w:szCs w:val="24"/>
        </w:rPr>
        <w:t>, DGs</w:t>
      </w:r>
      <w:r w:rsidR="00935217" w:rsidRPr="00703D22">
        <w:rPr>
          <w:sz w:val="24"/>
          <w:szCs w:val="24"/>
        </w:rPr>
        <w:t xml:space="preserve"> and ‘their’ </w:t>
      </w:r>
      <w:r w:rsidR="00861858">
        <w:rPr>
          <w:sz w:val="24"/>
          <w:szCs w:val="24"/>
        </w:rPr>
        <w:t xml:space="preserve">partner </w:t>
      </w:r>
      <w:r w:rsidR="00935217" w:rsidRPr="00703D22">
        <w:rPr>
          <w:sz w:val="24"/>
          <w:szCs w:val="24"/>
        </w:rPr>
        <w:t>EU agenc</w:t>
      </w:r>
      <w:r w:rsidR="00861858">
        <w:rPr>
          <w:sz w:val="24"/>
          <w:szCs w:val="24"/>
        </w:rPr>
        <w:t>y</w:t>
      </w:r>
      <w:r w:rsidR="00935217" w:rsidRPr="00703D22">
        <w:rPr>
          <w:sz w:val="24"/>
          <w:szCs w:val="24"/>
        </w:rPr>
        <w:t xml:space="preserve"> (Egeberg</w:t>
      </w:r>
      <w:r>
        <w:rPr>
          <w:sz w:val="24"/>
          <w:szCs w:val="24"/>
        </w:rPr>
        <w:t>, Trondal and Vestlund</w:t>
      </w:r>
      <w:r w:rsidR="000E2B1D">
        <w:rPr>
          <w:sz w:val="24"/>
          <w:szCs w:val="24"/>
        </w:rPr>
        <w:t>,</w:t>
      </w:r>
      <w:r w:rsidR="00935217" w:rsidRPr="00703D22">
        <w:rPr>
          <w:sz w:val="24"/>
          <w:szCs w:val="24"/>
        </w:rPr>
        <w:t xml:space="preserve"> 2014; Groenleer</w:t>
      </w:r>
      <w:r w:rsidR="000E2B1D">
        <w:rPr>
          <w:sz w:val="24"/>
          <w:szCs w:val="24"/>
        </w:rPr>
        <w:t>,</w:t>
      </w:r>
      <w:r w:rsidR="00935217" w:rsidRPr="00703D22">
        <w:rPr>
          <w:sz w:val="24"/>
          <w:szCs w:val="24"/>
        </w:rPr>
        <w:t xml:space="preserve"> 2009</w:t>
      </w:r>
      <w:r w:rsidR="00C55295">
        <w:rPr>
          <w:sz w:val="24"/>
          <w:szCs w:val="24"/>
        </w:rPr>
        <w:t>:</w:t>
      </w:r>
      <w:r w:rsidR="00935217" w:rsidRPr="00703D22">
        <w:rPr>
          <w:sz w:val="24"/>
          <w:szCs w:val="24"/>
        </w:rPr>
        <w:t xml:space="preserve"> 130). A recent study confirms that the pivotal role of the Commission in the daily life of EU agencies is evident within policy areas in which the Commission has considerable organizational capacities at its disposal (Egeberg and Trondal</w:t>
      </w:r>
      <w:r w:rsidR="000E2B1D">
        <w:rPr>
          <w:sz w:val="24"/>
          <w:szCs w:val="24"/>
        </w:rPr>
        <w:t>,</w:t>
      </w:r>
      <w:r w:rsidR="00935217" w:rsidRPr="00703D22">
        <w:rPr>
          <w:sz w:val="24"/>
          <w:szCs w:val="24"/>
        </w:rPr>
        <w:t xml:space="preserve"> 2011). </w:t>
      </w:r>
      <w:r w:rsidR="00861858">
        <w:rPr>
          <w:sz w:val="24"/>
          <w:szCs w:val="24"/>
        </w:rPr>
        <w:t>Moreover, a</w:t>
      </w:r>
      <w:r w:rsidR="00935217" w:rsidRPr="00703D22">
        <w:rPr>
          <w:sz w:val="24"/>
          <w:szCs w:val="24"/>
        </w:rPr>
        <w:t>t the policy formulation stage, the ‘parent’ Commission DG is seen by EU agency officials as particularly influential. At the policy implementation stage, in contrast, influence shifts towards one’s own agency and national agencies, although at this stage the Commission is considered the most powerful institution outside one’s own agency (Egeberg and Trondal</w:t>
      </w:r>
      <w:r w:rsidR="000E2B1D">
        <w:rPr>
          <w:sz w:val="24"/>
          <w:szCs w:val="24"/>
        </w:rPr>
        <w:t>,</w:t>
      </w:r>
      <w:r w:rsidR="00935217" w:rsidRPr="00703D22">
        <w:rPr>
          <w:sz w:val="24"/>
          <w:szCs w:val="24"/>
        </w:rPr>
        <w:t xml:space="preserve"> 2011). The Commission thus </w:t>
      </w:r>
      <w:r w:rsidR="00BD6748">
        <w:rPr>
          <w:sz w:val="24"/>
          <w:szCs w:val="24"/>
        </w:rPr>
        <w:t>seems</w:t>
      </w:r>
      <w:r w:rsidR="00935217" w:rsidRPr="00703D22">
        <w:rPr>
          <w:sz w:val="24"/>
          <w:szCs w:val="24"/>
        </w:rPr>
        <w:t xml:space="preserve"> more vital in the daily life of EU agencies and </w:t>
      </w:r>
      <w:r w:rsidR="00BD6748">
        <w:rPr>
          <w:sz w:val="24"/>
          <w:szCs w:val="24"/>
        </w:rPr>
        <w:t xml:space="preserve">thus </w:t>
      </w:r>
      <w:r w:rsidR="00935217" w:rsidRPr="00703D22">
        <w:rPr>
          <w:sz w:val="24"/>
          <w:szCs w:val="24"/>
        </w:rPr>
        <w:t xml:space="preserve">a </w:t>
      </w:r>
      <w:r w:rsidR="00935217" w:rsidRPr="00B21FCD">
        <w:rPr>
          <w:i/>
          <w:sz w:val="24"/>
          <w:szCs w:val="24"/>
        </w:rPr>
        <w:t>de facto</w:t>
      </w:r>
      <w:r w:rsidR="00935217" w:rsidRPr="00703D22">
        <w:rPr>
          <w:sz w:val="24"/>
          <w:szCs w:val="24"/>
        </w:rPr>
        <w:t xml:space="preserve"> supplier of administrative capacities for the Commission</w:t>
      </w:r>
      <w:r w:rsidR="00BD6748">
        <w:rPr>
          <w:sz w:val="24"/>
          <w:szCs w:val="24"/>
        </w:rPr>
        <w:t>. This is</w:t>
      </w:r>
      <w:r w:rsidR="00935217" w:rsidRPr="00703D22">
        <w:rPr>
          <w:sz w:val="24"/>
          <w:szCs w:val="24"/>
        </w:rPr>
        <w:t xml:space="preserve"> particularly</w:t>
      </w:r>
      <w:r w:rsidR="00BD6748">
        <w:rPr>
          <w:sz w:val="24"/>
          <w:szCs w:val="24"/>
        </w:rPr>
        <w:t xml:space="preserve"> so</w:t>
      </w:r>
      <w:r w:rsidR="00935217" w:rsidRPr="00703D22">
        <w:rPr>
          <w:sz w:val="24"/>
          <w:szCs w:val="24"/>
        </w:rPr>
        <w:t xml:space="preserve"> within </w:t>
      </w:r>
      <w:r w:rsidR="00935217" w:rsidRPr="00703D22">
        <w:rPr>
          <w:sz w:val="24"/>
          <w:szCs w:val="24"/>
        </w:rPr>
        <w:lastRenderedPageBreak/>
        <w:t>policy areas in which the Commission has considerable organizational capacities at its disposal (see Hobolth and Martinsen</w:t>
      </w:r>
      <w:r w:rsidR="000E2B1D">
        <w:rPr>
          <w:sz w:val="24"/>
          <w:szCs w:val="24"/>
        </w:rPr>
        <w:t>,</w:t>
      </w:r>
      <w:r w:rsidR="00935217" w:rsidRPr="00703D22">
        <w:rPr>
          <w:sz w:val="24"/>
          <w:szCs w:val="24"/>
        </w:rPr>
        <w:t xml:space="preserve"> 2013).</w:t>
      </w:r>
    </w:p>
    <w:p w:rsidR="00935217" w:rsidRPr="00703D22" w:rsidRDefault="00935217" w:rsidP="00703D22">
      <w:pPr>
        <w:spacing w:after="0" w:line="480" w:lineRule="auto"/>
        <w:rPr>
          <w:sz w:val="24"/>
          <w:szCs w:val="24"/>
        </w:rPr>
      </w:pPr>
    </w:p>
    <w:p w:rsidR="006F0AED" w:rsidRDefault="00935217" w:rsidP="00703D22">
      <w:pPr>
        <w:spacing w:after="0" w:line="480" w:lineRule="auto"/>
        <w:rPr>
          <w:sz w:val="24"/>
          <w:szCs w:val="24"/>
        </w:rPr>
      </w:pPr>
      <w:r w:rsidRPr="00703D22">
        <w:rPr>
          <w:sz w:val="24"/>
          <w:szCs w:val="24"/>
        </w:rPr>
        <w:t xml:space="preserve">Secondly, the sectoral organization of the Commission administration is also reflected in its relationships </w:t>
      </w:r>
      <w:r w:rsidR="00B21FCD">
        <w:rPr>
          <w:sz w:val="24"/>
          <w:szCs w:val="24"/>
        </w:rPr>
        <w:t>to</w:t>
      </w:r>
      <w:r w:rsidRPr="00703D22">
        <w:rPr>
          <w:sz w:val="24"/>
          <w:szCs w:val="24"/>
        </w:rPr>
        <w:t xml:space="preserve"> domestic agencies and </w:t>
      </w:r>
      <w:r w:rsidR="00B21FCD">
        <w:rPr>
          <w:sz w:val="24"/>
          <w:szCs w:val="24"/>
        </w:rPr>
        <w:t>their</w:t>
      </w:r>
      <w:r w:rsidRPr="00703D22">
        <w:rPr>
          <w:sz w:val="24"/>
          <w:szCs w:val="24"/>
        </w:rPr>
        <w:t xml:space="preserve"> administrative networks. Both horizontal networks of regulators (Yesilgakit</w:t>
      </w:r>
      <w:r w:rsidR="000E2B1D">
        <w:rPr>
          <w:sz w:val="24"/>
          <w:szCs w:val="24"/>
        </w:rPr>
        <w:t>,</w:t>
      </w:r>
      <w:r w:rsidRPr="00703D22">
        <w:rPr>
          <w:sz w:val="24"/>
          <w:szCs w:val="24"/>
        </w:rPr>
        <w:t xml:space="preserve"> 2011) and domestic agencies (Egeberg and Trondal</w:t>
      </w:r>
      <w:r w:rsidR="000E2B1D">
        <w:rPr>
          <w:sz w:val="24"/>
          <w:szCs w:val="24"/>
        </w:rPr>
        <w:t>,</w:t>
      </w:r>
      <w:r w:rsidRPr="00703D22">
        <w:rPr>
          <w:sz w:val="24"/>
          <w:szCs w:val="24"/>
        </w:rPr>
        <w:t xml:space="preserve"> 2009) seem to supply the Commission with relevant administrative capacities, particularly in the application of EU regulations. Domestic agencies organized at arm’s length from ministerial departments enjoy a certain level of independence regarding their exercise of discretion. </w:t>
      </w:r>
      <w:r w:rsidR="00B21FCD">
        <w:rPr>
          <w:sz w:val="24"/>
          <w:szCs w:val="24"/>
        </w:rPr>
        <w:t>Recent studies suggest</w:t>
      </w:r>
      <w:r w:rsidRPr="00703D22">
        <w:rPr>
          <w:sz w:val="24"/>
          <w:szCs w:val="24"/>
        </w:rPr>
        <w:t xml:space="preserve"> that even the daily practice of EU legislation at national level no longer remains solely in the hands of national governments</w:t>
      </w:r>
      <w:r w:rsidR="00B21FCD">
        <w:rPr>
          <w:sz w:val="24"/>
          <w:szCs w:val="24"/>
        </w:rPr>
        <w:t xml:space="preserve"> (Egeberg</w:t>
      </w:r>
      <w:r w:rsidR="004C4717">
        <w:rPr>
          <w:sz w:val="24"/>
          <w:szCs w:val="24"/>
        </w:rPr>
        <w:t>, Martens and Trondal</w:t>
      </w:r>
      <w:r w:rsidR="000E2B1D">
        <w:rPr>
          <w:sz w:val="24"/>
          <w:szCs w:val="24"/>
        </w:rPr>
        <w:t>,</w:t>
      </w:r>
      <w:r w:rsidR="00B21FCD">
        <w:rPr>
          <w:sz w:val="24"/>
          <w:szCs w:val="24"/>
        </w:rPr>
        <w:t xml:space="preserve"> 201</w:t>
      </w:r>
      <w:r w:rsidR="00763F80">
        <w:rPr>
          <w:sz w:val="24"/>
          <w:szCs w:val="24"/>
        </w:rPr>
        <w:t>5</w:t>
      </w:r>
      <w:r w:rsidR="00B21FCD">
        <w:rPr>
          <w:sz w:val="24"/>
          <w:szCs w:val="24"/>
        </w:rPr>
        <w:t>)</w:t>
      </w:r>
      <w:r w:rsidRPr="00703D22">
        <w:rPr>
          <w:sz w:val="24"/>
          <w:szCs w:val="24"/>
        </w:rPr>
        <w:t>.</w:t>
      </w:r>
    </w:p>
    <w:p w:rsidR="004C4717" w:rsidRDefault="004C4717" w:rsidP="00703D22">
      <w:pPr>
        <w:spacing w:after="0" w:line="480" w:lineRule="auto"/>
        <w:rPr>
          <w:sz w:val="24"/>
          <w:szCs w:val="24"/>
        </w:rPr>
      </w:pPr>
    </w:p>
    <w:p w:rsidR="004C4717" w:rsidRPr="00703D22" w:rsidRDefault="004C4717" w:rsidP="00703D22">
      <w:pPr>
        <w:spacing w:after="0" w:line="480" w:lineRule="auto"/>
        <w:rPr>
          <w:sz w:val="24"/>
          <w:szCs w:val="24"/>
        </w:rPr>
      </w:pPr>
      <w:r>
        <w:rPr>
          <w:sz w:val="24"/>
          <w:szCs w:val="24"/>
        </w:rPr>
        <w:t>In sum, studies document processes whereby the Commission DGs in practice co</w:t>
      </w:r>
      <w:r w:rsidR="000E2B1D">
        <w:rPr>
          <w:sz w:val="24"/>
          <w:szCs w:val="24"/>
        </w:rPr>
        <w:t>-</w:t>
      </w:r>
      <w:r>
        <w:rPr>
          <w:sz w:val="24"/>
          <w:szCs w:val="24"/>
        </w:rPr>
        <w:t xml:space="preserve">opt administrative sub-units – notably EU agencies and domestic agencies. These processes are primarily observed at the implementation stage of the decision-making cycle, and in policy areas where the Commission DGs have substantial organizational capacities. </w:t>
      </w:r>
    </w:p>
    <w:p w:rsidR="004C4717" w:rsidRPr="00703D22" w:rsidRDefault="004C4717" w:rsidP="00703D22">
      <w:pPr>
        <w:spacing w:after="0" w:line="480" w:lineRule="auto"/>
        <w:rPr>
          <w:sz w:val="24"/>
          <w:szCs w:val="24"/>
        </w:rPr>
      </w:pPr>
    </w:p>
    <w:p w:rsidR="006F0AED" w:rsidRPr="000E2B1D" w:rsidRDefault="006F0AED" w:rsidP="00703D22">
      <w:pPr>
        <w:spacing w:after="0" w:line="480" w:lineRule="auto"/>
        <w:rPr>
          <w:b/>
          <w:sz w:val="28"/>
          <w:szCs w:val="28"/>
        </w:rPr>
      </w:pPr>
      <w:r w:rsidRPr="000E2B1D">
        <w:rPr>
          <w:b/>
          <w:sz w:val="28"/>
          <w:szCs w:val="28"/>
        </w:rPr>
        <w:t>Conclusion</w:t>
      </w:r>
    </w:p>
    <w:p w:rsidR="00B21FCD" w:rsidRDefault="005A5145" w:rsidP="005A5145">
      <w:pPr>
        <w:spacing w:after="0" w:line="480" w:lineRule="auto"/>
        <w:rPr>
          <w:sz w:val="24"/>
          <w:szCs w:val="24"/>
        </w:rPr>
      </w:pPr>
      <w:r>
        <w:rPr>
          <w:sz w:val="24"/>
          <w:szCs w:val="24"/>
        </w:rPr>
        <w:t>T</w:t>
      </w:r>
      <w:r w:rsidR="00B21FCD" w:rsidRPr="00894766">
        <w:rPr>
          <w:sz w:val="24"/>
          <w:szCs w:val="24"/>
        </w:rPr>
        <w:t xml:space="preserve">his </w:t>
      </w:r>
      <w:r w:rsidR="004C27BD">
        <w:rPr>
          <w:sz w:val="24"/>
          <w:szCs w:val="24"/>
        </w:rPr>
        <w:t>article</w:t>
      </w:r>
      <w:r>
        <w:rPr>
          <w:sz w:val="24"/>
          <w:szCs w:val="24"/>
        </w:rPr>
        <w:t xml:space="preserve"> has</w:t>
      </w:r>
      <w:r w:rsidR="00B21FCD" w:rsidRPr="00894766">
        <w:rPr>
          <w:sz w:val="24"/>
          <w:szCs w:val="24"/>
        </w:rPr>
        <w:t xml:space="preserve"> suggest</w:t>
      </w:r>
      <w:r>
        <w:rPr>
          <w:sz w:val="24"/>
          <w:szCs w:val="24"/>
        </w:rPr>
        <w:t>ed</w:t>
      </w:r>
      <w:r w:rsidR="00B21FCD" w:rsidRPr="00894766">
        <w:rPr>
          <w:sz w:val="24"/>
          <w:szCs w:val="24"/>
        </w:rPr>
        <w:t xml:space="preserve"> a conceptual frame through which administrative order may be understood. </w:t>
      </w:r>
      <w:r w:rsidR="00B21FCD">
        <w:rPr>
          <w:sz w:val="24"/>
          <w:szCs w:val="24"/>
        </w:rPr>
        <w:t xml:space="preserve">Arguably, the catalogue of categories of the EU polity fails to acknowledge the administrative dimension. The ambition of this </w:t>
      </w:r>
      <w:r w:rsidR="004C27BD">
        <w:rPr>
          <w:sz w:val="24"/>
          <w:szCs w:val="24"/>
        </w:rPr>
        <w:t>study</w:t>
      </w:r>
      <w:r w:rsidR="00B21FCD">
        <w:rPr>
          <w:sz w:val="24"/>
          <w:szCs w:val="24"/>
        </w:rPr>
        <w:t xml:space="preserve"> </w:t>
      </w:r>
      <w:r>
        <w:rPr>
          <w:sz w:val="24"/>
          <w:szCs w:val="24"/>
        </w:rPr>
        <w:t xml:space="preserve">has been to </w:t>
      </w:r>
      <w:r w:rsidR="00B21FCD" w:rsidRPr="001006FA">
        <w:rPr>
          <w:sz w:val="24"/>
          <w:szCs w:val="24"/>
        </w:rPr>
        <w:t xml:space="preserve">offer a supplementary conceptual frame that takes the ‘administrative dimensions’ seriously, thereby also suggesting </w:t>
      </w:r>
      <w:r w:rsidR="00B21FCD" w:rsidRPr="001006FA">
        <w:rPr>
          <w:sz w:val="24"/>
          <w:szCs w:val="24"/>
        </w:rPr>
        <w:lastRenderedPageBreak/>
        <w:t xml:space="preserve">that previous accounts of the EU polity has left this dimension at the side. It is suggested that the European politico-administrative system </w:t>
      </w:r>
      <w:r w:rsidR="00643130">
        <w:rPr>
          <w:sz w:val="24"/>
          <w:szCs w:val="24"/>
        </w:rPr>
        <w:t>should be conceived primarily as</w:t>
      </w:r>
      <w:r w:rsidR="00B21FCD" w:rsidRPr="001006FA">
        <w:rPr>
          <w:sz w:val="24"/>
          <w:szCs w:val="24"/>
        </w:rPr>
        <w:t xml:space="preserve"> a European multilevel administrative system (MLA). </w:t>
      </w:r>
      <w:r>
        <w:rPr>
          <w:sz w:val="24"/>
          <w:szCs w:val="24"/>
        </w:rPr>
        <w:t>S</w:t>
      </w:r>
      <w:r w:rsidR="00B21FCD">
        <w:rPr>
          <w:sz w:val="24"/>
          <w:szCs w:val="24"/>
        </w:rPr>
        <w:t>econdly</w:t>
      </w:r>
      <w:r>
        <w:rPr>
          <w:sz w:val="24"/>
          <w:szCs w:val="24"/>
        </w:rPr>
        <w:t xml:space="preserve">, this </w:t>
      </w:r>
      <w:r w:rsidR="004C27BD">
        <w:rPr>
          <w:sz w:val="24"/>
          <w:szCs w:val="24"/>
        </w:rPr>
        <w:t>article</w:t>
      </w:r>
      <w:r>
        <w:rPr>
          <w:sz w:val="24"/>
          <w:szCs w:val="24"/>
        </w:rPr>
        <w:t xml:space="preserve"> has</w:t>
      </w:r>
      <w:r w:rsidR="00B21FCD">
        <w:rPr>
          <w:sz w:val="24"/>
          <w:szCs w:val="24"/>
        </w:rPr>
        <w:t xml:space="preserve"> suggest</w:t>
      </w:r>
      <w:r>
        <w:rPr>
          <w:sz w:val="24"/>
          <w:szCs w:val="24"/>
        </w:rPr>
        <w:t>ed</w:t>
      </w:r>
      <w:r w:rsidR="00B21FCD">
        <w:rPr>
          <w:sz w:val="24"/>
          <w:szCs w:val="24"/>
        </w:rPr>
        <w:t xml:space="preserve"> how the MLA approach differ from one of its conceptual rivals – the multilevel governance approach (MLG).</w:t>
      </w:r>
      <w:r>
        <w:rPr>
          <w:sz w:val="24"/>
          <w:szCs w:val="24"/>
        </w:rPr>
        <w:t xml:space="preserve"> </w:t>
      </w:r>
      <w:r w:rsidR="00B21FCD">
        <w:rPr>
          <w:sz w:val="24"/>
          <w:szCs w:val="24"/>
        </w:rPr>
        <w:t xml:space="preserve">Finally, the </w:t>
      </w:r>
      <w:r w:rsidR="004C27BD">
        <w:rPr>
          <w:sz w:val="24"/>
          <w:szCs w:val="24"/>
        </w:rPr>
        <w:t>study</w:t>
      </w:r>
      <w:r w:rsidR="00B21FCD">
        <w:rPr>
          <w:sz w:val="24"/>
          <w:szCs w:val="24"/>
        </w:rPr>
        <w:t xml:space="preserve"> </w:t>
      </w:r>
      <w:r>
        <w:rPr>
          <w:sz w:val="24"/>
          <w:szCs w:val="24"/>
        </w:rPr>
        <w:t xml:space="preserve">has </w:t>
      </w:r>
      <w:r w:rsidR="00B21FCD">
        <w:rPr>
          <w:sz w:val="24"/>
          <w:szCs w:val="24"/>
        </w:rPr>
        <w:t>offer</w:t>
      </w:r>
      <w:r>
        <w:rPr>
          <w:sz w:val="24"/>
          <w:szCs w:val="24"/>
        </w:rPr>
        <w:t>ed</w:t>
      </w:r>
      <w:r w:rsidR="00B21FCD">
        <w:rPr>
          <w:sz w:val="24"/>
          <w:szCs w:val="24"/>
        </w:rPr>
        <w:t xml:space="preserve"> some empirical illustrations of the MLA approach in the contemporary European administrative system. </w:t>
      </w:r>
    </w:p>
    <w:p w:rsidR="00935217" w:rsidRPr="00703D22" w:rsidRDefault="00935217" w:rsidP="00703D22">
      <w:pPr>
        <w:spacing w:after="0" w:line="480" w:lineRule="auto"/>
        <w:rPr>
          <w:sz w:val="24"/>
          <w:szCs w:val="24"/>
        </w:rPr>
      </w:pPr>
    </w:p>
    <w:p w:rsidR="004C4717" w:rsidRPr="00894766" w:rsidRDefault="004C4717" w:rsidP="004C4717">
      <w:pPr>
        <w:spacing w:after="0" w:line="480" w:lineRule="auto"/>
        <w:rPr>
          <w:rFonts w:eastAsia="Times New Roman" w:cs="Calibri"/>
          <w:sz w:val="24"/>
          <w:szCs w:val="24"/>
          <w:lang w:eastAsia="de-DE"/>
        </w:rPr>
      </w:pPr>
      <w:r w:rsidRPr="00C22D72">
        <w:rPr>
          <w:rFonts w:eastAsia="Times New Roman" w:cs="Calibri"/>
          <w:sz w:val="24"/>
          <w:szCs w:val="24"/>
          <w:lang w:eastAsia="de-DE"/>
        </w:rPr>
        <w:t xml:space="preserve">In sum, </w:t>
      </w:r>
      <w:r>
        <w:rPr>
          <w:sz w:val="24"/>
          <w:szCs w:val="24"/>
        </w:rPr>
        <w:t xml:space="preserve">the </w:t>
      </w:r>
      <w:r w:rsidR="004C27BD">
        <w:rPr>
          <w:sz w:val="24"/>
          <w:szCs w:val="24"/>
        </w:rPr>
        <w:t>article</w:t>
      </w:r>
      <w:r w:rsidRPr="00EC01E0">
        <w:rPr>
          <w:rFonts w:eastAsia="Times New Roman" w:cs="Calibri"/>
          <w:sz w:val="24"/>
          <w:szCs w:val="24"/>
          <w:lang w:eastAsia="de-DE"/>
        </w:rPr>
        <w:t xml:space="preserve"> suggest</w:t>
      </w:r>
      <w:r>
        <w:rPr>
          <w:rFonts w:eastAsia="Times New Roman" w:cs="Calibri"/>
          <w:sz w:val="24"/>
          <w:szCs w:val="24"/>
          <w:lang w:eastAsia="de-DE"/>
        </w:rPr>
        <w:t>s</w:t>
      </w:r>
      <w:r w:rsidRPr="00EC01E0">
        <w:rPr>
          <w:rFonts w:eastAsia="Times New Roman" w:cs="Calibri"/>
          <w:sz w:val="24"/>
          <w:szCs w:val="24"/>
          <w:lang w:eastAsia="de-DE"/>
        </w:rPr>
        <w:t xml:space="preserve"> that the MLA approaches</w:t>
      </w:r>
      <w:r>
        <w:rPr>
          <w:rFonts w:eastAsia="Times New Roman" w:cs="Calibri"/>
          <w:sz w:val="24"/>
          <w:szCs w:val="24"/>
          <w:lang w:eastAsia="de-DE"/>
        </w:rPr>
        <w:t xml:space="preserve"> is an important element in a broader theory of multilevel governance than suggested by the MLG approach. The</w:t>
      </w:r>
      <w:r w:rsidRPr="00EC01E0">
        <w:rPr>
          <w:rFonts w:eastAsia="Times New Roman" w:cs="Calibri"/>
          <w:sz w:val="24"/>
          <w:szCs w:val="24"/>
          <w:lang w:eastAsia="de-DE"/>
        </w:rPr>
        <w:t xml:space="preserve"> MLA approach may offer attention to the administrative dimension of the European administrative system and </w:t>
      </w:r>
      <w:r w:rsidRPr="00C22D72">
        <w:rPr>
          <w:rFonts w:eastAsia="Times New Roman" w:cs="Calibri"/>
          <w:sz w:val="24"/>
          <w:szCs w:val="24"/>
          <w:lang w:eastAsia="de-DE"/>
        </w:rPr>
        <w:t>its added value is the conceptualization of administrative structures, values and interaction across levels of government – and is therefore a theory of political organization of the European administrative system.</w:t>
      </w:r>
    </w:p>
    <w:p w:rsidR="004C4717" w:rsidRDefault="004C4717" w:rsidP="00703D22">
      <w:pPr>
        <w:spacing w:after="0" w:line="480" w:lineRule="auto"/>
        <w:rPr>
          <w:rFonts w:cs="Calibri"/>
          <w:sz w:val="24"/>
          <w:szCs w:val="24"/>
        </w:rPr>
      </w:pPr>
    </w:p>
    <w:p w:rsidR="005A5145" w:rsidRDefault="005A5145" w:rsidP="00703D22">
      <w:pPr>
        <w:spacing w:after="0" w:line="480" w:lineRule="auto"/>
        <w:rPr>
          <w:sz w:val="24"/>
          <w:szCs w:val="24"/>
        </w:rPr>
      </w:pPr>
      <w:r w:rsidRPr="00894766">
        <w:rPr>
          <w:rFonts w:cs="Calibri"/>
          <w:sz w:val="24"/>
          <w:szCs w:val="24"/>
        </w:rPr>
        <w:t>Th</w:t>
      </w:r>
      <w:r w:rsidR="004C4717">
        <w:rPr>
          <w:rFonts w:cs="Calibri"/>
          <w:sz w:val="24"/>
          <w:szCs w:val="24"/>
        </w:rPr>
        <w:t>e</w:t>
      </w:r>
      <w:r w:rsidRPr="00894766">
        <w:rPr>
          <w:rFonts w:cs="Calibri"/>
          <w:sz w:val="24"/>
          <w:szCs w:val="24"/>
        </w:rPr>
        <w:t xml:space="preserve"> theoretical interest</w:t>
      </w:r>
      <w:r>
        <w:rPr>
          <w:rFonts w:cs="Calibri"/>
          <w:sz w:val="24"/>
          <w:szCs w:val="24"/>
        </w:rPr>
        <w:t xml:space="preserve"> in the administrative dimension of the EU polity</w:t>
      </w:r>
      <w:r w:rsidRPr="00894766">
        <w:rPr>
          <w:rFonts w:cs="Calibri"/>
          <w:sz w:val="24"/>
          <w:szCs w:val="24"/>
        </w:rPr>
        <w:t xml:space="preserve"> is related to the challenge that the emerging EU administrative system poses for the discipline of public administration wh</w:t>
      </w:r>
      <w:r>
        <w:rPr>
          <w:rFonts w:cs="Calibri"/>
          <w:sz w:val="24"/>
          <w:szCs w:val="24"/>
        </w:rPr>
        <w:t xml:space="preserve">ich has been largely locked in </w:t>
      </w:r>
      <w:r w:rsidRPr="00894766">
        <w:rPr>
          <w:rFonts w:cs="Calibri"/>
          <w:sz w:val="24"/>
          <w:szCs w:val="24"/>
        </w:rPr>
        <w:t xml:space="preserve">national laboratories. Theoretical lessons from social sciences are arguably affected by the empirical laboratories available to scholars. The domain of public administration may </w:t>
      </w:r>
      <w:r>
        <w:rPr>
          <w:rFonts w:cs="Calibri"/>
          <w:sz w:val="24"/>
          <w:szCs w:val="24"/>
        </w:rPr>
        <w:t>arguably</w:t>
      </w:r>
      <w:r w:rsidRPr="00894766">
        <w:rPr>
          <w:rFonts w:cs="Calibri"/>
          <w:sz w:val="24"/>
          <w:szCs w:val="24"/>
        </w:rPr>
        <w:t xml:space="preserve"> gain theoretical advances by challenging methodological nationalism. </w:t>
      </w:r>
      <w:r>
        <w:rPr>
          <w:rFonts w:cs="Calibri"/>
          <w:sz w:val="24"/>
          <w:szCs w:val="24"/>
        </w:rPr>
        <w:t>Moreover, d</w:t>
      </w:r>
      <w:r w:rsidRPr="00894766">
        <w:rPr>
          <w:rFonts w:cs="Calibri"/>
          <w:sz w:val="24"/>
          <w:szCs w:val="24"/>
        </w:rPr>
        <w:t xml:space="preserve">espite successful advances in conceptualizing the EU administrative system, </w:t>
      </w:r>
      <w:r>
        <w:rPr>
          <w:rFonts w:cs="Calibri"/>
          <w:sz w:val="24"/>
          <w:szCs w:val="24"/>
        </w:rPr>
        <w:t xml:space="preserve">this </w:t>
      </w:r>
      <w:r w:rsidR="004C27BD">
        <w:rPr>
          <w:rFonts w:cs="Calibri"/>
          <w:sz w:val="24"/>
          <w:szCs w:val="24"/>
        </w:rPr>
        <w:t>article</w:t>
      </w:r>
      <w:r>
        <w:rPr>
          <w:rFonts w:cs="Calibri"/>
          <w:sz w:val="24"/>
          <w:szCs w:val="24"/>
        </w:rPr>
        <w:t xml:space="preserve"> has</w:t>
      </w:r>
      <w:r w:rsidRPr="00894766">
        <w:rPr>
          <w:rFonts w:cs="Calibri"/>
          <w:sz w:val="24"/>
          <w:szCs w:val="24"/>
        </w:rPr>
        <w:t xml:space="preserve"> argue</w:t>
      </w:r>
      <w:r>
        <w:rPr>
          <w:rFonts w:cs="Calibri"/>
          <w:sz w:val="24"/>
          <w:szCs w:val="24"/>
        </w:rPr>
        <w:t>d</w:t>
      </w:r>
      <w:r w:rsidRPr="00894766">
        <w:rPr>
          <w:rFonts w:cs="Calibri"/>
          <w:sz w:val="24"/>
          <w:szCs w:val="24"/>
        </w:rPr>
        <w:t xml:space="preserve"> that public administration as a sub-discipline </w:t>
      </w:r>
      <w:r>
        <w:rPr>
          <w:rFonts w:cs="Calibri"/>
          <w:sz w:val="24"/>
          <w:szCs w:val="24"/>
        </w:rPr>
        <w:t xml:space="preserve">has </w:t>
      </w:r>
      <w:r w:rsidRPr="00894766">
        <w:rPr>
          <w:rFonts w:cs="Calibri"/>
          <w:sz w:val="24"/>
          <w:szCs w:val="24"/>
        </w:rPr>
        <w:t xml:space="preserve">paid scant attention to ongoing transformations of bureaucratic interaction in the EU, and how </w:t>
      </w:r>
      <w:r w:rsidRPr="00894766">
        <w:rPr>
          <w:rFonts w:cs="Calibri"/>
          <w:sz w:val="24"/>
          <w:szCs w:val="24"/>
        </w:rPr>
        <w:lastRenderedPageBreak/>
        <w:t xml:space="preserve">this relates to other developments </w:t>
      </w:r>
      <w:r>
        <w:rPr>
          <w:rFonts w:cs="Calibri"/>
          <w:sz w:val="24"/>
          <w:szCs w:val="24"/>
        </w:rPr>
        <w:t xml:space="preserve">in public sector organizations. This literature has failed to account for how changing features of the state – such as agencification – impact and fuel the rise of novel forms of multilevel administrative </w:t>
      </w:r>
      <w:r w:rsidR="00C55295">
        <w:rPr>
          <w:rFonts w:cs="Calibri"/>
          <w:sz w:val="24"/>
          <w:szCs w:val="24"/>
        </w:rPr>
        <w:t>governance</w:t>
      </w:r>
      <w:r w:rsidRPr="00894766">
        <w:rPr>
          <w:rFonts w:cs="Calibri"/>
          <w:sz w:val="24"/>
          <w:szCs w:val="24"/>
        </w:rPr>
        <w:t>.</w:t>
      </w:r>
      <w:r>
        <w:rPr>
          <w:rFonts w:cs="Calibri"/>
          <w:sz w:val="24"/>
          <w:szCs w:val="24"/>
        </w:rPr>
        <w:t xml:space="preserve"> A</w:t>
      </w:r>
      <w:r w:rsidRPr="00894766">
        <w:rPr>
          <w:sz w:val="24"/>
          <w:szCs w:val="24"/>
        </w:rPr>
        <w:t xml:space="preserve">ccording to </w:t>
      </w:r>
      <w:r>
        <w:rPr>
          <w:sz w:val="24"/>
          <w:szCs w:val="24"/>
        </w:rPr>
        <w:t>the</w:t>
      </w:r>
      <w:r w:rsidRPr="00894766">
        <w:rPr>
          <w:sz w:val="24"/>
          <w:szCs w:val="24"/>
        </w:rPr>
        <w:t xml:space="preserve"> MLA approach</w:t>
      </w:r>
      <w:r>
        <w:rPr>
          <w:sz w:val="24"/>
          <w:szCs w:val="24"/>
        </w:rPr>
        <w:t xml:space="preserve"> outlined here</w:t>
      </w:r>
      <w:r w:rsidRPr="00894766">
        <w:rPr>
          <w:sz w:val="24"/>
          <w:szCs w:val="24"/>
        </w:rPr>
        <w:t>, the European administrative system, and its component parts,</w:t>
      </w:r>
      <w:r>
        <w:rPr>
          <w:sz w:val="24"/>
          <w:szCs w:val="24"/>
        </w:rPr>
        <w:t xml:space="preserve"> is taken seriously. This is </w:t>
      </w:r>
      <w:r w:rsidRPr="00894766">
        <w:rPr>
          <w:sz w:val="24"/>
          <w:szCs w:val="24"/>
        </w:rPr>
        <w:t xml:space="preserve">captured along three analytical dimensions: </w:t>
      </w:r>
      <w:r w:rsidRPr="00894766">
        <w:rPr>
          <w:i/>
          <w:sz w:val="24"/>
          <w:szCs w:val="24"/>
        </w:rPr>
        <w:t>institutional independence, integration, and co-optation</w:t>
      </w:r>
      <w:r w:rsidRPr="00894766">
        <w:rPr>
          <w:sz w:val="24"/>
          <w:szCs w:val="24"/>
        </w:rPr>
        <w:t xml:space="preserve">. These dimensions serve </w:t>
      </w:r>
      <w:r>
        <w:rPr>
          <w:sz w:val="24"/>
          <w:szCs w:val="24"/>
        </w:rPr>
        <w:t xml:space="preserve">first </w:t>
      </w:r>
      <w:r w:rsidRPr="00894766">
        <w:rPr>
          <w:sz w:val="24"/>
          <w:szCs w:val="24"/>
        </w:rPr>
        <w:t>to capture central aspects of the integration of public administration in Europe</w:t>
      </w:r>
      <w:r>
        <w:rPr>
          <w:sz w:val="24"/>
          <w:szCs w:val="24"/>
        </w:rPr>
        <w:t>, and secondly</w:t>
      </w:r>
      <w:r w:rsidRPr="00894766">
        <w:rPr>
          <w:sz w:val="24"/>
          <w:szCs w:val="24"/>
        </w:rPr>
        <w:t xml:space="preserve"> to accentuate what makes the MLA approach different from </w:t>
      </w:r>
      <w:r>
        <w:rPr>
          <w:sz w:val="24"/>
          <w:szCs w:val="24"/>
        </w:rPr>
        <w:t xml:space="preserve">one of its rivals - </w:t>
      </w:r>
      <w:r w:rsidRPr="00894766">
        <w:rPr>
          <w:sz w:val="24"/>
          <w:szCs w:val="24"/>
        </w:rPr>
        <w:t>the MLG approach</w:t>
      </w:r>
      <w:r>
        <w:rPr>
          <w:sz w:val="24"/>
          <w:szCs w:val="24"/>
        </w:rPr>
        <w:t>.</w:t>
      </w:r>
    </w:p>
    <w:p w:rsidR="004C4717" w:rsidRDefault="004C4717" w:rsidP="00703D22">
      <w:pPr>
        <w:spacing w:after="0" w:line="480" w:lineRule="auto"/>
        <w:rPr>
          <w:sz w:val="24"/>
          <w:szCs w:val="24"/>
        </w:rPr>
      </w:pPr>
    </w:p>
    <w:p w:rsidR="004C4717" w:rsidRDefault="004C4717" w:rsidP="00703D22">
      <w:pPr>
        <w:spacing w:after="0" w:line="480" w:lineRule="auto"/>
        <w:rPr>
          <w:sz w:val="24"/>
          <w:szCs w:val="24"/>
        </w:rPr>
      </w:pPr>
      <w:r>
        <w:rPr>
          <w:sz w:val="24"/>
          <w:szCs w:val="24"/>
        </w:rPr>
        <w:t>Future studies applying the MLA approach would be potentially manifold.</w:t>
      </w:r>
      <w:r w:rsidR="00E762D1">
        <w:rPr>
          <w:sz w:val="24"/>
          <w:szCs w:val="24"/>
        </w:rPr>
        <w:t xml:space="preserve"> The MLA is of relevance for studying how federal-type systems – such as the EU – integrate, and particularly the </w:t>
      </w:r>
      <w:r w:rsidR="00E762D1" w:rsidRPr="00E762D1">
        <w:rPr>
          <w:i/>
          <w:sz w:val="24"/>
          <w:szCs w:val="24"/>
        </w:rPr>
        <w:t>organizational</w:t>
      </w:r>
      <w:r w:rsidR="00E762D1">
        <w:rPr>
          <w:sz w:val="24"/>
          <w:szCs w:val="24"/>
        </w:rPr>
        <w:t xml:space="preserve"> dimension of such processes. This approach is also of relevance for studying the </w:t>
      </w:r>
      <w:r w:rsidR="00E762D1" w:rsidRPr="00E762D1">
        <w:rPr>
          <w:i/>
          <w:sz w:val="24"/>
          <w:szCs w:val="24"/>
        </w:rPr>
        <w:t>settlement</w:t>
      </w:r>
      <w:r w:rsidR="00E762D1">
        <w:rPr>
          <w:sz w:val="24"/>
          <w:szCs w:val="24"/>
        </w:rPr>
        <w:t xml:space="preserve"> of emergent organizations and organized systems.</w:t>
      </w:r>
      <w:r w:rsidR="00E762D1" w:rsidRPr="00E762D1">
        <w:rPr>
          <w:sz w:val="24"/>
          <w:szCs w:val="24"/>
        </w:rPr>
        <w:t xml:space="preserve"> </w:t>
      </w:r>
      <w:r w:rsidR="00E762D1" w:rsidRPr="00F72E2B">
        <w:rPr>
          <w:sz w:val="24"/>
          <w:szCs w:val="24"/>
        </w:rPr>
        <w:t>Organizations and organized systems are temporary settlements of rules and procedures, demography, locations, beliefs and norms.</w:t>
      </w:r>
      <w:r w:rsidR="00E762D1">
        <w:rPr>
          <w:sz w:val="24"/>
          <w:szCs w:val="24"/>
        </w:rPr>
        <w:t xml:space="preserve"> The MLA approach is particularly helpful in conceptualizing the settlement of emergent systems that involves multiple tiers of authoritative decision centers. Finally,</w:t>
      </w:r>
      <w:r w:rsidR="00E762D1" w:rsidRPr="00F72E2B">
        <w:rPr>
          <w:sz w:val="24"/>
          <w:szCs w:val="24"/>
        </w:rPr>
        <w:t xml:space="preserve"> </w:t>
      </w:r>
      <w:r w:rsidR="00E762D1">
        <w:rPr>
          <w:sz w:val="24"/>
          <w:szCs w:val="24"/>
        </w:rPr>
        <w:t>w</w:t>
      </w:r>
      <w:r>
        <w:rPr>
          <w:sz w:val="24"/>
          <w:szCs w:val="24"/>
        </w:rPr>
        <w:t xml:space="preserve">e would </w:t>
      </w:r>
      <w:r w:rsidR="00E762D1">
        <w:rPr>
          <w:sz w:val="24"/>
          <w:szCs w:val="24"/>
        </w:rPr>
        <w:t>also</w:t>
      </w:r>
      <w:r>
        <w:rPr>
          <w:sz w:val="24"/>
          <w:szCs w:val="24"/>
        </w:rPr>
        <w:t xml:space="preserve"> emphasize the attractiveness of studying the </w:t>
      </w:r>
      <w:r w:rsidRPr="00E762D1">
        <w:rPr>
          <w:i/>
          <w:sz w:val="24"/>
          <w:szCs w:val="24"/>
        </w:rPr>
        <w:t>sustainability</w:t>
      </w:r>
      <w:r>
        <w:rPr>
          <w:sz w:val="24"/>
          <w:szCs w:val="24"/>
        </w:rPr>
        <w:t xml:space="preserve"> of the European administrative system. One way to do this would be to study how it operates under stress and turbulence. </w:t>
      </w:r>
      <w:r w:rsidR="00BC2927" w:rsidRPr="00BC2927">
        <w:rPr>
          <w:sz w:val="24"/>
          <w:szCs w:val="24"/>
        </w:rPr>
        <w:t xml:space="preserve">The </w:t>
      </w:r>
      <w:r w:rsidR="00BC2927">
        <w:rPr>
          <w:sz w:val="24"/>
          <w:szCs w:val="24"/>
        </w:rPr>
        <w:t xml:space="preserve">sustainability and resilience </w:t>
      </w:r>
      <w:r w:rsidR="00BC2927" w:rsidRPr="00BC2927">
        <w:rPr>
          <w:sz w:val="24"/>
          <w:szCs w:val="24"/>
        </w:rPr>
        <w:t xml:space="preserve">of </w:t>
      </w:r>
      <w:r w:rsidR="00BC2927">
        <w:rPr>
          <w:sz w:val="24"/>
          <w:szCs w:val="24"/>
        </w:rPr>
        <w:t>institutional independence, integration and cooptation</w:t>
      </w:r>
      <w:r w:rsidR="00BC2927" w:rsidRPr="00BC2927">
        <w:rPr>
          <w:sz w:val="24"/>
          <w:szCs w:val="24"/>
        </w:rPr>
        <w:t xml:space="preserve"> </w:t>
      </w:r>
      <w:r w:rsidR="00BC2927">
        <w:rPr>
          <w:sz w:val="24"/>
          <w:szCs w:val="24"/>
        </w:rPr>
        <w:t>may</w:t>
      </w:r>
      <w:r w:rsidR="00BC2927" w:rsidRPr="00BC2927">
        <w:rPr>
          <w:sz w:val="24"/>
          <w:szCs w:val="24"/>
        </w:rPr>
        <w:t xml:space="preserve"> </w:t>
      </w:r>
      <w:r w:rsidR="00BC2927">
        <w:rPr>
          <w:sz w:val="24"/>
          <w:szCs w:val="24"/>
        </w:rPr>
        <w:t xml:space="preserve">be </w:t>
      </w:r>
      <w:r w:rsidR="00BC2927" w:rsidRPr="00BC2927">
        <w:rPr>
          <w:sz w:val="24"/>
          <w:szCs w:val="24"/>
        </w:rPr>
        <w:t xml:space="preserve">taken for granted during periods of stability. During periods of turbulence, </w:t>
      </w:r>
      <w:r w:rsidR="00BC2927">
        <w:rPr>
          <w:sz w:val="24"/>
          <w:szCs w:val="24"/>
        </w:rPr>
        <w:t>these items might be subject to test</w:t>
      </w:r>
      <w:r w:rsidR="00BC2927" w:rsidRPr="00BC2927">
        <w:rPr>
          <w:sz w:val="24"/>
          <w:szCs w:val="24"/>
        </w:rPr>
        <w:t>. Turbulent times – such as those typically a</w:t>
      </w:r>
      <w:r w:rsidR="00BC2927">
        <w:rPr>
          <w:sz w:val="24"/>
          <w:szCs w:val="24"/>
        </w:rPr>
        <w:t>ssociated with financial stress</w:t>
      </w:r>
      <w:r w:rsidR="00BC2927" w:rsidRPr="00BC2927">
        <w:rPr>
          <w:sz w:val="24"/>
          <w:szCs w:val="24"/>
        </w:rPr>
        <w:t xml:space="preserve"> - are marked by the lack of ‘order, rationality, con</w:t>
      </w:r>
      <w:r w:rsidR="00BC2927">
        <w:rPr>
          <w:sz w:val="24"/>
          <w:szCs w:val="24"/>
        </w:rPr>
        <w:t>trol and predictability’ (Cohen et al.</w:t>
      </w:r>
      <w:r w:rsidR="000E2B1D">
        <w:rPr>
          <w:sz w:val="24"/>
          <w:szCs w:val="24"/>
        </w:rPr>
        <w:t>,</w:t>
      </w:r>
      <w:r w:rsidR="00BC2927" w:rsidRPr="00BC2927">
        <w:rPr>
          <w:sz w:val="24"/>
          <w:szCs w:val="24"/>
        </w:rPr>
        <w:t xml:space="preserve"> </w:t>
      </w:r>
      <w:r w:rsidR="00BC2927">
        <w:rPr>
          <w:sz w:val="24"/>
          <w:szCs w:val="24"/>
        </w:rPr>
        <w:t>2012: 7</w:t>
      </w:r>
      <w:r w:rsidR="00BC2927" w:rsidRPr="00BC2927">
        <w:rPr>
          <w:sz w:val="24"/>
          <w:szCs w:val="24"/>
        </w:rPr>
        <w:t xml:space="preserve">). </w:t>
      </w:r>
      <w:r w:rsidR="00BC2927">
        <w:rPr>
          <w:sz w:val="24"/>
          <w:szCs w:val="24"/>
        </w:rPr>
        <w:lastRenderedPageBreak/>
        <w:t>T</w:t>
      </w:r>
      <w:r w:rsidR="00BC2927" w:rsidRPr="00BC2927">
        <w:rPr>
          <w:sz w:val="24"/>
          <w:szCs w:val="24"/>
        </w:rPr>
        <w:t xml:space="preserve">urbulence is coined by long-term unruliness and tensions within environments and organizations - that might go unnoticed by practitioners and observers. As seen by the recent Euro-zone crisis in Europe, the Euro was marked by some kind of unsettledness already from the launch of the new Euro area, but the sudden crisis that hit Greece – and subsequent EU member states - unveiled the latent turbulent nature of the arrangement. </w:t>
      </w:r>
      <w:r w:rsidR="00BC2927">
        <w:rPr>
          <w:sz w:val="24"/>
          <w:szCs w:val="24"/>
        </w:rPr>
        <w:t>During turbulence d</w:t>
      </w:r>
      <w:r w:rsidR="00BC2927" w:rsidRPr="00BC2927">
        <w:rPr>
          <w:sz w:val="24"/>
          <w:szCs w:val="24"/>
        </w:rPr>
        <w:t>ecision-makers face choices that need to be made under unfamiliar degrees of uncertainty (Tamuz and Lewis</w:t>
      </w:r>
      <w:r w:rsidR="000E2B1D">
        <w:rPr>
          <w:sz w:val="24"/>
          <w:szCs w:val="24"/>
        </w:rPr>
        <w:t>,</w:t>
      </w:r>
      <w:r w:rsidR="00BC2927" w:rsidRPr="00BC2927">
        <w:rPr>
          <w:sz w:val="24"/>
          <w:szCs w:val="24"/>
        </w:rPr>
        <w:t xml:space="preserve"> 2008: 158). Turbulent times can reveal the fragility of institutions and produce surprising cascading dynamics that test the sustainability of existing governance arrangements. </w:t>
      </w:r>
      <w:r w:rsidR="00BC2927">
        <w:rPr>
          <w:sz w:val="24"/>
          <w:szCs w:val="24"/>
        </w:rPr>
        <w:t>We suggest</w:t>
      </w:r>
      <w:r w:rsidR="00BC2927" w:rsidRPr="00BC2927">
        <w:rPr>
          <w:sz w:val="24"/>
          <w:szCs w:val="24"/>
        </w:rPr>
        <w:t xml:space="preserve"> that turbulent times also represent an underappreciated opportunity to examine the resilience of organizations and organized systems. Less attended to by contemporary scholarship, unsettled systems of governance offer ample opportunity for scholarly reflection, stock taking, and suggest new ways forward (Olsen</w:t>
      </w:r>
      <w:r w:rsidR="000E2B1D">
        <w:rPr>
          <w:sz w:val="24"/>
          <w:szCs w:val="24"/>
        </w:rPr>
        <w:t>,</w:t>
      </w:r>
      <w:r w:rsidR="00BC2927" w:rsidRPr="00BC2927">
        <w:rPr>
          <w:sz w:val="24"/>
          <w:szCs w:val="24"/>
        </w:rPr>
        <w:t xml:space="preserve"> 2007).</w:t>
      </w:r>
    </w:p>
    <w:p w:rsidR="00C22D72" w:rsidRDefault="00C22D72" w:rsidP="00703D22">
      <w:pPr>
        <w:spacing w:after="0" w:line="480" w:lineRule="auto"/>
        <w:rPr>
          <w:sz w:val="24"/>
          <w:szCs w:val="24"/>
        </w:rPr>
      </w:pPr>
    </w:p>
    <w:p w:rsidR="00FA7B7B" w:rsidRPr="000E2B1D" w:rsidRDefault="000E2B1D" w:rsidP="00703D22">
      <w:pPr>
        <w:spacing w:after="0" w:line="480" w:lineRule="auto"/>
        <w:rPr>
          <w:b/>
          <w:sz w:val="28"/>
          <w:szCs w:val="28"/>
        </w:rPr>
      </w:pPr>
      <w:r w:rsidRPr="000E2B1D">
        <w:rPr>
          <w:b/>
          <w:sz w:val="28"/>
          <w:szCs w:val="28"/>
        </w:rPr>
        <w:t>Acknowledgement</w:t>
      </w:r>
    </w:p>
    <w:p w:rsidR="00077F03" w:rsidRPr="00077F03" w:rsidRDefault="00077F03" w:rsidP="00077F03">
      <w:pPr>
        <w:tabs>
          <w:tab w:val="num" w:pos="720"/>
        </w:tabs>
        <w:spacing w:after="120" w:line="480" w:lineRule="auto"/>
        <w:rPr>
          <w:rFonts w:eastAsia="Times New Roman" w:cstheme="minorHAnsi"/>
          <w:sz w:val="24"/>
          <w:szCs w:val="24"/>
          <w:lang w:eastAsia="de-DE"/>
        </w:rPr>
      </w:pPr>
      <w:r w:rsidRPr="00077F03">
        <w:rPr>
          <w:rFonts w:eastAsia="Times New Roman" w:cstheme="minorHAnsi"/>
          <w:sz w:val="24"/>
          <w:szCs w:val="24"/>
          <w:lang w:eastAsia="de-DE"/>
        </w:rPr>
        <w:t xml:space="preserve">The study is financially supported </w:t>
      </w:r>
      <w:r>
        <w:rPr>
          <w:rFonts w:eastAsia="Times New Roman" w:cstheme="minorHAnsi"/>
          <w:sz w:val="24"/>
          <w:szCs w:val="24"/>
          <w:lang w:eastAsia="de-DE"/>
        </w:rPr>
        <w:t>from three</w:t>
      </w:r>
      <w:r w:rsidRPr="00077F03">
        <w:rPr>
          <w:rFonts w:eastAsia="Times New Roman" w:cstheme="minorHAnsi"/>
          <w:sz w:val="24"/>
          <w:szCs w:val="24"/>
          <w:lang w:eastAsia="de-DE"/>
        </w:rPr>
        <w:t xml:space="preserve"> basic research grant</w:t>
      </w:r>
      <w:r>
        <w:rPr>
          <w:rFonts w:eastAsia="Times New Roman" w:cstheme="minorHAnsi"/>
          <w:sz w:val="24"/>
          <w:szCs w:val="24"/>
          <w:lang w:eastAsia="de-DE"/>
        </w:rPr>
        <w:t>s</w:t>
      </w:r>
      <w:r w:rsidRPr="00077F03">
        <w:rPr>
          <w:rFonts w:eastAsia="Times New Roman" w:cstheme="minorHAnsi"/>
          <w:sz w:val="24"/>
          <w:szCs w:val="24"/>
          <w:lang w:eastAsia="de-DE"/>
        </w:rPr>
        <w:t xml:space="preserve"> ‘COMPOL: The Rise of Common Political Order’ (University of Agder), ‘EURODIV: Integration and division: Towards a segmented Europe?’ (Norwegian Research Council), and the German Research Institute for Public Administration (GRIP). The authors acknowledge comments from two anonymous reviewers, the editors of the journal and Katerina Potapova for research assistance.</w:t>
      </w:r>
    </w:p>
    <w:p w:rsidR="000E2B1D" w:rsidRDefault="000E2B1D" w:rsidP="00703D22">
      <w:pPr>
        <w:spacing w:after="0" w:line="480" w:lineRule="auto"/>
        <w:rPr>
          <w:sz w:val="28"/>
          <w:szCs w:val="28"/>
        </w:rPr>
      </w:pPr>
    </w:p>
    <w:p w:rsidR="00077F03" w:rsidRDefault="00077F03" w:rsidP="00703D22">
      <w:pPr>
        <w:spacing w:after="0" w:line="480" w:lineRule="auto"/>
        <w:rPr>
          <w:sz w:val="28"/>
          <w:szCs w:val="28"/>
        </w:rPr>
      </w:pPr>
    </w:p>
    <w:p w:rsidR="00C22D72" w:rsidRPr="000E2B1D" w:rsidRDefault="006F0AED" w:rsidP="00C22D72">
      <w:pPr>
        <w:spacing w:after="0" w:line="480" w:lineRule="auto"/>
        <w:rPr>
          <w:rFonts w:cs="Arial"/>
          <w:b/>
          <w:color w:val="222222"/>
          <w:sz w:val="24"/>
          <w:szCs w:val="24"/>
          <w:shd w:val="clear" w:color="auto" w:fill="FFFFFF"/>
        </w:rPr>
      </w:pPr>
      <w:r w:rsidRPr="000E2B1D">
        <w:rPr>
          <w:b/>
          <w:sz w:val="28"/>
          <w:szCs w:val="28"/>
        </w:rPr>
        <w:lastRenderedPageBreak/>
        <w:t>References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Acharya, A. and Johnston, A.I. (eds</w:t>
      </w:r>
      <w:r w:rsidR="007C201A">
        <w:rPr>
          <w:rFonts w:cs="Arial"/>
          <w:sz w:val="24"/>
          <w:szCs w:val="24"/>
          <w:lang w:val="en"/>
        </w:rPr>
        <w:t>.</w:t>
      </w:r>
      <w:r w:rsidRPr="00C22D72">
        <w:rPr>
          <w:rFonts w:cs="Arial"/>
          <w:sz w:val="24"/>
          <w:szCs w:val="24"/>
          <w:lang w:val="en"/>
        </w:rPr>
        <w:t>) (2007)</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Crafting Cooperation</w:t>
      </w:r>
      <w:r w:rsidR="00031CBC">
        <w:rPr>
          <w:rFonts w:cs="Arial"/>
          <w:sz w:val="24"/>
          <w:szCs w:val="24"/>
          <w:lang w:val="en"/>
        </w:rPr>
        <w:t>,</w:t>
      </w:r>
      <w:r w:rsidRPr="00C22D72">
        <w:rPr>
          <w:rFonts w:cs="Arial"/>
          <w:sz w:val="24"/>
          <w:szCs w:val="24"/>
          <w:lang w:val="en"/>
        </w:rPr>
        <w:t xml:space="preserve"> Cambridge: Cambridge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Amoretti, F. </w:t>
      </w:r>
      <w:r w:rsidR="00E05BE9">
        <w:rPr>
          <w:rFonts w:cs="Arial"/>
          <w:sz w:val="24"/>
          <w:szCs w:val="24"/>
          <w:lang w:val="en"/>
        </w:rPr>
        <w:t>and</w:t>
      </w:r>
      <w:r w:rsidR="00E05BE9" w:rsidRPr="00C22D72">
        <w:rPr>
          <w:rFonts w:cs="Arial"/>
          <w:sz w:val="24"/>
          <w:szCs w:val="24"/>
          <w:lang w:val="en"/>
        </w:rPr>
        <w:t xml:space="preserve"> </w:t>
      </w:r>
      <w:r w:rsidRPr="00C22D72">
        <w:rPr>
          <w:rFonts w:cs="Arial"/>
          <w:sz w:val="24"/>
          <w:szCs w:val="24"/>
          <w:lang w:val="en"/>
        </w:rPr>
        <w:t>F. Musella (2011)</w:t>
      </w:r>
      <w:r w:rsidR="00031CBC">
        <w:rPr>
          <w:rFonts w:cs="Arial"/>
          <w:sz w:val="24"/>
          <w:szCs w:val="24"/>
          <w:lang w:val="en"/>
        </w:rPr>
        <w:t>,</w:t>
      </w:r>
      <w:r w:rsidRPr="00C22D72">
        <w:rPr>
          <w:rFonts w:cs="Arial"/>
          <w:sz w:val="24"/>
          <w:szCs w:val="24"/>
          <w:lang w:val="en"/>
        </w:rPr>
        <w:t xml:space="preserve"> ‘Towards the European administrative space: the role of e-government policy’, </w:t>
      </w:r>
      <w:r w:rsidRPr="000B1FCD">
        <w:rPr>
          <w:rFonts w:cs="Arial"/>
          <w:i/>
          <w:sz w:val="24"/>
          <w:szCs w:val="24"/>
          <w:lang w:val="en"/>
        </w:rPr>
        <w:t>European Political Science Review</w:t>
      </w:r>
      <w:r w:rsidRPr="00C22D72">
        <w:rPr>
          <w:rFonts w:cs="Arial"/>
          <w:sz w:val="24"/>
          <w:szCs w:val="24"/>
          <w:lang w:val="en"/>
        </w:rPr>
        <w:t xml:space="preserve"> 3(1): 35-52.</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Arellano-Gault, D., D. Demortain, C. Rouillard </w:t>
      </w:r>
      <w:r w:rsidR="00E05BE9">
        <w:rPr>
          <w:rFonts w:cs="Arial"/>
          <w:sz w:val="24"/>
          <w:szCs w:val="24"/>
          <w:lang w:val="en"/>
        </w:rPr>
        <w:t>and</w:t>
      </w:r>
      <w:r w:rsidR="00E05BE9" w:rsidRPr="00C22D72">
        <w:rPr>
          <w:rFonts w:cs="Arial"/>
          <w:sz w:val="24"/>
          <w:szCs w:val="24"/>
          <w:lang w:val="en"/>
        </w:rPr>
        <w:t xml:space="preserve"> </w:t>
      </w:r>
      <w:r w:rsidRPr="00C22D72">
        <w:rPr>
          <w:rFonts w:cs="Arial"/>
          <w:sz w:val="24"/>
          <w:szCs w:val="24"/>
          <w:lang w:val="en"/>
        </w:rPr>
        <w:t>J.-C. Thoenig (2013)</w:t>
      </w:r>
      <w:r w:rsidR="00031CBC">
        <w:rPr>
          <w:rFonts w:cs="Arial"/>
          <w:sz w:val="24"/>
          <w:szCs w:val="24"/>
          <w:lang w:val="en"/>
        </w:rPr>
        <w:t>,</w:t>
      </w:r>
      <w:r w:rsidRPr="00C22D72">
        <w:rPr>
          <w:rFonts w:cs="Arial"/>
          <w:sz w:val="24"/>
          <w:szCs w:val="24"/>
          <w:lang w:val="en"/>
        </w:rPr>
        <w:t xml:space="preserve"> ‘Bringing </w:t>
      </w:r>
      <w:r w:rsidR="007C201A">
        <w:rPr>
          <w:rFonts w:cs="Arial"/>
          <w:sz w:val="24"/>
          <w:szCs w:val="24"/>
          <w:lang w:val="en"/>
        </w:rPr>
        <w:t>p</w:t>
      </w:r>
      <w:r w:rsidRPr="00C22D72">
        <w:rPr>
          <w:rFonts w:cs="Arial"/>
          <w:sz w:val="24"/>
          <w:szCs w:val="24"/>
          <w:lang w:val="en"/>
        </w:rPr>
        <w:t xml:space="preserve">ublic </w:t>
      </w:r>
      <w:r w:rsidR="007C201A">
        <w:rPr>
          <w:rFonts w:cs="Arial"/>
          <w:sz w:val="24"/>
          <w:szCs w:val="24"/>
          <w:lang w:val="en"/>
        </w:rPr>
        <w:t>o</w:t>
      </w:r>
      <w:r w:rsidRPr="00C22D72">
        <w:rPr>
          <w:rFonts w:cs="Arial"/>
          <w:sz w:val="24"/>
          <w:szCs w:val="24"/>
          <w:lang w:val="en"/>
        </w:rPr>
        <w:t xml:space="preserve">rganizations and </w:t>
      </w:r>
      <w:r w:rsidR="007C201A">
        <w:rPr>
          <w:rFonts w:cs="Arial"/>
          <w:sz w:val="24"/>
          <w:szCs w:val="24"/>
          <w:lang w:val="en"/>
        </w:rPr>
        <w:t>o</w:t>
      </w:r>
      <w:r w:rsidRPr="00C22D72">
        <w:rPr>
          <w:rFonts w:cs="Arial"/>
          <w:sz w:val="24"/>
          <w:szCs w:val="24"/>
          <w:lang w:val="en"/>
        </w:rPr>
        <w:t xml:space="preserve">rganizing </w:t>
      </w:r>
      <w:r w:rsidR="007C201A">
        <w:rPr>
          <w:rFonts w:cs="Arial"/>
          <w:sz w:val="24"/>
          <w:szCs w:val="24"/>
          <w:lang w:val="en"/>
        </w:rPr>
        <w:t>b</w:t>
      </w:r>
      <w:r w:rsidRPr="00C22D72">
        <w:rPr>
          <w:rFonts w:cs="Arial"/>
          <w:sz w:val="24"/>
          <w:szCs w:val="24"/>
          <w:lang w:val="en"/>
        </w:rPr>
        <w:t xml:space="preserve">ack </w:t>
      </w:r>
      <w:r w:rsidR="007C201A">
        <w:rPr>
          <w:rFonts w:cs="Arial"/>
          <w:sz w:val="24"/>
          <w:szCs w:val="24"/>
          <w:lang w:val="en"/>
        </w:rPr>
        <w:t>i</w:t>
      </w:r>
      <w:r w:rsidRPr="00C22D72">
        <w:rPr>
          <w:rFonts w:cs="Arial"/>
          <w:sz w:val="24"/>
          <w:szCs w:val="24"/>
          <w:lang w:val="en"/>
        </w:rPr>
        <w:t xml:space="preserve">n’, </w:t>
      </w:r>
      <w:r w:rsidRPr="000B1FCD">
        <w:rPr>
          <w:rFonts w:cs="Arial"/>
          <w:i/>
          <w:sz w:val="24"/>
          <w:szCs w:val="24"/>
          <w:lang w:val="en"/>
        </w:rPr>
        <w:t>Organization Studies</w:t>
      </w:r>
      <w:r w:rsidRPr="00C22D72">
        <w:rPr>
          <w:rFonts w:cs="Arial"/>
          <w:sz w:val="24"/>
          <w:szCs w:val="24"/>
          <w:lang w:val="en"/>
        </w:rPr>
        <w:t xml:space="preserve"> 34(2): 145–67.</w:t>
      </w:r>
    </w:p>
    <w:p w:rsidR="00C22D72" w:rsidRPr="00C22D72" w:rsidRDefault="00C22D72" w:rsidP="00C22D72">
      <w:pPr>
        <w:spacing w:before="120" w:after="120" w:line="480" w:lineRule="auto"/>
        <w:rPr>
          <w:rFonts w:cs="Arial"/>
          <w:sz w:val="24"/>
          <w:szCs w:val="24"/>
          <w:lang w:val="en"/>
        </w:rPr>
      </w:pPr>
      <w:r w:rsidRPr="003B3CBE">
        <w:rPr>
          <w:rFonts w:cs="Arial"/>
          <w:sz w:val="24"/>
          <w:szCs w:val="24"/>
        </w:rPr>
        <w:t xml:space="preserve">Bache, I. </w:t>
      </w:r>
      <w:r w:rsidR="00E05BE9" w:rsidRPr="003B3CBE">
        <w:rPr>
          <w:rFonts w:cs="Arial"/>
          <w:sz w:val="24"/>
          <w:szCs w:val="24"/>
        </w:rPr>
        <w:t xml:space="preserve">and </w:t>
      </w:r>
      <w:r w:rsidRPr="003B3CBE">
        <w:rPr>
          <w:rFonts w:cs="Arial"/>
          <w:sz w:val="24"/>
          <w:szCs w:val="24"/>
        </w:rPr>
        <w:t>M. Flinders (</w:t>
      </w:r>
      <w:r w:rsidR="007C201A" w:rsidRPr="003B3CBE">
        <w:rPr>
          <w:rFonts w:cs="Arial"/>
          <w:sz w:val="24"/>
          <w:szCs w:val="24"/>
        </w:rPr>
        <w:t>eds</w:t>
      </w:r>
      <w:r w:rsidRPr="003B3CBE">
        <w:rPr>
          <w:rFonts w:cs="Arial"/>
          <w:sz w:val="24"/>
          <w:szCs w:val="24"/>
        </w:rPr>
        <w:t xml:space="preserve">.) </w:t>
      </w:r>
      <w:r w:rsidRPr="00C22D72">
        <w:rPr>
          <w:rFonts w:cs="Arial"/>
          <w:sz w:val="24"/>
          <w:szCs w:val="24"/>
          <w:lang w:val="en"/>
        </w:rPr>
        <w:t>(2004)</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Multi-level Governance</w:t>
      </w:r>
      <w:r w:rsidR="00031CBC">
        <w:rPr>
          <w:rFonts w:cs="Arial"/>
          <w:sz w:val="24"/>
          <w:szCs w:val="24"/>
          <w:lang w:val="en"/>
        </w:rPr>
        <w:t>,</w:t>
      </w:r>
      <w:r w:rsidRPr="00C22D72">
        <w:rPr>
          <w:rFonts w:cs="Arial"/>
          <w:sz w:val="24"/>
          <w:szCs w:val="24"/>
          <w:lang w:val="en"/>
        </w:rPr>
        <w:t xml:space="preserve"> Oxford: Oxford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Barnett, M. </w:t>
      </w:r>
      <w:r w:rsidR="00E05BE9">
        <w:rPr>
          <w:rFonts w:cs="Arial"/>
          <w:sz w:val="24"/>
          <w:szCs w:val="24"/>
          <w:lang w:val="en"/>
        </w:rPr>
        <w:t>and</w:t>
      </w:r>
      <w:r w:rsidR="00E05BE9" w:rsidRPr="00C22D72">
        <w:rPr>
          <w:rFonts w:cs="Arial"/>
          <w:sz w:val="24"/>
          <w:szCs w:val="24"/>
          <w:lang w:val="en"/>
        </w:rPr>
        <w:t xml:space="preserve"> </w:t>
      </w:r>
      <w:r w:rsidRPr="00C22D72">
        <w:rPr>
          <w:rFonts w:cs="Arial"/>
          <w:sz w:val="24"/>
          <w:szCs w:val="24"/>
          <w:lang w:val="en"/>
        </w:rPr>
        <w:t>M. Finnemore (2004)</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Rules for the World</w:t>
      </w:r>
      <w:r w:rsidR="00031CBC">
        <w:rPr>
          <w:rFonts w:cs="Arial"/>
          <w:i/>
          <w:sz w:val="24"/>
          <w:szCs w:val="24"/>
          <w:lang w:val="en"/>
        </w:rPr>
        <w:t>,</w:t>
      </w:r>
      <w:r w:rsidRPr="000B1FCD">
        <w:rPr>
          <w:rFonts w:cs="Arial"/>
          <w:i/>
          <w:sz w:val="24"/>
          <w:szCs w:val="24"/>
          <w:lang w:val="en"/>
        </w:rPr>
        <w:t xml:space="preserve"> </w:t>
      </w:r>
      <w:r w:rsidRPr="00E05BE9">
        <w:rPr>
          <w:rFonts w:cs="Arial"/>
          <w:sz w:val="24"/>
          <w:szCs w:val="24"/>
          <w:lang w:val="en"/>
        </w:rPr>
        <w:t>Ithaca: Cornell University Press</w:t>
      </w:r>
      <w:r w:rsidRPr="00C22D72">
        <w:rPr>
          <w:rFonts w:cs="Arial"/>
          <w:sz w:val="24"/>
          <w:szCs w:val="24"/>
          <w:lang w:val="en"/>
        </w:rPr>
        <w:t>.</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Bartolini, S. (2005)</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Re-Structuring Europe</w:t>
      </w:r>
      <w:r w:rsidR="00031CBC">
        <w:rPr>
          <w:rFonts w:cs="Arial"/>
          <w:sz w:val="24"/>
          <w:szCs w:val="24"/>
          <w:lang w:val="en"/>
        </w:rPr>
        <w:t>,</w:t>
      </w:r>
      <w:r w:rsidRPr="00C22D72">
        <w:rPr>
          <w:rFonts w:cs="Arial"/>
          <w:sz w:val="24"/>
          <w:szCs w:val="24"/>
          <w:lang w:val="en"/>
        </w:rPr>
        <w:t xml:space="preserve"> Oxford: Oxford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Bauer, S. (2006)</w:t>
      </w:r>
      <w:r w:rsidR="00031CBC">
        <w:rPr>
          <w:rFonts w:cs="Arial"/>
          <w:sz w:val="24"/>
          <w:szCs w:val="24"/>
          <w:lang w:val="en"/>
        </w:rPr>
        <w:t>,</w:t>
      </w:r>
      <w:r w:rsidRPr="00C22D72">
        <w:rPr>
          <w:rFonts w:cs="Arial"/>
          <w:sz w:val="24"/>
          <w:szCs w:val="24"/>
          <w:lang w:val="en"/>
        </w:rPr>
        <w:t xml:space="preserve"> ’Does </w:t>
      </w:r>
      <w:r w:rsidR="007C201A">
        <w:rPr>
          <w:rFonts w:cs="Arial"/>
          <w:sz w:val="24"/>
          <w:szCs w:val="24"/>
          <w:lang w:val="en"/>
        </w:rPr>
        <w:t>b</w:t>
      </w:r>
      <w:r w:rsidRPr="00C22D72">
        <w:rPr>
          <w:rFonts w:cs="Arial"/>
          <w:sz w:val="24"/>
          <w:szCs w:val="24"/>
          <w:lang w:val="en"/>
        </w:rPr>
        <w:t xml:space="preserve">ureaucracy </w:t>
      </w:r>
      <w:r w:rsidR="007C201A">
        <w:rPr>
          <w:rFonts w:cs="Arial"/>
          <w:sz w:val="24"/>
          <w:szCs w:val="24"/>
          <w:lang w:val="en"/>
        </w:rPr>
        <w:t>r</w:t>
      </w:r>
      <w:r w:rsidRPr="00C22D72">
        <w:rPr>
          <w:rFonts w:cs="Arial"/>
          <w:sz w:val="24"/>
          <w:szCs w:val="24"/>
          <w:lang w:val="en"/>
        </w:rPr>
        <w:t xml:space="preserve">eally </w:t>
      </w:r>
      <w:r w:rsidR="007C201A">
        <w:rPr>
          <w:rFonts w:cs="Arial"/>
          <w:sz w:val="24"/>
          <w:szCs w:val="24"/>
          <w:lang w:val="en"/>
        </w:rPr>
        <w:t>m</w:t>
      </w:r>
      <w:r w:rsidRPr="00C22D72">
        <w:rPr>
          <w:rFonts w:cs="Arial"/>
          <w:sz w:val="24"/>
          <w:szCs w:val="24"/>
          <w:lang w:val="en"/>
        </w:rPr>
        <w:t xml:space="preserve">atter? The authority of intergovernmental Treaty secretariats in global environmental politics’, </w:t>
      </w:r>
      <w:r w:rsidRPr="000B1FCD">
        <w:rPr>
          <w:rFonts w:cs="Arial"/>
          <w:i/>
          <w:sz w:val="24"/>
          <w:szCs w:val="24"/>
          <w:lang w:val="en"/>
        </w:rPr>
        <w:t>Global Environmental Politics</w:t>
      </w:r>
      <w:r w:rsidRPr="00C22D72">
        <w:rPr>
          <w:rFonts w:cs="Arial"/>
          <w:sz w:val="24"/>
          <w:szCs w:val="24"/>
          <w:lang w:val="en"/>
        </w:rPr>
        <w:t xml:space="preserve"> 6: 23–49.</w:t>
      </w:r>
    </w:p>
    <w:p w:rsidR="00C22D72" w:rsidRPr="00F27AB9" w:rsidRDefault="00C22D72" w:rsidP="00C22D72">
      <w:pPr>
        <w:spacing w:before="120" w:after="120" w:line="480" w:lineRule="auto"/>
        <w:rPr>
          <w:rFonts w:cs="Arial"/>
          <w:sz w:val="24"/>
          <w:szCs w:val="24"/>
          <w:lang w:val="en"/>
        </w:rPr>
      </w:pPr>
      <w:r w:rsidRPr="00F27AB9">
        <w:rPr>
          <w:rFonts w:cs="Arial"/>
          <w:sz w:val="24"/>
          <w:szCs w:val="24"/>
          <w:lang w:val="en"/>
        </w:rPr>
        <w:t>Bauer, M.W. (2006)</w:t>
      </w:r>
      <w:r w:rsidR="00031CBC">
        <w:rPr>
          <w:rFonts w:cs="Arial"/>
          <w:sz w:val="24"/>
          <w:szCs w:val="24"/>
          <w:lang w:val="en"/>
        </w:rPr>
        <w:t>,</w:t>
      </w:r>
      <w:r w:rsidRPr="00F27AB9">
        <w:rPr>
          <w:rFonts w:cs="Arial"/>
          <w:sz w:val="24"/>
          <w:szCs w:val="24"/>
          <w:lang w:val="en"/>
        </w:rPr>
        <w:t xml:space="preserve"> ’Co-managing programme implementation: conceptualizing the European Commission's role in policy execution, </w:t>
      </w:r>
      <w:r w:rsidRPr="00F27AB9">
        <w:rPr>
          <w:rFonts w:cs="Arial"/>
          <w:i/>
          <w:sz w:val="24"/>
          <w:szCs w:val="24"/>
          <w:lang w:val="en"/>
        </w:rPr>
        <w:t>Journal of European Public Policy</w:t>
      </w:r>
      <w:r w:rsidRPr="00F27AB9">
        <w:rPr>
          <w:rFonts w:cs="Arial"/>
          <w:sz w:val="24"/>
          <w:szCs w:val="24"/>
          <w:lang w:val="en"/>
        </w:rPr>
        <w:t xml:space="preserve"> 13(5): 717-35.</w:t>
      </w:r>
    </w:p>
    <w:p w:rsidR="00C22D72" w:rsidRPr="00F27AB9" w:rsidRDefault="00C22D72" w:rsidP="00C22D72">
      <w:pPr>
        <w:spacing w:before="120" w:after="120" w:line="480" w:lineRule="auto"/>
        <w:rPr>
          <w:rFonts w:cs="Arial"/>
          <w:sz w:val="24"/>
          <w:szCs w:val="24"/>
          <w:lang w:val="en"/>
        </w:rPr>
      </w:pPr>
      <w:r w:rsidRPr="00763F80">
        <w:rPr>
          <w:rFonts w:cs="Arial"/>
          <w:sz w:val="24"/>
          <w:szCs w:val="24"/>
        </w:rPr>
        <w:t>Bauer, M. W. and S. Becker (2014)</w:t>
      </w:r>
      <w:r w:rsidR="00031CBC">
        <w:rPr>
          <w:rFonts w:cs="Arial"/>
          <w:sz w:val="24"/>
          <w:szCs w:val="24"/>
        </w:rPr>
        <w:t>,</w:t>
      </w:r>
      <w:r w:rsidRPr="00763F80">
        <w:rPr>
          <w:rFonts w:cs="Arial"/>
          <w:sz w:val="24"/>
          <w:szCs w:val="24"/>
        </w:rPr>
        <w:t xml:space="preserve"> </w:t>
      </w:r>
      <w:r w:rsidRPr="00F27AB9">
        <w:rPr>
          <w:rFonts w:cs="Arial"/>
          <w:sz w:val="24"/>
          <w:szCs w:val="24"/>
          <w:lang w:val="en"/>
        </w:rPr>
        <w:t xml:space="preserve">’The unexpected winner of the crisis: the European Commission’s strengthened role in economic governance’, </w:t>
      </w:r>
      <w:r w:rsidRPr="00F27AB9">
        <w:rPr>
          <w:rFonts w:cs="Arial"/>
          <w:i/>
          <w:sz w:val="24"/>
          <w:szCs w:val="24"/>
          <w:lang w:val="en"/>
        </w:rPr>
        <w:t>Journal of European Integration</w:t>
      </w:r>
      <w:r w:rsidRPr="00F27AB9">
        <w:rPr>
          <w:rFonts w:cs="Arial"/>
          <w:sz w:val="24"/>
          <w:szCs w:val="24"/>
          <w:lang w:val="en"/>
        </w:rPr>
        <w:t xml:space="preserve"> 36(3): 213-29.</w:t>
      </w:r>
    </w:p>
    <w:p w:rsidR="00C22D72" w:rsidRDefault="00C22D72" w:rsidP="00C22D72">
      <w:pPr>
        <w:spacing w:before="120" w:after="120" w:line="480" w:lineRule="auto"/>
        <w:rPr>
          <w:rFonts w:cs="Arial"/>
          <w:sz w:val="24"/>
          <w:szCs w:val="24"/>
          <w:lang w:val="en"/>
        </w:rPr>
      </w:pPr>
      <w:r w:rsidRPr="00F27AB9">
        <w:rPr>
          <w:rFonts w:cs="Arial"/>
          <w:sz w:val="24"/>
          <w:szCs w:val="24"/>
          <w:lang w:val="en"/>
        </w:rPr>
        <w:t>Bauer, M.W. and J. Ege (2014)</w:t>
      </w:r>
      <w:r w:rsidR="00031CBC">
        <w:rPr>
          <w:rFonts w:cs="Arial"/>
          <w:sz w:val="24"/>
          <w:szCs w:val="24"/>
          <w:lang w:val="en"/>
        </w:rPr>
        <w:t>,</w:t>
      </w:r>
      <w:r w:rsidRPr="00F27AB9">
        <w:rPr>
          <w:rFonts w:cs="Arial"/>
          <w:sz w:val="24"/>
          <w:szCs w:val="24"/>
          <w:lang w:val="en"/>
        </w:rPr>
        <w:t xml:space="preserve"> ‘The autonomy of international bureaucracies’, in S. Kim, S. Ashley and H. Lambright (eds.)</w:t>
      </w:r>
      <w:r w:rsidR="00031CBC">
        <w:rPr>
          <w:rFonts w:cs="Arial"/>
          <w:sz w:val="24"/>
          <w:szCs w:val="24"/>
          <w:lang w:val="en"/>
        </w:rPr>
        <w:t>,</w:t>
      </w:r>
      <w:r w:rsidRPr="00F27AB9">
        <w:rPr>
          <w:rFonts w:cs="Arial"/>
          <w:sz w:val="24"/>
          <w:szCs w:val="24"/>
          <w:lang w:val="en"/>
        </w:rPr>
        <w:t xml:space="preserve"> </w:t>
      </w:r>
      <w:r w:rsidRPr="000B1FCD">
        <w:rPr>
          <w:rFonts w:cs="Arial"/>
          <w:i/>
          <w:sz w:val="24"/>
          <w:szCs w:val="24"/>
          <w:lang w:val="en"/>
        </w:rPr>
        <w:t>Public Administration in the Context of Global Governance</w:t>
      </w:r>
      <w:r w:rsidR="00031CBC">
        <w:rPr>
          <w:rFonts w:cs="Arial"/>
          <w:sz w:val="24"/>
          <w:szCs w:val="24"/>
          <w:lang w:val="en"/>
        </w:rPr>
        <w:t>,</w:t>
      </w:r>
      <w:r w:rsidRPr="00F27AB9">
        <w:rPr>
          <w:rFonts w:cs="Arial"/>
          <w:sz w:val="24"/>
          <w:szCs w:val="24"/>
          <w:lang w:val="en"/>
        </w:rPr>
        <w:t xml:space="preserve"> </w:t>
      </w:r>
      <w:r w:rsidR="00031CBC">
        <w:rPr>
          <w:rFonts w:cs="Arial"/>
          <w:sz w:val="24"/>
          <w:szCs w:val="24"/>
          <w:lang w:val="en"/>
        </w:rPr>
        <w:t>Cheltenham: Edward Elgar.</w:t>
      </w:r>
    </w:p>
    <w:p w:rsidR="00C22D72" w:rsidRPr="00C22D72" w:rsidRDefault="00C22D72" w:rsidP="00C22D72">
      <w:pPr>
        <w:spacing w:before="120" w:after="120" w:line="480" w:lineRule="auto"/>
        <w:rPr>
          <w:rFonts w:cs="Arial"/>
          <w:sz w:val="24"/>
          <w:szCs w:val="24"/>
          <w:lang w:val="en"/>
        </w:rPr>
      </w:pPr>
      <w:r w:rsidRPr="003B3CBE">
        <w:rPr>
          <w:rFonts w:cs="Arial"/>
          <w:sz w:val="24"/>
          <w:szCs w:val="24"/>
        </w:rPr>
        <w:lastRenderedPageBreak/>
        <w:t xml:space="preserve">Bauer, M. W. </w:t>
      </w:r>
      <w:r w:rsidR="00E05BE9" w:rsidRPr="003B3CBE">
        <w:rPr>
          <w:rFonts w:cs="Arial"/>
          <w:sz w:val="24"/>
          <w:szCs w:val="24"/>
        </w:rPr>
        <w:t xml:space="preserve">and </w:t>
      </w:r>
      <w:r w:rsidRPr="003B3CBE">
        <w:rPr>
          <w:rFonts w:cs="Arial"/>
          <w:sz w:val="24"/>
          <w:szCs w:val="24"/>
        </w:rPr>
        <w:t>C. Knill (</w:t>
      </w:r>
      <w:r w:rsidR="007C201A" w:rsidRPr="003B3CBE">
        <w:rPr>
          <w:rFonts w:cs="Arial"/>
          <w:sz w:val="24"/>
          <w:szCs w:val="24"/>
        </w:rPr>
        <w:t>eds</w:t>
      </w:r>
      <w:r w:rsidRPr="003B3CBE">
        <w:rPr>
          <w:rFonts w:cs="Arial"/>
          <w:sz w:val="24"/>
          <w:szCs w:val="24"/>
        </w:rPr>
        <w:t xml:space="preserve">.) </w:t>
      </w:r>
      <w:r w:rsidRPr="00C22D72">
        <w:rPr>
          <w:rFonts w:cs="Arial"/>
          <w:sz w:val="24"/>
          <w:szCs w:val="24"/>
          <w:lang w:val="en"/>
        </w:rPr>
        <w:t>(2007)</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Management Reforms in International Organizations</w:t>
      </w:r>
      <w:r w:rsidR="00031CBC">
        <w:rPr>
          <w:rFonts w:cs="Arial"/>
          <w:sz w:val="24"/>
          <w:szCs w:val="24"/>
          <w:lang w:val="en"/>
        </w:rPr>
        <w:t>,</w:t>
      </w:r>
      <w:r w:rsidRPr="00C22D72">
        <w:rPr>
          <w:rFonts w:cs="Arial"/>
          <w:sz w:val="24"/>
          <w:szCs w:val="24"/>
          <w:lang w:val="en"/>
        </w:rPr>
        <w:t xml:space="preserve"> Baden-Baden: Nomos.</w:t>
      </w:r>
    </w:p>
    <w:p w:rsidR="00C22D72" w:rsidRDefault="00C22D72" w:rsidP="00C22D72">
      <w:pPr>
        <w:spacing w:before="120" w:after="120" w:line="480" w:lineRule="auto"/>
        <w:rPr>
          <w:rFonts w:cs="Arial"/>
          <w:sz w:val="24"/>
          <w:szCs w:val="24"/>
          <w:lang w:val="en"/>
        </w:rPr>
      </w:pPr>
      <w:r>
        <w:rPr>
          <w:rFonts w:cs="Arial"/>
          <w:sz w:val="24"/>
          <w:szCs w:val="24"/>
          <w:lang w:val="en"/>
        </w:rPr>
        <w:t>Bauer, M.W. and J. Trondal (eds.) (201</w:t>
      </w:r>
      <w:r w:rsidR="00763F80">
        <w:rPr>
          <w:rFonts w:cs="Arial"/>
          <w:sz w:val="24"/>
          <w:szCs w:val="24"/>
          <w:lang w:val="en"/>
        </w:rPr>
        <w:t>5</w:t>
      </w:r>
      <w:r>
        <w:rPr>
          <w:rFonts w:cs="Arial"/>
          <w:sz w:val="24"/>
          <w:szCs w:val="24"/>
          <w:lang w:val="en"/>
        </w:rPr>
        <w:t>)</w:t>
      </w:r>
      <w:r w:rsidR="00031CBC">
        <w:rPr>
          <w:rFonts w:cs="Arial"/>
          <w:sz w:val="24"/>
          <w:szCs w:val="24"/>
          <w:lang w:val="en"/>
        </w:rPr>
        <w:t>,</w:t>
      </w:r>
      <w:r>
        <w:rPr>
          <w:rFonts w:cs="Arial"/>
          <w:sz w:val="24"/>
          <w:szCs w:val="24"/>
          <w:lang w:val="en"/>
        </w:rPr>
        <w:t xml:space="preserve"> </w:t>
      </w:r>
      <w:r w:rsidRPr="003B5FEC">
        <w:rPr>
          <w:rFonts w:cs="Arial"/>
          <w:i/>
          <w:sz w:val="24"/>
          <w:szCs w:val="24"/>
          <w:lang w:val="en"/>
        </w:rPr>
        <w:t>The Palgrave Handbook on the European Administrative System</w:t>
      </w:r>
      <w:r w:rsidR="00031CBC">
        <w:rPr>
          <w:rFonts w:cs="Arial"/>
          <w:sz w:val="24"/>
          <w:szCs w:val="24"/>
          <w:lang w:val="en"/>
        </w:rPr>
        <w:t>,</w:t>
      </w:r>
      <w:r>
        <w:rPr>
          <w:rFonts w:cs="Arial"/>
          <w:sz w:val="24"/>
          <w:szCs w:val="24"/>
          <w:lang w:val="en"/>
        </w:rPr>
        <w:t xml:space="preserve"> Houndmills: Palgrave Macmillan.</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Bauer, M.W.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J. Trondal (201</w:t>
      </w:r>
      <w:r w:rsidR="00763F80">
        <w:rPr>
          <w:rFonts w:cs="Arial"/>
          <w:sz w:val="24"/>
          <w:szCs w:val="24"/>
          <w:lang w:val="en"/>
        </w:rPr>
        <w:t>5</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‘The administrative system of the European Union’, i</w:t>
      </w:r>
      <w:r w:rsidR="003B3CBE">
        <w:rPr>
          <w:rFonts w:cs="Arial"/>
          <w:sz w:val="24"/>
          <w:szCs w:val="24"/>
          <w:lang w:val="en"/>
        </w:rPr>
        <w:t>n</w:t>
      </w:r>
      <w:r w:rsidRPr="00C22D72">
        <w:rPr>
          <w:rFonts w:cs="Arial"/>
          <w:sz w:val="24"/>
          <w:szCs w:val="24"/>
          <w:lang w:val="en"/>
        </w:rPr>
        <w:t xml:space="preserve"> M.W. Bauer </w:t>
      </w:r>
      <w:r w:rsidR="003B3CBE">
        <w:rPr>
          <w:rFonts w:cs="Arial"/>
          <w:sz w:val="24"/>
          <w:szCs w:val="24"/>
          <w:lang w:val="en"/>
        </w:rPr>
        <w:t>and</w:t>
      </w:r>
      <w:r w:rsidR="003B3CBE" w:rsidRPr="00C22D72">
        <w:rPr>
          <w:rFonts w:cs="Arial"/>
          <w:sz w:val="24"/>
          <w:szCs w:val="24"/>
          <w:lang w:val="en"/>
        </w:rPr>
        <w:t xml:space="preserve"> </w:t>
      </w:r>
      <w:r w:rsidRPr="00C22D72">
        <w:rPr>
          <w:rFonts w:cs="Arial"/>
          <w:sz w:val="24"/>
          <w:szCs w:val="24"/>
          <w:lang w:val="en"/>
        </w:rPr>
        <w:t>J. Trondal (</w:t>
      </w:r>
      <w:r w:rsidR="007C201A">
        <w:rPr>
          <w:rFonts w:cs="Arial"/>
          <w:sz w:val="24"/>
          <w:szCs w:val="24"/>
          <w:lang w:val="en"/>
        </w:rPr>
        <w:t>eds</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Palgrave Handbook of the European Administrative System</w:t>
      </w:r>
      <w:r w:rsidR="00031CBC">
        <w:rPr>
          <w:rFonts w:cs="Arial"/>
          <w:i/>
          <w:sz w:val="24"/>
          <w:szCs w:val="24"/>
          <w:lang w:val="en"/>
        </w:rPr>
        <w:t>,</w:t>
      </w:r>
      <w:r w:rsidRPr="00C22D72">
        <w:rPr>
          <w:rFonts w:cs="Arial"/>
          <w:sz w:val="24"/>
          <w:szCs w:val="24"/>
          <w:lang w:val="en"/>
        </w:rPr>
        <w:t xml:space="preserve"> Houndmills: Palgrave Macmillan.</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Benz, A. (2012)</w:t>
      </w:r>
      <w:r w:rsidR="00031CBC">
        <w:rPr>
          <w:rFonts w:cs="Arial"/>
          <w:sz w:val="24"/>
          <w:szCs w:val="24"/>
          <w:lang w:val="en"/>
        </w:rPr>
        <w:t>,</w:t>
      </w:r>
      <w:r w:rsidRPr="00C22D72">
        <w:rPr>
          <w:rFonts w:cs="Arial"/>
          <w:sz w:val="24"/>
          <w:szCs w:val="24"/>
          <w:lang w:val="en"/>
        </w:rPr>
        <w:t xml:space="preserve"> ‘The European Union as a </w:t>
      </w:r>
      <w:r w:rsidR="007C201A">
        <w:rPr>
          <w:rFonts w:cs="Arial"/>
          <w:sz w:val="24"/>
          <w:szCs w:val="24"/>
          <w:lang w:val="en"/>
        </w:rPr>
        <w:t>l</w:t>
      </w:r>
      <w:r w:rsidRPr="00C22D72">
        <w:rPr>
          <w:rFonts w:cs="Arial"/>
          <w:sz w:val="24"/>
          <w:szCs w:val="24"/>
          <w:lang w:val="en"/>
        </w:rPr>
        <w:t xml:space="preserve">oosely </w:t>
      </w:r>
      <w:r w:rsidR="007C201A">
        <w:rPr>
          <w:rFonts w:cs="Arial"/>
          <w:sz w:val="24"/>
          <w:szCs w:val="24"/>
          <w:lang w:val="en"/>
        </w:rPr>
        <w:t>c</w:t>
      </w:r>
      <w:r w:rsidRPr="00C22D72">
        <w:rPr>
          <w:rFonts w:cs="Arial"/>
          <w:sz w:val="24"/>
          <w:szCs w:val="24"/>
          <w:lang w:val="en"/>
        </w:rPr>
        <w:t xml:space="preserve">oupled </w:t>
      </w:r>
      <w:r w:rsidR="007C201A">
        <w:rPr>
          <w:rFonts w:cs="Arial"/>
          <w:sz w:val="24"/>
          <w:szCs w:val="24"/>
          <w:lang w:val="en"/>
        </w:rPr>
        <w:t>m</w:t>
      </w:r>
      <w:r w:rsidRPr="00C22D72">
        <w:rPr>
          <w:rFonts w:cs="Arial"/>
          <w:sz w:val="24"/>
          <w:szCs w:val="24"/>
          <w:lang w:val="en"/>
        </w:rPr>
        <w:t xml:space="preserve">ulti-level </w:t>
      </w:r>
      <w:r w:rsidR="007C201A">
        <w:rPr>
          <w:rFonts w:cs="Arial"/>
          <w:sz w:val="24"/>
          <w:szCs w:val="24"/>
          <w:lang w:val="en"/>
        </w:rPr>
        <w:t>s</w:t>
      </w:r>
      <w:r w:rsidRPr="00C22D72">
        <w:rPr>
          <w:rFonts w:cs="Arial"/>
          <w:sz w:val="24"/>
          <w:szCs w:val="24"/>
          <w:lang w:val="en"/>
        </w:rPr>
        <w:t>ystem’</w:t>
      </w:r>
      <w:r w:rsidR="007C201A">
        <w:rPr>
          <w:rFonts w:cs="Arial"/>
          <w:sz w:val="24"/>
          <w:szCs w:val="24"/>
          <w:lang w:val="en"/>
        </w:rPr>
        <w:t>, in</w:t>
      </w:r>
      <w:r w:rsidRPr="00C22D72">
        <w:rPr>
          <w:rFonts w:cs="Arial"/>
          <w:sz w:val="24"/>
          <w:szCs w:val="24"/>
          <w:lang w:val="en"/>
        </w:rPr>
        <w:t xml:space="preserve"> H. Enderlein, S. Wälti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M. Zürn (</w:t>
      </w:r>
      <w:r w:rsidR="007C201A">
        <w:rPr>
          <w:rFonts w:cs="Arial"/>
          <w:sz w:val="24"/>
          <w:szCs w:val="24"/>
          <w:lang w:val="en"/>
        </w:rPr>
        <w:t>eds</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Handbook on Multi-level Governance</w:t>
      </w:r>
      <w:r w:rsidR="00031CBC">
        <w:rPr>
          <w:rFonts w:cs="Arial"/>
          <w:sz w:val="24"/>
          <w:szCs w:val="24"/>
          <w:lang w:val="en"/>
        </w:rPr>
        <w:t>,</w:t>
      </w:r>
      <w:r w:rsidRPr="00C22D72">
        <w:rPr>
          <w:rFonts w:cs="Arial"/>
          <w:sz w:val="24"/>
          <w:szCs w:val="24"/>
          <w:lang w:val="en"/>
        </w:rPr>
        <w:t xml:space="preserve"> Cheltenham: Edward Elgar.</w:t>
      </w:r>
    </w:p>
    <w:p w:rsidR="00C22D72" w:rsidRPr="00F27AB9" w:rsidRDefault="00C22D72" w:rsidP="00C22D72">
      <w:pPr>
        <w:spacing w:before="120" w:after="120" w:line="480" w:lineRule="auto"/>
        <w:rPr>
          <w:rFonts w:cs="Arial"/>
          <w:sz w:val="24"/>
          <w:szCs w:val="24"/>
        </w:rPr>
      </w:pPr>
      <w:r>
        <w:rPr>
          <w:rFonts w:cs="Arial"/>
          <w:sz w:val="24"/>
          <w:szCs w:val="24"/>
          <w:lang w:val="en"/>
        </w:rPr>
        <w:t>Benz, A. (201</w:t>
      </w:r>
      <w:r w:rsidR="00763F80">
        <w:rPr>
          <w:rFonts w:cs="Arial"/>
          <w:sz w:val="24"/>
          <w:szCs w:val="24"/>
          <w:lang w:val="en"/>
        </w:rPr>
        <w:t>5</w:t>
      </w:r>
      <w:r>
        <w:rPr>
          <w:rFonts w:cs="Arial"/>
          <w:sz w:val="24"/>
          <w:szCs w:val="24"/>
          <w:lang w:val="en"/>
        </w:rPr>
        <w:t>)</w:t>
      </w:r>
      <w:r w:rsidR="00031CBC">
        <w:rPr>
          <w:rFonts w:cs="Arial"/>
          <w:sz w:val="24"/>
          <w:szCs w:val="24"/>
          <w:lang w:val="en"/>
        </w:rPr>
        <w:t>,</w:t>
      </w:r>
      <w:r>
        <w:rPr>
          <w:rFonts w:cs="Arial"/>
          <w:sz w:val="24"/>
          <w:szCs w:val="24"/>
          <w:lang w:val="en"/>
        </w:rPr>
        <w:t xml:space="preserve"> ‘</w:t>
      </w:r>
      <w:r w:rsidRPr="00F27AB9">
        <w:rPr>
          <w:rFonts w:cs="Arial"/>
          <w:sz w:val="24"/>
          <w:szCs w:val="24"/>
          <w:lang w:val="en"/>
        </w:rPr>
        <w:t>Europ</w:t>
      </w:r>
      <w:r>
        <w:rPr>
          <w:rFonts w:cs="Arial"/>
          <w:sz w:val="24"/>
          <w:szCs w:val="24"/>
          <w:lang w:val="en"/>
        </w:rPr>
        <w:t>ean p</w:t>
      </w:r>
      <w:r w:rsidRPr="00F27AB9">
        <w:rPr>
          <w:rFonts w:cs="Arial"/>
          <w:sz w:val="24"/>
          <w:szCs w:val="24"/>
          <w:lang w:val="en"/>
        </w:rPr>
        <w:t xml:space="preserve">ublic </w:t>
      </w:r>
      <w:r>
        <w:rPr>
          <w:rFonts w:cs="Arial"/>
          <w:sz w:val="24"/>
          <w:szCs w:val="24"/>
          <w:lang w:val="en"/>
        </w:rPr>
        <w:t>a</w:t>
      </w:r>
      <w:r w:rsidRPr="00F27AB9">
        <w:rPr>
          <w:rFonts w:cs="Arial"/>
          <w:sz w:val="24"/>
          <w:szCs w:val="24"/>
          <w:lang w:val="en"/>
        </w:rPr>
        <w:t xml:space="preserve">dministration as a </w:t>
      </w:r>
      <w:r>
        <w:rPr>
          <w:rFonts w:cs="Arial"/>
          <w:sz w:val="24"/>
          <w:szCs w:val="24"/>
          <w:lang w:val="en"/>
        </w:rPr>
        <w:t>m</w:t>
      </w:r>
      <w:r w:rsidRPr="00F27AB9">
        <w:rPr>
          <w:rFonts w:cs="Arial"/>
          <w:sz w:val="24"/>
          <w:szCs w:val="24"/>
          <w:lang w:val="en"/>
        </w:rPr>
        <w:t xml:space="preserve">ultilevel </w:t>
      </w:r>
      <w:r>
        <w:rPr>
          <w:rFonts w:cs="Arial"/>
          <w:sz w:val="24"/>
          <w:szCs w:val="24"/>
          <w:lang w:val="en"/>
        </w:rPr>
        <w:t>s</w:t>
      </w:r>
      <w:r w:rsidRPr="00F27AB9">
        <w:rPr>
          <w:rFonts w:cs="Arial"/>
          <w:sz w:val="24"/>
          <w:szCs w:val="24"/>
          <w:lang w:val="en"/>
        </w:rPr>
        <w:t xml:space="preserve">ystem </w:t>
      </w:r>
      <w:r>
        <w:rPr>
          <w:rFonts w:cs="Arial"/>
          <w:sz w:val="24"/>
          <w:szCs w:val="24"/>
          <w:lang w:val="en"/>
        </w:rPr>
        <w:t>a</w:t>
      </w:r>
      <w:r w:rsidRPr="00F27AB9">
        <w:rPr>
          <w:rFonts w:cs="Arial"/>
          <w:sz w:val="24"/>
          <w:szCs w:val="24"/>
          <w:lang w:val="en"/>
        </w:rPr>
        <w:t xml:space="preserve">dministration: A </w:t>
      </w:r>
      <w:r>
        <w:rPr>
          <w:rFonts w:cs="Arial"/>
          <w:sz w:val="24"/>
          <w:szCs w:val="24"/>
          <w:lang w:val="en"/>
        </w:rPr>
        <w:t>c</w:t>
      </w:r>
      <w:r w:rsidRPr="00F27AB9">
        <w:rPr>
          <w:rFonts w:cs="Arial"/>
          <w:sz w:val="24"/>
          <w:szCs w:val="24"/>
          <w:lang w:val="en"/>
        </w:rPr>
        <w:t xml:space="preserve">onceptual </w:t>
      </w:r>
      <w:r>
        <w:rPr>
          <w:rFonts w:cs="Arial"/>
          <w:sz w:val="24"/>
          <w:szCs w:val="24"/>
          <w:lang w:val="en"/>
        </w:rPr>
        <w:t>f</w:t>
      </w:r>
      <w:r w:rsidRPr="00F27AB9">
        <w:rPr>
          <w:rFonts w:cs="Arial"/>
          <w:sz w:val="24"/>
          <w:szCs w:val="24"/>
          <w:lang w:val="en"/>
        </w:rPr>
        <w:t>ramework</w:t>
      </w:r>
      <w:r>
        <w:rPr>
          <w:rFonts w:cs="Arial"/>
          <w:sz w:val="24"/>
          <w:szCs w:val="24"/>
          <w:lang w:val="en"/>
        </w:rPr>
        <w:t>’, in M.W. Bauer and J. Trondal (eds.)</w:t>
      </w:r>
      <w:r w:rsidR="00031CBC">
        <w:rPr>
          <w:rFonts w:cs="Arial"/>
          <w:sz w:val="24"/>
          <w:szCs w:val="24"/>
          <w:lang w:val="en"/>
        </w:rPr>
        <w:t>,</w:t>
      </w:r>
      <w:r>
        <w:rPr>
          <w:rFonts w:cs="Arial"/>
          <w:sz w:val="24"/>
          <w:szCs w:val="24"/>
          <w:lang w:val="en"/>
        </w:rPr>
        <w:t xml:space="preserve"> </w:t>
      </w:r>
      <w:r w:rsidRPr="003B5FEC">
        <w:rPr>
          <w:rFonts w:cs="Arial"/>
          <w:i/>
          <w:sz w:val="24"/>
          <w:szCs w:val="24"/>
          <w:lang w:val="en"/>
        </w:rPr>
        <w:t>The Palgrave Handbook on the European Administrative System</w:t>
      </w:r>
      <w:r w:rsidR="00031CBC">
        <w:rPr>
          <w:rFonts w:cs="Arial"/>
          <w:sz w:val="24"/>
          <w:szCs w:val="24"/>
          <w:lang w:val="en"/>
        </w:rPr>
        <w:t>,</w:t>
      </w:r>
      <w:r w:rsidRPr="00F27AB9">
        <w:rPr>
          <w:rFonts w:cs="Arial"/>
          <w:sz w:val="24"/>
          <w:szCs w:val="24"/>
          <w:lang w:val="en"/>
        </w:rPr>
        <w:t xml:space="preserve"> Houndmills: Palgrave Macmillan.</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Berlin, D., S. Pag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C. Bourtembourg (</w:t>
      </w:r>
      <w:r w:rsidR="00E05BE9">
        <w:rPr>
          <w:rFonts w:cs="Arial"/>
          <w:sz w:val="24"/>
          <w:szCs w:val="24"/>
          <w:lang w:val="en"/>
        </w:rPr>
        <w:t>eds</w:t>
      </w:r>
      <w:r w:rsidRPr="00C22D72">
        <w:rPr>
          <w:rFonts w:cs="Arial"/>
          <w:sz w:val="24"/>
          <w:szCs w:val="24"/>
          <w:lang w:val="en"/>
        </w:rPr>
        <w:t>.) (1987)</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European Administration</w:t>
      </w:r>
      <w:r w:rsidR="00031CBC">
        <w:rPr>
          <w:rFonts w:cs="Arial"/>
          <w:i/>
          <w:sz w:val="24"/>
          <w:szCs w:val="24"/>
          <w:lang w:val="en"/>
        </w:rPr>
        <w:t>,</w:t>
      </w:r>
      <w:r w:rsidRPr="00C22D72">
        <w:rPr>
          <w:rFonts w:cs="Arial"/>
          <w:sz w:val="24"/>
          <w:szCs w:val="24"/>
          <w:lang w:val="en"/>
        </w:rPr>
        <w:t xml:space="preserve"> Maastricht: EAIP.</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Beyers, J. (2010)</w:t>
      </w:r>
      <w:r w:rsidR="00031CBC">
        <w:rPr>
          <w:rFonts w:cs="Arial"/>
          <w:sz w:val="24"/>
          <w:szCs w:val="24"/>
          <w:lang w:val="en"/>
        </w:rPr>
        <w:t>,</w:t>
      </w:r>
      <w:r w:rsidRPr="00C22D72">
        <w:rPr>
          <w:rFonts w:cs="Arial"/>
          <w:sz w:val="24"/>
          <w:szCs w:val="24"/>
          <w:lang w:val="en"/>
        </w:rPr>
        <w:t xml:space="preserve"> ‘Conceptual and </w:t>
      </w:r>
      <w:r w:rsidR="007C201A">
        <w:rPr>
          <w:rFonts w:cs="Arial"/>
          <w:sz w:val="24"/>
          <w:szCs w:val="24"/>
          <w:lang w:val="en"/>
        </w:rPr>
        <w:t>m</w:t>
      </w:r>
      <w:r w:rsidRPr="00C22D72">
        <w:rPr>
          <w:rFonts w:cs="Arial"/>
          <w:sz w:val="24"/>
          <w:szCs w:val="24"/>
          <w:lang w:val="en"/>
        </w:rPr>
        <w:t xml:space="preserve">ethodological </w:t>
      </w:r>
      <w:r w:rsidR="007C201A">
        <w:rPr>
          <w:rFonts w:cs="Arial"/>
          <w:sz w:val="24"/>
          <w:szCs w:val="24"/>
          <w:lang w:val="en"/>
        </w:rPr>
        <w:t>c</w:t>
      </w:r>
      <w:r w:rsidRPr="00C22D72">
        <w:rPr>
          <w:rFonts w:cs="Arial"/>
          <w:sz w:val="24"/>
          <w:szCs w:val="24"/>
          <w:lang w:val="en"/>
        </w:rPr>
        <w:t xml:space="preserve">hallenges in the </w:t>
      </w:r>
      <w:r w:rsidR="007C201A">
        <w:rPr>
          <w:rFonts w:cs="Arial"/>
          <w:sz w:val="24"/>
          <w:szCs w:val="24"/>
          <w:lang w:val="en"/>
        </w:rPr>
        <w:t>s</w:t>
      </w:r>
      <w:r w:rsidRPr="00C22D72">
        <w:rPr>
          <w:rFonts w:cs="Arial"/>
          <w:sz w:val="24"/>
          <w:szCs w:val="24"/>
          <w:lang w:val="en"/>
        </w:rPr>
        <w:t xml:space="preserve">tudy of European socialization’, </w:t>
      </w:r>
      <w:r w:rsidRPr="000B1FCD">
        <w:rPr>
          <w:rFonts w:cs="Arial"/>
          <w:i/>
          <w:sz w:val="24"/>
          <w:szCs w:val="24"/>
          <w:lang w:val="en"/>
        </w:rPr>
        <w:t>Journal of European Public Policy</w:t>
      </w:r>
      <w:r w:rsidRPr="00C22D72">
        <w:rPr>
          <w:rFonts w:cs="Arial"/>
          <w:sz w:val="24"/>
          <w:szCs w:val="24"/>
          <w:lang w:val="en"/>
        </w:rPr>
        <w:t xml:space="preserve"> 17: 909–20.</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Bickerton, C.J. (2012)</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European Integration</w:t>
      </w:r>
      <w:r w:rsidR="00031CBC">
        <w:rPr>
          <w:rFonts w:cs="Arial"/>
          <w:i/>
          <w:sz w:val="24"/>
          <w:szCs w:val="24"/>
          <w:lang w:val="en"/>
        </w:rPr>
        <w:t>,</w:t>
      </w:r>
      <w:r w:rsidRPr="00C22D72">
        <w:rPr>
          <w:rFonts w:cs="Arial"/>
          <w:sz w:val="24"/>
          <w:szCs w:val="24"/>
          <w:lang w:val="en"/>
        </w:rPr>
        <w:t xml:space="preserve"> Oxford: Oxford University Press.</w:t>
      </w:r>
    </w:p>
    <w:p w:rsidR="00C22D72" w:rsidRDefault="00C22D72" w:rsidP="00C22D72">
      <w:pPr>
        <w:spacing w:before="120" w:after="120" w:line="480" w:lineRule="auto"/>
        <w:rPr>
          <w:rFonts w:cs="Arial"/>
          <w:color w:val="222222"/>
          <w:sz w:val="24"/>
          <w:szCs w:val="24"/>
          <w:shd w:val="clear" w:color="auto" w:fill="FFFFFF"/>
        </w:rPr>
      </w:pPr>
      <w:r w:rsidRPr="0008386D">
        <w:rPr>
          <w:rFonts w:cs="Arial"/>
          <w:color w:val="222222"/>
          <w:sz w:val="24"/>
          <w:szCs w:val="24"/>
          <w:shd w:val="clear" w:color="auto" w:fill="FFFFFF"/>
          <w:lang w:val="de-DE"/>
        </w:rPr>
        <w:t>Biermann, F</w:t>
      </w:r>
      <w:r w:rsidR="007C201A" w:rsidRPr="0008386D">
        <w:rPr>
          <w:rFonts w:cs="Arial"/>
          <w:color w:val="222222"/>
          <w:sz w:val="24"/>
          <w:szCs w:val="24"/>
          <w:shd w:val="clear" w:color="auto" w:fill="FFFFFF"/>
          <w:lang w:val="de-DE"/>
        </w:rPr>
        <w:t>.</w:t>
      </w:r>
      <w:r w:rsidRPr="0008386D">
        <w:rPr>
          <w:rFonts w:cs="Arial"/>
          <w:color w:val="222222"/>
          <w:sz w:val="24"/>
          <w:szCs w:val="24"/>
          <w:shd w:val="clear" w:color="auto" w:fill="FFFFFF"/>
          <w:lang w:val="de-DE"/>
        </w:rPr>
        <w:t xml:space="preserve"> and B. Siebenhüner (eds.) </w:t>
      </w:r>
      <w:r w:rsidRPr="00763F80">
        <w:rPr>
          <w:rFonts w:cs="Arial"/>
          <w:color w:val="222222"/>
          <w:sz w:val="24"/>
          <w:szCs w:val="24"/>
          <w:shd w:val="clear" w:color="auto" w:fill="FFFFFF"/>
        </w:rPr>
        <w:t>(2009)</w:t>
      </w:r>
      <w:r w:rsidR="00031CBC">
        <w:rPr>
          <w:rFonts w:cs="Arial"/>
          <w:color w:val="222222"/>
          <w:sz w:val="24"/>
          <w:szCs w:val="24"/>
          <w:shd w:val="clear" w:color="auto" w:fill="FFFFFF"/>
        </w:rPr>
        <w:t>,</w:t>
      </w:r>
      <w:r w:rsidRPr="00763F80">
        <w:rPr>
          <w:rStyle w:val="apple-converted-space"/>
          <w:rFonts w:cs="Arial"/>
          <w:color w:val="222222"/>
          <w:sz w:val="24"/>
          <w:szCs w:val="24"/>
          <w:shd w:val="clear" w:color="auto" w:fill="FFFFFF"/>
        </w:rPr>
        <w:t> </w:t>
      </w:r>
      <w:r w:rsidRPr="00F27AB9">
        <w:rPr>
          <w:rFonts w:cs="Arial"/>
          <w:i/>
          <w:iCs/>
          <w:color w:val="222222"/>
          <w:sz w:val="24"/>
          <w:szCs w:val="24"/>
          <w:shd w:val="clear" w:color="auto" w:fill="FFFFFF"/>
        </w:rPr>
        <w:t>Managers of global change: The influence of international environmental bureaucracies</w:t>
      </w:r>
      <w:r w:rsidR="00031CBC">
        <w:rPr>
          <w:rFonts w:cs="Arial"/>
          <w:i/>
          <w:iCs/>
          <w:color w:val="222222"/>
          <w:sz w:val="24"/>
          <w:szCs w:val="24"/>
          <w:shd w:val="clear" w:color="auto" w:fill="FFFFFF"/>
        </w:rPr>
        <w:t>,</w:t>
      </w:r>
      <w:r w:rsidRPr="00F27AB9">
        <w:rPr>
          <w:rFonts w:cs="Arial"/>
          <w:color w:val="222222"/>
          <w:sz w:val="24"/>
          <w:szCs w:val="24"/>
          <w:shd w:val="clear" w:color="auto" w:fill="FFFFFF"/>
        </w:rPr>
        <w:t xml:space="preserve"> Cambridge, Mass.: MIT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lastRenderedPageBreak/>
        <w:t xml:space="preserve">Busouic, M., M. Groenleer </w:t>
      </w:r>
      <w:r w:rsidR="00E05BE9">
        <w:rPr>
          <w:rFonts w:cs="Arial"/>
          <w:sz w:val="24"/>
          <w:szCs w:val="24"/>
          <w:lang w:val="en"/>
        </w:rPr>
        <w:t>and</w:t>
      </w:r>
      <w:r w:rsidR="00E05BE9" w:rsidRPr="00C22D72">
        <w:rPr>
          <w:rFonts w:cs="Arial"/>
          <w:sz w:val="24"/>
          <w:szCs w:val="24"/>
          <w:lang w:val="en"/>
        </w:rPr>
        <w:t xml:space="preserve"> </w:t>
      </w:r>
      <w:r w:rsidRPr="00C22D72">
        <w:rPr>
          <w:rFonts w:cs="Arial"/>
          <w:sz w:val="24"/>
          <w:szCs w:val="24"/>
          <w:lang w:val="en"/>
        </w:rPr>
        <w:t>J. Trondal (</w:t>
      </w:r>
      <w:r w:rsidR="00E05BE9">
        <w:rPr>
          <w:rFonts w:cs="Arial"/>
          <w:sz w:val="24"/>
          <w:szCs w:val="24"/>
          <w:lang w:val="en"/>
        </w:rPr>
        <w:t>eds</w:t>
      </w:r>
      <w:r w:rsidRPr="00C22D72">
        <w:rPr>
          <w:rFonts w:cs="Arial"/>
          <w:sz w:val="24"/>
          <w:szCs w:val="24"/>
          <w:lang w:val="en"/>
        </w:rPr>
        <w:t>.) (2012)</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Agency Phenomenon in the European Union</w:t>
      </w:r>
      <w:r w:rsidR="00031CBC">
        <w:rPr>
          <w:rFonts w:cs="Arial"/>
          <w:sz w:val="24"/>
          <w:szCs w:val="24"/>
          <w:lang w:val="en"/>
        </w:rPr>
        <w:t>,</w:t>
      </w:r>
      <w:r w:rsidRPr="00C22D72">
        <w:rPr>
          <w:rFonts w:cs="Arial"/>
          <w:sz w:val="24"/>
          <w:szCs w:val="24"/>
          <w:lang w:val="en"/>
        </w:rPr>
        <w:t xml:space="preserve"> Manchester: Manchester University Press. </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Cassese, S. (1987)</w:t>
      </w:r>
      <w:r w:rsidR="00031CBC">
        <w:rPr>
          <w:rFonts w:cs="Arial"/>
          <w:sz w:val="24"/>
          <w:szCs w:val="24"/>
          <w:lang w:val="en"/>
        </w:rPr>
        <w:t>,</w:t>
      </w:r>
      <w:r w:rsidRPr="00C22D72">
        <w:rPr>
          <w:rFonts w:cs="Arial"/>
          <w:sz w:val="24"/>
          <w:szCs w:val="24"/>
          <w:lang w:val="en"/>
        </w:rPr>
        <w:t xml:space="preserve"> ‘Divided </w:t>
      </w:r>
      <w:r w:rsidR="007C201A">
        <w:rPr>
          <w:rFonts w:cs="Arial"/>
          <w:sz w:val="24"/>
          <w:szCs w:val="24"/>
          <w:lang w:val="en"/>
        </w:rPr>
        <w:t>p</w:t>
      </w:r>
      <w:r w:rsidRPr="00C22D72">
        <w:rPr>
          <w:rFonts w:cs="Arial"/>
          <w:sz w:val="24"/>
          <w:szCs w:val="24"/>
          <w:lang w:val="en"/>
        </w:rPr>
        <w:t xml:space="preserve">owers: European </w:t>
      </w:r>
      <w:r w:rsidR="007C201A">
        <w:rPr>
          <w:rFonts w:cs="Arial"/>
          <w:sz w:val="24"/>
          <w:szCs w:val="24"/>
          <w:lang w:val="en"/>
        </w:rPr>
        <w:t>a</w:t>
      </w:r>
      <w:r w:rsidRPr="00C22D72">
        <w:rPr>
          <w:rFonts w:cs="Arial"/>
          <w:sz w:val="24"/>
          <w:szCs w:val="24"/>
          <w:lang w:val="en"/>
        </w:rPr>
        <w:t xml:space="preserve">dministration and </w:t>
      </w:r>
      <w:r w:rsidR="007C201A">
        <w:rPr>
          <w:rFonts w:cs="Arial"/>
          <w:sz w:val="24"/>
          <w:szCs w:val="24"/>
          <w:lang w:val="en"/>
        </w:rPr>
        <w:t>n</w:t>
      </w:r>
      <w:r w:rsidRPr="00C22D72">
        <w:rPr>
          <w:rFonts w:cs="Arial"/>
          <w:sz w:val="24"/>
          <w:szCs w:val="24"/>
          <w:lang w:val="en"/>
        </w:rPr>
        <w:t xml:space="preserve">ational </w:t>
      </w:r>
      <w:r w:rsidR="007C201A">
        <w:rPr>
          <w:rFonts w:cs="Arial"/>
          <w:sz w:val="24"/>
          <w:szCs w:val="24"/>
          <w:lang w:val="en"/>
        </w:rPr>
        <w:t>b</w:t>
      </w:r>
      <w:r w:rsidRPr="00C22D72">
        <w:rPr>
          <w:rFonts w:cs="Arial"/>
          <w:sz w:val="24"/>
          <w:szCs w:val="24"/>
          <w:lang w:val="en"/>
        </w:rPr>
        <w:t>ureaucracies’</w:t>
      </w:r>
      <w:r w:rsidR="007C201A">
        <w:rPr>
          <w:rFonts w:cs="Arial"/>
          <w:sz w:val="24"/>
          <w:szCs w:val="24"/>
          <w:lang w:val="en"/>
        </w:rPr>
        <w:t>,</w:t>
      </w:r>
      <w:r w:rsidRPr="00C22D72">
        <w:rPr>
          <w:rFonts w:cs="Arial"/>
          <w:sz w:val="24"/>
          <w:szCs w:val="24"/>
          <w:lang w:val="en"/>
        </w:rPr>
        <w:t xml:space="preserve"> i</w:t>
      </w:r>
      <w:r w:rsidR="007C201A">
        <w:rPr>
          <w:rFonts w:cs="Arial"/>
          <w:sz w:val="24"/>
          <w:szCs w:val="24"/>
          <w:lang w:val="en"/>
        </w:rPr>
        <w:t>n</w:t>
      </w:r>
      <w:r w:rsidRPr="00C22D72">
        <w:rPr>
          <w:rFonts w:cs="Arial"/>
          <w:sz w:val="24"/>
          <w:szCs w:val="24"/>
          <w:lang w:val="en"/>
        </w:rPr>
        <w:t xml:space="preserve"> D. Berlin, S. Pag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C. Bourtembourg (</w:t>
      </w:r>
      <w:r w:rsidR="007C201A">
        <w:rPr>
          <w:rFonts w:cs="Arial"/>
          <w:sz w:val="24"/>
          <w:szCs w:val="24"/>
          <w:lang w:val="en"/>
        </w:rPr>
        <w:t>eds</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European Administration</w:t>
      </w:r>
      <w:r w:rsidR="00031CBC">
        <w:rPr>
          <w:rFonts w:cs="Arial"/>
          <w:sz w:val="24"/>
          <w:szCs w:val="24"/>
          <w:lang w:val="en"/>
        </w:rPr>
        <w:t>,</w:t>
      </w:r>
      <w:r w:rsidRPr="00C22D72">
        <w:rPr>
          <w:rFonts w:cs="Arial"/>
          <w:sz w:val="24"/>
          <w:szCs w:val="24"/>
          <w:lang w:val="en"/>
        </w:rPr>
        <w:t xml:space="preserve"> Maastricht: EAIP.</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Checkel, J.T. (2005)</w:t>
      </w:r>
      <w:r w:rsidR="00031CBC">
        <w:rPr>
          <w:rFonts w:cs="Arial"/>
          <w:sz w:val="24"/>
          <w:szCs w:val="24"/>
          <w:lang w:val="en"/>
        </w:rPr>
        <w:t>,</w:t>
      </w:r>
      <w:r w:rsidRPr="00C22D72">
        <w:rPr>
          <w:rFonts w:cs="Arial"/>
          <w:sz w:val="24"/>
          <w:szCs w:val="24"/>
          <w:lang w:val="en"/>
        </w:rPr>
        <w:t xml:space="preserve"> ‘International </w:t>
      </w:r>
      <w:r w:rsidR="007C201A">
        <w:rPr>
          <w:rFonts w:cs="Arial"/>
          <w:sz w:val="24"/>
          <w:szCs w:val="24"/>
          <w:lang w:val="en"/>
        </w:rPr>
        <w:t>i</w:t>
      </w:r>
      <w:r w:rsidRPr="00C22D72">
        <w:rPr>
          <w:rFonts w:cs="Arial"/>
          <w:sz w:val="24"/>
          <w:szCs w:val="24"/>
          <w:lang w:val="en"/>
        </w:rPr>
        <w:t xml:space="preserve">nstitutions and </w:t>
      </w:r>
      <w:r w:rsidR="007C201A">
        <w:rPr>
          <w:rFonts w:cs="Arial"/>
          <w:sz w:val="24"/>
          <w:szCs w:val="24"/>
          <w:lang w:val="en"/>
        </w:rPr>
        <w:t>s</w:t>
      </w:r>
      <w:r w:rsidRPr="00C22D72">
        <w:rPr>
          <w:rFonts w:cs="Arial"/>
          <w:sz w:val="24"/>
          <w:szCs w:val="24"/>
          <w:lang w:val="en"/>
        </w:rPr>
        <w:t xml:space="preserve">ocialization in Europe’, </w:t>
      </w:r>
      <w:r w:rsidRPr="000B1FCD">
        <w:rPr>
          <w:rFonts w:cs="Arial"/>
          <w:i/>
          <w:sz w:val="24"/>
          <w:szCs w:val="24"/>
          <w:lang w:val="en"/>
        </w:rPr>
        <w:t>International Organization</w:t>
      </w:r>
      <w:r w:rsidRPr="00C22D72">
        <w:rPr>
          <w:rFonts w:cs="Arial"/>
          <w:sz w:val="24"/>
          <w:szCs w:val="24"/>
          <w:lang w:val="en"/>
        </w:rPr>
        <w:t xml:space="preserve"> 59: 801-26. </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Chesterman, S. (</w:t>
      </w:r>
      <w:r w:rsidR="007C201A">
        <w:rPr>
          <w:rFonts w:cs="Arial"/>
          <w:sz w:val="24"/>
          <w:szCs w:val="24"/>
          <w:lang w:val="en"/>
        </w:rPr>
        <w:t>ed</w:t>
      </w:r>
      <w:r w:rsidRPr="00C22D72">
        <w:rPr>
          <w:rFonts w:cs="Arial"/>
          <w:sz w:val="24"/>
          <w:szCs w:val="24"/>
          <w:lang w:val="en"/>
        </w:rPr>
        <w:t>.) (2007)</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Secretary or General?</w:t>
      </w:r>
      <w:r w:rsidR="007C201A">
        <w:rPr>
          <w:rFonts w:cs="Arial"/>
          <w:i/>
          <w:sz w:val="24"/>
          <w:szCs w:val="24"/>
          <w:lang w:val="en"/>
        </w:rPr>
        <w:t>,</w:t>
      </w:r>
      <w:r w:rsidRPr="00C22D72">
        <w:rPr>
          <w:rFonts w:cs="Arial"/>
          <w:sz w:val="24"/>
          <w:szCs w:val="24"/>
          <w:lang w:val="en"/>
        </w:rPr>
        <w:t xml:space="preserve"> Cambridge: Cambridge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Chiti, M. P. (2004)</w:t>
      </w:r>
      <w:r w:rsidR="00031CBC">
        <w:rPr>
          <w:rFonts w:cs="Arial"/>
          <w:sz w:val="24"/>
          <w:szCs w:val="24"/>
          <w:lang w:val="en"/>
        </w:rPr>
        <w:t>,</w:t>
      </w:r>
      <w:r w:rsidRPr="00C22D72">
        <w:rPr>
          <w:rFonts w:cs="Arial"/>
          <w:sz w:val="24"/>
          <w:szCs w:val="24"/>
          <w:lang w:val="en"/>
        </w:rPr>
        <w:t xml:space="preserve"> ‘Forms of European </w:t>
      </w:r>
      <w:r w:rsidR="007C201A">
        <w:rPr>
          <w:rFonts w:cs="Arial"/>
          <w:sz w:val="24"/>
          <w:szCs w:val="24"/>
          <w:lang w:val="en"/>
        </w:rPr>
        <w:t>a</w:t>
      </w:r>
      <w:r w:rsidRPr="00C22D72">
        <w:rPr>
          <w:rFonts w:cs="Arial"/>
          <w:sz w:val="24"/>
          <w:szCs w:val="24"/>
          <w:lang w:val="en"/>
        </w:rPr>
        <w:t xml:space="preserve">dministrative </w:t>
      </w:r>
      <w:r w:rsidR="007C201A">
        <w:rPr>
          <w:rFonts w:cs="Arial"/>
          <w:sz w:val="24"/>
          <w:szCs w:val="24"/>
          <w:lang w:val="en"/>
        </w:rPr>
        <w:t>a</w:t>
      </w:r>
      <w:r w:rsidRPr="00C22D72">
        <w:rPr>
          <w:rFonts w:cs="Arial"/>
          <w:sz w:val="24"/>
          <w:szCs w:val="24"/>
          <w:lang w:val="en"/>
        </w:rPr>
        <w:t xml:space="preserve">ction’, </w:t>
      </w:r>
      <w:r w:rsidRPr="000B1FCD">
        <w:rPr>
          <w:rFonts w:cs="Arial"/>
          <w:i/>
          <w:sz w:val="24"/>
          <w:szCs w:val="24"/>
          <w:lang w:val="en"/>
        </w:rPr>
        <w:t>Law and Contemporary Problems</w:t>
      </w:r>
      <w:r w:rsidRPr="00C22D72">
        <w:rPr>
          <w:rFonts w:cs="Arial"/>
          <w:sz w:val="24"/>
          <w:szCs w:val="24"/>
          <w:lang w:val="en"/>
        </w:rPr>
        <w:t xml:space="preserve"> 68: 37–57.</w:t>
      </w:r>
    </w:p>
    <w:p w:rsidR="00C22D72" w:rsidRPr="00C22D72" w:rsidRDefault="00C22D72" w:rsidP="00C22D72">
      <w:pPr>
        <w:spacing w:before="120" w:after="120" w:line="480" w:lineRule="auto"/>
        <w:rPr>
          <w:rFonts w:cs="Arial"/>
          <w:sz w:val="24"/>
          <w:szCs w:val="24"/>
          <w:lang w:val="en"/>
        </w:rPr>
      </w:pPr>
      <w:r w:rsidRPr="003B3CBE">
        <w:rPr>
          <w:rFonts w:cs="Arial"/>
          <w:sz w:val="24"/>
          <w:szCs w:val="24"/>
        </w:rPr>
        <w:t xml:space="preserve">Christensen, T. </w:t>
      </w:r>
      <w:r w:rsidR="007C201A" w:rsidRPr="000B1FCD">
        <w:rPr>
          <w:rFonts w:cs="Arial"/>
          <w:sz w:val="24"/>
          <w:szCs w:val="24"/>
        </w:rPr>
        <w:t xml:space="preserve">and </w:t>
      </w:r>
      <w:r w:rsidRPr="000B1FCD">
        <w:rPr>
          <w:rFonts w:cs="Arial"/>
          <w:sz w:val="24"/>
          <w:szCs w:val="24"/>
        </w:rPr>
        <w:t>P. Lægreid (2011)</w:t>
      </w:r>
      <w:r w:rsidR="00031CBC">
        <w:rPr>
          <w:rFonts w:cs="Arial"/>
          <w:sz w:val="24"/>
          <w:szCs w:val="24"/>
        </w:rPr>
        <w:t>,</w:t>
      </w:r>
      <w:r w:rsidRPr="000B1FCD">
        <w:rPr>
          <w:rFonts w:cs="Arial"/>
          <w:sz w:val="24"/>
          <w:szCs w:val="24"/>
        </w:rPr>
        <w:t xml:space="preserve"> ‘Beyond NPM? </w:t>
      </w:r>
      <w:r w:rsidRPr="00C22D72">
        <w:rPr>
          <w:rFonts w:cs="Arial"/>
          <w:sz w:val="24"/>
          <w:szCs w:val="24"/>
          <w:lang w:val="en"/>
        </w:rPr>
        <w:t xml:space="preserve">Some </w:t>
      </w:r>
      <w:r w:rsidR="007C201A">
        <w:rPr>
          <w:rFonts w:cs="Arial"/>
          <w:sz w:val="24"/>
          <w:szCs w:val="24"/>
          <w:lang w:val="en"/>
        </w:rPr>
        <w:t>d</w:t>
      </w:r>
      <w:r w:rsidRPr="00C22D72">
        <w:rPr>
          <w:rFonts w:cs="Arial"/>
          <w:sz w:val="24"/>
          <w:szCs w:val="24"/>
          <w:lang w:val="en"/>
        </w:rPr>
        <w:t xml:space="preserve">evelopment </w:t>
      </w:r>
      <w:r w:rsidR="007C201A">
        <w:rPr>
          <w:rFonts w:cs="Arial"/>
          <w:sz w:val="24"/>
          <w:szCs w:val="24"/>
          <w:lang w:val="en"/>
        </w:rPr>
        <w:t>f</w:t>
      </w:r>
      <w:r w:rsidRPr="00C22D72">
        <w:rPr>
          <w:rFonts w:cs="Arial"/>
          <w:sz w:val="24"/>
          <w:szCs w:val="24"/>
          <w:lang w:val="en"/>
        </w:rPr>
        <w:t>eatures’, i</w:t>
      </w:r>
      <w:r w:rsidR="007C201A">
        <w:rPr>
          <w:rFonts w:cs="Arial"/>
          <w:sz w:val="24"/>
          <w:szCs w:val="24"/>
          <w:lang w:val="en"/>
        </w:rPr>
        <w:t>n</w:t>
      </w:r>
      <w:r w:rsidRPr="00C22D72">
        <w:rPr>
          <w:rFonts w:cs="Arial"/>
          <w:sz w:val="24"/>
          <w:szCs w:val="24"/>
          <w:lang w:val="en"/>
        </w:rPr>
        <w:t xml:space="preserve"> T. Christensen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P. Lægreid (</w:t>
      </w:r>
      <w:r w:rsidR="007C201A">
        <w:rPr>
          <w:rFonts w:cs="Arial"/>
          <w:sz w:val="24"/>
          <w:szCs w:val="24"/>
          <w:lang w:val="en"/>
        </w:rPr>
        <w:t>eds</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 xml:space="preserve">The Ashgate </w:t>
      </w:r>
      <w:r w:rsidR="00031CBC">
        <w:rPr>
          <w:rFonts w:cs="Arial"/>
          <w:i/>
          <w:sz w:val="24"/>
          <w:szCs w:val="24"/>
          <w:lang w:val="en"/>
        </w:rPr>
        <w:t xml:space="preserve">Research </w:t>
      </w:r>
      <w:r w:rsidRPr="000B1FCD">
        <w:rPr>
          <w:rFonts w:cs="Arial"/>
          <w:i/>
          <w:sz w:val="24"/>
          <w:szCs w:val="24"/>
          <w:lang w:val="en"/>
        </w:rPr>
        <w:t>Companion to New Public M</w:t>
      </w:r>
      <w:r w:rsidRPr="00C22D72">
        <w:rPr>
          <w:rFonts w:cs="Arial"/>
          <w:sz w:val="24"/>
          <w:szCs w:val="24"/>
          <w:lang w:val="en"/>
        </w:rPr>
        <w:t>anagement</w:t>
      </w:r>
      <w:r w:rsidR="00031CBC">
        <w:rPr>
          <w:rFonts w:cs="Arial"/>
          <w:sz w:val="24"/>
          <w:szCs w:val="24"/>
          <w:lang w:val="en"/>
        </w:rPr>
        <w:t>,</w:t>
      </w:r>
      <w:r w:rsidRPr="00C22D72">
        <w:rPr>
          <w:rFonts w:cs="Arial"/>
          <w:sz w:val="24"/>
          <w:szCs w:val="24"/>
          <w:lang w:val="en"/>
        </w:rPr>
        <w:t xml:space="preserve"> Aldershot: Ashgate.</w:t>
      </w:r>
    </w:p>
    <w:p w:rsidR="00077F03" w:rsidRPr="00077F03" w:rsidRDefault="00077F03" w:rsidP="00077F03">
      <w:pPr>
        <w:spacing w:line="480" w:lineRule="auto"/>
        <w:rPr>
          <w:rFonts w:ascii="Calibri" w:eastAsia="SimSun" w:hAnsi="Calibri" w:cs="Times New Roman"/>
          <w:sz w:val="24"/>
          <w:szCs w:val="24"/>
          <w:lang w:eastAsia="zh-CN"/>
        </w:rPr>
      </w:pPr>
      <w:r w:rsidRPr="00077F03">
        <w:rPr>
          <w:rFonts w:ascii="Calibri" w:eastAsia="SimSun" w:hAnsi="Calibri" w:cs="Times New Roman"/>
          <w:sz w:val="24"/>
          <w:szCs w:val="24"/>
          <w:lang w:eastAsia="zh-CN"/>
        </w:rPr>
        <w:t>Christensen, T., A.L. Fimreite and P. Lægreid (2014)</w:t>
      </w:r>
      <w:r w:rsidR="00031CBC">
        <w:rPr>
          <w:rFonts w:ascii="Calibri" w:eastAsia="SimSun" w:hAnsi="Calibri" w:cs="Times New Roman"/>
          <w:sz w:val="24"/>
          <w:szCs w:val="24"/>
          <w:lang w:eastAsia="zh-CN"/>
        </w:rPr>
        <w:t>,</w:t>
      </w:r>
      <w:r w:rsidRPr="00077F03">
        <w:rPr>
          <w:rFonts w:ascii="Calibri" w:eastAsia="SimSun" w:hAnsi="Calibri" w:cs="Times New Roman"/>
          <w:sz w:val="24"/>
          <w:szCs w:val="24"/>
          <w:lang w:eastAsia="zh-CN"/>
        </w:rPr>
        <w:t xml:space="preserve"> ‘Joined-up government for welfare administration reform in Norway’, </w:t>
      </w:r>
      <w:r w:rsidRPr="00077F03">
        <w:rPr>
          <w:rFonts w:ascii="Calibri" w:eastAsia="SimSun" w:hAnsi="Calibri" w:cs="Times New Roman"/>
          <w:i/>
          <w:sz w:val="24"/>
          <w:szCs w:val="24"/>
          <w:lang w:eastAsia="zh-CN"/>
        </w:rPr>
        <w:t>Public Organization Review</w:t>
      </w:r>
      <w:r w:rsidRPr="00077F03">
        <w:rPr>
          <w:rFonts w:ascii="Calibri" w:eastAsia="SimSun" w:hAnsi="Calibri" w:cs="Times New Roman"/>
          <w:sz w:val="24"/>
          <w:szCs w:val="24"/>
          <w:lang w:eastAsia="zh-CN"/>
        </w:rPr>
        <w:t xml:space="preserve"> 14: 439-56.</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Christiansen, T. (2008)</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 xml:space="preserve">The </w:t>
      </w:r>
      <w:r w:rsidR="007C201A">
        <w:rPr>
          <w:rFonts w:cs="Arial"/>
          <w:i/>
          <w:sz w:val="24"/>
          <w:szCs w:val="24"/>
          <w:lang w:val="en"/>
        </w:rPr>
        <w:t>I</w:t>
      </w:r>
      <w:r w:rsidRPr="000B1FCD">
        <w:rPr>
          <w:rFonts w:cs="Arial"/>
          <w:i/>
          <w:sz w:val="24"/>
          <w:szCs w:val="24"/>
          <w:lang w:val="en"/>
        </w:rPr>
        <w:t xml:space="preserve">nstitutional </w:t>
      </w:r>
      <w:r w:rsidR="007C201A">
        <w:rPr>
          <w:rFonts w:cs="Arial"/>
          <w:i/>
          <w:sz w:val="24"/>
          <w:szCs w:val="24"/>
          <w:lang w:val="en"/>
        </w:rPr>
        <w:t>P</w:t>
      </w:r>
      <w:r w:rsidRPr="000B1FCD">
        <w:rPr>
          <w:rFonts w:cs="Arial"/>
          <w:i/>
          <w:sz w:val="24"/>
          <w:szCs w:val="24"/>
          <w:lang w:val="en"/>
        </w:rPr>
        <w:t>olitics of the European Union</w:t>
      </w:r>
      <w:r w:rsidR="00031CBC">
        <w:rPr>
          <w:rFonts w:cs="Arial"/>
          <w:i/>
          <w:sz w:val="24"/>
          <w:szCs w:val="24"/>
          <w:lang w:val="en"/>
        </w:rPr>
        <w:t>,</w:t>
      </w:r>
      <w:r w:rsidRPr="00C22D72">
        <w:rPr>
          <w:rFonts w:cs="Arial"/>
          <w:sz w:val="24"/>
          <w:szCs w:val="24"/>
          <w:lang w:val="en"/>
        </w:rPr>
        <w:t xml:space="preserve"> PhD </w:t>
      </w:r>
      <w:r w:rsidR="007C201A">
        <w:rPr>
          <w:rFonts w:cs="Arial"/>
          <w:sz w:val="24"/>
          <w:szCs w:val="24"/>
          <w:lang w:val="en"/>
        </w:rPr>
        <w:t>Thesis</w:t>
      </w:r>
      <w:r w:rsidRPr="00C22D72">
        <w:rPr>
          <w:rFonts w:cs="Arial"/>
          <w:sz w:val="24"/>
          <w:szCs w:val="24"/>
          <w:lang w:val="en"/>
        </w:rPr>
        <w:t xml:space="preserve">. University of Maastricht. </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Christiansen, T.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E. Kirchner (</w:t>
      </w:r>
      <w:r w:rsidR="007C201A">
        <w:rPr>
          <w:rFonts w:cs="Arial"/>
          <w:sz w:val="24"/>
          <w:szCs w:val="24"/>
          <w:lang w:val="en"/>
        </w:rPr>
        <w:t>eds</w:t>
      </w:r>
      <w:r w:rsidRPr="00C22D72">
        <w:rPr>
          <w:rFonts w:cs="Arial"/>
          <w:sz w:val="24"/>
          <w:szCs w:val="24"/>
          <w:lang w:val="en"/>
        </w:rPr>
        <w:t>.) (2000)</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Europe in Change</w:t>
      </w:r>
      <w:r w:rsidR="00031CBC">
        <w:rPr>
          <w:rFonts w:cs="Arial"/>
          <w:i/>
          <w:sz w:val="24"/>
          <w:szCs w:val="24"/>
          <w:lang w:val="en"/>
        </w:rPr>
        <w:t>,</w:t>
      </w:r>
      <w:r w:rsidRPr="00C22D72">
        <w:rPr>
          <w:rFonts w:cs="Arial"/>
          <w:sz w:val="24"/>
          <w:szCs w:val="24"/>
          <w:lang w:val="en"/>
        </w:rPr>
        <w:t xml:space="preserve"> Manchester: Manchester University Press.</w:t>
      </w:r>
    </w:p>
    <w:p w:rsidR="00BC2927" w:rsidRDefault="00BC2927" w:rsidP="00C22D72">
      <w:pPr>
        <w:spacing w:before="120" w:after="120" w:line="480" w:lineRule="auto"/>
        <w:rPr>
          <w:rFonts w:cs="Arial"/>
          <w:sz w:val="24"/>
          <w:szCs w:val="24"/>
          <w:lang w:val="en"/>
        </w:rPr>
      </w:pPr>
      <w:r w:rsidRPr="00BC2927">
        <w:rPr>
          <w:rFonts w:cs="Arial"/>
          <w:sz w:val="24"/>
          <w:szCs w:val="24"/>
          <w:lang w:val="en"/>
        </w:rPr>
        <w:lastRenderedPageBreak/>
        <w:t>Cohen, M.D., J.G. March and J.P. Olsen (2012)</w:t>
      </w:r>
      <w:r w:rsidR="00031CBC">
        <w:rPr>
          <w:rFonts w:cs="Arial"/>
          <w:sz w:val="24"/>
          <w:szCs w:val="24"/>
          <w:lang w:val="en"/>
        </w:rPr>
        <w:t>,</w:t>
      </w:r>
      <w:r w:rsidRPr="00BC2927">
        <w:rPr>
          <w:rFonts w:cs="Arial"/>
          <w:sz w:val="24"/>
          <w:szCs w:val="24"/>
          <w:lang w:val="en"/>
        </w:rPr>
        <w:t xml:space="preserve"> ‘”A Garbage Can Model” at forty: A solution that still attracts problems’, in A. Lomi and J.R. Harrison (eds.)</w:t>
      </w:r>
      <w:r w:rsidR="00031CBC">
        <w:rPr>
          <w:rFonts w:cs="Arial"/>
          <w:sz w:val="24"/>
          <w:szCs w:val="24"/>
          <w:lang w:val="en"/>
        </w:rPr>
        <w:t>,</w:t>
      </w:r>
      <w:r w:rsidRPr="00BC2927">
        <w:rPr>
          <w:rFonts w:cs="Arial"/>
          <w:sz w:val="24"/>
          <w:szCs w:val="24"/>
          <w:lang w:val="en"/>
        </w:rPr>
        <w:t xml:space="preserve"> </w:t>
      </w:r>
      <w:r w:rsidRPr="00BC2927">
        <w:rPr>
          <w:rFonts w:cs="Arial"/>
          <w:i/>
          <w:sz w:val="24"/>
          <w:szCs w:val="24"/>
          <w:lang w:val="en"/>
        </w:rPr>
        <w:t>The Garbage Can Model of Organizational Choice: Looking Forward at Forty</w:t>
      </w:r>
      <w:r w:rsidR="00031CBC">
        <w:rPr>
          <w:rFonts w:cs="Arial"/>
          <w:sz w:val="24"/>
          <w:szCs w:val="24"/>
          <w:lang w:val="en"/>
        </w:rPr>
        <w:t>,</w:t>
      </w:r>
      <w:r w:rsidRPr="00BC2927">
        <w:rPr>
          <w:rFonts w:cs="Arial"/>
          <w:sz w:val="24"/>
          <w:szCs w:val="24"/>
          <w:lang w:val="en"/>
        </w:rPr>
        <w:t xml:space="preserve"> Bingley: Emerald. </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Cox, R. W. (1969)</w:t>
      </w:r>
      <w:r w:rsidR="00031CBC">
        <w:rPr>
          <w:rFonts w:cs="Arial"/>
          <w:sz w:val="24"/>
          <w:szCs w:val="24"/>
          <w:lang w:val="en"/>
        </w:rPr>
        <w:t>,</w:t>
      </w:r>
      <w:r w:rsidRPr="00C22D72">
        <w:rPr>
          <w:rFonts w:cs="Arial"/>
          <w:sz w:val="24"/>
          <w:szCs w:val="24"/>
          <w:lang w:val="en"/>
        </w:rPr>
        <w:t xml:space="preserve"> ‘The </w:t>
      </w:r>
      <w:r w:rsidR="007C201A">
        <w:rPr>
          <w:rFonts w:cs="Arial"/>
          <w:sz w:val="24"/>
          <w:szCs w:val="24"/>
          <w:lang w:val="en"/>
        </w:rPr>
        <w:t>e</w:t>
      </w:r>
      <w:r w:rsidRPr="00C22D72">
        <w:rPr>
          <w:rFonts w:cs="Arial"/>
          <w:sz w:val="24"/>
          <w:szCs w:val="24"/>
          <w:lang w:val="en"/>
        </w:rPr>
        <w:t xml:space="preserve">xecutive </w:t>
      </w:r>
      <w:r w:rsidR="007C201A">
        <w:rPr>
          <w:rFonts w:cs="Arial"/>
          <w:sz w:val="24"/>
          <w:szCs w:val="24"/>
          <w:lang w:val="en"/>
        </w:rPr>
        <w:t>h</w:t>
      </w:r>
      <w:r w:rsidRPr="00C22D72">
        <w:rPr>
          <w:rFonts w:cs="Arial"/>
          <w:sz w:val="24"/>
          <w:szCs w:val="24"/>
          <w:lang w:val="en"/>
        </w:rPr>
        <w:t xml:space="preserve">ead. An </w:t>
      </w:r>
      <w:r w:rsidR="007C201A">
        <w:rPr>
          <w:rFonts w:cs="Arial"/>
          <w:sz w:val="24"/>
          <w:szCs w:val="24"/>
          <w:lang w:val="en"/>
        </w:rPr>
        <w:t>e</w:t>
      </w:r>
      <w:r w:rsidRPr="00C22D72">
        <w:rPr>
          <w:rFonts w:cs="Arial"/>
          <w:sz w:val="24"/>
          <w:szCs w:val="24"/>
          <w:lang w:val="en"/>
        </w:rPr>
        <w:t xml:space="preserve">ssay on </w:t>
      </w:r>
      <w:r w:rsidR="007C201A">
        <w:rPr>
          <w:rFonts w:cs="Arial"/>
          <w:sz w:val="24"/>
          <w:szCs w:val="24"/>
          <w:lang w:val="en"/>
        </w:rPr>
        <w:t>l</w:t>
      </w:r>
      <w:r w:rsidRPr="00C22D72">
        <w:rPr>
          <w:rFonts w:cs="Arial"/>
          <w:sz w:val="24"/>
          <w:szCs w:val="24"/>
          <w:lang w:val="en"/>
        </w:rPr>
        <w:t xml:space="preserve">eadership in </w:t>
      </w:r>
      <w:r w:rsidR="007C201A">
        <w:rPr>
          <w:rFonts w:cs="Arial"/>
          <w:sz w:val="24"/>
          <w:szCs w:val="24"/>
          <w:lang w:val="en"/>
        </w:rPr>
        <w:t>i</w:t>
      </w:r>
      <w:r w:rsidRPr="00C22D72">
        <w:rPr>
          <w:rFonts w:cs="Arial"/>
          <w:sz w:val="24"/>
          <w:szCs w:val="24"/>
          <w:lang w:val="en"/>
        </w:rPr>
        <w:t xml:space="preserve">nternational </w:t>
      </w:r>
      <w:r w:rsidR="007C201A">
        <w:rPr>
          <w:rFonts w:cs="Arial"/>
          <w:sz w:val="24"/>
          <w:szCs w:val="24"/>
          <w:lang w:val="en"/>
        </w:rPr>
        <w:t>o</w:t>
      </w:r>
      <w:r w:rsidRPr="00C22D72">
        <w:rPr>
          <w:rFonts w:cs="Arial"/>
          <w:sz w:val="24"/>
          <w:szCs w:val="24"/>
          <w:lang w:val="en"/>
        </w:rPr>
        <w:t xml:space="preserve">rganization’, </w:t>
      </w:r>
      <w:r w:rsidRPr="000B1FCD">
        <w:rPr>
          <w:rFonts w:cs="Arial"/>
          <w:i/>
          <w:sz w:val="24"/>
          <w:szCs w:val="24"/>
          <w:lang w:val="en"/>
        </w:rPr>
        <w:t>International Organization</w:t>
      </w:r>
      <w:r w:rsidRPr="00C22D72">
        <w:rPr>
          <w:rFonts w:cs="Arial"/>
          <w:sz w:val="24"/>
          <w:szCs w:val="24"/>
          <w:lang w:val="en"/>
        </w:rPr>
        <w:t xml:space="preserve"> 23: 205–30.</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Cox, R.W.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H.K. Jacobson (1973)</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Anatomy of Influence</w:t>
      </w:r>
      <w:r w:rsidR="00031CBC">
        <w:rPr>
          <w:rFonts w:cs="Arial"/>
          <w:sz w:val="24"/>
          <w:szCs w:val="24"/>
          <w:lang w:val="en"/>
        </w:rPr>
        <w:t>,</w:t>
      </w:r>
      <w:r w:rsidRPr="00C22D72">
        <w:rPr>
          <w:rFonts w:cs="Arial"/>
          <w:sz w:val="24"/>
          <w:szCs w:val="24"/>
          <w:lang w:val="en"/>
        </w:rPr>
        <w:t xml:space="preserve"> New Haven: Yale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Curtin, D.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R. Dehousse (2012)</w:t>
      </w:r>
      <w:r w:rsidR="00031CBC">
        <w:rPr>
          <w:rFonts w:cs="Arial"/>
          <w:sz w:val="24"/>
          <w:szCs w:val="24"/>
          <w:lang w:val="en"/>
        </w:rPr>
        <w:t>,</w:t>
      </w:r>
      <w:r w:rsidRPr="00C22D72">
        <w:rPr>
          <w:rFonts w:cs="Arial"/>
          <w:sz w:val="24"/>
          <w:szCs w:val="24"/>
          <w:lang w:val="en"/>
        </w:rPr>
        <w:t xml:space="preserve"> ‘European Union agencies: tipping the balance?, </w:t>
      </w:r>
      <w:r w:rsidR="007C201A">
        <w:rPr>
          <w:rFonts w:cs="Arial"/>
          <w:sz w:val="24"/>
          <w:szCs w:val="24"/>
          <w:lang w:val="en"/>
        </w:rPr>
        <w:t>in</w:t>
      </w:r>
      <w:r w:rsidRPr="00C22D72">
        <w:rPr>
          <w:rFonts w:cs="Arial"/>
          <w:sz w:val="24"/>
          <w:szCs w:val="24"/>
          <w:lang w:val="en"/>
        </w:rPr>
        <w:t xml:space="preserve"> M. Busuioc, M. Groenleer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J. Trondal (</w:t>
      </w:r>
      <w:r w:rsidR="007C201A">
        <w:rPr>
          <w:rFonts w:cs="Arial"/>
          <w:sz w:val="24"/>
          <w:szCs w:val="24"/>
          <w:lang w:val="en"/>
        </w:rPr>
        <w:t>eds</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Agency P</w:t>
      </w:r>
      <w:r w:rsidR="00031CBC">
        <w:rPr>
          <w:rFonts w:cs="Arial"/>
          <w:i/>
          <w:sz w:val="24"/>
          <w:szCs w:val="24"/>
          <w:lang w:val="en"/>
        </w:rPr>
        <w:t>henomenon in the European Union,</w:t>
      </w:r>
      <w:r w:rsidRPr="000B1FCD">
        <w:rPr>
          <w:rFonts w:cs="Arial"/>
          <w:i/>
          <w:sz w:val="24"/>
          <w:szCs w:val="24"/>
          <w:lang w:val="en"/>
        </w:rPr>
        <w:t xml:space="preserve"> </w:t>
      </w:r>
      <w:r w:rsidRPr="00C22D72">
        <w:rPr>
          <w:rFonts w:cs="Arial"/>
          <w:sz w:val="24"/>
          <w:szCs w:val="24"/>
          <w:lang w:val="en"/>
        </w:rPr>
        <w:t>Manchester: Manchester University Press.</w:t>
      </w:r>
    </w:p>
    <w:p w:rsidR="00C22D72" w:rsidRDefault="00C22D72" w:rsidP="00C22D72">
      <w:pPr>
        <w:spacing w:before="120" w:after="120" w:line="480" w:lineRule="auto"/>
        <w:rPr>
          <w:rFonts w:cs="Arial"/>
          <w:sz w:val="24"/>
          <w:szCs w:val="24"/>
          <w:lang w:val="en"/>
        </w:rPr>
      </w:pPr>
      <w:r w:rsidRPr="00C22D72">
        <w:rPr>
          <w:rFonts w:cs="Arial"/>
          <w:sz w:val="24"/>
          <w:szCs w:val="24"/>
          <w:lang w:val="en"/>
        </w:rPr>
        <w:t xml:space="preserve">Curtin, D.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M. Egeberg (2008)</w:t>
      </w:r>
      <w:r w:rsidR="00031CBC">
        <w:rPr>
          <w:rFonts w:cs="Arial"/>
          <w:sz w:val="24"/>
          <w:szCs w:val="24"/>
          <w:lang w:val="en"/>
        </w:rPr>
        <w:t>,</w:t>
      </w:r>
      <w:r w:rsidRPr="00C22D72">
        <w:rPr>
          <w:rFonts w:cs="Arial"/>
          <w:sz w:val="24"/>
          <w:szCs w:val="24"/>
          <w:lang w:val="en"/>
        </w:rPr>
        <w:t xml:space="preserve"> ‘Tradition and </w:t>
      </w:r>
      <w:r w:rsidR="007C201A">
        <w:rPr>
          <w:rFonts w:cs="Arial"/>
          <w:sz w:val="24"/>
          <w:szCs w:val="24"/>
          <w:lang w:val="en"/>
        </w:rPr>
        <w:t>i</w:t>
      </w:r>
      <w:r w:rsidRPr="00C22D72">
        <w:rPr>
          <w:rFonts w:cs="Arial"/>
          <w:sz w:val="24"/>
          <w:szCs w:val="24"/>
          <w:lang w:val="en"/>
        </w:rPr>
        <w:t xml:space="preserve">nnovation: Europe’s </w:t>
      </w:r>
      <w:r w:rsidR="007C201A">
        <w:rPr>
          <w:rFonts w:cs="Arial"/>
          <w:sz w:val="24"/>
          <w:szCs w:val="24"/>
          <w:lang w:val="en"/>
        </w:rPr>
        <w:t>a</w:t>
      </w:r>
      <w:r w:rsidRPr="00C22D72">
        <w:rPr>
          <w:rFonts w:cs="Arial"/>
          <w:sz w:val="24"/>
          <w:szCs w:val="24"/>
          <w:lang w:val="en"/>
        </w:rPr>
        <w:t xml:space="preserve">ccumulated </w:t>
      </w:r>
      <w:r w:rsidR="007C201A">
        <w:rPr>
          <w:rFonts w:cs="Arial"/>
          <w:sz w:val="24"/>
          <w:szCs w:val="24"/>
          <w:lang w:val="en"/>
        </w:rPr>
        <w:t>e</w:t>
      </w:r>
      <w:r w:rsidRPr="00C22D72">
        <w:rPr>
          <w:rFonts w:cs="Arial"/>
          <w:sz w:val="24"/>
          <w:szCs w:val="24"/>
          <w:lang w:val="en"/>
        </w:rPr>
        <w:t xml:space="preserve">xecutive </w:t>
      </w:r>
      <w:r w:rsidR="007C201A">
        <w:rPr>
          <w:rFonts w:cs="Arial"/>
          <w:sz w:val="24"/>
          <w:szCs w:val="24"/>
          <w:lang w:val="en"/>
        </w:rPr>
        <w:t>o</w:t>
      </w:r>
      <w:r w:rsidRPr="00C22D72">
        <w:rPr>
          <w:rFonts w:cs="Arial"/>
          <w:sz w:val="24"/>
          <w:szCs w:val="24"/>
          <w:lang w:val="en"/>
        </w:rPr>
        <w:t xml:space="preserve">rder’, </w:t>
      </w:r>
      <w:r w:rsidRPr="000B1FCD">
        <w:rPr>
          <w:rFonts w:cs="Arial"/>
          <w:i/>
          <w:sz w:val="24"/>
          <w:szCs w:val="24"/>
          <w:lang w:val="en"/>
        </w:rPr>
        <w:t>West European Politics</w:t>
      </w:r>
      <w:r w:rsidRPr="00C22D72">
        <w:rPr>
          <w:rFonts w:cs="Arial"/>
          <w:sz w:val="24"/>
          <w:szCs w:val="24"/>
          <w:lang w:val="en"/>
        </w:rPr>
        <w:t xml:space="preserve"> 31: 639–61.</w:t>
      </w:r>
    </w:p>
    <w:p w:rsidR="00345FC4" w:rsidRPr="00C22D72" w:rsidRDefault="00345FC4" w:rsidP="00C22D72">
      <w:pPr>
        <w:spacing w:before="120" w:after="120" w:line="480" w:lineRule="auto"/>
        <w:rPr>
          <w:rFonts w:cs="Arial"/>
          <w:sz w:val="24"/>
          <w:szCs w:val="24"/>
          <w:lang w:val="en"/>
        </w:rPr>
      </w:pPr>
      <w:r>
        <w:rPr>
          <w:rFonts w:cs="Arial"/>
          <w:sz w:val="24"/>
          <w:szCs w:val="24"/>
          <w:lang w:val="en"/>
        </w:rPr>
        <w:t>Cyert, R.M. and J. G. March (1963)</w:t>
      </w:r>
      <w:r w:rsidR="00031CBC">
        <w:rPr>
          <w:rFonts w:cs="Arial"/>
          <w:sz w:val="24"/>
          <w:szCs w:val="24"/>
          <w:lang w:val="en"/>
        </w:rPr>
        <w:t>,</w:t>
      </w:r>
      <w:r>
        <w:rPr>
          <w:rFonts w:cs="Arial"/>
          <w:sz w:val="24"/>
          <w:szCs w:val="24"/>
          <w:lang w:val="en"/>
        </w:rPr>
        <w:t xml:space="preserve"> </w:t>
      </w:r>
      <w:r w:rsidRPr="00345FC4">
        <w:rPr>
          <w:rFonts w:cs="Arial"/>
          <w:i/>
          <w:sz w:val="24"/>
          <w:szCs w:val="24"/>
          <w:lang w:val="en"/>
        </w:rPr>
        <w:t>A Behavioral theory of the Firm</w:t>
      </w:r>
      <w:r w:rsidR="00031CBC">
        <w:rPr>
          <w:rFonts w:cs="Arial"/>
          <w:i/>
          <w:sz w:val="24"/>
          <w:szCs w:val="24"/>
          <w:lang w:val="en"/>
        </w:rPr>
        <w:t>,</w:t>
      </w:r>
      <w:r>
        <w:rPr>
          <w:rFonts w:cs="Arial"/>
          <w:sz w:val="24"/>
          <w:szCs w:val="24"/>
          <w:lang w:val="en"/>
        </w:rPr>
        <w:t xml:space="preserve"> Englewood Cliffs, NJ: Prentice Hall.</w:t>
      </w:r>
    </w:p>
    <w:p w:rsidR="00077F03" w:rsidRPr="00077F03" w:rsidRDefault="00077F03" w:rsidP="00077F03">
      <w:pPr>
        <w:spacing w:line="480" w:lineRule="auto"/>
        <w:rPr>
          <w:rFonts w:ascii="Calibri" w:eastAsia="SimSun" w:hAnsi="Calibri" w:cs="Times New Roman"/>
          <w:sz w:val="24"/>
          <w:szCs w:val="24"/>
          <w:lang w:eastAsia="zh-CN"/>
        </w:rPr>
      </w:pPr>
      <w:r w:rsidRPr="00077F03">
        <w:rPr>
          <w:rFonts w:ascii="Calibri" w:eastAsia="SimSun" w:hAnsi="Calibri" w:cs="Times New Roman"/>
          <w:sz w:val="24"/>
          <w:szCs w:val="24"/>
          <w:lang w:eastAsia="zh-CN"/>
        </w:rPr>
        <w:t>Dahlström, C., B.G. Peters and J. Pierre (eds.) (2011)</w:t>
      </w:r>
      <w:r w:rsidR="00031CBC">
        <w:rPr>
          <w:rFonts w:ascii="Calibri" w:eastAsia="SimSun" w:hAnsi="Calibri" w:cs="Times New Roman"/>
          <w:sz w:val="24"/>
          <w:szCs w:val="24"/>
          <w:lang w:eastAsia="zh-CN"/>
        </w:rPr>
        <w:t>,</w:t>
      </w:r>
      <w:r w:rsidRPr="00077F03">
        <w:rPr>
          <w:rFonts w:ascii="Calibri" w:eastAsia="SimSun" w:hAnsi="Calibri" w:cs="Times New Roman"/>
          <w:sz w:val="24"/>
          <w:szCs w:val="24"/>
          <w:lang w:eastAsia="zh-CN"/>
        </w:rPr>
        <w:t xml:space="preserve"> </w:t>
      </w:r>
      <w:r w:rsidRPr="00077F03">
        <w:rPr>
          <w:rFonts w:ascii="Calibri" w:eastAsia="SimSun" w:hAnsi="Calibri" w:cs="Times New Roman"/>
          <w:i/>
          <w:sz w:val="24"/>
          <w:szCs w:val="24"/>
          <w:lang w:eastAsia="zh-CN"/>
        </w:rPr>
        <w:t>Steering from the Centre</w:t>
      </w:r>
      <w:r w:rsidR="00031CBC">
        <w:rPr>
          <w:rFonts w:ascii="Calibri" w:eastAsia="SimSun" w:hAnsi="Calibri" w:cs="Times New Roman"/>
          <w:i/>
          <w:sz w:val="24"/>
          <w:szCs w:val="24"/>
          <w:lang w:eastAsia="zh-CN"/>
        </w:rPr>
        <w:t>,</w:t>
      </w:r>
      <w:r w:rsidRPr="00077F03">
        <w:rPr>
          <w:rFonts w:ascii="Calibri" w:eastAsia="SimSun" w:hAnsi="Calibri" w:cs="Times New Roman"/>
          <w:sz w:val="24"/>
          <w:szCs w:val="24"/>
          <w:lang w:eastAsia="zh-CN"/>
        </w:rPr>
        <w:t xml:space="preserve"> Toronto: University of Toronto Press.</w:t>
      </w:r>
    </w:p>
    <w:p w:rsidR="00C22D72" w:rsidRDefault="00C22D72" w:rsidP="00C22D72">
      <w:pPr>
        <w:spacing w:before="120" w:after="120" w:line="480" w:lineRule="auto"/>
        <w:rPr>
          <w:rFonts w:cs="Arial"/>
          <w:sz w:val="24"/>
          <w:szCs w:val="24"/>
          <w:lang w:val="en"/>
        </w:rPr>
      </w:pPr>
      <w:r w:rsidRPr="00C22D72">
        <w:rPr>
          <w:rFonts w:cs="Arial"/>
          <w:sz w:val="24"/>
          <w:szCs w:val="24"/>
          <w:lang w:val="en"/>
        </w:rPr>
        <w:t xml:space="preserve">Dahlstrom, C., V. Lapuente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J. Teorell (2012)</w:t>
      </w:r>
      <w:r w:rsidR="00031CBC">
        <w:rPr>
          <w:rFonts w:cs="Arial"/>
          <w:sz w:val="24"/>
          <w:szCs w:val="24"/>
          <w:lang w:val="en"/>
        </w:rPr>
        <w:t>,</w:t>
      </w:r>
      <w:r w:rsidRPr="00C22D72">
        <w:rPr>
          <w:rFonts w:cs="Arial"/>
          <w:sz w:val="24"/>
          <w:szCs w:val="24"/>
          <w:lang w:val="en"/>
        </w:rPr>
        <w:t xml:space="preserve"> ‘Public administration around the work’, i</w:t>
      </w:r>
      <w:r w:rsidR="007C201A">
        <w:rPr>
          <w:rFonts w:cs="Arial"/>
          <w:sz w:val="24"/>
          <w:szCs w:val="24"/>
          <w:lang w:val="en"/>
        </w:rPr>
        <w:t>n</w:t>
      </w:r>
      <w:r w:rsidRPr="00C22D72">
        <w:rPr>
          <w:rFonts w:cs="Arial"/>
          <w:sz w:val="24"/>
          <w:szCs w:val="24"/>
          <w:lang w:val="en"/>
        </w:rPr>
        <w:t xml:space="preserve"> S. Holmberg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B. Rothstein (</w:t>
      </w:r>
      <w:r w:rsidR="007C201A">
        <w:rPr>
          <w:rFonts w:cs="Arial"/>
          <w:sz w:val="24"/>
          <w:szCs w:val="24"/>
          <w:lang w:val="en"/>
        </w:rPr>
        <w:t>eds</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Good Government</w:t>
      </w:r>
      <w:r w:rsidR="00031CBC">
        <w:rPr>
          <w:rFonts w:cs="Arial"/>
          <w:i/>
          <w:sz w:val="24"/>
          <w:szCs w:val="24"/>
          <w:lang w:val="en"/>
        </w:rPr>
        <w:t>,</w:t>
      </w:r>
      <w:r w:rsidRPr="00C22D72">
        <w:rPr>
          <w:rFonts w:cs="Arial"/>
          <w:sz w:val="24"/>
          <w:szCs w:val="24"/>
          <w:lang w:val="en"/>
        </w:rPr>
        <w:t xml:space="preserve"> Cheltenham: Edward Elgar.</w:t>
      </w:r>
    </w:p>
    <w:p w:rsidR="00A66E55" w:rsidRPr="00C22D72" w:rsidRDefault="00A66E55" w:rsidP="00C22D72">
      <w:pPr>
        <w:spacing w:before="120" w:after="120" w:line="480" w:lineRule="auto"/>
        <w:rPr>
          <w:rFonts w:cs="Arial"/>
          <w:sz w:val="24"/>
          <w:szCs w:val="24"/>
          <w:lang w:val="en"/>
        </w:rPr>
      </w:pPr>
      <w:r>
        <w:rPr>
          <w:rFonts w:cs="Arial"/>
          <w:sz w:val="24"/>
          <w:szCs w:val="24"/>
          <w:lang w:val="en"/>
        </w:rPr>
        <w:lastRenderedPageBreak/>
        <w:t>Danielsen, O.A. and K. Yesilkagit (2014)</w:t>
      </w:r>
      <w:r w:rsidR="00031CBC">
        <w:rPr>
          <w:rFonts w:cs="Arial"/>
          <w:sz w:val="24"/>
          <w:szCs w:val="24"/>
          <w:lang w:val="en"/>
        </w:rPr>
        <w:t>,</w:t>
      </w:r>
      <w:r>
        <w:rPr>
          <w:rFonts w:cs="Arial"/>
          <w:sz w:val="24"/>
          <w:szCs w:val="24"/>
          <w:lang w:val="en"/>
        </w:rPr>
        <w:t xml:space="preserve"> ‘The effects of European regulatory networks on the bureaucratic autonomy of national regulatory authorities’, </w:t>
      </w:r>
      <w:r w:rsidRPr="00A66E55">
        <w:rPr>
          <w:rFonts w:cs="Arial"/>
          <w:i/>
          <w:sz w:val="24"/>
          <w:szCs w:val="24"/>
          <w:lang w:val="en"/>
        </w:rPr>
        <w:t>Public Organization Review</w:t>
      </w:r>
      <w:r>
        <w:rPr>
          <w:rFonts w:cs="Arial"/>
          <w:sz w:val="24"/>
          <w:szCs w:val="24"/>
          <w:lang w:val="en"/>
        </w:rPr>
        <w:t xml:space="preserve"> 14: 353-71.</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Dobbels, M.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C. Neuhold (201</w:t>
      </w:r>
      <w:r w:rsidR="00763F80">
        <w:rPr>
          <w:rFonts w:cs="Arial"/>
          <w:sz w:val="24"/>
          <w:szCs w:val="24"/>
          <w:lang w:val="en"/>
        </w:rPr>
        <w:t>5</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‘Officials ‘</w:t>
      </w:r>
      <w:r w:rsidR="007C201A">
        <w:rPr>
          <w:rFonts w:cs="Arial"/>
          <w:sz w:val="24"/>
          <w:szCs w:val="24"/>
          <w:lang w:val="en"/>
        </w:rPr>
        <w:t>p</w:t>
      </w:r>
      <w:r w:rsidRPr="00C22D72">
        <w:rPr>
          <w:rFonts w:cs="Arial"/>
          <w:sz w:val="24"/>
          <w:szCs w:val="24"/>
          <w:lang w:val="en"/>
        </w:rPr>
        <w:t>re-</w:t>
      </w:r>
      <w:r w:rsidR="007C201A">
        <w:rPr>
          <w:rFonts w:cs="Arial"/>
          <w:sz w:val="24"/>
          <w:szCs w:val="24"/>
          <w:lang w:val="en"/>
        </w:rPr>
        <w:t>c</w:t>
      </w:r>
      <w:r w:rsidRPr="00C22D72">
        <w:rPr>
          <w:rFonts w:cs="Arial"/>
          <w:sz w:val="24"/>
          <w:szCs w:val="24"/>
          <w:lang w:val="en"/>
        </w:rPr>
        <w:t xml:space="preserve">ooking’ EU </w:t>
      </w:r>
      <w:r w:rsidR="007C201A">
        <w:rPr>
          <w:rFonts w:cs="Arial"/>
          <w:sz w:val="24"/>
          <w:szCs w:val="24"/>
          <w:lang w:val="en"/>
        </w:rPr>
        <w:t>a</w:t>
      </w:r>
      <w:r w:rsidRPr="00C22D72">
        <w:rPr>
          <w:rFonts w:cs="Arial"/>
          <w:sz w:val="24"/>
          <w:szCs w:val="24"/>
          <w:lang w:val="en"/>
        </w:rPr>
        <w:t xml:space="preserve">ffairs? The </w:t>
      </w:r>
      <w:r w:rsidR="007C201A">
        <w:rPr>
          <w:rFonts w:cs="Arial"/>
          <w:sz w:val="24"/>
          <w:szCs w:val="24"/>
          <w:lang w:val="en"/>
        </w:rPr>
        <w:t>r</w:t>
      </w:r>
      <w:r w:rsidRPr="00C22D72">
        <w:rPr>
          <w:rFonts w:cs="Arial"/>
          <w:sz w:val="24"/>
          <w:szCs w:val="24"/>
          <w:lang w:val="en"/>
        </w:rPr>
        <w:t xml:space="preserve">ole of EP </w:t>
      </w:r>
      <w:r w:rsidR="007C201A">
        <w:rPr>
          <w:rFonts w:cs="Arial"/>
          <w:sz w:val="24"/>
          <w:szCs w:val="24"/>
          <w:lang w:val="en"/>
        </w:rPr>
        <w:t>o</w:t>
      </w:r>
      <w:r w:rsidRPr="00C22D72">
        <w:rPr>
          <w:rFonts w:cs="Arial"/>
          <w:sz w:val="24"/>
          <w:szCs w:val="24"/>
          <w:lang w:val="en"/>
        </w:rPr>
        <w:t xml:space="preserve">fficials in the </w:t>
      </w:r>
      <w:r w:rsidR="007C201A">
        <w:rPr>
          <w:rFonts w:cs="Arial"/>
          <w:sz w:val="24"/>
          <w:szCs w:val="24"/>
          <w:lang w:val="en"/>
        </w:rPr>
        <w:t>o</w:t>
      </w:r>
      <w:r w:rsidRPr="00C22D72">
        <w:rPr>
          <w:rFonts w:cs="Arial"/>
          <w:sz w:val="24"/>
          <w:szCs w:val="24"/>
          <w:lang w:val="en"/>
        </w:rPr>
        <w:t xml:space="preserve">rdinary </w:t>
      </w:r>
      <w:r w:rsidR="007C201A">
        <w:rPr>
          <w:rFonts w:cs="Arial"/>
          <w:sz w:val="24"/>
          <w:szCs w:val="24"/>
          <w:lang w:val="en"/>
        </w:rPr>
        <w:t>l</w:t>
      </w:r>
      <w:r w:rsidRPr="00C22D72">
        <w:rPr>
          <w:rFonts w:cs="Arial"/>
          <w:sz w:val="24"/>
          <w:szCs w:val="24"/>
          <w:lang w:val="en"/>
        </w:rPr>
        <w:t xml:space="preserve">egislative </w:t>
      </w:r>
      <w:r w:rsidR="007C201A">
        <w:rPr>
          <w:rFonts w:cs="Arial"/>
          <w:sz w:val="24"/>
          <w:szCs w:val="24"/>
          <w:lang w:val="en"/>
        </w:rPr>
        <w:t>p</w:t>
      </w:r>
      <w:r w:rsidRPr="00C22D72">
        <w:rPr>
          <w:rFonts w:cs="Arial"/>
          <w:sz w:val="24"/>
          <w:szCs w:val="24"/>
          <w:lang w:val="en"/>
        </w:rPr>
        <w:t>rocedure (OLP)’, i</w:t>
      </w:r>
      <w:r w:rsidR="007C201A">
        <w:rPr>
          <w:rFonts w:cs="Arial"/>
          <w:sz w:val="24"/>
          <w:szCs w:val="24"/>
          <w:lang w:val="en"/>
        </w:rPr>
        <w:t>n</w:t>
      </w:r>
      <w:r w:rsidRPr="00C22D72">
        <w:rPr>
          <w:rFonts w:cs="Arial"/>
          <w:sz w:val="24"/>
          <w:szCs w:val="24"/>
          <w:lang w:val="en"/>
        </w:rPr>
        <w:t xml:space="preserve"> M.W. Bauer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J. Trondal (</w:t>
      </w:r>
      <w:r w:rsidR="007C201A">
        <w:rPr>
          <w:rFonts w:cs="Arial"/>
          <w:sz w:val="24"/>
          <w:szCs w:val="24"/>
          <w:lang w:val="en"/>
        </w:rPr>
        <w:t>eds</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Palgrave Handbook of the European Administrative System</w:t>
      </w:r>
      <w:r w:rsidR="00031CBC">
        <w:rPr>
          <w:rFonts w:cs="Arial"/>
          <w:sz w:val="24"/>
          <w:szCs w:val="24"/>
          <w:lang w:val="en"/>
        </w:rPr>
        <w:t>,</w:t>
      </w:r>
      <w:r w:rsidRPr="00C22D72">
        <w:rPr>
          <w:rFonts w:cs="Arial"/>
          <w:sz w:val="24"/>
          <w:szCs w:val="24"/>
          <w:lang w:val="en"/>
        </w:rPr>
        <w:t xml:space="preserve"> Houndmills: Palgrave Macmillan.</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Drake, H. (2000)</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Jacques Delors</w:t>
      </w:r>
      <w:r w:rsidR="00031CBC">
        <w:rPr>
          <w:rFonts w:cs="Arial"/>
          <w:i/>
          <w:sz w:val="24"/>
          <w:szCs w:val="24"/>
          <w:lang w:val="en"/>
        </w:rPr>
        <w:t>,</w:t>
      </w:r>
      <w:r w:rsidRPr="00C22D72">
        <w:rPr>
          <w:rFonts w:cs="Arial"/>
          <w:sz w:val="24"/>
          <w:szCs w:val="24"/>
          <w:lang w:val="en"/>
        </w:rPr>
        <w:t xml:space="preserve"> London: Routledge.</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Duchène, F. (1994)</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Jean Monnet</w:t>
      </w:r>
      <w:r w:rsidR="00031CBC">
        <w:rPr>
          <w:rFonts w:cs="Arial"/>
          <w:i/>
          <w:sz w:val="24"/>
          <w:szCs w:val="24"/>
          <w:lang w:val="en"/>
        </w:rPr>
        <w:t>,</w:t>
      </w:r>
      <w:r w:rsidRPr="00C22D72">
        <w:rPr>
          <w:rFonts w:cs="Arial"/>
          <w:sz w:val="24"/>
          <w:szCs w:val="24"/>
          <w:lang w:val="en"/>
        </w:rPr>
        <w:t xml:space="preserve"> New York: W. W. Norton &amp; Company.</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Ege, J.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M.W. Bauer (2013)</w:t>
      </w:r>
      <w:r w:rsidR="00031CBC">
        <w:rPr>
          <w:rFonts w:cs="Arial"/>
          <w:sz w:val="24"/>
          <w:szCs w:val="24"/>
          <w:lang w:val="en"/>
        </w:rPr>
        <w:t xml:space="preserve">, </w:t>
      </w:r>
      <w:r w:rsidRPr="00C22D72">
        <w:rPr>
          <w:rFonts w:cs="Arial"/>
          <w:sz w:val="24"/>
          <w:szCs w:val="24"/>
          <w:lang w:val="en"/>
        </w:rPr>
        <w:t xml:space="preserve">‘International </w:t>
      </w:r>
      <w:r w:rsidR="007C201A">
        <w:rPr>
          <w:rFonts w:cs="Arial"/>
          <w:sz w:val="24"/>
          <w:szCs w:val="24"/>
          <w:lang w:val="en"/>
        </w:rPr>
        <w:t>b</w:t>
      </w:r>
      <w:r w:rsidRPr="00C22D72">
        <w:rPr>
          <w:rFonts w:cs="Arial"/>
          <w:sz w:val="24"/>
          <w:szCs w:val="24"/>
          <w:lang w:val="en"/>
        </w:rPr>
        <w:t xml:space="preserve">ureaucracy from a </w:t>
      </w:r>
      <w:r w:rsidR="007C201A">
        <w:rPr>
          <w:rFonts w:cs="Arial"/>
          <w:sz w:val="24"/>
          <w:szCs w:val="24"/>
          <w:lang w:val="en"/>
        </w:rPr>
        <w:t>p</w:t>
      </w:r>
      <w:r w:rsidRPr="00C22D72">
        <w:rPr>
          <w:rFonts w:cs="Arial"/>
          <w:sz w:val="24"/>
          <w:szCs w:val="24"/>
          <w:lang w:val="en"/>
        </w:rPr>
        <w:t xml:space="preserve">ublic </w:t>
      </w:r>
      <w:r w:rsidR="007C201A">
        <w:rPr>
          <w:rFonts w:cs="Arial"/>
          <w:sz w:val="24"/>
          <w:szCs w:val="24"/>
          <w:lang w:val="en"/>
        </w:rPr>
        <w:t>a</w:t>
      </w:r>
      <w:r w:rsidRPr="00C22D72">
        <w:rPr>
          <w:rFonts w:cs="Arial"/>
          <w:sz w:val="24"/>
          <w:szCs w:val="24"/>
          <w:lang w:val="en"/>
        </w:rPr>
        <w:t xml:space="preserve">dministration and </w:t>
      </w:r>
      <w:r w:rsidR="007C201A">
        <w:rPr>
          <w:rFonts w:cs="Arial"/>
          <w:sz w:val="24"/>
          <w:szCs w:val="24"/>
          <w:lang w:val="en"/>
        </w:rPr>
        <w:t>i</w:t>
      </w:r>
      <w:r w:rsidRPr="00C22D72">
        <w:rPr>
          <w:rFonts w:cs="Arial"/>
          <w:sz w:val="24"/>
          <w:szCs w:val="24"/>
          <w:lang w:val="en"/>
        </w:rPr>
        <w:t xml:space="preserve">nternational </w:t>
      </w:r>
      <w:r w:rsidR="007C201A">
        <w:rPr>
          <w:rFonts w:cs="Arial"/>
          <w:sz w:val="24"/>
          <w:szCs w:val="24"/>
          <w:lang w:val="en"/>
        </w:rPr>
        <w:t>r</w:t>
      </w:r>
      <w:r w:rsidRPr="00C22D72">
        <w:rPr>
          <w:rFonts w:cs="Arial"/>
          <w:sz w:val="24"/>
          <w:szCs w:val="24"/>
          <w:lang w:val="en"/>
        </w:rPr>
        <w:t xml:space="preserve">elations </w:t>
      </w:r>
      <w:r w:rsidR="007C201A">
        <w:rPr>
          <w:rFonts w:cs="Arial"/>
          <w:sz w:val="24"/>
          <w:szCs w:val="24"/>
          <w:lang w:val="en"/>
        </w:rPr>
        <w:t>p</w:t>
      </w:r>
      <w:r w:rsidRPr="00C22D72">
        <w:rPr>
          <w:rFonts w:cs="Arial"/>
          <w:sz w:val="24"/>
          <w:szCs w:val="24"/>
          <w:lang w:val="en"/>
        </w:rPr>
        <w:t>erspective’, i</w:t>
      </w:r>
      <w:r w:rsidR="007C201A">
        <w:rPr>
          <w:rFonts w:cs="Arial"/>
          <w:sz w:val="24"/>
          <w:szCs w:val="24"/>
          <w:lang w:val="en"/>
        </w:rPr>
        <w:t>n</w:t>
      </w:r>
      <w:r w:rsidRPr="00C22D72">
        <w:rPr>
          <w:rFonts w:cs="Arial"/>
          <w:sz w:val="24"/>
          <w:szCs w:val="24"/>
          <w:lang w:val="en"/>
        </w:rPr>
        <w:t xml:space="preserve"> B. Reinalda (ed.)</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Routledge Handbook of International Organization</w:t>
      </w:r>
      <w:r w:rsidR="00031CBC">
        <w:rPr>
          <w:rFonts w:cs="Arial"/>
          <w:i/>
          <w:sz w:val="24"/>
          <w:szCs w:val="24"/>
          <w:lang w:val="en"/>
        </w:rPr>
        <w:t>,</w:t>
      </w:r>
      <w:r w:rsidRPr="00C22D72">
        <w:rPr>
          <w:rFonts w:cs="Arial"/>
          <w:sz w:val="24"/>
          <w:szCs w:val="24"/>
          <w:lang w:val="en"/>
        </w:rPr>
        <w:t xml:space="preserve"> London: Routledge.</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Egeberg, M. (</w:t>
      </w:r>
      <w:r w:rsidR="007C201A">
        <w:rPr>
          <w:rFonts w:cs="Arial"/>
          <w:sz w:val="24"/>
          <w:szCs w:val="24"/>
          <w:lang w:val="en"/>
        </w:rPr>
        <w:t>ed</w:t>
      </w:r>
      <w:r w:rsidRPr="00C22D72">
        <w:rPr>
          <w:rFonts w:cs="Arial"/>
          <w:sz w:val="24"/>
          <w:szCs w:val="24"/>
          <w:lang w:val="en"/>
        </w:rPr>
        <w:t>.) (2006)</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Multilevel Union Administration</w:t>
      </w:r>
      <w:r w:rsidR="00031CBC">
        <w:rPr>
          <w:rFonts w:cs="Arial"/>
          <w:i/>
          <w:sz w:val="24"/>
          <w:szCs w:val="24"/>
          <w:lang w:val="en"/>
        </w:rPr>
        <w:t>,</w:t>
      </w:r>
      <w:r w:rsidRPr="00C22D72">
        <w:rPr>
          <w:rFonts w:cs="Arial"/>
          <w:sz w:val="24"/>
          <w:szCs w:val="24"/>
          <w:lang w:val="en"/>
        </w:rPr>
        <w:t xml:space="preserve"> Houndmills: Palgrave Macmillan.</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Egeberg, M. (2010)</w:t>
      </w:r>
      <w:r w:rsidR="00031CBC">
        <w:rPr>
          <w:rFonts w:cs="Arial"/>
          <w:sz w:val="24"/>
          <w:szCs w:val="24"/>
          <w:lang w:val="en"/>
        </w:rPr>
        <w:t>,</w:t>
      </w:r>
      <w:r w:rsidRPr="00C22D72">
        <w:rPr>
          <w:rFonts w:cs="Arial"/>
          <w:sz w:val="24"/>
          <w:szCs w:val="24"/>
          <w:lang w:val="en"/>
        </w:rPr>
        <w:t xml:space="preserve"> ‘L'administration de l'Union Europeenne: Niveaux Multiples et Construction d'un Centre’, </w:t>
      </w:r>
      <w:r w:rsidRPr="000B1FCD">
        <w:rPr>
          <w:rFonts w:cs="Arial"/>
          <w:i/>
          <w:sz w:val="24"/>
          <w:szCs w:val="24"/>
          <w:lang w:val="en"/>
        </w:rPr>
        <w:t>Revue Francaise d'Administration Publique</w:t>
      </w:r>
      <w:r w:rsidRPr="00C22D72">
        <w:rPr>
          <w:rFonts w:cs="Arial"/>
          <w:sz w:val="24"/>
          <w:szCs w:val="24"/>
          <w:lang w:val="en"/>
        </w:rPr>
        <w:t xml:space="preserve"> 133: 17–26.</w:t>
      </w:r>
    </w:p>
    <w:p w:rsidR="00C22D72" w:rsidRDefault="00C22D72" w:rsidP="00C22D72">
      <w:pPr>
        <w:spacing w:before="120" w:after="120" w:line="480" w:lineRule="auto"/>
        <w:rPr>
          <w:rFonts w:cs="Arial"/>
          <w:sz w:val="24"/>
          <w:szCs w:val="24"/>
          <w:lang w:val="en"/>
        </w:rPr>
      </w:pPr>
      <w:r w:rsidRPr="00C22D72">
        <w:rPr>
          <w:rFonts w:cs="Arial"/>
          <w:sz w:val="24"/>
          <w:szCs w:val="24"/>
          <w:lang w:val="en"/>
        </w:rPr>
        <w:t xml:space="preserve">Egeberg, M., Å. Gornitzka, J. Trondal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M. Johannessen (201</w:t>
      </w:r>
      <w:r w:rsidR="00763F80">
        <w:rPr>
          <w:rFonts w:cs="Arial"/>
          <w:sz w:val="24"/>
          <w:szCs w:val="24"/>
          <w:lang w:val="en"/>
        </w:rPr>
        <w:t>5</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‘The European Parliament </w:t>
      </w:r>
      <w:r w:rsidR="007C201A">
        <w:rPr>
          <w:rFonts w:cs="Arial"/>
          <w:sz w:val="24"/>
          <w:szCs w:val="24"/>
          <w:lang w:val="en"/>
        </w:rPr>
        <w:t>a</w:t>
      </w:r>
      <w:r w:rsidRPr="00C22D72">
        <w:rPr>
          <w:rFonts w:cs="Arial"/>
          <w:sz w:val="24"/>
          <w:szCs w:val="24"/>
          <w:lang w:val="en"/>
        </w:rPr>
        <w:t xml:space="preserve">dministration: Organizational </w:t>
      </w:r>
      <w:r w:rsidR="007C201A">
        <w:rPr>
          <w:rFonts w:cs="Arial"/>
          <w:sz w:val="24"/>
          <w:szCs w:val="24"/>
          <w:lang w:val="en"/>
        </w:rPr>
        <w:t>s</w:t>
      </w:r>
      <w:r w:rsidRPr="00C22D72">
        <w:rPr>
          <w:rFonts w:cs="Arial"/>
          <w:sz w:val="24"/>
          <w:szCs w:val="24"/>
          <w:lang w:val="en"/>
        </w:rPr>
        <w:t xml:space="preserve">tructure and </w:t>
      </w:r>
      <w:r w:rsidR="007C201A">
        <w:rPr>
          <w:rFonts w:cs="Arial"/>
          <w:sz w:val="24"/>
          <w:szCs w:val="24"/>
          <w:lang w:val="en"/>
        </w:rPr>
        <w:t>b</w:t>
      </w:r>
      <w:r w:rsidRPr="00C22D72">
        <w:rPr>
          <w:rFonts w:cs="Arial"/>
          <w:sz w:val="24"/>
          <w:szCs w:val="24"/>
          <w:lang w:val="en"/>
        </w:rPr>
        <w:t xml:space="preserve">ehavioral </w:t>
      </w:r>
      <w:r w:rsidR="007C201A">
        <w:rPr>
          <w:rFonts w:cs="Arial"/>
          <w:sz w:val="24"/>
          <w:szCs w:val="24"/>
          <w:lang w:val="en"/>
        </w:rPr>
        <w:t>i</w:t>
      </w:r>
      <w:r w:rsidRPr="00C22D72">
        <w:rPr>
          <w:rFonts w:cs="Arial"/>
          <w:sz w:val="24"/>
          <w:szCs w:val="24"/>
          <w:lang w:val="en"/>
        </w:rPr>
        <w:t>mplications’, i</w:t>
      </w:r>
      <w:r w:rsidR="007C201A">
        <w:rPr>
          <w:rFonts w:cs="Arial"/>
          <w:sz w:val="24"/>
          <w:szCs w:val="24"/>
          <w:lang w:val="en"/>
        </w:rPr>
        <w:t>n</w:t>
      </w:r>
      <w:r w:rsidRPr="00C22D72">
        <w:rPr>
          <w:rFonts w:cs="Arial"/>
          <w:sz w:val="24"/>
          <w:szCs w:val="24"/>
          <w:lang w:val="en"/>
        </w:rPr>
        <w:t xml:space="preserve"> M.W. Bauer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J. Trondal (</w:t>
      </w:r>
      <w:r w:rsidR="007C201A">
        <w:rPr>
          <w:rFonts w:cs="Arial"/>
          <w:sz w:val="24"/>
          <w:szCs w:val="24"/>
          <w:lang w:val="en"/>
        </w:rPr>
        <w:t>eds</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Palgrave Handbook of the European Administrative System</w:t>
      </w:r>
      <w:r w:rsidR="00031CBC">
        <w:rPr>
          <w:rFonts w:cs="Arial"/>
          <w:sz w:val="24"/>
          <w:szCs w:val="24"/>
          <w:lang w:val="en"/>
        </w:rPr>
        <w:t>,</w:t>
      </w:r>
      <w:r w:rsidRPr="00C22D72">
        <w:rPr>
          <w:rFonts w:cs="Arial"/>
          <w:sz w:val="24"/>
          <w:szCs w:val="24"/>
          <w:lang w:val="en"/>
        </w:rPr>
        <w:t xml:space="preserve"> Houndmills: Palgrave Macmillan.</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Egeberg, M., M. Martens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J. Trondal (201</w:t>
      </w:r>
      <w:r w:rsidR="00763F80">
        <w:rPr>
          <w:rFonts w:cs="Arial"/>
          <w:sz w:val="24"/>
          <w:szCs w:val="24"/>
          <w:lang w:val="en"/>
        </w:rPr>
        <w:t>5</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‘EU’s </w:t>
      </w:r>
      <w:r w:rsidR="007C201A">
        <w:rPr>
          <w:rFonts w:cs="Arial"/>
          <w:sz w:val="24"/>
          <w:szCs w:val="24"/>
          <w:lang w:val="en"/>
        </w:rPr>
        <w:t>s</w:t>
      </w:r>
      <w:r w:rsidRPr="00C22D72">
        <w:rPr>
          <w:rFonts w:cs="Arial"/>
          <w:sz w:val="24"/>
          <w:szCs w:val="24"/>
          <w:lang w:val="en"/>
        </w:rPr>
        <w:t xml:space="preserve">ubordinated </w:t>
      </w:r>
      <w:r w:rsidR="007C201A">
        <w:rPr>
          <w:rFonts w:cs="Arial"/>
          <w:sz w:val="24"/>
          <w:szCs w:val="24"/>
          <w:lang w:val="en"/>
        </w:rPr>
        <w:t>a</w:t>
      </w:r>
      <w:r w:rsidRPr="00C22D72">
        <w:rPr>
          <w:rFonts w:cs="Arial"/>
          <w:sz w:val="24"/>
          <w:szCs w:val="24"/>
          <w:lang w:val="en"/>
        </w:rPr>
        <w:t xml:space="preserve">gency </w:t>
      </w:r>
      <w:r w:rsidR="007C201A">
        <w:rPr>
          <w:rFonts w:cs="Arial"/>
          <w:sz w:val="24"/>
          <w:szCs w:val="24"/>
          <w:lang w:val="en"/>
        </w:rPr>
        <w:t>a</w:t>
      </w:r>
      <w:r w:rsidRPr="00C22D72">
        <w:rPr>
          <w:rFonts w:cs="Arial"/>
          <w:sz w:val="24"/>
          <w:szCs w:val="24"/>
          <w:lang w:val="en"/>
        </w:rPr>
        <w:t xml:space="preserve">dministration and the </w:t>
      </w:r>
      <w:r w:rsidR="007C201A">
        <w:rPr>
          <w:rFonts w:cs="Arial"/>
          <w:sz w:val="24"/>
          <w:szCs w:val="24"/>
          <w:lang w:val="en"/>
        </w:rPr>
        <w:t>r</w:t>
      </w:r>
      <w:r w:rsidRPr="00C22D72">
        <w:rPr>
          <w:rFonts w:cs="Arial"/>
          <w:sz w:val="24"/>
          <w:szCs w:val="24"/>
          <w:lang w:val="en"/>
        </w:rPr>
        <w:t xml:space="preserve">ise of </w:t>
      </w:r>
      <w:r w:rsidR="007C201A">
        <w:rPr>
          <w:rFonts w:cs="Arial"/>
          <w:sz w:val="24"/>
          <w:szCs w:val="24"/>
          <w:lang w:val="en"/>
        </w:rPr>
        <w:t>e</w:t>
      </w:r>
      <w:r w:rsidRPr="00C22D72">
        <w:rPr>
          <w:rFonts w:cs="Arial"/>
          <w:sz w:val="24"/>
          <w:szCs w:val="24"/>
          <w:lang w:val="en"/>
        </w:rPr>
        <w:t xml:space="preserve">xecutive </w:t>
      </w:r>
      <w:r w:rsidR="007C201A">
        <w:rPr>
          <w:rFonts w:cs="Arial"/>
          <w:sz w:val="24"/>
          <w:szCs w:val="24"/>
          <w:lang w:val="en"/>
        </w:rPr>
        <w:t>p</w:t>
      </w:r>
      <w:r w:rsidRPr="00C22D72">
        <w:rPr>
          <w:rFonts w:cs="Arial"/>
          <w:sz w:val="24"/>
          <w:szCs w:val="24"/>
          <w:lang w:val="en"/>
        </w:rPr>
        <w:t>ower at the European Level’, i</w:t>
      </w:r>
      <w:r w:rsidR="007C201A">
        <w:rPr>
          <w:rFonts w:cs="Arial"/>
          <w:sz w:val="24"/>
          <w:szCs w:val="24"/>
          <w:lang w:val="en"/>
        </w:rPr>
        <w:t>n</w:t>
      </w:r>
      <w:r w:rsidRPr="00C22D72">
        <w:rPr>
          <w:rFonts w:cs="Arial"/>
          <w:sz w:val="24"/>
          <w:szCs w:val="24"/>
          <w:lang w:val="en"/>
        </w:rPr>
        <w:t xml:space="preserve"> M.W. Bauer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J. Trondal (</w:t>
      </w:r>
      <w:r w:rsidR="007C201A">
        <w:rPr>
          <w:rFonts w:cs="Arial"/>
          <w:sz w:val="24"/>
          <w:szCs w:val="24"/>
          <w:lang w:val="en"/>
        </w:rPr>
        <w:t>eds</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Palgrave Handbook of the European Administrative System</w:t>
      </w:r>
      <w:r w:rsidR="00031CBC">
        <w:rPr>
          <w:rFonts w:cs="Arial"/>
          <w:i/>
          <w:sz w:val="24"/>
          <w:szCs w:val="24"/>
          <w:lang w:val="en"/>
        </w:rPr>
        <w:t>,</w:t>
      </w:r>
      <w:r w:rsidRPr="00C22D72">
        <w:rPr>
          <w:rFonts w:cs="Arial"/>
          <w:sz w:val="24"/>
          <w:szCs w:val="24"/>
          <w:lang w:val="en"/>
        </w:rPr>
        <w:t xml:space="preserve"> Houndmills: Palgrave Macmillan.</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lastRenderedPageBreak/>
        <w:t xml:space="preserve">Egeberg, M.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J. Trondal (2009)</w:t>
      </w:r>
      <w:r w:rsidR="00031CBC">
        <w:rPr>
          <w:rFonts w:cs="Arial"/>
          <w:sz w:val="24"/>
          <w:szCs w:val="24"/>
          <w:lang w:val="en"/>
        </w:rPr>
        <w:t>,</w:t>
      </w:r>
      <w:r w:rsidRPr="00C22D72">
        <w:rPr>
          <w:rFonts w:cs="Arial"/>
          <w:sz w:val="24"/>
          <w:szCs w:val="24"/>
          <w:lang w:val="en"/>
        </w:rPr>
        <w:t xml:space="preserve"> ‘National </w:t>
      </w:r>
      <w:r w:rsidR="007C201A">
        <w:rPr>
          <w:rFonts w:cs="Arial"/>
          <w:sz w:val="24"/>
          <w:szCs w:val="24"/>
          <w:lang w:val="en"/>
        </w:rPr>
        <w:t>a</w:t>
      </w:r>
      <w:r w:rsidRPr="00C22D72">
        <w:rPr>
          <w:rFonts w:cs="Arial"/>
          <w:sz w:val="24"/>
          <w:szCs w:val="24"/>
          <w:lang w:val="en"/>
        </w:rPr>
        <w:t xml:space="preserve">gencies in the European </w:t>
      </w:r>
      <w:r w:rsidR="007C201A">
        <w:rPr>
          <w:rFonts w:cs="Arial"/>
          <w:sz w:val="24"/>
          <w:szCs w:val="24"/>
          <w:lang w:val="en"/>
        </w:rPr>
        <w:t>a</w:t>
      </w:r>
      <w:r w:rsidRPr="00C22D72">
        <w:rPr>
          <w:rFonts w:cs="Arial"/>
          <w:sz w:val="24"/>
          <w:szCs w:val="24"/>
          <w:lang w:val="en"/>
        </w:rPr>
        <w:t xml:space="preserve">dministrative </w:t>
      </w:r>
      <w:r w:rsidR="007C201A">
        <w:rPr>
          <w:rFonts w:cs="Arial"/>
          <w:sz w:val="24"/>
          <w:szCs w:val="24"/>
          <w:lang w:val="en"/>
        </w:rPr>
        <w:t>s</w:t>
      </w:r>
      <w:r w:rsidRPr="00C22D72">
        <w:rPr>
          <w:rFonts w:cs="Arial"/>
          <w:sz w:val="24"/>
          <w:szCs w:val="24"/>
          <w:lang w:val="en"/>
        </w:rPr>
        <w:t xml:space="preserve">pace: Government </w:t>
      </w:r>
      <w:r w:rsidR="007C201A">
        <w:rPr>
          <w:rFonts w:cs="Arial"/>
          <w:sz w:val="24"/>
          <w:szCs w:val="24"/>
          <w:lang w:val="en"/>
        </w:rPr>
        <w:t>d</w:t>
      </w:r>
      <w:r w:rsidRPr="00C22D72">
        <w:rPr>
          <w:rFonts w:cs="Arial"/>
          <w:sz w:val="24"/>
          <w:szCs w:val="24"/>
          <w:lang w:val="en"/>
        </w:rPr>
        <w:t xml:space="preserve">riven, Commission </w:t>
      </w:r>
      <w:r w:rsidR="007C201A">
        <w:rPr>
          <w:rFonts w:cs="Arial"/>
          <w:sz w:val="24"/>
          <w:szCs w:val="24"/>
          <w:lang w:val="en"/>
        </w:rPr>
        <w:t>d</w:t>
      </w:r>
      <w:r w:rsidRPr="00C22D72">
        <w:rPr>
          <w:rFonts w:cs="Arial"/>
          <w:sz w:val="24"/>
          <w:szCs w:val="24"/>
          <w:lang w:val="en"/>
        </w:rPr>
        <w:t xml:space="preserve">riven, or </w:t>
      </w:r>
      <w:r w:rsidR="007C201A">
        <w:rPr>
          <w:rFonts w:cs="Arial"/>
          <w:sz w:val="24"/>
          <w:szCs w:val="24"/>
          <w:lang w:val="en"/>
        </w:rPr>
        <w:t>n</w:t>
      </w:r>
      <w:r w:rsidRPr="00C22D72">
        <w:rPr>
          <w:rFonts w:cs="Arial"/>
          <w:sz w:val="24"/>
          <w:szCs w:val="24"/>
          <w:lang w:val="en"/>
        </w:rPr>
        <w:t>etworked?’</w:t>
      </w:r>
      <w:r w:rsidRPr="000B1FCD">
        <w:rPr>
          <w:rFonts w:cs="Arial"/>
          <w:i/>
          <w:sz w:val="24"/>
          <w:szCs w:val="24"/>
          <w:lang w:val="en"/>
        </w:rPr>
        <w:t>, Public Administration</w:t>
      </w:r>
      <w:r w:rsidRPr="00C22D72">
        <w:rPr>
          <w:rFonts w:cs="Arial"/>
          <w:sz w:val="24"/>
          <w:szCs w:val="24"/>
          <w:lang w:val="en"/>
        </w:rPr>
        <w:t xml:space="preserve"> 87: 779–90.</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Egeberg, M. </w:t>
      </w:r>
      <w:r w:rsidR="007C201A">
        <w:rPr>
          <w:rFonts w:cs="Arial"/>
          <w:sz w:val="24"/>
          <w:szCs w:val="24"/>
          <w:lang w:val="en"/>
        </w:rPr>
        <w:t>and</w:t>
      </w:r>
      <w:r w:rsidR="007C201A" w:rsidRPr="00C22D72">
        <w:rPr>
          <w:rFonts w:cs="Arial"/>
          <w:sz w:val="24"/>
          <w:szCs w:val="24"/>
          <w:lang w:val="en"/>
        </w:rPr>
        <w:t xml:space="preserve"> </w:t>
      </w:r>
      <w:r w:rsidRPr="00C22D72">
        <w:rPr>
          <w:rFonts w:cs="Arial"/>
          <w:sz w:val="24"/>
          <w:szCs w:val="24"/>
          <w:lang w:val="en"/>
        </w:rPr>
        <w:t>J. Trondal (2011)</w:t>
      </w:r>
      <w:r w:rsidR="00031CBC">
        <w:rPr>
          <w:rFonts w:cs="Arial"/>
          <w:sz w:val="24"/>
          <w:szCs w:val="24"/>
          <w:lang w:val="en"/>
        </w:rPr>
        <w:t>,</w:t>
      </w:r>
      <w:r w:rsidRPr="00C22D72">
        <w:rPr>
          <w:rFonts w:cs="Arial"/>
          <w:sz w:val="24"/>
          <w:szCs w:val="24"/>
          <w:lang w:val="en"/>
        </w:rPr>
        <w:t xml:space="preserve"> ‘EU-level </w:t>
      </w:r>
      <w:r w:rsidR="007C201A">
        <w:rPr>
          <w:rFonts w:cs="Arial"/>
          <w:sz w:val="24"/>
          <w:szCs w:val="24"/>
          <w:lang w:val="en"/>
        </w:rPr>
        <w:t>a</w:t>
      </w:r>
      <w:r w:rsidRPr="00C22D72">
        <w:rPr>
          <w:rFonts w:cs="Arial"/>
          <w:sz w:val="24"/>
          <w:szCs w:val="24"/>
          <w:lang w:val="en"/>
        </w:rPr>
        <w:t xml:space="preserve">gencies: New </w:t>
      </w:r>
      <w:r w:rsidR="007C201A">
        <w:rPr>
          <w:rFonts w:cs="Arial"/>
          <w:sz w:val="24"/>
          <w:szCs w:val="24"/>
          <w:lang w:val="en"/>
        </w:rPr>
        <w:t>e</w:t>
      </w:r>
      <w:r w:rsidRPr="00C22D72">
        <w:rPr>
          <w:rFonts w:cs="Arial"/>
          <w:sz w:val="24"/>
          <w:szCs w:val="24"/>
          <w:lang w:val="en"/>
        </w:rPr>
        <w:t xml:space="preserve">xecutive </w:t>
      </w:r>
      <w:r w:rsidR="007C201A">
        <w:rPr>
          <w:rFonts w:cs="Arial"/>
          <w:sz w:val="24"/>
          <w:szCs w:val="24"/>
          <w:lang w:val="en"/>
        </w:rPr>
        <w:t>c</w:t>
      </w:r>
      <w:r w:rsidRPr="00C22D72">
        <w:rPr>
          <w:rFonts w:cs="Arial"/>
          <w:sz w:val="24"/>
          <w:szCs w:val="24"/>
          <w:lang w:val="en"/>
        </w:rPr>
        <w:t xml:space="preserve">entre </w:t>
      </w:r>
      <w:r w:rsidR="007C201A">
        <w:rPr>
          <w:rFonts w:cs="Arial"/>
          <w:sz w:val="24"/>
          <w:szCs w:val="24"/>
          <w:lang w:val="en"/>
        </w:rPr>
        <w:t>f</w:t>
      </w:r>
      <w:r w:rsidRPr="00C22D72">
        <w:rPr>
          <w:rFonts w:cs="Arial"/>
          <w:sz w:val="24"/>
          <w:szCs w:val="24"/>
          <w:lang w:val="en"/>
        </w:rPr>
        <w:t xml:space="preserve">ormation or </w:t>
      </w:r>
      <w:r w:rsidR="007C201A">
        <w:rPr>
          <w:rFonts w:cs="Arial"/>
          <w:sz w:val="24"/>
          <w:szCs w:val="24"/>
          <w:lang w:val="en"/>
        </w:rPr>
        <w:t>v</w:t>
      </w:r>
      <w:r w:rsidRPr="00C22D72">
        <w:rPr>
          <w:rFonts w:cs="Arial"/>
          <w:sz w:val="24"/>
          <w:szCs w:val="24"/>
          <w:lang w:val="en"/>
        </w:rPr>
        <w:t xml:space="preserve">ehicles for </w:t>
      </w:r>
      <w:r w:rsidR="007C201A">
        <w:rPr>
          <w:rFonts w:cs="Arial"/>
          <w:sz w:val="24"/>
          <w:szCs w:val="24"/>
          <w:lang w:val="en"/>
        </w:rPr>
        <w:t>n</w:t>
      </w:r>
      <w:r w:rsidRPr="00C22D72">
        <w:rPr>
          <w:rFonts w:cs="Arial"/>
          <w:sz w:val="24"/>
          <w:szCs w:val="24"/>
          <w:lang w:val="en"/>
        </w:rPr>
        <w:t xml:space="preserve">ational </w:t>
      </w:r>
      <w:r w:rsidR="007C201A">
        <w:rPr>
          <w:rFonts w:cs="Arial"/>
          <w:sz w:val="24"/>
          <w:szCs w:val="24"/>
          <w:lang w:val="en"/>
        </w:rPr>
        <w:t>c</w:t>
      </w:r>
      <w:r w:rsidRPr="00C22D72">
        <w:rPr>
          <w:rFonts w:cs="Arial"/>
          <w:sz w:val="24"/>
          <w:szCs w:val="24"/>
          <w:lang w:val="en"/>
        </w:rPr>
        <w:t xml:space="preserve">ontrol?’, </w:t>
      </w:r>
      <w:r w:rsidRPr="000B1FCD">
        <w:rPr>
          <w:rFonts w:cs="Arial"/>
          <w:i/>
          <w:sz w:val="24"/>
          <w:szCs w:val="24"/>
          <w:lang w:val="en"/>
        </w:rPr>
        <w:t>Journal of European Public Policy</w:t>
      </w:r>
      <w:r w:rsidRPr="00C22D72">
        <w:rPr>
          <w:rFonts w:cs="Arial"/>
          <w:sz w:val="24"/>
          <w:szCs w:val="24"/>
          <w:lang w:val="en"/>
        </w:rPr>
        <w:t xml:space="preserve"> 18: 868–87.</w:t>
      </w:r>
    </w:p>
    <w:p w:rsidR="00C22D72" w:rsidRPr="00C22D72" w:rsidRDefault="00C22D72" w:rsidP="00C22D72">
      <w:pPr>
        <w:spacing w:before="120" w:after="120" w:line="480" w:lineRule="auto"/>
        <w:rPr>
          <w:rFonts w:cs="Arial"/>
          <w:sz w:val="24"/>
          <w:szCs w:val="24"/>
          <w:lang w:val="nb-NO"/>
        </w:rPr>
      </w:pPr>
      <w:r w:rsidRPr="00C22D72">
        <w:rPr>
          <w:rFonts w:cs="Arial"/>
          <w:sz w:val="24"/>
          <w:szCs w:val="24"/>
          <w:lang w:val="nb-NO"/>
        </w:rPr>
        <w:t xml:space="preserve">Egeberg, M. </w:t>
      </w:r>
      <w:r w:rsidR="007C201A">
        <w:rPr>
          <w:rFonts w:cs="Arial"/>
          <w:sz w:val="24"/>
          <w:szCs w:val="24"/>
          <w:lang w:val="nb-NO"/>
        </w:rPr>
        <w:t>and</w:t>
      </w:r>
      <w:r w:rsidR="007C201A" w:rsidRPr="00C22D72">
        <w:rPr>
          <w:rFonts w:cs="Arial"/>
          <w:sz w:val="24"/>
          <w:szCs w:val="24"/>
          <w:lang w:val="nb-NO"/>
        </w:rPr>
        <w:t xml:space="preserve"> </w:t>
      </w:r>
      <w:r w:rsidRPr="00C22D72">
        <w:rPr>
          <w:rFonts w:cs="Arial"/>
          <w:sz w:val="24"/>
          <w:szCs w:val="24"/>
          <w:lang w:val="nb-NO"/>
        </w:rPr>
        <w:t>J. Trondal (2014)</w:t>
      </w:r>
      <w:r w:rsidR="00031CBC">
        <w:rPr>
          <w:rFonts w:cs="Arial"/>
          <w:sz w:val="24"/>
          <w:szCs w:val="24"/>
          <w:lang w:val="nb-NO"/>
        </w:rPr>
        <w:t>,</w:t>
      </w:r>
      <w:r w:rsidRPr="00C22D72">
        <w:rPr>
          <w:rFonts w:cs="Arial"/>
          <w:sz w:val="24"/>
          <w:szCs w:val="24"/>
          <w:lang w:val="nb-NO"/>
        </w:rPr>
        <w:t xml:space="preserve"> ‘Nasjonal administrativ suvernitet – myte eller realitet?’, i</w:t>
      </w:r>
      <w:r w:rsidR="00983A5B">
        <w:rPr>
          <w:rFonts w:cs="Arial"/>
          <w:sz w:val="24"/>
          <w:szCs w:val="24"/>
          <w:lang w:val="nb-NO"/>
        </w:rPr>
        <w:t>n</w:t>
      </w:r>
      <w:r w:rsidRPr="00C22D72">
        <w:rPr>
          <w:rFonts w:cs="Arial"/>
          <w:sz w:val="24"/>
          <w:szCs w:val="24"/>
          <w:lang w:val="nb-NO"/>
        </w:rPr>
        <w:t xml:space="preserve"> E.O. Eriksen og J.E. Fossum (</w:t>
      </w:r>
      <w:r w:rsidR="00983A5B">
        <w:rPr>
          <w:rFonts w:cs="Arial"/>
          <w:sz w:val="24"/>
          <w:szCs w:val="24"/>
          <w:lang w:val="nb-NO"/>
        </w:rPr>
        <w:t>eds</w:t>
      </w:r>
      <w:r w:rsidRPr="00C22D72">
        <w:rPr>
          <w:rFonts w:cs="Arial"/>
          <w:sz w:val="24"/>
          <w:szCs w:val="24"/>
          <w:lang w:val="nb-NO"/>
        </w:rPr>
        <w:t>.)</w:t>
      </w:r>
      <w:r w:rsidR="00031CBC">
        <w:rPr>
          <w:rFonts w:cs="Arial"/>
          <w:sz w:val="24"/>
          <w:szCs w:val="24"/>
          <w:lang w:val="nb-NO"/>
        </w:rPr>
        <w:t>,</w:t>
      </w:r>
      <w:r w:rsidRPr="00C22D72">
        <w:rPr>
          <w:rFonts w:cs="Arial"/>
          <w:sz w:val="24"/>
          <w:szCs w:val="24"/>
          <w:lang w:val="nb-NO"/>
        </w:rPr>
        <w:t xml:space="preserve"> </w:t>
      </w:r>
      <w:r w:rsidRPr="000B1FCD">
        <w:rPr>
          <w:rFonts w:cs="Arial"/>
          <w:i/>
          <w:sz w:val="24"/>
          <w:szCs w:val="24"/>
          <w:lang w:val="nb-NO"/>
        </w:rPr>
        <w:t>Det norske paradoks</w:t>
      </w:r>
      <w:r w:rsidR="00031CBC">
        <w:rPr>
          <w:rFonts w:cs="Arial"/>
          <w:i/>
          <w:sz w:val="24"/>
          <w:szCs w:val="24"/>
          <w:lang w:val="nb-NO"/>
        </w:rPr>
        <w:t>,</w:t>
      </w:r>
      <w:r w:rsidRPr="00C22D72">
        <w:rPr>
          <w:rFonts w:cs="Arial"/>
          <w:sz w:val="24"/>
          <w:szCs w:val="24"/>
          <w:lang w:val="nb-NO"/>
        </w:rPr>
        <w:t xml:space="preserve"> Oslo: Universitetsforlaget.</w:t>
      </w:r>
    </w:p>
    <w:p w:rsidR="00C22D72" w:rsidRPr="00031CBC" w:rsidRDefault="00C22D72" w:rsidP="00C22D72">
      <w:pPr>
        <w:spacing w:before="120" w:after="120" w:line="480" w:lineRule="auto"/>
        <w:rPr>
          <w:rFonts w:cs="Arial"/>
          <w:sz w:val="24"/>
          <w:szCs w:val="24"/>
        </w:rPr>
      </w:pPr>
      <w:r w:rsidRPr="00031CBC">
        <w:rPr>
          <w:rFonts w:cs="Arial"/>
          <w:sz w:val="24"/>
          <w:szCs w:val="24"/>
        </w:rPr>
        <w:t xml:space="preserve">Egeberg, M., J. Trondal </w:t>
      </w:r>
      <w:r w:rsidR="00983A5B" w:rsidRPr="00031CBC">
        <w:rPr>
          <w:rFonts w:cs="Arial"/>
          <w:sz w:val="24"/>
          <w:szCs w:val="24"/>
        </w:rPr>
        <w:t xml:space="preserve">and </w:t>
      </w:r>
      <w:r w:rsidRPr="00031CBC">
        <w:rPr>
          <w:rFonts w:cs="Arial"/>
          <w:sz w:val="24"/>
          <w:szCs w:val="24"/>
        </w:rPr>
        <w:t>N.M. Vestlund (2014)</w:t>
      </w:r>
      <w:r w:rsidR="00031CBC" w:rsidRPr="00031CBC">
        <w:rPr>
          <w:rFonts w:cs="Arial"/>
          <w:sz w:val="24"/>
          <w:szCs w:val="24"/>
        </w:rPr>
        <w:t>,</w:t>
      </w:r>
      <w:r w:rsidRPr="00031CBC">
        <w:rPr>
          <w:rFonts w:cs="Arial"/>
          <w:sz w:val="24"/>
          <w:szCs w:val="24"/>
        </w:rPr>
        <w:t xml:space="preserve"> ‘Situating EU agencies in the political-administrative space’, ARENA working paper 6.</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Egeberg, M. , G.F. Schaefer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J. Trondal (2003)</w:t>
      </w:r>
      <w:r w:rsidR="00031CBC">
        <w:rPr>
          <w:rFonts w:cs="Arial"/>
          <w:sz w:val="24"/>
          <w:szCs w:val="24"/>
          <w:lang w:val="en"/>
        </w:rPr>
        <w:t>,</w:t>
      </w:r>
      <w:r w:rsidRPr="00C22D72">
        <w:rPr>
          <w:rFonts w:cs="Arial"/>
          <w:sz w:val="24"/>
          <w:szCs w:val="24"/>
          <w:lang w:val="en"/>
        </w:rPr>
        <w:t xml:space="preserve"> ‘The Many Faces of EU Committee Governance’, </w:t>
      </w:r>
      <w:r w:rsidRPr="000B1FCD">
        <w:rPr>
          <w:rFonts w:cs="Arial"/>
          <w:i/>
          <w:sz w:val="24"/>
          <w:szCs w:val="24"/>
          <w:lang w:val="en"/>
        </w:rPr>
        <w:t>West European Politics</w:t>
      </w:r>
      <w:r w:rsidRPr="00C22D72">
        <w:rPr>
          <w:rFonts w:cs="Arial"/>
          <w:sz w:val="24"/>
          <w:szCs w:val="24"/>
          <w:lang w:val="en"/>
        </w:rPr>
        <w:t xml:space="preserve"> 26: 19–40.</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Ellinas, A. A.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E. Suleiman (2012)</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European Commission and Bureaucratic Autonomy</w:t>
      </w:r>
      <w:r w:rsidR="00031CBC">
        <w:rPr>
          <w:rFonts w:cs="Arial"/>
          <w:i/>
          <w:sz w:val="24"/>
          <w:szCs w:val="24"/>
          <w:lang w:val="en"/>
        </w:rPr>
        <w:t>,</w:t>
      </w:r>
      <w:r w:rsidRPr="00C22D72">
        <w:rPr>
          <w:rFonts w:cs="Arial"/>
          <w:sz w:val="24"/>
          <w:szCs w:val="24"/>
          <w:lang w:val="en"/>
        </w:rPr>
        <w:t xml:space="preserve"> Cambridge: Cambridge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Emery, Y.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D. Giauque (2014)</w:t>
      </w:r>
      <w:r w:rsidR="00031CBC">
        <w:rPr>
          <w:rFonts w:cs="Arial"/>
          <w:sz w:val="24"/>
          <w:szCs w:val="24"/>
          <w:lang w:val="en"/>
        </w:rPr>
        <w:t>,</w:t>
      </w:r>
      <w:r w:rsidRPr="00C22D72">
        <w:rPr>
          <w:rFonts w:cs="Arial"/>
          <w:sz w:val="24"/>
          <w:szCs w:val="24"/>
          <w:lang w:val="en"/>
        </w:rPr>
        <w:t xml:space="preserve"> ‘the hybrid universe of public administration in the 21st century’, </w:t>
      </w:r>
      <w:r w:rsidRPr="000B1FCD">
        <w:rPr>
          <w:rFonts w:cs="Arial"/>
          <w:i/>
          <w:sz w:val="24"/>
          <w:szCs w:val="24"/>
          <w:lang w:val="en"/>
        </w:rPr>
        <w:t>International Review of Administrative Sciences</w:t>
      </w:r>
      <w:r w:rsidRPr="00C22D72">
        <w:rPr>
          <w:rFonts w:cs="Arial"/>
          <w:sz w:val="24"/>
          <w:szCs w:val="24"/>
          <w:lang w:val="en"/>
        </w:rPr>
        <w:t xml:space="preserve"> 80(1): 23-32.</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Eulau, H. (1977)</w:t>
      </w:r>
      <w:r w:rsidR="00031CBC">
        <w:rPr>
          <w:rFonts w:cs="Arial"/>
          <w:sz w:val="24"/>
          <w:szCs w:val="24"/>
          <w:lang w:val="en"/>
        </w:rPr>
        <w:t>,</w:t>
      </w:r>
      <w:r w:rsidRPr="00C22D72">
        <w:rPr>
          <w:rFonts w:cs="Arial"/>
          <w:sz w:val="24"/>
          <w:szCs w:val="24"/>
          <w:lang w:val="en"/>
        </w:rPr>
        <w:t xml:space="preserve"> ‘The place of policy analysis in political science: Five perspectives’, </w:t>
      </w:r>
      <w:r w:rsidRPr="000B1FCD">
        <w:rPr>
          <w:rFonts w:cs="Arial"/>
          <w:i/>
          <w:sz w:val="24"/>
          <w:szCs w:val="24"/>
          <w:lang w:val="en"/>
        </w:rPr>
        <w:t xml:space="preserve">American Journal of Political Science </w:t>
      </w:r>
      <w:r w:rsidRPr="00C22D72">
        <w:rPr>
          <w:rFonts w:cs="Arial"/>
          <w:sz w:val="24"/>
          <w:szCs w:val="24"/>
          <w:lang w:val="en"/>
        </w:rPr>
        <w:t>21: 419-23.</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Franchini, C. (2004)</w:t>
      </w:r>
      <w:r w:rsidR="00031CBC">
        <w:rPr>
          <w:rFonts w:cs="Arial"/>
          <w:sz w:val="24"/>
          <w:szCs w:val="24"/>
          <w:lang w:val="en"/>
        </w:rPr>
        <w:t>,</w:t>
      </w:r>
      <w:r w:rsidRPr="00C22D72">
        <w:rPr>
          <w:rFonts w:cs="Arial"/>
          <w:sz w:val="24"/>
          <w:szCs w:val="24"/>
          <w:lang w:val="en"/>
        </w:rPr>
        <w:t xml:space="preserve"> ‘European </w:t>
      </w:r>
      <w:r w:rsidR="00983A5B">
        <w:rPr>
          <w:rFonts w:cs="Arial"/>
          <w:sz w:val="24"/>
          <w:szCs w:val="24"/>
          <w:lang w:val="en"/>
        </w:rPr>
        <w:t>p</w:t>
      </w:r>
      <w:r w:rsidRPr="00C22D72">
        <w:rPr>
          <w:rFonts w:cs="Arial"/>
          <w:sz w:val="24"/>
          <w:szCs w:val="24"/>
          <w:lang w:val="en"/>
        </w:rPr>
        <w:t xml:space="preserve">rinciples </w:t>
      </w:r>
      <w:r w:rsidR="00983A5B">
        <w:rPr>
          <w:rFonts w:cs="Arial"/>
          <w:sz w:val="24"/>
          <w:szCs w:val="24"/>
          <w:lang w:val="en"/>
        </w:rPr>
        <w:t>g</w:t>
      </w:r>
      <w:r w:rsidRPr="00C22D72">
        <w:rPr>
          <w:rFonts w:cs="Arial"/>
          <w:sz w:val="24"/>
          <w:szCs w:val="24"/>
          <w:lang w:val="en"/>
        </w:rPr>
        <w:t xml:space="preserve">overning national administrative proceedings’, </w:t>
      </w:r>
      <w:r w:rsidRPr="000B1FCD">
        <w:rPr>
          <w:rFonts w:cs="Arial"/>
          <w:i/>
          <w:sz w:val="24"/>
          <w:szCs w:val="24"/>
          <w:lang w:val="en"/>
        </w:rPr>
        <w:t xml:space="preserve">Law and Contemporary Problems </w:t>
      </w:r>
      <w:r w:rsidRPr="00C22D72">
        <w:rPr>
          <w:rFonts w:cs="Arial"/>
          <w:sz w:val="24"/>
          <w:szCs w:val="24"/>
          <w:lang w:val="en"/>
        </w:rPr>
        <w:t>68(1): 183–96.</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Fukuyama, F. (2013)</w:t>
      </w:r>
      <w:r w:rsidR="00031CBC">
        <w:rPr>
          <w:rFonts w:cs="Arial"/>
          <w:sz w:val="24"/>
          <w:szCs w:val="24"/>
          <w:lang w:val="en"/>
        </w:rPr>
        <w:t>,</w:t>
      </w:r>
      <w:r w:rsidRPr="00C22D72">
        <w:rPr>
          <w:rFonts w:cs="Arial"/>
          <w:sz w:val="24"/>
          <w:szCs w:val="24"/>
          <w:lang w:val="en"/>
        </w:rPr>
        <w:t xml:space="preserve"> ‘What is </w:t>
      </w:r>
      <w:r w:rsidR="00983A5B">
        <w:rPr>
          <w:rFonts w:cs="Arial"/>
          <w:sz w:val="24"/>
          <w:szCs w:val="24"/>
          <w:lang w:val="en"/>
        </w:rPr>
        <w:t>g</w:t>
      </w:r>
      <w:r w:rsidRPr="00C22D72">
        <w:rPr>
          <w:rFonts w:cs="Arial"/>
          <w:sz w:val="24"/>
          <w:szCs w:val="24"/>
          <w:lang w:val="en"/>
        </w:rPr>
        <w:t xml:space="preserve">overnance?’, </w:t>
      </w:r>
      <w:r w:rsidRPr="000B1FCD">
        <w:rPr>
          <w:rFonts w:cs="Arial"/>
          <w:i/>
          <w:sz w:val="24"/>
          <w:szCs w:val="24"/>
          <w:lang w:val="en"/>
        </w:rPr>
        <w:t>Governance</w:t>
      </w:r>
      <w:r w:rsidRPr="00C22D72">
        <w:rPr>
          <w:rFonts w:cs="Arial"/>
          <w:sz w:val="24"/>
          <w:szCs w:val="24"/>
          <w:lang w:val="en"/>
        </w:rPr>
        <w:t xml:space="preserve"> 26: 347–68.</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lastRenderedPageBreak/>
        <w:t>Gaus, J.M. (1950)</w:t>
      </w:r>
      <w:r w:rsidR="00031CBC">
        <w:rPr>
          <w:rFonts w:cs="Arial"/>
          <w:sz w:val="24"/>
          <w:szCs w:val="24"/>
          <w:lang w:val="en"/>
        </w:rPr>
        <w:t>,</w:t>
      </w:r>
      <w:r w:rsidRPr="00C22D72">
        <w:rPr>
          <w:rFonts w:cs="Arial"/>
          <w:sz w:val="24"/>
          <w:szCs w:val="24"/>
          <w:lang w:val="en"/>
        </w:rPr>
        <w:t xml:space="preserve"> ‘Trends in the theory of public administration’, </w:t>
      </w:r>
      <w:r w:rsidRPr="000B1FCD">
        <w:rPr>
          <w:rFonts w:cs="Arial"/>
          <w:i/>
          <w:sz w:val="24"/>
          <w:szCs w:val="24"/>
          <w:lang w:val="en"/>
        </w:rPr>
        <w:t>Public Administration Review</w:t>
      </w:r>
      <w:r w:rsidRPr="00C22D72">
        <w:rPr>
          <w:rFonts w:cs="Arial"/>
          <w:sz w:val="24"/>
          <w:szCs w:val="24"/>
          <w:lang w:val="en"/>
        </w:rPr>
        <w:t xml:space="preserve"> 10(3): 161-</w:t>
      </w:r>
      <w:r w:rsidR="00983A5B">
        <w:rPr>
          <w:rFonts w:cs="Arial"/>
          <w:sz w:val="24"/>
          <w:szCs w:val="24"/>
          <w:lang w:val="en"/>
        </w:rPr>
        <w:t>6</w:t>
      </w:r>
      <w:r w:rsidRPr="00C22D72">
        <w:rPr>
          <w:rFonts w:cs="Arial"/>
          <w:sz w:val="24"/>
          <w:szCs w:val="24"/>
          <w:lang w:val="en"/>
        </w:rPr>
        <w:t>8.</w:t>
      </w:r>
    </w:p>
    <w:p w:rsidR="00C22D72" w:rsidRPr="00C22D72" w:rsidRDefault="00C22D72" w:rsidP="00C22D72">
      <w:pPr>
        <w:spacing w:before="120" w:after="120" w:line="480" w:lineRule="auto"/>
        <w:rPr>
          <w:rFonts w:cs="Arial"/>
          <w:sz w:val="24"/>
          <w:szCs w:val="24"/>
          <w:lang w:val="en"/>
        </w:rPr>
      </w:pPr>
      <w:r w:rsidRPr="00763F80">
        <w:rPr>
          <w:rFonts w:cs="Arial"/>
          <w:sz w:val="24"/>
          <w:szCs w:val="24"/>
          <w:lang w:val="de-DE"/>
        </w:rPr>
        <w:t xml:space="preserve">Genschel, P. </w:t>
      </w:r>
      <w:r w:rsidR="00983A5B" w:rsidRPr="00763F80">
        <w:rPr>
          <w:rFonts w:cs="Arial"/>
          <w:sz w:val="24"/>
          <w:szCs w:val="24"/>
          <w:lang w:val="de-DE"/>
        </w:rPr>
        <w:t xml:space="preserve">and </w:t>
      </w:r>
      <w:r w:rsidRPr="00763F80">
        <w:rPr>
          <w:rFonts w:cs="Arial"/>
          <w:sz w:val="24"/>
          <w:szCs w:val="24"/>
          <w:lang w:val="de-DE"/>
        </w:rPr>
        <w:t>M. Jachtenfuchs (</w:t>
      </w:r>
      <w:r w:rsidR="00983A5B" w:rsidRPr="00763F80">
        <w:rPr>
          <w:rFonts w:cs="Arial"/>
          <w:sz w:val="24"/>
          <w:szCs w:val="24"/>
          <w:lang w:val="de-DE"/>
        </w:rPr>
        <w:t>eds</w:t>
      </w:r>
      <w:r w:rsidRPr="00763F80">
        <w:rPr>
          <w:rFonts w:cs="Arial"/>
          <w:sz w:val="24"/>
          <w:szCs w:val="24"/>
          <w:lang w:val="de-DE"/>
        </w:rPr>
        <w:t xml:space="preserve">.) </w:t>
      </w:r>
      <w:r w:rsidRPr="00C22D72">
        <w:rPr>
          <w:rFonts w:cs="Arial"/>
          <w:sz w:val="24"/>
          <w:szCs w:val="24"/>
          <w:lang w:val="en"/>
        </w:rPr>
        <w:t>(2014)</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Beyond the Regulatory Polity?</w:t>
      </w:r>
      <w:r w:rsidR="00983A5B">
        <w:rPr>
          <w:rFonts w:cs="Arial"/>
          <w:i/>
          <w:sz w:val="24"/>
          <w:szCs w:val="24"/>
          <w:lang w:val="en"/>
        </w:rPr>
        <w:t>,</w:t>
      </w:r>
      <w:r w:rsidRPr="00C22D72">
        <w:rPr>
          <w:rFonts w:cs="Arial"/>
          <w:sz w:val="24"/>
          <w:szCs w:val="24"/>
          <w:lang w:val="en"/>
        </w:rPr>
        <w:t xml:space="preserve"> Oxford: Oxford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Gornitzka, Å.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U. Sverdrup (201</w:t>
      </w:r>
      <w:r w:rsidR="00763F80">
        <w:rPr>
          <w:rFonts w:cs="Arial"/>
          <w:sz w:val="24"/>
          <w:szCs w:val="24"/>
          <w:lang w:val="en"/>
        </w:rPr>
        <w:t>5</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‘The </w:t>
      </w:r>
      <w:r w:rsidR="00983A5B">
        <w:rPr>
          <w:rFonts w:cs="Arial"/>
          <w:sz w:val="24"/>
          <w:szCs w:val="24"/>
          <w:lang w:val="en"/>
        </w:rPr>
        <w:t>e</w:t>
      </w:r>
      <w:r w:rsidRPr="00C22D72">
        <w:rPr>
          <w:rFonts w:cs="Arial"/>
          <w:sz w:val="24"/>
          <w:szCs w:val="24"/>
          <w:lang w:val="en"/>
        </w:rPr>
        <w:t>xpert-</w:t>
      </w:r>
      <w:r w:rsidR="00983A5B">
        <w:rPr>
          <w:rFonts w:cs="Arial"/>
          <w:sz w:val="24"/>
          <w:szCs w:val="24"/>
          <w:lang w:val="en"/>
        </w:rPr>
        <w:t>e</w:t>
      </w:r>
      <w:r w:rsidRPr="00C22D72">
        <w:rPr>
          <w:rFonts w:cs="Arial"/>
          <w:sz w:val="24"/>
          <w:szCs w:val="24"/>
          <w:lang w:val="en"/>
        </w:rPr>
        <w:t xml:space="preserve">xecutive </w:t>
      </w:r>
      <w:r w:rsidR="00983A5B">
        <w:rPr>
          <w:rFonts w:cs="Arial"/>
          <w:sz w:val="24"/>
          <w:szCs w:val="24"/>
          <w:lang w:val="en"/>
        </w:rPr>
        <w:t>n</w:t>
      </w:r>
      <w:r w:rsidRPr="00C22D72">
        <w:rPr>
          <w:rFonts w:cs="Arial"/>
          <w:sz w:val="24"/>
          <w:szCs w:val="24"/>
          <w:lang w:val="en"/>
        </w:rPr>
        <w:t xml:space="preserve">exus in the European </w:t>
      </w:r>
      <w:r w:rsidR="00983A5B">
        <w:rPr>
          <w:rFonts w:cs="Arial"/>
          <w:sz w:val="24"/>
          <w:szCs w:val="24"/>
          <w:lang w:val="en"/>
        </w:rPr>
        <w:t>a</w:t>
      </w:r>
      <w:r w:rsidRPr="00C22D72">
        <w:rPr>
          <w:rFonts w:cs="Arial"/>
          <w:sz w:val="24"/>
          <w:szCs w:val="24"/>
          <w:lang w:val="en"/>
        </w:rPr>
        <w:t xml:space="preserve">dministrative </w:t>
      </w:r>
      <w:r w:rsidR="00983A5B">
        <w:rPr>
          <w:rFonts w:cs="Arial"/>
          <w:sz w:val="24"/>
          <w:szCs w:val="24"/>
          <w:lang w:val="en"/>
        </w:rPr>
        <w:t>s</w:t>
      </w:r>
      <w:r w:rsidRPr="00C22D72">
        <w:rPr>
          <w:rFonts w:cs="Arial"/>
          <w:sz w:val="24"/>
          <w:szCs w:val="24"/>
          <w:lang w:val="en"/>
        </w:rPr>
        <w:t xml:space="preserve">ystem: Expert </w:t>
      </w:r>
      <w:r w:rsidR="00983A5B">
        <w:rPr>
          <w:rFonts w:cs="Arial"/>
          <w:sz w:val="24"/>
          <w:szCs w:val="24"/>
          <w:lang w:val="en"/>
        </w:rPr>
        <w:t>g</w:t>
      </w:r>
      <w:r w:rsidRPr="00C22D72">
        <w:rPr>
          <w:rFonts w:cs="Arial"/>
          <w:sz w:val="24"/>
          <w:szCs w:val="24"/>
          <w:lang w:val="en"/>
        </w:rPr>
        <w:t>roups and the European Commission’, i</w:t>
      </w:r>
      <w:r w:rsidR="00983A5B">
        <w:rPr>
          <w:rFonts w:cs="Arial"/>
          <w:sz w:val="24"/>
          <w:szCs w:val="24"/>
          <w:lang w:val="en"/>
        </w:rPr>
        <w:t>n</w:t>
      </w:r>
      <w:r w:rsidRPr="00C22D72">
        <w:rPr>
          <w:rFonts w:cs="Arial"/>
          <w:sz w:val="24"/>
          <w:szCs w:val="24"/>
          <w:lang w:val="en"/>
        </w:rPr>
        <w:t xml:space="preserve"> M.W. Bauer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J. Trondal (</w:t>
      </w:r>
      <w:r w:rsidR="00983A5B">
        <w:rPr>
          <w:rFonts w:cs="Arial"/>
          <w:sz w:val="24"/>
          <w:szCs w:val="24"/>
          <w:lang w:val="en"/>
        </w:rPr>
        <w:t>eds</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Palgrave Handbook of the European Administrative System</w:t>
      </w:r>
      <w:r w:rsidR="00031CBC">
        <w:rPr>
          <w:rFonts w:cs="Arial"/>
          <w:sz w:val="24"/>
          <w:szCs w:val="24"/>
          <w:lang w:val="en"/>
        </w:rPr>
        <w:t>,</w:t>
      </w:r>
      <w:r w:rsidRPr="00C22D72">
        <w:rPr>
          <w:rFonts w:cs="Arial"/>
          <w:sz w:val="24"/>
          <w:szCs w:val="24"/>
          <w:lang w:val="en"/>
        </w:rPr>
        <w:t xml:space="preserve"> Houndmills: Palgrave Macmillan.</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Groenleer, M. (2009)</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autonomy of European Union agencies</w:t>
      </w:r>
      <w:r w:rsidR="00031CBC">
        <w:rPr>
          <w:rFonts w:cs="Arial"/>
          <w:sz w:val="24"/>
          <w:szCs w:val="24"/>
          <w:lang w:val="en"/>
        </w:rPr>
        <w:t>,</w:t>
      </w:r>
      <w:r w:rsidRPr="00C22D72">
        <w:rPr>
          <w:rFonts w:cs="Arial"/>
          <w:sz w:val="24"/>
          <w:szCs w:val="24"/>
          <w:lang w:val="en"/>
        </w:rPr>
        <w:t xml:space="preserve"> Delft: Eburon.</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Gulbrandsen, C. (2012)</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Europeanization in a global context. A study of a national maritime safety agency's work with global and European rules</w:t>
      </w:r>
      <w:r w:rsidR="00031CBC">
        <w:rPr>
          <w:rFonts w:cs="Arial"/>
          <w:sz w:val="24"/>
          <w:szCs w:val="24"/>
          <w:lang w:val="en"/>
        </w:rPr>
        <w:t>,</w:t>
      </w:r>
      <w:r w:rsidRPr="00C22D72">
        <w:rPr>
          <w:rFonts w:cs="Arial"/>
          <w:sz w:val="24"/>
          <w:szCs w:val="24"/>
          <w:lang w:val="en"/>
        </w:rPr>
        <w:t xml:space="preserve"> PhD </w:t>
      </w:r>
      <w:r w:rsidR="00983A5B">
        <w:rPr>
          <w:rFonts w:cs="Arial"/>
          <w:sz w:val="24"/>
          <w:szCs w:val="24"/>
          <w:lang w:val="en"/>
        </w:rPr>
        <w:t>Thesis</w:t>
      </w:r>
      <w:r w:rsidRPr="00C22D72">
        <w:rPr>
          <w:rFonts w:cs="Arial"/>
          <w:sz w:val="24"/>
          <w:szCs w:val="24"/>
          <w:lang w:val="en"/>
        </w:rPr>
        <w:t>. University of Oslo.</w:t>
      </w:r>
    </w:p>
    <w:p w:rsidR="00E24A0B" w:rsidRPr="00754EB1" w:rsidRDefault="00E24A0B" w:rsidP="00E24A0B">
      <w:pPr>
        <w:spacing w:before="120" w:after="120" w:line="480" w:lineRule="auto"/>
        <w:rPr>
          <w:rFonts w:cs="Arial"/>
          <w:sz w:val="24"/>
          <w:szCs w:val="24"/>
          <w:lang w:val="en"/>
        </w:rPr>
      </w:pPr>
      <w:r>
        <w:rPr>
          <w:rFonts w:cs="Arial"/>
          <w:sz w:val="24"/>
          <w:szCs w:val="24"/>
          <w:lang w:val="en"/>
        </w:rPr>
        <w:t>Haas, E.B. (1958)</w:t>
      </w:r>
      <w:r w:rsidR="00031CBC">
        <w:rPr>
          <w:rFonts w:cs="Arial"/>
          <w:sz w:val="24"/>
          <w:szCs w:val="24"/>
          <w:lang w:val="en"/>
        </w:rPr>
        <w:t>,</w:t>
      </w:r>
      <w:r>
        <w:rPr>
          <w:rFonts w:cs="Arial"/>
          <w:sz w:val="24"/>
          <w:szCs w:val="24"/>
          <w:lang w:val="en"/>
        </w:rPr>
        <w:t xml:space="preserve"> </w:t>
      </w:r>
      <w:r w:rsidRPr="00054D65">
        <w:rPr>
          <w:rFonts w:cs="Arial"/>
          <w:i/>
          <w:sz w:val="24"/>
          <w:szCs w:val="24"/>
          <w:lang w:val="en"/>
        </w:rPr>
        <w:t>The Uniting of Europe</w:t>
      </w:r>
      <w:r w:rsidR="00031CBC">
        <w:rPr>
          <w:rFonts w:cs="Arial"/>
          <w:sz w:val="24"/>
          <w:szCs w:val="24"/>
          <w:lang w:val="en"/>
        </w:rPr>
        <w:t>,</w:t>
      </w:r>
      <w:r>
        <w:rPr>
          <w:rFonts w:cs="Arial"/>
          <w:sz w:val="24"/>
          <w:szCs w:val="24"/>
          <w:lang w:val="en"/>
        </w:rPr>
        <w:t xml:space="preserve"> Indiana: Notre Dame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Hartlapp, M. (201</w:t>
      </w:r>
      <w:r w:rsidR="00763F80">
        <w:rPr>
          <w:rFonts w:cs="Arial"/>
          <w:sz w:val="24"/>
          <w:szCs w:val="24"/>
          <w:lang w:val="en"/>
        </w:rPr>
        <w:t>5</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‘Politicization of the European Commission: When, </w:t>
      </w:r>
      <w:r w:rsidR="00983A5B">
        <w:rPr>
          <w:rFonts w:cs="Arial"/>
          <w:sz w:val="24"/>
          <w:szCs w:val="24"/>
          <w:lang w:val="en"/>
        </w:rPr>
        <w:t>h</w:t>
      </w:r>
      <w:r w:rsidRPr="00C22D72">
        <w:rPr>
          <w:rFonts w:cs="Arial"/>
          <w:sz w:val="24"/>
          <w:szCs w:val="24"/>
          <w:lang w:val="en"/>
        </w:rPr>
        <w:t xml:space="preserve">ow and </w:t>
      </w:r>
      <w:r w:rsidR="00983A5B">
        <w:rPr>
          <w:rFonts w:cs="Arial"/>
          <w:sz w:val="24"/>
          <w:szCs w:val="24"/>
          <w:lang w:val="en"/>
        </w:rPr>
        <w:t>w</w:t>
      </w:r>
      <w:r w:rsidRPr="00C22D72">
        <w:rPr>
          <w:rFonts w:cs="Arial"/>
          <w:sz w:val="24"/>
          <w:szCs w:val="24"/>
          <w:lang w:val="en"/>
        </w:rPr>
        <w:t xml:space="preserve">ith </w:t>
      </w:r>
      <w:r w:rsidR="00983A5B">
        <w:rPr>
          <w:rFonts w:cs="Arial"/>
          <w:sz w:val="24"/>
          <w:szCs w:val="24"/>
          <w:lang w:val="en"/>
        </w:rPr>
        <w:t>w</w:t>
      </w:r>
      <w:r w:rsidRPr="00C22D72">
        <w:rPr>
          <w:rFonts w:cs="Arial"/>
          <w:sz w:val="24"/>
          <w:szCs w:val="24"/>
          <w:lang w:val="en"/>
        </w:rPr>
        <w:t xml:space="preserve">hat </w:t>
      </w:r>
      <w:r w:rsidR="00983A5B">
        <w:rPr>
          <w:rFonts w:cs="Arial"/>
          <w:sz w:val="24"/>
          <w:szCs w:val="24"/>
          <w:lang w:val="en"/>
        </w:rPr>
        <w:t>i</w:t>
      </w:r>
      <w:r w:rsidRPr="00C22D72">
        <w:rPr>
          <w:rFonts w:cs="Arial"/>
          <w:sz w:val="24"/>
          <w:szCs w:val="24"/>
          <w:lang w:val="en"/>
        </w:rPr>
        <w:t>mpact?’, i</w:t>
      </w:r>
      <w:r w:rsidR="00983A5B">
        <w:rPr>
          <w:rFonts w:cs="Arial"/>
          <w:sz w:val="24"/>
          <w:szCs w:val="24"/>
          <w:lang w:val="en"/>
        </w:rPr>
        <w:t>n</w:t>
      </w:r>
      <w:r w:rsidRPr="00C22D72">
        <w:rPr>
          <w:rFonts w:cs="Arial"/>
          <w:sz w:val="24"/>
          <w:szCs w:val="24"/>
          <w:lang w:val="en"/>
        </w:rPr>
        <w:t xml:space="preserve"> M.W. Bauer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J. Trondal (</w:t>
      </w:r>
      <w:r w:rsidR="00983A5B">
        <w:rPr>
          <w:rFonts w:cs="Arial"/>
          <w:sz w:val="24"/>
          <w:szCs w:val="24"/>
          <w:lang w:val="en"/>
        </w:rPr>
        <w:t>eds</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Palgrave Handbook of the European Administrative System</w:t>
      </w:r>
      <w:r w:rsidR="00031CBC">
        <w:rPr>
          <w:rFonts w:cs="Arial"/>
          <w:sz w:val="24"/>
          <w:szCs w:val="24"/>
          <w:lang w:val="en"/>
        </w:rPr>
        <w:t>,</w:t>
      </w:r>
      <w:r w:rsidRPr="00C22D72">
        <w:rPr>
          <w:rFonts w:cs="Arial"/>
          <w:sz w:val="24"/>
          <w:szCs w:val="24"/>
          <w:lang w:val="en"/>
        </w:rPr>
        <w:t xml:space="preserve"> Houndmills: Palgrave Macmillan.</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Hartlapp, M., J. Metz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C. Rauh (2010)</w:t>
      </w:r>
      <w:r w:rsidR="00031CBC">
        <w:rPr>
          <w:rFonts w:cs="Arial"/>
          <w:sz w:val="24"/>
          <w:szCs w:val="24"/>
          <w:lang w:val="en"/>
        </w:rPr>
        <w:t>,</w:t>
      </w:r>
      <w:r w:rsidRPr="00C22D72">
        <w:rPr>
          <w:rFonts w:cs="Arial"/>
          <w:sz w:val="24"/>
          <w:szCs w:val="24"/>
          <w:lang w:val="en"/>
        </w:rPr>
        <w:t xml:space="preserve"> ‘The agenda set by the EU Commission: the result of balanced or biased aggregation of positions?’, LEQS paper 21/2010.</w:t>
      </w:r>
    </w:p>
    <w:p w:rsidR="00C22D72" w:rsidRDefault="00C22D72" w:rsidP="00C22D72">
      <w:pPr>
        <w:spacing w:before="120" w:after="120" w:line="480" w:lineRule="auto"/>
        <w:rPr>
          <w:rFonts w:cs="Arial"/>
          <w:sz w:val="24"/>
          <w:szCs w:val="24"/>
          <w:lang w:val="en"/>
        </w:rPr>
      </w:pPr>
      <w:r w:rsidRPr="00C22D72">
        <w:rPr>
          <w:rFonts w:cs="Arial"/>
          <w:sz w:val="24"/>
          <w:szCs w:val="24"/>
          <w:lang w:val="en"/>
        </w:rPr>
        <w:t xml:space="preserve">Hartlapp, M., J. Metz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C. Rauh (2012)</w:t>
      </w:r>
      <w:r w:rsidR="00031CBC">
        <w:rPr>
          <w:rFonts w:cs="Arial"/>
          <w:sz w:val="24"/>
          <w:szCs w:val="24"/>
          <w:lang w:val="en"/>
        </w:rPr>
        <w:t>,</w:t>
      </w:r>
      <w:r w:rsidRPr="00C22D72">
        <w:rPr>
          <w:rFonts w:cs="Arial"/>
          <w:sz w:val="24"/>
          <w:szCs w:val="24"/>
          <w:lang w:val="en"/>
        </w:rPr>
        <w:t xml:space="preserve"> ‘Which policy for Europe? Power and conflict over position formation inside the European Commission’, paper </w:t>
      </w:r>
      <w:r w:rsidR="00983A5B">
        <w:rPr>
          <w:rFonts w:cs="Arial"/>
          <w:sz w:val="24"/>
          <w:szCs w:val="24"/>
          <w:lang w:val="en"/>
        </w:rPr>
        <w:t>presented at the workshop</w:t>
      </w:r>
      <w:r w:rsidRPr="00C22D72">
        <w:rPr>
          <w:rFonts w:cs="Arial"/>
          <w:sz w:val="24"/>
          <w:szCs w:val="24"/>
          <w:lang w:val="en"/>
        </w:rPr>
        <w:t xml:space="preserve"> ‘The transformation of the executive branch of government in Europe’, 14–15 </w:t>
      </w:r>
      <w:r w:rsidR="00983A5B">
        <w:rPr>
          <w:rFonts w:cs="Arial"/>
          <w:sz w:val="24"/>
          <w:szCs w:val="24"/>
          <w:lang w:val="en"/>
        </w:rPr>
        <w:t>June</w:t>
      </w:r>
      <w:r w:rsidRPr="00C22D72">
        <w:rPr>
          <w:rFonts w:cs="Arial"/>
          <w:sz w:val="24"/>
          <w:szCs w:val="24"/>
          <w:lang w:val="en"/>
        </w:rPr>
        <w:t>, ARENA, University of Oslo.</w:t>
      </w:r>
    </w:p>
    <w:p w:rsidR="00D0186D" w:rsidRPr="00D0186D" w:rsidRDefault="00D0186D" w:rsidP="00C22D72">
      <w:pPr>
        <w:spacing w:before="120" w:after="120" w:line="480" w:lineRule="auto"/>
        <w:rPr>
          <w:rFonts w:cs="Arial"/>
          <w:sz w:val="24"/>
          <w:szCs w:val="24"/>
        </w:rPr>
      </w:pPr>
      <w:r w:rsidRPr="00D0186D">
        <w:rPr>
          <w:rFonts w:cs="Arial"/>
          <w:sz w:val="24"/>
          <w:szCs w:val="24"/>
        </w:rPr>
        <w:lastRenderedPageBreak/>
        <w:t>Hartlapp, M., J.; J. Metz and C. Rauh (2014)</w:t>
      </w:r>
      <w:r w:rsidR="00031CBC">
        <w:rPr>
          <w:rFonts w:cs="Arial"/>
          <w:sz w:val="24"/>
          <w:szCs w:val="24"/>
        </w:rPr>
        <w:t>,</w:t>
      </w:r>
      <w:r w:rsidRPr="00D0186D">
        <w:rPr>
          <w:rFonts w:cs="Arial"/>
          <w:sz w:val="24"/>
          <w:szCs w:val="24"/>
        </w:rPr>
        <w:t xml:space="preserve"> </w:t>
      </w:r>
      <w:r w:rsidRPr="00D0186D">
        <w:rPr>
          <w:rFonts w:cs="Arial"/>
          <w:i/>
          <w:sz w:val="24"/>
          <w:szCs w:val="24"/>
        </w:rPr>
        <w:t>Which Policy for Europe?</w:t>
      </w:r>
      <w:r w:rsidR="00031CBC">
        <w:rPr>
          <w:rFonts w:cs="Arial"/>
          <w:i/>
          <w:sz w:val="24"/>
          <w:szCs w:val="24"/>
        </w:rPr>
        <w:t>,</w:t>
      </w:r>
      <w:r w:rsidRPr="00D0186D">
        <w:rPr>
          <w:rFonts w:cs="Arial"/>
          <w:sz w:val="24"/>
          <w:szCs w:val="24"/>
        </w:rPr>
        <w:t xml:space="preserve"> </w:t>
      </w:r>
      <w:r>
        <w:rPr>
          <w:rFonts w:cs="Arial"/>
          <w:sz w:val="24"/>
          <w:szCs w:val="24"/>
        </w:rPr>
        <w:t>Oxford: Oxford University Press.</w:t>
      </w:r>
    </w:p>
    <w:p w:rsidR="00C22D72" w:rsidRPr="00C22D72" w:rsidRDefault="00C22D72" w:rsidP="00C22D72">
      <w:pPr>
        <w:spacing w:before="120" w:after="120" w:line="480" w:lineRule="auto"/>
        <w:rPr>
          <w:rFonts w:cs="Arial"/>
          <w:sz w:val="24"/>
          <w:szCs w:val="24"/>
          <w:lang w:val="en"/>
        </w:rPr>
      </w:pPr>
      <w:r w:rsidRPr="00031CBC">
        <w:rPr>
          <w:rFonts w:cs="Arial"/>
          <w:sz w:val="24"/>
          <w:szCs w:val="24"/>
        </w:rPr>
        <w:t xml:space="preserve">Hawkins, D. G. </w:t>
      </w:r>
      <w:r w:rsidR="00983A5B" w:rsidRPr="00031CBC">
        <w:rPr>
          <w:rFonts w:cs="Arial"/>
          <w:sz w:val="24"/>
          <w:szCs w:val="24"/>
        </w:rPr>
        <w:t>et al.</w:t>
      </w:r>
      <w:r w:rsidRPr="00031CBC">
        <w:rPr>
          <w:rFonts w:cs="Arial"/>
          <w:sz w:val="24"/>
          <w:szCs w:val="24"/>
        </w:rPr>
        <w:t xml:space="preserve"> </w:t>
      </w:r>
      <w:r w:rsidRPr="00C22D72">
        <w:rPr>
          <w:rFonts w:cs="Arial"/>
          <w:sz w:val="24"/>
          <w:szCs w:val="24"/>
          <w:lang w:val="en"/>
        </w:rPr>
        <w:t>(</w:t>
      </w:r>
      <w:r w:rsidR="00983A5B">
        <w:rPr>
          <w:rFonts w:cs="Arial"/>
          <w:sz w:val="24"/>
          <w:szCs w:val="24"/>
          <w:lang w:val="en"/>
        </w:rPr>
        <w:t>eds</w:t>
      </w:r>
      <w:r w:rsidRPr="00C22D72">
        <w:rPr>
          <w:rFonts w:cs="Arial"/>
          <w:sz w:val="24"/>
          <w:szCs w:val="24"/>
          <w:lang w:val="en"/>
        </w:rPr>
        <w:t>.) (2006)</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Delegation and Agency in International Organizations</w:t>
      </w:r>
      <w:r w:rsidR="00031CBC">
        <w:rPr>
          <w:rFonts w:cs="Arial"/>
          <w:sz w:val="24"/>
          <w:szCs w:val="24"/>
          <w:lang w:val="en"/>
        </w:rPr>
        <w:t>,</w:t>
      </w:r>
      <w:r w:rsidRPr="00C22D72">
        <w:rPr>
          <w:rFonts w:cs="Arial"/>
          <w:sz w:val="24"/>
          <w:szCs w:val="24"/>
          <w:lang w:val="en"/>
        </w:rPr>
        <w:t xml:space="preserve"> Cambridge: Cambridge University Press.</w:t>
      </w:r>
    </w:p>
    <w:p w:rsidR="00C22D72" w:rsidRDefault="00C22D72" w:rsidP="00C22D72">
      <w:pPr>
        <w:spacing w:before="120" w:after="120" w:line="480" w:lineRule="auto"/>
        <w:rPr>
          <w:rFonts w:cs="Arial"/>
          <w:sz w:val="24"/>
          <w:szCs w:val="24"/>
          <w:lang w:val="en"/>
        </w:rPr>
      </w:pPr>
      <w:r w:rsidRPr="00F27AB9">
        <w:rPr>
          <w:rFonts w:cs="Arial"/>
          <w:sz w:val="24"/>
          <w:szCs w:val="24"/>
          <w:lang w:val="en"/>
        </w:rPr>
        <w:t>Heidbreder, E.G (2011)</w:t>
      </w:r>
      <w:r w:rsidR="00031CBC">
        <w:rPr>
          <w:rFonts w:cs="Arial"/>
          <w:sz w:val="24"/>
          <w:szCs w:val="24"/>
          <w:lang w:val="en"/>
        </w:rPr>
        <w:t>,</w:t>
      </w:r>
      <w:r w:rsidRPr="00F27AB9">
        <w:rPr>
          <w:rFonts w:cs="Arial"/>
          <w:sz w:val="24"/>
          <w:szCs w:val="24"/>
          <w:lang w:val="en"/>
        </w:rPr>
        <w:t xml:space="preserve"> ’Structuring the European administrative space: policy instruments of multi-level administration’, </w:t>
      </w:r>
      <w:r w:rsidRPr="00F27AB9">
        <w:rPr>
          <w:rFonts w:cs="Arial"/>
          <w:i/>
          <w:sz w:val="24"/>
          <w:szCs w:val="24"/>
          <w:lang w:val="en"/>
        </w:rPr>
        <w:t>Journal of European Public Policy</w:t>
      </w:r>
      <w:r w:rsidRPr="00F27AB9">
        <w:rPr>
          <w:rFonts w:cs="Arial"/>
          <w:sz w:val="24"/>
          <w:szCs w:val="24"/>
          <w:lang w:val="en"/>
        </w:rPr>
        <w:t xml:space="preserve"> 18(5): 709-27.</w:t>
      </w:r>
    </w:p>
    <w:p w:rsidR="00C22D72" w:rsidRPr="00F27AB9" w:rsidRDefault="00C22D72" w:rsidP="00C22D72">
      <w:pPr>
        <w:spacing w:before="120" w:after="120" w:line="480" w:lineRule="auto"/>
        <w:rPr>
          <w:rFonts w:cs="Arial"/>
          <w:sz w:val="24"/>
          <w:szCs w:val="24"/>
          <w:lang w:val="en"/>
        </w:rPr>
      </w:pPr>
      <w:r>
        <w:rPr>
          <w:rFonts w:cs="Arial"/>
          <w:sz w:val="24"/>
          <w:szCs w:val="24"/>
          <w:lang w:val="en"/>
        </w:rPr>
        <w:t>Heidbreder, E.G. (201</w:t>
      </w:r>
      <w:r w:rsidR="00763F80">
        <w:rPr>
          <w:rFonts w:cs="Arial"/>
          <w:sz w:val="24"/>
          <w:szCs w:val="24"/>
          <w:lang w:val="en"/>
        </w:rPr>
        <w:t>5</w:t>
      </w:r>
      <w:r>
        <w:rPr>
          <w:rFonts w:cs="Arial"/>
          <w:sz w:val="24"/>
          <w:szCs w:val="24"/>
          <w:lang w:val="en"/>
        </w:rPr>
        <w:t>)</w:t>
      </w:r>
      <w:r w:rsidR="00031CBC">
        <w:rPr>
          <w:rFonts w:cs="Arial"/>
          <w:sz w:val="24"/>
          <w:szCs w:val="24"/>
          <w:lang w:val="en"/>
        </w:rPr>
        <w:t>,</w:t>
      </w:r>
      <w:r>
        <w:rPr>
          <w:rFonts w:cs="Arial"/>
          <w:sz w:val="24"/>
          <w:szCs w:val="24"/>
          <w:lang w:val="en"/>
        </w:rPr>
        <w:t xml:space="preserve"> ‘</w:t>
      </w:r>
      <w:r w:rsidRPr="00C22D72">
        <w:rPr>
          <w:rFonts w:cs="Arial"/>
          <w:sz w:val="24"/>
          <w:szCs w:val="24"/>
          <w:lang w:val="en"/>
        </w:rPr>
        <w:t xml:space="preserve">Horizontal </w:t>
      </w:r>
      <w:r>
        <w:rPr>
          <w:rFonts w:cs="Arial"/>
          <w:sz w:val="24"/>
          <w:szCs w:val="24"/>
          <w:lang w:val="en"/>
        </w:rPr>
        <w:t>c</w:t>
      </w:r>
      <w:r w:rsidRPr="00C22D72">
        <w:rPr>
          <w:rFonts w:cs="Arial"/>
          <w:sz w:val="24"/>
          <w:szCs w:val="24"/>
          <w:lang w:val="en"/>
        </w:rPr>
        <w:t xml:space="preserve">apacity </w:t>
      </w:r>
      <w:r>
        <w:rPr>
          <w:rFonts w:cs="Arial"/>
          <w:sz w:val="24"/>
          <w:szCs w:val="24"/>
          <w:lang w:val="en"/>
        </w:rPr>
        <w:t>p</w:t>
      </w:r>
      <w:r w:rsidRPr="00C22D72">
        <w:rPr>
          <w:rFonts w:cs="Arial"/>
          <w:sz w:val="24"/>
          <w:szCs w:val="24"/>
          <w:lang w:val="en"/>
        </w:rPr>
        <w:t xml:space="preserve">ooling: Direct, </w:t>
      </w:r>
      <w:r>
        <w:rPr>
          <w:rFonts w:cs="Arial"/>
          <w:sz w:val="24"/>
          <w:szCs w:val="24"/>
          <w:lang w:val="en"/>
        </w:rPr>
        <w:t>d</w:t>
      </w:r>
      <w:r w:rsidRPr="00C22D72">
        <w:rPr>
          <w:rFonts w:cs="Arial"/>
          <w:sz w:val="24"/>
          <w:szCs w:val="24"/>
          <w:lang w:val="en"/>
        </w:rPr>
        <w:t xml:space="preserve">ecentralized, </w:t>
      </w:r>
      <w:r>
        <w:rPr>
          <w:rFonts w:cs="Arial"/>
          <w:sz w:val="24"/>
          <w:szCs w:val="24"/>
          <w:lang w:val="en"/>
        </w:rPr>
        <w:t>j</w:t>
      </w:r>
      <w:r w:rsidRPr="00C22D72">
        <w:rPr>
          <w:rFonts w:cs="Arial"/>
          <w:sz w:val="24"/>
          <w:szCs w:val="24"/>
          <w:lang w:val="en"/>
        </w:rPr>
        <w:t xml:space="preserve">oint </w:t>
      </w:r>
      <w:r>
        <w:rPr>
          <w:rFonts w:cs="Arial"/>
          <w:sz w:val="24"/>
          <w:szCs w:val="24"/>
          <w:lang w:val="en"/>
        </w:rPr>
        <w:t>p</w:t>
      </w:r>
      <w:r w:rsidRPr="00C22D72">
        <w:rPr>
          <w:rFonts w:cs="Arial"/>
          <w:sz w:val="24"/>
          <w:szCs w:val="24"/>
          <w:lang w:val="en"/>
        </w:rPr>
        <w:t xml:space="preserve">olicy </w:t>
      </w:r>
      <w:r>
        <w:rPr>
          <w:rFonts w:cs="Arial"/>
          <w:sz w:val="24"/>
          <w:szCs w:val="24"/>
          <w:lang w:val="en"/>
        </w:rPr>
        <w:t>e</w:t>
      </w:r>
      <w:r w:rsidRPr="00C22D72">
        <w:rPr>
          <w:rFonts w:cs="Arial"/>
          <w:sz w:val="24"/>
          <w:szCs w:val="24"/>
          <w:lang w:val="en"/>
        </w:rPr>
        <w:t>xecution</w:t>
      </w:r>
      <w:r>
        <w:rPr>
          <w:rFonts w:cs="Arial"/>
          <w:sz w:val="24"/>
          <w:szCs w:val="24"/>
          <w:lang w:val="en"/>
        </w:rPr>
        <w:t>’, in M.W. Bauer and J. Trondal (eds.)</w:t>
      </w:r>
      <w:r w:rsidR="00031CBC">
        <w:rPr>
          <w:rFonts w:cs="Arial"/>
          <w:sz w:val="24"/>
          <w:szCs w:val="24"/>
          <w:lang w:val="en"/>
        </w:rPr>
        <w:t>,</w:t>
      </w:r>
      <w:r>
        <w:rPr>
          <w:rFonts w:cs="Arial"/>
          <w:sz w:val="24"/>
          <w:szCs w:val="24"/>
          <w:lang w:val="en"/>
        </w:rPr>
        <w:t xml:space="preserve"> </w:t>
      </w:r>
      <w:r w:rsidRPr="003B5FEC">
        <w:rPr>
          <w:rFonts w:cs="Arial"/>
          <w:i/>
          <w:sz w:val="24"/>
          <w:szCs w:val="24"/>
          <w:lang w:val="en"/>
        </w:rPr>
        <w:t>The Palgrave Handbook on the European Administrative System</w:t>
      </w:r>
      <w:r w:rsidR="00031CBC">
        <w:rPr>
          <w:rFonts w:cs="Arial"/>
          <w:sz w:val="24"/>
          <w:szCs w:val="24"/>
          <w:lang w:val="en"/>
        </w:rPr>
        <w:t>,</w:t>
      </w:r>
      <w:r w:rsidRPr="00F27AB9">
        <w:rPr>
          <w:rFonts w:cs="Arial"/>
          <w:sz w:val="24"/>
          <w:szCs w:val="24"/>
          <w:lang w:val="en"/>
        </w:rPr>
        <w:t xml:space="preserve"> Houndmills: Palgrave Macmillan.</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Hix, S. (2002)</w:t>
      </w:r>
      <w:r w:rsidR="00031CBC">
        <w:rPr>
          <w:rFonts w:cs="Arial"/>
          <w:sz w:val="24"/>
          <w:szCs w:val="24"/>
          <w:lang w:val="en"/>
        </w:rPr>
        <w:t>,</w:t>
      </w:r>
      <w:r w:rsidRPr="00C22D72">
        <w:rPr>
          <w:rFonts w:cs="Arial"/>
          <w:sz w:val="24"/>
          <w:szCs w:val="24"/>
          <w:lang w:val="en"/>
        </w:rPr>
        <w:t xml:space="preserve"> ‘Parliamentary </w:t>
      </w:r>
      <w:r w:rsidR="00983A5B">
        <w:rPr>
          <w:rFonts w:cs="Arial"/>
          <w:sz w:val="24"/>
          <w:szCs w:val="24"/>
          <w:lang w:val="en"/>
        </w:rPr>
        <w:t>b</w:t>
      </w:r>
      <w:r w:rsidRPr="00C22D72">
        <w:rPr>
          <w:rFonts w:cs="Arial"/>
          <w:sz w:val="24"/>
          <w:szCs w:val="24"/>
          <w:lang w:val="en"/>
        </w:rPr>
        <w:t xml:space="preserve">ehavior with </w:t>
      </w:r>
      <w:r w:rsidR="00983A5B">
        <w:rPr>
          <w:rFonts w:cs="Arial"/>
          <w:sz w:val="24"/>
          <w:szCs w:val="24"/>
          <w:lang w:val="en"/>
        </w:rPr>
        <w:t>t</w:t>
      </w:r>
      <w:r w:rsidRPr="00C22D72">
        <w:rPr>
          <w:rFonts w:cs="Arial"/>
          <w:sz w:val="24"/>
          <w:szCs w:val="24"/>
          <w:lang w:val="en"/>
        </w:rPr>
        <w:t xml:space="preserve">wo </w:t>
      </w:r>
      <w:r w:rsidR="00983A5B">
        <w:rPr>
          <w:rFonts w:cs="Arial"/>
          <w:sz w:val="24"/>
          <w:szCs w:val="24"/>
          <w:lang w:val="en"/>
        </w:rPr>
        <w:t>p</w:t>
      </w:r>
      <w:r w:rsidRPr="00C22D72">
        <w:rPr>
          <w:rFonts w:cs="Arial"/>
          <w:sz w:val="24"/>
          <w:szCs w:val="24"/>
          <w:lang w:val="en"/>
        </w:rPr>
        <w:t xml:space="preserve">rincipals: Preferences, </w:t>
      </w:r>
      <w:r w:rsidR="00983A5B">
        <w:rPr>
          <w:rFonts w:cs="Arial"/>
          <w:sz w:val="24"/>
          <w:szCs w:val="24"/>
          <w:lang w:val="en"/>
        </w:rPr>
        <w:t>p</w:t>
      </w:r>
      <w:r w:rsidRPr="00C22D72">
        <w:rPr>
          <w:rFonts w:cs="Arial"/>
          <w:sz w:val="24"/>
          <w:szCs w:val="24"/>
          <w:lang w:val="en"/>
        </w:rPr>
        <w:t xml:space="preserve">arties, and </w:t>
      </w:r>
      <w:r w:rsidR="00983A5B">
        <w:rPr>
          <w:rFonts w:cs="Arial"/>
          <w:sz w:val="24"/>
          <w:szCs w:val="24"/>
          <w:lang w:val="en"/>
        </w:rPr>
        <w:t>v</w:t>
      </w:r>
      <w:r w:rsidRPr="00C22D72">
        <w:rPr>
          <w:rFonts w:cs="Arial"/>
          <w:sz w:val="24"/>
          <w:szCs w:val="24"/>
          <w:lang w:val="en"/>
        </w:rPr>
        <w:t xml:space="preserve">oting in the European Parliament’, </w:t>
      </w:r>
      <w:r w:rsidRPr="000B1FCD">
        <w:rPr>
          <w:rFonts w:cs="Arial"/>
          <w:i/>
          <w:sz w:val="24"/>
          <w:szCs w:val="24"/>
          <w:lang w:val="en"/>
        </w:rPr>
        <w:t>American Journal of Political Science</w:t>
      </w:r>
      <w:r w:rsidRPr="00C22D72">
        <w:rPr>
          <w:rFonts w:cs="Arial"/>
          <w:sz w:val="24"/>
          <w:szCs w:val="24"/>
          <w:lang w:val="en"/>
        </w:rPr>
        <w:t xml:space="preserve"> 46: 688–98.</w:t>
      </w:r>
    </w:p>
    <w:p w:rsidR="00C22D72" w:rsidRPr="00C22D72" w:rsidRDefault="00C22D72" w:rsidP="00C22D72">
      <w:pPr>
        <w:spacing w:before="120" w:after="120" w:line="480" w:lineRule="auto"/>
        <w:rPr>
          <w:rFonts w:cs="Arial"/>
          <w:sz w:val="24"/>
          <w:szCs w:val="24"/>
          <w:lang w:val="en"/>
        </w:rPr>
      </w:pPr>
      <w:r w:rsidRPr="003B3CBE">
        <w:rPr>
          <w:rFonts w:cs="Arial"/>
          <w:sz w:val="24"/>
          <w:szCs w:val="24"/>
        </w:rPr>
        <w:t xml:space="preserve">Hofmann, H. C. H. </w:t>
      </w:r>
      <w:r w:rsidR="00983A5B" w:rsidRPr="000B1FCD">
        <w:rPr>
          <w:rFonts w:cs="Arial"/>
          <w:sz w:val="24"/>
          <w:szCs w:val="24"/>
        </w:rPr>
        <w:t xml:space="preserve">and </w:t>
      </w:r>
      <w:r w:rsidRPr="000B1FCD">
        <w:rPr>
          <w:rFonts w:cs="Arial"/>
          <w:sz w:val="24"/>
          <w:szCs w:val="24"/>
        </w:rPr>
        <w:t>A.H. Turk (</w:t>
      </w:r>
      <w:r w:rsidR="00983A5B">
        <w:rPr>
          <w:rFonts w:cs="Arial"/>
          <w:sz w:val="24"/>
          <w:szCs w:val="24"/>
        </w:rPr>
        <w:t>eds</w:t>
      </w:r>
      <w:r w:rsidRPr="000B1FCD">
        <w:rPr>
          <w:rFonts w:cs="Arial"/>
          <w:sz w:val="24"/>
          <w:szCs w:val="24"/>
        </w:rPr>
        <w:t xml:space="preserve">.) </w:t>
      </w:r>
      <w:r w:rsidRPr="00C22D72">
        <w:rPr>
          <w:rFonts w:cs="Arial"/>
          <w:sz w:val="24"/>
          <w:szCs w:val="24"/>
          <w:lang w:val="en"/>
        </w:rPr>
        <w:t>(2006)</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EU Administrative Governance</w:t>
      </w:r>
      <w:r w:rsidR="00031CBC">
        <w:rPr>
          <w:rFonts w:cs="Arial"/>
          <w:i/>
          <w:sz w:val="24"/>
          <w:szCs w:val="24"/>
          <w:lang w:val="en"/>
        </w:rPr>
        <w:t>,</w:t>
      </w:r>
      <w:r w:rsidRPr="00C22D72">
        <w:rPr>
          <w:rFonts w:cs="Arial"/>
          <w:sz w:val="24"/>
          <w:szCs w:val="24"/>
          <w:lang w:val="en"/>
        </w:rPr>
        <w:t xml:space="preserve"> Cheltenham: Edward Elgar.</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Hooghe, L.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G. Marks (2001)</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Multi-Level Governance and European Integration</w:t>
      </w:r>
      <w:r w:rsidR="00031CBC">
        <w:rPr>
          <w:rFonts w:cs="Arial"/>
          <w:i/>
          <w:sz w:val="24"/>
          <w:szCs w:val="24"/>
          <w:lang w:val="en"/>
        </w:rPr>
        <w:t>,</w:t>
      </w:r>
      <w:r w:rsidRPr="00C22D72">
        <w:rPr>
          <w:rFonts w:cs="Arial"/>
          <w:sz w:val="24"/>
          <w:szCs w:val="24"/>
          <w:lang w:val="en"/>
        </w:rPr>
        <w:t xml:space="preserve"> New York: Rowman &amp; Littlefield Publishers.</w:t>
      </w:r>
    </w:p>
    <w:p w:rsidR="00C22D72" w:rsidRPr="00F27AB9" w:rsidRDefault="00C22D72" w:rsidP="00C22D72">
      <w:pPr>
        <w:spacing w:before="120" w:after="120" w:line="480" w:lineRule="auto"/>
        <w:rPr>
          <w:rFonts w:cs="Arial"/>
          <w:sz w:val="24"/>
          <w:szCs w:val="24"/>
        </w:rPr>
      </w:pPr>
      <w:r w:rsidRPr="00F27AB9">
        <w:rPr>
          <w:rFonts w:cs="Arial"/>
          <w:color w:val="222222"/>
          <w:sz w:val="24"/>
          <w:szCs w:val="24"/>
          <w:shd w:val="clear" w:color="auto" w:fill="FFFFFF"/>
        </w:rPr>
        <w:t>Hooghe, L</w:t>
      </w:r>
      <w:r>
        <w:rPr>
          <w:rFonts w:cs="Arial"/>
          <w:color w:val="222222"/>
          <w:sz w:val="24"/>
          <w:szCs w:val="24"/>
          <w:shd w:val="clear" w:color="auto" w:fill="FFFFFF"/>
        </w:rPr>
        <w:t>.</w:t>
      </w:r>
      <w:r w:rsidRPr="00F27AB9">
        <w:rPr>
          <w:rFonts w:cs="Arial"/>
          <w:color w:val="222222"/>
          <w:sz w:val="24"/>
          <w:szCs w:val="24"/>
          <w:shd w:val="clear" w:color="auto" w:fill="FFFFFF"/>
        </w:rPr>
        <w:t xml:space="preserve"> and G. Marks (2013)</w:t>
      </w:r>
      <w:r w:rsidR="00031CBC">
        <w:rPr>
          <w:rFonts w:cs="Arial"/>
          <w:color w:val="222222"/>
          <w:sz w:val="24"/>
          <w:szCs w:val="24"/>
          <w:shd w:val="clear" w:color="auto" w:fill="FFFFFF"/>
        </w:rPr>
        <w:t>,</w:t>
      </w:r>
      <w:r w:rsidRPr="00F27AB9">
        <w:rPr>
          <w:rFonts w:cs="Arial"/>
          <w:color w:val="222222"/>
          <w:sz w:val="24"/>
          <w:szCs w:val="24"/>
          <w:shd w:val="clear" w:color="auto" w:fill="FFFFFF"/>
        </w:rPr>
        <w:t xml:space="preserve"> ’Delegation and pooling in international organizations’,</w:t>
      </w:r>
      <w:r w:rsidRPr="00F27AB9">
        <w:rPr>
          <w:rStyle w:val="apple-converted-space"/>
          <w:rFonts w:cs="Arial"/>
          <w:color w:val="222222"/>
          <w:sz w:val="24"/>
          <w:szCs w:val="24"/>
          <w:shd w:val="clear" w:color="auto" w:fill="FFFFFF"/>
        </w:rPr>
        <w:t> </w:t>
      </w:r>
      <w:r w:rsidRPr="00F27AB9">
        <w:rPr>
          <w:rFonts w:cs="Arial"/>
          <w:i/>
          <w:iCs/>
          <w:color w:val="222222"/>
          <w:sz w:val="24"/>
          <w:szCs w:val="24"/>
          <w:shd w:val="clear" w:color="auto" w:fill="FFFFFF"/>
        </w:rPr>
        <w:t>The Review of International Organizations</w:t>
      </w:r>
      <w:r w:rsidRPr="00F27AB9">
        <w:rPr>
          <w:rFonts w:cs="Arial"/>
          <w:color w:val="222222"/>
          <w:sz w:val="24"/>
          <w:szCs w:val="24"/>
          <w:shd w:val="clear" w:color="auto" w:fill="FFFFFF"/>
        </w:rPr>
        <w:t>, DOI: 10.1007/s11558-014-9194-4.</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Huntington, S. P. (1968)</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Political Order in Changing Societies</w:t>
      </w:r>
      <w:r w:rsidR="00031CBC">
        <w:rPr>
          <w:rFonts w:cs="Arial"/>
          <w:i/>
          <w:sz w:val="24"/>
          <w:szCs w:val="24"/>
          <w:lang w:val="en"/>
        </w:rPr>
        <w:t>,</w:t>
      </w:r>
      <w:r w:rsidRPr="00C22D72">
        <w:rPr>
          <w:rFonts w:cs="Arial"/>
          <w:sz w:val="24"/>
          <w:szCs w:val="24"/>
          <w:lang w:val="en"/>
        </w:rPr>
        <w:t xml:space="preserve"> New Haven, CT:  Yale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lastRenderedPageBreak/>
        <w:t>Karns, M.P. and K.A. Mingst (2004)</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International Organizations</w:t>
      </w:r>
      <w:r w:rsidR="00031CBC">
        <w:rPr>
          <w:rFonts w:cs="Arial"/>
          <w:i/>
          <w:sz w:val="24"/>
          <w:szCs w:val="24"/>
          <w:lang w:val="en"/>
        </w:rPr>
        <w:t>,</w:t>
      </w:r>
      <w:r w:rsidRPr="00C22D72">
        <w:rPr>
          <w:rFonts w:cs="Arial"/>
          <w:sz w:val="24"/>
          <w:szCs w:val="24"/>
          <w:lang w:val="en"/>
        </w:rPr>
        <w:t xml:space="preserve"> London: Lynne Rienner Publishers. </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Kassim, H. (2006)</w:t>
      </w:r>
      <w:r w:rsidR="00031CBC">
        <w:rPr>
          <w:rFonts w:cs="Arial"/>
          <w:sz w:val="24"/>
          <w:szCs w:val="24"/>
          <w:lang w:val="en"/>
        </w:rPr>
        <w:t>,</w:t>
      </w:r>
      <w:r w:rsidRPr="00C22D72">
        <w:rPr>
          <w:rFonts w:cs="Arial"/>
          <w:sz w:val="24"/>
          <w:szCs w:val="24"/>
          <w:lang w:val="en"/>
        </w:rPr>
        <w:t xml:space="preserve"> ‘The secretariat general of the European Commission’, i</w:t>
      </w:r>
      <w:r w:rsidR="00983A5B">
        <w:rPr>
          <w:rFonts w:cs="Arial"/>
          <w:sz w:val="24"/>
          <w:szCs w:val="24"/>
          <w:lang w:val="en"/>
        </w:rPr>
        <w:t>n</w:t>
      </w:r>
      <w:r w:rsidRPr="00C22D72">
        <w:rPr>
          <w:rFonts w:cs="Arial"/>
          <w:sz w:val="24"/>
          <w:szCs w:val="24"/>
          <w:lang w:val="en"/>
        </w:rPr>
        <w:t xml:space="preserve"> D. Spence (ed.)</w:t>
      </w:r>
      <w:r w:rsidR="00031CBC">
        <w:rPr>
          <w:rFonts w:cs="Arial"/>
          <w:sz w:val="24"/>
          <w:szCs w:val="24"/>
          <w:lang w:val="en"/>
        </w:rPr>
        <w:t>,</w:t>
      </w:r>
      <w:r w:rsidRPr="00C22D72">
        <w:rPr>
          <w:rFonts w:cs="Arial"/>
          <w:sz w:val="24"/>
          <w:szCs w:val="24"/>
          <w:lang w:val="en"/>
        </w:rPr>
        <w:t xml:space="preserve"> </w:t>
      </w:r>
      <w:r w:rsidR="00031CBC">
        <w:rPr>
          <w:rFonts w:cs="Arial"/>
          <w:i/>
          <w:sz w:val="24"/>
          <w:szCs w:val="24"/>
          <w:lang w:val="en"/>
        </w:rPr>
        <w:t>The European Commission,</w:t>
      </w:r>
      <w:r w:rsidRPr="00C22D72">
        <w:rPr>
          <w:rFonts w:cs="Arial"/>
          <w:sz w:val="24"/>
          <w:szCs w:val="24"/>
          <w:lang w:val="en"/>
        </w:rPr>
        <w:t xml:space="preserve"> London: John Harper Publishing. </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Kassim, H., B.G. Peters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V. Wright (</w:t>
      </w:r>
      <w:r w:rsidR="00983A5B">
        <w:rPr>
          <w:rFonts w:cs="Arial"/>
          <w:sz w:val="24"/>
          <w:szCs w:val="24"/>
          <w:lang w:val="en"/>
        </w:rPr>
        <w:t>eds</w:t>
      </w:r>
      <w:r w:rsidRPr="00C22D72">
        <w:rPr>
          <w:rFonts w:cs="Arial"/>
          <w:sz w:val="24"/>
          <w:szCs w:val="24"/>
          <w:lang w:val="en"/>
        </w:rPr>
        <w:t>.) (2000)</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 xml:space="preserve">The national co-ordination </w:t>
      </w:r>
      <w:r w:rsidR="00031CBC">
        <w:rPr>
          <w:rFonts w:cs="Arial"/>
          <w:i/>
          <w:sz w:val="24"/>
          <w:szCs w:val="24"/>
          <w:lang w:val="en"/>
        </w:rPr>
        <w:t>of EU policy: The domestic leve,</w:t>
      </w:r>
      <w:r w:rsidRPr="00C22D72">
        <w:rPr>
          <w:rFonts w:cs="Arial"/>
          <w:sz w:val="24"/>
          <w:szCs w:val="24"/>
          <w:lang w:val="en"/>
        </w:rPr>
        <w:t xml:space="preserve"> Oxford: Oxford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Kassim, H., J. Peterson, M.W. Bauer, S. Connolly, R. Dehousse, L. Hooghe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A. Thompson (2013)</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European Commission of the Twenty-First Century</w:t>
      </w:r>
      <w:r w:rsidR="00031CBC">
        <w:rPr>
          <w:rFonts w:cs="Arial"/>
          <w:sz w:val="24"/>
          <w:szCs w:val="24"/>
          <w:lang w:val="en"/>
        </w:rPr>
        <w:t>,</w:t>
      </w:r>
      <w:r w:rsidRPr="00C22D72">
        <w:rPr>
          <w:rFonts w:cs="Arial"/>
          <w:sz w:val="24"/>
          <w:szCs w:val="24"/>
          <w:lang w:val="en"/>
        </w:rPr>
        <w:t xml:space="preserve"> Oxford: Oxford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Knill, C. (2001)</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Europeanisation of National Administrations</w:t>
      </w:r>
      <w:r w:rsidR="00031CBC">
        <w:rPr>
          <w:rFonts w:cs="Arial"/>
          <w:sz w:val="24"/>
          <w:szCs w:val="24"/>
          <w:lang w:val="en"/>
        </w:rPr>
        <w:t>,</w:t>
      </w:r>
      <w:r w:rsidRPr="00C22D72">
        <w:rPr>
          <w:rFonts w:cs="Arial"/>
          <w:sz w:val="24"/>
          <w:szCs w:val="24"/>
          <w:lang w:val="en"/>
        </w:rPr>
        <w:t xml:space="preserve"> Cambridge: Cambridge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Larson, T. (2003)</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Precooking in the European Union. The World of Expert Groups. A Report to the Expert Group on Public Finance</w:t>
      </w:r>
      <w:r w:rsidR="00031CBC">
        <w:rPr>
          <w:rFonts w:cs="Arial"/>
          <w:sz w:val="24"/>
          <w:szCs w:val="24"/>
          <w:lang w:val="en"/>
        </w:rPr>
        <w:t>,</w:t>
      </w:r>
      <w:r w:rsidRPr="00C22D72">
        <w:rPr>
          <w:rFonts w:cs="Arial"/>
          <w:sz w:val="24"/>
          <w:szCs w:val="24"/>
          <w:lang w:val="en"/>
        </w:rPr>
        <w:t xml:space="preserve"> Stockholm: Ministry of Finance, Ds 2003:16. </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March, J.G. (1999)</w:t>
      </w:r>
      <w:r w:rsidR="00031CBC">
        <w:rPr>
          <w:rFonts w:cs="Arial"/>
          <w:sz w:val="24"/>
          <w:szCs w:val="24"/>
          <w:lang w:val="en"/>
        </w:rPr>
        <w:t>,</w:t>
      </w:r>
      <w:r w:rsidRPr="00C22D72">
        <w:rPr>
          <w:rFonts w:cs="Arial"/>
          <w:sz w:val="24"/>
          <w:szCs w:val="24"/>
          <w:lang w:val="en"/>
        </w:rPr>
        <w:t xml:space="preserve"> ‘A learning perspective on the network dynamics of institutional integration’, i</w:t>
      </w:r>
      <w:r w:rsidR="00983A5B">
        <w:rPr>
          <w:rFonts w:cs="Arial"/>
          <w:sz w:val="24"/>
          <w:szCs w:val="24"/>
          <w:lang w:val="en"/>
        </w:rPr>
        <w:t>n</w:t>
      </w:r>
      <w:r w:rsidRPr="00C22D72">
        <w:rPr>
          <w:rFonts w:cs="Arial"/>
          <w:sz w:val="24"/>
          <w:szCs w:val="24"/>
          <w:lang w:val="en"/>
        </w:rPr>
        <w:t xml:space="preserve"> M. Egeberg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P. Lægreid (</w:t>
      </w:r>
      <w:r w:rsidR="00983A5B">
        <w:rPr>
          <w:rFonts w:cs="Arial"/>
          <w:sz w:val="24"/>
          <w:szCs w:val="24"/>
          <w:lang w:val="en"/>
        </w:rPr>
        <w:t>eds</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Organizing Political Institutions</w:t>
      </w:r>
      <w:r w:rsidRPr="00C22D72">
        <w:rPr>
          <w:rFonts w:cs="Arial"/>
          <w:sz w:val="24"/>
          <w:szCs w:val="24"/>
          <w:lang w:val="en"/>
        </w:rPr>
        <w:t>.</w:t>
      </w:r>
      <w:r w:rsidR="00983A5B">
        <w:rPr>
          <w:rFonts w:cs="Arial"/>
          <w:sz w:val="24"/>
          <w:szCs w:val="24"/>
          <w:lang w:val="en"/>
        </w:rPr>
        <w:t xml:space="preserve"> </w:t>
      </w:r>
      <w:r w:rsidR="00983A5B" w:rsidRPr="000B1FCD">
        <w:rPr>
          <w:rFonts w:cs="Arial"/>
          <w:i/>
          <w:sz w:val="24"/>
          <w:szCs w:val="24"/>
          <w:lang w:val="en"/>
        </w:rPr>
        <w:t>Essays for Johan P. Olsen</w:t>
      </w:r>
      <w:r w:rsidR="00031CBC">
        <w:rPr>
          <w:rFonts w:cs="Arial"/>
          <w:sz w:val="24"/>
          <w:szCs w:val="24"/>
          <w:lang w:val="en"/>
        </w:rPr>
        <w:t>,</w:t>
      </w:r>
      <w:r w:rsidRPr="00C22D72">
        <w:rPr>
          <w:rFonts w:cs="Arial"/>
          <w:sz w:val="24"/>
          <w:szCs w:val="24"/>
          <w:lang w:val="en"/>
        </w:rPr>
        <w:t xml:space="preserve"> Oslo: Scandinavian University Press.</w:t>
      </w:r>
    </w:p>
    <w:p w:rsidR="00C22D72" w:rsidRDefault="00C22D72" w:rsidP="00C22D72">
      <w:pPr>
        <w:spacing w:before="120" w:after="120" w:line="480" w:lineRule="auto"/>
        <w:rPr>
          <w:rFonts w:cs="Arial"/>
          <w:sz w:val="24"/>
          <w:szCs w:val="24"/>
          <w:lang w:val="en"/>
        </w:rPr>
      </w:pPr>
      <w:r w:rsidRPr="00C22D72">
        <w:rPr>
          <w:rFonts w:cs="Arial"/>
          <w:sz w:val="24"/>
          <w:szCs w:val="24"/>
          <w:lang w:val="en"/>
        </w:rPr>
        <w:t xml:space="preserve">March, J.G.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J.P. Olsen (1989)</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Rediscovering Institutions</w:t>
      </w:r>
      <w:r w:rsidR="00031CBC">
        <w:rPr>
          <w:rFonts w:cs="Arial"/>
          <w:i/>
          <w:sz w:val="24"/>
          <w:szCs w:val="24"/>
          <w:lang w:val="en"/>
        </w:rPr>
        <w:t>,</w:t>
      </w:r>
      <w:r w:rsidRPr="00C22D72">
        <w:rPr>
          <w:rFonts w:cs="Arial"/>
          <w:sz w:val="24"/>
          <w:szCs w:val="24"/>
          <w:lang w:val="en"/>
        </w:rPr>
        <w:t xml:space="preserve"> New York. The Free Press.</w:t>
      </w:r>
    </w:p>
    <w:p w:rsidR="00960EBA" w:rsidRPr="00C22D72" w:rsidRDefault="00960EBA" w:rsidP="00C22D72">
      <w:pPr>
        <w:spacing w:before="120" w:after="120" w:line="480" w:lineRule="auto"/>
        <w:rPr>
          <w:rFonts w:cs="Arial"/>
          <w:sz w:val="24"/>
          <w:szCs w:val="24"/>
          <w:lang w:val="en"/>
        </w:rPr>
      </w:pPr>
      <w:r>
        <w:rPr>
          <w:rFonts w:cs="Arial"/>
          <w:sz w:val="24"/>
          <w:szCs w:val="24"/>
          <w:lang w:val="en"/>
        </w:rPr>
        <w:t>March, J.G. and J.P. Olsen (1995)</w:t>
      </w:r>
      <w:r w:rsidR="00031CBC">
        <w:rPr>
          <w:rFonts w:cs="Arial"/>
          <w:sz w:val="24"/>
          <w:szCs w:val="24"/>
          <w:lang w:val="en"/>
        </w:rPr>
        <w:t>,</w:t>
      </w:r>
      <w:r>
        <w:rPr>
          <w:rFonts w:cs="Arial"/>
          <w:sz w:val="24"/>
          <w:szCs w:val="24"/>
          <w:lang w:val="en"/>
        </w:rPr>
        <w:t xml:space="preserve"> </w:t>
      </w:r>
      <w:r w:rsidRPr="000B1FCD">
        <w:rPr>
          <w:rFonts w:cs="Arial"/>
          <w:i/>
          <w:sz w:val="24"/>
          <w:szCs w:val="24"/>
          <w:lang w:val="en"/>
        </w:rPr>
        <w:t>Democratic Governance</w:t>
      </w:r>
      <w:r w:rsidR="00031CBC">
        <w:rPr>
          <w:rFonts w:cs="Arial"/>
          <w:i/>
          <w:sz w:val="24"/>
          <w:szCs w:val="24"/>
          <w:lang w:val="en"/>
        </w:rPr>
        <w:t>,</w:t>
      </w:r>
      <w:r>
        <w:rPr>
          <w:rFonts w:cs="Arial"/>
          <w:sz w:val="24"/>
          <w:szCs w:val="24"/>
          <w:lang w:val="en"/>
        </w:rPr>
        <w:t xml:space="preserve"> New York: The Free Press.</w:t>
      </w:r>
    </w:p>
    <w:p w:rsidR="00C22D72" w:rsidRDefault="00C22D72" w:rsidP="00C22D72">
      <w:pPr>
        <w:spacing w:before="120" w:after="120" w:line="480" w:lineRule="auto"/>
        <w:rPr>
          <w:rFonts w:cs="Arial"/>
          <w:sz w:val="24"/>
          <w:szCs w:val="24"/>
          <w:lang w:val="en"/>
        </w:rPr>
      </w:pPr>
      <w:r w:rsidRPr="00C22D72">
        <w:rPr>
          <w:rFonts w:cs="Arial"/>
          <w:sz w:val="24"/>
          <w:szCs w:val="24"/>
          <w:lang w:val="en"/>
        </w:rPr>
        <w:t>Marks, G. (1993)</w:t>
      </w:r>
      <w:r w:rsidR="00031CBC">
        <w:rPr>
          <w:rFonts w:cs="Arial"/>
          <w:sz w:val="24"/>
          <w:szCs w:val="24"/>
          <w:lang w:val="en"/>
        </w:rPr>
        <w:t>,</w:t>
      </w:r>
      <w:r w:rsidRPr="00C22D72">
        <w:rPr>
          <w:rFonts w:cs="Arial"/>
          <w:sz w:val="24"/>
          <w:szCs w:val="24"/>
          <w:lang w:val="en"/>
        </w:rPr>
        <w:t xml:space="preserve"> ‘Structural </w:t>
      </w:r>
      <w:r w:rsidR="00983A5B">
        <w:rPr>
          <w:rFonts w:cs="Arial"/>
          <w:sz w:val="24"/>
          <w:szCs w:val="24"/>
          <w:lang w:val="en"/>
        </w:rPr>
        <w:t>p</w:t>
      </w:r>
      <w:r w:rsidRPr="00C22D72">
        <w:rPr>
          <w:rFonts w:cs="Arial"/>
          <w:sz w:val="24"/>
          <w:szCs w:val="24"/>
          <w:lang w:val="en"/>
        </w:rPr>
        <w:t xml:space="preserve">olicy and </w:t>
      </w:r>
      <w:r w:rsidR="00983A5B">
        <w:rPr>
          <w:rFonts w:cs="Arial"/>
          <w:sz w:val="24"/>
          <w:szCs w:val="24"/>
          <w:lang w:val="en"/>
        </w:rPr>
        <w:t>m</w:t>
      </w:r>
      <w:r w:rsidRPr="00C22D72">
        <w:rPr>
          <w:rFonts w:cs="Arial"/>
          <w:sz w:val="24"/>
          <w:szCs w:val="24"/>
          <w:lang w:val="en"/>
        </w:rPr>
        <w:t xml:space="preserve">ultilevel </w:t>
      </w:r>
      <w:r w:rsidR="00983A5B">
        <w:rPr>
          <w:rFonts w:cs="Arial"/>
          <w:sz w:val="24"/>
          <w:szCs w:val="24"/>
          <w:lang w:val="en"/>
        </w:rPr>
        <w:t>g</w:t>
      </w:r>
      <w:r w:rsidRPr="00C22D72">
        <w:rPr>
          <w:rFonts w:cs="Arial"/>
          <w:sz w:val="24"/>
          <w:szCs w:val="24"/>
          <w:lang w:val="en"/>
        </w:rPr>
        <w:t>overnance in the EC’, i</w:t>
      </w:r>
      <w:r w:rsidR="00983A5B">
        <w:rPr>
          <w:rFonts w:cs="Arial"/>
          <w:sz w:val="24"/>
          <w:szCs w:val="24"/>
          <w:lang w:val="en"/>
        </w:rPr>
        <w:t>n</w:t>
      </w:r>
      <w:r w:rsidRPr="00C22D72">
        <w:rPr>
          <w:rFonts w:cs="Arial"/>
          <w:sz w:val="24"/>
          <w:szCs w:val="24"/>
          <w:lang w:val="en"/>
        </w:rPr>
        <w:t xml:space="preserve"> A.W. Cafruny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G.G. Rosenthal (</w:t>
      </w:r>
      <w:r w:rsidR="00983A5B">
        <w:rPr>
          <w:rFonts w:cs="Arial"/>
          <w:sz w:val="24"/>
          <w:szCs w:val="24"/>
          <w:lang w:val="en"/>
        </w:rPr>
        <w:t>eds</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State of the European Community: The Maastricht Debates and Beyond</w:t>
      </w:r>
      <w:r w:rsidR="00031CBC">
        <w:rPr>
          <w:rFonts w:cs="Arial"/>
          <w:i/>
          <w:sz w:val="24"/>
          <w:szCs w:val="24"/>
          <w:lang w:val="en"/>
        </w:rPr>
        <w:t>,</w:t>
      </w:r>
      <w:r w:rsidRPr="00C22D72">
        <w:rPr>
          <w:rFonts w:cs="Arial"/>
          <w:sz w:val="24"/>
          <w:szCs w:val="24"/>
          <w:lang w:val="en"/>
        </w:rPr>
        <w:t xml:space="preserve"> Colorado: Lynne Rienner.</w:t>
      </w:r>
    </w:p>
    <w:p w:rsidR="00960EBA" w:rsidRPr="00C22D72" w:rsidRDefault="00960EBA" w:rsidP="00C22D72">
      <w:pPr>
        <w:spacing w:before="120" w:after="120" w:line="480" w:lineRule="auto"/>
        <w:rPr>
          <w:rFonts w:cs="Arial"/>
          <w:sz w:val="24"/>
          <w:szCs w:val="24"/>
          <w:lang w:val="en"/>
        </w:rPr>
      </w:pPr>
      <w:r>
        <w:rPr>
          <w:rFonts w:cs="Arial"/>
          <w:sz w:val="24"/>
          <w:szCs w:val="24"/>
          <w:lang w:val="en"/>
        </w:rPr>
        <w:lastRenderedPageBreak/>
        <w:t>Marks, G., L. Hooghe and K. Blank (1996a)</w:t>
      </w:r>
      <w:r w:rsidR="00031CBC">
        <w:rPr>
          <w:rFonts w:cs="Arial"/>
          <w:sz w:val="24"/>
          <w:szCs w:val="24"/>
          <w:lang w:val="en"/>
        </w:rPr>
        <w:t>,</w:t>
      </w:r>
      <w:r>
        <w:rPr>
          <w:rFonts w:cs="Arial"/>
          <w:sz w:val="24"/>
          <w:szCs w:val="24"/>
          <w:lang w:val="en"/>
        </w:rPr>
        <w:t xml:space="preserve"> ‘European integration from the 1980s: State-centric v. multi-level governance’, </w:t>
      </w:r>
      <w:r w:rsidRPr="00960EBA">
        <w:rPr>
          <w:rFonts w:cs="Arial"/>
          <w:i/>
          <w:sz w:val="24"/>
          <w:szCs w:val="24"/>
          <w:lang w:val="en"/>
        </w:rPr>
        <w:t>Journal of Common Market Studies</w:t>
      </w:r>
      <w:r>
        <w:rPr>
          <w:rFonts w:cs="Arial"/>
          <w:sz w:val="24"/>
          <w:szCs w:val="24"/>
          <w:lang w:val="en"/>
        </w:rPr>
        <w:t xml:space="preserve"> 34(3): 341-78.</w:t>
      </w:r>
    </w:p>
    <w:p w:rsidR="00960EBA" w:rsidRPr="00C22D72" w:rsidRDefault="00960EBA" w:rsidP="00960EBA">
      <w:pPr>
        <w:spacing w:before="120" w:after="120" w:line="480" w:lineRule="auto"/>
        <w:rPr>
          <w:rFonts w:cs="Arial"/>
          <w:sz w:val="24"/>
          <w:szCs w:val="24"/>
          <w:lang w:val="en"/>
        </w:rPr>
      </w:pPr>
      <w:r>
        <w:rPr>
          <w:rFonts w:cs="Arial"/>
          <w:sz w:val="24"/>
          <w:szCs w:val="24"/>
          <w:lang w:val="en"/>
        </w:rPr>
        <w:t>Marks, G., F. Nielsen and L. Ray (1996b)</w:t>
      </w:r>
      <w:r w:rsidR="00031CBC">
        <w:rPr>
          <w:rFonts w:cs="Arial"/>
          <w:sz w:val="24"/>
          <w:szCs w:val="24"/>
          <w:lang w:val="en"/>
        </w:rPr>
        <w:t>,</w:t>
      </w:r>
      <w:r>
        <w:rPr>
          <w:rFonts w:cs="Arial"/>
          <w:sz w:val="24"/>
          <w:szCs w:val="24"/>
          <w:lang w:val="en"/>
        </w:rPr>
        <w:t xml:space="preserve"> ‘Competencies, cracks, and conflicts. Regional mobilization in the European Union’, </w:t>
      </w:r>
      <w:r w:rsidRPr="00960EBA">
        <w:rPr>
          <w:rFonts w:cs="Arial"/>
          <w:i/>
          <w:sz w:val="24"/>
          <w:szCs w:val="24"/>
          <w:lang w:val="en"/>
        </w:rPr>
        <w:t>Comparative Political Studies</w:t>
      </w:r>
      <w:r>
        <w:rPr>
          <w:rFonts w:cs="Arial"/>
          <w:sz w:val="24"/>
          <w:szCs w:val="24"/>
          <w:lang w:val="en"/>
        </w:rPr>
        <w:t xml:space="preserve"> 29(2): 164-92.</w:t>
      </w:r>
    </w:p>
    <w:p w:rsidR="00C22D72" w:rsidRDefault="00C22D72" w:rsidP="00C22D72">
      <w:pPr>
        <w:spacing w:before="120" w:after="120" w:line="480" w:lineRule="auto"/>
        <w:rPr>
          <w:rFonts w:cs="Arial"/>
          <w:sz w:val="24"/>
          <w:szCs w:val="24"/>
          <w:lang w:val="en"/>
        </w:rPr>
      </w:pPr>
      <w:r w:rsidRPr="00C22D72">
        <w:rPr>
          <w:rFonts w:cs="Arial"/>
          <w:sz w:val="24"/>
          <w:szCs w:val="24"/>
          <w:lang w:val="en"/>
        </w:rPr>
        <w:t xml:space="preserve">Marks, G., L. Hooghe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A.H. Schekel (2008)</w:t>
      </w:r>
      <w:r w:rsidR="00031CBC">
        <w:rPr>
          <w:rFonts w:cs="Arial"/>
          <w:sz w:val="24"/>
          <w:szCs w:val="24"/>
          <w:lang w:val="en"/>
        </w:rPr>
        <w:t>,</w:t>
      </w:r>
      <w:r w:rsidRPr="00C22D72">
        <w:rPr>
          <w:rFonts w:cs="Arial"/>
          <w:sz w:val="24"/>
          <w:szCs w:val="24"/>
          <w:lang w:val="en"/>
        </w:rPr>
        <w:t xml:space="preserve"> ‘Measuring regional autority’, </w:t>
      </w:r>
      <w:r w:rsidRPr="000B1FCD">
        <w:rPr>
          <w:rFonts w:cs="Arial"/>
          <w:i/>
          <w:sz w:val="24"/>
          <w:szCs w:val="24"/>
          <w:lang w:val="en"/>
        </w:rPr>
        <w:t xml:space="preserve">Regional and Federal Studies </w:t>
      </w:r>
      <w:r w:rsidRPr="00C22D72">
        <w:rPr>
          <w:rFonts w:cs="Arial"/>
          <w:sz w:val="24"/>
          <w:szCs w:val="24"/>
          <w:lang w:val="en"/>
        </w:rPr>
        <w:t>18: 111–21.</w:t>
      </w:r>
    </w:p>
    <w:p w:rsidR="00A66E55" w:rsidRDefault="00A66E55" w:rsidP="00C22D72">
      <w:pPr>
        <w:spacing w:before="120" w:after="120" w:line="480" w:lineRule="auto"/>
        <w:rPr>
          <w:rFonts w:cs="Arial"/>
          <w:sz w:val="24"/>
          <w:szCs w:val="24"/>
          <w:lang w:val="en"/>
        </w:rPr>
      </w:pPr>
      <w:r>
        <w:rPr>
          <w:rFonts w:cs="Arial"/>
          <w:sz w:val="24"/>
          <w:szCs w:val="24"/>
          <w:lang w:val="en"/>
        </w:rPr>
        <w:t>Martens, M. (2010)</w:t>
      </w:r>
      <w:r w:rsidR="00031CBC">
        <w:rPr>
          <w:rFonts w:cs="Arial"/>
          <w:sz w:val="24"/>
          <w:szCs w:val="24"/>
          <w:lang w:val="en"/>
        </w:rPr>
        <w:t>,</w:t>
      </w:r>
      <w:r>
        <w:rPr>
          <w:rFonts w:cs="Arial"/>
          <w:sz w:val="24"/>
          <w:szCs w:val="24"/>
          <w:lang w:val="en"/>
        </w:rPr>
        <w:t xml:space="preserve"> </w:t>
      </w:r>
      <w:r w:rsidRPr="00A66E55">
        <w:rPr>
          <w:rFonts w:cs="Arial"/>
          <w:i/>
          <w:sz w:val="24"/>
          <w:szCs w:val="24"/>
          <w:lang w:val="en"/>
        </w:rPr>
        <w:t>Organized Administrative Integration</w:t>
      </w:r>
      <w:r w:rsidR="00031CBC">
        <w:rPr>
          <w:rFonts w:cs="Arial"/>
          <w:i/>
          <w:sz w:val="24"/>
          <w:szCs w:val="24"/>
          <w:lang w:val="en"/>
        </w:rPr>
        <w:t>,</w:t>
      </w:r>
      <w:r>
        <w:rPr>
          <w:rFonts w:cs="Arial"/>
          <w:sz w:val="24"/>
          <w:szCs w:val="24"/>
          <w:lang w:val="en"/>
        </w:rPr>
        <w:t xml:space="preserve"> ARENA Report 2. </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Matthews, F. (2012)</w:t>
      </w:r>
      <w:r w:rsidR="00031CBC">
        <w:rPr>
          <w:rFonts w:cs="Arial"/>
          <w:sz w:val="24"/>
          <w:szCs w:val="24"/>
          <w:lang w:val="en"/>
        </w:rPr>
        <w:t>,</w:t>
      </w:r>
      <w:r w:rsidRPr="00C22D72">
        <w:rPr>
          <w:rFonts w:cs="Arial"/>
          <w:sz w:val="24"/>
          <w:szCs w:val="24"/>
          <w:lang w:val="en"/>
        </w:rPr>
        <w:t xml:space="preserve"> ‘Governance and state capacity’, i</w:t>
      </w:r>
      <w:r w:rsidR="00983A5B">
        <w:rPr>
          <w:rFonts w:cs="Arial"/>
          <w:sz w:val="24"/>
          <w:szCs w:val="24"/>
          <w:lang w:val="en"/>
        </w:rPr>
        <w:t>n</w:t>
      </w:r>
      <w:r w:rsidRPr="00C22D72">
        <w:rPr>
          <w:rFonts w:cs="Arial"/>
          <w:sz w:val="24"/>
          <w:szCs w:val="24"/>
          <w:lang w:val="en"/>
        </w:rPr>
        <w:t xml:space="preserve"> D. Levi-Faur (ed.)</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Oxford Handbook of Governance</w:t>
      </w:r>
      <w:r w:rsidR="00031CBC">
        <w:rPr>
          <w:rFonts w:cs="Arial"/>
          <w:sz w:val="24"/>
          <w:szCs w:val="24"/>
          <w:lang w:val="en"/>
        </w:rPr>
        <w:t>,</w:t>
      </w:r>
      <w:r w:rsidRPr="00C22D72">
        <w:rPr>
          <w:rFonts w:cs="Arial"/>
          <w:sz w:val="24"/>
          <w:szCs w:val="24"/>
          <w:lang w:val="en"/>
        </w:rPr>
        <w:t xml:space="preserve"> Oxford: Oxford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Meyer-Sahling, J.-H.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K. Yesilkagit (2011)</w:t>
      </w:r>
      <w:r w:rsidR="00031CBC">
        <w:rPr>
          <w:rFonts w:cs="Arial"/>
          <w:sz w:val="24"/>
          <w:szCs w:val="24"/>
          <w:lang w:val="en"/>
        </w:rPr>
        <w:t>,</w:t>
      </w:r>
      <w:r w:rsidRPr="00C22D72">
        <w:rPr>
          <w:rFonts w:cs="Arial"/>
          <w:sz w:val="24"/>
          <w:szCs w:val="24"/>
          <w:lang w:val="en"/>
        </w:rPr>
        <w:t xml:space="preserve"> ‘Differential </w:t>
      </w:r>
      <w:r w:rsidR="00983A5B">
        <w:rPr>
          <w:rFonts w:cs="Arial"/>
          <w:sz w:val="24"/>
          <w:szCs w:val="24"/>
          <w:lang w:val="en"/>
        </w:rPr>
        <w:t>l</w:t>
      </w:r>
      <w:r w:rsidRPr="00C22D72">
        <w:rPr>
          <w:rFonts w:cs="Arial"/>
          <w:sz w:val="24"/>
          <w:szCs w:val="24"/>
          <w:lang w:val="en"/>
        </w:rPr>
        <w:t xml:space="preserve">egacy </w:t>
      </w:r>
      <w:r w:rsidR="00983A5B">
        <w:rPr>
          <w:rFonts w:cs="Arial"/>
          <w:sz w:val="24"/>
          <w:szCs w:val="24"/>
          <w:lang w:val="en"/>
        </w:rPr>
        <w:t>e</w:t>
      </w:r>
      <w:r w:rsidRPr="00C22D72">
        <w:rPr>
          <w:rFonts w:cs="Arial"/>
          <w:sz w:val="24"/>
          <w:szCs w:val="24"/>
          <w:lang w:val="en"/>
        </w:rPr>
        <w:t xml:space="preserve">ffects: Three </w:t>
      </w:r>
      <w:r w:rsidR="00983A5B">
        <w:rPr>
          <w:rFonts w:cs="Arial"/>
          <w:sz w:val="24"/>
          <w:szCs w:val="24"/>
          <w:lang w:val="en"/>
        </w:rPr>
        <w:t>p</w:t>
      </w:r>
      <w:r w:rsidRPr="00C22D72">
        <w:rPr>
          <w:rFonts w:cs="Arial"/>
          <w:sz w:val="24"/>
          <w:szCs w:val="24"/>
          <w:lang w:val="en"/>
        </w:rPr>
        <w:t xml:space="preserve">ropositions on the </w:t>
      </w:r>
      <w:r w:rsidR="00983A5B">
        <w:rPr>
          <w:rFonts w:cs="Arial"/>
          <w:sz w:val="24"/>
          <w:szCs w:val="24"/>
          <w:lang w:val="en"/>
        </w:rPr>
        <w:t>i</w:t>
      </w:r>
      <w:r w:rsidRPr="00C22D72">
        <w:rPr>
          <w:rFonts w:cs="Arial"/>
          <w:sz w:val="24"/>
          <w:szCs w:val="24"/>
          <w:lang w:val="en"/>
        </w:rPr>
        <w:t xml:space="preserve">mpact of </w:t>
      </w:r>
      <w:r w:rsidR="00983A5B">
        <w:rPr>
          <w:rFonts w:cs="Arial"/>
          <w:sz w:val="24"/>
          <w:szCs w:val="24"/>
          <w:lang w:val="en"/>
        </w:rPr>
        <w:t>a</w:t>
      </w:r>
      <w:r w:rsidRPr="00C22D72">
        <w:rPr>
          <w:rFonts w:cs="Arial"/>
          <w:sz w:val="24"/>
          <w:szCs w:val="24"/>
          <w:lang w:val="en"/>
        </w:rPr>
        <w:t xml:space="preserve">dministrative </w:t>
      </w:r>
      <w:r w:rsidR="00983A5B">
        <w:rPr>
          <w:rFonts w:cs="Arial"/>
          <w:sz w:val="24"/>
          <w:szCs w:val="24"/>
          <w:lang w:val="en"/>
        </w:rPr>
        <w:t>t</w:t>
      </w:r>
      <w:r w:rsidRPr="00C22D72">
        <w:rPr>
          <w:rFonts w:cs="Arial"/>
          <w:sz w:val="24"/>
          <w:szCs w:val="24"/>
          <w:lang w:val="en"/>
        </w:rPr>
        <w:t xml:space="preserve">raditions on </w:t>
      </w:r>
      <w:r w:rsidR="00983A5B">
        <w:rPr>
          <w:rFonts w:cs="Arial"/>
          <w:sz w:val="24"/>
          <w:szCs w:val="24"/>
          <w:lang w:val="en"/>
        </w:rPr>
        <w:t>p</w:t>
      </w:r>
      <w:r w:rsidRPr="00C22D72">
        <w:rPr>
          <w:rFonts w:cs="Arial"/>
          <w:sz w:val="24"/>
          <w:szCs w:val="24"/>
          <w:lang w:val="en"/>
        </w:rPr>
        <w:t xml:space="preserve">ublic </w:t>
      </w:r>
      <w:r w:rsidR="00983A5B">
        <w:rPr>
          <w:rFonts w:cs="Arial"/>
          <w:sz w:val="24"/>
          <w:szCs w:val="24"/>
          <w:lang w:val="en"/>
        </w:rPr>
        <w:t>m</w:t>
      </w:r>
      <w:r w:rsidRPr="00C22D72">
        <w:rPr>
          <w:rFonts w:cs="Arial"/>
          <w:sz w:val="24"/>
          <w:szCs w:val="24"/>
          <w:lang w:val="en"/>
        </w:rPr>
        <w:t xml:space="preserve">anagement </w:t>
      </w:r>
      <w:r w:rsidR="00983A5B">
        <w:rPr>
          <w:rFonts w:cs="Arial"/>
          <w:sz w:val="24"/>
          <w:szCs w:val="24"/>
          <w:lang w:val="en"/>
        </w:rPr>
        <w:t>r</w:t>
      </w:r>
      <w:r w:rsidRPr="00C22D72">
        <w:rPr>
          <w:rFonts w:cs="Arial"/>
          <w:sz w:val="24"/>
          <w:szCs w:val="24"/>
          <w:lang w:val="en"/>
        </w:rPr>
        <w:t xml:space="preserve">eform in Europe </w:t>
      </w:r>
      <w:r w:rsidR="00983A5B">
        <w:rPr>
          <w:rFonts w:cs="Arial"/>
          <w:sz w:val="24"/>
          <w:szCs w:val="24"/>
          <w:lang w:val="en"/>
        </w:rPr>
        <w:t>e</w:t>
      </w:r>
      <w:r w:rsidRPr="00C22D72">
        <w:rPr>
          <w:rFonts w:cs="Arial"/>
          <w:sz w:val="24"/>
          <w:szCs w:val="24"/>
          <w:lang w:val="en"/>
        </w:rPr>
        <w:t xml:space="preserve">ast and </w:t>
      </w:r>
      <w:r w:rsidR="00983A5B">
        <w:rPr>
          <w:rFonts w:cs="Arial"/>
          <w:sz w:val="24"/>
          <w:szCs w:val="24"/>
          <w:lang w:val="en"/>
        </w:rPr>
        <w:t>w</w:t>
      </w:r>
      <w:r w:rsidRPr="00C22D72">
        <w:rPr>
          <w:rFonts w:cs="Arial"/>
          <w:sz w:val="24"/>
          <w:szCs w:val="24"/>
          <w:lang w:val="en"/>
        </w:rPr>
        <w:t xml:space="preserve">est’, </w:t>
      </w:r>
      <w:r w:rsidRPr="000B1FCD">
        <w:rPr>
          <w:rFonts w:cs="Arial"/>
          <w:i/>
          <w:sz w:val="24"/>
          <w:szCs w:val="24"/>
          <w:lang w:val="en"/>
        </w:rPr>
        <w:t>Journal of European Public Policy</w:t>
      </w:r>
      <w:r w:rsidRPr="00C22D72">
        <w:rPr>
          <w:rFonts w:cs="Arial"/>
          <w:sz w:val="24"/>
          <w:szCs w:val="24"/>
          <w:lang w:val="en"/>
        </w:rPr>
        <w:t xml:space="preserve"> 18: 311–22.</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Moravcsik, A. (1998)</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Choice for Europe</w:t>
      </w:r>
      <w:r w:rsidR="00031CBC">
        <w:rPr>
          <w:rFonts w:cs="Arial"/>
          <w:i/>
          <w:sz w:val="24"/>
          <w:szCs w:val="24"/>
          <w:lang w:val="en"/>
        </w:rPr>
        <w:t>,</w:t>
      </w:r>
      <w:r w:rsidRPr="00C22D72">
        <w:rPr>
          <w:rFonts w:cs="Arial"/>
          <w:sz w:val="24"/>
          <w:szCs w:val="24"/>
          <w:lang w:val="en"/>
        </w:rPr>
        <w:t xml:space="preserve"> Ithaca: Cornell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Murdoch, Z.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J. Trondal (2013)</w:t>
      </w:r>
      <w:r w:rsidR="00031CBC">
        <w:rPr>
          <w:rFonts w:cs="Arial"/>
          <w:sz w:val="24"/>
          <w:szCs w:val="24"/>
          <w:lang w:val="en"/>
        </w:rPr>
        <w:t>,</w:t>
      </w:r>
      <w:r w:rsidRPr="00C22D72">
        <w:rPr>
          <w:rFonts w:cs="Arial"/>
          <w:sz w:val="24"/>
          <w:szCs w:val="24"/>
          <w:lang w:val="en"/>
        </w:rPr>
        <w:t xml:space="preserve"> ‘Contracted </w:t>
      </w:r>
      <w:r w:rsidR="00983A5B">
        <w:rPr>
          <w:rFonts w:cs="Arial"/>
          <w:sz w:val="24"/>
          <w:szCs w:val="24"/>
          <w:lang w:val="en"/>
        </w:rPr>
        <w:t>g</w:t>
      </w:r>
      <w:r w:rsidRPr="00C22D72">
        <w:rPr>
          <w:rFonts w:cs="Arial"/>
          <w:sz w:val="24"/>
          <w:szCs w:val="24"/>
          <w:lang w:val="en"/>
        </w:rPr>
        <w:t xml:space="preserve">overnment. Unveiling the European Commission’s contracted staff’, </w:t>
      </w:r>
      <w:r w:rsidRPr="000B1FCD">
        <w:rPr>
          <w:rFonts w:cs="Arial"/>
          <w:i/>
          <w:sz w:val="24"/>
          <w:szCs w:val="24"/>
          <w:lang w:val="en"/>
        </w:rPr>
        <w:t>West European Politics</w:t>
      </w:r>
      <w:r w:rsidRPr="00C22D72">
        <w:rPr>
          <w:rFonts w:cs="Arial"/>
          <w:sz w:val="24"/>
          <w:szCs w:val="24"/>
          <w:lang w:val="en"/>
        </w:rPr>
        <w:t xml:space="preserve"> 36(1): 1-21.</w:t>
      </w:r>
    </w:p>
    <w:p w:rsidR="00E24A0B" w:rsidRPr="00754EB1" w:rsidRDefault="00E24A0B" w:rsidP="00E24A0B">
      <w:pPr>
        <w:spacing w:before="120" w:after="120" w:line="480" w:lineRule="auto"/>
        <w:rPr>
          <w:rFonts w:eastAsia="Times New Roman" w:cs="Calibri"/>
          <w:sz w:val="24"/>
          <w:szCs w:val="24"/>
          <w:lang w:val="en-GB"/>
        </w:rPr>
      </w:pPr>
      <w:r>
        <w:rPr>
          <w:rFonts w:eastAsia="Times New Roman" w:cs="Calibri"/>
          <w:sz w:val="24"/>
          <w:szCs w:val="24"/>
          <w:lang w:val="en-GB"/>
        </w:rPr>
        <w:t>Niemann, A. (2006)</w:t>
      </w:r>
      <w:r w:rsidR="00031CBC">
        <w:rPr>
          <w:rFonts w:eastAsia="Times New Roman" w:cs="Calibri"/>
          <w:sz w:val="24"/>
          <w:szCs w:val="24"/>
          <w:lang w:val="en-GB"/>
        </w:rPr>
        <w:t>,</w:t>
      </w:r>
      <w:r>
        <w:rPr>
          <w:rFonts w:eastAsia="Times New Roman" w:cs="Calibri"/>
          <w:sz w:val="24"/>
          <w:szCs w:val="24"/>
          <w:lang w:val="en-GB"/>
        </w:rPr>
        <w:t xml:space="preserve"> </w:t>
      </w:r>
      <w:r w:rsidRPr="00006F66">
        <w:rPr>
          <w:rFonts w:eastAsia="Times New Roman" w:cs="Calibri"/>
          <w:i/>
          <w:sz w:val="24"/>
          <w:szCs w:val="24"/>
          <w:lang w:val="en-GB"/>
        </w:rPr>
        <w:t>Explaining Decisions in the European Union</w:t>
      </w:r>
      <w:r w:rsidR="00031CBC">
        <w:rPr>
          <w:rFonts w:eastAsia="Times New Roman" w:cs="Calibri"/>
          <w:i/>
          <w:sz w:val="24"/>
          <w:szCs w:val="24"/>
          <w:lang w:val="en-GB"/>
        </w:rPr>
        <w:t>,</w:t>
      </w:r>
      <w:r>
        <w:rPr>
          <w:rFonts w:eastAsia="Times New Roman" w:cs="Calibri"/>
          <w:sz w:val="24"/>
          <w:szCs w:val="24"/>
          <w:lang w:val="en-GB"/>
        </w:rPr>
        <w:t xml:space="preserve"> Cambridge: Cambridge University Press.</w:t>
      </w:r>
    </w:p>
    <w:p w:rsidR="00C22D72" w:rsidRPr="00C22D72" w:rsidRDefault="00C22D72" w:rsidP="00C22D72">
      <w:pPr>
        <w:spacing w:before="120" w:after="120" w:line="480" w:lineRule="auto"/>
        <w:rPr>
          <w:rFonts w:cs="Arial"/>
          <w:sz w:val="24"/>
          <w:szCs w:val="24"/>
          <w:lang w:val="en"/>
        </w:rPr>
      </w:pPr>
      <w:r w:rsidRPr="003B3CBE">
        <w:rPr>
          <w:rFonts w:cs="Arial"/>
          <w:sz w:val="24"/>
          <w:szCs w:val="24"/>
        </w:rPr>
        <w:t xml:space="preserve">Niemann, A. </w:t>
      </w:r>
      <w:r w:rsidR="00983A5B" w:rsidRPr="000B1FCD">
        <w:rPr>
          <w:rFonts w:cs="Arial"/>
          <w:sz w:val="24"/>
          <w:szCs w:val="24"/>
        </w:rPr>
        <w:t xml:space="preserve">and </w:t>
      </w:r>
      <w:r w:rsidRPr="000B1FCD">
        <w:rPr>
          <w:rFonts w:cs="Arial"/>
          <w:sz w:val="24"/>
          <w:szCs w:val="24"/>
        </w:rPr>
        <w:t>P.C. Schmitter (2009)</w:t>
      </w:r>
      <w:r w:rsidR="00031CBC">
        <w:rPr>
          <w:rFonts w:cs="Arial"/>
          <w:sz w:val="24"/>
          <w:szCs w:val="24"/>
        </w:rPr>
        <w:t>,</w:t>
      </w:r>
      <w:r w:rsidRPr="000B1FCD">
        <w:rPr>
          <w:rFonts w:cs="Arial"/>
          <w:sz w:val="24"/>
          <w:szCs w:val="24"/>
        </w:rPr>
        <w:t xml:space="preserve"> ‘Neofunctionalism’, i</w:t>
      </w:r>
      <w:r w:rsidR="00983A5B" w:rsidRPr="000B1FCD">
        <w:rPr>
          <w:rFonts w:cs="Arial"/>
          <w:sz w:val="24"/>
          <w:szCs w:val="24"/>
        </w:rPr>
        <w:t>n</w:t>
      </w:r>
      <w:r w:rsidRPr="000B1FCD">
        <w:rPr>
          <w:rFonts w:cs="Arial"/>
          <w:sz w:val="24"/>
          <w:szCs w:val="24"/>
        </w:rPr>
        <w:t xml:space="preserve"> A. Wiener </w:t>
      </w:r>
      <w:r w:rsidR="003B3CBE">
        <w:rPr>
          <w:rFonts w:cs="Arial"/>
          <w:sz w:val="24"/>
          <w:szCs w:val="24"/>
        </w:rPr>
        <w:t>and</w:t>
      </w:r>
      <w:r w:rsidR="003B3CBE" w:rsidRPr="000B1FCD">
        <w:rPr>
          <w:rFonts w:cs="Arial"/>
          <w:sz w:val="24"/>
          <w:szCs w:val="24"/>
        </w:rPr>
        <w:t xml:space="preserve"> </w:t>
      </w:r>
      <w:r w:rsidRPr="000B1FCD">
        <w:rPr>
          <w:rFonts w:cs="Arial"/>
          <w:sz w:val="24"/>
          <w:szCs w:val="24"/>
        </w:rPr>
        <w:t>T. Diez (</w:t>
      </w:r>
      <w:r w:rsidR="00983A5B">
        <w:rPr>
          <w:rFonts w:cs="Arial"/>
          <w:sz w:val="24"/>
          <w:szCs w:val="24"/>
        </w:rPr>
        <w:t>eds</w:t>
      </w:r>
      <w:r w:rsidRPr="000B1FCD">
        <w:rPr>
          <w:rFonts w:cs="Arial"/>
          <w:sz w:val="24"/>
          <w:szCs w:val="24"/>
        </w:rPr>
        <w:t>.)</w:t>
      </w:r>
      <w:r w:rsidR="00031CBC">
        <w:rPr>
          <w:rFonts w:cs="Arial"/>
          <w:sz w:val="24"/>
          <w:szCs w:val="24"/>
        </w:rPr>
        <w:t>,</w:t>
      </w:r>
      <w:r w:rsidRPr="000B1FCD">
        <w:rPr>
          <w:rFonts w:cs="Arial"/>
          <w:sz w:val="24"/>
          <w:szCs w:val="24"/>
        </w:rPr>
        <w:t xml:space="preserve"> </w:t>
      </w:r>
      <w:r w:rsidRPr="000B1FCD">
        <w:rPr>
          <w:rFonts w:cs="Arial"/>
          <w:i/>
          <w:sz w:val="24"/>
          <w:szCs w:val="24"/>
          <w:lang w:val="en"/>
        </w:rPr>
        <w:t>European Integration Theory</w:t>
      </w:r>
      <w:r w:rsidR="00031CBC">
        <w:rPr>
          <w:rFonts w:cs="Arial"/>
          <w:i/>
          <w:sz w:val="24"/>
          <w:szCs w:val="24"/>
          <w:lang w:val="en"/>
        </w:rPr>
        <w:t>,</w:t>
      </w:r>
      <w:r w:rsidRPr="00C22D72">
        <w:rPr>
          <w:rFonts w:cs="Arial"/>
          <w:sz w:val="24"/>
          <w:szCs w:val="24"/>
          <w:lang w:val="en"/>
        </w:rPr>
        <w:t xml:space="preserve"> Oxford: Oxford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lastRenderedPageBreak/>
        <w:t>Olsen, J.P. (2003)</w:t>
      </w:r>
      <w:r w:rsidR="00031CBC">
        <w:rPr>
          <w:rFonts w:cs="Arial"/>
          <w:sz w:val="24"/>
          <w:szCs w:val="24"/>
          <w:lang w:val="en"/>
        </w:rPr>
        <w:t>,</w:t>
      </w:r>
      <w:r w:rsidRPr="00C22D72">
        <w:rPr>
          <w:rFonts w:cs="Arial"/>
          <w:sz w:val="24"/>
          <w:szCs w:val="24"/>
          <w:lang w:val="en"/>
        </w:rPr>
        <w:t xml:space="preserve"> ‘Towards a European administrative space?’, </w:t>
      </w:r>
      <w:r w:rsidRPr="000B1FCD">
        <w:rPr>
          <w:rFonts w:cs="Arial"/>
          <w:i/>
          <w:sz w:val="24"/>
          <w:szCs w:val="24"/>
          <w:lang w:val="en"/>
        </w:rPr>
        <w:t>Journal of European Public Policy</w:t>
      </w:r>
      <w:r w:rsidRPr="00C22D72">
        <w:rPr>
          <w:rFonts w:cs="Arial"/>
          <w:sz w:val="24"/>
          <w:szCs w:val="24"/>
          <w:lang w:val="en"/>
        </w:rPr>
        <w:t xml:space="preserve"> 10(4): 506-31.</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Olsen, J. P. (2007)</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Europe in Search of Political Order</w:t>
      </w:r>
      <w:r w:rsidR="00031CBC">
        <w:rPr>
          <w:rFonts w:cs="Arial"/>
          <w:i/>
          <w:sz w:val="24"/>
          <w:szCs w:val="24"/>
          <w:lang w:val="en"/>
        </w:rPr>
        <w:t>,</w:t>
      </w:r>
      <w:r w:rsidRPr="00C22D72">
        <w:rPr>
          <w:rFonts w:cs="Arial"/>
          <w:sz w:val="24"/>
          <w:szCs w:val="24"/>
          <w:lang w:val="en"/>
        </w:rPr>
        <w:t xml:space="preserve"> Oxford: Oxford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Orren, K.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S. Skowronek (2004)</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Search for American Political Development</w:t>
      </w:r>
      <w:r w:rsidR="00031CBC">
        <w:rPr>
          <w:rFonts w:cs="Arial"/>
          <w:sz w:val="24"/>
          <w:szCs w:val="24"/>
          <w:lang w:val="en"/>
        </w:rPr>
        <w:t>,</w:t>
      </w:r>
      <w:r w:rsidRPr="00C22D72">
        <w:rPr>
          <w:rFonts w:cs="Arial"/>
          <w:sz w:val="24"/>
          <w:szCs w:val="24"/>
          <w:lang w:val="en"/>
        </w:rPr>
        <w:t xml:space="preserve"> Cambridge: Cambridge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Padgett, J.F.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W.W. Powell (2012)</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Emergence of Organizations and Markets</w:t>
      </w:r>
      <w:r w:rsidR="00031CBC">
        <w:rPr>
          <w:rFonts w:cs="Arial"/>
          <w:i/>
          <w:sz w:val="24"/>
          <w:szCs w:val="24"/>
          <w:lang w:val="en"/>
        </w:rPr>
        <w:t>,</w:t>
      </w:r>
      <w:r w:rsidRPr="00C22D72">
        <w:rPr>
          <w:rFonts w:cs="Arial"/>
          <w:sz w:val="24"/>
          <w:szCs w:val="24"/>
          <w:lang w:val="en"/>
        </w:rPr>
        <w:t xml:space="preserve"> Princeton: Princeton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Painter, M. </w:t>
      </w:r>
      <w:r w:rsidR="00983A5B">
        <w:rPr>
          <w:rFonts w:cs="Arial"/>
          <w:sz w:val="24"/>
          <w:szCs w:val="24"/>
          <w:lang w:val="en"/>
        </w:rPr>
        <w:t>and</w:t>
      </w:r>
      <w:r w:rsidR="00983A5B" w:rsidRPr="00C22D72">
        <w:rPr>
          <w:rFonts w:cs="Arial"/>
          <w:sz w:val="24"/>
          <w:szCs w:val="24"/>
          <w:lang w:val="en"/>
        </w:rPr>
        <w:t xml:space="preserve"> </w:t>
      </w:r>
      <w:r w:rsidRPr="00C22D72">
        <w:rPr>
          <w:rFonts w:cs="Arial"/>
          <w:sz w:val="24"/>
          <w:szCs w:val="24"/>
          <w:lang w:val="en"/>
        </w:rPr>
        <w:t>B.G. Peters (</w:t>
      </w:r>
      <w:r w:rsidR="00983A5B">
        <w:rPr>
          <w:rFonts w:cs="Arial"/>
          <w:sz w:val="24"/>
          <w:szCs w:val="24"/>
          <w:lang w:val="en"/>
        </w:rPr>
        <w:t>eds</w:t>
      </w:r>
      <w:r w:rsidRPr="00C22D72">
        <w:rPr>
          <w:rFonts w:cs="Arial"/>
          <w:sz w:val="24"/>
          <w:szCs w:val="24"/>
          <w:lang w:val="en"/>
        </w:rPr>
        <w:t>.)</w:t>
      </w:r>
      <w:r w:rsidR="00983A5B">
        <w:rPr>
          <w:rFonts w:cs="Arial"/>
          <w:sz w:val="24"/>
          <w:szCs w:val="24"/>
          <w:lang w:val="en"/>
        </w:rPr>
        <w:t xml:space="preserve"> (2010)</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Tradition and Public Administration</w:t>
      </w:r>
      <w:r w:rsidR="00031CBC">
        <w:rPr>
          <w:rFonts w:cs="Arial"/>
          <w:i/>
          <w:sz w:val="24"/>
          <w:szCs w:val="24"/>
          <w:lang w:val="en"/>
        </w:rPr>
        <w:t>,</w:t>
      </w:r>
      <w:r w:rsidRPr="00C22D72">
        <w:rPr>
          <w:rFonts w:cs="Arial"/>
          <w:sz w:val="24"/>
          <w:szCs w:val="24"/>
          <w:lang w:val="en"/>
        </w:rPr>
        <w:t xml:space="preserve"> Houndmills: Palgrave Macmillan.</w:t>
      </w:r>
    </w:p>
    <w:p w:rsidR="00077F03" w:rsidRDefault="00077F03" w:rsidP="00C22D72">
      <w:pPr>
        <w:spacing w:before="120" w:after="120" w:line="480" w:lineRule="auto"/>
        <w:rPr>
          <w:rFonts w:cs="Arial"/>
          <w:sz w:val="24"/>
          <w:szCs w:val="24"/>
          <w:lang w:val="en"/>
        </w:rPr>
      </w:pPr>
      <w:r w:rsidRPr="00077F03">
        <w:rPr>
          <w:rFonts w:cs="Arial"/>
          <w:sz w:val="24"/>
          <w:szCs w:val="24"/>
          <w:lang w:val="en"/>
        </w:rPr>
        <w:t>Peters, B.G. (2004)</w:t>
      </w:r>
      <w:r w:rsidR="00031CBC">
        <w:rPr>
          <w:rFonts w:cs="Arial"/>
          <w:sz w:val="24"/>
          <w:szCs w:val="24"/>
          <w:lang w:val="en"/>
        </w:rPr>
        <w:t>,</w:t>
      </w:r>
      <w:r w:rsidRPr="00077F03">
        <w:rPr>
          <w:rFonts w:cs="Arial"/>
          <w:sz w:val="24"/>
          <w:szCs w:val="24"/>
          <w:lang w:val="en"/>
        </w:rPr>
        <w:t xml:space="preserve"> ‘Back to the centre?: Rebuilding the state’, in G. Gamble (ed.)</w:t>
      </w:r>
      <w:r w:rsidR="00031CBC">
        <w:rPr>
          <w:rFonts w:cs="Arial"/>
          <w:sz w:val="24"/>
          <w:szCs w:val="24"/>
          <w:lang w:val="en"/>
        </w:rPr>
        <w:t>,</w:t>
      </w:r>
      <w:r w:rsidRPr="00077F03">
        <w:rPr>
          <w:rFonts w:cs="Arial"/>
          <w:sz w:val="24"/>
          <w:szCs w:val="24"/>
          <w:lang w:val="en"/>
        </w:rPr>
        <w:t xml:space="preserve"> </w:t>
      </w:r>
      <w:r w:rsidRPr="00077F03">
        <w:rPr>
          <w:rFonts w:cs="Arial"/>
          <w:i/>
          <w:sz w:val="24"/>
          <w:szCs w:val="24"/>
          <w:lang w:val="en"/>
        </w:rPr>
        <w:t>Restating the State</w:t>
      </w:r>
      <w:r w:rsidR="00031CBC">
        <w:rPr>
          <w:rFonts w:cs="Arial"/>
          <w:i/>
          <w:sz w:val="24"/>
          <w:szCs w:val="24"/>
          <w:lang w:val="en"/>
        </w:rPr>
        <w:t>,</w:t>
      </w:r>
      <w:r w:rsidRPr="00077F03">
        <w:rPr>
          <w:rFonts w:cs="Arial"/>
          <w:sz w:val="24"/>
          <w:szCs w:val="24"/>
          <w:lang w:val="en"/>
        </w:rPr>
        <w:t xml:space="preserve"> Oxford: Basil Blackwell.</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Piattoni, S. (2010)</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Theory of Multi-level Governance</w:t>
      </w:r>
      <w:r w:rsidR="00031CBC">
        <w:rPr>
          <w:rFonts w:cs="Arial"/>
          <w:i/>
          <w:sz w:val="24"/>
          <w:szCs w:val="24"/>
          <w:lang w:val="en"/>
        </w:rPr>
        <w:t>,</w:t>
      </w:r>
      <w:r w:rsidRPr="00C22D72">
        <w:rPr>
          <w:rFonts w:cs="Arial"/>
          <w:sz w:val="24"/>
          <w:szCs w:val="24"/>
          <w:lang w:val="en"/>
        </w:rPr>
        <w:t xml:space="preserve"> Oxford: Oxford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Pogunthe, T. </w:t>
      </w:r>
      <w:r w:rsidR="000B1FCD">
        <w:rPr>
          <w:rFonts w:cs="Arial"/>
          <w:sz w:val="24"/>
          <w:szCs w:val="24"/>
          <w:lang w:val="en"/>
        </w:rPr>
        <w:t>and</w:t>
      </w:r>
      <w:r w:rsidR="000B1FCD" w:rsidRPr="00C22D72">
        <w:rPr>
          <w:rFonts w:cs="Arial"/>
          <w:sz w:val="24"/>
          <w:szCs w:val="24"/>
          <w:lang w:val="en"/>
        </w:rPr>
        <w:t xml:space="preserve"> </w:t>
      </w:r>
      <w:r w:rsidRPr="00C22D72">
        <w:rPr>
          <w:rFonts w:cs="Arial"/>
          <w:sz w:val="24"/>
          <w:szCs w:val="24"/>
          <w:lang w:val="en"/>
        </w:rPr>
        <w:t>P. Webb (</w:t>
      </w:r>
      <w:r w:rsidR="000B1FCD">
        <w:rPr>
          <w:rFonts w:cs="Arial"/>
          <w:sz w:val="24"/>
          <w:szCs w:val="24"/>
          <w:lang w:val="en"/>
        </w:rPr>
        <w:t>eds</w:t>
      </w:r>
      <w:r w:rsidRPr="00C22D72">
        <w:rPr>
          <w:rFonts w:cs="Arial"/>
          <w:sz w:val="24"/>
          <w:szCs w:val="24"/>
          <w:lang w:val="en"/>
        </w:rPr>
        <w:t>.) (2005)</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 xml:space="preserve">The </w:t>
      </w:r>
      <w:r w:rsidR="000B1FCD" w:rsidRPr="000B1FCD">
        <w:rPr>
          <w:rFonts w:cs="Arial"/>
          <w:i/>
          <w:sz w:val="24"/>
          <w:szCs w:val="24"/>
          <w:lang w:val="en"/>
        </w:rPr>
        <w:t>P</w:t>
      </w:r>
      <w:r w:rsidRPr="000B1FCD">
        <w:rPr>
          <w:rFonts w:cs="Arial"/>
          <w:i/>
          <w:sz w:val="24"/>
          <w:szCs w:val="24"/>
          <w:lang w:val="en"/>
        </w:rPr>
        <w:t xml:space="preserve">residentialization of </w:t>
      </w:r>
      <w:r w:rsidR="000B1FCD" w:rsidRPr="000B1FCD">
        <w:rPr>
          <w:rFonts w:cs="Arial"/>
          <w:i/>
          <w:sz w:val="24"/>
          <w:szCs w:val="24"/>
          <w:lang w:val="en"/>
        </w:rPr>
        <w:t>P</w:t>
      </w:r>
      <w:r w:rsidRPr="000B1FCD">
        <w:rPr>
          <w:rFonts w:cs="Arial"/>
          <w:i/>
          <w:sz w:val="24"/>
          <w:szCs w:val="24"/>
          <w:lang w:val="en"/>
        </w:rPr>
        <w:t>olitics</w:t>
      </w:r>
      <w:r w:rsidR="00031CBC">
        <w:rPr>
          <w:rFonts w:cs="Arial"/>
          <w:i/>
          <w:sz w:val="24"/>
          <w:szCs w:val="24"/>
          <w:lang w:val="en"/>
        </w:rPr>
        <w:t>,</w:t>
      </w:r>
      <w:r w:rsidRPr="00C22D72">
        <w:rPr>
          <w:rFonts w:cs="Arial"/>
          <w:sz w:val="24"/>
          <w:szCs w:val="24"/>
          <w:lang w:val="en"/>
        </w:rPr>
        <w:t xml:space="preserve"> Oxford: Oxford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Raadschelders, J.C.N. (2011)</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Public Administration</w:t>
      </w:r>
      <w:r w:rsidR="00031CBC">
        <w:rPr>
          <w:rFonts w:cs="Arial"/>
          <w:i/>
          <w:sz w:val="24"/>
          <w:szCs w:val="24"/>
          <w:lang w:val="en"/>
        </w:rPr>
        <w:t>,</w:t>
      </w:r>
      <w:r w:rsidRPr="00C22D72">
        <w:rPr>
          <w:rFonts w:cs="Arial"/>
          <w:sz w:val="24"/>
          <w:szCs w:val="24"/>
          <w:lang w:val="en"/>
        </w:rPr>
        <w:t xml:space="preserve"> Oxford: Oxford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Rittberger, B. </w:t>
      </w:r>
      <w:r w:rsidR="000B1FCD">
        <w:rPr>
          <w:rFonts w:cs="Arial"/>
          <w:sz w:val="24"/>
          <w:szCs w:val="24"/>
          <w:lang w:val="en"/>
        </w:rPr>
        <w:t>and</w:t>
      </w:r>
      <w:r w:rsidR="000B1FCD" w:rsidRPr="00C22D72">
        <w:rPr>
          <w:rFonts w:cs="Arial"/>
          <w:sz w:val="24"/>
          <w:szCs w:val="24"/>
          <w:lang w:val="en"/>
        </w:rPr>
        <w:t xml:space="preserve"> </w:t>
      </w:r>
      <w:r w:rsidRPr="00C22D72">
        <w:rPr>
          <w:rFonts w:cs="Arial"/>
          <w:sz w:val="24"/>
          <w:szCs w:val="24"/>
          <w:lang w:val="en"/>
        </w:rPr>
        <w:t>A. Wonka (2011)</w:t>
      </w:r>
      <w:r w:rsidR="00031CBC">
        <w:rPr>
          <w:rFonts w:cs="Arial"/>
          <w:sz w:val="24"/>
          <w:szCs w:val="24"/>
          <w:lang w:val="en"/>
        </w:rPr>
        <w:t>,</w:t>
      </w:r>
      <w:r w:rsidRPr="00C22D72">
        <w:rPr>
          <w:rFonts w:cs="Arial"/>
          <w:sz w:val="24"/>
          <w:szCs w:val="24"/>
          <w:lang w:val="en"/>
        </w:rPr>
        <w:t xml:space="preserve"> ’Introduction: Agency governance in the European Union’, </w:t>
      </w:r>
      <w:r w:rsidRPr="000B1FCD">
        <w:rPr>
          <w:rFonts w:cs="Arial"/>
          <w:i/>
          <w:sz w:val="24"/>
          <w:szCs w:val="24"/>
          <w:lang w:val="en"/>
        </w:rPr>
        <w:t>Journal of European Public Policy</w:t>
      </w:r>
      <w:r w:rsidRPr="00C22D72">
        <w:rPr>
          <w:rFonts w:cs="Arial"/>
          <w:sz w:val="24"/>
          <w:szCs w:val="24"/>
          <w:lang w:val="en"/>
        </w:rPr>
        <w:t xml:space="preserve"> 18: 780–</w:t>
      </w:r>
      <w:r w:rsidR="000B1FCD">
        <w:rPr>
          <w:rFonts w:cs="Arial"/>
          <w:sz w:val="24"/>
          <w:szCs w:val="24"/>
          <w:lang w:val="en"/>
        </w:rPr>
        <w:t>8</w:t>
      </w:r>
      <w:r w:rsidRPr="00C22D72">
        <w:rPr>
          <w:rFonts w:cs="Arial"/>
          <w:sz w:val="24"/>
          <w:szCs w:val="24"/>
          <w:lang w:val="en"/>
        </w:rPr>
        <w:t>9.</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Reinalda, B. (2013)</w:t>
      </w:r>
      <w:r w:rsidR="00031CBC">
        <w:rPr>
          <w:rFonts w:cs="Arial"/>
          <w:sz w:val="24"/>
          <w:szCs w:val="24"/>
          <w:lang w:val="en"/>
        </w:rPr>
        <w:t>,</w:t>
      </w:r>
      <w:r w:rsidRPr="00C22D72">
        <w:rPr>
          <w:rFonts w:cs="Arial"/>
          <w:sz w:val="24"/>
          <w:szCs w:val="24"/>
          <w:lang w:val="en"/>
        </w:rPr>
        <w:t xml:space="preserve"> ‘International organization as a field of research since 1910’, i</w:t>
      </w:r>
      <w:r w:rsidR="000B1FCD">
        <w:rPr>
          <w:rFonts w:cs="Arial"/>
          <w:sz w:val="24"/>
          <w:szCs w:val="24"/>
          <w:lang w:val="en"/>
        </w:rPr>
        <w:t>n</w:t>
      </w:r>
      <w:r w:rsidRPr="00C22D72">
        <w:rPr>
          <w:rFonts w:cs="Arial"/>
          <w:sz w:val="24"/>
          <w:szCs w:val="24"/>
          <w:lang w:val="en"/>
        </w:rPr>
        <w:t xml:space="preserve"> B. Reinalda (ed.)</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Routledge Handbook of International Organization</w:t>
      </w:r>
      <w:r w:rsidR="00031CBC">
        <w:rPr>
          <w:rFonts w:cs="Arial"/>
          <w:i/>
          <w:sz w:val="24"/>
          <w:szCs w:val="24"/>
          <w:lang w:val="en"/>
        </w:rPr>
        <w:t>,</w:t>
      </w:r>
      <w:r w:rsidRPr="00C22D72">
        <w:rPr>
          <w:rFonts w:cs="Arial"/>
          <w:sz w:val="24"/>
          <w:szCs w:val="24"/>
          <w:lang w:val="en"/>
        </w:rPr>
        <w:t xml:space="preserve"> London: Routledge.</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lastRenderedPageBreak/>
        <w:t>Rochester, M. J. (1986)</w:t>
      </w:r>
      <w:r w:rsidR="00031CBC">
        <w:rPr>
          <w:rFonts w:cs="Arial"/>
          <w:sz w:val="24"/>
          <w:szCs w:val="24"/>
          <w:lang w:val="en"/>
        </w:rPr>
        <w:t>,</w:t>
      </w:r>
      <w:r w:rsidRPr="00C22D72">
        <w:rPr>
          <w:rFonts w:cs="Arial"/>
          <w:sz w:val="24"/>
          <w:szCs w:val="24"/>
          <w:lang w:val="en"/>
        </w:rPr>
        <w:t xml:space="preserve"> ‘The </w:t>
      </w:r>
      <w:r w:rsidR="000B1FCD">
        <w:rPr>
          <w:rFonts w:cs="Arial"/>
          <w:sz w:val="24"/>
          <w:szCs w:val="24"/>
          <w:lang w:val="en"/>
        </w:rPr>
        <w:t>r</w:t>
      </w:r>
      <w:r w:rsidRPr="00C22D72">
        <w:rPr>
          <w:rFonts w:cs="Arial"/>
          <w:sz w:val="24"/>
          <w:szCs w:val="24"/>
          <w:lang w:val="en"/>
        </w:rPr>
        <w:t xml:space="preserve">ise and </w:t>
      </w:r>
      <w:r w:rsidR="000B1FCD">
        <w:rPr>
          <w:rFonts w:cs="Arial"/>
          <w:sz w:val="24"/>
          <w:szCs w:val="24"/>
          <w:lang w:val="en"/>
        </w:rPr>
        <w:t>f</w:t>
      </w:r>
      <w:r w:rsidRPr="00C22D72">
        <w:rPr>
          <w:rFonts w:cs="Arial"/>
          <w:sz w:val="24"/>
          <w:szCs w:val="24"/>
          <w:lang w:val="en"/>
        </w:rPr>
        <w:t xml:space="preserve">all of </w:t>
      </w:r>
      <w:r w:rsidR="000B1FCD">
        <w:rPr>
          <w:rFonts w:cs="Arial"/>
          <w:sz w:val="24"/>
          <w:szCs w:val="24"/>
          <w:lang w:val="en"/>
        </w:rPr>
        <w:t>i</w:t>
      </w:r>
      <w:r w:rsidRPr="00C22D72">
        <w:rPr>
          <w:rFonts w:cs="Arial"/>
          <w:sz w:val="24"/>
          <w:szCs w:val="24"/>
          <w:lang w:val="en"/>
        </w:rPr>
        <w:t xml:space="preserve">nternational </w:t>
      </w:r>
      <w:r w:rsidR="000B1FCD">
        <w:rPr>
          <w:rFonts w:cs="Arial"/>
          <w:sz w:val="24"/>
          <w:szCs w:val="24"/>
          <w:lang w:val="en"/>
        </w:rPr>
        <w:t>o</w:t>
      </w:r>
      <w:r w:rsidRPr="00C22D72">
        <w:rPr>
          <w:rFonts w:cs="Arial"/>
          <w:sz w:val="24"/>
          <w:szCs w:val="24"/>
          <w:lang w:val="en"/>
        </w:rPr>
        <w:t xml:space="preserve">rganization as a </w:t>
      </w:r>
      <w:r w:rsidR="000B1FCD">
        <w:rPr>
          <w:rFonts w:cs="Arial"/>
          <w:sz w:val="24"/>
          <w:szCs w:val="24"/>
          <w:lang w:val="en"/>
        </w:rPr>
        <w:t>f</w:t>
      </w:r>
      <w:r w:rsidRPr="00C22D72">
        <w:rPr>
          <w:rFonts w:cs="Arial"/>
          <w:sz w:val="24"/>
          <w:szCs w:val="24"/>
          <w:lang w:val="en"/>
        </w:rPr>
        <w:t xml:space="preserve">ield of </w:t>
      </w:r>
      <w:r w:rsidR="000B1FCD">
        <w:rPr>
          <w:rFonts w:cs="Arial"/>
          <w:sz w:val="24"/>
          <w:szCs w:val="24"/>
          <w:lang w:val="en"/>
        </w:rPr>
        <w:t>s</w:t>
      </w:r>
      <w:r w:rsidRPr="00C22D72">
        <w:rPr>
          <w:rFonts w:cs="Arial"/>
          <w:sz w:val="24"/>
          <w:szCs w:val="24"/>
          <w:lang w:val="en"/>
        </w:rPr>
        <w:t xml:space="preserve">tudy’, </w:t>
      </w:r>
      <w:r w:rsidRPr="000B1FCD">
        <w:rPr>
          <w:rFonts w:cs="Arial"/>
          <w:i/>
          <w:sz w:val="24"/>
          <w:szCs w:val="24"/>
          <w:lang w:val="en"/>
        </w:rPr>
        <w:t>International Organization</w:t>
      </w:r>
      <w:r w:rsidRPr="00C22D72">
        <w:rPr>
          <w:rFonts w:cs="Arial"/>
          <w:sz w:val="24"/>
          <w:szCs w:val="24"/>
          <w:lang w:val="en"/>
        </w:rPr>
        <w:t xml:space="preserve"> 40: 777–813.</w:t>
      </w:r>
    </w:p>
    <w:p w:rsidR="00EB01F6" w:rsidRDefault="00EB01F6" w:rsidP="00C22D72">
      <w:pPr>
        <w:spacing w:before="120" w:after="120" w:line="480" w:lineRule="auto"/>
        <w:rPr>
          <w:rFonts w:cs="Arial"/>
          <w:sz w:val="24"/>
          <w:szCs w:val="24"/>
          <w:lang w:val="en"/>
        </w:rPr>
      </w:pPr>
      <w:r w:rsidRPr="00EB01F6">
        <w:rPr>
          <w:rFonts w:cs="Arial"/>
          <w:sz w:val="24"/>
          <w:szCs w:val="24"/>
          <w:lang w:val="en"/>
        </w:rPr>
        <w:t>Saint-Simon, H. (1964)</w:t>
      </w:r>
      <w:r>
        <w:rPr>
          <w:rFonts w:cs="Arial"/>
          <w:sz w:val="24"/>
          <w:szCs w:val="24"/>
          <w:lang w:val="en"/>
        </w:rPr>
        <w:t>,</w:t>
      </w:r>
      <w:r w:rsidRPr="00EB01F6">
        <w:rPr>
          <w:rFonts w:cs="Arial"/>
          <w:sz w:val="24"/>
          <w:szCs w:val="24"/>
          <w:lang w:val="en"/>
        </w:rPr>
        <w:t xml:space="preserve"> </w:t>
      </w:r>
      <w:r w:rsidRPr="00EB01F6">
        <w:rPr>
          <w:rFonts w:cs="Arial"/>
          <w:i/>
          <w:sz w:val="24"/>
          <w:szCs w:val="24"/>
          <w:lang w:val="en"/>
        </w:rPr>
        <w:t>Social organization, the science of man and other writings</w:t>
      </w:r>
      <w:r>
        <w:rPr>
          <w:rFonts w:cs="Arial"/>
          <w:i/>
          <w:sz w:val="24"/>
          <w:szCs w:val="24"/>
          <w:lang w:val="en"/>
        </w:rPr>
        <w:t>,</w:t>
      </w:r>
      <w:r w:rsidRPr="00EB01F6">
        <w:rPr>
          <w:rFonts w:cs="Arial"/>
          <w:sz w:val="24"/>
          <w:szCs w:val="24"/>
          <w:lang w:val="en"/>
        </w:rPr>
        <w:t xml:space="preserve"> New York: Harper Torchbooks.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Schattschneider, E. E. (1975)</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Semisovereign People</w:t>
      </w:r>
      <w:r w:rsidR="00031CBC">
        <w:rPr>
          <w:rFonts w:cs="Arial"/>
          <w:i/>
          <w:sz w:val="24"/>
          <w:szCs w:val="24"/>
          <w:lang w:val="en"/>
        </w:rPr>
        <w:t>,</w:t>
      </w:r>
      <w:r w:rsidRPr="00C22D72">
        <w:rPr>
          <w:rFonts w:cs="Arial"/>
          <w:sz w:val="24"/>
          <w:szCs w:val="24"/>
          <w:lang w:val="en"/>
        </w:rPr>
        <w:t xml:space="preserve"> Fort Worth: Harcourt Brace Jovanovich College Publishers.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Siedentopf, H. o</w:t>
      </w:r>
      <w:r w:rsidR="000B1FCD">
        <w:rPr>
          <w:rFonts w:cs="Arial"/>
          <w:sz w:val="24"/>
          <w:szCs w:val="24"/>
          <w:lang w:val="en"/>
        </w:rPr>
        <w:t>and</w:t>
      </w:r>
      <w:r w:rsidRPr="00C22D72">
        <w:rPr>
          <w:rFonts w:cs="Arial"/>
          <w:sz w:val="24"/>
          <w:szCs w:val="24"/>
          <w:lang w:val="en"/>
        </w:rPr>
        <w:t>g J. Ziller (1988)</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Making European Policies Work: The Implementation of Community Legislation in the Member States. Volume I: Comparative Syntheses</w:t>
      </w:r>
      <w:r w:rsidR="00031CBC">
        <w:rPr>
          <w:rFonts w:cs="Arial"/>
          <w:i/>
          <w:sz w:val="24"/>
          <w:szCs w:val="24"/>
          <w:lang w:val="en"/>
        </w:rPr>
        <w:t>,</w:t>
      </w:r>
      <w:r w:rsidRPr="00C22D72">
        <w:rPr>
          <w:rFonts w:cs="Arial"/>
          <w:sz w:val="24"/>
          <w:szCs w:val="24"/>
          <w:lang w:val="en"/>
        </w:rPr>
        <w:t xml:space="preserve"> EIPA: Bruylant: SAGE.</w:t>
      </w:r>
    </w:p>
    <w:p w:rsidR="00C22D72" w:rsidRDefault="00C22D72" w:rsidP="00C22D72">
      <w:pPr>
        <w:spacing w:before="120" w:after="120" w:line="480" w:lineRule="auto"/>
        <w:rPr>
          <w:rFonts w:cs="Arial"/>
          <w:sz w:val="24"/>
          <w:szCs w:val="24"/>
          <w:lang w:val="en"/>
        </w:rPr>
      </w:pPr>
      <w:r w:rsidRPr="00C22D72">
        <w:rPr>
          <w:rFonts w:cs="Arial"/>
          <w:sz w:val="24"/>
          <w:szCs w:val="24"/>
          <w:lang w:val="en"/>
        </w:rPr>
        <w:t>Simon, H.A. (1957)</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Administrative Behavior</w:t>
      </w:r>
      <w:r w:rsidR="00031CBC">
        <w:rPr>
          <w:rFonts w:cs="Arial"/>
          <w:i/>
          <w:sz w:val="24"/>
          <w:szCs w:val="24"/>
          <w:lang w:val="en"/>
        </w:rPr>
        <w:t>,</w:t>
      </w:r>
      <w:r w:rsidRPr="00C22D72">
        <w:rPr>
          <w:rFonts w:cs="Arial"/>
          <w:sz w:val="24"/>
          <w:szCs w:val="24"/>
          <w:lang w:val="en"/>
        </w:rPr>
        <w:t xml:space="preserve"> Second Edition. New York: Macmillan.</w:t>
      </w:r>
    </w:p>
    <w:p w:rsidR="00E24A0B" w:rsidRPr="00C22D72" w:rsidRDefault="00E24A0B" w:rsidP="00C22D72">
      <w:pPr>
        <w:spacing w:before="120" w:after="120" w:line="480" w:lineRule="auto"/>
        <w:rPr>
          <w:rFonts w:cs="Arial"/>
          <w:sz w:val="24"/>
          <w:szCs w:val="24"/>
          <w:lang w:val="en"/>
        </w:rPr>
      </w:pPr>
      <w:r>
        <w:rPr>
          <w:rFonts w:cs="Arial"/>
          <w:sz w:val="24"/>
          <w:szCs w:val="24"/>
          <w:lang w:val="en"/>
        </w:rPr>
        <w:t>Sverdrup, U. and J. Trondal (eds.) (2008)</w:t>
      </w:r>
      <w:r w:rsidR="00031CBC">
        <w:rPr>
          <w:rFonts w:cs="Arial"/>
          <w:sz w:val="24"/>
          <w:szCs w:val="24"/>
          <w:lang w:val="en"/>
        </w:rPr>
        <w:t>,</w:t>
      </w:r>
      <w:r>
        <w:rPr>
          <w:rFonts w:cs="Arial"/>
          <w:sz w:val="24"/>
          <w:szCs w:val="24"/>
          <w:lang w:val="en"/>
        </w:rPr>
        <w:t xml:space="preserve"> </w:t>
      </w:r>
      <w:r w:rsidRPr="00E24A0B">
        <w:rPr>
          <w:rFonts w:cs="Arial"/>
          <w:i/>
          <w:sz w:val="24"/>
          <w:szCs w:val="24"/>
          <w:lang w:val="en"/>
        </w:rPr>
        <w:t>The Organizational Dimension of Politics</w:t>
      </w:r>
      <w:r w:rsidR="00031CBC">
        <w:rPr>
          <w:rFonts w:cs="Arial"/>
          <w:i/>
          <w:sz w:val="24"/>
          <w:szCs w:val="24"/>
          <w:lang w:val="en"/>
        </w:rPr>
        <w:t>,</w:t>
      </w:r>
      <w:r>
        <w:rPr>
          <w:rFonts w:cs="Arial"/>
          <w:sz w:val="24"/>
          <w:szCs w:val="24"/>
          <w:lang w:val="en"/>
        </w:rPr>
        <w:t xml:space="preserve"> Bergen: Fagbokforlaget.</w:t>
      </w:r>
    </w:p>
    <w:p w:rsidR="00BC2927" w:rsidRDefault="00BC2927" w:rsidP="00C22D72">
      <w:pPr>
        <w:spacing w:before="120" w:after="120" w:line="480" w:lineRule="auto"/>
        <w:rPr>
          <w:rFonts w:cs="Arial"/>
          <w:sz w:val="24"/>
          <w:szCs w:val="24"/>
          <w:lang w:val="en"/>
        </w:rPr>
      </w:pPr>
      <w:r w:rsidRPr="00BC2927">
        <w:rPr>
          <w:rFonts w:cs="Arial"/>
          <w:sz w:val="24"/>
          <w:szCs w:val="24"/>
          <w:lang w:val="en"/>
        </w:rPr>
        <w:t xml:space="preserve">Tamuz, M. and E.T. Lewis. </w:t>
      </w:r>
      <w:r>
        <w:rPr>
          <w:rFonts w:cs="Arial"/>
          <w:sz w:val="24"/>
          <w:szCs w:val="24"/>
          <w:lang w:val="en"/>
        </w:rPr>
        <w:t>(</w:t>
      </w:r>
      <w:r w:rsidRPr="00BC2927">
        <w:rPr>
          <w:rFonts w:cs="Arial"/>
          <w:sz w:val="24"/>
          <w:szCs w:val="24"/>
          <w:lang w:val="en"/>
        </w:rPr>
        <w:t>2008</w:t>
      </w:r>
      <w:r>
        <w:rPr>
          <w:rFonts w:cs="Arial"/>
          <w:sz w:val="24"/>
          <w:szCs w:val="24"/>
          <w:lang w:val="en"/>
        </w:rPr>
        <w:t>)</w:t>
      </w:r>
      <w:r w:rsidR="00031CBC">
        <w:rPr>
          <w:rFonts w:cs="Arial"/>
          <w:sz w:val="24"/>
          <w:szCs w:val="24"/>
          <w:lang w:val="en"/>
        </w:rPr>
        <w:t>,</w:t>
      </w:r>
      <w:r w:rsidRPr="00BC2927">
        <w:rPr>
          <w:rFonts w:cs="Arial"/>
          <w:sz w:val="24"/>
          <w:szCs w:val="24"/>
          <w:lang w:val="en"/>
        </w:rPr>
        <w:t xml:space="preserve"> </w:t>
      </w:r>
      <w:r>
        <w:rPr>
          <w:rFonts w:cs="Arial"/>
          <w:sz w:val="24"/>
          <w:szCs w:val="24"/>
          <w:lang w:val="en"/>
        </w:rPr>
        <w:t>‘</w:t>
      </w:r>
      <w:r w:rsidRPr="00BC2927">
        <w:rPr>
          <w:rFonts w:cs="Arial"/>
          <w:sz w:val="24"/>
          <w:szCs w:val="24"/>
          <w:lang w:val="en"/>
        </w:rPr>
        <w:t>Facing the threat of disaster: Decision making when the stakes are high</w:t>
      </w:r>
      <w:r>
        <w:rPr>
          <w:rFonts w:cs="Arial"/>
          <w:sz w:val="24"/>
          <w:szCs w:val="24"/>
          <w:lang w:val="en"/>
        </w:rPr>
        <w:t>’,</w:t>
      </w:r>
      <w:r w:rsidRPr="00BC2927">
        <w:rPr>
          <w:rFonts w:cs="Arial"/>
          <w:sz w:val="24"/>
          <w:szCs w:val="24"/>
          <w:lang w:val="en"/>
        </w:rPr>
        <w:t xml:space="preserve"> </w:t>
      </w:r>
      <w:r>
        <w:rPr>
          <w:rFonts w:cs="Arial"/>
          <w:sz w:val="24"/>
          <w:szCs w:val="24"/>
          <w:lang w:val="en"/>
        </w:rPr>
        <w:t>i</w:t>
      </w:r>
      <w:r w:rsidRPr="00BC2927">
        <w:rPr>
          <w:rFonts w:cs="Arial"/>
          <w:sz w:val="24"/>
          <w:szCs w:val="24"/>
          <w:lang w:val="en"/>
        </w:rPr>
        <w:t>n G.P. Hodgkinson and W.H. Starbuck (eds.)</w:t>
      </w:r>
      <w:r w:rsidR="00031CBC">
        <w:rPr>
          <w:rFonts w:cs="Arial"/>
          <w:sz w:val="24"/>
          <w:szCs w:val="24"/>
          <w:lang w:val="en"/>
        </w:rPr>
        <w:t>,</w:t>
      </w:r>
      <w:r w:rsidRPr="00BC2927">
        <w:rPr>
          <w:rFonts w:cs="Arial"/>
          <w:sz w:val="24"/>
          <w:szCs w:val="24"/>
          <w:lang w:val="en"/>
        </w:rPr>
        <w:t xml:space="preserve"> </w:t>
      </w:r>
      <w:r w:rsidRPr="00BC2927">
        <w:rPr>
          <w:rFonts w:cs="Arial"/>
          <w:i/>
          <w:sz w:val="24"/>
          <w:szCs w:val="24"/>
          <w:lang w:val="en"/>
        </w:rPr>
        <w:t>The Oxford Handbook of Organizational Decision Making</w:t>
      </w:r>
      <w:r w:rsidR="00031CBC">
        <w:rPr>
          <w:rFonts w:cs="Arial"/>
          <w:i/>
          <w:sz w:val="24"/>
          <w:szCs w:val="24"/>
          <w:lang w:val="en"/>
        </w:rPr>
        <w:t>,</w:t>
      </w:r>
      <w:r w:rsidRPr="00BC2927">
        <w:rPr>
          <w:rFonts w:cs="Arial"/>
          <w:sz w:val="24"/>
          <w:szCs w:val="24"/>
          <w:lang w:val="en"/>
        </w:rPr>
        <w:t xml:space="preserve"> Oxford: Oxford University Press. </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Trondal, J. (2007)</w:t>
      </w:r>
      <w:r w:rsidR="00031CBC">
        <w:rPr>
          <w:rFonts w:cs="Arial"/>
          <w:sz w:val="24"/>
          <w:szCs w:val="24"/>
          <w:lang w:val="en"/>
        </w:rPr>
        <w:t>,</w:t>
      </w:r>
      <w:r w:rsidRPr="00C22D72">
        <w:rPr>
          <w:rFonts w:cs="Arial"/>
          <w:sz w:val="24"/>
          <w:szCs w:val="24"/>
          <w:lang w:val="en"/>
        </w:rPr>
        <w:t xml:space="preserve"> ‘The </w:t>
      </w:r>
      <w:r w:rsidR="000B1FCD">
        <w:rPr>
          <w:rFonts w:cs="Arial"/>
          <w:sz w:val="24"/>
          <w:szCs w:val="24"/>
          <w:lang w:val="en"/>
        </w:rPr>
        <w:t>p</w:t>
      </w:r>
      <w:r w:rsidRPr="00C22D72">
        <w:rPr>
          <w:rFonts w:cs="Arial"/>
          <w:sz w:val="24"/>
          <w:szCs w:val="24"/>
          <w:lang w:val="en"/>
        </w:rPr>
        <w:t xml:space="preserve">ublic </w:t>
      </w:r>
      <w:r w:rsidR="000B1FCD">
        <w:rPr>
          <w:rFonts w:cs="Arial"/>
          <w:sz w:val="24"/>
          <w:szCs w:val="24"/>
          <w:lang w:val="en"/>
        </w:rPr>
        <w:t>a</w:t>
      </w:r>
      <w:r w:rsidRPr="00C22D72">
        <w:rPr>
          <w:rFonts w:cs="Arial"/>
          <w:sz w:val="24"/>
          <w:szCs w:val="24"/>
          <w:lang w:val="en"/>
        </w:rPr>
        <w:t xml:space="preserve">dministration turn in </w:t>
      </w:r>
      <w:r w:rsidR="000B1FCD">
        <w:rPr>
          <w:rFonts w:cs="Arial"/>
          <w:sz w:val="24"/>
          <w:szCs w:val="24"/>
          <w:lang w:val="en"/>
        </w:rPr>
        <w:t>i</w:t>
      </w:r>
      <w:r w:rsidRPr="00C22D72">
        <w:rPr>
          <w:rFonts w:cs="Arial"/>
          <w:sz w:val="24"/>
          <w:szCs w:val="24"/>
          <w:lang w:val="en"/>
        </w:rPr>
        <w:t xml:space="preserve">ntegration </w:t>
      </w:r>
      <w:r w:rsidR="000B1FCD">
        <w:rPr>
          <w:rFonts w:cs="Arial"/>
          <w:sz w:val="24"/>
          <w:szCs w:val="24"/>
          <w:lang w:val="en"/>
        </w:rPr>
        <w:t>r</w:t>
      </w:r>
      <w:r w:rsidRPr="00C22D72">
        <w:rPr>
          <w:rFonts w:cs="Arial"/>
          <w:sz w:val="24"/>
          <w:szCs w:val="24"/>
          <w:lang w:val="en"/>
        </w:rPr>
        <w:t xml:space="preserve">esearch’, </w:t>
      </w:r>
      <w:r w:rsidRPr="000B1FCD">
        <w:rPr>
          <w:rFonts w:cs="Arial"/>
          <w:i/>
          <w:sz w:val="24"/>
          <w:szCs w:val="24"/>
          <w:lang w:val="en"/>
        </w:rPr>
        <w:t xml:space="preserve">Journal of European Public Policy </w:t>
      </w:r>
      <w:r w:rsidRPr="00C22D72">
        <w:rPr>
          <w:rFonts w:cs="Arial"/>
          <w:sz w:val="24"/>
          <w:szCs w:val="24"/>
          <w:lang w:val="en"/>
        </w:rPr>
        <w:t>14: 960–72.</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Trondal, J. (2010)</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An Emergent European Executive Order</w:t>
      </w:r>
      <w:r w:rsidR="00031CBC">
        <w:rPr>
          <w:rFonts w:cs="Arial"/>
          <w:i/>
          <w:sz w:val="24"/>
          <w:szCs w:val="24"/>
          <w:lang w:val="en"/>
        </w:rPr>
        <w:t>,</w:t>
      </w:r>
      <w:r w:rsidRPr="00C22D72">
        <w:rPr>
          <w:rFonts w:cs="Arial"/>
          <w:sz w:val="24"/>
          <w:szCs w:val="24"/>
          <w:lang w:val="en"/>
        </w:rPr>
        <w:t xml:space="preserve"> Oxford: Oxford University Press.</w:t>
      </w:r>
    </w:p>
    <w:p w:rsidR="00C22D72" w:rsidRDefault="00C22D72" w:rsidP="00C22D72">
      <w:pPr>
        <w:spacing w:before="120" w:after="120" w:line="480" w:lineRule="auto"/>
        <w:rPr>
          <w:rFonts w:cs="Arial"/>
          <w:sz w:val="24"/>
          <w:szCs w:val="24"/>
          <w:lang w:val="en"/>
        </w:rPr>
      </w:pPr>
      <w:r w:rsidRPr="00C22D72">
        <w:rPr>
          <w:rFonts w:cs="Arial"/>
          <w:sz w:val="24"/>
          <w:szCs w:val="24"/>
          <w:lang w:val="en"/>
        </w:rPr>
        <w:t>Trondal, J. (2012)</w:t>
      </w:r>
      <w:r w:rsidR="00031CBC">
        <w:rPr>
          <w:rFonts w:cs="Arial"/>
          <w:sz w:val="24"/>
          <w:szCs w:val="24"/>
          <w:lang w:val="en"/>
        </w:rPr>
        <w:t>,</w:t>
      </w:r>
      <w:r w:rsidRPr="00C22D72">
        <w:rPr>
          <w:rFonts w:cs="Arial"/>
          <w:sz w:val="24"/>
          <w:szCs w:val="24"/>
          <w:lang w:val="en"/>
        </w:rPr>
        <w:t xml:space="preserve"> ‘On </w:t>
      </w:r>
      <w:r w:rsidR="000B1FCD">
        <w:rPr>
          <w:rFonts w:cs="Arial"/>
          <w:sz w:val="24"/>
          <w:szCs w:val="24"/>
          <w:lang w:val="en"/>
        </w:rPr>
        <w:t>b</w:t>
      </w:r>
      <w:r w:rsidRPr="00C22D72">
        <w:rPr>
          <w:rFonts w:cs="Arial"/>
          <w:sz w:val="24"/>
          <w:szCs w:val="24"/>
          <w:lang w:val="en"/>
        </w:rPr>
        <w:t xml:space="preserve">ureaucratic </w:t>
      </w:r>
      <w:r w:rsidR="000B1FCD">
        <w:rPr>
          <w:rFonts w:cs="Arial"/>
          <w:sz w:val="24"/>
          <w:szCs w:val="24"/>
          <w:lang w:val="en"/>
        </w:rPr>
        <w:t>c</w:t>
      </w:r>
      <w:r w:rsidRPr="00C22D72">
        <w:rPr>
          <w:rFonts w:cs="Arial"/>
          <w:sz w:val="24"/>
          <w:szCs w:val="24"/>
          <w:lang w:val="en"/>
        </w:rPr>
        <w:t xml:space="preserve">entre </w:t>
      </w:r>
      <w:r w:rsidR="000B1FCD">
        <w:rPr>
          <w:rFonts w:cs="Arial"/>
          <w:sz w:val="24"/>
          <w:szCs w:val="24"/>
          <w:lang w:val="en"/>
        </w:rPr>
        <w:t>f</w:t>
      </w:r>
      <w:r w:rsidRPr="00C22D72">
        <w:rPr>
          <w:rFonts w:cs="Arial"/>
          <w:sz w:val="24"/>
          <w:szCs w:val="24"/>
          <w:lang w:val="en"/>
        </w:rPr>
        <w:t xml:space="preserve">ormation in </w:t>
      </w:r>
      <w:r w:rsidR="000B1FCD">
        <w:rPr>
          <w:rFonts w:cs="Arial"/>
          <w:sz w:val="24"/>
          <w:szCs w:val="24"/>
          <w:lang w:val="en"/>
        </w:rPr>
        <w:t>g</w:t>
      </w:r>
      <w:r w:rsidRPr="00C22D72">
        <w:rPr>
          <w:rFonts w:cs="Arial"/>
          <w:sz w:val="24"/>
          <w:szCs w:val="24"/>
          <w:lang w:val="en"/>
        </w:rPr>
        <w:t xml:space="preserve">overnment </w:t>
      </w:r>
      <w:r w:rsidR="000B1FCD">
        <w:rPr>
          <w:rFonts w:cs="Arial"/>
          <w:sz w:val="24"/>
          <w:szCs w:val="24"/>
          <w:lang w:val="en"/>
        </w:rPr>
        <w:t>i</w:t>
      </w:r>
      <w:r w:rsidRPr="00C22D72">
        <w:rPr>
          <w:rFonts w:cs="Arial"/>
          <w:sz w:val="24"/>
          <w:szCs w:val="24"/>
          <w:lang w:val="en"/>
        </w:rPr>
        <w:t xml:space="preserve">nstitutions. Lessons from the European Commission’, </w:t>
      </w:r>
      <w:r w:rsidRPr="000B1FCD">
        <w:rPr>
          <w:rFonts w:cs="Arial"/>
          <w:i/>
          <w:sz w:val="24"/>
          <w:szCs w:val="24"/>
          <w:lang w:val="en"/>
        </w:rPr>
        <w:t>International Review of Administrative Sciences</w:t>
      </w:r>
      <w:r w:rsidRPr="00C22D72">
        <w:rPr>
          <w:rFonts w:cs="Arial"/>
          <w:sz w:val="24"/>
          <w:szCs w:val="24"/>
          <w:lang w:val="en"/>
        </w:rPr>
        <w:t xml:space="preserve"> 78: 425–45.</w:t>
      </w:r>
    </w:p>
    <w:p w:rsidR="00763F80" w:rsidRPr="00C22D72" w:rsidRDefault="00763F80" w:rsidP="00C22D72">
      <w:pPr>
        <w:spacing w:before="120" w:after="120" w:line="480" w:lineRule="auto"/>
        <w:rPr>
          <w:rFonts w:cs="Arial"/>
          <w:sz w:val="24"/>
          <w:szCs w:val="24"/>
          <w:lang w:val="en"/>
        </w:rPr>
      </w:pPr>
      <w:r>
        <w:rPr>
          <w:rFonts w:cs="Arial"/>
          <w:sz w:val="24"/>
          <w:szCs w:val="24"/>
          <w:lang w:val="en"/>
        </w:rPr>
        <w:lastRenderedPageBreak/>
        <w:t>Trondal, J. (2014)</w:t>
      </w:r>
      <w:r w:rsidR="00031CBC">
        <w:rPr>
          <w:rFonts w:cs="Arial"/>
          <w:sz w:val="24"/>
          <w:szCs w:val="24"/>
          <w:lang w:val="en"/>
        </w:rPr>
        <w:t>,</w:t>
      </w:r>
      <w:r>
        <w:rPr>
          <w:rFonts w:cs="Arial"/>
          <w:sz w:val="24"/>
          <w:szCs w:val="24"/>
          <w:lang w:val="en"/>
        </w:rPr>
        <w:t xml:space="preserve"> ‘Agencification’, </w:t>
      </w:r>
      <w:r w:rsidRPr="00763F80">
        <w:rPr>
          <w:rFonts w:cs="Arial"/>
          <w:i/>
          <w:sz w:val="24"/>
          <w:szCs w:val="24"/>
          <w:lang w:val="en"/>
        </w:rPr>
        <w:t>Public Administration Review</w:t>
      </w:r>
      <w:r>
        <w:rPr>
          <w:rFonts w:cs="Arial"/>
          <w:sz w:val="24"/>
          <w:szCs w:val="24"/>
          <w:lang w:val="en"/>
        </w:rPr>
        <w:t xml:space="preserve"> 74(4): 545-49.</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Trondal, J. (201</w:t>
      </w:r>
      <w:r w:rsidR="00763F80">
        <w:rPr>
          <w:rFonts w:cs="Arial"/>
          <w:sz w:val="24"/>
          <w:szCs w:val="24"/>
          <w:lang w:val="en"/>
        </w:rPr>
        <w:t>5</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‘The European administrative systems reassessed’, i</w:t>
      </w:r>
      <w:r w:rsidR="000B1FCD">
        <w:rPr>
          <w:rFonts w:cs="Arial"/>
          <w:sz w:val="24"/>
          <w:szCs w:val="24"/>
          <w:lang w:val="en"/>
        </w:rPr>
        <w:t>n</w:t>
      </w:r>
      <w:r w:rsidRPr="00C22D72">
        <w:rPr>
          <w:rFonts w:cs="Arial"/>
          <w:sz w:val="24"/>
          <w:szCs w:val="24"/>
          <w:lang w:val="en"/>
        </w:rPr>
        <w:t xml:space="preserve"> M.W. Bauer </w:t>
      </w:r>
      <w:r w:rsidR="000B1FCD">
        <w:rPr>
          <w:rFonts w:cs="Arial"/>
          <w:sz w:val="24"/>
          <w:szCs w:val="24"/>
          <w:lang w:val="en"/>
        </w:rPr>
        <w:t>and</w:t>
      </w:r>
      <w:r w:rsidR="000B1FCD" w:rsidRPr="00C22D72">
        <w:rPr>
          <w:rFonts w:cs="Arial"/>
          <w:sz w:val="24"/>
          <w:szCs w:val="24"/>
          <w:lang w:val="en"/>
        </w:rPr>
        <w:t xml:space="preserve"> </w:t>
      </w:r>
      <w:r w:rsidRPr="00C22D72">
        <w:rPr>
          <w:rFonts w:cs="Arial"/>
          <w:sz w:val="24"/>
          <w:szCs w:val="24"/>
          <w:lang w:val="en"/>
        </w:rPr>
        <w:t>J. Trondal (</w:t>
      </w:r>
      <w:r w:rsidR="000B1FCD">
        <w:rPr>
          <w:rFonts w:cs="Arial"/>
          <w:sz w:val="24"/>
          <w:szCs w:val="24"/>
          <w:lang w:val="en"/>
        </w:rPr>
        <w:t>eds</w:t>
      </w:r>
      <w:r w:rsidRPr="00C22D72">
        <w:rPr>
          <w:rFonts w:cs="Arial"/>
          <w:sz w:val="24"/>
          <w:szCs w:val="24"/>
          <w:lang w:val="en"/>
        </w:rPr>
        <w:t>.)</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Palgrave Handbook of the European Administrative System</w:t>
      </w:r>
      <w:r w:rsidR="00031CBC">
        <w:rPr>
          <w:rFonts w:cs="Arial"/>
          <w:i/>
          <w:sz w:val="24"/>
          <w:szCs w:val="24"/>
          <w:lang w:val="en"/>
        </w:rPr>
        <w:t>,</w:t>
      </w:r>
      <w:r w:rsidRPr="00C22D72">
        <w:rPr>
          <w:rFonts w:cs="Arial"/>
          <w:sz w:val="24"/>
          <w:szCs w:val="24"/>
          <w:lang w:val="en"/>
        </w:rPr>
        <w:t xml:space="preserve"> Houndmills: Palgrave Macmillan.</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Trondal, J., M. Marcussen, T. Larsson </w:t>
      </w:r>
      <w:r w:rsidR="000B1FCD">
        <w:rPr>
          <w:rFonts w:cs="Arial"/>
          <w:sz w:val="24"/>
          <w:szCs w:val="24"/>
          <w:lang w:val="en"/>
        </w:rPr>
        <w:t>and</w:t>
      </w:r>
      <w:r w:rsidR="000B1FCD" w:rsidRPr="00C22D72">
        <w:rPr>
          <w:rFonts w:cs="Arial"/>
          <w:sz w:val="24"/>
          <w:szCs w:val="24"/>
          <w:lang w:val="en"/>
        </w:rPr>
        <w:t xml:space="preserve"> </w:t>
      </w:r>
      <w:r w:rsidRPr="00C22D72">
        <w:rPr>
          <w:rFonts w:cs="Arial"/>
          <w:sz w:val="24"/>
          <w:szCs w:val="24"/>
          <w:lang w:val="en"/>
        </w:rPr>
        <w:t>F. Veggeland (2010)</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Unpacking International Organisations</w:t>
      </w:r>
      <w:r w:rsidR="00031CBC">
        <w:rPr>
          <w:rFonts w:cs="Arial"/>
          <w:i/>
          <w:sz w:val="24"/>
          <w:szCs w:val="24"/>
          <w:lang w:val="en"/>
        </w:rPr>
        <w:t>,</w:t>
      </w:r>
      <w:r w:rsidRPr="00C22D72">
        <w:rPr>
          <w:rFonts w:cs="Arial"/>
          <w:sz w:val="24"/>
          <w:szCs w:val="24"/>
          <w:lang w:val="en"/>
        </w:rPr>
        <w:t xml:space="preserve"> Manchester: Manchester University Press.</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 xml:space="preserve">Trondal </w:t>
      </w:r>
      <w:r w:rsidR="000B1FCD">
        <w:rPr>
          <w:rFonts w:cs="Arial"/>
          <w:sz w:val="24"/>
          <w:szCs w:val="24"/>
          <w:lang w:val="en"/>
        </w:rPr>
        <w:t>and</w:t>
      </w:r>
      <w:r w:rsidR="000B1FCD" w:rsidRPr="00C22D72">
        <w:rPr>
          <w:rFonts w:cs="Arial"/>
          <w:sz w:val="24"/>
          <w:szCs w:val="24"/>
          <w:lang w:val="en"/>
        </w:rPr>
        <w:t xml:space="preserve"> </w:t>
      </w:r>
      <w:r w:rsidRPr="00C22D72">
        <w:rPr>
          <w:rFonts w:cs="Arial"/>
          <w:sz w:val="24"/>
          <w:szCs w:val="24"/>
          <w:lang w:val="en"/>
        </w:rPr>
        <w:t>B.G. Peters (2013)</w:t>
      </w:r>
      <w:r w:rsidR="00031CBC">
        <w:rPr>
          <w:rFonts w:cs="Arial"/>
          <w:sz w:val="24"/>
          <w:szCs w:val="24"/>
          <w:lang w:val="en"/>
        </w:rPr>
        <w:t>,</w:t>
      </w:r>
      <w:r w:rsidRPr="00C22D72">
        <w:rPr>
          <w:rFonts w:cs="Arial"/>
          <w:sz w:val="24"/>
          <w:szCs w:val="24"/>
          <w:lang w:val="en"/>
        </w:rPr>
        <w:t xml:space="preserve"> ‘The rise of European </w:t>
      </w:r>
      <w:r w:rsidR="000B1FCD">
        <w:rPr>
          <w:rFonts w:cs="Arial"/>
          <w:sz w:val="24"/>
          <w:szCs w:val="24"/>
          <w:lang w:val="en"/>
        </w:rPr>
        <w:t>a</w:t>
      </w:r>
      <w:r w:rsidRPr="00C22D72">
        <w:rPr>
          <w:rFonts w:cs="Arial"/>
          <w:sz w:val="24"/>
          <w:szCs w:val="24"/>
          <w:lang w:val="en"/>
        </w:rPr>
        <w:t xml:space="preserve">dministrative </w:t>
      </w:r>
      <w:r w:rsidR="000B1FCD">
        <w:rPr>
          <w:rFonts w:cs="Arial"/>
          <w:sz w:val="24"/>
          <w:szCs w:val="24"/>
          <w:lang w:val="en"/>
        </w:rPr>
        <w:t>s</w:t>
      </w:r>
      <w:r w:rsidRPr="00C22D72">
        <w:rPr>
          <w:rFonts w:cs="Arial"/>
          <w:sz w:val="24"/>
          <w:szCs w:val="24"/>
          <w:lang w:val="en"/>
        </w:rPr>
        <w:t xml:space="preserve">pace: Lessons </w:t>
      </w:r>
      <w:r w:rsidR="000B1FCD">
        <w:rPr>
          <w:rFonts w:cs="Arial"/>
          <w:sz w:val="24"/>
          <w:szCs w:val="24"/>
          <w:lang w:val="en"/>
        </w:rPr>
        <w:t>l</w:t>
      </w:r>
      <w:r w:rsidRPr="00C22D72">
        <w:rPr>
          <w:rFonts w:cs="Arial"/>
          <w:sz w:val="24"/>
          <w:szCs w:val="24"/>
          <w:lang w:val="en"/>
        </w:rPr>
        <w:t xml:space="preserve">earned’, </w:t>
      </w:r>
      <w:r w:rsidRPr="000B1FCD">
        <w:rPr>
          <w:rFonts w:cs="Arial"/>
          <w:i/>
          <w:sz w:val="24"/>
          <w:szCs w:val="24"/>
          <w:lang w:val="en"/>
        </w:rPr>
        <w:t>Journal of European Public Policy</w:t>
      </w:r>
      <w:r w:rsidRPr="00C22D72">
        <w:rPr>
          <w:rFonts w:cs="Arial"/>
          <w:sz w:val="24"/>
          <w:szCs w:val="24"/>
          <w:lang w:val="en"/>
        </w:rPr>
        <w:t xml:space="preserve"> 20</w:t>
      </w:r>
      <w:r w:rsidR="000B1FCD">
        <w:rPr>
          <w:rFonts w:cs="Arial"/>
          <w:sz w:val="24"/>
          <w:szCs w:val="24"/>
          <w:lang w:val="en"/>
        </w:rPr>
        <w:t>(2)</w:t>
      </w:r>
      <w:r w:rsidRPr="00C22D72">
        <w:rPr>
          <w:rFonts w:cs="Arial"/>
          <w:sz w:val="24"/>
          <w:szCs w:val="24"/>
          <w:lang w:val="en"/>
        </w:rPr>
        <w:t>:</w:t>
      </w:r>
      <w:r w:rsidR="000B1FCD">
        <w:rPr>
          <w:rFonts w:cs="Arial"/>
          <w:sz w:val="24"/>
          <w:szCs w:val="24"/>
          <w:lang w:val="en"/>
        </w:rPr>
        <w:t xml:space="preserve"> </w:t>
      </w:r>
      <w:r w:rsidR="000B1FCD" w:rsidRPr="000B1FCD">
        <w:rPr>
          <w:rFonts w:cs="Arial"/>
          <w:sz w:val="24"/>
          <w:szCs w:val="24"/>
          <w:lang w:val="en"/>
        </w:rPr>
        <w:t>295-307</w:t>
      </w:r>
      <w:r w:rsidRPr="00C22D72">
        <w:rPr>
          <w:rFonts w:cs="Arial"/>
          <w:sz w:val="24"/>
          <w:szCs w:val="24"/>
          <w:lang w:val="en"/>
        </w:rPr>
        <w:t>.</w:t>
      </w:r>
    </w:p>
    <w:p w:rsidR="00C22D72" w:rsidRPr="00C22D72" w:rsidRDefault="00C22D72" w:rsidP="00C22D72">
      <w:pPr>
        <w:spacing w:before="120" w:after="120" w:line="480" w:lineRule="auto"/>
        <w:rPr>
          <w:rFonts w:cs="Arial"/>
          <w:sz w:val="24"/>
          <w:szCs w:val="24"/>
          <w:lang w:val="en"/>
        </w:rPr>
      </w:pPr>
      <w:r w:rsidRPr="00C22D72">
        <w:rPr>
          <w:rFonts w:cs="Arial"/>
          <w:sz w:val="24"/>
          <w:szCs w:val="24"/>
          <w:lang w:val="en"/>
        </w:rPr>
        <w:t>Yesilkagit, K. (2011)</w:t>
      </w:r>
      <w:r w:rsidR="00031CBC">
        <w:rPr>
          <w:rFonts w:cs="Arial"/>
          <w:sz w:val="24"/>
          <w:szCs w:val="24"/>
          <w:lang w:val="en"/>
        </w:rPr>
        <w:t>,</w:t>
      </w:r>
      <w:r w:rsidRPr="00C22D72">
        <w:rPr>
          <w:rFonts w:cs="Arial"/>
          <w:sz w:val="24"/>
          <w:szCs w:val="24"/>
          <w:lang w:val="en"/>
        </w:rPr>
        <w:t xml:space="preserve"> ‘Institutional compliance, European networks of regulation and the bureaucratic autonomy of national regulatory authorities’, </w:t>
      </w:r>
      <w:r w:rsidRPr="000B1FCD">
        <w:rPr>
          <w:rFonts w:cs="Arial"/>
          <w:i/>
          <w:sz w:val="24"/>
          <w:szCs w:val="24"/>
          <w:lang w:val="en"/>
        </w:rPr>
        <w:t>Journal of European Public Policy</w:t>
      </w:r>
      <w:r w:rsidRPr="00C22D72">
        <w:rPr>
          <w:rFonts w:cs="Arial"/>
          <w:sz w:val="24"/>
          <w:szCs w:val="24"/>
          <w:lang w:val="en"/>
        </w:rPr>
        <w:t xml:space="preserve"> 18(7): 962-79.</w:t>
      </w:r>
    </w:p>
    <w:p w:rsidR="00C22D72" w:rsidRPr="00C22D72" w:rsidRDefault="00C22D72" w:rsidP="00C22D72">
      <w:pPr>
        <w:spacing w:before="120" w:after="120" w:line="480" w:lineRule="auto"/>
        <w:rPr>
          <w:rFonts w:cs="Arial"/>
          <w:sz w:val="24"/>
          <w:szCs w:val="24"/>
          <w:lang w:val="en"/>
        </w:rPr>
      </w:pPr>
      <w:r w:rsidRPr="000B1FCD">
        <w:rPr>
          <w:rFonts w:cs="Arial"/>
          <w:sz w:val="24"/>
          <w:szCs w:val="24"/>
        </w:rPr>
        <w:t xml:space="preserve">Verhoest, K., S.V. Thiel, G. Bouckaert </w:t>
      </w:r>
      <w:r w:rsidR="000B1FCD" w:rsidRPr="000B1FCD">
        <w:rPr>
          <w:rFonts w:cs="Arial"/>
          <w:sz w:val="24"/>
          <w:szCs w:val="24"/>
        </w:rPr>
        <w:t xml:space="preserve">and </w:t>
      </w:r>
      <w:r w:rsidRPr="000B1FCD">
        <w:rPr>
          <w:rFonts w:cs="Arial"/>
          <w:sz w:val="24"/>
          <w:szCs w:val="24"/>
        </w:rPr>
        <w:t>P. Lægreid (</w:t>
      </w:r>
      <w:r w:rsidR="000B1FCD" w:rsidRPr="000B1FCD">
        <w:rPr>
          <w:rFonts w:cs="Arial"/>
          <w:sz w:val="24"/>
          <w:szCs w:val="24"/>
        </w:rPr>
        <w:t>eds</w:t>
      </w:r>
      <w:r w:rsidRPr="000B1FCD">
        <w:rPr>
          <w:rFonts w:cs="Arial"/>
          <w:sz w:val="24"/>
          <w:szCs w:val="24"/>
        </w:rPr>
        <w:t xml:space="preserve">.) </w:t>
      </w:r>
      <w:r w:rsidRPr="00C22D72">
        <w:rPr>
          <w:rFonts w:cs="Arial"/>
          <w:sz w:val="24"/>
          <w:szCs w:val="24"/>
          <w:lang w:val="en"/>
        </w:rPr>
        <w:t>(2012)</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Government Agencies</w:t>
      </w:r>
      <w:r w:rsidR="00031CBC">
        <w:rPr>
          <w:rFonts w:cs="Arial"/>
          <w:i/>
          <w:sz w:val="24"/>
          <w:szCs w:val="24"/>
          <w:lang w:val="en"/>
        </w:rPr>
        <w:t>,</w:t>
      </w:r>
      <w:r w:rsidRPr="00C22D72">
        <w:rPr>
          <w:rFonts w:cs="Arial"/>
          <w:sz w:val="24"/>
          <w:szCs w:val="24"/>
          <w:lang w:val="en"/>
        </w:rPr>
        <w:t xml:space="preserve"> Houndmills: Palgrave Macmillan.</w:t>
      </w:r>
    </w:p>
    <w:p w:rsidR="00C22D72" w:rsidRDefault="00C22D72" w:rsidP="00C22D72">
      <w:pPr>
        <w:spacing w:before="120" w:after="120" w:line="480" w:lineRule="auto"/>
        <w:rPr>
          <w:rFonts w:cs="Arial"/>
          <w:sz w:val="24"/>
          <w:szCs w:val="24"/>
          <w:lang w:val="en"/>
        </w:rPr>
      </w:pPr>
      <w:r w:rsidRPr="00C22D72">
        <w:rPr>
          <w:rFonts w:cs="Arial"/>
          <w:sz w:val="24"/>
          <w:szCs w:val="24"/>
          <w:lang w:val="en"/>
        </w:rPr>
        <w:t>Waldo, D. (1992)</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Enterprise of Public Administration</w:t>
      </w:r>
      <w:r w:rsidR="00031CBC">
        <w:rPr>
          <w:rFonts w:cs="Arial"/>
          <w:i/>
          <w:sz w:val="24"/>
          <w:szCs w:val="24"/>
          <w:lang w:val="en"/>
        </w:rPr>
        <w:t>,</w:t>
      </w:r>
      <w:r w:rsidRPr="00C22D72">
        <w:rPr>
          <w:rFonts w:cs="Arial"/>
          <w:sz w:val="24"/>
          <w:szCs w:val="24"/>
          <w:lang w:val="en"/>
        </w:rPr>
        <w:t xml:space="preserve"> Novato, California: Chandler &amp; Sharp Publishers.</w:t>
      </w:r>
    </w:p>
    <w:p w:rsidR="0008386D" w:rsidRPr="00763F80" w:rsidRDefault="0008386D" w:rsidP="00C22D72">
      <w:pPr>
        <w:spacing w:before="120" w:after="120" w:line="480" w:lineRule="auto"/>
        <w:rPr>
          <w:rFonts w:cs="Arial"/>
          <w:sz w:val="24"/>
          <w:szCs w:val="24"/>
          <w:lang w:val="de-DE"/>
        </w:rPr>
      </w:pPr>
      <w:r w:rsidRPr="0008386D">
        <w:rPr>
          <w:rFonts w:cs="Arial"/>
          <w:sz w:val="24"/>
          <w:szCs w:val="24"/>
          <w:lang w:val="en"/>
        </w:rPr>
        <w:t>Wessels, W</w:t>
      </w:r>
      <w:r>
        <w:rPr>
          <w:rFonts w:cs="Arial"/>
          <w:sz w:val="24"/>
          <w:szCs w:val="24"/>
          <w:lang w:val="en"/>
        </w:rPr>
        <w:t>. (1998)</w:t>
      </w:r>
      <w:r w:rsidR="00031CBC">
        <w:rPr>
          <w:rFonts w:cs="Arial"/>
          <w:sz w:val="24"/>
          <w:szCs w:val="24"/>
          <w:lang w:val="en"/>
        </w:rPr>
        <w:t>,</w:t>
      </w:r>
      <w:r w:rsidRPr="0008386D">
        <w:rPr>
          <w:rFonts w:cs="Arial"/>
          <w:sz w:val="24"/>
          <w:szCs w:val="24"/>
          <w:lang w:val="en"/>
        </w:rPr>
        <w:t xml:space="preserve"> </w:t>
      </w:r>
      <w:r w:rsidR="00763F80">
        <w:rPr>
          <w:rFonts w:cs="Arial"/>
          <w:sz w:val="24"/>
          <w:szCs w:val="24"/>
          <w:lang w:val="en"/>
        </w:rPr>
        <w:t>‘</w:t>
      </w:r>
      <w:r w:rsidRPr="0008386D">
        <w:rPr>
          <w:rFonts w:cs="Arial"/>
          <w:sz w:val="24"/>
          <w:szCs w:val="24"/>
          <w:lang w:val="en"/>
        </w:rPr>
        <w:t>Comitology: fusion in action. Politico-administrative trends in the EU system</w:t>
      </w:r>
      <w:r w:rsidR="00763F80">
        <w:rPr>
          <w:rFonts w:cs="Arial"/>
          <w:sz w:val="24"/>
          <w:szCs w:val="24"/>
          <w:lang w:val="en"/>
        </w:rPr>
        <w:t>’,</w:t>
      </w:r>
      <w:r w:rsidRPr="0008386D">
        <w:rPr>
          <w:rFonts w:cs="Arial"/>
          <w:sz w:val="24"/>
          <w:szCs w:val="24"/>
          <w:lang w:val="en"/>
        </w:rPr>
        <w:t xml:space="preserve"> </w:t>
      </w:r>
      <w:r w:rsidRPr="00763F80">
        <w:rPr>
          <w:rFonts w:cs="Arial"/>
          <w:i/>
          <w:sz w:val="24"/>
          <w:szCs w:val="24"/>
          <w:lang w:val="de-DE"/>
        </w:rPr>
        <w:t>Journal of European Public Policy</w:t>
      </w:r>
      <w:r w:rsidRPr="00763F80">
        <w:rPr>
          <w:rFonts w:cs="Arial"/>
          <w:sz w:val="24"/>
          <w:szCs w:val="24"/>
          <w:lang w:val="de-DE"/>
        </w:rPr>
        <w:t xml:space="preserve"> </w:t>
      </w:r>
      <w:r w:rsidR="00763F80">
        <w:rPr>
          <w:rFonts w:cs="Arial"/>
          <w:sz w:val="24"/>
          <w:szCs w:val="24"/>
          <w:lang w:val="de-DE"/>
        </w:rPr>
        <w:t>5</w:t>
      </w:r>
      <w:r>
        <w:rPr>
          <w:rFonts w:cs="Arial"/>
          <w:sz w:val="24"/>
          <w:szCs w:val="24"/>
          <w:lang w:val="de-DE"/>
        </w:rPr>
        <w:t>(</w:t>
      </w:r>
      <w:r w:rsidR="00763F80">
        <w:rPr>
          <w:rFonts w:cs="Arial"/>
          <w:sz w:val="24"/>
          <w:szCs w:val="24"/>
          <w:lang w:val="de-DE"/>
        </w:rPr>
        <w:t>2</w:t>
      </w:r>
      <w:r>
        <w:rPr>
          <w:rFonts w:cs="Arial"/>
          <w:sz w:val="24"/>
          <w:szCs w:val="24"/>
          <w:lang w:val="de-DE"/>
        </w:rPr>
        <w:t>)</w:t>
      </w:r>
      <w:r w:rsidRPr="00763F80">
        <w:rPr>
          <w:rFonts w:cs="Arial"/>
          <w:sz w:val="24"/>
          <w:szCs w:val="24"/>
          <w:lang w:val="de-DE"/>
        </w:rPr>
        <w:t>: 209-34.</w:t>
      </w:r>
    </w:p>
    <w:p w:rsidR="0008386D" w:rsidRPr="00763F80" w:rsidRDefault="0008386D" w:rsidP="00C22D72">
      <w:pPr>
        <w:spacing w:before="120" w:after="120" w:line="480" w:lineRule="auto"/>
        <w:rPr>
          <w:rFonts w:cs="Arial"/>
          <w:sz w:val="24"/>
          <w:szCs w:val="24"/>
          <w:lang w:val="de-DE"/>
        </w:rPr>
      </w:pPr>
      <w:r w:rsidRPr="0008386D">
        <w:rPr>
          <w:rFonts w:cs="Arial"/>
          <w:sz w:val="24"/>
          <w:szCs w:val="24"/>
          <w:lang w:val="de-DE"/>
        </w:rPr>
        <w:t>Wessels, W</w:t>
      </w:r>
      <w:r w:rsidRPr="00763F80">
        <w:rPr>
          <w:rFonts w:cs="Arial"/>
          <w:sz w:val="24"/>
          <w:szCs w:val="24"/>
          <w:lang w:val="de-DE"/>
        </w:rPr>
        <w:t xml:space="preserve">. </w:t>
      </w:r>
      <w:r>
        <w:rPr>
          <w:rFonts w:cs="Arial"/>
          <w:sz w:val="24"/>
          <w:szCs w:val="24"/>
          <w:lang w:val="de-DE"/>
        </w:rPr>
        <w:t>(2000)</w:t>
      </w:r>
      <w:r w:rsidR="00031CBC">
        <w:rPr>
          <w:rFonts w:cs="Arial"/>
          <w:sz w:val="24"/>
          <w:szCs w:val="24"/>
          <w:lang w:val="de-DE"/>
        </w:rPr>
        <w:t>,</w:t>
      </w:r>
      <w:r>
        <w:rPr>
          <w:rFonts w:cs="Arial"/>
          <w:sz w:val="24"/>
          <w:szCs w:val="24"/>
          <w:lang w:val="de-DE"/>
        </w:rPr>
        <w:t xml:space="preserve"> </w:t>
      </w:r>
      <w:r w:rsidRPr="00763F80">
        <w:rPr>
          <w:rFonts w:cs="Arial"/>
          <w:i/>
          <w:sz w:val="24"/>
          <w:szCs w:val="24"/>
          <w:lang w:val="de-DE"/>
        </w:rPr>
        <w:t>Die Öffnung des Staates: Modelle und Wirklichkeit grenzüberschreitender Verwaltungspraxis 1960-1995</w:t>
      </w:r>
      <w:r w:rsidR="00031CBC">
        <w:rPr>
          <w:rFonts w:cs="Arial"/>
          <w:sz w:val="24"/>
          <w:szCs w:val="24"/>
          <w:lang w:val="de-DE"/>
        </w:rPr>
        <w:t>,</w:t>
      </w:r>
      <w:r w:rsidRPr="00763F80">
        <w:rPr>
          <w:rFonts w:cs="Arial"/>
          <w:sz w:val="24"/>
          <w:szCs w:val="24"/>
          <w:lang w:val="de-DE"/>
        </w:rPr>
        <w:t xml:space="preserve"> </w:t>
      </w:r>
      <w:r w:rsidR="00763F80">
        <w:rPr>
          <w:rFonts w:cs="Arial"/>
          <w:sz w:val="24"/>
          <w:szCs w:val="24"/>
          <w:lang w:val="de-DE"/>
        </w:rPr>
        <w:t xml:space="preserve">Wiesbaden: </w:t>
      </w:r>
      <w:r w:rsidRPr="00763F80">
        <w:rPr>
          <w:rFonts w:cs="Arial"/>
          <w:sz w:val="24"/>
          <w:szCs w:val="24"/>
          <w:lang w:val="de-DE"/>
        </w:rPr>
        <w:t>Vs Verlag FR Sozialwissenschaften.</w:t>
      </w:r>
    </w:p>
    <w:p w:rsidR="00F27AB9" w:rsidRPr="00C22D72" w:rsidRDefault="00C22D72" w:rsidP="00C22D72">
      <w:pPr>
        <w:spacing w:before="120" w:after="120" w:line="480" w:lineRule="auto"/>
        <w:rPr>
          <w:rFonts w:cs="Arial"/>
          <w:sz w:val="24"/>
          <w:szCs w:val="24"/>
          <w:lang w:val="en"/>
        </w:rPr>
      </w:pPr>
      <w:r w:rsidRPr="00C22D72">
        <w:rPr>
          <w:rFonts w:cs="Arial"/>
          <w:sz w:val="24"/>
          <w:szCs w:val="24"/>
          <w:lang w:val="en"/>
        </w:rPr>
        <w:lastRenderedPageBreak/>
        <w:t>Wille, A. (2013)</w:t>
      </w:r>
      <w:r w:rsidR="00031CBC">
        <w:rPr>
          <w:rFonts w:cs="Arial"/>
          <w:sz w:val="24"/>
          <w:szCs w:val="24"/>
          <w:lang w:val="en"/>
        </w:rPr>
        <w:t>,</w:t>
      </w:r>
      <w:r w:rsidRPr="00C22D72">
        <w:rPr>
          <w:rFonts w:cs="Arial"/>
          <w:sz w:val="24"/>
          <w:szCs w:val="24"/>
          <w:lang w:val="en"/>
        </w:rPr>
        <w:t xml:space="preserve"> </w:t>
      </w:r>
      <w:r w:rsidRPr="000B1FCD">
        <w:rPr>
          <w:rFonts w:cs="Arial"/>
          <w:i/>
          <w:sz w:val="24"/>
          <w:szCs w:val="24"/>
          <w:lang w:val="en"/>
        </w:rPr>
        <w:t>The Normalization of the European Commission</w:t>
      </w:r>
      <w:r w:rsidR="00031CBC">
        <w:rPr>
          <w:rFonts w:cs="Arial"/>
          <w:i/>
          <w:sz w:val="24"/>
          <w:szCs w:val="24"/>
          <w:lang w:val="en"/>
        </w:rPr>
        <w:t>,</w:t>
      </w:r>
      <w:r w:rsidRPr="00C22D72">
        <w:rPr>
          <w:rFonts w:cs="Arial"/>
          <w:sz w:val="24"/>
          <w:szCs w:val="24"/>
          <w:lang w:val="en"/>
        </w:rPr>
        <w:t xml:space="preserve"> Oxford: Oxford University Press.</w:t>
      </w:r>
    </w:p>
    <w:p w:rsidR="00EB01F6" w:rsidRPr="00EB01F6" w:rsidRDefault="00EB01F6" w:rsidP="00EB01F6">
      <w:pPr>
        <w:spacing w:before="120" w:after="120" w:line="480" w:lineRule="auto"/>
        <w:rPr>
          <w:rFonts w:ascii="Calibri" w:eastAsia="Times New Roman" w:hAnsi="Calibri" w:cs="Times New Roman"/>
          <w:sz w:val="24"/>
          <w:szCs w:val="24"/>
          <w:lang w:val="en-GB" w:eastAsia="en-GB"/>
        </w:rPr>
      </w:pPr>
      <w:r w:rsidRPr="00EB01F6">
        <w:rPr>
          <w:rFonts w:ascii="Calibri" w:eastAsia="Times New Roman" w:hAnsi="Calibri" w:cs="Times New Roman"/>
          <w:sz w:val="24"/>
          <w:szCs w:val="24"/>
          <w:lang w:val="en-GB" w:eastAsia="en-GB"/>
        </w:rPr>
        <w:t>Zurn, M. (2012)</w:t>
      </w:r>
      <w:r>
        <w:rPr>
          <w:rFonts w:ascii="Calibri" w:eastAsia="Times New Roman" w:hAnsi="Calibri" w:cs="Times New Roman"/>
          <w:sz w:val="24"/>
          <w:szCs w:val="24"/>
          <w:lang w:val="en-GB" w:eastAsia="en-GB"/>
        </w:rPr>
        <w:t>,</w:t>
      </w:r>
      <w:r w:rsidRPr="00EB01F6">
        <w:rPr>
          <w:rFonts w:ascii="Calibri" w:eastAsia="Times New Roman" w:hAnsi="Calibri" w:cs="Times New Roman"/>
          <w:sz w:val="24"/>
          <w:szCs w:val="24"/>
          <w:lang w:val="en-GB" w:eastAsia="en-GB"/>
        </w:rPr>
        <w:t xml:space="preserve"> ‘Global governance as multi-level governance’, </w:t>
      </w:r>
      <w:r w:rsidRPr="00EB01F6">
        <w:rPr>
          <w:rFonts w:ascii="Calibri" w:eastAsia="Calibri" w:hAnsi="Calibri" w:cs="Calibri"/>
          <w:sz w:val="24"/>
          <w:szCs w:val="24"/>
          <w:lang w:val="en-GB"/>
        </w:rPr>
        <w:t xml:space="preserve">in D. Levi-Faur (ed.), </w:t>
      </w:r>
      <w:r w:rsidRPr="00EB01F6">
        <w:rPr>
          <w:rFonts w:ascii="Calibri" w:eastAsia="Calibri" w:hAnsi="Calibri" w:cs="Calibri"/>
          <w:i/>
          <w:sz w:val="24"/>
          <w:szCs w:val="24"/>
          <w:lang w:val="en-GB"/>
        </w:rPr>
        <w:t>Th</w:t>
      </w:r>
      <w:r>
        <w:rPr>
          <w:rFonts w:ascii="Calibri" w:eastAsia="Calibri" w:hAnsi="Calibri" w:cs="Calibri"/>
          <w:i/>
          <w:sz w:val="24"/>
          <w:szCs w:val="24"/>
          <w:lang w:val="en-GB"/>
        </w:rPr>
        <w:t>e Oxford Handbook of Governance,</w:t>
      </w:r>
      <w:r w:rsidRPr="00EB01F6">
        <w:rPr>
          <w:rFonts w:ascii="Calibri" w:eastAsia="Calibri" w:hAnsi="Calibri" w:cs="Calibri"/>
          <w:sz w:val="24"/>
          <w:szCs w:val="24"/>
          <w:lang w:val="en-GB"/>
        </w:rPr>
        <w:t xml:space="preserve"> Oxford: Oxford University Press.</w:t>
      </w:r>
    </w:p>
    <w:p w:rsidR="00F27AB9" w:rsidRDefault="00F27AB9" w:rsidP="00962BB8">
      <w:pPr>
        <w:spacing w:after="0" w:line="480" w:lineRule="auto"/>
        <w:rPr>
          <w:rFonts w:cs="Arial"/>
          <w:b/>
          <w:sz w:val="28"/>
          <w:szCs w:val="24"/>
          <w:lang w:val="en"/>
        </w:rPr>
      </w:pPr>
    </w:p>
    <w:p w:rsidR="000E2B1D" w:rsidRDefault="000E2B1D" w:rsidP="00962BB8">
      <w:pPr>
        <w:spacing w:after="0" w:line="480" w:lineRule="auto"/>
        <w:rPr>
          <w:rFonts w:cs="Arial"/>
          <w:b/>
          <w:sz w:val="28"/>
          <w:szCs w:val="24"/>
          <w:lang w:val="en"/>
        </w:rPr>
      </w:pPr>
      <w:r>
        <w:rPr>
          <w:rFonts w:cs="Arial"/>
          <w:b/>
          <w:sz w:val="28"/>
          <w:szCs w:val="24"/>
          <w:lang w:val="en"/>
        </w:rPr>
        <w:t>Tables</w:t>
      </w:r>
    </w:p>
    <w:p w:rsidR="006560E2" w:rsidRDefault="006560E2" w:rsidP="006560E2">
      <w:pPr>
        <w:spacing w:after="0" w:line="480" w:lineRule="auto"/>
        <w:rPr>
          <w:rFonts w:eastAsia="Times New Roman" w:cs="Calibri"/>
          <w:b/>
          <w:sz w:val="24"/>
          <w:szCs w:val="24"/>
          <w:lang w:eastAsia="de-DE"/>
        </w:rPr>
      </w:pPr>
      <w:r>
        <w:rPr>
          <w:rFonts w:eastAsia="Times New Roman" w:cs="Calibri"/>
          <w:b/>
          <w:sz w:val="24"/>
          <w:szCs w:val="24"/>
          <w:lang w:eastAsia="de-DE"/>
        </w:rPr>
        <w:t>Table 1 Key variations between the MLG and MLA approach</w:t>
      </w:r>
    </w:p>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6560E2" w:rsidTr="006560E2">
        <w:tc>
          <w:tcPr>
            <w:tcW w:w="3096" w:type="dxa"/>
            <w:tcBorders>
              <w:top w:val="single" w:sz="4" w:space="0" w:color="auto"/>
              <w:left w:val="nil"/>
              <w:bottom w:val="single" w:sz="4" w:space="0" w:color="auto"/>
              <w:right w:val="nil"/>
            </w:tcBorders>
          </w:tcPr>
          <w:p w:rsidR="006560E2" w:rsidRDefault="006560E2">
            <w:pPr>
              <w:spacing w:line="480" w:lineRule="auto"/>
              <w:rPr>
                <w:rFonts w:eastAsia="Times New Roman" w:cs="Calibri"/>
                <w:b/>
                <w:i/>
                <w:sz w:val="24"/>
                <w:szCs w:val="24"/>
                <w:lang w:val="en-US" w:eastAsia="de-DE"/>
              </w:rPr>
            </w:pPr>
          </w:p>
        </w:tc>
        <w:tc>
          <w:tcPr>
            <w:tcW w:w="3096" w:type="dxa"/>
            <w:tcBorders>
              <w:top w:val="single" w:sz="4" w:space="0" w:color="auto"/>
              <w:left w:val="nil"/>
              <w:bottom w:val="single" w:sz="4" w:space="0" w:color="auto"/>
              <w:right w:val="nil"/>
            </w:tcBorders>
            <w:hideMark/>
          </w:tcPr>
          <w:p w:rsidR="006560E2" w:rsidRDefault="006560E2">
            <w:pPr>
              <w:spacing w:line="480" w:lineRule="auto"/>
              <w:jc w:val="center"/>
              <w:rPr>
                <w:rFonts w:eastAsia="Times New Roman" w:cs="Calibri"/>
                <w:i/>
                <w:sz w:val="24"/>
                <w:szCs w:val="24"/>
                <w:lang w:val="en-US" w:eastAsia="de-DE"/>
              </w:rPr>
            </w:pPr>
            <w:r>
              <w:rPr>
                <w:rFonts w:eastAsia="Times New Roman" w:cs="Calibri"/>
                <w:i/>
                <w:sz w:val="24"/>
                <w:szCs w:val="24"/>
                <w:lang w:eastAsia="de-DE"/>
              </w:rPr>
              <w:t>MLG</w:t>
            </w:r>
          </w:p>
        </w:tc>
        <w:tc>
          <w:tcPr>
            <w:tcW w:w="3096" w:type="dxa"/>
            <w:tcBorders>
              <w:top w:val="single" w:sz="4" w:space="0" w:color="auto"/>
              <w:left w:val="nil"/>
              <w:bottom w:val="single" w:sz="4" w:space="0" w:color="auto"/>
              <w:right w:val="nil"/>
            </w:tcBorders>
            <w:hideMark/>
          </w:tcPr>
          <w:p w:rsidR="006560E2" w:rsidRDefault="006560E2">
            <w:pPr>
              <w:spacing w:line="480" w:lineRule="auto"/>
              <w:jc w:val="center"/>
              <w:rPr>
                <w:rFonts w:eastAsia="Times New Roman" w:cs="Calibri"/>
                <w:i/>
                <w:sz w:val="24"/>
                <w:szCs w:val="24"/>
                <w:lang w:val="en-US" w:eastAsia="de-DE"/>
              </w:rPr>
            </w:pPr>
            <w:r>
              <w:rPr>
                <w:rFonts w:eastAsia="Times New Roman" w:cs="Calibri"/>
                <w:i/>
                <w:sz w:val="24"/>
                <w:szCs w:val="24"/>
                <w:lang w:eastAsia="de-DE"/>
              </w:rPr>
              <w:t>MLA</w:t>
            </w:r>
          </w:p>
        </w:tc>
      </w:tr>
      <w:tr w:rsidR="006560E2" w:rsidRPr="006560E2" w:rsidTr="006560E2">
        <w:tc>
          <w:tcPr>
            <w:tcW w:w="3096" w:type="dxa"/>
            <w:tcBorders>
              <w:top w:val="single" w:sz="4" w:space="0" w:color="auto"/>
              <w:left w:val="nil"/>
              <w:bottom w:val="nil"/>
              <w:right w:val="nil"/>
            </w:tcBorders>
            <w:hideMark/>
          </w:tcPr>
          <w:p w:rsidR="006560E2" w:rsidRDefault="006560E2">
            <w:pPr>
              <w:spacing w:line="480" w:lineRule="auto"/>
              <w:rPr>
                <w:rFonts w:eastAsia="Times New Roman" w:cs="Calibri"/>
                <w:i/>
                <w:sz w:val="24"/>
                <w:szCs w:val="24"/>
                <w:lang w:val="en-US" w:eastAsia="de-DE"/>
              </w:rPr>
            </w:pPr>
            <w:r>
              <w:rPr>
                <w:rFonts w:eastAsia="Times New Roman" w:cs="Calibri"/>
                <w:i/>
                <w:sz w:val="24"/>
                <w:szCs w:val="24"/>
                <w:lang w:eastAsia="de-DE"/>
              </w:rPr>
              <w:t>Unit of analysis</w:t>
            </w:r>
          </w:p>
        </w:tc>
        <w:tc>
          <w:tcPr>
            <w:tcW w:w="3096" w:type="dxa"/>
            <w:tcBorders>
              <w:top w:val="single" w:sz="4" w:space="0" w:color="auto"/>
              <w:left w:val="nil"/>
              <w:bottom w:val="nil"/>
              <w:right w:val="nil"/>
            </w:tcBorders>
          </w:tcPr>
          <w:p w:rsidR="006560E2" w:rsidRDefault="006560E2">
            <w:pPr>
              <w:spacing w:line="480" w:lineRule="auto"/>
              <w:jc w:val="center"/>
              <w:rPr>
                <w:rFonts w:eastAsia="Times New Roman" w:cs="Calibri"/>
                <w:sz w:val="24"/>
                <w:szCs w:val="24"/>
                <w:lang w:val="en-US" w:eastAsia="de-DE"/>
              </w:rPr>
            </w:pPr>
            <w:r>
              <w:rPr>
                <w:rFonts w:eastAsia="Times New Roman" w:cs="Calibri"/>
                <w:sz w:val="24"/>
                <w:szCs w:val="24"/>
                <w:lang w:eastAsia="de-DE"/>
              </w:rPr>
              <w:t xml:space="preserve">Political arenas </w:t>
            </w:r>
          </w:p>
          <w:p w:rsidR="006560E2" w:rsidRDefault="006560E2">
            <w:pPr>
              <w:spacing w:line="480" w:lineRule="auto"/>
              <w:jc w:val="center"/>
              <w:rPr>
                <w:rFonts w:eastAsia="Times New Roman" w:cs="Calibri"/>
                <w:sz w:val="24"/>
                <w:szCs w:val="24"/>
                <w:lang w:eastAsia="de-DE"/>
              </w:rPr>
            </w:pPr>
            <w:r>
              <w:rPr>
                <w:rFonts w:eastAsia="Times New Roman" w:cs="Calibri"/>
                <w:sz w:val="24"/>
                <w:szCs w:val="24"/>
                <w:lang w:eastAsia="de-DE"/>
              </w:rPr>
              <w:t>(regions)</w:t>
            </w:r>
          </w:p>
          <w:p w:rsidR="006560E2" w:rsidRDefault="006560E2">
            <w:pPr>
              <w:spacing w:line="480" w:lineRule="auto"/>
              <w:rPr>
                <w:rFonts w:eastAsia="Times New Roman" w:cs="Calibri"/>
                <w:sz w:val="24"/>
                <w:szCs w:val="24"/>
                <w:lang w:val="en-US" w:eastAsia="de-DE"/>
              </w:rPr>
            </w:pPr>
          </w:p>
        </w:tc>
        <w:tc>
          <w:tcPr>
            <w:tcW w:w="3096" w:type="dxa"/>
            <w:tcBorders>
              <w:top w:val="single" w:sz="4" w:space="0" w:color="auto"/>
              <w:left w:val="nil"/>
              <w:bottom w:val="nil"/>
              <w:right w:val="nil"/>
            </w:tcBorders>
            <w:hideMark/>
          </w:tcPr>
          <w:p w:rsidR="006560E2" w:rsidRDefault="006560E2" w:rsidP="006560E2">
            <w:pPr>
              <w:spacing w:line="480" w:lineRule="auto"/>
              <w:jc w:val="center"/>
              <w:rPr>
                <w:rFonts w:eastAsia="Times New Roman" w:cs="Calibri"/>
                <w:sz w:val="24"/>
                <w:szCs w:val="24"/>
                <w:lang w:val="en-US" w:eastAsia="de-DE"/>
              </w:rPr>
            </w:pPr>
            <w:r w:rsidRPr="006560E2">
              <w:rPr>
                <w:rFonts w:eastAsia="Times New Roman" w:cs="Calibri"/>
                <w:sz w:val="24"/>
                <w:szCs w:val="24"/>
                <w:lang w:val="en-US" w:eastAsia="de-DE"/>
              </w:rPr>
              <w:t xml:space="preserve">Administrative institutions (Public sector </w:t>
            </w:r>
            <w:r>
              <w:rPr>
                <w:rFonts w:eastAsia="Times New Roman" w:cs="Calibri"/>
                <w:sz w:val="24"/>
                <w:szCs w:val="24"/>
                <w:lang w:val="en-US" w:eastAsia="de-DE"/>
              </w:rPr>
              <w:t>organizations</w:t>
            </w:r>
            <w:r w:rsidRPr="006560E2">
              <w:rPr>
                <w:rFonts w:eastAsia="Times New Roman" w:cs="Calibri"/>
                <w:sz w:val="24"/>
                <w:szCs w:val="24"/>
                <w:lang w:val="en-US" w:eastAsia="de-DE"/>
              </w:rPr>
              <w:t>, and their sub-units)</w:t>
            </w:r>
          </w:p>
        </w:tc>
      </w:tr>
      <w:tr w:rsidR="006560E2" w:rsidRPr="006560E2" w:rsidTr="006560E2">
        <w:tc>
          <w:tcPr>
            <w:tcW w:w="3096" w:type="dxa"/>
            <w:tcBorders>
              <w:top w:val="nil"/>
              <w:left w:val="nil"/>
              <w:bottom w:val="nil"/>
              <w:right w:val="nil"/>
            </w:tcBorders>
            <w:hideMark/>
          </w:tcPr>
          <w:p w:rsidR="006560E2" w:rsidRDefault="006560E2">
            <w:pPr>
              <w:spacing w:line="480" w:lineRule="auto"/>
              <w:rPr>
                <w:rFonts w:eastAsia="Times New Roman" w:cs="Calibri"/>
                <w:i/>
                <w:sz w:val="24"/>
                <w:szCs w:val="24"/>
                <w:lang w:val="en-US" w:eastAsia="de-DE"/>
              </w:rPr>
            </w:pPr>
            <w:r>
              <w:rPr>
                <w:rFonts w:eastAsia="Times New Roman" w:cs="Calibri"/>
                <w:i/>
                <w:sz w:val="24"/>
                <w:szCs w:val="24"/>
                <w:lang w:eastAsia="de-DE"/>
              </w:rPr>
              <w:t>Organizational differentiat</w:t>
            </w:r>
            <w:bookmarkStart w:id="0" w:name="_GoBack"/>
            <w:bookmarkEnd w:id="0"/>
            <w:r>
              <w:rPr>
                <w:rFonts w:eastAsia="Times New Roman" w:cs="Calibri"/>
                <w:i/>
                <w:sz w:val="24"/>
                <w:szCs w:val="24"/>
                <w:lang w:eastAsia="de-DE"/>
              </w:rPr>
              <w:t>ion</w:t>
            </w:r>
          </w:p>
        </w:tc>
        <w:tc>
          <w:tcPr>
            <w:tcW w:w="3096" w:type="dxa"/>
            <w:tcBorders>
              <w:top w:val="nil"/>
              <w:left w:val="nil"/>
              <w:bottom w:val="nil"/>
              <w:right w:val="nil"/>
            </w:tcBorders>
          </w:tcPr>
          <w:p w:rsidR="006560E2" w:rsidRDefault="006560E2">
            <w:pPr>
              <w:spacing w:line="480" w:lineRule="auto"/>
              <w:jc w:val="center"/>
              <w:rPr>
                <w:rFonts w:eastAsia="Times New Roman" w:cs="Calibri"/>
                <w:sz w:val="24"/>
                <w:szCs w:val="24"/>
                <w:lang w:val="en-US" w:eastAsia="de-DE"/>
              </w:rPr>
            </w:pPr>
            <w:r w:rsidRPr="006560E2">
              <w:rPr>
                <w:rFonts w:eastAsia="Times New Roman" w:cs="Calibri"/>
                <w:sz w:val="24"/>
                <w:szCs w:val="24"/>
                <w:lang w:val="en-US" w:eastAsia="de-DE"/>
              </w:rPr>
              <w:t xml:space="preserve">No differentiation </w:t>
            </w:r>
          </w:p>
          <w:p w:rsidR="006560E2" w:rsidRPr="006560E2" w:rsidRDefault="006560E2">
            <w:pPr>
              <w:spacing w:line="480" w:lineRule="auto"/>
              <w:jc w:val="center"/>
              <w:rPr>
                <w:rFonts w:eastAsia="Times New Roman" w:cs="Calibri"/>
                <w:sz w:val="24"/>
                <w:szCs w:val="24"/>
                <w:lang w:val="en-US" w:eastAsia="de-DE"/>
              </w:rPr>
            </w:pPr>
            <w:r w:rsidRPr="006560E2">
              <w:rPr>
                <w:rFonts w:eastAsia="Times New Roman" w:cs="Calibri"/>
                <w:sz w:val="24"/>
                <w:szCs w:val="24"/>
                <w:lang w:val="en-US" w:eastAsia="de-DE"/>
              </w:rPr>
              <w:t>(regions as black boxes)</w:t>
            </w:r>
          </w:p>
          <w:p w:rsidR="006560E2" w:rsidRDefault="006560E2">
            <w:pPr>
              <w:spacing w:line="480" w:lineRule="auto"/>
              <w:jc w:val="center"/>
              <w:rPr>
                <w:rFonts w:eastAsia="Times New Roman" w:cs="Calibri"/>
                <w:sz w:val="24"/>
                <w:szCs w:val="24"/>
                <w:lang w:val="en-US" w:eastAsia="de-DE"/>
              </w:rPr>
            </w:pPr>
          </w:p>
        </w:tc>
        <w:tc>
          <w:tcPr>
            <w:tcW w:w="3096" w:type="dxa"/>
            <w:tcBorders>
              <w:top w:val="nil"/>
              <w:left w:val="nil"/>
              <w:bottom w:val="nil"/>
              <w:right w:val="nil"/>
            </w:tcBorders>
            <w:hideMark/>
          </w:tcPr>
          <w:p w:rsidR="006560E2" w:rsidRDefault="006560E2" w:rsidP="006560E2">
            <w:pPr>
              <w:spacing w:line="480" w:lineRule="auto"/>
              <w:jc w:val="center"/>
              <w:rPr>
                <w:rFonts w:eastAsia="Times New Roman" w:cs="Calibri"/>
                <w:sz w:val="24"/>
                <w:szCs w:val="24"/>
                <w:lang w:val="en-US" w:eastAsia="de-DE"/>
              </w:rPr>
            </w:pPr>
            <w:r w:rsidRPr="006560E2">
              <w:rPr>
                <w:rFonts w:eastAsia="Times New Roman" w:cs="Calibri"/>
                <w:sz w:val="24"/>
                <w:szCs w:val="24"/>
                <w:lang w:val="en-US" w:eastAsia="de-DE"/>
              </w:rPr>
              <w:t>High degree of differentiation (administrative systems consisting of horizontally and vertically specialized sub-units)</w:t>
            </w:r>
          </w:p>
        </w:tc>
      </w:tr>
      <w:tr w:rsidR="006560E2" w:rsidRPr="006560E2" w:rsidTr="006560E2">
        <w:tc>
          <w:tcPr>
            <w:tcW w:w="3096" w:type="dxa"/>
            <w:tcBorders>
              <w:top w:val="nil"/>
              <w:left w:val="nil"/>
              <w:bottom w:val="single" w:sz="4" w:space="0" w:color="auto"/>
              <w:right w:val="nil"/>
            </w:tcBorders>
            <w:hideMark/>
          </w:tcPr>
          <w:p w:rsidR="006560E2" w:rsidRDefault="006560E2">
            <w:pPr>
              <w:spacing w:line="480" w:lineRule="auto"/>
              <w:rPr>
                <w:rFonts w:eastAsia="Times New Roman" w:cs="Calibri"/>
                <w:i/>
                <w:sz w:val="24"/>
                <w:szCs w:val="24"/>
                <w:lang w:val="en-US" w:eastAsia="de-DE"/>
              </w:rPr>
            </w:pPr>
            <w:r w:rsidRPr="006560E2">
              <w:rPr>
                <w:rFonts w:eastAsia="Times New Roman" w:cs="Calibri"/>
                <w:i/>
                <w:sz w:val="24"/>
                <w:szCs w:val="24"/>
                <w:lang w:val="en-US" w:eastAsia="de-DE"/>
              </w:rPr>
              <w:t>Sources of contingency of (administrative) governance</w:t>
            </w:r>
          </w:p>
        </w:tc>
        <w:tc>
          <w:tcPr>
            <w:tcW w:w="3096" w:type="dxa"/>
            <w:tcBorders>
              <w:top w:val="nil"/>
              <w:left w:val="nil"/>
              <w:bottom w:val="single" w:sz="4" w:space="0" w:color="auto"/>
              <w:right w:val="nil"/>
            </w:tcBorders>
            <w:hideMark/>
          </w:tcPr>
          <w:p w:rsidR="006560E2" w:rsidRDefault="006560E2">
            <w:pPr>
              <w:spacing w:line="480" w:lineRule="auto"/>
              <w:jc w:val="center"/>
              <w:rPr>
                <w:rFonts w:eastAsia="Times New Roman" w:cs="Calibri"/>
                <w:sz w:val="24"/>
                <w:szCs w:val="24"/>
                <w:lang w:val="en-US" w:eastAsia="de-DE"/>
              </w:rPr>
            </w:pPr>
            <w:r w:rsidRPr="006560E2">
              <w:rPr>
                <w:rFonts w:eastAsia="Times New Roman" w:cs="Calibri"/>
                <w:sz w:val="24"/>
                <w:szCs w:val="24"/>
                <w:lang w:val="en-US" w:eastAsia="de-DE"/>
              </w:rPr>
              <w:t>The supply of regional authority</w:t>
            </w:r>
          </w:p>
        </w:tc>
        <w:tc>
          <w:tcPr>
            <w:tcW w:w="3096" w:type="dxa"/>
            <w:tcBorders>
              <w:top w:val="nil"/>
              <w:left w:val="nil"/>
              <w:bottom w:val="single" w:sz="4" w:space="0" w:color="auto"/>
              <w:right w:val="nil"/>
            </w:tcBorders>
            <w:hideMark/>
          </w:tcPr>
          <w:p w:rsidR="006560E2" w:rsidRDefault="006560E2">
            <w:pPr>
              <w:spacing w:line="480" w:lineRule="auto"/>
              <w:jc w:val="center"/>
              <w:rPr>
                <w:rFonts w:eastAsia="Times New Roman" w:cs="Calibri"/>
                <w:sz w:val="24"/>
                <w:szCs w:val="24"/>
                <w:lang w:val="en-US" w:eastAsia="de-DE"/>
              </w:rPr>
            </w:pPr>
            <w:r w:rsidRPr="006560E2">
              <w:rPr>
                <w:rFonts w:eastAsia="Times New Roman" w:cs="Calibri"/>
                <w:sz w:val="24"/>
                <w:szCs w:val="24"/>
                <w:lang w:val="en-US" w:eastAsia="de-DE"/>
              </w:rPr>
              <w:t>The supply of administrative capacities at different levels of government</w:t>
            </w:r>
          </w:p>
        </w:tc>
      </w:tr>
    </w:tbl>
    <w:p w:rsidR="006560E2" w:rsidRDefault="006560E2" w:rsidP="006560E2">
      <w:pPr>
        <w:spacing w:after="0" w:line="480" w:lineRule="auto"/>
        <w:rPr>
          <w:rFonts w:eastAsia="Times New Roman" w:cs="Calibri"/>
          <w:i/>
          <w:sz w:val="24"/>
          <w:szCs w:val="24"/>
          <w:lang w:eastAsia="de-DE"/>
        </w:rPr>
      </w:pPr>
      <w:r>
        <w:rPr>
          <w:rFonts w:eastAsia="Times New Roman" w:cs="Calibri"/>
          <w:i/>
          <w:sz w:val="24"/>
          <w:szCs w:val="24"/>
          <w:lang w:eastAsia="de-DE"/>
        </w:rPr>
        <w:t>Source: own compilation.</w:t>
      </w:r>
    </w:p>
    <w:p w:rsidR="000E2B1D" w:rsidRDefault="000E2B1D" w:rsidP="00962BB8">
      <w:pPr>
        <w:spacing w:after="0" w:line="480" w:lineRule="auto"/>
        <w:rPr>
          <w:rFonts w:cs="Arial"/>
          <w:b/>
          <w:sz w:val="28"/>
          <w:szCs w:val="24"/>
          <w:lang w:val="en"/>
        </w:rPr>
      </w:pPr>
    </w:p>
    <w:sectPr w:rsidR="000E2B1D">
      <w:footerReference w:type="default" r:id="rId9"/>
      <w:endnotePr>
        <w:numFmt w:val="decimal"/>
      </w:endnotePr>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1A" w:rsidRDefault="00C65B1A" w:rsidP="00861858">
      <w:pPr>
        <w:spacing w:after="0" w:line="240" w:lineRule="auto"/>
      </w:pPr>
      <w:r>
        <w:separator/>
      </w:r>
    </w:p>
  </w:endnote>
  <w:endnote w:type="continuationSeparator" w:id="0">
    <w:p w:rsidR="00C65B1A" w:rsidRDefault="00C65B1A" w:rsidP="0086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9257"/>
      <w:docPartObj>
        <w:docPartGallery w:val="Page Numbers (Bottom of Page)"/>
        <w:docPartUnique/>
      </w:docPartObj>
    </w:sdtPr>
    <w:sdtContent>
      <w:p w:rsidR="00C65B1A" w:rsidRDefault="00C65B1A">
        <w:pPr>
          <w:pStyle w:val="Bunntekst"/>
          <w:jc w:val="right"/>
        </w:pPr>
        <w:r>
          <w:fldChar w:fldCharType="begin"/>
        </w:r>
        <w:r>
          <w:instrText>PAGE   \* MERGEFORMAT</w:instrText>
        </w:r>
        <w:r>
          <w:fldChar w:fldCharType="separate"/>
        </w:r>
        <w:r w:rsidR="006560E2" w:rsidRPr="006560E2">
          <w:rPr>
            <w:noProof/>
            <w:lang w:val="nb-NO"/>
          </w:rPr>
          <w:t>44</w:t>
        </w:r>
        <w:r>
          <w:fldChar w:fldCharType="end"/>
        </w:r>
      </w:p>
    </w:sdtContent>
  </w:sdt>
  <w:p w:rsidR="00C65B1A" w:rsidRDefault="00C65B1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1A" w:rsidRDefault="00C65B1A" w:rsidP="00861858">
      <w:pPr>
        <w:spacing w:after="0" w:line="240" w:lineRule="auto"/>
      </w:pPr>
      <w:r>
        <w:separator/>
      </w:r>
    </w:p>
  </w:footnote>
  <w:footnote w:type="continuationSeparator" w:id="0">
    <w:p w:rsidR="00C65B1A" w:rsidRDefault="00C65B1A" w:rsidP="00861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6A7"/>
    <w:multiLevelType w:val="hybridMultilevel"/>
    <w:tmpl w:val="009816A4"/>
    <w:lvl w:ilvl="0" w:tplc="F30255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D0DF6"/>
    <w:multiLevelType w:val="hybridMultilevel"/>
    <w:tmpl w:val="E348BD52"/>
    <w:lvl w:ilvl="0" w:tplc="9D3EE8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1756B"/>
    <w:multiLevelType w:val="hybridMultilevel"/>
    <w:tmpl w:val="41EA4112"/>
    <w:lvl w:ilvl="0" w:tplc="A28A183E">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DC47D4F"/>
    <w:multiLevelType w:val="hybridMultilevel"/>
    <w:tmpl w:val="1C101178"/>
    <w:lvl w:ilvl="0" w:tplc="667630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5C48"/>
    <w:multiLevelType w:val="hybridMultilevel"/>
    <w:tmpl w:val="84645C0E"/>
    <w:lvl w:ilvl="0" w:tplc="897AA098">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6D"/>
    <w:rsid w:val="00007A68"/>
    <w:rsid w:val="00031CBC"/>
    <w:rsid w:val="00077F03"/>
    <w:rsid w:val="00081229"/>
    <w:rsid w:val="00082457"/>
    <w:rsid w:val="0008386D"/>
    <w:rsid w:val="00094901"/>
    <w:rsid w:val="000B0D3A"/>
    <w:rsid w:val="000B1FCD"/>
    <w:rsid w:val="000E2B1D"/>
    <w:rsid w:val="000F03C6"/>
    <w:rsid w:val="001006FA"/>
    <w:rsid w:val="00106A5F"/>
    <w:rsid w:val="00151200"/>
    <w:rsid w:val="001B45B8"/>
    <w:rsid w:val="001C644F"/>
    <w:rsid w:val="001E1428"/>
    <w:rsid w:val="00232CCB"/>
    <w:rsid w:val="00257355"/>
    <w:rsid w:val="00291717"/>
    <w:rsid w:val="00291CDB"/>
    <w:rsid w:val="002B2CA1"/>
    <w:rsid w:val="002D7D94"/>
    <w:rsid w:val="00322D28"/>
    <w:rsid w:val="00345FC4"/>
    <w:rsid w:val="00375765"/>
    <w:rsid w:val="003B3CBE"/>
    <w:rsid w:val="003C166D"/>
    <w:rsid w:val="003C16AC"/>
    <w:rsid w:val="00445621"/>
    <w:rsid w:val="00453E68"/>
    <w:rsid w:val="00461C81"/>
    <w:rsid w:val="00474BD1"/>
    <w:rsid w:val="00485CEF"/>
    <w:rsid w:val="00486DF2"/>
    <w:rsid w:val="004C27BD"/>
    <w:rsid w:val="004C4717"/>
    <w:rsid w:val="004F2632"/>
    <w:rsid w:val="004F7FA5"/>
    <w:rsid w:val="00515AE1"/>
    <w:rsid w:val="00555367"/>
    <w:rsid w:val="00570A11"/>
    <w:rsid w:val="0058078A"/>
    <w:rsid w:val="00591C6B"/>
    <w:rsid w:val="00594A95"/>
    <w:rsid w:val="005972EA"/>
    <w:rsid w:val="005A5145"/>
    <w:rsid w:val="005B44D6"/>
    <w:rsid w:val="006026AE"/>
    <w:rsid w:val="0062327B"/>
    <w:rsid w:val="0062563C"/>
    <w:rsid w:val="00643130"/>
    <w:rsid w:val="00647448"/>
    <w:rsid w:val="00653C5C"/>
    <w:rsid w:val="006560E2"/>
    <w:rsid w:val="006720C9"/>
    <w:rsid w:val="006A22E1"/>
    <w:rsid w:val="006A6EF2"/>
    <w:rsid w:val="006C2205"/>
    <w:rsid w:val="006C41E1"/>
    <w:rsid w:val="006C4B1B"/>
    <w:rsid w:val="006D4E5E"/>
    <w:rsid w:val="006F0AED"/>
    <w:rsid w:val="00703D22"/>
    <w:rsid w:val="007115FA"/>
    <w:rsid w:val="00763F80"/>
    <w:rsid w:val="00790026"/>
    <w:rsid w:val="007C201A"/>
    <w:rsid w:val="007D7402"/>
    <w:rsid w:val="007F02DA"/>
    <w:rsid w:val="00800777"/>
    <w:rsid w:val="0080594E"/>
    <w:rsid w:val="00825EAC"/>
    <w:rsid w:val="00861858"/>
    <w:rsid w:val="00894766"/>
    <w:rsid w:val="008B2B02"/>
    <w:rsid w:val="008B32A0"/>
    <w:rsid w:val="008C6578"/>
    <w:rsid w:val="008D438F"/>
    <w:rsid w:val="0090378F"/>
    <w:rsid w:val="00935217"/>
    <w:rsid w:val="00935788"/>
    <w:rsid w:val="00946833"/>
    <w:rsid w:val="009532C2"/>
    <w:rsid w:val="00960EBA"/>
    <w:rsid w:val="00962BB8"/>
    <w:rsid w:val="00983A5B"/>
    <w:rsid w:val="009C4E34"/>
    <w:rsid w:val="009D2B52"/>
    <w:rsid w:val="00A06F42"/>
    <w:rsid w:val="00A26519"/>
    <w:rsid w:val="00A359F7"/>
    <w:rsid w:val="00A62DC3"/>
    <w:rsid w:val="00A6672D"/>
    <w:rsid w:val="00A66E55"/>
    <w:rsid w:val="00AA1DDD"/>
    <w:rsid w:val="00AA630C"/>
    <w:rsid w:val="00AA723E"/>
    <w:rsid w:val="00AD2A5C"/>
    <w:rsid w:val="00AE2281"/>
    <w:rsid w:val="00AF2F1C"/>
    <w:rsid w:val="00AF3318"/>
    <w:rsid w:val="00B21FCD"/>
    <w:rsid w:val="00B234BD"/>
    <w:rsid w:val="00B93325"/>
    <w:rsid w:val="00BC2927"/>
    <w:rsid w:val="00BD6748"/>
    <w:rsid w:val="00C008A2"/>
    <w:rsid w:val="00C21C59"/>
    <w:rsid w:val="00C22D72"/>
    <w:rsid w:val="00C300B1"/>
    <w:rsid w:val="00C55295"/>
    <w:rsid w:val="00C65B1A"/>
    <w:rsid w:val="00C66C66"/>
    <w:rsid w:val="00C77603"/>
    <w:rsid w:val="00C83B0F"/>
    <w:rsid w:val="00C96830"/>
    <w:rsid w:val="00CC0253"/>
    <w:rsid w:val="00D0186D"/>
    <w:rsid w:val="00D07C4F"/>
    <w:rsid w:val="00D441C3"/>
    <w:rsid w:val="00D70D25"/>
    <w:rsid w:val="00D905E1"/>
    <w:rsid w:val="00DB24BB"/>
    <w:rsid w:val="00DB3880"/>
    <w:rsid w:val="00DE75F4"/>
    <w:rsid w:val="00DF4BC2"/>
    <w:rsid w:val="00E05BE9"/>
    <w:rsid w:val="00E24A0B"/>
    <w:rsid w:val="00E5017A"/>
    <w:rsid w:val="00E762D1"/>
    <w:rsid w:val="00E8497B"/>
    <w:rsid w:val="00EB01F6"/>
    <w:rsid w:val="00EC01E0"/>
    <w:rsid w:val="00EC0252"/>
    <w:rsid w:val="00EC1F74"/>
    <w:rsid w:val="00F02E0A"/>
    <w:rsid w:val="00F173D7"/>
    <w:rsid w:val="00F27AB9"/>
    <w:rsid w:val="00FA387E"/>
    <w:rsid w:val="00FA7B7B"/>
    <w:rsid w:val="00FE27AE"/>
    <w:rsid w:val="00FE706D"/>
    <w:rsid w:val="00FF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E706D"/>
    <w:pPr>
      <w:ind w:left="720"/>
      <w:contextualSpacing/>
    </w:pPr>
  </w:style>
  <w:style w:type="table" w:styleId="Tabellrutenett">
    <w:name w:val="Table Grid"/>
    <w:basedOn w:val="Vanligtabell"/>
    <w:uiPriority w:val="59"/>
    <w:rsid w:val="00EC1F74"/>
    <w:pPr>
      <w:spacing w:after="0" w:line="240" w:lineRule="auto"/>
    </w:pPr>
    <w:rPr>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861858"/>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861858"/>
  </w:style>
  <w:style w:type="paragraph" w:styleId="Bunntekst">
    <w:name w:val="footer"/>
    <w:basedOn w:val="Normal"/>
    <w:link w:val="BunntekstTegn"/>
    <w:uiPriority w:val="99"/>
    <w:unhideWhenUsed/>
    <w:rsid w:val="00861858"/>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861858"/>
  </w:style>
  <w:style w:type="paragraph" w:styleId="Sluttnotetekst">
    <w:name w:val="endnote text"/>
    <w:basedOn w:val="Normal"/>
    <w:link w:val="SluttnotetekstTegn"/>
    <w:uiPriority w:val="99"/>
    <w:semiHidden/>
    <w:unhideWhenUsed/>
    <w:rsid w:val="004F2632"/>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4F2632"/>
    <w:rPr>
      <w:sz w:val="20"/>
      <w:szCs w:val="20"/>
    </w:rPr>
  </w:style>
  <w:style w:type="character" w:styleId="Sluttnotereferanse">
    <w:name w:val="endnote reference"/>
    <w:basedOn w:val="Standardskriftforavsnitt"/>
    <w:uiPriority w:val="99"/>
    <w:semiHidden/>
    <w:unhideWhenUsed/>
    <w:rsid w:val="004F2632"/>
    <w:rPr>
      <w:vertAlign w:val="superscript"/>
    </w:rPr>
  </w:style>
  <w:style w:type="character" w:styleId="Merknadsreferanse">
    <w:name w:val="annotation reference"/>
    <w:basedOn w:val="Standardskriftforavsnitt"/>
    <w:uiPriority w:val="99"/>
    <w:semiHidden/>
    <w:unhideWhenUsed/>
    <w:rsid w:val="006C41E1"/>
    <w:rPr>
      <w:sz w:val="16"/>
      <w:szCs w:val="16"/>
    </w:rPr>
  </w:style>
  <w:style w:type="paragraph" w:styleId="Merknadstekst">
    <w:name w:val="annotation text"/>
    <w:basedOn w:val="Normal"/>
    <w:link w:val="MerknadstekstTegn"/>
    <w:uiPriority w:val="99"/>
    <w:semiHidden/>
    <w:unhideWhenUsed/>
    <w:rsid w:val="006C41E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C41E1"/>
    <w:rPr>
      <w:sz w:val="20"/>
      <w:szCs w:val="20"/>
    </w:rPr>
  </w:style>
  <w:style w:type="paragraph" w:styleId="Kommentaremne">
    <w:name w:val="annotation subject"/>
    <w:basedOn w:val="Merknadstekst"/>
    <w:next w:val="Merknadstekst"/>
    <w:link w:val="KommentaremneTegn"/>
    <w:uiPriority w:val="99"/>
    <w:semiHidden/>
    <w:unhideWhenUsed/>
    <w:rsid w:val="006C41E1"/>
    <w:rPr>
      <w:b/>
      <w:bCs/>
    </w:rPr>
  </w:style>
  <w:style w:type="character" w:customStyle="1" w:styleId="KommentaremneTegn">
    <w:name w:val="Kommentaremne Tegn"/>
    <w:basedOn w:val="MerknadstekstTegn"/>
    <w:link w:val="Kommentaremne"/>
    <w:uiPriority w:val="99"/>
    <w:semiHidden/>
    <w:rsid w:val="006C41E1"/>
    <w:rPr>
      <w:b/>
      <w:bCs/>
      <w:sz w:val="20"/>
      <w:szCs w:val="20"/>
    </w:rPr>
  </w:style>
  <w:style w:type="paragraph" w:styleId="Bobletekst">
    <w:name w:val="Balloon Text"/>
    <w:basedOn w:val="Normal"/>
    <w:link w:val="BobletekstTegn"/>
    <w:uiPriority w:val="99"/>
    <w:semiHidden/>
    <w:unhideWhenUsed/>
    <w:rsid w:val="006C41E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41E1"/>
    <w:rPr>
      <w:rFonts w:ascii="Tahoma" w:hAnsi="Tahoma" w:cs="Tahoma"/>
      <w:sz w:val="16"/>
      <w:szCs w:val="16"/>
    </w:rPr>
  </w:style>
  <w:style w:type="character" w:customStyle="1" w:styleId="apple-converted-space">
    <w:name w:val="apple-converted-space"/>
    <w:basedOn w:val="Standardskriftforavsnitt"/>
    <w:rsid w:val="000F0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E706D"/>
    <w:pPr>
      <w:ind w:left="720"/>
      <w:contextualSpacing/>
    </w:pPr>
  </w:style>
  <w:style w:type="table" w:styleId="Tabellrutenett">
    <w:name w:val="Table Grid"/>
    <w:basedOn w:val="Vanligtabell"/>
    <w:uiPriority w:val="59"/>
    <w:rsid w:val="00EC1F74"/>
    <w:pPr>
      <w:spacing w:after="0" w:line="240" w:lineRule="auto"/>
    </w:pPr>
    <w:rPr>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861858"/>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861858"/>
  </w:style>
  <w:style w:type="paragraph" w:styleId="Bunntekst">
    <w:name w:val="footer"/>
    <w:basedOn w:val="Normal"/>
    <w:link w:val="BunntekstTegn"/>
    <w:uiPriority w:val="99"/>
    <w:unhideWhenUsed/>
    <w:rsid w:val="00861858"/>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861858"/>
  </w:style>
  <w:style w:type="paragraph" w:styleId="Sluttnotetekst">
    <w:name w:val="endnote text"/>
    <w:basedOn w:val="Normal"/>
    <w:link w:val="SluttnotetekstTegn"/>
    <w:uiPriority w:val="99"/>
    <w:semiHidden/>
    <w:unhideWhenUsed/>
    <w:rsid w:val="004F2632"/>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4F2632"/>
    <w:rPr>
      <w:sz w:val="20"/>
      <w:szCs w:val="20"/>
    </w:rPr>
  </w:style>
  <w:style w:type="character" w:styleId="Sluttnotereferanse">
    <w:name w:val="endnote reference"/>
    <w:basedOn w:val="Standardskriftforavsnitt"/>
    <w:uiPriority w:val="99"/>
    <w:semiHidden/>
    <w:unhideWhenUsed/>
    <w:rsid w:val="004F2632"/>
    <w:rPr>
      <w:vertAlign w:val="superscript"/>
    </w:rPr>
  </w:style>
  <w:style w:type="character" w:styleId="Merknadsreferanse">
    <w:name w:val="annotation reference"/>
    <w:basedOn w:val="Standardskriftforavsnitt"/>
    <w:uiPriority w:val="99"/>
    <w:semiHidden/>
    <w:unhideWhenUsed/>
    <w:rsid w:val="006C41E1"/>
    <w:rPr>
      <w:sz w:val="16"/>
      <w:szCs w:val="16"/>
    </w:rPr>
  </w:style>
  <w:style w:type="paragraph" w:styleId="Merknadstekst">
    <w:name w:val="annotation text"/>
    <w:basedOn w:val="Normal"/>
    <w:link w:val="MerknadstekstTegn"/>
    <w:uiPriority w:val="99"/>
    <w:semiHidden/>
    <w:unhideWhenUsed/>
    <w:rsid w:val="006C41E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C41E1"/>
    <w:rPr>
      <w:sz w:val="20"/>
      <w:szCs w:val="20"/>
    </w:rPr>
  </w:style>
  <w:style w:type="paragraph" w:styleId="Kommentaremne">
    <w:name w:val="annotation subject"/>
    <w:basedOn w:val="Merknadstekst"/>
    <w:next w:val="Merknadstekst"/>
    <w:link w:val="KommentaremneTegn"/>
    <w:uiPriority w:val="99"/>
    <w:semiHidden/>
    <w:unhideWhenUsed/>
    <w:rsid w:val="006C41E1"/>
    <w:rPr>
      <w:b/>
      <w:bCs/>
    </w:rPr>
  </w:style>
  <w:style w:type="character" w:customStyle="1" w:styleId="KommentaremneTegn">
    <w:name w:val="Kommentaremne Tegn"/>
    <w:basedOn w:val="MerknadstekstTegn"/>
    <w:link w:val="Kommentaremne"/>
    <w:uiPriority w:val="99"/>
    <w:semiHidden/>
    <w:rsid w:val="006C41E1"/>
    <w:rPr>
      <w:b/>
      <w:bCs/>
      <w:sz w:val="20"/>
      <w:szCs w:val="20"/>
    </w:rPr>
  </w:style>
  <w:style w:type="paragraph" w:styleId="Bobletekst">
    <w:name w:val="Balloon Text"/>
    <w:basedOn w:val="Normal"/>
    <w:link w:val="BobletekstTegn"/>
    <w:uiPriority w:val="99"/>
    <w:semiHidden/>
    <w:unhideWhenUsed/>
    <w:rsid w:val="006C41E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41E1"/>
    <w:rPr>
      <w:rFonts w:ascii="Tahoma" w:hAnsi="Tahoma" w:cs="Tahoma"/>
      <w:sz w:val="16"/>
      <w:szCs w:val="16"/>
    </w:rPr>
  </w:style>
  <w:style w:type="character" w:customStyle="1" w:styleId="apple-converted-space">
    <w:name w:val="apple-converted-space"/>
    <w:basedOn w:val="Standardskriftforavsnitt"/>
    <w:rsid w:val="000F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46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2E1F-D4AB-4D2B-B111-52763FE2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26A41070.dotm</Template>
  <TotalTime>13237</TotalTime>
  <Pages>45</Pages>
  <Words>11458</Words>
  <Characters>60729</Characters>
  <Application>Microsoft Office Word</Application>
  <DocSecurity>0</DocSecurity>
  <Lines>506</Lines>
  <Paragraphs>144</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Universitetet i Agder</Company>
  <LinksUpToDate>false</LinksUpToDate>
  <CharactersWithSpaces>72043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Jarle Trondal</dc:creator>
  <cp:lastModifiedBy>Jarle Trondal</cp:lastModifiedBy>
  <cp:revision>19</cp:revision>
  <cp:lastPrinted>2014-08-04T07:59:00Z</cp:lastPrinted>
  <dcterms:created xsi:type="dcterms:W3CDTF">2014-08-04T07:59:00Z</dcterms:created>
  <dcterms:modified xsi:type="dcterms:W3CDTF">2014-12-15T11:39:00Z</dcterms:modified>
</cp:coreProperties>
</file>