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F0E50" w14:textId="77777777" w:rsidR="00215728" w:rsidRDefault="00215728" w:rsidP="008B63CE">
      <w:pPr>
        <w:spacing w:line="480" w:lineRule="auto"/>
      </w:pPr>
    </w:p>
    <w:p w14:paraId="16C4EB7B" w14:textId="77777777" w:rsidR="0074382A" w:rsidRDefault="0074382A" w:rsidP="008B63CE">
      <w:pPr>
        <w:spacing w:line="480" w:lineRule="auto"/>
      </w:pPr>
    </w:p>
    <w:p w14:paraId="1B8A8E0D" w14:textId="5ED78460" w:rsidR="0074382A" w:rsidRDefault="002074A1" w:rsidP="00D411F7">
      <w:pPr>
        <w:jc w:val="center"/>
      </w:pPr>
      <w:r>
        <w:t>“</w:t>
      </w:r>
      <w:r w:rsidR="00D411F7">
        <w:t xml:space="preserve">Putting the EU in Its Place: </w:t>
      </w:r>
      <w:r w:rsidR="00736CB3">
        <w:t>Policy</w:t>
      </w:r>
      <w:r w:rsidR="00DB67F6">
        <w:t xml:space="preserve"> Strategies </w:t>
      </w:r>
      <w:r w:rsidR="00D411F7">
        <w:t>and the Global Regulatory</w:t>
      </w:r>
      <w:r w:rsidR="006E6631">
        <w:t xml:space="preserve"> </w:t>
      </w:r>
      <w:r w:rsidR="00D411F7">
        <w:t>Context</w:t>
      </w:r>
      <w:r w:rsidR="0074382A">
        <w:t>”</w:t>
      </w:r>
    </w:p>
    <w:p w14:paraId="2D783D53" w14:textId="77777777" w:rsidR="0074382A" w:rsidRDefault="0074382A" w:rsidP="0074382A">
      <w:pPr>
        <w:spacing w:line="480" w:lineRule="auto"/>
        <w:jc w:val="center"/>
      </w:pPr>
    </w:p>
    <w:p w14:paraId="2B979007" w14:textId="707D2B4A" w:rsidR="00E9067E" w:rsidRDefault="00E9067E" w:rsidP="0074382A">
      <w:pPr>
        <w:spacing w:line="480" w:lineRule="auto"/>
        <w:jc w:val="center"/>
      </w:pPr>
      <w:r>
        <w:t>Abraham Newman and Elliot Posner</w:t>
      </w:r>
    </w:p>
    <w:p w14:paraId="78D56042" w14:textId="77777777" w:rsidR="0074382A" w:rsidRDefault="0074382A" w:rsidP="0074382A">
      <w:pPr>
        <w:spacing w:line="480" w:lineRule="auto"/>
        <w:jc w:val="center"/>
      </w:pPr>
      <w:bookmarkStart w:id="0" w:name="_GoBack"/>
    </w:p>
    <w:bookmarkEnd w:id="0"/>
    <w:p w14:paraId="2CDAAC47" w14:textId="77777777" w:rsidR="0074382A" w:rsidRDefault="0074382A" w:rsidP="0074382A">
      <w:pPr>
        <w:spacing w:line="480" w:lineRule="auto"/>
        <w:jc w:val="center"/>
      </w:pPr>
    </w:p>
    <w:p w14:paraId="5C0FF3A3" w14:textId="77777777" w:rsidR="0074382A" w:rsidRDefault="0074382A" w:rsidP="0074382A">
      <w:pPr>
        <w:spacing w:line="480" w:lineRule="auto"/>
        <w:jc w:val="center"/>
      </w:pPr>
    </w:p>
    <w:p w14:paraId="6B0297DE" w14:textId="77777777" w:rsidR="0074382A" w:rsidRDefault="0074382A" w:rsidP="0074382A">
      <w:pPr>
        <w:spacing w:line="480" w:lineRule="auto"/>
        <w:jc w:val="center"/>
      </w:pPr>
    </w:p>
    <w:p w14:paraId="5D890FD1" w14:textId="77777777" w:rsidR="0074382A" w:rsidRDefault="0074382A" w:rsidP="0074382A">
      <w:pPr>
        <w:spacing w:line="480" w:lineRule="auto"/>
        <w:jc w:val="center"/>
      </w:pPr>
    </w:p>
    <w:p w14:paraId="6E309B9E" w14:textId="77777777" w:rsidR="0074382A" w:rsidRDefault="0074382A" w:rsidP="0074382A">
      <w:pPr>
        <w:spacing w:line="480" w:lineRule="auto"/>
        <w:jc w:val="center"/>
      </w:pPr>
    </w:p>
    <w:p w14:paraId="59CEDC4E" w14:textId="77777777" w:rsidR="00215728" w:rsidRDefault="00215728" w:rsidP="0074382A">
      <w:pPr>
        <w:spacing w:line="480" w:lineRule="auto"/>
        <w:jc w:val="center"/>
      </w:pPr>
    </w:p>
    <w:p w14:paraId="6FE6895B" w14:textId="77777777" w:rsidR="0074382A" w:rsidRDefault="0074382A" w:rsidP="008B63CE">
      <w:pPr>
        <w:spacing w:line="480" w:lineRule="auto"/>
      </w:pPr>
    </w:p>
    <w:p w14:paraId="7A304CE9" w14:textId="0CFE46F9" w:rsidR="00770B28" w:rsidRDefault="007006FE" w:rsidP="00770B28">
      <w:pPr>
        <w:jc w:val="center"/>
      </w:pPr>
      <w:r>
        <w:br w:type="page"/>
      </w:r>
      <w:r w:rsidR="00770B28">
        <w:lastRenderedPageBreak/>
        <w:t xml:space="preserve">“Putting the EU in Its Place: </w:t>
      </w:r>
      <w:r w:rsidR="00736CB3">
        <w:t xml:space="preserve">Policy </w:t>
      </w:r>
      <w:r w:rsidR="00770B28">
        <w:t>Strategies and the Global Regulatory Context”</w:t>
      </w:r>
    </w:p>
    <w:p w14:paraId="2A03735E" w14:textId="77777777" w:rsidR="00770B28" w:rsidRDefault="00770B28" w:rsidP="005D6AE7"/>
    <w:p w14:paraId="616DA634" w14:textId="77777777" w:rsidR="0074382A" w:rsidRDefault="0074382A" w:rsidP="005D6AE7"/>
    <w:p w14:paraId="468DF68D" w14:textId="11F567BF" w:rsidR="00DD5BF8" w:rsidRDefault="008B63CE" w:rsidP="008B63CE">
      <w:pPr>
        <w:spacing w:line="480" w:lineRule="auto"/>
      </w:pPr>
      <w:r>
        <w:tab/>
        <w:t>From bank capital standard</w:t>
      </w:r>
      <w:r w:rsidR="00B66387">
        <w:t>s to rules about I</w:t>
      </w:r>
      <w:r>
        <w:t xml:space="preserve">nternet censorship, </w:t>
      </w:r>
      <w:r w:rsidR="00B87EDB">
        <w:t xml:space="preserve">the making of </w:t>
      </w:r>
      <w:r>
        <w:t>regulation – the rules that</w:t>
      </w:r>
      <w:r w:rsidR="00D411F7">
        <w:t xml:space="preserve"> govern markets</w:t>
      </w:r>
      <w:r>
        <w:t xml:space="preserve"> </w:t>
      </w:r>
      <w:r w:rsidR="00B87EDB">
        <w:t xml:space="preserve">– </w:t>
      </w:r>
      <w:r>
        <w:t>increasingly</w:t>
      </w:r>
      <w:r w:rsidR="00B87EDB">
        <w:t xml:space="preserve"> involves actors, processes and institutions beyond national frontiers</w:t>
      </w:r>
      <w:r w:rsidR="00F604B1">
        <w:t xml:space="preserve"> </w:t>
      </w:r>
      <w:r w:rsidR="00537900">
        <w:fldChar w:fldCharType="begin"/>
      </w:r>
      <w:r w:rsidR="002E46EC">
        <w:instrText xml:space="preserve"> ADDIN ZOTERO_ITEM CSL_CITATION {"citationID":"N2XnUxpG","properties":{"formattedCitation":"(Walter Mattli and Woods 2009; Jordana and Levi-Faur 2004; Henry Farrell and Newman 2014)","plainCitation":"(Walter Mattli and Woods 2009; Jordana and Levi-Faur 2004; Henry Farrell and Newman 2014)"},"citationItems":[{"id":550,"uris":["http://zotero.org/users/72538/items/92TNQFQV"],"uri":["http://zotero.org/users/72538/items/92TNQFQV"],"itemData":{"id":550,"type":"book","title":"The Politics of Global Regulation","publisher":"Princeton University Press","source":"Amazon.com","ISBN":"069113961X","author":[{"family":"Mattli","given":"Walter"},{"family":"Woods","given":"Ngaire"}],"issued":{"date-parts":[["2009",4,27]]}}},{"id":2109,"uris":["http://zotero.org/users/72538/items/TI2X5PQW"],"uri":["http://zotero.org/users/72538/items/TI2X5PQW"],"itemData":{"id":2109,"type":"book","title":"The Politics of Regulation: Institutions and Regulatory Reform for the Age of Governance","publisher":"Edward Elgar","publisher-place":"Northhampton","event-place":"Northhampton","author":[{"family":"Jordana","given":"J."},{"family":"Levi-Faur","given":"D."}],"issued":{"date-parts":[["2004"]]}}},{"id":2496,"uris":["http://zotero.org/users/72538/items/XRK5SCPQ"],"uri":["http://zotero.org/users/72538/items/XRK5SCPQ"],"itemData":{"id":2496,"type":"article-journal","title":"Domestic Institutions beyond the Nation-State: Charting the New Interdependence Approach","container-title":"World Politics","page":"331-363","volume":"66","issue":"02","source":"Cambridge Journals Online","abstract":"What is the relationship between domestic and international politics in a world of economic interdependence? This article discusses and organizes an emerging body of scholarship, which the authors label the new interdependence approach, addressing how transnational interactions shape domestic institutions and global politics in a world of economic interdependence. This literature makes three important contributions. First, it examines how domestic institutions affect the ability of political actors to construct the rules and norms governing interdependent relations and thus present a source of asymmetric power. Second, it explores how interdependence alters domestic political institutions through processes of diffusion, transgovernmental coordination, and extraterritorial application and in turn how it changes the national institutions mediating internal debates on globalization. Third, it studies the shifting boundaries of political contestation through which substate actors affect decision making in foreign jurisdictions. Given the importance of institutional change to the new interdependence agenda, the authors suggest several instances where historical institutionalist tools might be exploited to address these transnational dynamics, in particular, mechanisms of cross-national sequencing and change strategies of substate actors. As globalization continues, it will be ever more difficult to examine national trajectories of institutional change in isolation from each other. Equally, it will be difficult to understand international institutions without paying attention to the ways in which they both transform and are transformed by domestic institutional politics. While the new interdependence approach does not yet cohere as a single voice, the authors believe that it offers an innovative agenda that holds tremendous promise for both comparative and international relations research as it calls on scholars to reconsider the dynamic nature of globalization for global politics.","DOI":"10.1017/S0043887114000057","shortTitle":"Domestic Institutions beyond the Nation-State","author":[{"family":"Farrell","given":"Henry"},{"family":"Newman","given":"Abraham L."}],"issued":{"date-parts":[["2014"]]}}}],"schema":"https://github.com/citation-style-language/schema/raw/master/csl-citation.json"} </w:instrText>
      </w:r>
      <w:r w:rsidR="00537900">
        <w:fldChar w:fldCharType="separate"/>
      </w:r>
      <w:r w:rsidR="002E46EC">
        <w:rPr>
          <w:noProof/>
        </w:rPr>
        <w:t>(Mattli and Woods 2009; Jordana and Levi-Faur 2004; Farrell and Newman 2014)</w:t>
      </w:r>
      <w:r w:rsidR="00537900">
        <w:fldChar w:fldCharType="end"/>
      </w:r>
      <w:r w:rsidR="00B87EDB">
        <w:t>.</w:t>
      </w:r>
      <w:r>
        <w:t xml:space="preserve"> </w:t>
      </w:r>
      <w:r w:rsidR="00CD7577">
        <w:t xml:space="preserve"> </w:t>
      </w:r>
      <w:r w:rsidR="00D411F7">
        <w:t>Market</w:t>
      </w:r>
      <w:r w:rsidR="00B87EDB">
        <w:t xml:space="preserve"> </w:t>
      </w:r>
      <w:r w:rsidR="00C423FD">
        <w:t>rules are not only promulgated by formal international organizations such as the World Trade Organization</w:t>
      </w:r>
      <w:r w:rsidR="002B5059">
        <w:t xml:space="preserve"> (WTO)</w:t>
      </w:r>
      <w:r w:rsidR="00C423FD">
        <w:t xml:space="preserve"> but often </w:t>
      </w:r>
      <w:r w:rsidR="0094400A">
        <w:t>within</w:t>
      </w:r>
      <w:r w:rsidR="00C423FD">
        <w:t xml:space="preserve"> t</w:t>
      </w:r>
      <w:r>
        <w:t xml:space="preserve">ransnational regulatory networks and </w:t>
      </w:r>
      <w:r w:rsidR="0094400A">
        <w:t xml:space="preserve">through </w:t>
      </w:r>
      <w:r>
        <w:t>the extraterritorial application of law</w:t>
      </w:r>
      <w:r w:rsidR="00D411F7">
        <w:t>s</w:t>
      </w:r>
      <w:r>
        <w:t xml:space="preserve"> </w:t>
      </w:r>
      <w:r w:rsidR="00822BB4">
        <w:t>decided in</w:t>
      </w:r>
      <w:r w:rsidR="00D411F7">
        <w:t xml:space="preserve"> jurisdictions with</w:t>
      </w:r>
      <w:r>
        <w:t xml:space="preserve"> large </w:t>
      </w:r>
      <w:r w:rsidR="00D411F7">
        <w:t xml:space="preserve">international participation in their </w:t>
      </w:r>
      <w:r>
        <w:t>markets</w:t>
      </w:r>
      <w:r w:rsidR="002E46EC">
        <w:t xml:space="preserve"> </w:t>
      </w:r>
      <w:r w:rsidR="002E46EC">
        <w:fldChar w:fldCharType="begin"/>
      </w:r>
      <w:r w:rsidR="00F56178">
        <w:instrText xml:space="preserve"> ADDIN ZOTERO_ITEM CSL_CITATION {"citationID":"45arAikD","properties":{"formattedCitation":"(Abraham Newman and Posner 2011)","plainCitation":"(Abraham Newman and Posner 2011)"},"citationItems":[{"id":2560,"uris":["http://zotero.org/users/72538/items/ZF7VMF8F"],"uri":["http://zotero.org/users/72538/items/ZF7VMF8F"],"itemData":{"id":2560,"type":"article-journal","title":"International Interdependence and Regulatory Power: Authority, Mobility, and Markets","container-title":"European Journal of International Relations","source":"Highwire 2.0","abstract":"This article revisits a fundamental question of international political economy: when does cross-border economic interdependence become a source of power. The view that economic interdependence is a source of potential power, not just mutual benefits, has a long lineage traceable to political realism, organizational economics, Ricardian trade theory, and structural Marxism, and researchers typically focus on preferred causal variables in isolation. Despite important contributions, little attention has been paid to understanding the interactions of multiple perspectives on asymmetric interdependence, or to making sense of contradictory expectations of the various models. As a consequence scholars engaged in globalization debates, such as those about policy convergence or private actor governance, frequently talk past one another. To deduce expectations about the relationship between power and interdependence, we build a model synthesizing standard approaches that analyze the effects of market size and market scope separately, and then add the critical variable of jurisdictional boundaries. By decoupling geography and authority, our analysis produces a respecification of classic interdependence models and advances core international political economy debates concerning power dynamics in a globalized economy.","URL":"http://ejt.sagepub.com/content/early/2011/03/18/1354066110391306.abstract","DOI":"10.1177/1354066110391306","shortTitle":"International Interdependence and Regulatory Power","author":[{"family":"Newman","given":"Abraham"},{"family":"Posner","given":"Elliot"}],"issued":{"date-parts":[["2011",3,21]]},"accessed":{"date-parts":[["2011",12,13]]}}}],"schema":"https://github.com/citation-style-language/schema/raw/master/csl-citation.json"} </w:instrText>
      </w:r>
      <w:r w:rsidR="002E46EC">
        <w:fldChar w:fldCharType="separate"/>
      </w:r>
      <w:r w:rsidR="009106EF">
        <w:rPr>
          <w:noProof/>
        </w:rPr>
        <w:t>(</w:t>
      </w:r>
      <w:r w:rsidR="00F56178">
        <w:rPr>
          <w:noProof/>
        </w:rPr>
        <w:t>Newman and Posner 2011)</w:t>
      </w:r>
      <w:r w:rsidR="002E46EC">
        <w:fldChar w:fldCharType="end"/>
      </w:r>
      <w:r w:rsidR="00D43915">
        <w:t>.</w:t>
      </w:r>
      <w:r w:rsidR="00C423FD">
        <w:t xml:space="preserve">  </w:t>
      </w:r>
      <w:r w:rsidR="00B87EDB">
        <w:t>R</w:t>
      </w:r>
      <w:r w:rsidR="00C423FD">
        <w:t>egulatory disputes</w:t>
      </w:r>
      <w:r w:rsidR="00B87EDB">
        <w:t>, inside and across political borders,</w:t>
      </w:r>
      <w:r w:rsidR="00C423FD">
        <w:t xml:space="preserve"> are fraught with overlapping jurisdictional claims, conflicting domestic legal standards, and </w:t>
      </w:r>
      <w:r w:rsidR="0094400A">
        <w:t xml:space="preserve">competing </w:t>
      </w:r>
      <w:r w:rsidR="00C423FD">
        <w:t>regulatory actors</w:t>
      </w:r>
      <w:r w:rsidR="0094400A">
        <w:t xml:space="preserve"> jockeying to </w:t>
      </w:r>
      <w:r w:rsidR="00C423FD">
        <w:t>set the terms for global market participants</w:t>
      </w:r>
      <w:r w:rsidR="00F604B1">
        <w:t xml:space="preserve"> </w:t>
      </w:r>
      <w:r w:rsidR="00537900">
        <w:fldChar w:fldCharType="begin"/>
      </w:r>
      <w:r w:rsidR="002E46EC">
        <w:instrText xml:space="preserve"> ADDIN ZOTERO_ITEM CSL_CITATION {"citationID":"krL3QoYr","properties":{"formattedCitation":"{\\rtf (Tim B\\uc0\\u252{}the and Mattli 2011)}","plainCitation":"(Tim Büthe and Mattli 2011)"},"citationItems":[{"id":872,"uris":["http://zotero.org/users/72538/items/DDAJI7CS"],"uri":["http://zotero.org/users/72538/items/DDAJI7CS"],"itemData":{"id":872,"type":"book","title":"The new global rulers: the privatization of regulation in the world economy","publisher":"Princeton University Press","number-of-pages":"321","source":"Google Books","abstract":"Over the past two decades, governments have delegated extensive regulatory authority to international private-sector organizations. This internationalization and privatization of rule making has been motivated not only by the economic benefits of common rules for global markets, but also by the realization that government regulators often lack the expertise and resources to deal with increasingly complex and urgent regulatory tasks. The New Global Rulers examines who writes the rules in international private organizations, as well as who wins, who loses--and why.Tim Büthe and Walter Mattli examine three powerful global private regulators: the International Accounting Standards Board, which develops financial reporting rules used by corporations in more than a hundred countries; and the International Organization for Standardization and the International Electrotechnical Commission, which account for 85 percent of all international product standards. Büthe and Mattli offer both a new framework for understanding global private regulation and detailed empirical analyses of such regulation based on multi-country, multi-industry business surveys. They find that global rule making by technical experts is highly political, and that even though rule making has shifted to the international level, domestic institutions remain crucial. Influence in this form of global private governance is not a function of the economic power of states, but of the ability of domestic standard-setters to provide timely information and speak with a single voice. Büthe and Mattli show how domestic institutions' abilities differ, particularly between the two main standardization players, the United States and Europe.","ISBN":"9780691144795","shortTitle":"The new global rulers","language":"en","author":[{"family":"Büthe","given":"Tim"},{"family":"Mattli","given":"Walter"}],"issued":{"date-parts":[["2011",3,21]]}}}],"schema":"https://github.com/citation-style-language/schema/raw/master/csl-citation.json"} </w:instrText>
      </w:r>
      <w:r w:rsidR="00537900">
        <w:fldChar w:fldCharType="separate"/>
      </w:r>
      <w:r w:rsidR="004369C5">
        <w:rPr>
          <w:rFonts w:ascii="Cambria"/>
        </w:rPr>
        <w:t>(</w:t>
      </w:r>
      <w:r w:rsidR="00486179" w:rsidRPr="00486179">
        <w:rPr>
          <w:rFonts w:ascii="Cambria"/>
        </w:rPr>
        <w:t>Büthe and Mattli 2011)</w:t>
      </w:r>
      <w:r w:rsidR="00537900">
        <w:fldChar w:fldCharType="end"/>
      </w:r>
      <w:r w:rsidR="00C423FD">
        <w:t>.</w:t>
      </w:r>
      <w:r w:rsidR="00CD7577">
        <w:t xml:space="preserve">  These terms </w:t>
      </w:r>
      <w:r>
        <w:t xml:space="preserve">have </w:t>
      </w:r>
      <w:r w:rsidR="00C423FD">
        <w:t xml:space="preserve">significant </w:t>
      </w:r>
      <w:r>
        <w:t>consequences</w:t>
      </w:r>
      <w:r w:rsidR="00CD7577">
        <w:t xml:space="preserve"> for polities competing to attract investment and economic activit</w:t>
      </w:r>
      <w:r w:rsidR="00607973">
        <w:t>y</w:t>
      </w:r>
      <w:r w:rsidR="00CD7577">
        <w:t xml:space="preserve"> and</w:t>
      </w:r>
      <w:r>
        <w:t xml:space="preserve"> for corporate strategy</w:t>
      </w:r>
      <w:r w:rsidR="00C423FD">
        <w:t xml:space="preserve"> as companies are frequently forced to </w:t>
      </w:r>
      <w:r w:rsidR="00B87EDB">
        <w:t xml:space="preserve">absorb </w:t>
      </w:r>
      <w:r w:rsidR="00C423FD">
        <w:t xml:space="preserve">sizable costs as they adjust to international rules. </w:t>
      </w:r>
      <w:r w:rsidR="00B87EDB">
        <w:t xml:space="preserve"> G</w:t>
      </w:r>
      <w:r w:rsidR="00C11FA2">
        <w:t>lobal standards</w:t>
      </w:r>
      <w:r w:rsidR="00822BB4">
        <w:t>, moreover,</w:t>
      </w:r>
      <w:r w:rsidR="00C11FA2">
        <w:t xml:space="preserve"> can upend long-standing </w:t>
      </w:r>
      <w:r>
        <w:t>consumer protection</w:t>
      </w:r>
      <w:r w:rsidR="00C11FA2">
        <w:t>s</w:t>
      </w:r>
      <w:r w:rsidR="00607973">
        <w:t xml:space="preserve"> and </w:t>
      </w:r>
      <w:r w:rsidR="00C11FA2">
        <w:t>redefin</w:t>
      </w:r>
      <w:r w:rsidR="00607973">
        <w:t>e</w:t>
      </w:r>
      <w:r w:rsidR="00C11FA2">
        <w:t xml:space="preserve"> the</w:t>
      </w:r>
      <w:r>
        <w:t xml:space="preserve"> relationship between governments and their citizens. </w:t>
      </w:r>
    </w:p>
    <w:p w14:paraId="4F385B02" w14:textId="611879F9" w:rsidR="00B57950" w:rsidRDefault="008B63CE" w:rsidP="008B63CE">
      <w:pPr>
        <w:spacing w:line="480" w:lineRule="auto"/>
      </w:pPr>
      <w:r>
        <w:tab/>
        <w:t>It should thus not be surprising that scholarly research</w:t>
      </w:r>
      <w:r w:rsidR="00607973">
        <w:t xml:space="preserve"> and policy analysis</w:t>
      </w:r>
      <w:r>
        <w:t xml:space="preserve"> on the European Union</w:t>
      </w:r>
      <w:r w:rsidR="002B5059">
        <w:t xml:space="preserve"> (EU) </w:t>
      </w:r>
      <w:r w:rsidR="005D6AE7">
        <w:t>have</w:t>
      </w:r>
      <w:r>
        <w:t xml:space="preserve"> turned </w:t>
      </w:r>
      <w:r w:rsidR="001B3DA8">
        <w:t xml:space="preserve">their </w:t>
      </w:r>
      <w:r>
        <w:t xml:space="preserve">attention to </w:t>
      </w:r>
      <w:r w:rsidR="00B87EDB">
        <w:t xml:space="preserve">the polity’s role in </w:t>
      </w:r>
      <w:r>
        <w:t>global regulation</w:t>
      </w:r>
      <w:r w:rsidR="000467A4">
        <w:t xml:space="preserve"> </w:t>
      </w:r>
      <w:r w:rsidR="00537900">
        <w:fldChar w:fldCharType="begin"/>
      </w:r>
      <w:r w:rsidR="002E46EC">
        <w:instrText xml:space="preserve"> ADDIN ZOTERO_ITEM CSL_CITATION {"citationID":"hIaHvJcE","properties":{"formattedCitation":"{\\rtf (L\\uc0\\u252{}tz 2011; C. Bretherton and Vogler 1999; Lavenex and Schimmelfennig 2009; M\\uc0\\u252{}ller, Kudrna, and Falkner 2014; Vogel 2012; Jacoby and Meunier 2010; Henry Farrell and Newman 2010)}","plainCitation":"(Lütz 2011; C. Bretherton and Vogler 1999; Lavenex and Schimmelfennig 2009; Müller, Kudrna, and Falkner 2014; Vogel 2012; Jacoby and Meunier 2010; Henry Farrell and Newman 2010)"},"citationItems":[{"id":1750,"uris":["http://zotero.org/users/72538/items/Q2ZRGRPH"],"uri":["http://zotero.org/users/72538/items/Q2ZRGRPH"],"itemData":{"id":1750,"type":"article-journal","title":"Back to the future? The domestic sources of transatlantic regulation","container-title":"Review of International Political Economy","page":"iii-xxii","volume":"18","issue":"4","source":"Taylor and Francis+NEJM","abstract":"As each others' most important investment and trading partner, the European and U.S. American economies are closely interlinked. The growing intensity of economic interdependence has spurred the transatlantic coordination of rules and standards that could form non-tariff barriers to transatlantic commerce. But despite impressive government-to-government efforts to eliminate market barriers, the EU and the U.S. have frequently clashed over each other's regulatory policies. The aim of this special issue is to explore the domestic sources of cooperation or conflict in transatlantic regulation. The papers analyze the role of domestic factors through three theoretical lenses that are well-established in the study of multilevel systems: the principal-agent approach, the two-level game metaphor, and through a wider concept of institutionalism which emphasizes the interlinkages of societal interests and regulatory ideas with institutional frameworks. The papers reveal that domestic factors embody more obstacles to than opportunities for horizontal coordination. It is argued that transatlantic relations will likely undergo a ‘double movement’ of being simultaneously shifted upwards to become part of the global governance architecture, and downwards towards broader involvement of legislators in regulatory matters. Hence, transatlantic regulation might in the near future be more shaped by political leaders, rent-seeking interest groups and legislators than by networks of technocrats.","DOI":"10.1080/09692290.2011.638607","ISSN":"0969-2290","shortTitle":"Back to the future?","author":[{"family":"Lütz","given":"Susanne"}],"issued":{"date-parts":[["2011",10,1]]},"accessed":{"date-parts":[["2014",9,5]]}}},{"id":1443,"uris":["http://zotero.org/users/72538/items/KHQ9R4HI"],"uri":["http://zotero.org/users/72538/items/KHQ9R4HI"],"itemData":{"id":1443,"type":"book","title":"The European Union as a global actor","publisher":"Routledge","publisher-place":"London","event-place":"London","author":[{"family":"Bretherton","given":"C."},{"family":"Vogler","given":"J."}],"issued":{"date-parts":[["1999"]]}}},{"id":2252,"uris":["http://zotero.org/users/72538/items/UMIJ7NTH"],"uri":["http://zotero.org/users/72538/items/UMIJ7NTH"],"itemData":{"id":2252,"type":"article-journal","title":"EU rules beyond EU borders: theorizing external governance in European politics","container-title":"Journal of European Public Policy","page":"791-812","volume":"16","issue":"6","source":"Taylor and Francis+NEJM","abstract":"The concept of external governance seeks to capture the expanding scope of EU rules beyond EU borders. This article elaborates the theoretical foundations of this concept, differentiates the various institutional modes through which external governance takes place and suggests a set of hypotheses addressing the conditions under which EU external governance is effective. Here, we contrast institutionalist explanations, which are the most germane to an external governance approach, with competing expectations derived from power-based theories and approaches emphasizing the role of domestic factors in the target countries.","DOI":"10.1080/13501760903087696","ISSN":"1350-1763","shortTitle":"EU rules beyond EU borders","author":[{"family":"Lavenex","given":"Sandra"},{"family":"Schimmelfennig","given":"Frank"}],"issued":{"date-parts":[["2009",8,14]]},"accessed":{"date-parts":[["2014",9,5]]}}},{"id":659,"uris":["http://zotero.org/users/72538/items/AHXSSUHV"],"uri":["http://zotero.org/users/72538/items/AHXSSUHV"],"itemData":{"id":659,"type":"article-journal","title":"EU–global interactions: policy export, import, promotion and protection","container-title":"Journal of European Public Policy","page":"1102-1119","volume":"21","issue":"8","source":"Taylor and Francis+NEJM","abstract":"The interactions between the European Union (EU) and international policy regimes are ever more important. Much of the existing literature has focused on the bottom-up dimension of the EU's role in global institutions, assuming that the EU predominantly seeks to project its policies to the global level. However, our review of empirical research reveals that EU policy exports tend to be rare and that EU–global interactions are more varied. On a global scale, the EU is not a hegemonic power that can easily transfer its standards to international regimes, nor does it always desire to do so. This article conceptualizes the EU's interactions with international institutions in four modes (policy export, policy promotion, policy protection and policy import), establishes different rationales motivating EU actors to engage through a given mode and relates recent empirical research to this comprehensive typology.","DOI":"10.1080/13501763.2014.914237","ISSN":"1350-1763","shortTitle":"EU–global interactions","author":[{"family":"Müller","given":"Patrick"},{"family":"Kudrna","given":"Zdenek"},{"family":"Falkner","given":"Gerda"}],"issued":{"date-parts":[["2014",5,22]]},"accessed":{"date-parts":[["2014",9,5]]}}},{"id":1412,"uris":["http://zotero.org/users/72538/items/K544UGCW"],"uri":["http://zotero.org/users/72538/items/K544UGCW"],"itemData":{"id":1412,"type":"book","title":"The Politics of Precaution: Regulating Health, Safety, and Environmental Risks in Europe and the United States","publisher":"Princeton University Press","number-of-pages":"333","source":"Google Books","abstract":"The Politics of Precaution examines the politics of consumer and environmental risk regulation in the United States and Europe over the last five decades, explaining why America and Europe have often regulated a wide range of similar risks differently. It finds that between 1960 and 1990, American health, safety, and environmental regulations were more stringent, risk averse, comprehensive, and innovative than those adopted in Europe. But since around 1990, the book shows, global regulatory leadership has shifted to Europe. What explains this striking reversal? David Vogel takes an in-depth, comparative look at European and American policies toward a range of consumer and environmental risks, including vehicle air pollution, ozone depletion, climate change, beef and milk hormones, genetically modified agriculture, antibiotics in animal feed, pesticides, cosmetic safety, and hazardous substances in electronic products. He traces how concerns over such risks--and pressure on political leaders to do something about them--have risen among the European public but declined among Americans. Vogel explores how policymakers in Europe have grown supportive of more stringent regulations while those in the United States have become sharply polarized along partisan lines. And as European policymakers have grown more willing to regulate risks on precautionary grounds, increasingly skeptical American policymakers have called for higher levels of scientific certainty before imposing additional regulatory controls on business.","ISBN":"1400842565","shortTitle":"The Politics of Precaution","language":"en","author":[{"family":"Vogel","given":"David"}],"issued":{"date-parts":[["2012",4,29]]}}},{"id":3106,"uris":["http://zotero.org/users/72538/items/4FGRH9TG"],"uri":["http://zotero.org/users/72538/items/4FGRH9TG"],"itemData":{"id":3106,"type":"article-journal","title":"Europe and the management of globalization","container-title":"Journal of European Public Policy","page":"299-317","volume":"17","issue":"3","source":"Taylor and Francis+NEJM","abstract":"European policy-makers often speak of their efforts to ‘manage globalization’. We argue that the advocacy of managed globalization is more than a rhetorical device and indeed has been a primary driver of major European Union (EU) policies over the past 25 years. We sketch the outlines of the concept of managed globalization, raise broad questions about its extent, and describe five major mechanisms through which it has been pursued: (1) expanding policy scope; (2) exercising regulatory influence; (3) empowering international institutions; (4) enlarging the territorial sphere of EU influence; and (5) redistributing the costs of globalization. These mechanisms are neither entirely novel, nor are they necessarily effective, but they provide the contours of an approach to globalization that is neither ad hoc deregulation nor old-style economic protectionism.","DOI":"10.1080/13501761003662107","ISSN":"1350-1763","author":[{"family":"Jacoby","given":"Wade"},{"family":"Meunier","given":"Sophie"}],"issued":{"date-parts":[["2010",3,22]]},"accessed":{"date-parts":[["2014",9,10]]}}},{"id":1356,"uris":["http://zotero.org/users/72538/items/JFCQMV8Q"],"uri":["http://zotero.org/users/72538/items/JFCQMV8Q"],"itemData":{"id":1356,"type":"article-journal","title":"Making global markets: Historical institutionalism in international political economy","container-title":"Review of International Political Economy","page":"609-638","volume":"17","issue":"4","source":"Taylor&amp;Francis","abstract":"ABSTRACT As dramatically evidenced by the global financial crisis, the interaction of domestic regulatory systems has significant international consequences. Nevertheless, these relationships have received only limited attention from international relations scholars. This special issue, therefore, provides a detailed examination of international market regulation ? the processes through which the domestic regulatory activities of states and other actors set the effective rules of internationally-exposed markets. To this end, we borrow and extend on arguments developed by historical institutionalists in comparative politics and American political development. In particular, the contributions adapt two mechanisms ? policy feedbacks and relative sequencing ? to explain state and bureaucratic preferences over international market regulation as well as bargaining strength in relevant negotiations. In addition to contributing to central IPE debates about international economic governance, the individual contributions shed light on a number of important empirical domains such as corporate accounting, intellectual property, pharmaceuticals, hedge funds, and financial market standardization.\nABSTRACT As dramatically evidenced by the global financial crisis, the interaction of domestic regulatory systems has significant international consequences. Nevertheless, these relationships have received only limited attention from international relations scholars. This special issue, therefore, provides a detailed examination of international market regulation ? the processes through which the domestic regulatory activities of states and other actors set the effective rules of internationally-exposed markets. To this end, we borrow and extend on arguments developed by historical institutionalists in comparative politics and American political development. In particular, the contributions adapt two mechanisms ? policy feedbacks and relative sequencing ? to explain state and bureaucratic preferences over international market regulation as well as bargaining strength in relevant negotiations. In addition to contributing to central IPE debates about international economic governance, the individual contributions shed light on a number of important empirical domains such as corporate accounting, intellectual property, pharmaceuticals, hedge funds, and financial market standardization.","DOI":"10.1080/09692291003723672","ISSN":"0969-2290","shortTitle":"Making global markets","author":[{"family":"Farrell","given":"Henry"},{"family":"Newman","given":"Abraham L."}],"issued":{"date-parts":[["2010"]]}}}],"schema":"https://github.com/citation-style-language/schema/raw/master/csl-citation.json"} </w:instrText>
      </w:r>
      <w:r w:rsidR="00537900">
        <w:fldChar w:fldCharType="separate"/>
      </w:r>
      <w:r w:rsidR="002E46EC" w:rsidRPr="00DE78CC">
        <w:rPr>
          <w:rFonts w:ascii="Cambria"/>
        </w:rPr>
        <w:t>(Lütz 2011; C. Bretherton and Vogler 1999; Lavenex and Schimmelfennig 2009; Müller, Kudrna, and Falkner 2014; Vogel 2012;</w:t>
      </w:r>
      <w:r w:rsidR="002E46EC" w:rsidRPr="002E46EC">
        <w:rPr>
          <w:rFonts w:ascii="Cambria"/>
        </w:rPr>
        <w:t xml:space="preserve"> Jacoby and Meunier 2010; </w:t>
      </w:r>
      <w:r w:rsidR="002E46EC" w:rsidRPr="00DE78CC">
        <w:rPr>
          <w:rFonts w:ascii="Cambria"/>
        </w:rPr>
        <w:t>Farrell and Newman 2010)</w:t>
      </w:r>
      <w:r w:rsidR="00537900">
        <w:fldChar w:fldCharType="end"/>
      </w:r>
      <w:r>
        <w:t xml:space="preserve">. </w:t>
      </w:r>
      <w:r w:rsidR="00F437BA">
        <w:t>Despite a proliferation of studies on topics ranging from agriculture to finance, the</w:t>
      </w:r>
      <w:r w:rsidR="00822BB4">
        <w:t xml:space="preserve"> findings of this growing literature can seem wildly </w:t>
      </w:r>
      <w:r w:rsidR="00997DCF">
        <w:t>disconnect</w:t>
      </w:r>
      <w:r w:rsidR="00822BB4">
        <w:t>ed</w:t>
      </w:r>
      <w:r w:rsidR="00997DCF">
        <w:t xml:space="preserve">. On the one hand, research has </w:t>
      </w:r>
      <w:r w:rsidR="009C3BB8">
        <w:t>trumpeted the EU’s influence</w:t>
      </w:r>
      <w:r w:rsidR="00997DCF">
        <w:t>, emphasizing</w:t>
      </w:r>
      <w:r w:rsidR="00822BB4">
        <w:t>,</w:t>
      </w:r>
      <w:r w:rsidR="009C3BB8">
        <w:t xml:space="preserve"> alternatively</w:t>
      </w:r>
      <w:r w:rsidR="00822BB4">
        <w:t>,</w:t>
      </w:r>
      <w:r w:rsidR="009C3BB8">
        <w:t xml:space="preserve"> the ideas and v</w:t>
      </w:r>
      <w:r w:rsidR="00997DCF">
        <w:t>alues that animate EU efforts</w:t>
      </w:r>
      <w:r w:rsidR="00607973">
        <w:t xml:space="preserve"> or</w:t>
      </w:r>
      <w:r w:rsidR="00F74A96">
        <w:t xml:space="preserve"> power resources</w:t>
      </w:r>
      <w:r w:rsidR="00AC1CD9">
        <w:t xml:space="preserve"> rooted in the size</w:t>
      </w:r>
      <w:r w:rsidR="00C010B8">
        <w:t xml:space="preserve"> and institutional configurations</w:t>
      </w:r>
      <w:r w:rsidR="00AC1CD9">
        <w:t xml:space="preserve"> of its internal market</w:t>
      </w:r>
      <w:r w:rsidR="000467A4">
        <w:t xml:space="preserve"> </w:t>
      </w:r>
      <w:r w:rsidR="00537900">
        <w:fldChar w:fldCharType="begin"/>
      </w:r>
      <w:r w:rsidR="00B860A6">
        <w:instrText xml:space="preserve"> ADDIN ZOTERO_ITEM CSL_CITATION {"citationID":"9pLxUjwh","properties":{"formattedCitation":"(Falkner 2007; Manners 2006; Bradford 2012; Damro 2012)","plainCitation":"(Falkner 2007; Manners 2006; Bradford 2012; Damro 2012)"},"citationItems":[{"id":247,"uris":["http://zotero.org/users/72538/items/522T9K3U"],"uri":["http://zotero.org/users/72538/items/522T9K3U"],"itemData":{"id":247,"type":"article-journal","title":"The political economy of ‘normative power’ Europe: EU environmental leadership in international biotechnology regulation","container-title":"Journal of European Public Policy","page":"507-526","volume":"14","issue":"4","source":"Taylor and Francis+NEJM","abstract":"This paper examines the transformation of the European Union from a laggard to a leader in the international politics of biotechnology regulation. The emergence of EU leadership in global environmental politics during the 1990s seems to support recent arguments about the distinctive nature of the EU as a ‘normative power’ in international relations. However, as this paper argues, this perspective lacks historical depth and fails to capture tensions between competing principles and conflict among domestic interest groups in Europe. The paper calls for a more critical reading of the normative power argument and identifies shifts in the domestic political economy of agricultural biotechnology as the key factors behind the EU's support for a precautionary international regime on trade in genetically modified organisms.","DOI":"10.1080/13501760701314326","ISSN":"1350-1763","shortTitle":"The political economy of ‘normative power’ Europe","author":[{"family":"Falkner","given":"Robert"}],"issued":{"date-parts":[["2007",5,16]]},"accessed":{"date-parts":[["2014",9,5]]}}},{"id":1348,"uris":["http://zotero.org/users/72538/items/JDN3MEFA"],"uri":["http://zotero.org/users/72538/items/JDN3MEFA"],"itemData":{"id":1348,"type":"article-journal","title":"Normative power Europe reconsidered: beyond the crossroads","container-title":"Journal of European Public Policy","page":"182-199","volume":"13","issue":"2","source":"Taylor and Francis+NEJM","abstract":"The idea of being civilian, military, and civilizing at the same time is undoubtedly very seductive to the armies of academics now writing on EU military force. It is tempting to think that the EU can have-its-cake-and-eat-it-too in militarizing its normative power. In contrast, in my reconsideration of normative power Europe I suggest that militarization of the EU need not necessarily lead to the diminution of the EU's normative power, if the process is characterized by critical reflection rather than the pursuit of ‘great power’. However, I will further argue that militarizing processes beyond the crossroads provided by the European Security Strategy are already weakening the normative claims of the EU in a post-11 September world characterized by the drive towards ‘martial potency’ and the growth of a Brussels-based ‘military-industrial simplex’.","DOI":"10.1080/13501760500451600","ISSN":"1350-1763","shortTitle":"Normative power Europe reconsidered","author":[{"family":"Manners","given":"Ian"}],"issued":{"date-parts":[["2006",3,1]]},"accessed":{"date-parts":[["2014",9,5]]}}},{"id":929,"uris":["http://zotero.org/users/72538/items/E5SVZ452"],"uri":["http://zotero.org/users/72538/items/E5SVZ452"],"itemData":{"id":929,"type":"article-journal","title":"Brussels Effect, The","container-title":"Northwestern University Law Review","page":"1","volume":"107","journalAbbreviation":"Nw. U. L. Rev.","author":[{"family":"Bradford","given":"Anu"}],"issued":{"date-parts":[["2012"]],"season":"2013"}}},{"id":3137,"uris":["http://zotero.org/users/72538/items/EZA87E5K"],"uri":["http://zotero.org/users/72538/items/EZA87E5K"],"itemData":{"id":3137,"type":"article-journal","title":"Market power Europe","container-title":"Journal of European Public Policy","page":"682-699","volume":"19","issue":"5","source":"Taylor and Francis+NEJM","abstract":"While the identity of the European Union (EU) may have normative and/or other characteristics, it is fundamentally a large single market with significant institutional features and competing interest groups. Given these central characteristics, the EU may be best understood as a market power Europe that exercises its power through the externalization of economic and social market-related policies and regulatory measures. Such an exercise of power, which may occur as intentional or unintentional behaviour, suggests the EU is fully capable of using both persuasive and coercive means and tools to influence international affairs. By scrutinizing the EU's identity, official documents and initial evidence, the article provides an analytical framework for understanding what kind of power the EU is, what the EU says as a power and what the EU does as a power.","DOI":"10.1080/13501763.2011.646779","ISSN":"1350-1763","author":[{"family":"Damro","given":"Chad"}],"issued":{"date-parts":[["2012",6,1]]},"accessed":{"date-parts":[["2014",12,15]]}}}],"schema":"https://github.com/citation-style-language/schema/raw/master/csl-citation.json"} </w:instrText>
      </w:r>
      <w:r w:rsidR="00537900">
        <w:fldChar w:fldCharType="separate"/>
      </w:r>
      <w:r w:rsidR="00B860A6">
        <w:rPr>
          <w:noProof/>
        </w:rPr>
        <w:t>(Falkner 2007; Manners 2006; Bradford 2012; Damro 2012)</w:t>
      </w:r>
      <w:r w:rsidR="00537900">
        <w:fldChar w:fldCharType="end"/>
      </w:r>
      <w:r w:rsidR="00C11FA2">
        <w:t>.</w:t>
      </w:r>
      <w:r w:rsidR="00997DCF">
        <w:t xml:space="preserve"> On the other hand, a significant literature details the limits of EU efforts pointing to its failure to shape global rules in high profile issue areas</w:t>
      </w:r>
      <w:r w:rsidR="000467A4">
        <w:t xml:space="preserve"> </w:t>
      </w:r>
      <w:r w:rsidR="00537900">
        <w:fldChar w:fldCharType="begin"/>
      </w:r>
      <w:r w:rsidR="002E46EC">
        <w:instrText xml:space="preserve"> ADDIN ZOTERO_ITEM CSL_CITATION {"citationID":"A5F752fA","properties":{"formattedCitation":"(Pollack and Shaffer 2009; Sbragia 2010; Leblond 2011; Charlotte Bretherton and Vogler 2013; A. R. Young 2014)","plainCitation":"(Pollack and Shaffer 2009; Sbragia 2010; Leblond 2011; Charlotte Bretherton and Vogler 2013; A. R. Young 2014)"},"citationItems":[{"id":1738,"uris":["http://zotero.org/users/72538/items/PVGNFBAT"],"uri":["http://zotero.org/users/72538/items/PVGNFBAT"],"itemData":{"id":1738,"type":"book","title":"When Cooperation Fails: The International Law and Politics of Genetically Modified Foods","publisher":"Oxford University Press, USA","number-of-pages":"456","source":"Amazon.com","ISBN":"0199567050","shortTitle":"When Cooperation Fails","author":[{"family":"Pollack","given":"Mark A."},{"family":"Shaffer","given":"Gregory C."}],"issued":{"date-parts":[["2009",7,26]]}}},{"id":1574,"uris":["http://zotero.org/users/72538/items/MZV5KW85"],"uri":["http://zotero.org/users/72538/items/MZV5KW85"],"itemData":{"id":1574,"type":"article-journal","title":"The EU, the US, and trade policy: competitive interdependence in the management of globalization","container-title":"Journal of European Public Policy","page":"368-382","volume":"17","issue":"3","source":"Taylor and Francis+NEJM","abstract":"Competitive interdependence characterizes the EU–US relationship vis-à-vis third markets. Each defines success in relation to the other while each also views the other as its key geo-economic competitor in the world economy. CI has developed as the EU has attempted to manage globalization in the field of trade policy by focusing on the multilateral level and then by reversing course and privileging the regional, which in turn has expanded the EU's territorial influence. The reversal occurred largely because the Bush Administration in Washington pursued free trade agreements (FTAs) in a process of ‘competitive liberalization’. The US outflanked the EU by negotiating FTAs that favored US firms in third markets. The EU, to protect its own firms, then began to negotiate FTAs itself. Geo-economic competition between the EU and the US is thus key to shaping EU trade policy.","DOI":"10.1080/13501761003662016","ISSN":"1350-1763","shortTitle":"The EU, the US, and trade policy","author":[{"family":"Sbragia","given":"Alberta"}],"issued":{"date-parts":[["2010",3,22]]},"accessed":{"date-parts":[["2014",9,5]]}}},{"id":853,"uris":["http://zotero.org/users/72538/items/D57F3FZ8"],"uri":["http://zotero.org/users/72538/items/D57F3FZ8"],"itemData":{"id":853,"type":"article-journal","title":"EU, US and international accounting standards: a delicate balancing act in governing global finance","container-title":"Journal of European Public Policy","page":"443-461","volume":"18","issue":"3","source":"Taylor and Francis+NEJM","abstract":"Although the European Union (EU) has been a key global actor in international trade governance since the 1960s, it held no such position in international financial governance until the new millennium. Accounting standards represent one important area of international finance where the EU has finally taken a leadership position alongside the United States, as a result of its adoption of International Financial Reporting Standards (IFRSs) and its corresponding delegation of standard setting to the International Accounting Standards Board (IASB). Surprisingly perhaps, neither the EU nor the US has been able to exercise much influence over the content of IFRSs. This is because the IASB has managed to maintain a delicate balance between American and European interests in devising its standards. Using the principal–agent framework, this contribution explains this dynamic between the IASB, the EU and the US in the period 2002–2010.","DOI":"10.1080/13501763.2011.551083","ISSN":"1350-1763","shortTitle":"EU, US and international accounting standards","author":[{"family":"Leblond","given":"Patrick"}],"issued":{"date-parts":[["2011"]]},"accessed":{"date-parts":[["2012",11,21]]}}},{"id":3105,"uris":["http://zotero.org/users/72538/items/2259CB69"],"uri":["http://zotero.org/users/72538/items/2259CB69"],"itemData":{"id":3105,"type":"article-journal","title":"A global actor past its peak?","container-title":"International Relations","page":"375-390","volume":"27","issue":"3","source":"ire.sagepub.com","abstract":"Examining a range of policy areas in which the European Union (EU) acts externally – notably trade, development, climate change and foreign and security policy – this article considers the notion that the years since the mid-2000s have witnessed a decline in EU actorness/effectiveness. In evaluating EU performance, the article employs the interrelated concepts of presence, denoting EU status and influence; opportunity, denoting the external context of EU action; and capability, referring to EU policy processes and instruments, with particular reference to the impact of the 2009 Lisbon Treaty. It is contended that achievement of the increased capability envisaged by the Lisbon Treaty, together with resolution of the Eurozone crisis, with its deleterious effect upon the Union’s presence, would not fully compensate for the loss of opportunity provided by the changing international structure.","DOI":"10.1177/0047117813497299","ISSN":"0047-1178, 1741-2862","journalAbbreviation":"International Relations","language":"en","author":[{"family":"Bretherton","given":"Charlotte"},{"family":"Vogler","given":"John"}],"issued":{"date-parts":[["2013",9,1]]},"accessed":{"date-parts":[["2014",9,10]]}}},{"id":3107,"uris":["http://zotero.org/users/72538/items/KJ3DV4PD"],"uri":["http://zotero.org/users/72538/items/KJ3DV4PD"],"itemData":{"id":3107,"type":"article-journal","title":"Europe as a global regulator? The limits of EU influence in international food safety standards","container-title":"Journal of European Public Policy","page":"904-922","volume":"21","issue":"6","source":"Taylor and Francis+NEJM","abstract":"The European Union (EU) is often depicted as global regulatory power. This contribution contends that this depiction, while not unfounded, is misleading. It aims to clarify under what conditions the EU converts its regulatory capability into influence. Specifically, it seeks to resolve the puzzle of the EU's poor performance in the setting of global food safety standards within the Codex Alimentarius Commission. The argument is deceptively simple. The EU's limited influence is due to it being a preference outlier. In a context where standards can be agreed by voting, the stringency of the EU's regulations, rather than being a source of influence, is a liability. This extreme case demonstrates that the EU's ability to exercise international influence is affected by the constellation of preferences and the distribution of power. This contribution, therefore, contributes to the emerging literature that contends that the EU's international effectiveness can be understood only with explicit reference to the international context within which it is operating.","DOI":"10.1080/13501763.2014.910871","ISSN":"1350-1763","shortTitle":"Europe as a global regulator?","author":[{"family":"Young","given":"Alasdair R."}],"issued":{"date-parts":[["2014",5,29]]},"accessed":{"date-parts":[["2014",9,10]]}}}],"schema":"https://github.com/citation-style-language/schema/raw/master/csl-citation.json"} </w:instrText>
      </w:r>
      <w:r w:rsidR="00537900">
        <w:fldChar w:fldCharType="separate"/>
      </w:r>
      <w:r w:rsidR="005F78C6">
        <w:rPr>
          <w:noProof/>
        </w:rPr>
        <w:t>(Sbragia 2010; Leblond 2011; Bretherton and Vogler 2013; Young 2014)</w:t>
      </w:r>
      <w:r w:rsidR="00537900">
        <w:fldChar w:fldCharType="end"/>
      </w:r>
      <w:r w:rsidR="00997DCF">
        <w:t>.</w:t>
      </w:r>
      <w:r w:rsidR="00C010B8">
        <w:t xml:space="preserve"> </w:t>
      </w:r>
      <w:r w:rsidR="00997DCF">
        <w:t>The skeptics argue that e</w:t>
      </w:r>
      <w:r w:rsidR="009C3BB8">
        <w:t>ven in cases where the EU has clear preferences (consistent with its reputation as a soft and normative power) and bargaining leverage because of well-developed markets and capacities, such as in the Genetically Modified Organizations (GMOs) dispute, it has not always been able to assert its interests globally</w:t>
      </w:r>
      <w:r w:rsidR="00807593">
        <w:t xml:space="preserve"> or even </w:t>
      </w:r>
      <w:r w:rsidR="00607973">
        <w:t>to adopt</w:t>
      </w:r>
      <w:r w:rsidR="00807593">
        <w:t xml:space="preserve"> strategies towards that end</w:t>
      </w:r>
      <w:r w:rsidR="000467A4">
        <w:t xml:space="preserve"> </w:t>
      </w:r>
      <w:r w:rsidR="00537900">
        <w:fldChar w:fldCharType="begin"/>
      </w:r>
      <w:r w:rsidR="002E46EC">
        <w:instrText xml:space="preserve"> ADDIN ZOTERO_ITEM CSL_CITATION {"citationID":"ji8oNPsn","properties":{"formattedCitation":"(Pollack and Shaffer 2009)","plainCitation":"(Pollack and Shaffer 2009)"},"citationItems":[{"id":1738,"uris":["http://zotero.org/users/72538/items/PVGNFBAT"],"uri":["http://zotero.org/users/72538/items/PVGNFBAT"],"itemData":{"id":1738,"type":"book","title":"When Cooperation Fails: The International Law and Politics of Genetically Modified Foods","publisher":"Oxford University Press, USA","number-of-pages":"456","source":"Amazon.com","ISBN":"0199567050","shortTitle":"When Cooperation Fails","author":[{"family":"Pollack","given":"Mark A."},{"family":"Shaffer","given":"Gregory C."}],"issued":{"date-parts":[["2009",7,26]]}}}],"schema":"https://github.com/citation-style-language/schema/raw/master/csl-citation.json"} </w:instrText>
      </w:r>
      <w:r w:rsidR="00537900">
        <w:fldChar w:fldCharType="separate"/>
      </w:r>
      <w:r w:rsidR="000467A4">
        <w:rPr>
          <w:noProof/>
        </w:rPr>
        <w:t>(Pollack and Shaffer 2009)</w:t>
      </w:r>
      <w:r w:rsidR="00537900">
        <w:fldChar w:fldCharType="end"/>
      </w:r>
      <w:r w:rsidR="009C3BB8">
        <w:t xml:space="preserve">. </w:t>
      </w:r>
      <w:r w:rsidR="00B57950">
        <w:t xml:space="preserve"> </w:t>
      </w:r>
      <w:r w:rsidR="00997DCF">
        <w:t xml:space="preserve">How, then, can we </w:t>
      </w:r>
      <w:r w:rsidR="00CE1AC0">
        <w:t>reconcile</w:t>
      </w:r>
      <w:r w:rsidR="00607973">
        <w:t xml:space="preserve"> such</w:t>
      </w:r>
      <w:r w:rsidR="00997DCF">
        <w:t xml:space="preserve"> conflicting findings? </w:t>
      </w:r>
    </w:p>
    <w:p w14:paraId="4008491F" w14:textId="0CB9EC99" w:rsidR="00AD7338" w:rsidRDefault="00736CB3" w:rsidP="000249B4">
      <w:pPr>
        <w:spacing w:line="480" w:lineRule="auto"/>
        <w:ind w:firstLine="720"/>
      </w:pPr>
      <w:r>
        <w:t xml:space="preserve">This </w:t>
      </w:r>
      <w:r w:rsidR="00B57950">
        <w:t xml:space="preserve">paper’s answer </w:t>
      </w:r>
      <w:r w:rsidR="00492EEE">
        <w:t xml:space="preserve">turns on </w:t>
      </w:r>
      <w:r w:rsidR="00173992">
        <w:t xml:space="preserve">EU </w:t>
      </w:r>
      <w:r w:rsidR="001005D0">
        <w:t>embedded</w:t>
      </w:r>
      <w:r w:rsidR="00492EEE">
        <w:t>ness</w:t>
      </w:r>
      <w:r w:rsidR="001005D0">
        <w:t xml:space="preserve"> </w:t>
      </w:r>
      <w:r w:rsidR="00492EEE">
        <w:t>in</w:t>
      </w:r>
      <w:r w:rsidR="00997DCF">
        <w:t xml:space="preserve"> the broader</w:t>
      </w:r>
      <w:r w:rsidR="008B63CE">
        <w:t xml:space="preserve"> </w:t>
      </w:r>
      <w:r w:rsidR="008B63CE" w:rsidRPr="00C11FA2">
        <w:rPr>
          <w:i/>
        </w:rPr>
        <w:t>global regulatory context</w:t>
      </w:r>
      <w:r w:rsidR="000467A4">
        <w:rPr>
          <w:i/>
        </w:rPr>
        <w:t xml:space="preserve"> </w:t>
      </w:r>
      <w:r w:rsidR="00537900">
        <w:fldChar w:fldCharType="begin"/>
      </w:r>
      <w:r w:rsidR="002E46EC">
        <w:instrText xml:space="preserve"> ADDIN ZOTERO_ITEM CSL_CITATION {"citationID":"BnH7m1pr","properties":{"formattedCitation":"(Weber 1994; Copelovitch and Putnam 2014; Falleti and Lynch 2009)","plainCitation":"(Weber 1994; Copelovitch and Putnam 2014; Falleti and Lynch 2009)"},"citationItems":[{"id":592,"uris":["http://zotero.org/users/72538/items/9JR94A5Z"],"uri":["http://zotero.org/users/72538/items/9JR94A5Z"],"itemData":{"id":592,"type":"article-journal","title":"The Origins of the European Bank of Reconstruction","container-title":"International Organization","page":"1-38","volume":"48","author":[{"family":"Weber","given":"S."}],"issued":{"date-parts":[["1994"]]}}},{"id":2110,"uris":["http://zotero.org/users/72538/items/TIMZE7J4"],"uri":["http://zotero.org/users/72538/items/TIMZE7J4"],"itemData":{"id":2110,"type":"article-journal","title":"Design in Context: Existing International Agreements and New Cooperation","container-title":"International Organization","page":"471-493","volume":"68","issue":"02","source":"Cambridge Journals Online","abstract":"This research note highlights an important element missing from rational design theories of international agreements: “institutional context”—the presence or absence of existing and prior agreements between prospective partners in “new” cooperation. If, as rational design theorists argue, agreement design is deliberate, strategic, and directed toward enhancing contracting parties' ability to credibly commit to future cooperation, then prior design “successes” should influence the terms of additional cooperation. We test for this omitted variable problem in three agreement design outcomes: ex ante limitations on agreement duration, exit clauses, and dispute-settlement provisions. Through an augmentation and reanalysis of data from a key study in the rational design literature—Barbara Koremenos's “Contracting Around International Uncertainty”—we show institutional context is positively correlated with inclusion of ex ante time limitations in negotiated agreements and negatively correlated with the inclusion of exit clauses and third-party dispute-settlement provisions. Institutional context also mediates and conditions the effects of the explanatory variable at the heart of existing rational design theories—uncertainty about the future distribution of gains from cooperation. Our findings show that the collective appeal of particular design features varies not only with the nature of underlying strategic problems, but also with degrees of shared institutional context.","DOI":"10.1017/S0020818313000441","shortTitle":"Design in Context","author":[{"family":"Copelovitch","given":"Mark S."},{"family":"Putnam","given":"Tonya L."}],"issued":{"date-parts":[["2014"]]}}},{"id":665,"uris":["http://zotero.org/users/72538/items/AJ3AXPRC"],"uri":["http://zotero.org/users/72538/items/AJ3AXPRC"],"itemData":{"id":665,"type":"article-journal","title":"Context and Causal Mechanisms in Political Analysis","container-title":"Comparative Political Studies","source":"cps.sagepub.com","abstract":"Political scientists largely agree that causal mechanisms are crucial to understanding causation. Recent advances in qualitative and quantitative methodology suggest that causal explanations must be contextually bounded. Yet the relationship between context and mechanisms and this relationship’s importance for causation are not well understood. This study defines causal mechanisms as portable concepts that explain how and why a hypothesized cause, in a given context, contributes to a particular outcome. In turn, it defines context as the relevant aspects of a setting in which an array of initial conditions leads to an outcome of a defined scope and meaning via causal mechanisms. Drawing from these definitions is the argument that credible causal explanation can occur if and only if researchers are attentive to the interaction between causal mechanisms and context, regardless of whether the methods employed are small-sample, formal, statistical, or interpretive.","URL":"http://cps.sagepub.com/content/early/2009/04/21/0010414009331724","DOI":"10.1177/0010414009331724","ISSN":"0010-4140, 1552-3829","journalAbbreviation":"Comparative Political Studies","language":"en","author":[{"family":"Falleti","given":"Tulia G."},{"family":"Lynch","given":"Julia F."}],"issued":{"date-parts":[["2009",4,21]]},"accessed":{"date-parts":[["2014",9,5]]}}}],"schema":"https://github.com/citation-style-language/schema/raw/master/csl-citation.json"} </w:instrText>
      </w:r>
      <w:r w:rsidR="00537900">
        <w:fldChar w:fldCharType="separate"/>
      </w:r>
      <w:r w:rsidR="00F560F8">
        <w:rPr>
          <w:noProof/>
        </w:rPr>
        <w:t>(Weber 1994; Copelovitch and Putnam 2014; Falleti and Lynch 2009)</w:t>
      </w:r>
      <w:r w:rsidR="00537900">
        <w:fldChar w:fldCharType="end"/>
      </w:r>
      <w:r w:rsidR="000249B4">
        <w:t>,</w:t>
      </w:r>
      <w:r w:rsidR="00AD7338">
        <w:t xml:space="preserve"> variance within which conditions EU foreign regulatory goals, strategies and behavior.</w:t>
      </w:r>
      <w:r w:rsidR="0097307E">
        <w:t xml:space="preserve"> </w:t>
      </w:r>
      <w:r w:rsidR="00AD7338">
        <w:t>Thus, while not making predictions about EU influence, per se (that is, when it will be a rule maker, a rule blocker, or a rule taker</w:t>
      </w:r>
      <w:r w:rsidR="008C6552">
        <w:t>, Young 2015</w:t>
      </w:r>
      <w:r w:rsidR="00AD7338">
        <w:t xml:space="preserve">), the paper </w:t>
      </w:r>
      <w:r w:rsidR="005D6AE7">
        <w:t xml:space="preserve">looks to </w:t>
      </w:r>
      <w:r w:rsidR="00AD7338">
        <w:t>the global regulatory context to deduce scope conditions under which the EU can (or cannot) be expected to adopt different policy strategies.</w:t>
      </w:r>
      <w:r w:rsidR="008C6552">
        <w:t xml:space="preserve"> In doing so, it connects arguments about the power attributes of the EU to the political process of international cooperation</w:t>
      </w:r>
      <w:r w:rsidR="00A17FCC">
        <w:t xml:space="preserve"> and seeks</w:t>
      </w:r>
      <w:r w:rsidR="008C6552">
        <w:t xml:space="preserve"> to understand the strategies that the EU adopt</w:t>
      </w:r>
      <w:r w:rsidR="00A17FCC">
        <w:t>s</w:t>
      </w:r>
      <w:r w:rsidR="008C6552">
        <w:t xml:space="preserve"> to achieve its preferences. </w:t>
      </w:r>
    </w:p>
    <w:p w14:paraId="18EA0B99" w14:textId="6D73BE9E" w:rsidR="00AD7338" w:rsidRDefault="00AD7338" w:rsidP="00DB67F6">
      <w:pPr>
        <w:spacing w:line="480" w:lineRule="auto"/>
        <w:ind w:firstLine="720"/>
      </w:pPr>
      <w:r>
        <w:t xml:space="preserve">We define the regulatory context as the socio-political setting in a given period of time, which bounds, shapes and constitutes causal connections between the exercise of </w:t>
      </w:r>
      <w:r w:rsidRPr="00173992">
        <w:t>authority</w:t>
      </w:r>
      <w:r>
        <w:t xml:space="preserve"> and global rule-making </w:t>
      </w:r>
      <w:r w:rsidR="00537900">
        <w:fldChar w:fldCharType="begin"/>
      </w:r>
      <w:r w:rsidR="002E46EC">
        <w:instrText xml:space="preserve"> ADDIN ZOTERO_ITEM CSL_CITATION {"citationID":"VinxRurQ","properties":{"formattedCitation":"(Falleti and Lynch 2009)","plainCitation":"(Falleti and Lynch 2009)"},"citationItems":[{"id":665,"uris":["http://zotero.org/users/72538/items/AJ3AXPRC"],"uri":["http://zotero.org/users/72538/items/AJ3AXPRC"],"itemData":{"id":665,"type":"article-journal","title":"Context and Causal Mechanisms in Political Analysis","container-title":"Comparative Political Studies","source":"cps.sagepub.com","abstract":"Political scientists largely agree that causal mechanisms are crucial to understanding causation. Recent advances in qualitative and quantitative methodology suggest that causal explanations must be contextually bounded. Yet the relationship between context and mechanisms and this relationship’s importance for causation are not well understood. This study defines causal mechanisms as portable concepts that explain how and why a hypothesized cause, in a given context, contributes to a particular outcome. In turn, it defines context as the relevant aspects of a setting in which an array of initial conditions leads to an outcome of a defined scope and meaning via causal mechanisms. Drawing from these definitions is the argument that credible causal explanation can occur if and only if researchers are attentive to the interaction between causal mechanisms and context, regardless of whether the methods employed are small-sample, formal, statistical, or interpretive.","URL":"http://cps.sagepub.com/content/early/2009/04/21/0010414009331724","DOI":"10.1177/0010414009331724","ISSN":"0010-4140, 1552-3829","journalAbbreviation":"Comparative Political Studies","language":"en","author":[{"family":"Falleti","given":"Tulia G."},{"family":"Lynch","given":"Julia F."}],"issued":{"date-parts":[["2009",4,21]]},"accessed":{"date-parts":[["2014",9,5]]}}}],"schema":"https://github.com/citation-style-language/schema/raw/master/csl-citation.json"} </w:instrText>
      </w:r>
      <w:r w:rsidR="00537900">
        <w:fldChar w:fldCharType="separate"/>
      </w:r>
      <w:r>
        <w:rPr>
          <w:noProof/>
        </w:rPr>
        <w:t>(Falleti and Lynch 2009)</w:t>
      </w:r>
      <w:r w:rsidR="00537900">
        <w:fldChar w:fldCharType="end"/>
      </w:r>
      <w:r>
        <w:t xml:space="preserve">. For theoretical and empirical reasons developed below, we narrow in on two institutional features of the global regulatory context: the distribution of regulatory capacity across the major economies, and </w:t>
      </w:r>
      <w:r w:rsidR="0097307E">
        <w:t xml:space="preserve">institutional density </w:t>
      </w:r>
      <w:r>
        <w:t xml:space="preserve">at the global level. In contrast to the typical treatment of regional institutional arrangements in the literature on </w:t>
      </w:r>
      <w:r w:rsidR="00736CB3">
        <w:t>the EU as a global actor</w:t>
      </w:r>
      <w:proofErr w:type="gramStart"/>
      <w:r w:rsidR="00936D31">
        <w:t xml:space="preserve">,  </w:t>
      </w:r>
      <w:r>
        <w:t>we</w:t>
      </w:r>
      <w:proofErr w:type="gramEnd"/>
      <w:r>
        <w:t xml:space="preserve"> maintain that regulatory capacity is a relational concept. That is to say, it is not solely an EU attribute, but rather a propert</w:t>
      </w:r>
      <w:r w:rsidR="00C67CD9">
        <w:t>y</w:t>
      </w:r>
      <w:r>
        <w:t xml:space="preserve"> of the “system” and </w:t>
      </w:r>
      <w:r w:rsidR="00C67CD9">
        <w:t xml:space="preserve">properly </w:t>
      </w:r>
      <w:r>
        <w:t>defined in terms of its international distribution</w:t>
      </w:r>
      <w:r w:rsidR="008C6552">
        <w:t xml:space="preserve"> </w:t>
      </w:r>
      <w:r w:rsidR="002E46EC">
        <w:fldChar w:fldCharType="begin"/>
      </w:r>
      <w:r w:rsidR="002E46EC">
        <w:instrText xml:space="preserve"> ADDIN ZOTERO_ITEM CSL_CITATION {"citationID":"gkNzV4KR","properties":{"formattedCitation":"(D. Bach and Newman 2007; David Bach and Newman 2010)","plainCitation":"(D. Bach and Newman 2007; David Bach and Newman 2010)"},"citationItems":[{"id":148,"uris":["http://zotero.org/users/72538/items/3RS8A4WS"],"uri":["http://zotero.org/users/72538/items/3RS8A4WS"],"itemData":{"id":148,"type":"article-journal","title":"The European Regulatory State and Global Public Policy: Micro-Institutions and Macro-Influence","container-title":"Journal of European Public Policy","page":"827-46","volume":"16","issue":"4","author":[{"family":"Bach","given":"D."},{"family":"Newman","given":"A."}],"issued":{"date-parts":[["2007"]]}}},{"id":2292,"uris":["http://zotero.org/users/72538/items/V7G6Q6H8"],"uri":["http://zotero.org/users/72538/items/V7G6Q6H8"],"itemData":{"id":2292,"type":"article-journal","title":"Governing lipitor and lipstick: Capacity, sequencing, and power in international pharmaceutical and cosmetics regulation","container-title":"Review of International Political Economy","page":"665-695","volume":"17","issue":"4","source":"CrossRef","DOI":"10.1080/09692291003723706","ISSN":"0969-2290, 1466-4526","shortTitle":"Governing lipitor and lipstick","author":[{"family":"Bach","given":"David"},{"family":"Newman","given":"Abraham L."}],"issued":{"date-parts":[["2010",10]]},"accessed":{"date-parts":[["2011",9,21]]}}}],"schema":"https://github.com/citation-style-language/schema/raw/master/csl-citation.json"} </w:instrText>
      </w:r>
      <w:r w:rsidR="002E46EC">
        <w:fldChar w:fldCharType="separate"/>
      </w:r>
      <w:r w:rsidR="002E46EC">
        <w:rPr>
          <w:noProof/>
        </w:rPr>
        <w:t>(Bach and Newman 2007; Bach and Newman 2010)</w:t>
      </w:r>
      <w:r w:rsidR="002E46EC">
        <w:fldChar w:fldCharType="end"/>
      </w:r>
      <w:r>
        <w:t xml:space="preserve">.  At the same time, the setting in which the EU engages other regulatory actors varies considerably by forum and mode (traditional international organizations, informal networks, extraterritorial competitive bargaining) and degree and type of agreed rules (non-binding soft law, binding international agreements); as the locus of rule-making shifts and the rule density and type change, the </w:t>
      </w:r>
      <w:r w:rsidR="00736CB3">
        <w:t xml:space="preserve">strategies employed by the EU to shape </w:t>
      </w:r>
      <w:r>
        <w:t>global rules ought to vary</w:t>
      </w:r>
      <w:r w:rsidR="002E46EC">
        <w:t xml:space="preserve"> </w:t>
      </w:r>
      <w:r w:rsidR="002E46EC">
        <w:fldChar w:fldCharType="begin"/>
      </w:r>
      <w:r w:rsidR="002E46EC">
        <w:instrText xml:space="preserve"> ADDIN ZOTERO_ITEM CSL_CITATION {"citationID":"TAKfog7B","properties":{"formattedCitation":"(Axelrod and Keohane 1985; Ruggie 1998)","plainCitation":"(Axelrod and Keohane 1985; Ruggie 1998)"},"citationItems":[{"id":3131,"uris":["http://zotero.org/users/72538/items/7FN7FHDX"],"uri":["http://zotero.org/users/72538/items/7FN7FHDX"],"itemData":{"id":3131,"type":"article-journal","title":"Achieving Cooperation under Anarchy: Strategies and Institutions","container-title":"World Politics","page":"226–254","volume":"38","issue":"01","source":"Cambridge Journals Online","abstract":"Cooperation and discord in world politics are explained to a considerable extent by the three factors discussed in the Introduction: mutuality of interest, the shadow of the future, and the number of players. Yet the context of interaction, perceptions, and strategies is also important. Issues are linked to one another through multilevel games, which may be compatible or incompatible. Whether reciprocity constitutes an effective strategy depends both on linkages among issues and on the institutions within which negotiations take place. Perceptions are always significant and often decisive. Decision makers often actively seek to change the contexts within which they act by linking issues, trying to alter others' perceptions, establishing institutions, and promoting new norms. This finding suggests the importance of linking the upward-looking theory of strategy with the downward-looking theory of regimes.","DOI":"10.2307/2010357","ISSN":"1086-3338","shortTitle":"Achieving Cooperation under Anarchy","author":[{"family":"Axelrod","given":"Robert"},{"family":"Keohane","given":"Robert O."}],"issued":{"date-parts":[["1985",10]]},"accessed":{"date-parts":[["2014",12,15]]}}},{"id":3133,"uris":["http://zotero.org/users/72538/items/UM7835DQ"],"uri":["http://zotero.org/users/72538/items/UM7835DQ"],"itemData":{"id":3133,"type":"book","title":"Constructing the World Polity: Essays on International Institutionalization","publisher":"Psychology Press","number-of-pages":"344","source":"Google Books","abstract":"Constructing the World Polity brings together in one collection the theoretical ideas of one of the most influential International Relations theorists of our time. These essays, with a new introduction, and comprehensive connective sections, present Ruggie's ideas and their application to critical policy questions of the post-Cold War international order. Themes covered include: * International Organization. How the 'new Institutionalism' differs from the old.* The System of States. Explorations of political structure, social time, and territorial space in the world polity.* Making History. America and the issue of 'agency' in the post-Cold Was era. NATO and the future transatlantic security community. The United Nations and the collective use of force.","ISBN":"9780415099905","shortTitle":"Constructing the World Polity","language":"en","author":[{"family":"Ruggie","given":"John Gerard"}],"issued":{"date-parts":[["1998"]]}}}],"schema":"https://github.com/citation-style-language/schema/raw/master/csl-citation.json"} </w:instrText>
      </w:r>
      <w:r w:rsidR="002E46EC">
        <w:fldChar w:fldCharType="separate"/>
      </w:r>
      <w:r w:rsidR="002E46EC">
        <w:rPr>
          <w:noProof/>
        </w:rPr>
        <w:t>(Axelrod and Keohane 1985; Ruggie 1998)</w:t>
      </w:r>
      <w:r w:rsidR="002E46EC">
        <w:fldChar w:fldCharType="end"/>
      </w:r>
      <w:r w:rsidR="002E46EC">
        <w:t>.</w:t>
      </w:r>
      <w:r w:rsidR="008C6552">
        <w:t xml:space="preserve"> </w:t>
      </w:r>
    </w:p>
    <w:p w14:paraId="65CB9E2F" w14:textId="0BC90C45" w:rsidR="00AD7338" w:rsidRDefault="00AD7338" w:rsidP="00B66387">
      <w:pPr>
        <w:spacing w:line="480" w:lineRule="auto"/>
        <w:ind w:firstLine="720"/>
      </w:pPr>
      <w:r>
        <w:t xml:space="preserve">Moving beyond arguments </w:t>
      </w:r>
      <w:r w:rsidR="00F13338">
        <w:t xml:space="preserve">maintaining </w:t>
      </w:r>
      <w:r>
        <w:t>that the EU ‘matters’ in a uni</w:t>
      </w:r>
      <w:r w:rsidR="008F2518">
        <w:t xml:space="preserve">form </w:t>
      </w:r>
      <w:r w:rsidR="00F13338">
        <w:t xml:space="preserve">and static </w:t>
      </w:r>
      <w:r>
        <w:t xml:space="preserve">way, our study, a largely deductive exercise, identifies potential causal linkages between context and strategies and suggests that as the context changes, so too does the EU’s foreign regulatory engagement. The </w:t>
      </w:r>
      <w:r w:rsidR="002E46EC">
        <w:t>article</w:t>
      </w:r>
      <w:r>
        <w:t>’s core, then, develops an analytic framework that predicts different strategies under alternate conditions and indicates how shifts in these conditions are likely to alter strategies</w:t>
      </w:r>
      <w:r w:rsidR="00B767D1">
        <w:t xml:space="preserve"> </w:t>
      </w:r>
      <w:r w:rsidR="00537900">
        <w:fldChar w:fldCharType="begin"/>
      </w:r>
      <w:r w:rsidR="002E46EC">
        <w:instrText xml:space="preserve"> ADDIN ZOTERO_ITEM CSL_CITATION {"citationID":"wruxuveu","properties":{"formattedCitation":"(George and Bennett 2005)","plainCitation":"(George and Bennett 2005)"},"citationItems":[{"id":1286,"uris":["http://zotero.org/users/72538/items/IN8RB665"],"uri":["http://zotero.org/users/72538/items/IN8RB665"],"itemData":{"id":1286,"type":"book","title":"Case Studies and Theory Development in the Social Sciences","publisher":"MIT Press","publisher-place":"Cambridge","event-place":"Cambridge","author":[{"family":"George","given":"A."},{"family":"Bennett","given":"A."}],"issued":{"date-parts":[["2005"]]}}}],"schema":"https://github.com/citation-style-language/schema/raw/master/csl-citation.json"} </w:instrText>
      </w:r>
      <w:r w:rsidR="00537900">
        <w:fldChar w:fldCharType="separate"/>
      </w:r>
      <w:r w:rsidR="00B767D1">
        <w:rPr>
          <w:noProof/>
        </w:rPr>
        <w:t>(George and Bennett 2005)</w:t>
      </w:r>
      <w:r w:rsidR="00537900">
        <w:fldChar w:fldCharType="end"/>
      </w:r>
      <w:r>
        <w:t>.  In particular, we</w:t>
      </w:r>
      <w:r w:rsidR="003F0854">
        <w:t xml:space="preserve"> posit </w:t>
      </w:r>
      <w:r w:rsidR="00534D8F">
        <w:t>that</w:t>
      </w:r>
      <w:r>
        <w:t xml:space="preserve"> temporal </w:t>
      </w:r>
      <w:r w:rsidR="00C67CD9">
        <w:t xml:space="preserve">and </w:t>
      </w:r>
      <w:r w:rsidR="007C50DD">
        <w:t>spat</w:t>
      </w:r>
      <w:r w:rsidR="00C67CD9">
        <w:t xml:space="preserve">ial </w:t>
      </w:r>
      <w:r>
        <w:t xml:space="preserve">trends in the regulatory context are likely to </w:t>
      </w:r>
      <w:r w:rsidR="003F0854">
        <w:t xml:space="preserve">result in four distinct </w:t>
      </w:r>
      <w:r>
        <w:t>strategies</w:t>
      </w:r>
      <w:r w:rsidR="003F0854">
        <w:t>:</w:t>
      </w:r>
      <w:r>
        <w:t xml:space="preserve"> </w:t>
      </w:r>
      <w:r w:rsidR="00537900" w:rsidRPr="00E9067E">
        <w:rPr>
          <w:i/>
        </w:rPr>
        <w:t xml:space="preserve">regulatory export, first mover agenda setting, mutual recognition, and </w:t>
      </w:r>
      <w:proofErr w:type="gramStart"/>
      <w:r w:rsidR="00537900" w:rsidRPr="00E9067E">
        <w:rPr>
          <w:i/>
        </w:rPr>
        <w:t>coalition-building</w:t>
      </w:r>
      <w:proofErr w:type="gramEnd"/>
      <w:r>
        <w:t xml:space="preserve">. </w:t>
      </w:r>
      <w:r w:rsidR="002E30ED">
        <w:t xml:space="preserve">In instances, for example, of a large gap in regulatory capacity between the great powers, the EU is more likely to engage in rule projection strategies such as regulatory export or first mover agenda setting. Alternatively, high institutional density in concert with parity in regulatory capacity can constrain such rule projection strategies, creating incentives for the EU to move to more negotiated interactions with regulatory partners. </w:t>
      </w:r>
      <w:r>
        <w:t>The analytic exercise</w:t>
      </w:r>
      <w:r w:rsidR="007C50DD">
        <w:t xml:space="preserve"> </w:t>
      </w:r>
      <w:r>
        <w:t xml:space="preserve">helps identify both sources of and constraints on potential EU </w:t>
      </w:r>
      <w:r w:rsidR="008F2518">
        <w:t xml:space="preserve">behavior </w:t>
      </w:r>
      <w:r>
        <w:t>as the polity engages in the politics of global regulation (Young</w:t>
      </w:r>
      <w:r w:rsidR="00B4570D">
        <w:t xml:space="preserve"> 2015</w:t>
      </w:r>
      <w:r>
        <w:t xml:space="preserve">). </w:t>
      </w:r>
      <w:r w:rsidR="003825A0">
        <w:t>Given the special issues’ focus on the role of the</w:t>
      </w:r>
      <w:r w:rsidR="00344C0C">
        <w:t xml:space="preserve"> EU in influencing global regulation</w:t>
      </w:r>
      <w:r w:rsidR="003825A0">
        <w:t xml:space="preserve">, we </w:t>
      </w:r>
      <w:r w:rsidR="003F0854">
        <w:t>limit</w:t>
      </w:r>
      <w:r w:rsidR="003825A0">
        <w:t xml:space="preserve"> our </w:t>
      </w:r>
      <w:r w:rsidR="003F0854">
        <w:t>empirical illustrations</w:t>
      </w:r>
      <w:r w:rsidR="003825A0">
        <w:t xml:space="preserve"> </w:t>
      </w:r>
      <w:r w:rsidR="003F0854">
        <w:t>to</w:t>
      </w:r>
      <w:r w:rsidR="003825A0">
        <w:t xml:space="preserve"> examples that involve the E</w:t>
      </w:r>
      <w:r w:rsidR="008F2518">
        <w:t>uropean polity</w:t>
      </w:r>
      <w:r w:rsidR="003825A0">
        <w:t xml:space="preserve">. That said, </w:t>
      </w:r>
      <w:proofErr w:type="gramStart"/>
      <w:r w:rsidR="008F2518">
        <w:t xml:space="preserve">our </w:t>
      </w:r>
      <w:r w:rsidR="003825A0">
        <w:t xml:space="preserve"> </w:t>
      </w:r>
      <w:r w:rsidR="008F2518">
        <w:t>analytic</w:t>
      </w:r>
      <w:proofErr w:type="gramEnd"/>
      <w:r w:rsidR="008F2518">
        <w:t xml:space="preserve"> framework</w:t>
      </w:r>
      <w:r w:rsidR="003825A0">
        <w:t xml:space="preserve"> could </w:t>
      </w:r>
      <w:r w:rsidR="008F2518">
        <w:t xml:space="preserve">in principle </w:t>
      </w:r>
      <w:r w:rsidR="003825A0">
        <w:t xml:space="preserve">be extended to </w:t>
      </w:r>
      <w:r w:rsidR="008F2518">
        <w:t xml:space="preserve">explain the strategies of </w:t>
      </w:r>
      <w:r w:rsidR="003825A0">
        <w:t>other regulatory great powers such as the United State or potentially China.</w:t>
      </w:r>
    </w:p>
    <w:p w14:paraId="4F80545B" w14:textId="3384E906" w:rsidR="00AD7338" w:rsidRDefault="00EB668B" w:rsidP="00CA39D3">
      <w:pPr>
        <w:spacing w:line="480" w:lineRule="auto"/>
        <w:ind w:firstLine="720"/>
      </w:pPr>
      <w:r>
        <w:t>O</w:t>
      </w:r>
      <w:r w:rsidR="00AD7338">
        <w:t xml:space="preserve">ur </w:t>
      </w:r>
      <w:r w:rsidR="007C50DD">
        <w:t xml:space="preserve">synthetic </w:t>
      </w:r>
      <w:r w:rsidR="009C4B0B">
        <w:t>approach</w:t>
      </w:r>
      <w:r>
        <w:t>, moreover,</w:t>
      </w:r>
      <w:r w:rsidR="009C4B0B">
        <w:t xml:space="preserve"> </w:t>
      </w:r>
      <w:r w:rsidR="00AD7338">
        <w:t>unifies a number of existing theoretical arguments about rival standards</w:t>
      </w:r>
      <w:r w:rsidR="00B4570D">
        <w:t xml:space="preserve">, </w:t>
      </w:r>
      <w:r w:rsidR="00AD7338">
        <w:t>first mover advantages</w:t>
      </w:r>
      <w:r w:rsidR="00B4570D">
        <w:t xml:space="preserve">, and regulatory export </w:t>
      </w:r>
      <w:r w:rsidR="00AD7338">
        <w:t>into a single framework</w:t>
      </w:r>
      <w:r w:rsidR="00B767D1">
        <w:t xml:space="preserve"> </w:t>
      </w:r>
      <w:r w:rsidR="00537900">
        <w:fldChar w:fldCharType="begin"/>
      </w:r>
      <w:r w:rsidR="002E46EC">
        <w:instrText xml:space="preserve"> ADDIN ZOTERO_ITEM CSL_CITATION {"citationID":"BraaGZVs","properties":{"formattedCitation":"{\\rtf (Drezner 2007; W. Mattli and B\\uc0\\u252{}the 2003)}","plainCitation":"(Drezner 2007; W. Mattli and Büthe 2003)"},"citationItems":[{"id":19,"uris":["http://zotero.org/users/72538/items/26NFH5WK"],"uri":["http://zotero.org/users/72538/items/26NFH5WK"],"itemData":{"id":19,"type":"book","title":"All Politics is Global: Explaining International Regulatory Regimes","publisher":"Princeton University Press","publisher-place":"Princeton","event-place":"Princeton","author":[{"family":"Drezner","given":"D."}],"issued":{"date-parts":[["2007"]]}}},{"id":278,"uris":["http://zotero.org/users/72538/items/5IGB28KT"],"uri":["http://zotero.org/users/72538/items/5IGB28KT"],"itemData":{"id":278,"type":"article-journal","title":"Setting International Standards: Technological Rationality or Primacy of Power","container-title":"World Politics","page":"1-42","volume":"56","issue":"1","author":[{"family":"Mattli","given":"W."},{"family":"Büthe","given":"T."}],"issued":{"date-parts":[["2003"]]}}}],"schema":"https://github.com/citation-style-language/schema/raw/master/csl-citation.json"} </w:instrText>
      </w:r>
      <w:r w:rsidR="00537900">
        <w:fldChar w:fldCharType="separate"/>
      </w:r>
      <w:r w:rsidR="00D565E8" w:rsidRPr="00D565E8">
        <w:rPr>
          <w:rFonts w:ascii="Cambria"/>
        </w:rPr>
        <w:t>(Drezner 2007; W. Mattli and Büthe 2003</w:t>
      </w:r>
      <w:r w:rsidR="00B4570D">
        <w:rPr>
          <w:rFonts w:ascii="Cambria"/>
        </w:rPr>
        <w:t>, Young 2015</w:t>
      </w:r>
      <w:r w:rsidR="00D565E8" w:rsidRPr="00D565E8">
        <w:rPr>
          <w:rFonts w:ascii="Cambria"/>
        </w:rPr>
        <w:t>)</w:t>
      </w:r>
      <w:r w:rsidR="00537900">
        <w:fldChar w:fldCharType="end"/>
      </w:r>
      <w:r w:rsidR="00AD7338">
        <w:t>.</w:t>
      </w:r>
      <w:r w:rsidR="00344C0C">
        <w:t xml:space="preserve"> I</w:t>
      </w:r>
      <w:r w:rsidR="004A78A3">
        <w:t>t also highlights the limits of existing literature that pits</w:t>
      </w:r>
      <w:r w:rsidR="00344C0C">
        <w:t xml:space="preserve"> various power resources (normative or civilian power) against one another</w:t>
      </w:r>
      <w:r w:rsidR="004A78A3">
        <w:t xml:space="preserve"> to explain EU influence. Such resources do not operate in opposition but are integrated and embedded in the broader regulatory context. </w:t>
      </w:r>
      <w:r w:rsidR="00AD7338">
        <w:t xml:space="preserve">Finally, the </w:t>
      </w:r>
      <w:r w:rsidR="002E46EC">
        <w:t>article</w:t>
      </w:r>
      <w:r w:rsidR="00AD7338">
        <w:t xml:space="preserve"> contributes to a growing literature in International Relations, comparative politics, and European studies highlighting the role of context for conditioning causal relationships</w:t>
      </w:r>
      <w:r w:rsidR="00B767D1">
        <w:t xml:space="preserve"> </w:t>
      </w:r>
      <w:r w:rsidR="00537900">
        <w:fldChar w:fldCharType="begin"/>
      </w:r>
      <w:r w:rsidR="002E46EC">
        <w:instrText xml:space="preserve"> ADDIN ZOTERO_ITEM CSL_CITATION {"citationID":"3grodfIf","properties":{"formattedCitation":"{\\rtf (Copelovitch and Putnam 2014; Falleti and Lynch 2009; M\\uc0\\u252{}ller, Kudrna, and Falkner 2014)}","plainCitation":"(Copelovitch and Putnam 2014; Falleti and Lynch 2009; Müller, Kudrna, and Falkner 2014)"},"citationItems":[{"id":2110,"uris":["http://zotero.org/users/72538/items/TIMZE7J4"],"uri":["http://zotero.org/users/72538/items/TIMZE7J4"],"itemData":{"id":2110,"type":"article-journal","title":"Design in Context: Existing International Agreements and New Cooperation","container-title":"International Organization","page":"471-493","volume":"68","issue":"02","source":"Cambridge Journals Online","abstract":"This research note highlights an important element missing from rational design theories of international agreements: “institutional context”—the presence or absence of existing and prior agreements between prospective partners in “new” cooperation. If, as rational design theorists argue, agreement design is deliberate, strategic, and directed toward enhancing contracting parties' ability to credibly commit to future cooperation, then prior design “successes” should influence the terms of additional cooperation. We test for this omitted variable problem in three agreement design outcomes: ex ante limitations on agreement duration, exit clauses, and dispute-settlement provisions. Through an augmentation and reanalysis of data from a key study in the rational design literature—Barbara Koremenos's “Contracting Around International Uncertainty”—we show institutional context is positively correlated with inclusion of ex ante time limitations in negotiated agreements and negatively correlated with the inclusion of exit clauses and third-party dispute-settlement provisions. Institutional context also mediates and conditions the effects of the explanatory variable at the heart of existing rational design theories—uncertainty about the future distribution of gains from cooperation. Our findings show that the collective appeal of particular design features varies not only with the nature of underlying strategic problems, but also with degrees of shared institutional context.","DOI":"10.1017/S0020818313000441","shortTitle":"Design in Context","author":[{"family":"Copelovitch","given":"Mark S."},{"family":"Putnam","given":"Tonya L."}],"issued":{"date-parts":[["2014"]]}}},{"id":665,"uris":["http://zotero.org/users/72538/items/AJ3AXPRC"],"uri":["http://zotero.org/users/72538/items/AJ3AXPRC"],"itemData":{"id":665,"type":"article-journal","title":"Context and Causal Mechanisms in Political Analysis","container-title":"Comparative Political Studies","source":"cps.sagepub.com","abstract":"Political scientists largely agree that causal mechanisms are crucial to understanding causation. Recent advances in qualitative and quantitative methodology suggest that causal explanations must be contextually bounded. Yet the relationship between context and mechanisms and this relationship’s importance for causation are not well understood. This study defines causal mechanisms as portable concepts that explain how and why a hypothesized cause, in a given context, contributes to a particular outcome. In turn, it defines context as the relevant aspects of a setting in which an array of initial conditions leads to an outcome of a defined scope and meaning via causal mechanisms. Drawing from these definitions is the argument that credible causal explanation can occur if and only if researchers are attentive to the interaction between causal mechanisms and context, regardless of whether the methods employed are small-sample, formal, statistical, or interpretive.","URL":"http://cps.sagepub.com/content/early/2009/04/21/0010414009331724","DOI":"10.1177/0010414009331724","ISSN":"0010-4140, 1552-3829","journalAbbreviation":"Comparative Political Studies","language":"en","author":[{"family":"Falleti","given":"Tulia G."},{"family":"Lynch","given":"Julia F."}],"issued":{"date-parts":[["2009",4,21]]},"accessed":{"date-parts":[["2014",9,5]]}}},{"id":659,"uris":["http://zotero.org/users/72538/items/AHXSSUHV"],"uri":["http://zotero.org/users/72538/items/AHXSSUHV"],"itemData":{"id":659,"type":"article-journal","title":"EU–global interactions: policy export, import, promotion and protection","container-title":"Journal of European Public Policy","page":"1102-1119","volume":"21","issue":"8","source":"Taylor and Francis+NEJM","abstract":"The interactions between the European Union (EU) and international policy regimes are ever more important. Much of the existing literature has focused on the bottom-up dimension of the EU's role in global institutions, assuming that the EU predominantly seeks to project its policies to the global level. However, our review of empirical research reveals that EU policy exports tend to be rare and that EU–global interactions are more varied. On a global scale, the EU is not a hegemonic power that can easily transfer its standards to international regimes, nor does it always desire to do so. This article conceptualizes the EU's interactions with international institutions in four modes (policy export, policy promotion, policy protection and policy import), establishes different rationales motivating EU actors to engage through a given mode and relates recent empirical research to this comprehensive typology.","DOI":"10.1080/13501763.2014.914237","ISSN":"1350-1763","shortTitle":"EU–global interactions","author":[{"family":"Müller","given":"Patrick"},{"family":"Kudrna","given":"Zdenek"},{"family":"Falkner","given":"Gerda"}],"issued":{"date-parts":[["2014",5,22]]},"accessed":{"date-parts":[["2014",9,5]]}}}],"schema":"https://github.com/citation-style-language/schema/raw/master/csl-citation.json"} </w:instrText>
      </w:r>
      <w:r w:rsidR="00537900">
        <w:fldChar w:fldCharType="separate"/>
      </w:r>
      <w:r w:rsidR="00D565E8" w:rsidRPr="00D565E8">
        <w:rPr>
          <w:rFonts w:ascii="Cambria"/>
        </w:rPr>
        <w:t>(Copelovitch and Putnam 2014; Falleti and Lynch 2009; Müller, Kudrna, and Falkner 2014)</w:t>
      </w:r>
      <w:r w:rsidR="00537900">
        <w:fldChar w:fldCharType="end"/>
      </w:r>
      <w:r w:rsidR="00AD7338">
        <w:t xml:space="preserve">. As such, it is part of a broader trend toward the incorporation of history and temporality into regulatory politics </w:t>
      </w:r>
      <w:r w:rsidR="00537900">
        <w:fldChar w:fldCharType="begin"/>
      </w:r>
      <w:r w:rsidR="002E46EC">
        <w:instrText xml:space="preserve"> ADDIN ZOTERO_ITEM CSL_CITATION {"citationID":"BbJqsyTA","properties":{"formattedCitation":"{\\rtf (T. B\\uc0\\u252{}the 2002; Fioretos 2011; Henry Farrell and Newman 2010)}","plainCitation":"(T. Büthe 2002; Fioretos 2011; Henry Farrell and Newman 2010)"},"citationItems":[{"id":947,"uris":["http://zotero.org/users/72538/items/EDRDB4NQ"],"uri":["http://zotero.org/users/72538/items/EDRDB4NQ"],"itemData":{"id":947,"type":"article-journal","title":"Taking Temporality Seriously: Modeling History and the Use of Narratives as Evidence","container-title":"American Political Science Review","page":"481-493","volume":"96","issue":"3","author":[{"family":"Büthe","given":"T."}],"issued":{"date-parts":[["2002"]]}}},{"id":2280,"uris":["http://zotero.org/users/72538/items/V2WCTWX6"],"uri":["http://zotero.org/users/72538/items/V2WCTWX6"],"itemData":{"id":2280,"type":"article-journal","title":"Historical Institutionalism in International Relations","container-title":"International Organization","page":"367-399","volume":"65","issue":"02","source":"Cambridge Journals Online","abstract":"This article reviews recent contributions to International Relations (IR) that engage the substantive concerns of historical institutionalism and explicitly and implicitly employ that tradition's analytical features to address fundamental questions in the study of international affairs. It explores the promise of this tradition for new research agendas in the study of international political development, including the origin of state preferences, the nature of governance gaps, and the nature of change and continuity in the international system. The article concludes that the analytical and substantive profiles of historical institutionalism can further disciplinary maturation in IR, and it proposes that the field be more open to the tripartite division of institutional theories found in other subfields of Political Science.","DOI":"10.1017/S0020818311000002","author":[{"family":"Fioretos","given":"Orfeo"}],"issued":{"date-parts":[["2011"]]}}},{"id":1356,"uris":["http://zotero.org/users/72538/items/JFCQMV8Q"],"uri":["http://zotero.org/users/72538/items/JFCQMV8Q"],"itemData":{"id":1356,"type":"article-journal","title":"Making global markets: Historical institutionalism in international political economy","container-title":"Review of International Political Economy","page":"609-638","volume":"17","issue":"4","source":"Taylor&amp;Francis","abstract":"ABSTRACT As dramatically evidenced by the global financial crisis, the interaction of domestic regulatory systems has significant international consequences. Nevertheless, these relationships have received only limited attention from international relations scholars. This special issue, therefore, provides a detailed examination of international market regulation ? the processes through which the domestic regulatory activities of states and other actors set the effective rules of internationally-exposed markets. To this end, we borrow and extend on arguments developed by historical institutionalists in comparative politics and American political development. In particular, the contributions adapt two mechanisms ? policy feedbacks and relative sequencing ? to explain state and bureaucratic preferences over international market regulation as well as bargaining strength in relevant negotiations. In addition to contributing to central IPE debates about international economic governance, the individual contributions shed light on a number of important empirical domains such as corporate accounting, intellectual property, pharmaceuticals, hedge funds, and financial market standardization.\nABSTRACT As dramatically evidenced by the global financial crisis, the interaction of domestic regulatory systems has significant international consequences. Nevertheless, these relationships have received only limited attention from international relations scholars. This special issue, therefore, provides a detailed examination of international market regulation ? the processes through which the domestic regulatory activities of states and other actors set the effective rules of internationally-exposed markets. To this end, we borrow and extend on arguments developed by historical institutionalists in comparative politics and American political development. In particular, the contributions adapt two mechanisms ? policy feedbacks and relative sequencing ? to explain state and bureaucratic preferences over international market regulation as well as bargaining strength in relevant negotiations. In addition to contributing to central IPE debates about international economic governance, the individual contributions shed light on a number of important empirical domains such as corporate accounting, intellectual property, pharmaceuticals, hedge funds, and financial market standardization.","DOI":"10.1080/09692291003723672","ISSN":"0969-2290","shortTitle":"Making global markets","author":[{"family":"Farrell","given":"Henry"},{"family":"Newman","given":"Abraham L."}],"issued":{"date-parts":[["2010"]]}}}],"schema":"https://github.com/citation-style-language/schema/raw/master/csl-citation.json"} </w:instrText>
      </w:r>
      <w:r w:rsidR="00537900">
        <w:fldChar w:fldCharType="separate"/>
      </w:r>
      <w:r w:rsidR="002E46EC" w:rsidRPr="002E46EC">
        <w:rPr>
          <w:rFonts w:ascii="Cambria"/>
        </w:rPr>
        <w:t>(</w:t>
      </w:r>
      <w:r w:rsidR="002E46EC" w:rsidRPr="00E9067E">
        <w:rPr>
          <w:rFonts w:ascii="Cambria"/>
        </w:rPr>
        <w:t>Bü</w:t>
      </w:r>
      <w:r w:rsidR="002E46EC" w:rsidRPr="002E46EC">
        <w:rPr>
          <w:rFonts w:ascii="Cambria"/>
        </w:rPr>
        <w:t xml:space="preserve">the 2002; </w:t>
      </w:r>
      <w:r w:rsidR="00D63074" w:rsidRPr="00DB4D09">
        <w:rPr>
          <w:rFonts w:ascii="Cambria"/>
        </w:rPr>
        <w:t>Farrell and Newman 2010</w:t>
      </w:r>
      <w:r w:rsidR="00D63074">
        <w:rPr>
          <w:rFonts w:ascii="Cambria"/>
        </w:rPr>
        <w:t xml:space="preserve">; </w:t>
      </w:r>
      <w:r w:rsidR="008945FE">
        <w:rPr>
          <w:rFonts w:ascii="Cambria"/>
        </w:rPr>
        <w:t xml:space="preserve">Posner 2010; </w:t>
      </w:r>
      <w:r w:rsidR="002E46EC" w:rsidRPr="002E46EC">
        <w:rPr>
          <w:rFonts w:ascii="Cambria"/>
        </w:rPr>
        <w:t>Fioretos 2011</w:t>
      </w:r>
      <w:r w:rsidR="002E46EC" w:rsidRPr="00E9067E">
        <w:rPr>
          <w:rFonts w:ascii="Cambria"/>
        </w:rPr>
        <w:t>)</w:t>
      </w:r>
      <w:r w:rsidR="00537900">
        <w:fldChar w:fldCharType="end"/>
      </w:r>
      <w:r w:rsidR="00AD7338">
        <w:t>.</w:t>
      </w:r>
    </w:p>
    <w:p w14:paraId="0930F463" w14:textId="0CEC5BBB" w:rsidR="00AD7338" w:rsidRDefault="00AD7338" w:rsidP="008B63CE">
      <w:pPr>
        <w:spacing w:line="480" w:lineRule="auto"/>
      </w:pPr>
      <w:r>
        <w:tab/>
        <w:t xml:space="preserve">The </w:t>
      </w:r>
      <w:r w:rsidR="002E46EC">
        <w:t>article</w:t>
      </w:r>
      <w:r>
        <w:t xml:space="preserve"> proceeds in four parts. First, we briefly lay out the stakes involved in global regulatory debates. Second, we review the relevant literature on EU influence and power, emphasizing the empirical puzzles. Third, we develop the framework described above</w:t>
      </w:r>
      <w:r w:rsidR="008E356D">
        <w:t>, from w</w:t>
      </w:r>
      <w:r w:rsidR="00B055D0">
        <w:t>h</w:t>
      </w:r>
      <w:r w:rsidR="008E356D">
        <w:t xml:space="preserve">ich </w:t>
      </w:r>
      <w:r>
        <w:t>we derive</w:t>
      </w:r>
      <w:r w:rsidR="008E356D">
        <w:t xml:space="preserve"> a typology of expected</w:t>
      </w:r>
      <w:r>
        <w:t xml:space="preserve"> EU strategies. Finally, we conclude with implications for research on the EU as a global actor as well as International Relations theory about time, context and causal relationships.</w:t>
      </w:r>
    </w:p>
    <w:p w14:paraId="2403EC6E" w14:textId="77777777" w:rsidR="003E0C3E" w:rsidRDefault="003E0C3E" w:rsidP="00E9067E">
      <w:pPr>
        <w:spacing w:line="480" w:lineRule="auto"/>
      </w:pPr>
    </w:p>
    <w:p w14:paraId="45920ECE" w14:textId="2A28E89F" w:rsidR="00AD7338" w:rsidRDefault="00684959" w:rsidP="00686467">
      <w:pPr>
        <w:spacing w:line="480" w:lineRule="auto"/>
        <w:rPr>
          <w:b/>
        </w:rPr>
      </w:pPr>
      <w:proofErr w:type="gramStart"/>
      <w:r>
        <w:rPr>
          <w:b/>
        </w:rPr>
        <w:t>The EU as a Regulatory Hegemon?</w:t>
      </w:r>
      <w:proofErr w:type="gramEnd"/>
      <w:r w:rsidR="00AD7338">
        <w:rPr>
          <w:b/>
        </w:rPr>
        <w:t xml:space="preserve"> Civilian and Normative Power</w:t>
      </w:r>
    </w:p>
    <w:p w14:paraId="0F4EBC52" w14:textId="0B8B97B7" w:rsidR="008B24F9" w:rsidRDefault="008B24F9" w:rsidP="00686467">
      <w:pPr>
        <w:spacing w:line="480" w:lineRule="auto"/>
      </w:pPr>
      <w:r>
        <w:tab/>
        <w:t xml:space="preserve">With </w:t>
      </w:r>
      <w:r w:rsidR="00ED1F34">
        <w:t>the increase in cross-national economic interdependence</w:t>
      </w:r>
      <w:r>
        <w:t xml:space="preserve">, regulation has moved </w:t>
      </w:r>
      <w:r w:rsidR="00FB52F2">
        <w:t xml:space="preserve">to </w:t>
      </w:r>
      <w:r>
        <w:t>the center stage of the international political economy. As people, goods, and information move across borders, multiple states have jurisdict</w:t>
      </w:r>
      <w:r w:rsidR="00ED1F34">
        <w:t>ional claims</w:t>
      </w:r>
      <w:r>
        <w:t xml:space="preserve"> over their behavior. On the one hand, this can produce intense regulatory conflicts, in which states make competing claims over the rules that govern these global markets</w:t>
      </w:r>
      <w:r w:rsidR="0083582A">
        <w:t xml:space="preserve"> </w:t>
      </w:r>
      <w:r w:rsidR="0083582A">
        <w:fldChar w:fldCharType="begin"/>
      </w:r>
      <w:r w:rsidR="00F56178">
        <w:instrText xml:space="preserve"> ADDIN ZOTERO_ITEM CSL_CITATION {"citationID":"28myZJFL","properties":{"formattedCitation":"(Abraham Newman and Posner 2011)","plainCitation":"(Abraham Newman and Posner 2011)"},"citationItems":[{"id":2560,"uris":["http://zotero.org/users/72538/items/ZF7VMF8F"],"uri":["http://zotero.org/users/72538/items/ZF7VMF8F"],"itemData":{"id":2560,"type":"article-journal","title":"International Interdependence and Regulatory Power: Authority, Mobility, and Markets","container-title":"European Journal of International Relations","source":"Highwire 2.0","abstract":"This article revisits a fundamental question of international political economy: when does cross-border economic interdependence become a source of power. The view that economic interdependence is a source of potential power, not just mutual benefits, has a long lineage traceable to political realism, organizational economics, Ricardian trade theory, and structural Marxism, and researchers typically focus on preferred causal variables in isolation. Despite important contributions, little attention has been paid to understanding the interactions of multiple perspectives on asymmetric interdependence, or to making sense of contradictory expectations of the various models. As a consequence scholars engaged in globalization debates, such as those about policy convergence or private actor governance, frequently talk past one another. To deduce expectations about the relationship between power and interdependence, we build a model synthesizing standard approaches that analyze the effects of market size and market scope separately, and then add the critical variable of jurisdictional boundaries. By decoupling geography and authority, our analysis produces a respecification of classic interdependence models and advances core international political economy debates concerning power dynamics in a globalized economy.","URL":"http://ejt.sagepub.com/content/early/2011/03/18/1354066110391306.abstract","DOI":"10.1177/1354066110391306","shortTitle":"International Interdependence and Regulatory Power","author":[{"family":"Newman","given":"Abraham"},{"family":"Posner","given":"Elliot"}],"issued":{"date-parts":[["2011",3,21]]},"accessed":{"date-parts":[["2011",12,13]]}}}],"schema":"https://github.com/citation-style-language/schema/raw/master/csl-citation.json"} </w:instrText>
      </w:r>
      <w:r w:rsidR="0083582A">
        <w:fldChar w:fldCharType="separate"/>
      </w:r>
      <w:r w:rsidR="00F56178">
        <w:rPr>
          <w:noProof/>
        </w:rPr>
        <w:t>(Newman and Posner 2011)</w:t>
      </w:r>
      <w:r w:rsidR="0083582A">
        <w:fldChar w:fldCharType="end"/>
      </w:r>
      <w:r>
        <w:t xml:space="preserve">. </w:t>
      </w:r>
      <w:r w:rsidR="00657B30">
        <w:t xml:space="preserve">Such disputes have emerged in a growing range of sectors and issue areas such as chemicals, banking, food, aviation, and the Internet to name a few. </w:t>
      </w:r>
      <w:r>
        <w:t>On the other hand, there is pressure to re</w:t>
      </w:r>
      <w:r w:rsidR="00FB52F2">
        <w:t>solve these</w:t>
      </w:r>
      <w:r>
        <w:t xml:space="preserve"> conflicts so as to facilitate further globalization. </w:t>
      </w:r>
      <w:r w:rsidR="00657B30">
        <w:t xml:space="preserve">Regulatory cooperation, however, is complicated by the fact that many national regulations were created prior to globalization and as a result </w:t>
      </w:r>
      <w:r w:rsidR="00650290">
        <w:t xml:space="preserve">coordination </w:t>
      </w:r>
      <w:r w:rsidR="00657B30">
        <w:t>require</w:t>
      </w:r>
      <w:r w:rsidR="00650290">
        <w:t>s considerable</w:t>
      </w:r>
      <w:r w:rsidR="00657B30">
        <w:t xml:space="preserve"> distributional adjustments by those states with rules</w:t>
      </w:r>
      <w:r w:rsidR="00ED1F34">
        <w:t xml:space="preserve"> different from </w:t>
      </w:r>
      <w:r w:rsidR="00657B30">
        <w:t xml:space="preserve">the global </w:t>
      </w:r>
      <w:r w:rsidR="00ED1F34">
        <w:t>ones</w:t>
      </w:r>
      <w:r w:rsidR="0083582A">
        <w:t xml:space="preserve"> </w:t>
      </w:r>
      <w:r w:rsidR="0083582A">
        <w:fldChar w:fldCharType="begin"/>
      </w:r>
      <w:r w:rsidR="0083582A">
        <w:instrText xml:space="preserve"> ADDIN ZOTERO_ITEM CSL_CITATION {"citationID":"76655ICg","properties":{"formattedCitation":"{\\rtf (W. Mattli and B\\uc0\\u252{}the 2003)}","plainCitation":"(W. Mattli and Büthe 2003)"},"citationItems":[{"id":278,"uris":["http://zotero.org/users/72538/items/5IGB28KT"],"uri":["http://zotero.org/users/72538/items/5IGB28KT"],"itemData":{"id":278,"type":"article-journal","title":"Setting International Standards: Technological Rationality or Primacy of Power","container-title":"World Politics","page":"1-42","volume":"56","issue":"1","author":[{"family":"Mattli","given":"W."},{"family":"Büthe","given":"T."}],"issued":{"date-parts":[["2003"]]}}}],"schema":"https://github.com/citation-style-language/schema/raw/master/csl-citation.json"} </w:instrText>
      </w:r>
      <w:r w:rsidR="0083582A">
        <w:fldChar w:fldCharType="separate"/>
      </w:r>
      <w:r w:rsidR="0083582A" w:rsidRPr="0083582A">
        <w:rPr>
          <w:rFonts w:ascii="Cambria"/>
        </w:rPr>
        <w:t>(</w:t>
      </w:r>
      <w:r w:rsidR="0083582A" w:rsidRPr="00E9067E">
        <w:rPr>
          <w:rFonts w:ascii="Cambria"/>
        </w:rPr>
        <w:t>Mattli and Büthe 2003)</w:t>
      </w:r>
      <w:r w:rsidR="0083582A">
        <w:fldChar w:fldCharType="end"/>
      </w:r>
      <w:r w:rsidR="00657B30">
        <w:t>. The ability to set the terms of global regulations, then, becomes an important advantage for domestic firms competing internationally.</w:t>
      </w:r>
    </w:p>
    <w:p w14:paraId="5A9B5434" w14:textId="0547FC62" w:rsidR="008B24F9" w:rsidRDefault="00657B30" w:rsidP="00686467">
      <w:pPr>
        <w:spacing w:line="480" w:lineRule="auto"/>
      </w:pPr>
      <w:r>
        <w:tab/>
        <w:t>A burgeoning literature has</w:t>
      </w:r>
      <w:r w:rsidR="00650290">
        <w:t xml:space="preserve"> singled out the EU as playing a disproportionate role in </w:t>
      </w:r>
      <w:r w:rsidR="001C0DA1">
        <w:t>global contests over rules governing international business</w:t>
      </w:r>
      <w:r w:rsidR="00650290">
        <w:t>. From data privacy to chemicals, the EU has been able to set the global agenda and persuade other countries to adjust their own domestic rules to reflect EU standards</w:t>
      </w:r>
      <w:r w:rsidR="006F568E">
        <w:t xml:space="preserve"> (Bach and Newman 2007)</w:t>
      </w:r>
      <w:r w:rsidR="00650290">
        <w:t>. This has led scholars like Annu Bradford and Chad Damro to coin</w:t>
      </w:r>
      <w:r w:rsidR="006F568E">
        <w:t xml:space="preserve"> terms like</w:t>
      </w:r>
      <w:r w:rsidR="00650290">
        <w:t xml:space="preserve"> the ‘Brussels Effect’ and </w:t>
      </w:r>
      <w:r w:rsidR="006F568E">
        <w:t>‘Market Power Europe’ to capture growing European influence</w:t>
      </w:r>
      <w:r w:rsidR="0083582A">
        <w:t xml:space="preserve"> (Bradford 2012; Damro 2012)</w:t>
      </w:r>
      <w:r w:rsidR="006F568E">
        <w:t xml:space="preserve">. </w:t>
      </w:r>
    </w:p>
    <w:p w14:paraId="13FA347F" w14:textId="525F13C2" w:rsidR="003E0C3E" w:rsidRDefault="00AD7338" w:rsidP="00E9067E">
      <w:pPr>
        <w:spacing w:line="480" w:lineRule="auto"/>
        <w:ind w:firstLine="720"/>
      </w:pPr>
      <w:r>
        <w:t>Approaches to EU global regulatory behavior tend to fall into explanations based on civilian or normative power. The first, locates EU policies and influence largely in the development of the internal market and the introduction of the single currency</w:t>
      </w:r>
      <w:r w:rsidR="007A3AB5">
        <w:t xml:space="preserve"> </w:t>
      </w:r>
      <w:r w:rsidR="00537900">
        <w:fldChar w:fldCharType="begin"/>
      </w:r>
      <w:r w:rsidR="002E46EC">
        <w:instrText xml:space="preserve"> ADDIN ZOTERO_ITEM CSL_CITATION {"citationID":"ZEEnPHRW","properties":{"formattedCitation":"(McNamara and Meunier 2002; C. Bretherton and Vogler 1999; Bradford 2012)","plainCitation":"(McNamara and Meunier 2002; C. Bretherton and Vogler 1999; Bradford 2012)"},"citationItems":[{"id":488,"uris":["http://zotero.org/users/72538/items/88TF9TT3"],"uri":["http://zotero.org/users/72538/items/88TF9TT3"],"itemData":{"id":488,"type":"article-journal","title":"Between National Sovereignty and International Power: what external voice for the euro","container-title":"International Affairs","page":"849-868","volume":"78","issue":"4","author":[{"family":"McNamara","given":"K."},{"family":"Meunier","given":"S."}],"issued":{"date-parts":[["2002"]]}}},{"id":1443,"uris":["http://zotero.org/users/72538/items/KHQ9R4HI"],"uri":["http://zotero.org/users/72538/items/KHQ9R4HI"],"itemData":{"id":1443,"type":"book","title":"The European Union as a global actor","publisher":"Routledge","publisher-place":"London","event-place":"London","author":[{"family":"Bretherton","given":"C."},{"family":"Vogler","given":"J."}],"issued":{"date-parts":[["1999"]]}}},{"id":929,"uris":["http://zotero.org/users/72538/items/E5SVZ452"],"uri":["http://zotero.org/users/72538/items/E5SVZ452"],"itemData":{"id":929,"type":"article-journal","title":"Brussels Effect, The","container-title":"Northwestern University Law Review","page":"1","volume":"107","journalAbbreviation":"Nw. U. L. Rev.","author":[{"family":"Bradford","given":"Anu"}],"issued":{"date-parts":[["2012"]],"season":"2013"}}}],"schema":"https://github.com/citation-style-language/schema/raw/master/csl-citation.json"} </w:instrText>
      </w:r>
      <w:r w:rsidR="00537900">
        <w:fldChar w:fldCharType="separate"/>
      </w:r>
      <w:r w:rsidR="004369C5">
        <w:rPr>
          <w:noProof/>
        </w:rPr>
        <w:t xml:space="preserve">(McNamara and Meunier 2002; </w:t>
      </w:r>
      <w:r w:rsidR="005F78C6">
        <w:rPr>
          <w:noProof/>
        </w:rPr>
        <w:t>Bretherton and Vogler 1999; Bradford 2012</w:t>
      </w:r>
      <w:r w:rsidR="002B640D">
        <w:rPr>
          <w:noProof/>
        </w:rPr>
        <w:t>; Damro 2012</w:t>
      </w:r>
      <w:r w:rsidR="005F78C6">
        <w:rPr>
          <w:noProof/>
        </w:rPr>
        <w:t>)</w:t>
      </w:r>
      <w:r w:rsidR="00537900">
        <w:fldChar w:fldCharType="end"/>
      </w:r>
      <w:r>
        <w:t xml:space="preserve">. According to this line of argumentation, the EU has grown to be a second, relatively equal, regulatory power along side the US. The channel of influence usually takes one of two means. Following the logic of James and </w:t>
      </w:r>
      <w:r w:rsidR="007A3AB5">
        <w:t>Lake</w:t>
      </w:r>
      <w:r>
        <w:t>’s</w:t>
      </w:r>
      <w:r w:rsidR="007A3AB5">
        <w:t xml:space="preserve"> (1989)</w:t>
      </w:r>
      <w:r>
        <w:t xml:space="preserve"> Second Face of Hegemony or David Vogel’s </w:t>
      </w:r>
      <w:r w:rsidR="007A3AB5">
        <w:t xml:space="preserve">(1995) </w:t>
      </w:r>
      <w:r>
        <w:t xml:space="preserve">Trading Up, firms hoping to compete in the European market must follow European rules. This creates competitive pressure on export-oriented and foreign-sales-reliant businesses to lobby their home markets to converge on European rules so as to minimize the transaction costs of following multiple regulatory rulebooks. In contrast to this more passive channel, the EU at times actively exploits the potential extraterritorial reach of its rules so as to shape the behavior of </w:t>
      </w:r>
      <w:r w:rsidR="007A3AB5">
        <w:t xml:space="preserve">political and </w:t>
      </w:r>
      <w:r>
        <w:t>market actors</w:t>
      </w:r>
      <w:r w:rsidR="007A3AB5">
        <w:t xml:space="preserve"> </w:t>
      </w:r>
      <w:r w:rsidR="00537900">
        <w:fldChar w:fldCharType="begin"/>
      </w:r>
      <w:r w:rsidR="002E46EC">
        <w:instrText xml:space="preserve"> ADDIN ZOTERO_ITEM CSL_CITATION {"citationID":"57JcxhLi","properties":{"formattedCitation":"(Lavenex and Schimmelfennig 2009; E. Posner 2009)","plainCitation":"(Lavenex and Schimmelfennig 2009; E. Posner 2009)"},"citationItems":[{"id":2252,"uris":["http://zotero.org/users/72538/items/UMIJ7NTH"],"uri":["http://zotero.org/users/72538/items/UMIJ7NTH"],"itemData":{"id":2252,"type":"article-journal","title":"EU rules beyond EU borders: theorizing external governance in European politics","container-title":"Journal of European Public Policy","page":"791-812","volume":"16","issue":"6","source":"Taylor and Francis+NEJM","abstract":"The concept of external governance seeks to capture the expanding scope of EU rules beyond EU borders. This article elaborates the theoretical foundations of this concept, differentiates the various institutional modes through which external governance takes place and suggests a set of hypotheses addressing the conditions under which EU external governance is effective. Here, we contrast institutionalist explanations, which are the most germane to an external governance approach, with competing expectations derived from power-based theories and approaches emphasizing the role of domestic factors in the target countries.","DOI":"10.1080/13501760903087696","ISSN":"1350-1763","shortTitle":"EU rules beyond EU borders","author":[{"family":"Lavenex","given":"Sandra"},{"family":"Schimmelfennig","given":"Frank"}],"issued":{"date-parts":[["2009",8,14]]},"accessed":{"date-parts":[["2014",9,5]]}}},{"id":142,"uris":["http://zotero.org/users/72538/items/3Q2J8H49"],"uri":["http://zotero.org/users/72538/items/3Q2J8H49"],"itemData":{"id":142,"type":"article-journal","title":"Making Rules for Global Finance: Transatlantic Regulatory Cooperation at the Turn of the Millennium","container-title":"International Organization","page":"665-699","volume":"63","issue":"4","author":[{"family":"Posner","given":"E."}],"issued":{"date-parts":[["2009"]]}}}],"schema":"https://github.com/citation-style-language/schema/raw/master/csl-citation.json"} </w:instrText>
      </w:r>
      <w:r w:rsidR="00537900">
        <w:fldChar w:fldCharType="separate"/>
      </w:r>
      <w:r w:rsidR="00EF70F3">
        <w:rPr>
          <w:noProof/>
        </w:rPr>
        <w:t>(Lavenex and Schimmelfennig 2009</w:t>
      </w:r>
      <w:r w:rsidR="004369C5">
        <w:rPr>
          <w:noProof/>
        </w:rPr>
        <w:t>)</w:t>
      </w:r>
      <w:r w:rsidR="00537900">
        <w:fldChar w:fldCharType="end"/>
      </w:r>
      <w:r>
        <w:t xml:space="preserve">. Equivalency clauses in EU legislation are the clearest example as they condition market access on the demonstration of equivalent rules in home markets.  In terms of empirical expectations, civilian power arguments predict growing EU influence as integration has unified disparate national markets and provide the EU with a powerful ‘single voice’. </w:t>
      </w:r>
    </w:p>
    <w:p w14:paraId="00BCAB4E" w14:textId="2F7276EA" w:rsidR="00AD7338" w:rsidRDefault="00AD7338" w:rsidP="00686467">
      <w:pPr>
        <w:spacing w:line="480" w:lineRule="auto"/>
      </w:pPr>
      <w:r>
        <w:tab/>
        <w:t>Normative power</w:t>
      </w:r>
      <w:r w:rsidR="00030732">
        <w:t xml:space="preserve"> arguments</w:t>
      </w:r>
      <w:r>
        <w:t>, by contrast, pay much less attention to the economic and institutional weight of the European market but on the ideas that animate EU integration – democracy, human rights, rule of law and modes of cooperation</w:t>
      </w:r>
      <w:r w:rsidR="007A3AB5">
        <w:t xml:space="preserve"> </w:t>
      </w:r>
      <w:r w:rsidR="00537900">
        <w:fldChar w:fldCharType="begin"/>
      </w:r>
      <w:r w:rsidR="0083582A">
        <w:instrText xml:space="preserve"> ADDIN ZOTERO_ITEM CSL_CITATION {"citationID":"nop53cJx","properties":{"formattedCitation":"{\\rtf (Manners 2006; Bicchi 2006; La\\uc0\\u239{}di 2008)}","plainCitation":"(Manners 2006; Bicchi 2006; Laïdi 2008)"},"citationItems":[{"id":1348,"uris":["http://zotero.org/users/72538/items/JDN3MEFA"],"uri":["http://zotero.org/users/72538/items/JDN3MEFA"],"itemData":{"id":1348,"type":"article-journal","title":"Normative power Europe reconsidered: beyond the crossroads","container-title":"Journal of European Public Policy","page":"182-199","volume":"13","issue":"2","source":"Taylor and Francis+NEJM","abstract":"The idea of being civilian, military, and civilizing at the same time is undoubtedly very seductive to the armies of academics now writing on EU military force. It is tempting to think that the EU can have-its-cake-and-eat-it-too in militarizing its normative power. In contrast, in my reconsideration of normative power Europe I suggest that militarization of the EU need not necessarily lead to the diminution of the EU's normative power, if the process is characterized by critical reflection rather than the pursuit of ‘great power’. However, I will further argue that militarizing processes beyond the crossroads provided by the European Security Strategy are already weakening the normative claims of the EU in a post-11 September world characterized by the drive towards ‘martial potency’ and the growth of a Brussels-based ‘military-industrial simplex’.","DOI":"10.1080/13501760500451600","ISSN":"1350-1763","shortTitle":"Normative power Europe reconsidered","author":[{"family":"Manners","given":"Ian"}],"issued":{"date-parts":[["2006",3,1]]},"accessed":{"date-parts":[["2014",9,5]]}}},{"id":714,"uris":["http://zotero.org/users/72538/items/B66DCUXT"],"uri":["http://zotero.org/users/72538/items/B66DCUXT"],"itemData":{"id":714,"type":"article-journal","title":"‘Our size fits all’: normative power Europe and the Mediterranean","container-title":"Journal of European Public Policy","page":"286-303","volume":"13","issue":"2","source":"Taylor and Francis+NEJM","abstract":"The article focuses on the normative connotation of European foreign policy and makes three points. First, through the criteria of inclusiveness and reflexivity, it draws a distinction between ‘normative power Europe’ and Europe as a ‘civilizing power’. Second, the article puts forward a sociological institutionalist interpretation of the EU as a ‘civilizing power’. It suggests that much of the EU's action can be characterized as an unreflexive attempt to promote its own model because institutions tend to export institutional isomorphism as a default option. Third, the article shows the utility of a sociological institutionalist analysis by examining the case of the EU's promotion of regionalism in the Euro-Mediterranean Partnership.","DOI":"10.1080/13501760500451733","ISSN":"1350-1763","shortTitle":"‘Our size fits all’","author":[{"family":"Bicchi","given":"Federica"}],"issued":{"date-parts":[["2006",3,1]]},"accessed":{"date-parts":[["2014",9,5]]}}},{"id":3135,"uris":["http://zotero.org/users/72538/items/WFF7356J"],"uri":["http://zotero.org/users/72538/items/WFF7356J"],"itemData":{"id":3135,"type":"book","title":"EU Foreign Policy in a Globalized World: Normative Power and Social Preferences","publisher":"Routledge","number-of-pages":"212","source":"Google Books","abstract":"Written by leading experts in the field, this volume identifies European collective preferences and analyzes to what extent these preferences inform and shape EU foreign policy and are shared by other actors in the international system. While studies of the EU’s foreign policy are not new, this book takes a very different tack from previous research. Specifically it leaves aside the institutional and bureaucratic dimensions of the European Union’s behaviour as an international actor in order to concentrate on the meanings and outcomes of its foreign policy taken in the broadest sense. Two outcomes are possible:   Either Europe succeeds in imposing a norms-based international system and thus, in this case, its soft power capacity will not only have been demonstrated but will be enhanced Or, on the contrary, it does not succeed and the global system will become one where realpolitik reigns; especially once China, India and Russia attain a preponderant influence on the international scene.   EU Foreign Policy in a Globalized World will be of interest to students and scholars of European Union politics, foreign policy and politics and international relations in general.","ISBN":"9781134080892","shortTitle":"EU Foreign Policy in a Globalized World","language":"en","author":[{"family":"Laïdi","given":"Zaki"}],"issued":{"date-parts":[["2008",4,24]]}}}],"schema":"https://github.com/citation-style-language/schema/raw/master/csl-citation.json"} </w:instrText>
      </w:r>
      <w:r w:rsidR="00537900">
        <w:fldChar w:fldCharType="separate"/>
      </w:r>
      <w:r w:rsidR="0083582A" w:rsidRPr="00E9067E">
        <w:rPr>
          <w:rFonts w:ascii="Cambria"/>
        </w:rPr>
        <w:t>(Manners 2006; Bicchi 2006; Laïdi 2008)</w:t>
      </w:r>
      <w:r w:rsidR="00537900">
        <w:fldChar w:fldCharType="end"/>
      </w:r>
      <w:r>
        <w:t>.  In such accounts, the EU leads by offering an example of a peaceful, rule driven society. States, particularly in the periphery of Central and Eastern Europe, emulate EU approaches and standards in order to be seen as viable members of the western political order. Moreover, the EU has the ability to construct the given by defining types of appropriate behavior that may diffuse through economic, political and societal linkages from the EU to other societies</w:t>
      </w:r>
      <w:r w:rsidR="007A3AB5">
        <w:t xml:space="preserve"> (McNamara, forthcoming)</w:t>
      </w:r>
      <w:r>
        <w:t xml:space="preserve">. </w:t>
      </w:r>
    </w:p>
    <w:p w14:paraId="61048788" w14:textId="0654D16D" w:rsidR="00A145FE" w:rsidRDefault="00AD7338" w:rsidP="003E0DD7">
      <w:pPr>
        <w:spacing w:line="480" w:lineRule="auto"/>
        <w:ind w:firstLine="720"/>
      </w:pPr>
      <w:r>
        <w:t>Civilian and normative power explanations have added to our understanding of the EU’s importance in global regulation.</w:t>
      </w:r>
      <w:r w:rsidR="00880195">
        <w:t xml:space="preserve"> In particular, they identify two distinct sources of influence. On the one hand, the integration of the European market creates a powerful</w:t>
      </w:r>
      <w:r w:rsidR="00A145FE">
        <w:t xml:space="preserve"> cost/benefit</w:t>
      </w:r>
      <w:r w:rsidR="00880195">
        <w:t xml:space="preserve"> incentive for actors in other jurisdiction to adjust to European rules.  Market access requirements and trading-up dynamics mean that EU regulations </w:t>
      </w:r>
      <w:r w:rsidR="00354E9B">
        <w:t xml:space="preserve">can </w:t>
      </w:r>
      <w:r w:rsidR="00880195">
        <w:t>shape the reversion point</w:t>
      </w:r>
      <w:r w:rsidR="00A145FE">
        <w:t xml:space="preserve"> of global regulation</w:t>
      </w:r>
      <w:r w:rsidR="00880195">
        <w:t xml:space="preserve"> </w:t>
      </w:r>
      <w:r w:rsidR="00A145FE">
        <w:t xml:space="preserve">– the character of the status quo absent coordination </w:t>
      </w:r>
      <w:r w:rsidR="00537900">
        <w:fldChar w:fldCharType="begin"/>
      </w:r>
      <w:r w:rsidR="002E46EC">
        <w:instrText xml:space="preserve"> ADDIN ZOTERO_ITEM CSL_CITATION {"citationID":"v1s5w7YQ","properties":{"formattedCitation":"(Richards 1999; Gruber 2000)","plainCitation":"(Richards 1999; Gruber 2000)"},"citationItems":[{"id":2052,"uris":["http://zotero.org/users/72538/items/T87F7U6M"],"uri":["http://zotero.org/users/72538/items/T87F7U6M"],"itemData":{"id":2052,"type":"article-journal","title":"Toward a positive theory of international institutions: regulating international aviation markets","container-title":"International Organization","page":"1-37","volume":"53","issue":"1","author":[{"family":"Richards","given":"J."}],"issued":{"date-parts":[["1999"]],"season":"Winter"}}},{"id":242,"uris":["http://zotero.org/users/72538/items/4XCN8SD2"],"uri":["http://zotero.org/users/72538/items/4XCN8SD2"],"itemData":{"id":242,"type":"book","title":"Ruling the World: Power Politics and the Rise of Supranational Institutions","publisher":"Princeton University Press","publisher-place":"Princeton","event-place":"Princeton","author":[{"family":"Gruber","given":"L."}],"issued":{"date-parts":[["2000"]]}}}],"schema":"https://github.com/citation-style-language/schema/raw/master/csl-citation.json"} </w:instrText>
      </w:r>
      <w:r w:rsidR="00537900">
        <w:fldChar w:fldCharType="separate"/>
      </w:r>
      <w:r w:rsidR="00A145FE">
        <w:rPr>
          <w:noProof/>
        </w:rPr>
        <w:t>(Richards 1999; Gruber 2000)</w:t>
      </w:r>
      <w:r w:rsidR="00537900">
        <w:fldChar w:fldCharType="end"/>
      </w:r>
      <w:r w:rsidR="00880195">
        <w:t xml:space="preserve">. Once the EU alters its rules, the economic reality of globally active firms </w:t>
      </w:r>
      <w:proofErr w:type="gramStart"/>
      <w:r w:rsidR="00880195">
        <w:t>shifts</w:t>
      </w:r>
      <w:proofErr w:type="gramEnd"/>
      <w:r w:rsidR="00880195">
        <w:t xml:space="preserve"> as they either have to comply with EU rules or suffer the transaction costs associated with </w:t>
      </w:r>
      <w:r w:rsidR="00A145FE">
        <w:t>complying with multiple rules across jurisdictions</w:t>
      </w:r>
      <w:r w:rsidR="00880195">
        <w:t>.</w:t>
      </w:r>
      <w:r w:rsidR="00A145FE">
        <w:t xml:space="preserve"> Second, the EU frequently enjoys agenda setting power</w:t>
      </w:r>
      <w:r w:rsidR="00354E9B">
        <w:t>s</w:t>
      </w:r>
      <w:r w:rsidR="00A145FE">
        <w:t xml:space="preserve"> whereby it can define the terms of the rules under discussion. At times, </w:t>
      </w:r>
      <w:r w:rsidR="00354E9B">
        <w:t xml:space="preserve">such </w:t>
      </w:r>
      <w:r w:rsidR="00410981">
        <w:t>powers are</w:t>
      </w:r>
      <w:r w:rsidR="00A145FE">
        <w:t xml:space="preserve"> used to develop and promote specific policy proposals but </w:t>
      </w:r>
      <w:r w:rsidR="00410981">
        <w:t>they</w:t>
      </w:r>
      <w:r w:rsidR="00A145FE">
        <w:t xml:space="preserve"> can</w:t>
      </w:r>
      <w:r w:rsidR="00410981">
        <w:t xml:space="preserve"> also be used to</w:t>
      </w:r>
      <w:r w:rsidR="00A145FE">
        <w:t xml:space="preserve"> </w:t>
      </w:r>
      <w:r w:rsidR="00410981">
        <w:t>forge</w:t>
      </w:r>
      <w:r w:rsidR="00354E9B">
        <w:t xml:space="preserve"> </w:t>
      </w:r>
      <w:r w:rsidR="00A145FE">
        <w:t>the background conditions of what is viewed as legitimate.</w:t>
      </w:r>
      <w:r w:rsidR="0097307E">
        <w:t xml:space="preserve">  In short, the EU can</w:t>
      </w:r>
      <w:r w:rsidR="00A145FE">
        <w:t xml:space="preserve"> alter the cos</w:t>
      </w:r>
      <w:r w:rsidR="00354E9B">
        <w:t xml:space="preserve">ts and </w:t>
      </w:r>
      <w:r w:rsidR="00A145FE">
        <w:t>benefit</w:t>
      </w:r>
      <w:r w:rsidR="00354E9B">
        <w:t>s</w:t>
      </w:r>
      <w:r w:rsidR="00A145FE">
        <w:t xml:space="preserve"> as well as the terms around which coordination may occur.</w:t>
      </w:r>
    </w:p>
    <w:p w14:paraId="05D04F18" w14:textId="1577F279" w:rsidR="00AD7338" w:rsidRDefault="00A145FE" w:rsidP="003E0DD7">
      <w:pPr>
        <w:spacing w:line="480" w:lineRule="auto"/>
        <w:ind w:firstLine="720"/>
      </w:pPr>
      <w:r>
        <w:t>Despite focusing attention on the coercive power of the European market a</w:t>
      </w:r>
      <w:r w:rsidR="00354E9B">
        <w:t>nd</w:t>
      </w:r>
      <w:r>
        <w:t xml:space="preserve"> the EU’s agenda setting authority, these approaches</w:t>
      </w:r>
      <w:r w:rsidR="00AD7338">
        <w:t xml:space="preserve"> suffer from two main weaknesses.  The first concerns the tendency to focus on a limited set of possible EU goals and strategies</w:t>
      </w:r>
      <w:r w:rsidR="005F78C6">
        <w:t xml:space="preserve"> </w:t>
      </w:r>
      <w:r w:rsidR="00537900">
        <w:fldChar w:fldCharType="begin"/>
      </w:r>
      <w:r w:rsidR="002E46EC">
        <w:instrText xml:space="preserve"> ADDIN ZOTERO_ITEM CSL_CITATION {"citationID":"PbEX6ZEO","properties":{"formattedCitation":"{\\rtf (M\\uc0\\u252{}ller, Kudrna, and Falkner 2014)}","plainCitation":"(Müller, Kudrna, and Falkner 2014)"},"citationItems":[{"id":659,"uris":["http://zotero.org/users/72538/items/AHXSSUHV"],"uri":["http://zotero.org/users/72538/items/AHXSSUHV"],"itemData":{"id":659,"type":"article-journal","title":"EU–global interactions: policy export, import, promotion and protection","container-title":"Journal of European Public Policy","page":"1102-1119","volume":"21","issue":"8","source":"Taylor and Francis+NEJM","abstract":"The interactions between the European Union (EU) and international policy regimes are ever more important. Much of the existing literature has focused on the bottom-up dimension of the EU's role in global institutions, assuming that the EU predominantly seeks to project its policies to the global level. However, our review of empirical research reveals that EU policy exports tend to be rare and that EU–global interactions are more varied. On a global scale, the EU is not a hegemonic power that can easily transfer its standards to international regimes, nor does it always desire to do so. This article conceptualizes the EU's interactions with international institutions in four modes (policy export, policy promotion, policy protection and policy import), establishes different rationales motivating EU actors to engage through a given mode and relates recent empirical research to this comprehensive typology.","DOI":"10.1080/13501763.2014.914237","ISSN":"1350-1763","shortTitle":"EU–global interactions","author":[{"family":"Müller","given":"Patrick"},{"family":"Kudrna","given":"Zdenek"},{"family":"Falkner","given":"Gerda"}],"issued":{"date-parts":[["2014",5,22]]},"accessed":{"date-parts":[["2014",9,5]]}}}],"schema":"https://github.com/citation-style-language/schema/raw/master/csl-citation.json"} </w:instrText>
      </w:r>
      <w:r w:rsidR="00537900">
        <w:fldChar w:fldCharType="separate"/>
      </w:r>
      <w:r w:rsidR="00486179" w:rsidRPr="00486179">
        <w:rPr>
          <w:rFonts w:ascii="Cambria"/>
        </w:rPr>
        <w:t>(</w:t>
      </w:r>
      <w:r w:rsidR="005F78C6">
        <w:t xml:space="preserve">Young, </w:t>
      </w:r>
      <w:r w:rsidR="0083582A">
        <w:t>2015</w:t>
      </w:r>
      <w:r w:rsidR="005F78C6">
        <w:t xml:space="preserve">; </w:t>
      </w:r>
      <w:r w:rsidR="00486179" w:rsidRPr="00486179">
        <w:rPr>
          <w:rFonts w:ascii="Cambria"/>
        </w:rPr>
        <w:t>Müller, Kudrna, and Falkner 2014)</w:t>
      </w:r>
      <w:r w:rsidR="00537900">
        <w:fldChar w:fldCharType="end"/>
      </w:r>
      <w:r w:rsidR="00AD7338">
        <w:t xml:space="preserve">.   Civilian power approaches tend to emphasize EU efforts to win foreign conformity with its models and standards or to gain first-mover advantages; whereas, normative arguments tend to </w:t>
      </w:r>
      <w:r w:rsidR="008D0516">
        <w:t>emphasize diffusion processes.  P</w:t>
      </w:r>
      <w:r w:rsidR="00AD7338">
        <w:t xml:space="preserve">owerful regulators </w:t>
      </w:r>
      <w:r w:rsidR="008D0516">
        <w:t xml:space="preserve">like the EU serve </w:t>
      </w:r>
      <w:r w:rsidR="00AD7338">
        <w:t xml:space="preserve">as “teachers” to the rest of the world </w:t>
      </w:r>
      <w:r w:rsidR="00537900">
        <w:fldChar w:fldCharType="begin"/>
      </w:r>
      <w:r w:rsidR="002E46EC">
        <w:instrText xml:space="preserve"> ADDIN ZOTERO_ITEM CSL_CITATION {"citationID":"7m5rfJrf","properties":{"formattedCitation":"(Finnemore 1996)","plainCitation":"(Finnemore 1996)"},"citationItems":[{"id":436,"uris":["http://zotero.org/users/72538/items/7JTUVB2Z"],"uri":["http://zotero.org/users/72538/items/7JTUVB2Z"],"itemData":{"id":436,"type":"book","title":"National Interests in International Society","publisher":"Cornell University Press","publisher-place":"Ithaca","event-place":"Ithaca","author":[{"family":"Finnemore","given":"M."}],"issued":{"date-parts":[["1996"]]}}}],"schema":"https://github.com/citation-style-language/schema/raw/master/csl-citation.json"} </w:instrText>
      </w:r>
      <w:r w:rsidR="00537900">
        <w:fldChar w:fldCharType="separate"/>
      </w:r>
      <w:r w:rsidR="00907464">
        <w:rPr>
          <w:noProof/>
        </w:rPr>
        <w:t>(Finnemore 1996)</w:t>
      </w:r>
      <w:r w:rsidR="00537900">
        <w:fldChar w:fldCharType="end"/>
      </w:r>
      <w:r w:rsidR="00907464">
        <w:t xml:space="preserve"> </w:t>
      </w:r>
      <w:r w:rsidR="00AD7338">
        <w:t>and, in</w:t>
      </w:r>
      <w:r w:rsidR="008D0516">
        <w:t xml:space="preserve"> particular</w:t>
      </w:r>
      <w:r w:rsidR="00AD7338">
        <w:t xml:space="preserve">, the exemplar of cooperation techniques and strategies, such as mutual recognition, peer reviews and experimentalist governance architectures </w:t>
      </w:r>
      <w:r w:rsidR="00537900">
        <w:fldChar w:fldCharType="begin"/>
      </w:r>
      <w:r w:rsidR="004369C5">
        <w:instrText xml:space="preserve"> ADDIN ZOTERO_ITEM CSL_CITATION {"citationID":"M7Nyz7CR","properties":{"formattedCitation":"{\\rtf (Sabel and Zeitlin 2010; B\\uc0\\u250{}rca 2012)}","plainCitation":"(Sabel and Zeitlin 2010; Búrca 2012)"},"citationItems":[{"id":505,"uris":["http://zotero.org/users/72538/items/8GUI8HB7"],"uri":["http://zotero.org/users/72538/items/8GUI8HB7"],"itemData":{"id":505,"type":"book","title":"Experimentalist Governance in the European Union: Towards a New Architecutre","publisher":"Oxford University Press","publisher-place":"Oxford","event-place":"Oxford","author":[{"family":"Sabel","given":"C."},{"family":"Zeitlin","given":"J."}],"issued":{"date-parts":[["2010"]]}}},{"id":3112,"uris":["http://zotero.org/users/72538/items/TKHWJGE8"],"uri":["http://zotero.org/users/72538/items/TKHWJGE8"],"itemData":{"id":3112,"type":"chapter","title":"EU External Relations: The Governance Mode of Foreign Policy","container-title":"The Legal Dimension of Global Governance: What Role for the EU","publisher":"Oxford Univeristy Press","publisher-place":"Oxford","event-place":"Oxford","author":[{"family":"Búrca","given":"Gráinne"}],"issued":{"date-parts":[["2012"]]}}}],"schema":"https://github.com/citation-style-language/schema/raw/master/csl-citation.json"} </w:instrText>
      </w:r>
      <w:r w:rsidR="00537900">
        <w:fldChar w:fldCharType="separate"/>
      </w:r>
      <w:r w:rsidR="004369C5" w:rsidRPr="004369C5">
        <w:rPr>
          <w:rFonts w:ascii="Cambria"/>
        </w:rPr>
        <w:t>(Sabel and Zeitlin 2010; Búrca 2012)</w:t>
      </w:r>
      <w:r w:rsidR="00537900">
        <w:fldChar w:fldCharType="end"/>
      </w:r>
      <w:r w:rsidR="00AD7338">
        <w:t xml:space="preserve">.  Moreover, neither approach devotes much attention to other possible outcomes, such </w:t>
      </w:r>
      <w:r w:rsidR="007A3AB5">
        <w:t xml:space="preserve">as </w:t>
      </w:r>
      <w:r w:rsidR="00AD7338">
        <w:t>transnational coalitions between EU actors and those in other societies</w:t>
      </w:r>
      <w:r w:rsidR="007A3AB5">
        <w:t xml:space="preserve"> </w:t>
      </w:r>
      <w:r w:rsidR="00537900">
        <w:fldChar w:fldCharType="begin"/>
      </w:r>
      <w:r w:rsidR="002E46EC">
        <w:instrText xml:space="preserve"> ADDIN ZOTERO_ITEM CSL_CITATION {"citationID":"Qa2PYA87","properties":{"formattedCitation":"(Risse-Kappen 1994; Andonova 2004)","plainCitation":"(Risse-Kappen 1994; Andonova 2004)"},"citationItems":[{"id":3077,"uris":["http://zotero.org/users/72538/items/FVUUHSCV"],"uri":["http://zotero.org/users/72538/items/FVUUHSCV"],"itemData":{"id":3077,"type":"article-journal","title":"Ideas do not float freely: transnational coalitions, domestic structures, and the end of the cold war","container-title":"International Organization","page":"185-214","volume":"48","issue":"02","source":"Cambridge Journals Online","abstract":"Realist or liberal explanations for the end of the cold war cannot account for the specific content of the change in Soviet foreign policy or for Western responses to it. These theories need to be complemented by approaches that emphasize the interaction between international and domestic factors and that take seriously the proposition that ideas intervene between structural conditions and actors' interests. Some of the strategic prescriptions that informed the reconceptualization of Soviet security interests originated in the Western liberal internationalist community, which formed transnational networks with “new thinkers” in the former Soviet Union. These new ideas became causally consequential for the turnaround in Soviet foreign policy and also had an impact on American and German reactions to it. Even though transnational networks were active in Germany, the Soviet Union, and the United States, their success varied. Domestic structures like the nature of political institutions, state-society relations, and political culture determine the ability of transnational networks first, to gain access to a country's political system and second, to build “winning coalitions.” These differences in domestic structures can largely explain the variation in impact of the strategic prescriptions among the three countries.","DOI":"10.1017/S0020818300028162","shortTitle":"Ideas do not float freely","author":[{"family":"Risse-Kappen","given":"Thomas"}],"issued":{"date-parts":[["1994"]]}}},{"id":3079,"uris":["http://zotero.org/users/72538/items/ZMM562AU"],"uri":["http://zotero.org/users/72538/items/ZMM562AU"],"itemData":{"id":3079,"type":"book","title":"Transnational Politics of the Environment: The European Union and Environmental Policy in Central and Eastern Europe","publisher":"MIT Press","number-of-pages":"278","ISBN":"9780262261418","shortTitle":"Transnational Politics of the Environment","language":"en","author":[{"family":"Andonova","given":"Liliana B."}],"issued":{"date-parts":[["2004"]]}}}],"schema":"https://github.com/citation-style-language/schema/raw/master/csl-citation.json"} </w:instrText>
      </w:r>
      <w:r w:rsidR="00537900">
        <w:fldChar w:fldCharType="separate"/>
      </w:r>
      <w:r w:rsidR="002017D4">
        <w:rPr>
          <w:noProof/>
        </w:rPr>
        <w:t>(Risse-Kappen 1994; Andonova 2004)</w:t>
      </w:r>
      <w:r w:rsidR="00537900">
        <w:fldChar w:fldCharType="end"/>
      </w:r>
      <w:r w:rsidR="00AD7338">
        <w:t xml:space="preserve">.  We seek a single framework that would offer explanations for a fuller range of observed outcomes.  </w:t>
      </w:r>
    </w:p>
    <w:p w14:paraId="2376ECC4" w14:textId="4028B1B2" w:rsidR="00AD7338" w:rsidRDefault="00AD7338" w:rsidP="003E0DD7">
      <w:pPr>
        <w:spacing w:line="480" w:lineRule="auto"/>
        <w:ind w:firstLine="720"/>
      </w:pPr>
      <w:r>
        <w:t>Second, we join other critics who have had no difficulty poking holes in both civilian and normative power explanations by identifying non-conforming cases</w:t>
      </w:r>
      <w:r w:rsidR="002017D4">
        <w:t xml:space="preserve"> </w:t>
      </w:r>
      <w:r w:rsidR="00537900">
        <w:fldChar w:fldCharType="begin"/>
      </w:r>
      <w:r w:rsidR="002E46EC">
        <w:instrText xml:space="preserve"> ADDIN ZOTERO_ITEM CSL_CITATION {"citationID":"suaIyiXJ","properties":{"formattedCitation":"(A. R. Young 2014; Charlotte Bretherton and Vogler 2013; Pollack and Shaffer 2009)","plainCitation":"(A. R. Young 2014; Charlotte Bretherton and Vogler 2013; Pollack and Shaffer 2009)"},"citationItems":[{"id":3107,"uris":["http://zotero.org/users/72538/items/KJ3DV4PD"],"uri":["http://zotero.org/users/72538/items/KJ3DV4PD"],"itemData":{"id":3107,"type":"article-journal","title":"Europe as a global regulator? The limits of EU influence in international food safety standards","container-title":"Journal of European Public Policy","page":"904-922","volume":"21","issue":"6","source":"Taylor and Francis+NEJM","abstract":"The European Union (EU) is often depicted as global regulatory power. This contribution contends that this depiction, while not unfounded, is misleading. It aims to clarify under what conditions the EU converts its regulatory capability into influence. Specifically, it seeks to resolve the puzzle of the EU's poor performance in the setting of global food safety standards within the Codex Alimentarius Commission. The argument is deceptively simple. The EU's limited influence is due to it being a preference outlier. In a context where standards can be agreed by voting, the stringency of the EU's regulations, rather than being a source of influence, is a liability. This extreme case demonstrates that the EU's ability to exercise international influence is affected by the constellation of preferences and the distribution of power. This contribution, therefore, contributes to the emerging literature that contends that the EU's international effectiveness can be understood only with explicit reference to the international context within which it is operating.","DOI":"10.1080/13501763.2014.910871","ISSN":"1350-1763","shortTitle":"Europe as a global regulator?","author":[{"family":"Young","given":"Alasdair R."}],"issued":{"date-parts":[["2014",5,29]]},"accessed":{"date-parts":[["2014",9,10]]}}},{"id":3105,"uris":["http://zotero.org/users/72538/items/2259CB69"],"uri":["http://zotero.org/users/72538/items/2259CB69"],"itemData":{"id":3105,"type":"article-journal","title":"A global actor past its peak?","container-title":"International Relations","page":"375-390","volume":"27","issue":"3","source":"ire.sagepub.com","abstract":"Examining a range of policy areas in which the European Union (EU) acts externally – notably trade, development, climate change and foreign and security policy – this article considers the notion that the years since the mid-2000s have witnessed a decline in EU actorness/effectiveness. In evaluating EU performance, the article employs the interrelated concepts of presence, denoting EU status and influence; opportunity, denoting the external context of EU action; and capability, referring to EU policy processes and instruments, with particular reference to the impact of the 2009 Lisbon Treaty. It is contended that achievement of the increased capability envisaged by the Lisbon Treaty, together with resolution of the Eurozone crisis, with its deleterious effect upon the Union’s presence, would not fully compensate for the loss of opportunity provided by the changing international structure.","DOI":"10.1177/0047117813497299","ISSN":"0047-1178, 1741-2862","journalAbbreviation":"International Relations","language":"en","author":[{"family":"Bretherton","given":"Charlotte"},{"family":"Vogler","given":"John"}],"issued":{"date-parts":[["2013",9,1]]},"accessed":{"date-parts":[["2014",9,10]]}}},{"id":1738,"uris":["http://zotero.org/users/72538/items/PVGNFBAT"],"uri":["http://zotero.org/users/72538/items/PVGNFBAT"],"itemData":{"id":1738,"type":"book","title":"When Cooperation Fails: The International Law and Politics of Genetically Modified Foods","publisher":"Oxford University Press, USA","number-of-pages":"456","source":"Amazon.com","ISBN":"0199567050","shortTitle":"When Cooperation Fails","author":[{"family":"Pollack","given":"Mark A."},{"family":"Shaffer","given":"Gregory C."}],"issued":{"date-parts":[["2009",7,26]]}}}],"schema":"https://github.com/citation-style-language/schema/raw/master/csl-citation.json"} </w:instrText>
      </w:r>
      <w:r w:rsidR="00537900">
        <w:fldChar w:fldCharType="separate"/>
      </w:r>
      <w:r w:rsidR="005F78C6">
        <w:rPr>
          <w:noProof/>
        </w:rPr>
        <w:t>(</w:t>
      </w:r>
      <w:r w:rsidR="005F78C6" w:rsidRPr="005F78C6">
        <w:t xml:space="preserve"> </w:t>
      </w:r>
      <w:r w:rsidR="005F78C6">
        <w:t xml:space="preserve">Young, </w:t>
      </w:r>
      <w:r w:rsidR="0083582A">
        <w:t>2015</w:t>
      </w:r>
      <w:r w:rsidR="005F78C6">
        <w:t>;</w:t>
      </w:r>
      <w:r w:rsidR="005F78C6">
        <w:rPr>
          <w:noProof/>
        </w:rPr>
        <w:t xml:space="preserve"> Young 2014; Bretherton and Vogler 2013; Pollack and Shaffer 2009)</w:t>
      </w:r>
      <w:r w:rsidR="00537900">
        <w:fldChar w:fldCharType="end"/>
      </w:r>
      <w:r>
        <w:t>.  The larger point, in our view, is that the</w:t>
      </w:r>
      <w:r w:rsidR="00FE77E3">
        <w:t xml:space="preserve"> EU-as-a-global-power</w:t>
      </w:r>
      <w:r>
        <w:t xml:space="preserve"> explanations tend to take reductionist and monocausal approaches. That is, they ga</w:t>
      </w:r>
      <w:r w:rsidR="00AD2981">
        <w:t>u</w:t>
      </w:r>
      <w:r>
        <w:t xml:space="preserve">ge the EU’s internal power </w:t>
      </w:r>
      <w:r w:rsidR="00344C0C">
        <w:t>resources</w:t>
      </w:r>
      <w:r>
        <w:t xml:space="preserve"> in relative isolation from factors outside the polity (that is the reductionist part) and focus on their favored causal variable, civilian or normative power (that is the monocausal part).</w:t>
      </w:r>
      <w:r w:rsidR="00344C0C">
        <w:t xml:space="preserve"> In fact, the current debate unnecessarily creates a dichotomy between different power resources, ignoring important points of interaction between substantive norms and institutions of regulation. </w:t>
      </w:r>
      <w:r>
        <w:t>The result is a frequent overestimation of EU influence and an inability to make sense of important empirical observations such as variance in EU authority across time and sector, cases in which the EU initially had little influence but later found its voice</w:t>
      </w:r>
      <w:r w:rsidR="00FE77E3">
        <w:t xml:space="preserve"> (Posner 2009)</w:t>
      </w:r>
      <w:r>
        <w:t>, or the failure of influence despite a large market and distinct norms, such as in the case of GMOs</w:t>
      </w:r>
      <w:r w:rsidR="0083582A">
        <w:t xml:space="preserve"> or food safety</w:t>
      </w:r>
      <w:r w:rsidR="00FE77E3">
        <w:t xml:space="preserve"> (</w:t>
      </w:r>
      <w:r w:rsidR="0083582A">
        <w:t>Pollack and Shaffer 2009; Young 2014</w:t>
      </w:r>
      <w:r w:rsidR="00FE77E3">
        <w:t>)</w:t>
      </w:r>
      <w:r>
        <w:t xml:space="preserve">. In fact, there has been a growing body of research highlighting the limited nature of EU influence across regulatory domains. </w:t>
      </w:r>
    </w:p>
    <w:p w14:paraId="01C035B3" w14:textId="77777777" w:rsidR="003E0C3E" w:rsidRDefault="003E0C3E" w:rsidP="00E9067E">
      <w:pPr>
        <w:spacing w:line="480" w:lineRule="auto"/>
      </w:pPr>
    </w:p>
    <w:p w14:paraId="45D8CFE5" w14:textId="7435CDF5" w:rsidR="00AD7338" w:rsidRPr="005F4867" w:rsidRDefault="00AD7338" w:rsidP="005F4867">
      <w:pPr>
        <w:spacing w:line="480" w:lineRule="auto"/>
        <w:rPr>
          <w:b/>
        </w:rPr>
      </w:pPr>
      <w:r w:rsidRPr="005F4867">
        <w:rPr>
          <w:b/>
        </w:rPr>
        <w:t>Embedded Power</w:t>
      </w:r>
      <w:r>
        <w:rPr>
          <w:b/>
        </w:rPr>
        <w:t xml:space="preserve"> – the role of global regulatory context</w:t>
      </w:r>
    </w:p>
    <w:p w14:paraId="29AC630E" w14:textId="7E85F3C6" w:rsidR="00AD7338" w:rsidRDefault="00AD7338" w:rsidP="000002C0">
      <w:pPr>
        <w:spacing w:line="480" w:lineRule="auto"/>
        <w:rPr>
          <w:i/>
        </w:rPr>
      </w:pPr>
      <w:r>
        <w:t xml:space="preserve">Seeking explanations for these empirical puzzles and the wide range </w:t>
      </w:r>
      <w:r w:rsidR="0097307E">
        <w:t xml:space="preserve">of </w:t>
      </w:r>
      <w:r>
        <w:t xml:space="preserve">observed EU </w:t>
      </w:r>
      <w:r w:rsidR="003A7224">
        <w:t>influence</w:t>
      </w:r>
      <w:r>
        <w:t>, we develop a framework that deduces scope conditions of EU external regulatory behavior from different configurations within the global regulatory context.  Our approach thus embeds EU power</w:t>
      </w:r>
      <w:r w:rsidR="003A7224">
        <w:t xml:space="preserve"> attributes</w:t>
      </w:r>
      <w:r>
        <w:t xml:space="preserve"> within the larger socio-political setting.  By incorporating some of the relational, contextual and temporal components of authority, we extend the recent turn toward institutional context among historical institutionalists as well as the call by EU scholars to think more systematically about the interaction between the EU and its global </w:t>
      </w:r>
      <w:r w:rsidR="000E0799">
        <w:t>engagements</w:t>
      </w:r>
      <w:r w:rsidR="002017D4">
        <w:t xml:space="preserve"> </w:t>
      </w:r>
      <w:r w:rsidR="00537900">
        <w:fldChar w:fldCharType="begin"/>
      </w:r>
      <w:r w:rsidR="002E46EC">
        <w:instrText xml:space="preserve"> ADDIN ZOTERO_ITEM CSL_CITATION {"citationID":"6G9auuAz","properties":{"formattedCitation":"{\\rtf (Falleti and Lynch 2009; M\\uc0\\u252{}ller, Kudrna, and Falkner 2014)}","plainCitation":"(Falleti and Lynch 2009; Müller, Kudrna, and Falkner 2014)"},"citationItems":[{"id":665,"uris":["http://zotero.org/users/72538/items/AJ3AXPRC"],"uri":["http://zotero.org/users/72538/items/AJ3AXPRC"],"itemData":{"id":665,"type":"article-journal","title":"Context and Causal Mechanisms in Political Analysis","container-title":"Comparative Political Studies","source":"cps.sagepub.com","abstract":"Political scientists largely agree that causal mechanisms are crucial to understanding causation. Recent advances in qualitative and quantitative methodology suggest that causal explanations must be contextually bounded. Yet the relationship between context and mechanisms and this relationship’s importance for causation are not well understood. This study defines causal mechanisms as portable concepts that explain how and why a hypothesized cause, in a given context, contributes to a particular outcome. In turn, it defines context as the relevant aspects of a setting in which an array of initial conditions leads to an outcome of a defined scope and meaning via causal mechanisms. Drawing from these definitions is the argument that credible causal explanation can occur if and only if researchers are attentive to the interaction between causal mechanisms and context, regardless of whether the methods employed are small-sample, formal, statistical, or interpretive.","URL":"http://cps.sagepub.com/content/early/2009/04/21/0010414009331724","DOI":"10.1177/0010414009331724","ISSN":"0010-4140, 1552-3829","journalAbbreviation":"Comparative Political Studies","language":"en","author":[{"family":"Falleti","given":"Tulia G."},{"family":"Lynch","given":"Julia F."}],"issued":{"date-parts":[["2009",4,21]]},"accessed":{"date-parts":[["2014",9,5]]}}},{"id":659,"uris":["http://zotero.org/users/72538/items/AHXSSUHV"],"uri":["http://zotero.org/users/72538/items/AHXSSUHV"],"itemData":{"id":659,"type":"article-journal","title":"EU–global interactions: policy export, import, promotion and protection","container-title":"Journal of European Public Policy","page":"1102-1119","volume":"21","issue":"8","source":"Taylor and Francis+NEJM","abstract":"The interactions between the European Union (EU) and international policy regimes are ever more important. Much of the existing literature has focused on the bottom-up dimension of the EU's role in global institutions, assuming that the EU predominantly seeks to project its policies to the global level. However, our review of empirical research reveals that EU policy exports tend to be rare and that EU–global interactions are more varied. On a global scale, the EU is not a hegemonic power that can easily transfer its standards to international regimes, nor does it always desire to do so. This article conceptualizes the EU's interactions with international institutions in four modes (policy export, policy promotion, policy protection and policy import), establishes different rationales motivating EU actors to engage through a given mode and relates recent empirical research to this comprehensive typology.","DOI":"10.1080/13501763.2014.914237","ISSN":"1350-1763","shortTitle":"EU–global interactions","author":[{"family":"Müller","given":"Patrick"},{"family":"Kudrna","given":"Zdenek"},{"family":"Falkner","given":"Gerda"}],"issued":{"date-parts":[["2014",5,22]]},"accessed":{"date-parts":[["2014",9,5]]}}}],"schema":"https://github.com/citation-style-language/schema/raw/master/csl-citation.json"} </w:instrText>
      </w:r>
      <w:r w:rsidR="00537900">
        <w:fldChar w:fldCharType="separate"/>
      </w:r>
      <w:r w:rsidR="00486179" w:rsidRPr="00486179">
        <w:rPr>
          <w:rFonts w:ascii="Cambria"/>
        </w:rPr>
        <w:t>(Falleti and Lynch 2009; Müller, Kudrna, and Falkner 2014)</w:t>
      </w:r>
      <w:r w:rsidR="00537900">
        <w:fldChar w:fldCharType="end"/>
      </w:r>
      <w:r>
        <w:t xml:space="preserve">.  We also note that the approach harks back to two insights long made in IR theory: that the behavior of powerful countries cannot be understood in isolation but rather needs to be examined within the political system of interacting great powers </w:t>
      </w:r>
      <w:r w:rsidR="00537900">
        <w:fldChar w:fldCharType="begin"/>
      </w:r>
      <w:r w:rsidR="002E46EC">
        <w:instrText xml:space="preserve"> ADDIN ZOTERO_ITEM CSL_CITATION {"citationID":"CwjeokLo","properties":{"formattedCitation":"(Waltz 1979; Oatley 2011)","plainCitation":"(Waltz 1979; Oatley 2011)"},"citationItems":[{"id":2364,"uris":["http://zotero.org/users/72538/items/W2CSHB5P"],"uri":["http://zotero.org/users/72538/items/W2CSHB5P"],"itemData":{"id":2364,"type":"book","title":"Theory of International Politics","publisher":"Addison-Wesley","publisher-place":"Reading","event-place":"Reading","author":[{"family":"Waltz","given":"K."}],"issued":{"date-parts":[["1979"]]}}},{"id":2152,"uris":["http://zotero.org/users/72538/items/TSNJXE8P"],"uri":["http://zotero.org/users/72538/items/TSNJXE8P"],"itemData":{"id":2152,"type":"article-journal","title":"The Reductionist Gamble: Open Economy Politics in the Global Economy","container-title":"International Organization","page":"311-341","volume":"65","issue":"02","source":"Cambridge Journals Online","abstract":"International political economy (IPE) should transition to “third-wave” scholarship because Open Economy Politics (OEP), which dominates current American IPE scholarship, can generate inaccurate knowledge. OEP can produce inaccurate knowledge because it studies domestic politics in isolation from international or macro processes. This methodological reductionism is often inappropriate for the phenomena IPE studies because governments inhabit a complex social system. As a result, the political choices that OEP strives to explain are typically a product of the interplay between domestic politics and macro processes. When OEP omits causally significant macro processes from empirical models, the models yield biased inferences about the domestic political relationships under investigation. Although scholars tolerated such errors when the gains from OEP were large, these errors are less tolerable now that OEP has matured. Consequently, the field should transition toward research that is nonreductionist, problem-driven, and pluralistic.","DOI":"10.1017/S002081831100004X","shortTitle":"The Reductionist Gamble","author":[{"family":"Oatley","given":"Thomas"}],"issued":{"date-parts":[["2011"]]}}}],"schema":"https://github.com/citation-style-language/schema/raw/master/csl-citation.json"} </w:instrText>
      </w:r>
      <w:r w:rsidR="00537900">
        <w:fldChar w:fldCharType="separate"/>
      </w:r>
      <w:r w:rsidR="002017D4">
        <w:rPr>
          <w:noProof/>
        </w:rPr>
        <w:t>(Waltz 1979; Oatley 2011)</w:t>
      </w:r>
      <w:r w:rsidR="00537900">
        <w:fldChar w:fldCharType="end"/>
      </w:r>
      <w:r>
        <w:t xml:space="preserve">; and that power is context specific and cannot be assessed in universal terms </w:t>
      </w:r>
      <w:r w:rsidR="00537900">
        <w:fldChar w:fldCharType="begin"/>
      </w:r>
      <w:r w:rsidR="002E46EC">
        <w:instrText xml:space="preserve"> ADDIN ZOTERO_ITEM CSL_CITATION {"citationID":"oMepVgjC","properties":{"formattedCitation":"(Jervis 1997; Wendt 1998)","plainCitation":"(Jervis 1997; Wendt 1998)"},"citationItems":[{"id":2564,"uris":["http://zotero.org/users/72538/items/ZGJQAPEN"],"uri":["http://zotero.org/users/72538/items/ZGJQAPEN"],"itemData":{"id":2564,"type":"book","title":"System Effects: Complexity in Political and Social Life","publisher":"Princenton University Press","publisher-place":"Princeton","event-place":"Princeton","author":[{"family":"Jervis","given":"Robert"}],"issued":{"date-parts":[["1997"]]}}},{"id":3083,"uris":["http://zotero.org/users/72538/items/23BAGSG9"],"uri":["http://zotero.org/users/72538/items/23BAGSG9"],"itemData":{"id":3083,"type":"article-journal","title":"On constitution and causation in International Relations","container-title":"Review of International Studies","page":"101-118","volume":"24","issue":"05","source":"Cambridge Journals Online","author":[{"family":"Wendt","given":"Alexander"}],"issued":{"date-parts":[["1998"]]}}}],"schema":"https://github.com/citation-style-language/schema/raw/master/csl-citation.json"} </w:instrText>
      </w:r>
      <w:r w:rsidR="00537900">
        <w:fldChar w:fldCharType="separate"/>
      </w:r>
      <w:r w:rsidR="002017D4">
        <w:rPr>
          <w:noProof/>
        </w:rPr>
        <w:t>(Jervis 1997; Wendt 1998)</w:t>
      </w:r>
      <w:r w:rsidR="00537900">
        <w:fldChar w:fldCharType="end"/>
      </w:r>
      <w:r w:rsidR="002017D4">
        <w:t>.</w:t>
      </w:r>
    </w:p>
    <w:p w14:paraId="5560D8EA" w14:textId="32442657" w:rsidR="00AD7338" w:rsidRPr="00DB67F6" w:rsidRDefault="00AD7338" w:rsidP="00DB67F6">
      <w:pPr>
        <w:spacing w:line="480" w:lineRule="auto"/>
        <w:ind w:firstLine="720"/>
      </w:pPr>
      <w:r>
        <w:t>While the global regulatory context could include a range of socio-political factors, in this first exercise, we highlight two institutional features that existing research suggests should be particularly important: the distribution of regulatory capacity and the density of institutionalization. In considering varia</w:t>
      </w:r>
      <w:r w:rsidR="002A7A49">
        <w:t>nce</w:t>
      </w:r>
      <w:r>
        <w:t xml:space="preserve"> in these two dimensions of the regulatory context, we deduce a set of likely EU policy strategies. The results of the analytic typology </w:t>
      </w:r>
      <w:r w:rsidR="007D508E">
        <w:t>synthesize</w:t>
      </w:r>
      <w:r>
        <w:t xml:space="preserve"> </w:t>
      </w:r>
      <w:r w:rsidR="00035409">
        <w:t>bodies of research</w:t>
      </w:r>
      <w:r>
        <w:t xml:space="preserve"> frequently </w:t>
      </w:r>
      <w:r w:rsidR="0060172C">
        <w:t>treated</w:t>
      </w:r>
      <w:r>
        <w:t xml:space="preserve"> separately and in parallel</w:t>
      </w:r>
      <w:r w:rsidR="0060172C">
        <w:t xml:space="preserve"> </w:t>
      </w:r>
      <w:r>
        <w:t>and</w:t>
      </w:r>
      <w:r w:rsidR="00035409">
        <w:t xml:space="preserve"> </w:t>
      </w:r>
      <w:r>
        <w:t>offer insight into the limits and constraints on EU authority. In the conclusion, we consider a number of extensions that consider other factors associated with the global regulatory context.</w:t>
      </w:r>
    </w:p>
    <w:p w14:paraId="7F6E781F" w14:textId="77777777" w:rsidR="00AD7338" w:rsidRDefault="00AD7338" w:rsidP="00686467">
      <w:pPr>
        <w:spacing w:line="480" w:lineRule="auto"/>
        <w:rPr>
          <w:i/>
        </w:rPr>
      </w:pPr>
    </w:p>
    <w:p w14:paraId="4C034BC6" w14:textId="77777777" w:rsidR="00AD7338" w:rsidRPr="00DB67F6" w:rsidRDefault="00AD7338" w:rsidP="00686467">
      <w:pPr>
        <w:spacing w:line="480" w:lineRule="auto"/>
        <w:rPr>
          <w:i/>
        </w:rPr>
      </w:pPr>
      <w:r w:rsidRPr="00DB67F6">
        <w:rPr>
          <w:i/>
        </w:rPr>
        <w:t>Relative differences in regulatory capacity</w:t>
      </w:r>
      <w:r w:rsidRPr="00DB67F6">
        <w:rPr>
          <w:i/>
        </w:rPr>
        <w:tab/>
      </w:r>
    </w:p>
    <w:p w14:paraId="357ED75A" w14:textId="1536DBF1" w:rsidR="00AD7338" w:rsidRDefault="0060172C" w:rsidP="00DB67F6">
      <w:pPr>
        <w:spacing w:line="480" w:lineRule="auto"/>
        <w:ind w:firstLine="720"/>
      </w:pPr>
      <w:r>
        <w:t xml:space="preserve">The </w:t>
      </w:r>
      <w:r w:rsidR="00AD7338">
        <w:t>two dimensions</w:t>
      </w:r>
      <w:r w:rsidR="00013CDC">
        <w:t xml:space="preserve"> featured in our contextualization</w:t>
      </w:r>
      <w:r>
        <w:t xml:space="preserve"> of the EU’s external regulatory behavior</w:t>
      </w:r>
      <w:r w:rsidR="00013CDC">
        <w:t xml:space="preserve"> (the relative capacities of great powers and the international density of rules and institutions)</w:t>
      </w:r>
      <w:r>
        <w:t xml:space="preserve"> are</w:t>
      </w:r>
      <w:r w:rsidR="00AD7338">
        <w:t xml:space="preserve"> </w:t>
      </w:r>
      <w:r>
        <w:t xml:space="preserve">the </w:t>
      </w:r>
      <w:r w:rsidR="00AD7338">
        <w:t>core variable</w:t>
      </w:r>
      <w:r w:rsidR="00013CDC">
        <w:t>s</w:t>
      </w:r>
      <w:r w:rsidR="00AD7338">
        <w:t xml:space="preserve"> in distinct literature</w:t>
      </w:r>
      <w:r>
        <w:t>s</w:t>
      </w:r>
      <w:r w:rsidR="00013CDC">
        <w:t xml:space="preserve">.  </w:t>
      </w:r>
      <w:r w:rsidR="00AD7338">
        <w:t xml:space="preserve">By taking the </w:t>
      </w:r>
      <w:r w:rsidR="00AD7338" w:rsidRPr="003547EE">
        <w:rPr>
          <w:i/>
        </w:rPr>
        <w:t>r</w:t>
      </w:r>
      <w:r w:rsidR="00AD7338">
        <w:rPr>
          <w:i/>
        </w:rPr>
        <w:t>atio</w:t>
      </w:r>
      <w:r w:rsidR="00AD7338" w:rsidRPr="003547EE">
        <w:rPr>
          <w:i/>
        </w:rPr>
        <w:t xml:space="preserve"> </w:t>
      </w:r>
      <w:r w:rsidR="00AD7338">
        <w:rPr>
          <w:i/>
        </w:rPr>
        <w:t>of</w:t>
      </w:r>
      <w:r w:rsidR="00AD7338" w:rsidRPr="003547EE">
        <w:rPr>
          <w:i/>
        </w:rPr>
        <w:t xml:space="preserve"> regulatory capacity</w:t>
      </w:r>
      <w:r w:rsidR="00AD7338">
        <w:t xml:space="preserve"> among the major economic powers seriously, we extend that portion of the research on EU market power that already takes a relational approach </w:t>
      </w:r>
      <w:r w:rsidR="00537900">
        <w:fldChar w:fldCharType="begin"/>
      </w:r>
      <w:r w:rsidR="002E46EC">
        <w:instrText xml:space="preserve"> ADDIN ZOTERO_ITEM CSL_CITATION {"citationID":"B7HI9Znd","properties":{"formattedCitation":"(Drezner 2007; Simmons 2001)","plainCitation":"(Drezner 2007; Simmons 2001)"},"citationItems":[{"id":19,"uris":["http://zotero.org/users/72538/items/26NFH5WK"],"uri":["http://zotero.org/users/72538/items/26NFH5WK"],"itemData":{"id":19,"type":"book","title":"All Politics is Global: Explaining International Regulatory Regimes","publisher":"Princeton University Press","publisher-place":"Princeton","event-place":"Princeton","author":[{"family":"Drezner","given":"D."}],"issued":{"date-parts":[["2007"]]}}},{"id":1579,"uris":["http://zotero.org/users/72538/items/N3B48A8Q"],"uri":["http://zotero.org/users/72538/items/N3B48A8Q"],"itemData":{"id":1579,"type":"article-journal","title":"The International Politics of Harmonization: The Case of Capital Market Regulation","container-title":"International Organization","page":"589-620","volume":"55","abstract":"market power for harmonization","author":[{"family":"Simmons","given":"B."}],"issued":{"date-parts":[["2001"]]}}}],"schema":"https://github.com/citation-style-language/schema/raw/master/csl-citation.json"} </w:instrText>
      </w:r>
      <w:r w:rsidR="00537900">
        <w:fldChar w:fldCharType="separate"/>
      </w:r>
      <w:r w:rsidR="002017D4">
        <w:rPr>
          <w:noProof/>
        </w:rPr>
        <w:t>(Drezner 2007; Simmons 2001)</w:t>
      </w:r>
      <w:r w:rsidR="00537900">
        <w:fldChar w:fldCharType="end"/>
      </w:r>
      <w:r w:rsidR="00AD7338">
        <w:t xml:space="preserve">.   The central idea is that the number of jurisdictions with large markets in a given sector and the relative size of the EU market compared to other such rule makers are driving forces of external regulatory behavior.  Polarity (to use the IR parlance) refers to whether there is a dominant jurisdiction (unipolarity or hegemony), two relatively equal players whose markets are significantly larger than the rest (a bipolar sector), or three or more great regulatory powers (multipolarity).  For example, the deep and liquid trading platforms in the US gave its regulators a source of unparalleled market power in finance up through the 1990s (Simmons 2001). With regulatory integration of financial markets in Europe (including London), the EU began to rival US authority (Drezner </w:t>
      </w:r>
      <w:r w:rsidR="002017D4">
        <w:t>2007</w:t>
      </w:r>
      <w:r w:rsidR="00AE69A0">
        <w:t>; Posner 2009</w:t>
      </w:r>
      <w:r w:rsidR="00AD7338">
        <w:t xml:space="preserve">). In the post-crisis era and with the emergence of alternate trading venues in Asia and the Middle East, some have wondered whether finance is entering a multipolar phase. </w:t>
      </w:r>
    </w:p>
    <w:p w14:paraId="5E186B2A" w14:textId="0824B95D" w:rsidR="00AD7338" w:rsidRDefault="00AD7338" w:rsidP="00686467">
      <w:pPr>
        <w:spacing w:line="480" w:lineRule="auto"/>
      </w:pPr>
      <w:r>
        <w:tab/>
        <w:t xml:space="preserve">The market power label has become a misnomer, as this literature has taken a decisive institutionalist turn, captured in the concept of regulatory capacity </w:t>
      </w:r>
      <w:r w:rsidR="00537900">
        <w:fldChar w:fldCharType="begin"/>
      </w:r>
      <w:r w:rsidR="002E46EC">
        <w:instrText xml:space="preserve"> ADDIN ZOTERO_ITEM CSL_CITATION {"citationID":"kMS3Bg73","properties":{"formattedCitation":"(Bach and Newman 2007)","plainCitation":"(Bach and Newman 2007)","dontUpdate":true},"citationItems":[{"id":148,"uris":["http://zotero.org/users/72538/items/3RS8A4WS"],"uri":["http://zotero.org/users/72538/items/3RS8A4WS"],"itemData":{"id":148,"type":"article-journal","title":"The European Regulatory State and Global Public Policy: Micro-Institutions and Macro-Influence","container-title":"Journal of European Public Policy","page":"827-46","volume":"16","issue":"4","author":[{"family":"Bach","given":"D."},{"family":"Newman","given":"A."}],"issued":{"date-parts":[["2007"]]}}}],"schema":"https://github.com/citation-style-language/schema/raw/master/csl-citation.json"} </w:instrText>
      </w:r>
      <w:r w:rsidR="00537900">
        <w:fldChar w:fldCharType="separate"/>
      </w:r>
      <w:r w:rsidR="005F78C6">
        <w:rPr>
          <w:noProof/>
        </w:rPr>
        <w:t>(</w:t>
      </w:r>
      <w:r w:rsidR="002B640D">
        <w:rPr>
          <w:noProof/>
        </w:rPr>
        <w:t>Bach and Newman 2007</w:t>
      </w:r>
      <w:r w:rsidR="005F78C6">
        <w:rPr>
          <w:noProof/>
        </w:rPr>
        <w:t xml:space="preserve">; </w:t>
      </w:r>
      <w:r w:rsidR="002017D4">
        <w:rPr>
          <w:noProof/>
        </w:rPr>
        <w:t xml:space="preserve">Young, </w:t>
      </w:r>
      <w:r w:rsidR="00EB7600">
        <w:rPr>
          <w:noProof/>
        </w:rPr>
        <w:t>2015</w:t>
      </w:r>
      <w:r w:rsidR="00AE69A0">
        <w:rPr>
          <w:noProof/>
        </w:rPr>
        <w:t>; Posner 2009</w:t>
      </w:r>
      <w:r w:rsidR="002017D4">
        <w:rPr>
          <w:noProof/>
        </w:rPr>
        <w:t>)</w:t>
      </w:r>
      <w:r w:rsidR="00537900">
        <w:fldChar w:fldCharType="end"/>
      </w:r>
      <w:r>
        <w:t xml:space="preserve">.   An increasing body of research demonstrates that relative market size (even the relative portion of international participants in a given market) alone is not a sufficient predictor of regulatory bargaining leverage or influence. Rather, to harness market size, a polity must have the </w:t>
      </w:r>
      <w:r w:rsidRPr="003547EE">
        <w:t>regulatory capacity</w:t>
      </w:r>
      <w:r>
        <w:t xml:space="preserve"> to define, monitor, and defend a specific set of market rules</w:t>
      </w:r>
      <w:r w:rsidR="005F78C6">
        <w:t xml:space="preserve"> (</w:t>
      </w:r>
      <w:r w:rsidR="002B640D">
        <w:t>Bach and Newman 2007; Newman 2008</w:t>
      </w:r>
      <w:r w:rsidR="005F78C6">
        <w:t>)</w:t>
      </w:r>
      <w:r>
        <w:t>. In other words, a polity must have the institutional expertise, internal arrangements and governance mechanisms to develop a set of rules, identify breaches in those rules, and sanction non-compliance. The United States, for example, has a large market for cosmetics but due to a quirk of legislative history has few regulatory institutions with authority to oversee that market, let alone export them to other jurisdictions</w:t>
      </w:r>
      <w:r w:rsidR="002B640D">
        <w:t xml:space="preserve"> (Bach and Newman 2010)</w:t>
      </w:r>
      <w:r>
        <w:t xml:space="preserve">.  As a result, the regulators of this relatively large market enjoy few advantages in global regulatory debates. A similar finding has been made in insurance and other sectors </w:t>
      </w:r>
      <w:r w:rsidR="00537900">
        <w:fldChar w:fldCharType="begin"/>
      </w:r>
      <w:r w:rsidR="002E46EC">
        <w:instrText xml:space="preserve"> ADDIN ZOTERO_ITEM CSL_CITATION {"citationID":"tpwcEdWc","properties":{"formattedCitation":"(Quaglia 2013)","plainCitation":"(Quaglia 2013)"},"citationItems":[{"id":3086,"uris":["http://zotero.org/users/72538/items/S2KXJ59R"],"uri":["http://zotero.org/users/72538/items/S2KXJ59R"],"itemData":{"id":3086,"type":"article-journal","title":"The European Union, the USA and International Standard Setting by Regulatory Fora in Finance","container-title":"New Political Economy","page":"427-444","volume":"19","issue":"3","source":"Taylor and Francis+NEJM","abstract":"This research asks why the European Union (EU) ‘uploads’ financial regulation to international regulatory fora in some (few) cases, ‘downloads’ it in (many) other cases or neither. It uses the concept of ‘regulatory capacity’ with reference to the EU and the USA. It argues that the presence (or absence) of robust domestic regulatory templates strengthen (or weaken) the ability of these jurisdictions to shape international standards produced by regulatory fora. Timing is also important in that whichever of the two manages to be out in front and shape international standards in a given sector wins first-mover advantages. The paper considers variations across the main financial services (banking, securities and insurance) as well as over time.","DOI":"10.1080/13563467.2013.796449","ISSN":"1356-3467","author":[{"family":"Quaglia","given":"Lucia"}],"issued":{"date-parts":[["2013",5,28]]},"accessed":{"date-parts":[["2014",9,9]]}}}],"schema":"https://github.com/citation-style-language/schema/raw/master/csl-citation.json"} </w:instrText>
      </w:r>
      <w:r w:rsidR="00537900">
        <w:fldChar w:fldCharType="separate"/>
      </w:r>
      <w:r w:rsidR="00FF6401">
        <w:rPr>
          <w:noProof/>
        </w:rPr>
        <w:t>(Quaglia 2013)</w:t>
      </w:r>
      <w:r w:rsidR="00537900">
        <w:fldChar w:fldCharType="end"/>
      </w:r>
      <w:r>
        <w:t>.</w:t>
      </w:r>
      <w:r w:rsidR="00EB7600">
        <w:t xml:space="preserve"> Importantly, </w:t>
      </w:r>
      <w:r w:rsidR="008717DD">
        <w:t xml:space="preserve">the </w:t>
      </w:r>
      <w:r w:rsidR="00EB7600">
        <w:t xml:space="preserve">regulatory capacity </w:t>
      </w:r>
      <w:r w:rsidR="008717DD">
        <w:t>approach</w:t>
      </w:r>
      <w:r w:rsidR="00EB7600">
        <w:t xml:space="preserve"> subsume</w:t>
      </w:r>
      <w:r w:rsidR="008717DD">
        <w:t>s</w:t>
      </w:r>
      <w:r w:rsidR="00EB7600">
        <w:t xml:space="preserve"> both normative and civilian market power arguments </w:t>
      </w:r>
      <w:r w:rsidR="008717DD">
        <w:t>to the extent that</w:t>
      </w:r>
      <w:r w:rsidR="00EB7600">
        <w:t xml:space="preserve"> </w:t>
      </w:r>
      <w:r w:rsidR="008717DD">
        <w:t>it</w:t>
      </w:r>
      <w:r w:rsidR="00EB7600">
        <w:t xml:space="preserve"> identifies areas in which a polity has a substantively distinct regulatory </w:t>
      </w:r>
      <w:r w:rsidR="008717DD">
        <w:t>apparatus</w:t>
      </w:r>
      <w:r w:rsidR="00EB7600">
        <w:t xml:space="preserve"> as well as the institutions to monitor and defend those rules.</w:t>
      </w:r>
    </w:p>
    <w:p w14:paraId="69D4116F" w14:textId="5AA34EBC" w:rsidR="00AD7338" w:rsidRDefault="00AD7338" w:rsidP="00686467">
      <w:pPr>
        <w:spacing w:line="480" w:lineRule="auto"/>
      </w:pPr>
      <w:r>
        <w:tab/>
      </w:r>
      <w:r w:rsidR="00EB7600">
        <w:t>Additionally, a</w:t>
      </w:r>
      <w:r>
        <w:t xml:space="preserve"> polity’s regulatory capacity is relative to other rulemaking jurisdictions. It is not enough to examine the regulatory institutions of the EU</w:t>
      </w:r>
      <w:r w:rsidR="00BD6083">
        <w:t xml:space="preserve"> in isolation.  </w:t>
      </w:r>
      <w:r>
        <w:t xml:space="preserve"> </w:t>
      </w:r>
      <w:r w:rsidR="00BD6083">
        <w:t xml:space="preserve">Rather, </w:t>
      </w:r>
      <w:r w:rsidR="00CF264F">
        <w:t xml:space="preserve">the analysis must consider </w:t>
      </w:r>
      <w:r>
        <w:t>how the</w:t>
      </w:r>
      <w:r w:rsidR="00CF264F">
        <w:t xml:space="preserve">y </w:t>
      </w:r>
      <w:r>
        <w:t xml:space="preserve">relate to similar </w:t>
      </w:r>
      <w:r w:rsidR="00BD6083">
        <w:t>one</w:t>
      </w:r>
      <w:r>
        <w:t xml:space="preserve">s in other regulatory powers such as the US – first, in terms of </w:t>
      </w:r>
      <w:r w:rsidR="00CF264F">
        <w:t xml:space="preserve">institutional </w:t>
      </w:r>
      <w:r>
        <w:t>development but also the latter’s timing, as research reveals the frequency of first-mover advantages. The EU, for example, has had considerable influence in shaping global debates over Internet privacy because of the absence of regulatory institutions in the US</w:t>
      </w:r>
      <w:r w:rsidR="002B640D">
        <w:t xml:space="preserve"> (Newman 2008)</w:t>
      </w:r>
      <w:r>
        <w:t xml:space="preserve">. Similarly, the EU was long handicapped in global financial debates owing </w:t>
      </w:r>
      <w:r w:rsidR="002B22DA">
        <w:t xml:space="preserve">in part </w:t>
      </w:r>
      <w:r>
        <w:t>to the fragmented and self-regulatory nature of oversight in markets such as Germany and the United Kingdom up through the early 1990s</w:t>
      </w:r>
      <w:r w:rsidR="002B640D">
        <w:t xml:space="preserve"> (Posner 2009)</w:t>
      </w:r>
      <w:r>
        <w:t xml:space="preserve">.  Thus, because the distribution of regulatory capacity among the major regulatory players has been shown to be an important determinant of how great powers seek to manage regulatory differences and a critical component of the global regulatory context, we use it as one of the two core dimensions of our framework.  </w:t>
      </w:r>
    </w:p>
    <w:p w14:paraId="07ADADBD" w14:textId="77777777" w:rsidR="00AD7338" w:rsidRDefault="00AD7338" w:rsidP="00686467">
      <w:pPr>
        <w:spacing w:line="480" w:lineRule="auto"/>
      </w:pPr>
    </w:p>
    <w:p w14:paraId="2CEEDA0B" w14:textId="77777777" w:rsidR="00AD7338" w:rsidRDefault="00AD7338" w:rsidP="00686467">
      <w:pPr>
        <w:spacing w:line="480" w:lineRule="auto"/>
      </w:pPr>
      <w:r w:rsidRPr="00E414DE">
        <w:rPr>
          <w:i/>
        </w:rPr>
        <w:t>Institutional D</w:t>
      </w:r>
      <w:r w:rsidRPr="00DB67F6">
        <w:rPr>
          <w:i/>
        </w:rPr>
        <w:t>ensity</w:t>
      </w:r>
      <w:r>
        <w:t xml:space="preserve">:  </w:t>
      </w:r>
    </w:p>
    <w:p w14:paraId="622F9C2E" w14:textId="0F5F08C6" w:rsidR="00AD7338" w:rsidRDefault="00AD7338" w:rsidP="00DB67F6">
      <w:pPr>
        <w:spacing w:line="480" w:lineRule="auto"/>
      </w:pPr>
      <w:r>
        <w:tab/>
        <w:t>Institutional density is the second dimension of the global regulatory context</w:t>
      </w:r>
      <w:r w:rsidR="00A931F1">
        <w:t xml:space="preserve"> explored</w:t>
      </w:r>
      <w:r>
        <w:t>.  In answer to the question how great powers go about smoothing the regulatory bumps of globalization, the wide-ranging research on the institutionalization of international regulatory space points to an expansive set of pathways by which institutions shape the behavior of the great powers and contribute to their efforts to coordinate rules, overcome distributional conflict and, ultimately, facilitate cross-border economic activity</w:t>
      </w:r>
      <w:r w:rsidR="00A931F1">
        <w:t xml:space="preserve"> </w:t>
      </w:r>
      <w:r w:rsidR="00537900">
        <w:fldChar w:fldCharType="begin"/>
      </w:r>
      <w:r w:rsidR="002E46EC">
        <w:instrText xml:space="preserve"> ADDIN ZOTERO_ITEM CSL_CITATION {"citationID":"kbCCJAKP","properties":{"formattedCitation":"{\\rtf (Keohane 1984; Tim B\\uc0\\u252{}the and Mattli 2011; Walter Mattli and Woods 2009)}","plainCitation":"(Keohane 1984; Tim Büthe and Mattli 2011; Walter Mattli and Woods 2009)"},"citationItems":[{"id":556,"uris":["http://zotero.org/users/72538/items/94KJ6IWF"],"uri":["http://zotero.org/users/72538/items/94KJ6IWF"],"itemData":{"id":556,"type":"book","title":"After Hegemony","publisher":"Princeton University Press","publisher-place":"Princeton","event-place":"Princeton","author":[{"family":"Keohane","given":"R."}],"issued":{"date-parts":[["1984"]]}}},{"id":872,"uris":["http://zotero.org/users/72538/items/DDAJI7CS"],"uri":["http://zotero.org/users/72538/items/DDAJI7CS"],"itemData":{"id":872,"type":"book","title":"The new global rulers: the privatization of regulation in the world economy","publisher":"Princeton University Press","number-of-pages":"321","source":"Google Books","abstract":"Over the past two decades, governments have delegated extensive regulatory authority to international private-sector organizations. This internationalization and privatization of rule making has been motivated not only by the economic benefits of common rules for global markets, but also by the realization that government regulators often lack the expertise and resources to deal with increasingly complex and urgent regulatory tasks. The New Global Rulers examines who writes the rules in international private organizations, as well as who wins, who loses--and why.Tim Büthe and Walter Mattli examine three powerful global private regulators: the International Accounting Standards Board, which develops financial reporting rules used by corporations in more than a hundred countries; and the International Organization for Standardization and the International Electrotechnical Commission, which account for 85 percent of all international product standards. Büthe and Mattli offer both a new framework for understanding global private regulation and detailed empirical analyses of such regulation based on multi-country, multi-industry business surveys. They find that global rule making by technical experts is highly political, and that even though rule making has shifted to the international level, domestic institutions remain crucial. Influence in this form of global private governance is not a function of the economic power of states, but of the ability of domestic standard-setters to provide timely information and speak with a single voice. Büthe and Mattli show how domestic institutions' abilities differ, particularly between the two main standardization players, the United States and Europe.","ISBN":"9780691144795","shortTitle":"The new global rulers","language":"en","author":[{"family":"Büthe","given":"Tim"},{"family":"Mattli","given":"Walter"}],"issued":{"date-parts":[["2011",3,21]]}}},{"id":550,"uris":["http://zotero.org/users/72538/items/92TNQFQV"],"uri":["http://zotero.org/users/72538/items/92TNQFQV"],"itemData":{"id":550,"type":"book","title":"The Politics of Global Regulation","publisher":"Princeton University Press","source":"Amazon.com","ISBN":"069113961X","author":[{"family":"Mattli","given":"Walter"},{"family":"Woods","given":"Ngaire"}],"issued":{"date-parts":[["2009",4,27]]}}}],"schema":"https://github.com/citation-style-language/schema/raw/master/csl-citation.json"} </w:instrText>
      </w:r>
      <w:r w:rsidR="00537900">
        <w:fldChar w:fldCharType="separate"/>
      </w:r>
      <w:r w:rsidR="00D565E8" w:rsidRPr="00D565E8">
        <w:rPr>
          <w:rFonts w:ascii="Cambria"/>
        </w:rPr>
        <w:t xml:space="preserve">(Keohane 1984; </w:t>
      </w:r>
      <w:r w:rsidR="003A7224">
        <w:rPr>
          <w:rFonts w:ascii="Cambria"/>
        </w:rPr>
        <w:t xml:space="preserve">Axelrod and Keohane 1985; Ruggie 1998; </w:t>
      </w:r>
      <w:r w:rsidR="00D565E8" w:rsidRPr="00D565E8">
        <w:rPr>
          <w:rFonts w:ascii="Cambria"/>
        </w:rPr>
        <w:t>Büthe and Mattli 2011; Mattli and Woods 2009)</w:t>
      </w:r>
      <w:r w:rsidR="00537900">
        <w:fldChar w:fldCharType="end"/>
      </w:r>
      <w:r>
        <w:t xml:space="preserve">.  In short, the main premise is that whether and how frictions are resolved is in large part contingent on the institutional setting.  Depending on the particular theoretical perspective, the institutional environment is seen to channel, structure, reconstitute or constrain the behavior of powerful actors, offering in return the benefits of ensuring commitment, reducing uncertainty and informational asymmetries, and changing preferences and strategies as well as the contours of internal political contests. </w:t>
      </w:r>
    </w:p>
    <w:p w14:paraId="578775CA" w14:textId="6065C151" w:rsidR="007A104E" w:rsidRDefault="00AD7338" w:rsidP="001F5BE0">
      <w:pPr>
        <w:spacing w:line="480" w:lineRule="auto"/>
        <w:ind w:firstLine="720"/>
      </w:pPr>
      <w:r>
        <w:t xml:space="preserve">In some areas, institutionalization is considerable as regulation proceeds through treaty-based international bodies that enjoy some degree of formal rule-making and rule-enforcing authority. The WTO’s role in the dispute over Genetically Modified Organisms offers the quintessential example. But in many regulatory domains, such formal institutions do not exist. In these cases, global rules are set through soft law regulatory networks. </w:t>
      </w:r>
      <w:r w:rsidR="002F58FF">
        <w:t xml:space="preserve"> These </w:t>
      </w:r>
      <w:r>
        <w:t>collection</w:t>
      </w:r>
      <w:r w:rsidR="002F58FF">
        <w:t>s</w:t>
      </w:r>
      <w:r>
        <w:t xml:space="preserve"> of regulatory authorities, which may be public or private, cooperate transnationally to develop best practices for market behavior. At times, the standards developed are embedded within the domestic law of large markets or adopted and enforced by treaty-based international organizations or private monitoring organizations. The</w:t>
      </w:r>
      <w:r w:rsidR="00D25636">
        <w:t xml:space="preserve"> </w:t>
      </w:r>
      <w:r>
        <w:t>network</w:t>
      </w:r>
      <w:r w:rsidR="00D25636">
        <w:t xml:space="preserve"> members meet routinely, follow agreed procedures</w:t>
      </w:r>
      <w:r w:rsidR="002F58FF">
        <w:t xml:space="preserve">, monitor compliance </w:t>
      </w:r>
      <w:r w:rsidR="00D25636">
        <w:t>and</w:t>
      </w:r>
      <w:r w:rsidR="002F58FF">
        <w:t xml:space="preserve"> often </w:t>
      </w:r>
      <w:r>
        <w:t>enjoy considerable rule-making authority</w:t>
      </w:r>
      <w:r w:rsidR="002F58FF">
        <w:t xml:space="preserve">; but they tend to </w:t>
      </w:r>
      <w:r>
        <w:t xml:space="preserve">have few formal enforcement powers of their own. </w:t>
      </w:r>
      <w:r w:rsidR="00E00D74">
        <w:t>Research on</w:t>
      </w:r>
      <w:r>
        <w:t xml:space="preserve"> such networks </w:t>
      </w:r>
      <w:r w:rsidR="00E00D74">
        <w:t xml:space="preserve">tends to </w:t>
      </w:r>
      <w:r>
        <w:t>view them as a fast and flexible alternative to more cumbersome formal cooperation</w:t>
      </w:r>
      <w:r w:rsidR="00A931F1">
        <w:t xml:space="preserve"> </w:t>
      </w:r>
      <w:r w:rsidR="00537900">
        <w:fldChar w:fldCharType="begin"/>
      </w:r>
      <w:r w:rsidR="002E46EC">
        <w:instrText xml:space="preserve"> ADDIN ZOTERO_ITEM CSL_CITATION {"citationID":"w0dViSnr","properties":{"formattedCitation":"(Slaughter 2004; Porter 2005)","plainCitation":"(Slaughter 2004; Porter 2005)"},"citationItems":[{"id":1060,"uris":["http://zotero.org/users/72538/items/FZ5Q7XTU"],"uri":["http://zotero.org/users/72538/items/FZ5Q7XTU"],"itemData":{"id":1060,"type":"book","title":"A New World Order","publisher":"Princeton University Press","publisher-place":"Princeton","event-place":"Princeton","author":[{"family":"Slaughter","given":"A.-M."}],"issued":{"date-parts":[["2004"]]}}},{"id":817,"uris":["http://zotero.org/users/72538/items/CJGQ2UWC"],"uri":["http://zotero.org/users/72538/items/CJGQ2UWC"],"itemData":{"id":817,"type":"book","title":"Globalization and Finance","publisher":"Polity","source":"Amazon.com","ISBN":"0745631193","author":[{"family":"Porter","given":"Tony"}],"issued":{"date-parts":[["2005",2,4]]}}}],"schema":"https://github.com/citation-style-language/schema/raw/master/csl-citation.json"} </w:instrText>
      </w:r>
      <w:r w:rsidR="00537900">
        <w:fldChar w:fldCharType="separate"/>
      </w:r>
      <w:r w:rsidR="00A931F1">
        <w:rPr>
          <w:noProof/>
        </w:rPr>
        <w:t>(Slaughter 2004; Porter 2005</w:t>
      </w:r>
      <w:r w:rsidR="00615D75">
        <w:rPr>
          <w:noProof/>
        </w:rPr>
        <w:t>; Green 2014</w:t>
      </w:r>
      <w:r w:rsidR="00A931F1">
        <w:rPr>
          <w:noProof/>
        </w:rPr>
        <w:t>)</w:t>
      </w:r>
      <w:r w:rsidR="00537900">
        <w:fldChar w:fldCharType="end"/>
      </w:r>
      <w:r>
        <w:t>. Skeptics see their utility limited to simple cooperation problems where there are few distributional consequences</w:t>
      </w:r>
      <w:r w:rsidR="00A931F1">
        <w:t xml:space="preserve"> </w:t>
      </w:r>
      <w:r w:rsidR="00537900">
        <w:fldChar w:fldCharType="begin"/>
      </w:r>
      <w:r w:rsidR="002E46EC">
        <w:instrText xml:space="preserve"> ADDIN ZOTERO_ITEM CSL_CITATION {"citationID":"koWOziDz","properties":{"formattedCitation":"(Abbott and Snidal 2000)","plainCitation":"(Abbott and Snidal 2000)"},"citationItems":[{"id":1085,"uris":["http://zotero.org/users/72538/items/G9T6K7GW"],"uri":["http://zotero.org/users/72538/items/G9T6K7GW"],"itemData":{"id":1085,"type":"article-journal","title":"Hard and Soft Law in International Governance","container-title":"International Organization","page":"421-456","volume":"54","author":[{"family":"Abbott","given":"K."},{"family":"Snidal","given":"D."}],"issued":{"date-parts":[["2000"]]}}}],"schema":"https://github.com/citation-style-language/schema/raw/master/csl-citation.json"} </w:instrText>
      </w:r>
      <w:r w:rsidR="00537900">
        <w:fldChar w:fldCharType="separate"/>
      </w:r>
      <w:r w:rsidR="00A931F1">
        <w:rPr>
          <w:noProof/>
        </w:rPr>
        <w:t>(Abbott and Snidal 2000)</w:t>
      </w:r>
      <w:r w:rsidR="00537900">
        <w:fldChar w:fldCharType="end"/>
      </w:r>
      <w:r>
        <w:t>.</w:t>
      </w:r>
      <w:r w:rsidR="00ED457A">
        <w:t xml:space="preserve">  We emphasize</w:t>
      </w:r>
      <w:r w:rsidR="007A104E">
        <w:t xml:space="preserve"> a third </w:t>
      </w:r>
      <w:r w:rsidR="00ED457A">
        <w:t>perspective</w:t>
      </w:r>
      <w:r w:rsidR="007A104E">
        <w:t>: The f</w:t>
      </w:r>
      <w:r w:rsidR="00ED457A">
        <w:t xml:space="preserve">orums housing the networks have become rulemaking arenas </w:t>
      </w:r>
      <w:r w:rsidR="007A104E">
        <w:t>where the outcomes have salient distributive effects.  Thus, it can matter a great deal</w:t>
      </w:r>
      <w:r w:rsidR="00ED457A">
        <w:t xml:space="preserve"> who sets the agenda and who gets the rules they want.  </w:t>
      </w:r>
    </w:p>
    <w:p w14:paraId="02BEA180" w14:textId="77777777" w:rsidR="00AD7338" w:rsidRDefault="00AD7338" w:rsidP="001F5BE0">
      <w:pPr>
        <w:spacing w:line="480" w:lineRule="auto"/>
        <w:ind w:firstLine="720"/>
      </w:pPr>
      <w:r>
        <w:t xml:space="preserve">Finally, in some instances, the </w:t>
      </w:r>
      <w:r w:rsidR="005721E2">
        <w:t xml:space="preserve">density of </w:t>
      </w:r>
      <w:r>
        <w:t>regulatory</w:t>
      </w:r>
      <w:r w:rsidR="005721E2">
        <w:t xml:space="preserve"> institutions </w:t>
      </w:r>
      <w:r>
        <w:t xml:space="preserve">at the global level is extremely weak. There are no formal international organizations and no active regulatory networks, public or private. </w:t>
      </w:r>
    </w:p>
    <w:p w14:paraId="07FE86F3" w14:textId="77777777" w:rsidR="009600E2" w:rsidRDefault="009600E2" w:rsidP="001F5BE0">
      <w:pPr>
        <w:spacing w:line="480" w:lineRule="auto"/>
        <w:ind w:firstLine="720"/>
      </w:pPr>
    </w:p>
    <w:p w14:paraId="66465A2E" w14:textId="77777777" w:rsidR="00AD7338" w:rsidRDefault="00AD7338" w:rsidP="00C651E6">
      <w:pPr>
        <w:spacing w:line="480" w:lineRule="auto"/>
        <w:ind w:firstLine="720"/>
      </w:pPr>
    </w:p>
    <w:p w14:paraId="33FE76C6" w14:textId="3AB63B89" w:rsidR="00AD7338" w:rsidRDefault="00AD7338" w:rsidP="00DB67F6">
      <w:pPr>
        <w:spacing w:line="480" w:lineRule="auto"/>
        <w:rPr>
          <w:i/>
        </w:rPr>
      </w:pPr>
      <w:r>
        <w:rPr>
          <w:i/>
        </w:rPr>
        <w:t xml:space="preserve">EU </w:t>
      </w:r>
      <w:r w:rsidR="002B640D">
        <w:rPr>
          <w:i/>
        </w:rPr>
        <w:t xml:space="preserve">Policy </w:t>
      </w:r>
      <w:r>
        <w:rPr>
          <w:i/>
        </w:rPr>
        <w:t>Strategies Given the Global Regulatory Context: An Analytic Typology</w:t>
      </w:r>
    </w:p>
    <w:p w14:paraId="441F4F2A" w14:textId="7C16BAF3" w:rsidR="00AD7338" w:rsidRDefault="00AD7338" w:rsidP="00DB67F6">
      <w:pPr>
        <w:spacing w:line="480" w:lineRule="auto"/>
      </w:pPr>
      <w:r>
        <w:t>In this section, we put forth a framework that deduces propositions and captures the interaction effects of relative</w:t>
      </w:r>
      <w:r w:rsidR="002B640D">
        <w:t xml:space="preserve"> capacity </w:t>
      </w:r>
      <w:r>
        <w:t xml:space="preserve">and institutional density.  It suggests that differences in the global regulatory context alter – in patterned ways –the causal impact of institutions and power on regulation-making outcomes of importance. </w:t>
      </w:r>
      <w:r w:rsidR="005721E2">
        <w:t xml:space="preserve"> W</w:t>
      </w:r>
      <w:r>
        <w:t>e identify the role of different global regulatory contexts in determining four distinct and widely observed strategies of powerful regulators:  exporting home regulation, winning first-mover advantages, forging mutual recognition, and building coalitions. These strategies demonstrate the limits and opportunities associated with regulatory power at the global level and help to resolve empirical puzzles and to fill holes in the existing literature.</w:t>
      </w:r>
    </w:p>
    <w:p w14:paraId="002CD1CF" w14:textId="2D906DAB" w:rsidR="00AD7338" w:rsidRDefault="00AD7338">
      <w:pPr>
        <w:spacing w:line="480" w:lineRule="auto"/>
        <w:ind w:firstLine="720"/>
      </w:pPr>
      <w:r>
        <w:t>The analytic framework</w:t>
      </w:r>
      <w:r w:rsidR="00106C3F">
        <w:t xml:space="preserve"> outlined</w:t>
      </w:r>
      <w:r w:rsidR="005721E2">
        <w:t xml:space="preserve"> in Table 1</w:t>
      </w:r>
      <w:r>
        <w:t xml:space="preserve"> isolates the two primary dimensions of the global regulatory context discussed above</w:t>
      </w:r>
      <w:r w:rsidR="004506A7">
        <w:t xml:space="preserve">.  </w:t>
      </w:r>
      <w:r>
        <w:t xml:space="preserve">We make a few simplifying assumptions for analytical purposes.  First, while future iterations of the framework could expand the number of powerful actors, we focus here on instances when there are two primary potential rule-makers.  Starting with a bipolar world also reflects contemporary reality in most areas of international regulation </w:t>
      </w:r>
      <w:r w:rsidR="00537900">
        <w:fldChar w:fldCharType="begin"/>
      </w:r>
      <w:r w:rsidR="00A931F1">
        <w:instrText xml:space="preserve"> ADDIN ZOTERO_ITEM CSL_CITATION {"citationID":"8PIQz4Bj","properties":{"formattedCitation":"(Drezner 2007)","plainCitation":"(Drezner 2007)"},"citationItems":[{"id":19,"uris":["http://zotero.org/users/72538/items/26NFH5WK"],"uri":["http://zotero.org/users/72538/items/26NFH5WK"],"itemData":{"id":19,"type":"book","title":"All Politics is Global: Explaining International Regulatory Regimes","publisher":"Princeton University Press","publisher-place":"Princeton","event-place":"Princeton","author":[{"family":"Drezner","given":"D."}],"issued":{"date-parts":[["2007"]]}}}],"schema":"https://github.com/citation-style-language/schema/raw/master/csl-citation.json"} </w:instrText>
      </w:r>
      <w:r w:rsidR="00537900">
        <w:fldChar w:fldCharType="separate"/>
      </w:r>
      <w:r w:rsidR="00A931F1">
        <w:rPr>
          <w:noProof/>
        </w:rPr>
        <w:t>(Drezner 2007)</w:t>
      </w:r>
      <w:r w:rsidR="00537900">
        <w:fldChar w:fldCharType="end"/>
      </w:r>
      <w:r>
        <w:t xml:space="preserve">.  Second, we assume preference divergence among the regulatory actors.  The assumption allows us to highlight cases where simple coordination is most difficult and where high switching costs are likely to raise the stakes of the strategic use of power.  Third, in the real world, the various strategies discussed below often overlap and are used simultaneously.  By treating strategies as if the EU employs them one at a time, we are better able to isolate the causal processes at work. </w:t>
      </w:r>
    </w:p>
    <w:p w14:paraId="5279939E" w14:textId="77777777" w:rsidR="00AD7338" w:rsidRDefault="00AD7338" w:rsidP="00C651E6">
      <w:pPr>
        <w:spacing w:line="480" w:lineRule="auto"/>
        <w:ind w:firstLine="720"/>
      </w:pPr>
    </w:p>
    <w:p w14:paraId="5EE50A76" w14:textId="77777777" w:rsidR="004506A7" w:rsidRDefault="004506A7" w:rsidP="00C651E6">
      <w:pPr>
        <w:spacing w:line="480" w:lineRule="auto"/>
        <w:ind w:firstLine="720"/>
      </w:pPr>
    </w:p>
    <w:p w14:paraId="13CF4C21" w14:textId="77777777" w:rsidR="004506A7" w:rsidRDefault="004506A7" w:rsidP="00C651E6">
      <w:pPr>
        <w:spacing w:line="480" w:lineRule="auto"/>
        <w:ind w:firstLine="720"/>
      </w:pPr>
    </w:p>
    <w:p w14:paraId="12A839C0" w14:textId="77777777" w:rsidR="004506A7" w:rsidRDefault="004506A7" w:rsidP="00C651E6">
      <w:pPr>
        <w:spacing w:line="480" w:lineRule="auto"/>
        <w:ind w:firstLine="720"/>
      </w:pPr>
    </w:p>
    <w:p w14:paraId="5ABC3139" w14:textId="77777777" w:rsidR="004506A7" w:rsidRDefault="004506A7" w:rsidP="00C651E6">
      <w:pPr>
        <w:spacing w:line="480" w:lineRule="auto"/>
        <w:ind w:firstLine="720"/>
      </w:pPr>
    </w:p>
    <w:p w14:paraId="1D20EEB1" w14:textId="66AB7830" w:rsidR="00AD7338" w:rsidRPr="00C651E6" w:rsidRDefault="00200BA7" w:rsidP="00E9067E">
      <w:pPr>
        <w:rPr>
          <w:b/>
        </w:rPr>
      </w:pPr>
      <w:r>
        <w:rPr>
          <w:b/>
        </w:rPr>
        <w:t>Figure</w:t>
      </w:r>
      <w:r w:rsidR="00AD7338">
        <w:rPr>
          <w:b/>
        </w:rPr>
        <w:t xml:space="preserve"> 1: </w:t>
      </w:r>
      <w:r w:rsidR="002B640D">
        <w:rPr>
          <w:b/>
        </w:rPr>
        <w:t>Policy</w:t>
      </w:r>
      <w:r w:rsidR="00AD7338" w:rsidRPr="00C651E6">
        <w:rPr>
          <w:b/>
        </w:rPr>
        <w:t xml:space="preserve"> strategies given variation in Global Regulatory Context</w:t>
      </w:r>
    </w:p>
    <w:p w14:paraId="1371B972" w14:textId="77777777" w:rsidR="00AD7338" w:rsidRDefault="00AD7338" w:rsidP="00C71131"/>
    <w:p w14:paraId="0CE40649" w14:textId="77777777" w:rsidR="00AD7338" w:rsidRDefault="00AD7338" w:rsidP="00C711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1894"/>
        <w:gridCol w:w="2339"/>
        <w:gridCol w:w="2266"/>
      </w:tblGrid>
      <w:tr w:rsidR="00AD7338" w14:paraId="5C96B69A" w14:textId="77777777">
        <w:trPr>
          <w:trHeight w:val="550"/>
        </w:trPr>
        <w:tc>
          <w:tcPr>
            <w:tcW w:w="1894" w:type="dxa"/>
          </w:tcPr>
          <w:p w14:paraId="22D1D704" w14:textId="77777777" w:rsidR="00AD7338" w:rsidRDefault="00AD7338" w:rsidP="00F437BA"/>
        </w:tc>
        <w:tc>
          <w:tcPr>
            <w:tcW w:w="1894" w:type="dxa"/>
          </w:tcPr>
          <w:p w14:paraId="67328CA4" w14:textId="77777777" w:rsidR="00AD7338" w:rsidRDefault="00AD7338" w:rsidP="00F437BA"/>
        </w:tc>
        <w:tc>
          <w:tcPr>
            <w:tcW w:w="4605" w:type="dxa"/>
            <w:gridSpan w:val="2"/>
          </w:tcPr>
          <w:p w14:paraId="194A67C4" w14:textId="77777777" w:rsidR="00AD7338" w:rsidRDefault="00AD7338" w:rsidP="00F437BA">
            <w:pPr>
              <w:jc w:val="center"/>
            </w:pPr>
            <w:r>
              <w:t>Density of International Institutions</w:t>
            </w:r>
          </w:p>
          <w:p w14:paraId="567B8B2A" w14:textId="77777777" w:rsidR="00AD7338" w:rsidRDefault="00AD7338" w:rsidP="00F437BA">
            <w:pPr>
              <w:jc w:val="center"/>
            </w:pPr>
          </w:p>
        </w:tc>
      </w:tr>
      <w:tr w:rsidR="00AD7338" w14:paraId="451C0665" w14:textId="77777777">
        <w:trPr>
          <w:trHeight w:val="825"/>
        </w:trPr>
        <w:tc>
          <w:tcPr>
            <w:tcW w:w="1894" w:type="dxa"/>
          </w:tcPr>
          <w:p w14:paraId="1CE824D0" w14:textId="77777777" w:rsidR="00AD7338" w:rsidRDefault="00AD7338" w:rsidP="00F437BA"/>
        </w:tc>
        <w:tc>
          <w:tcPr>
            <w:tcW w:w="1894" w:type="dxa"/>
          </w:tcPr>
          <w:p w14:paraId="10D90480" w14:textId="77777777" w:rsidR="00AD7338" w:rsidRDefault="00AD7338" w:rsidP="00F437BA"/>
        </w:tc>
        <w:tc>
          <w:tcPr>
            <w:tcW w:w="2339" w:type="dxa"/>
          </w:tcPr>
          <w:p w14:paraId="708E5A2B" w14:textId="77777777" w:rsidR="00AD7338" w:rsidRDefault="00AD7338" w:rsidP="00F437BA">
            <w:pPr>
              <w:jc w:val="center"/>
            </w:pPr>
            <w:r>
              <w:t>L</w:t>
            </w:r>
            <w:r w:rsidR="00106C3F">
              <w:t>ow</w:t>
            </w:r>
          </w:p>
        </w:tc>
        <w:tc>
          <w:tcPr>
            <w:tcW w:w="2266" w:type="dxa"/>
          </w:tcPr>
          <w:p w14:paraId="20262241" w14:textId="77777777" w:rsidR="00AD7338" w:rsidRDefault="00106C3F" w:rsidP="00F437BA">
            <w:pPr>
              <w:jc w:val="center"/>
            </w:pPr>
            <w:r>
              <w:t>High</w:t>
            </w:r>
          </w:p>
          <w:p w14:paraId="71FCCA30" w14:textId="77777777" w:rsidR="003A7224" w:rsidRDefault="003A7224" w:rsidP="00F437BA">
            <w:pPr>
              <w:jc w:val="center"/>
            </w:pPr>
          </w:p>
          <w:p w14:paraId="09E58495" w14:textId="77777777" w:rsidR="00AD7338" w:rsidRDefault="00AD7338" w:rsidP="00F437BA">
            <w:pPr>
              <w:jc w:val="center"/>
            </w:pPr>
          </w:p>
        </w:tc>
      </w:tr>
      <w:tr w:rsidR="00AD7338" w14:paraId="493F22C3" w14:textId="77777777">
        <w:trPr>
          <w:trHeight w:val="838"/>
        </w:trPr>
        <w:tc>
          <w:tcPr>
            <w:tcW w:w="1894" w:type="dxa"/>
            <w:vMerge w:val="restart"/>
          </w:tcPr>
          <w:p w14:paraId="5F2E285B" w14:textId="77777777" w:rsidR="00AD7338" w:rsidRDefault="00AD7338" w:rsidP="00F437BA"/>
          <w:p w14:paraId="08CF18D5" w14:textId="77777777" w:rsidR="00AD7338" w:rsidRDefault="00AD7338" w:rsidP="00F437BA">
            <w:r>
              <w:t>Relative Regulatory Capacity among Great Powers</w:t>
            </w:r>
          </w:p>
        </w:tc>
        <w:tc>
          <w:tcPr>
            <w:tcW w:w="1894" w:type="dxa"/>
          </w:tcPr>
          <w:p w14:paraId="0BF85AD4" w14:textId="77777777" w:rsidR="00AD7338" w:rsidRDefault="00AD7338" w:rsidP="00F437BA"/>
          <w:p w14:paraId="51C13A60" w14:textId="77777777" w:rsidR="00AD7338" w:rsidRDefault="00AD7338" w:rsidP="00F437BA">
            <w:r>
              <w:t>Capacity Gap</w:t>
            </w:r>
          </w:p>
        </w:tc>
        <w:tc>
          <w:tcPr>
            <w:tcW w:w="2339" w:type="dxa"/>
            <w:tcBorders>
              <w:bottom w:val="single" w:sz="4" w:space="0" w:color="auto"/>
              <w:right w:val="single" w:sz="4" w:space="0" w:color="auto"/>
            </w:tcBorders>
          </w:tcPr>
          <w:p w14:paraId="7CE95A06" w14:textId="77777777" w:rsidR="003E0C3E" w:rsidRDefault="003E0C3E">
            <w:pPr>
              <w:jc w:val="center"/>
            </w:pPr>
          </w:p>
          <w:p w14:paraId="1F2FA0A0" w14:textId="77777777" w:rsidR="003E0C3E" w:rsidRDefault="00AD7338">
            <w:pPr>
              <w:jc w:val="center"/>
            </w:pPr>
            <w:r>
              <w:t>Regulatory</w:t>
            </w:r>
          </w:p>
          <w:p w14:paraId="0131EB20" w14:textId="77777777" w:rsidR="003E0C3E" w:rsidRDefault="00AD7338">
            <w:pPr>
              <w:jc w:val="center"/>
              <w:rPr>
                <w:rFonts w:asciiTheme="majorHAnsi" w:eastAsiaTheme="majorEastAsia" w:hAnsiTheme="majorHAnsi" w:cstheme="majorBidi"/>
                <w:i/>
                <w:iCs/>
                <w:color w:val="404040" w:themeColor="text1" w:themeTint="BF"/>
                <w:sz w:val="20"/>
                <w:szCs w:val="20"/>
              </w:rPr>
            </w:pPr>
            <w:r>
              <w:t>Export</w:t>
            </w:r>
          </w:p>
          <w:p w14:paraId="7315EBA9" w14:textId="77777777" w:rsidR="00AD7338" w:rsidRDefault="00AD7338" w:rsidP="003A7224">
            <w:pPr>
              <w:jc w:val="center"/>
            </w:pPr>
          </w:p>
        </w:tc>
        <w:tc>
          <w:tcPr>
            <w:tcW w:w="2266" w:type="dxa"/>
            <w:tcBorders>
              <w:left w:val="single" w:sz="4" w:space="0" w:color="auto"/>
              <w:bottom w:val="single" w:sz="4" w:space="0" w:color="auto"/>
            </w:tcBorders>
          </w:tcPr>
          <w:p w14:paraId="2AFEA5B6" w14:textId="77777777" w:rsidR="00AD7338" w:rsidRDefault="00AD7338" w:rsidP="002551A1">
            <w:pPr>
              <w:pStyle w:val="ListParagraph"/>
              <w:jc w:val="center"/>
            </w:pPr>
          </w:p>
          <w:p w14:paraId="06280B1E" w14:textId="77777777" w:rsidR="00936D31" w:rsidRDefault="00AD7338">
            <w:pPr>
              <w:jc w:val="center"/>
            </w:pPr>
            <w:r>
              <w:t>First-Mover</w:t>
            </w:r>
          </w:p>
        </w:tc>
      </w:tr>
      <w:tr w:rsidR="00AD7338" w14:paraId="3ADC4A39" w14:textId="77777777">
        <w:trPr>
          <w:trHeight w:val="141"/>
        </w:trPr>
        <w:tc>
          <w:tcPr>
            <w:tcW w:w="1894" w:type="dxa"/>
            <w:vMerge/>
          </w:tcPr>
          <w:p w14:paraId="16257AC5" w14:textId="77777777" w:rsidR="00AD7338" w:rsidRDefault="00AD7338" w:rsidP="00F437BA"/>
        </w:tc>
        <w:tc>
          <w:tcPr>
            <w:tcW w:w="1894" w:type="dxa"/>
          </w:tcPr>
          <w:p w14:paraId="36E38892" w14:textId="77777777" w:rsidR="00AD7338" w:rsidRDefault="00AD7338" w:rsidP="00F437BA"/>
          <w:p w14:paraId="51FB1AEF" w14:textId="77777777" w:rsidR="00AD7338" w:rsidRDefault="00AD7338" w:rsidP="00F437BA">
            <w:r>
              <w:t>Capacity Parity</w:t>
            </w:r>
          </w:p>
        </w:tc>
        <w:tc>
          <w:tcPr>
            <w:tcW w:w="2339" w:type="dxa"/>
            <w:tcBorders>
              <w:top w:val="single" w:sz="4" w:space="0" w:color="auto"/>
              <w:right w:val="single" w:sz="4" w:space="0" w:color="auto"/>
            </w:tcBorders>
          </w:tcPr>
          <w:p w14:paraId="2945311F" w14:textId="77777777" w:rsidR="003E0C3E" w:rsidRDefault="003E0C3E">
            <w:pPr>
              <w:jc w:val="center"/>
            </w:pPr>
          </w:p>
          <w:p w14:paraId="5E7A341F" w14:textId="77777777" w:rsidR="003A7224" w:rsidRDefault="00AD7338" w:rsidP="003A7224">
            <w:pPr>
              <w:jc w:val="center"/>
            </w:pPr>
            <w:r>
              <w:t>Mutual</w:t>
            </w:r>
          </w:p>
          <w:p w14:paraId="112E7C81" w14:textId="77777777" w:rsidR="00AD7338" w:rsidRDefault="00AD7338" w:rsidP="002551A1">
            <w:pPr>
              <w:jc w:val="center"/>
            </w:pPr>
            <w:r>
              <w:t>Recognition</w:t>
            </w:r>
          </w:p>
          <w:p w14:paraId="3F6B2247" w14:textId="77777777" w:rsidR="00936D31" w:rsidRDefault="00936D31">
            <w:pPr>
              <w:jc w:val="center"/>
            </w:pPr>
          </w:p>
        </w:tc>
        <w:tc>
          <w:tcPr>
            <w:tcW w:w="2266" w:type="dxa"/>
            <w:tcBorders>
              <w:top w:val="single" w:sz="4" w:space="0" w:color="auto"/>
              <w:left w:val="single" w:sz="4" w:space="0" w:color="auto"/>
            </w:tcBorders>
          </w:tcPr>
          <w:p w14:paraId="0C0EC73A" w14:textId="77777777" w:rsidR="00936D31" w:rsidRDefault="00936D31">
            <w:pPr>
              <w:pStyle w:val="ListParagraph"/>
              <w:jc w:val="center"/>
            </w:pPr>
          </w:p>
          <w:p w14:paraId="2DFDAFD9" w14:textId="77777777" w:rsidR="00936D31" w:rsidRDefault="00AD7338">
            <w:pPr>
              <w:jc w:val="center"/>
            </w:pPr>
            <w:r>
              <w:t>Coalition</w:t>
            </w:r>
          </w:p>
          <w:p w14:paraId="784FDF03" w14:textId="77777777" w:rsidR="00936D31" w:rsidRDefault="00AD7338">
            <w:pPr>
              <w:jc w:val="center"/>
            </w:pPr>
            <w:r>
              <w:t>Building</w:t>
            </w:r>
          </w:p>
          <w:p w14:paraId="2B2B655C" w14:textId="77777777" w:rsidR="00936D31" w:rsidRDefault="00936D31">
            <w:pPr>
              <w:jc w:val="center"/>
            </w:pPr>
          </w:p>
        </w:tc>
      </w:tr>
    </w:tbl>
    <w:p w14:paraId="30183158" w14:textId="77777777" w:rsidR="00AD7338" w:rsidRDefault="00AD7338" w:rsidP="00C71131"/>
    <w:p w14:paraId="2B29BF22" w14:textId="77777777" w:rsidR="00AD7338" w:rsidRDefault="00AD7338" w:rsidP="00986A6C">
      <w:pPr>
        <w:spacing w:line="480" w:lineRule="auto"/>
      </w:pPr>
    </w:p>
    <w:p w14:paraId="7B963DBC" w14:textId="18CC1237" w:rsidR="00AD7338" w:rsidRDefault="00AD7338" w:rsidP="00986A6C">
      <w:pPr>
        <w:spacing w:line="480" w:lineRule="auto"/>
      </w:pPr>
      <w:r>
        <w:tab/>
        <w:t xml:space="preserve">In terms of regulatory capacity, we imagine a continuum in which the relative distribution of </w:t>
      </w:r>
      <w:r w:rsidR="00200BA7">
        <w:t xml:space="preserve">institutional </w:t>
      </w:r>
      <w:r>
        <w:t>capacities can range from a significant gap to parity.</w:t>
      </w:r>
      <w:r w:rsidR="003E0C3E">
        <w:t xml:space="preserve"> </w:t>
      </w:r>
      <w:r w:rsidRPr="00973A12">
        <w:t xml:space="preserve">Similarly, </w:t>
      </w:r>
      <w:r>
        <w:t>density</w:t>
      </w:r>
      <w:r w:rsidRPr="00973A12">
        <w:t xml:space="preserve"> of international institution</w:t>
      </w:r>
      <w:r>
        <w:t>s</w:t>
      </w:r>
      <w:r w:rsidR="00BA1C9D">
        <w:t xml:space="preserve"> </w:t>
      </w:r>
      <w:r w:rsidRPr="00973A12">
        <w:t xml:space="preserve">range from </w:t>
      </w:r>
      <w:r>
        <w:t>les</w:t>
      </w:r>
      <w:r w:rsidR="00106C3F">
        <w:t>s</w:t>
      </w:r>
      <w:r>
        <w:t xml:space="preserve"> densely</w:t>
      </w:r>
      <w:r w:rsidRPr="00973A12">
        <w:t xml:space="preserve"> institutionalized where there are few institutions that exist capable of rule-development or rul</w:t>
      </w:r>
      <w:r w:rsidRPr="002050A3">
        <w:t xml:space="preserve">e-enforcement to </w:t>
      </w:r>
      <w:r>
        <w:t>more densely</w:t>
      </w:r>
      <w:r w:rsidRPr="002050A3">
        <w:t xml:space="preserve"> institutionalized where there are clear rules at the global level concerning decision-making and implementation.</w:t>
      </w:r>
    </w:p>
    <w:p w14:paraId="4DCB52F3" w14:textId="356B8DAF" w:rsidR="00AD7338" w:rsidRDefault="00AD7338" w:rsidP="00082787">
      <w:pPr>
        <w:spacing w:line="480" w:lineRule="auto"/>
        <w:ind w:firstLine="720"/>
      </w:pPr>
      <w:r>
        <w:t xml:space="preserve">We posit that the four combinations of this two dimensional regulatory context create different incentives for the external strategies of the regulatory players:  regulatory export, first-mover bids, mutual recognition regimes, and coalition building. </w:t>
      </w:r>
      <w:r w:rsidR="00200BA7">
        <w:t>We</w:t>
      </w:r>
      <w:r w:rsidR="00F55085">
        <w:t xml:space="preserve"> derive four </w:t>
      </w:r>
      <w:r w:rsidR="00200BA7">
        <w:t>hypotheses</w:t>
      </w:r>
      <w:r w:rsidR="004949CC">
        <w:t xml:space="preserve"> and </w:t>
      </w:r>
      <w:r w:rsidR="00200BA7">
        <w:t xml:space="preserve">develop </w:t>
      </w:r>
      <w:r w:rsidR="004949CC">
        <w:t xml:space="preserve">them </w:t>
      </w:r>
      <w:r w:rsidR="00200BA7">
        <w:t>in the following section:</w:t>
      </w:r>
    </w:p>
    <w:p w14:paraId="22336646" w14:textId="77777777" w:rsidR="00A34D37" w:rsidRDefault="00A34D37" w:rsidP="00E9067E">
      <w:pPr>
        <w:spacing w:line="480" w:lineRule="auto"/>
      </w:pPr>
    </w:p>
    <w:p w14:paraId="0C3A25A6" w14:textId="77777777" w:rsidR="00200BA7" w:rsidRPr="000E0799" w:rsidRDefault="00537900" w:rsidP="00082787">
      <w:pPr>
        <w:spacing w:line="480" w:lineRule="auto"/>
        <w:ind w:firstLine="720"/>
        <w:rPr>
          <w:rFonts w:eastAsia="Times New Roman" w:cs="Times New Roman"/>
          <w:i/>
        </w:rPr>
      </w:pPr>
      <w:r w:rsidRPr="000E0799">
        <w:rPr>
          <w:i/>
        </w:rPr>
        <w:t xml:space="preserve">H1: </w:t>
      </w:r>
      <w:r w:rsidRPr="000E0799">
        <w:rPr>
          <w:rFonts w:eastAsia="Times New Roman" w:cs="Times New Roman"/>
          <w:i/>
        </w:rPr>
        <w:t xml:space="preserve">The lower the density of international institutions and the larger the gap </w:t>
      </w:r>
    </w:p>
    <w:p w14:paraId="2DC2FDF7" w14:textId="77777777" w:rsidR="003E0C3E" w:rsidRPr="000E0799" w:rsidRDefault="00537900" w:rsidP="000E0799">
      <w:pPr>
        <w:spacing w:line="480" w:lineRule="auto"/>
        <w:ind w:left="720"/>
        <w:rPr>
          <w:rFonts w:eastAsia="Times New Roman" w:cs="Times New Roman"/>
          <w:i/>
        </w:rPr>
      </w:pPr>
      <w:proofErr w:type="gramStart"/>
      <w:r w:rsidRPr="000E0799">
        <w:rPr>
          <w:rFonts w:eastAsia="Times New Roman" w:cs="Times New Roman"/>
          <w:i/>
        </w:rPr>
        <w:t>of</w:t>
      </w:r>
      <w:proofErr w:type="gramEnd"/>
      <w:r w:rsidRPr="000E0799">
        <w:rPr>
          <w:rFonts w:eastAsia="Times New Roman" w:cs="Times New Roman"/>
          <w:i/>
        </w:rPr>
        <w:t xml:space="preserve"> relative regulatory capacity among great powers, the more likely the EU adopts a strategy of regulatory export.</w:t>
      </w:r>
      <w:r w:rsidRPr="000E0799">
        <w:rPr>
          <w:rFonts w:eastAsia="Times New Roman" w:cs="Times New Roman"/>
          <w:i/>
        </w:rPr>
        <w:br/>
      </w:r>
    </w:p>
    <w:p w14:paraId="2C95AA19" w14:textId="77777777" w:rsidR="003E0C3E" w:rsidRPr="000E0799" w:rsidRDefault="00537900" w:rsidP="000E0799">
      <w:pPr>
        <w:spacing w:line="480" w:lineRule="auto"/>
        <w:ind w:left="720"/>
        <w:rPr>
          <w:rFonts w:eastAsia="Times New Roman" w:cs="Times New Roman"/>
          <w:i/>
        </w:rPr>
      </w:pPr>
      <w:r w:rsidRPr="000E0799">
        <w:rPr>
          <w:rFonts w:eastAsia="Times New Roman" w:cs="Times New Roman"/>
          <w:i/>
        </w:rPr>
        <w:t>H2: The lower the density of international institutions and the smaller the gap of relative regulatory capacity among great powers, the more likely the EU adopts a strategy of mutual recognition.</w:t>
      </w:r>
      <w:r w:rsidRPr="000E0799">
        <w:rPr>
          <w:rFonts w:eastAsia="Times New Roman" w:cs="Times New Roman"/>
          <w:i/>
        </w:rPr>
        <w:br/>
      </w:r>
    </w:p>
    <w:p w14:paraId="04AB51DC" w14:textId="77777777" w:rsidR="003E0C3E" w:rsidRPr="000E0799" w:rsidRDefault="00537900" w:rsidP="000E0799">
      <w:pPr>
        <w:spacing w:line="480" w:lineRule="auto"/>
        <w:ind w:left="720"/>
        <w:rPr>
          <w:rFonts w:eastAsia="Times New Roman" w:cs="Times New Roman"/>
          <w:i/>
        </w:rPr>
      </w:pPr>
      <w:r w:rsidRPr="000E0799">
        <w:rPr>
          <w:rFonts w:eastAsia="Times New Roman" w:cs="Times New Roman"/>
          <w:i/>
        </w:rPr>
        <w:t>H3: The higher the density of international institutions and the larger the gap of relative regulatory capacity among great powers, the more likely the EU adopts a first-mover strategy.</w:t>
      </w:r>
      <w:r w:rsidRPr="000E0799">
        <w:rPr>
          <w:rFonts w:eastAsia="Times New Roman" w:cs="Times New Roman"/>
          <w:i/>
        </w:rPr>
        <w:br/>
      </w:r>
    </w:p>
    <w:p w14:paraId="3B70110E" w14:textId="77777777" w:rsidR="003E0C3E" w:rsidRPr="000E0799" w:rsidRDefault="00537900" w:rsidP="000E0799">
      <w:pPr>
        <w:spacing w:line="480" w:lineRule="auto"/>
        <w:ind w:left="720"/>
        <w:rPr>
          <w:rFonts w:eastAsia="Times New Roman" w:cs="Times New Roman"/>
          <w:i/>
        </w:rPr>
      </w:pPr>
      <w:r w:rsidRPr="000E0799">
        <w:rPr>
          <w:rFonts w:eastAsia="Times New Roman" w:cs="Times New Roman"/>
          <w:i/>
        </w:rPr>
        <w:t>H4: The higher the density of international institutions and the smaller the gap of relative regulatory capacity among great powers, the more likely the EU adopts a strategy of coalition building.</w:t>
      </w:r>
    </w:p>
    <w:p w14:paraId="554B1F66" w14:textId="77777777" w:rsidR="003E0C3E" w:rsidRDefault="003E0C3E" w:rsidP="000E0799">
      <w:pPr>
        <w:spacing w:line="480" w:lineRule="auto"/>
        <w:ind w:left="720"/>
      </w:pPr>
    </w:p>
    <w:p w14:paraId="3E0079AD" w14:textId="77777777" w:rsidR="00AD7338" w:rsidRPr="00082787" w:rsidRDefault="00AD7338" w:rsidP="00082787">
      <w:pPr>
        <w:spacing w:line="480" w:lineRule="auto"/>
        <w:rPr>
          <w:i/>
        </w:rPr>
      </w:pPr>
      <w:r>
        <w:rPr>
          <w:i/>
        </w:rPr>
        <w:t xml:space="preserve">Regulatory </w:t>
      </w:r>
      <w:r w:rsidRPr="00082787">
        <w:rPr>
          <w:i/>
        </w:rPr>
        <w:t>Export</w:t>
      </w:r>
    </w:p>
    <w:p w14:paraId="3348B1B9" w14:textId="2EEA804C" w:rsidR="00AD7338" w:rsidRDefault="00AD7338" w:rsidP="00082787">
      <w:pPr>
        <w:spacing w:line="480" w:lineRule="auto"/>
      </w:pPr>
      <w:r>
        <w:t xml:space="preserve"> </w:t>
      </w:r>
      <w:r>
        <w:tab/>
        <w:t>In cases where there exists a large gap in regulatory capacities between two regulatory authorities and the international regulatory environment is less densely institutionalized, then the actor with greater regulatory capacity is well positioned to follow a strategy of regulatory export.  Given the lack of another actor capable of defining, extending and defending an alternative approach and the lack of an international institutional environment to serve as a constraint, the better endowed regulator is likely to see itself well positioned to</w:t>
      </w:r>
      <w:r w:rsidRPr="00CF02B5">
        <w:t xml:space="preserve"> </w:t>
      </w:r>
      <w:r>
        <w:t>promote its own domestic standards globally</w:t>
      </w:r>
      <w:r w:rsidR="00A931F1">
        <w:t xml:space="preserve"> </w:t>
      </w:r>
      <w:r w:rsidR="00537900">
        <w:fldChar w:fldCharType="begin"/>
      </w:r>
      <w:r w:rsidR="00F56178">
        <w:instrText xml:space="preserve"> ADDIN ZOTERO_ITEM CSL_CITATION {"citationID":"UVWbW0mw","properties":{"formattedCitation":"(Lavenex and Schimmelfennig 2009; A. Newman 2008)","plainCitation":"(Lavenex and Schimmelfennig 2009; A. Newman 2008)"},"citationItems":[{"id":2252,"uris":["http://zotero.org/users/72538/items/UMIJ7NTH"],"uri":["http://zotero.org/users/72538/items/UMIJ7NTH"],"itemData":{"id":2252,"type":"article-journal","title":"EU rules beyond EU borders: theorizing external governance in European politics","container-title":"Journal of European Public Policy","page":"791-812","volume":"16","issue":"6","source":"Taylor and Francis+NEJM","abstract":"The concept of external governance seeks to capture the expanding scope of EU rules beyond EU borders. This article elaborates the theoretical foundations of this concept, differentiates the various institutional modes through which external governance takes place and suggests a set of hypotheses addressing the conditions under which EU external governance is effective. Here, we contrast institutionalist explanations, which are the most germane to an external governance approach, with competing expectations derived from power-based theories and approaches emphasizing the role of domestic factors in the target countries.","DOI":"10.1080/13501760903087696","ISSN":"1350-1763","shortTitle":"EU rules beyond EU borders","author":[{"family":"Lavenex","given":"Sandra"},{"family":"Schimmelfennig","given":"Frank"}],"issued":{"date-parts":[["2009",8,14]]},"accessed":{"date-parts":[["2014",9,5]]}}},{"id":191,"uris":["http://zotero.org/users/72538/items/4BBNASKX"],"uri":["http://zotero.org/users/72538/items/4BBNASKX"],"itemData":{"id":191,"type":"book","title":"Protectors of Privacy: Regulating Personal Data in the Global Economy","publisher":"Cornell University Press","publisher-place":"Ithaca","event-place":"Ithaca","author":[{"family":"Newman","given":"A."}],"issued":{"date-parts":[["2008"]]}}}],"schema":"https://github.com/citation-style-language/schema/raw/master/csl-citation.json"} </w:instrText>
      </w:r>
      <w:r w:rsidR="00537900">
        <w:fldChar w:fldCharType="separate"/>
      </w:r>
      <w:r w:rsidR="00F56178">
        <w:rPr>
          <w:noProof/>
        </w:rPr>
        <w:t>(Lavenex and Schimmelfennig 2009; Newman 2008)</w:t>
      </w:r>
      <w:r w:rsidR="00537900">
        <w:fldChar w:fldCharType="end"/>
      </w:r>
      <w:r>
        <w:t>. The strategy might include market access rules that contain extraterritorial provisions. The European Union frequently employs these under the label of ‘equivalency’ clauses. Such rules prohibit participation by foreign firms within the EU’s internal market unless their home jurisdictions have similar rules and enforcement deemed (by the EU) as equivalent. The extra-territorial provisions</w:t>
      </w:r>
      <w:r w:rsidR="00560C26">
        <w:t xml:space="preserve"> can create asymmetrical</w:t>
      </w:r>
      <w:r w:rsidR="0077393A">
        <w:t xml:space="preserve"> negotiating leverage and </w:t>
      </w:r>
      <w:r>
        <w:t>a trading up dynamic, as foreign firms face a competitive disadvantage in European markets based on their domestic regulatory setting</w:t>
      </w:r>
      <w:r w:rsidR="00A931F1">
        <w:t xml:space="preserve"> </w:t>
      </w:r>
      <w:r w:rsidR="00537900">
        <w:fldChar w:fldCharType="begin"/>
      </w:r>
      <w:r w:rsidR="002E46EC">
        <w:instrText xml:space="preserve"> ADDIN ZOTERO_ITEM CSL_CITATION {"citationID":"ia1dqQZW","properties":{"formattedCitation":"(A. Young 2003)","plainCitation":"(A. Young 2003)"},"citationItems":[{"id":414,"uris":["http://zotero.org/users/72538/items/774ZP2B2"],"uri":["http://zotero.org/users/72538/items/774ZP2B2"],"itemData":{"id":414,"type":"article-journal","title":"Political transfer and \"trading up\"? Transatlantic trade in genetically modified food and US politics","container-title":"World Politics","page":"457-84","volume":"55","issue":"July","author":[{"family":"Young","given":"A."}],"issued":{"date-parts":[["2003"]]}}}],"schema":"https://github.com/citation-style-language/schema/raw/master/csl-citation.json"} </w:instrText>
      </w:r>
      <w:r w:rsidR="00537900">
        <w:fldChar w:fldCharType="separate"/>
      </w:r>
      <w:r w:rsidR="004369C5">
        <w:rPr>
          <w:noProof/>
        </w:rPr>
        <w:t>(</w:t>
      </w:r>
      <w:r w:rsidR="005F78C6">
        <w:rPr>
          <w:noProof/>
        </w:rPr>
        <w:t>Young 2003</w:t>
      </w:r>
      <w:r w:rsidR="00200BA7">
        <w:rPr>
          <w:noProof/>
        </w:rPr>
        <w:t xml:space="preserve">; </w:t>
      </w:r>
      <w:r w:rsidR="00467FB7">
        <w:rPr>
          <w:noProof/>
        </w:rPr>
        <w:t xml:space="preserve">Birchfield 2015; </w:t>
      </w:r>
      <w:r w:rsidR="00200BA7">
        <w:rPr>
          <w:noProof/>
        </w:rPr>
        <w:t>Young 2015b</w:t>
      </w:r>
      <w:r w:rsidR="005F78C6">
        <w:rPr>
          <w:noProof/>
        </w:rPr>
        <w:t>)</w:t>
      </w:r>
      <w:r w:rsidR="00537900">
        <w:fldChar w:fldCharType="end"/>
      </w:r>
      <w:r>
        <w:t xml:space="preserve">.  Equivalence provisions thus incentivize internationally active firms to press for regulatory reform at home. </w:t>
      </w:r>
    </w:p>
    <w:p w14:paraId="06D6D1D0" w14:textId="4E1BBC2F" w:rsidR="00AD7338" w:rsidRDefault="00AD7338" w:rsidP="00082787">
      <w:pPr>
        <w:spacing w:line="480" w:lineRule="auto"/>
      </w:pPr>
      <w:r>
        <w:tab/>
        <w:t>This quadrant is the regulatory context that is often assumed by those that champion EU regulatory influence. Given the sparse international institutionalization, large disparity in regulatory capacities is the primary source of strategic incentives.</w:t>
      </w:r>
      <w:r w:rsidR="0097307E">
        <w:t xml:space="preserve"> In Gruber’s (2000) terms, the EU enjoys the go-it-alone authority to alter the reversion point of global regulation.</w:t>
      </w:r>
      <w:r>
        <w:t xml:space="preserve">  While a few prominent cases – for example, </w:t>
      </w:r>
      <w:r w:rsidR="00560C26">
        <w:t xml:space="preserve">the </w:t>
      </w:r>
      <w:r w:rsidR="00A931F1">
        <w:t>envir</w:t>
      </w:r>
      <w:r w:rsidR="00560C26">
        <w:t>o</w:t>
      </w:r>
      <w:r w:rsidR="00A931F1">
        <w:t>nment</w:t>
      </w:r>
      <w:r>
        <w:t xml:space="preserve"> and </w:t>
      </w:r>
      <w:r w:rsidR="00A931F1">
        <w:t xml:space="preserve">chemicals </w:t>
      </w:r>
      <w:r>
        <w:t>– have received a lot of attention</w:t>
      </w:r>
      <w:r w:rsidR="00A931F1">
        <w:t xml:space="preserve"> </w:t>
      </w:r>
      <w:r w:rsidR="00537900">
        <w:fldChar w:fldCharType="begin"/>
      </w:r>
      <w:r w:rsidR="002E46EC">
        <w:instrText xml:space="preserve"> ADDIN ZOTERO_ITEM CSL_CITATION {"citationID":"jeoJYftp","properties":{"formattedCitation":"(Falkner 2007; Kelemen and Vogel 2010)","plainCitation":"(Falkner 2007; Kelemen and Vogel 2010)"},"citationItems":[{"id":247,"uris":["http://zotero.org/users/72538/items/522T9K3U"],"uri":["http://zotero.org/users/72538/items/522T9K3U"],"itemData":{"id":247,"type":"article-journal","title":"The political economy of ‘normative power’ Europe: EU environmental leadership in international biotechnology regulation","container-title":"Journal of European Public Policy","page":"507-526","volume":"14","issue":"4","source":"Taylor and Francis+NEJM","abstract":"This paper examines the transformation of the European Union from a laggard to a leader in the international politics of biotechnology regulation. The emergence of EU leadership in global environmental politics during the 1990s seems to support recent arguments about the distinctive nature of the EU as a ‘normative power’ in international relations. However, as this paper argues, this perspective lacks historical depth and fails to capture tensions between competing principles and conflict among domestic interest groups in Europe. The paper calls for a more critical reading of the normative power argument and identifies shifts in the domestic political economy of agricultural biotechnology as the key factors behind the EU's support for a precautionary international regime on trade in genetically modified organisms.","DOI":"10.1080/13501760701314326","ISSN":"1350-1763","shortTitle":"The political economy of ‘normative power’ Europe","author":[{"family":"Falkner","given":"Robert"}],"issued":{"date-parts":[["2007",5,16]]},"accessed":{"date-parts":[["2014",9,5]]}}},{"id":3089,"uris":["http://zotero.org/users/72538/items/8ZDIC2BB"],"uri":["http://zotero.org/users/72538/items/8ZDIC2BB"],"itemData":{"id":3089,"type":"article-journal","title":"Trading Places: The Role of the United States and the European Union in International Environmental Politics","container-title":"Comparative Political Studies","page":"427-456","volume":"43","issue":"4","source":"cps.sagepub.com","abstract":"When environmental issues emerged on the international agenda in the late 1960s and early 1970s, the United States was of one of the strongest and most consistent supporters of international environmental treaties and agreements. The member states of the European Union subsequently ratified all the international treaties created in this period, but U.S. leadership was crucial and European states were laggards in many cases. Since the 1990s, the political dynamics of international environmental policy have shifted, with the European Union emerging as a global environmental leader and the United States repeatedly opposing multilateral environmental agreements. The authors argue that a “regulatory politics” model that synthesizes the effects of domestic politics and international regulatory competition provides the most powerful explanation of why the United States and European Union have “traded places” with respect to their support for international environmental agreements.","DOI":"10.1177/0010414009355265","ISSN":"0010-4140, 1552-3829","shortTitle":"Trading Places","journalAbbreviation":"Comparative Political Studies","language":"en","author":[{"family":"Kelemen","given":"R. Daniel"},{"family":"Vogel","given":"David"}],"issued":{"date-parts":[["2010",4,1]]},"accessed":{"date-parts":[["2014",9,9]]}}}],"schema":"https://github.com/citation-style-language/schema/raw/master/csl-citation.json"} </w:instrText>
      </w:r>
      <w:r w:rsidR="00537900">
        <w:fldChar w:fldCharType="separate"/>
      </w:r>
      <w:r w:rsidR="00A931F1">
        <w:rPr>
          <w:noProof/>
        </w:rPr>
        <w:t>(Falkner 2007; Kelemen and Vogel 2010)</w:t>
      </w:r>
      <w:r w:rsidR="00537900">
        <w:fldChar w:fldCharType="end"/>
      </w:r>
      <w:r>
        <w:t>, we know that few regulatory domains are characterized by this dynamic. Focusing on the regulatory context, thus, helps better articulate the scope conditions for such unilateral pressure.</w:t>
      </w:r>
    </w:p>
    <w:p w14:paraId="7A3BD69A" w14:textId="77777777" w:rsidR="00AD7338" w:rsidRDefault="00AD7338" w:rsidP="00986A6C">
      <w:pPr>
        <w:spacing w:line="480" w:lineRule="auto"/>
        <w:rPr>
          <w:i/>
        </w:rPr>
      </w:pPr>
      <w:r>
        <w:rPr>
          <w:i/>
        </w:rPr>
        <w:t>First Mover Agenda Setting</w:t>
      </w:r>
    </w:p>
    <w:p w14:paraId="64A4BB11" w14:textId="77777777" w:rsidR="00AD7338" w:rsidRDefault="00AD7338" w:rsidP="007903D8">
      <w:pPr>
        <w:spacing w:line="480" w:lineRule="auto"/>
      </w:pPr>
      <w:r>
        <w:tab/>
        <w:t>Globalization creates considerable uncertainty, as market actors are subject to multiple and overlapping rules. International standards may resolve many of these uncertainties by serving as coordination mechanisms and by providing a level-playing field for global competition. When authorities believe future transnational standards, codes and guidelines are potentially salient and sticky (that is, once rules are in place, actors have disincentives to change them), they will want to minimize domestic adjustment costs and thereby have incentive to shape them and the organizations and processes that create them</w:t>
      </w:r>
      <w:r w:rsidR="00EF70F3">
        <w:t xml:space="preserve"> </w:t>
      </w:r>
      <w:r w:rsidR="00537900">
        <w:fldChar w:fldCharType="begin"/>
      </w:r>
      <w:r w:rsidR="00EF70F3">
        <w:instrText xml:space="preserve"> ADDIN ZOTERO_ITEM CSL_CITATION {"citationID":"adz5S0gZ","properties":{"formattedCitation":"(Lall 2014)","plainCitation":"(Lall 2014)"},"citationItems":[{"id":3092,"uris":["http://zotero.org/users/72538/items/7NR6WPAQ"],"uri":["http://zotero.org/users/72538/items/7NR6WPAQ"],"itemData":{"id":3092,"type":"article-journal","title":"Timing as a source of regulatory influence: A technical elite network analysis of global finance","container-title":"Regulation &amp; Governance","page":"n/a-n/a","source":"Wiley Online Library","abstract":"Rules governing the international financial system are the subject of some of the most intense distributional battles waged in any area of global governance. Who wins and who loses such battles – and why? I develop a novel analytical framework – technical elite network (TEN) theory – which explains the widely varying levels of influence that stakeholders enjoy over global financial standards. TEN theory draws attention to how issue-specific characteristics of international finance – in particular, its highly technical and complex nature – shape the distributional consequences of global regulatory processes. It posits that such characteristics influence distributional outcomes by (i) affecting who claims first-mover position and, thus, sets the agenda in global financial rulemaking, and (ii) ensuring that proposals made by first movers are increasingly difficult to alter at later stages of rulemaking. I provide empirical evidence for the theory by examining two regulatory regimes that are central to the efficiency and stability of the global financial system: the Basel Committee on Banking Supervision and the International Accounting Standards Board.","DOI":"10.1111/rego.12050","ISSN":"1748-5991","shortTitle":"Timing as a source of regulatory influence","journalAbbreviation":"Regulation &amp; Governance","language":"en","author":[{"family":"Lall","given":"Ranjit"}],"issued":{"date-parts":[["2014",3,1]]},"accessed":{"date-parts":[["2014",9,9]]}}}],"schema":"https://github.com/citation-style-language/schema/raw/master/csl-citation.json"} </w:instrText>
      </w:r>
      <w:r w:rsidR="00537900">
        <w:fldChar w:fldCharType="separate"/>
      </w:r>
      <w:r w:rsidR="00EF70F3">
        <w:rPr>
          <w:noProof/>
        </w:rPr>
        <w:t>(Lall 2014)</w:t>
      </w:r>
      <w:r w:rsidR="00537900">
        <w:fldChar w:fldCharType="end"/>
      </w:r>
      <w:r>
        <w:t xml:space="preserve">.   We posit that, under conditions of dense international institutionalization, regulators with relatively strong capacities will be tempted to pursue a strategy to win first-mover advantages and set the agenda of such international forum. </w:t>
      </w:r>
    </w:p>
    <w:p w14:paraId="1EA97563" w14:textId="77777777" w:rsidR="00AD7338" w:rsidRDefault="00AD7338" w:rsidP="00171D37">
      <w:pPr>
        <w:spacing w:line="480" w:lineRule="auto"/>
        <w:ind w:firstLine="720"/>
      </w:pPr>
      <w:r>
        <w:t xml:space="preserve">Here, international institutionalization catalyzes a particular dimension of regulatory capacity – relative institutional fit.  Mattli and Buthe (2003) argue that the level of institutional fit between domestic and international institutions conditions the ability of a regulatory actor to play the role of first mover. International rulemaking forums and bodies follow a wide variety of decision-making rules and procedures. In terms of decision-making rules, for example, some international bodies operate under the one-country, one-vote system, while others follow consensus, majority- or qualified-majority rule. In terms of procedures, some organizations allow for considerable stakeholder input, while others restrict input to a small group of technocratic actors.  Likewise, there are a wide variety of possible arrangements at the domestic level.  Regulatory oversight may be fragmented across several agencies or unified </w:t>
      </w:r>
      <w:proofErr w:type="gramStart"/>
      <w:r>
        <w:t>under</w:t>
      </w:r>
      <w:proofErr w:type="gramEnd"/>
      <w:r>
        <w:t xml:space="preserve"> one body.  Formal procedures and informal processes may include active stakeholder input or may follow a more arms-length model of oversight.  The two levels of varying institutional arrangements generate a wide range of possible domestic-international combinations.  According to the institutional fit logic, some combinations are more likely than others to give the respective domestic regulators influence over international rulemaking. </w:t>
      </w:r>
    </w:p>
    <w:p w14:paraId="66091441" w14:textId="77777777" w:rsidR="00AD7338" w:rsidRDefault="00AD7338" w:rsidP="002050A3">
      <w:pPr>
        <w:spacing w:line="480" w:lineRule="auto"/>
        <w:ind w:firstLine="720"/>
      </w:pPr>
      <w:r>
        <w:t xml:space="preserve">Mattli and Buthe (2003) found, for example, that the decentralized regulatory process within the US for developing product standards, compared to the more hierarchical structure in the EU, put the US at a disadvantage globally at the International Standards Organization (ISO). The US domestic regulatory structure produced several, competing standard setters that due to ISO rules, which rely on national representatives, left several voices on the sidelines of negotiations. Moreover, the ISO structure incentivized some US representatives to guard information and keep it from competitive US standard setters. By contrast, the European multi-level governance process organized a hierarchy among EU standard setters, creating an efficient flow of information between national firms and their standard setters. </w:t>
      </w:r>
    </w:p>
    <w:p w14:paraId="055AF1C9" w14:textId="77777777" w:rsidR="00AD7338" w:rsidRDefault="00AD7338" w:rsidP="00A5795A">
      <w:pPr>
        <w:spacing w:line="480" w:lineRule="auto"/>
        <w:ind w:firstLine="720"/>
      </w:pPr>
      <w:r>
        <w:t>The case of first mover offers perhaps the most robust case for EU influence</w:t>
      </w:r>
      <w:r w:rsidR="00FD43E1">
        <w:t xml:space="preserve"> based on agenda setting authority</w:t>
      </w:r>
      <w:r>
        <w:t>. When the regulatory area is densely institutionalized at the international level and the EU is on the right side of a capacity gap, it is well positioned to make its rules the transnational focal point. In contrast to the more diffuse and market-based mechanism of regulatory export, first-mover advantages are triggered by thick institutionalization at the global level, which catalyzes and amplifies disparities in regulatory capacity.</w:t>
      </w:r>
    </w:p>
    <w:p w14:paraId="0CFA5C47" w14:textId="77777777" w:rsidR="00AD7338" w:rsidRDefault="00AD7338" w:rsidP="00D421B6">
      <w:pPr>
        <w:spacing w:line="480" w:lineRule="auto"/>
        <w:rPr>
          <w:i/>
        </w:rPr>
      </w:pPr>
      <w:r w:rsidRPr="00D421B6">
        <w:rPr>
          <w:i/>
        </w:rPr>
        <w:t>Mutual Recognition</w:t>
      </w:r>
    </w:p>
    <w:p w14:paraId="7BB2C25E" w14:textId="266CB32D" w:rsidR="00525C65" w:rsidRDefault="00AD7338" w:rsidP="00D421B6">
      <w:pPr>
        <w:spacing w:line="480" w:lineRule="auto"/>
      </w:pPr>
      <w:r>
        <w:tab/>
        <w:t>In those regulatory domains, which are lightly institutionalized and there exists relative parity between the regulatory capacity of the two major jurisdictions, the EU is likely to find itself in a much weaker position to influence the behavior of the other power and thus to shape global standards created by transnational bodies. In this context, market actors face conflicting rules of the two most important regulators, both of which are equally capable of exerting their jurisdictional authority. Yet if the regulators insist on extending their respective standards to govern the firms based in the other’s jurisdiction, they invite retaliation.  In such settings, powerful regulators might make a show of extending their standards or establishing first mover advantages.  Yet doing so is likely to be a mere effort to improve bargaining position, as regulators anticipate the potential for tit-for-tat downward spirals and thus failure of such unilateralist strategies.</w:t>
      </w:r>
      <w:r w:rsidR="00FD43E1">
        <w:t xml:space="preserve">  In short, parity in regulatory capacity weakens the effect of reversion point tactics.</w:t>
      </w:r>
      <w:r>
        <w:t xml:space="preserve">  Instead, </w:t>
      </w:r>
      <w:r w:rsidR="00FD43E1">
        <w:t>regulators</w:t>
      </w:r>
      <w:r>
        <w:t xml:space="preserve"> are likely to pursue a more defensive strategy, in which they attempt to preserve domestic standards at home but do not directly challenge the standards of the other major economic actor.  With both jurisdictions making similar calculations, the outcome is likely to be negotiated mutual recognition, a form of sovereignty sharing</w:t>
      </w:r>
      <w:r w:rsidR="00EF70F3">
        <w:t xml:space="preserve"> </w:t>
      </w:r>
      <w:r w:rsidR="00537900">
        <w:fldChar w:fldCharType="begin"/>
      </w:r>
      <w:r w:rsidR="002E46EC">
        <w:instrText xml:space="preserve"> ADDIN ZOTERO_ITEM CSL_CITATION {"citationID":"wY44Gh55","properties":{"formattedCitation":"(H. Farrell 2003; Nicolaidis and Shaffer 2005)","plainCitation":"(H. Farrell 2003; Nicolaidis and Shaffer 2005)"},"citationItems":[{"id":1336,"uris":["http://zotero.org/users/72538/items/J7UTGBNR"],"uri":["http://zotero.org/users/72538/items/J7UTGBNR"],"itemData":{"id":1336,"type":"article-journal","title":"Constructing the International Foundations of E-commerce: The EU-US Safe Harbor Arrangement","container-title":"International Organization","page":"277-306","volume":"2","author":[{"family":"Farrell","given":"H."}],"issued":{"date-parts":[["2003"]]}}},{"id":2335,"uris":["http://zotero.org/users/72538/items/VPXT9C7X"],"uri":["http://zotero.org/users/72538/items/VPXT9C7X"],"itemData":{"id":2335,"type":"article-journal","title":"Transnational Mutual Recognition Regimes: Governance without Global Government","container-title":"Law and Contemporary Problems","page":"263","volume":"68","author":[{"family":"Nicolaidis","given":"K."},{"family":"Shaffer","given":"G."}],"issued":{"date-parts":[["2005"]]}}}],"schema":"https://github.com/citation-style-language/schema/raw/master/csl-citation.json"} </w:instrText>
      </w:r>
      <w:r w:rsidR="00537900">
        <w:fldChar w:fldCharType="separate"/>
      </w:r>
      <w:r w:rsidR="00463C50">
        <w:rPr>
          <w:noProof/>
        </w:rPr>
        <w:t>(</w:t>
      </w:r>
      <w:r w:rsidR="002E46EC">
        <w:rPr>
          <w:noProof/>
        </w:rPr>
        <w:t>Farrell 2003; Nicolaidis and Shaffer 2005)</w:t>
      </w:r>
      <w:r w:rsidR="00537900">
        <w:fldChar w:fldCharType="end"/>
      </w:r>
      <w:r>
        <w:t>.  That is, the two powerful jurisdictions would allow market access by the other’s firms, so long as each accepted that the other’s regime met a negotiated minimum set of standards, said by each to be equivalent of their own.</w:t>
      </w:r>
      <w:r w:rsidR="009509AE">
        <w:t xml:space="preserve"> Typically,</w:t>
      </w:r>
      <w:r w:rsidR="000E04D3">
        <w:t xml:space="preserve"> then,</w:t>
      </w:r>
      <w:r w:rsidR="009509AE">
        <w:t xml:space="preserve"> under these conditions, the jurisdictions retain discretion to determine equivalency.</w:t>
      </w:r>
      <w:r w:rsidR="004B7C8A">
        <w:t xml:space="preserve"> </w:t>
      </w:r>
      <w:r w:rsidR="00467FB7">
        <w:t>That said</w:t>
      </w:r>
      <w:proofErr w:type="gramStart"/>
      <w:r w:rsidR="000E0799">
        <w:t>,</w:t>
      </w:r>
      <w:proofErr w:type="gramEnd"/>
      <w:r w:rsidR="00467FB7">
        <w:t xml:space="preserve"> such agreements become more difficult to conclude</w:t>
      </w:r>
      <w:r w:rsidR="00B6333D">
        <w:t xml:space="preserve"> </w:t>
      </w:r>
      <w:r w:rsidR="00467FB7">
        <w:t>the greater the difference in substantive norms that animate domestic regulatory regimes.</w:t>
      </w:r>
    </w:p>
    <w:p w14:paraId="13D7814B" w14:textId="37B3D6CB" w:rsidR="00960450" w:rsidRDefault="00525C65" w:rsidP="00D421B6">
      <w:pPr>
        <w:spacing w:line="480" w:lineRule="auto"/>
      </w:pPr>
      <w:r>
        <w:tab/>
      </w:r>
      <w:r w:rsidR="0054344C">
        <w:t>The case of a</w:t>
      </w:r>
      <w:r w:rsidR="002274DB">
        <w:t xml:space="preserve">ccounting standards </w:t>
      </w:r>
      <w:r w:rsidR="00344B55">
        <w:t xml:space="preserve">is </w:t>
      </w:r>
      <w:r w:rsidR="002274DB">
        <w:t>a prominent example in US</w:t>
      </w:r>
      <w:r w:rsidR="00E3571A">
        <w:t>-EU relations</w:t>
      </w:r>
      <w:r w:rsidR="002274DB">
        <w:t xml:space="preserve">. For much of the post-war period, foreign firms interested in listing on US markets had to reconcile their financial accounts </w:t>
      </w:r>
      <w:r w:rsidR="0054344C">
        <w:t xml:space="preserve">to </w:t>
      </w:r>
      <w:r w:rsidR="002274DB">
        <w:t>US G</w:t>
      </w:r>
      <w:r w:rsidR="008758C4">
        <w:t xml:space="preserve">enerally </w:t>
      </w:r>
      <w:r w:rsidR="002274DB">
        <w:t>A</w:t>
      </w:r>
      <w:r w:rsidR="008758C4">
        <w:t xml:space="preserve">ccepted </w:t>
      </w:r>
      <w:r w:rsidR="002274DB">
        <w:t>A</w:t>
      </w:r>
      <w:r w:rsidR="008758C4">
        <w:t xml:space="preserve">ccounting </w:t>
      </w:r>
      <w:r w:rsidR="002274DB">
        <w:t>P</w:t>
      </w:r>
      <w:r w:rsidR="008758C4">
        <w:t>rinciples (USGAAP)</w:t>
      </w:r>
      <w:r w:rsidR="002274DB">
        <w:t xml:space="preserve">. For many European firms listed on US markets, this meant that they had to </w:t>
      </w:r>
      <w:r w:rsidR="0054344C">
        <w:t xml:space="preserve">absorb the extra costs of what amounted to </w:t>
      </w:r>
      <w:r w:rsidR="002274DB">
        <w:t>re</w:t>
      </w:r>
      <w:r w:rsidR="0054344C">
        <w:t xml:space="preserve">porting in two different formats, a </w:t>
      </w:r>
      <w:r w:rsidR="002274DB">
        <w:t xml:space="preserve">European </w:t>
      </w:r>
      <w:r w:rsidR="0054344C">
        <w:t xml:space="preserve">national </w:t>
      </w:r>
      <w:r w:rsidR="002274DB">
        <w:t>standard</w:t>
      </w:r>
      <w:r w:rsidR="0054344C">
        <w:t xml:space="preserve"> and the </w:t>
      </w:r>
      <w:r w:rsidR="002274DB">
        <w:t>US</w:t>
      </w:r>
      <w:r w:rsidR="0054344C">
        <w:t xml:space="preserve"> one</w:t>
      </w:r>
      <w:r w:rsidR="002274DB">
        <w:t>. And th</w:t>
      </w:r>
      <w:r w:rsidR="0054344C">
        <w:t xml:space="preserve">is duplicative reporting </w:t>
      </w:r>
      <w:r w:rsidR="002274DB">
        <w:t xml:space="preserve">could have profound consequences </w:t>
      </w:r>
      <w:r w:rsidR="0054344C">
        <w:t xml:space="preserve">for the way investors and others interpreted </w:t>
      </w:r>
      <w:r w:rsidR="002274DB">
        <w:t>their market capitalization</w:t>
      </w:r>
      <w:r w:rsidR="0054344C">
        <w:t xml:space="preserve">, among other aspects of their financial </w:t>
      </w:r>
      <w:r w:rsidR="00C0250F">
        <w:t>condition</w:t>
      </w:r>
      <w:r w:rsidR="002274DB">
        <w:t xml:space="preserve">. </w:t>
      </w:r>
    </w:p>
    <w:p w14:paraId="4D87D883" w14:textId="75C4F61A" w:rsidR="002274DB" w:rsidRDefault="002274DB" w:rsidP="00DB67F6">
      <w:pPr>
        <w:spacing w:line="480" w:lineRule="auto"/>
        <w:ind w:firstLine="720"/>
      </w:pPr>
      <w:r>
        <w:t>E</w:t>
      </w:r>
      <w:r w:rsidR="0054344C">
        <w:t>uropean</w:t>
      </w:r>
      <w:r w:rsidR="00F30678">
        <w:t xml:space="preserve"> national and EU</w:t>
      </w:r>
      <w:r w:rsidR="0054344C">
        <w:t xml:space="preserve"> officials</w:t>
      </w:r>
      <w:r>
        <w:t xml:space="preserve"> </w:t>
      </w:r>
      <w:r w:rsidR="0054344C">
        <w:t xml:space="preserve">had </w:t>
      </w:r>
      <w:r>
        <w:t>pressed</w:t>
      </w:r>
      <w:r w:rsidR="004720A0">
        <w:t>, in vein,</w:t>
      </w:r>
      <w:r>
        <w:t xml:space="preserve"> fo</w:t>
      </w:r>
      <w:r w:rsidR="0054344C">
        <w:t>r US</w:t>
      </w:r>
      <w:r>
        <w:t xml:space="preserve"> </w:t>
      </w:r>
      <w:r w:rsidR="0054344C">
        <w:t>recognition</w:t>
      </w:r>
      <w:r>
        <w:t xml:space="preserve"> of</w:t>
      </w:r>
      <w:r w:rsidR="00F30678">
        <w:t xml:space="preserve"> domestic</w:t>
      </w:r>
      <w:r w:rsidR="0054344C">
        <w:t xml:space="preserve"> and</w:t>
      </w:r>
      <w:r>
        <w:t xml:space="preserve"> international accounting standards</w:t>
      </w:r>
      <w:r w:rsidR="0054344C">
        <w:t xml:space="preserve"> – w</w:t>
      </w:r>
      <w:r w:rsidR="004720A0">
        <w:t xml:space="preserve">ithout reconciliation.  </w:t>
      </w:r>
      <w:r w:rsidR="00500531">
        <w:t>T</w:t>
      </w:r>
      <w:r>
        <w:t>he US</w:t>
      </w:r>
      <w:r w:rsidR="00F30678">
        <w:t xml:space="preserve"> finally agreed in 2007</w:t>
      </w:r>
      <w:r w:rsidR="009851E9">
        <w:t>, a decision that created a de facto mutual recognition regime</w:t>
      </w:r>
      <w:r w:rsidR="00F30678">
        <w:t xml:space="preserve">.  </w:t>
      </w:r>
      <w:r>
        <w:t xml:space="preserve"> </w:t>
      </w:r>
      <w:r w:rsidR="005326BB">
        <w:t xml:space="preserve">The </w:t>
      </w:r>
      <w:r>
        <w:t>S</w:t>
      </w:r>
      <w:r w:rsidR="008758C4">
        <w:t xml:space="preserve">ecurity and Exchange </w:t>
      </w:r>
      <w:r>
        <w:t>C</w:t>
      </w:r>
      <w:r w:rsidR="008758C4">
        <w:t>ommission (SEC)</w:t>
      </w:r>
      <w:r>
        <w:t xml:space="preserve"> </w:t>
      </w:r>
      <w:r w:rsidR="00500531">
        <w:t xml:space="preserve">only </w:t>
      </w:r>
      <w:r>
        <w:t xml:space="preserve">agreed to allow foreign firms </w:t>
      </w:r>
      <w:r w:rsidR="00500531">
        <w:t>to report in accordance with</w:t>
      </w:r>
      <w:r>
        <w:t xml:space="preserve"> international accounting</w:t>
      </w:r>
      <w:r w:rsidR="00500531">
        <w:t xml:space="preserve"> standards after the EU required all publically listed companies to use I</w:t>
      </w:r>
      <w:r w:rsidR="008758C4">
        <w:t>nternational Financial Reporting Standards (IFRS)</w:t>
      </w:r>
      <w:r w:rsidR="00500531">
        <w:t xml:space="preserve"> and developed relatively equal capacities (to those of the US) to require foreign firms raising capital in the EU to meet equivalence tests. </w:t>
      </w:r>
      <w:r w:rsidR="009851E9">
        <w:t xml:space="preserve"> It is true that, in building new capacities, </w:t>
      </w:r>
      <w:r w:rsidR="002E692C">
        <w:t xml:space="preserve">the </w:t>
      </w:r>
      <w:r w:rsidR="009851E9">
        <w:t xml:space="preserve">EU adopted IFRS and thereby increased the salience of the international accounting institutions.  Yet it is also clear that the US accommodation </w:t>
      </w:r>
      <w:r w:rsidR="002E692C">
        <w:t xml:space="preserve">and thus </w:t>
      </w:r>
      <w:r w:rsidR="009851E9">
        <w:t>the mutual recognition regime was more a reflection of the new parity in regulatory capacities than a cha</w:t>
      </w:r>
      <w:r w:rsidR="00884632">
        <w:t>nged view of international accounting institutions</w:t>
      </w:r>
      <w:r w:rsidR="005F78C6">
        <w:t xml:space="preserve"> (</w:t>
      </w:r>
      <w:r w:rsidR="00467FB7">
        <w:t>Posner 2010</w:t>
      </w:r>
      <w:r w:rsidR="005F78C6">
        <w:t>)</w:t>
      </w:r>
      <w:r w:rsidR="00884632">
        <w:t xml:space="preserve">.  </w:t>
      </w:r>
      <w:r w:rsidR="002E692C">
        <w:t xml:space="preserve">If the latter were the case, </w:t>
      </w:r>
      <w:r w:rsidR="00C0250F">
        <w:t>SEC</w:t>
      </w:r>
      <w:r w:rsidR="00884632">
        <w:t xml:space="preserve"> officials </w:t>
      </w:r>
      <w:r w:rsidR="002E692C">
        <w:t>would have allowed US, not just foreign, companies to adopt IFRS, and they would have accepted mutual recognition</w:t>
      </w:r>
      <w:r w:rsidR="00286022">
        <w:t xml:space="preserve"> sooner, perhaps </w:t>
      </w:r>
      <w:r w:rsidR="002E692C">
        <w:t>in 2002 when the EU adopted IFRS</w:t>
      </w:r>
      <w:r w:rsidR="00286022">
        <w:t xml:space="preserve">, rather than in 2007 shortly after the EU introduced the legal provisions to </w:t>
      </w:r>
      <w:r w:rsidR="009F52C3">
        <w:t>require an equivalence determination before</w:t>
      </w:r>
      <w:r w:rsidR="00286022">
        <w:t xml:space="preserve"> US firms using USGAAP</w:t>
      </w:r>
      <w:r w:rsidR="009F52C3">
        <w:t xml:space="preserve"> could</w:t>
      </w:r>
      <w:r w:rsidR="00286022">
        <w:t xml:space="preserve"> rais</w:t>
      </w:r>
      <w:r w:rsidR="009F52C3">
        <w:t>e</w:t>
      </w:r>
      <w:r w:rsidR="00286022">
        <w:t xml:space="preserve"> capital in Europe.  </w:t>
      </w:r>
      <w:r w:rsidR="0033573A">
        <w:t xml:space="preserve">The case thus illustrates how </w:t>
      </w:r>
      <w:r w:rsidR="004569C3">
        <w:t xml:space="preserve">relative </w:t>
      </w:r>
      <w:r w:rsidR="0033573A">
        <w:t xml:space="preserve">parity in regulatory capacities, under conditions of </w:t>
      </w:r>
      <w:r w:rsidR="004569C3">
        <w:t xml:space="preserve">light international </w:t>
      </w:r>
      <w:proofErr w:type="gramStart"/>
      <w:r w:rsidR="004569C3">
        <w:t>institutionalization</w:t>
      </w:r>
      <w:r w:rsidR="00286022">
        <w:t>,</w:t>
      </w:r>
      <w:proofErr w:type="gramEnd"/>
      <w:r w:rsidR="00286022">
        <w:t xml:space="preserve"> encourage great powers to forge mutual recognition arrangements. </w:t>
      </w:r>
    </w:p>
    <w:p w14:paraId="6F89F141" w14:textId="3BFA2948" w:rsidR="00981A23" w:rsidRDefault="00981A23" w:rsidP="00D421B6">
      <w:pPr>
        <w:spacing w:line="480" w:lineRule="auto"/>
      </w:pPr>
      <w:r>
        <w:tab/>
        <w:t>While mutual recognition agreements offer an elegant solution to regulatory conflict between the major regulatory players, they have proven elusive in most areas</w:t>
      </w:r>
      <w:r w:rsidR="004A1F96">
        <w:t xml:space="preserve"> -- </w:t>
      </w:r>
      <w:r w:rsidR="000E04D3">
        <w:t xml:space="preserve">suggesting that an additional variable, such as a shared normative framework, might be necessary for </w:t>
      </w:r>
      <w:r w:rsidR="00DE07B8">
        <w:t xml:space="preserve">the </w:t>
      </w:r>
      <w:r w:rsidR="000E04D3">
        <w:t>successful negotiat</w:t>
      </w:r>
      <w:r w:rsidR="00DE07B8">
        <w:t>ion of</w:t>
      </w:r>
      <w:r w:rsidR="000E04D3">
        <w:t xml:space="preserve"> mutual recognition regimes </w:t>
      </w:r>
      <w:r w:rsidR="00537900">
        <w:fldChar w:fldCharType="begin"/>
      </w:r>
      <w:r w:rsidR="002E46EC">
        <w:instrText xml:space="preserve"> ADDIN ZOTERO_ITEM CSL_CITATION {"citationID":"kwF1TvvT","properties":{"formattedCitation":"(Nicolaidis and Shaffer 2005)","plainCitation":"(Nicolaidis and Shaffer 2005)"},"citationItems":[{"id":2335,"uris":["http://zotero.org/users/72538/items/VPXT9C7X"],"uri":["http://zotero.org/users/72538/items/VPXT9C7X"],"itemData":{"id":2335,"type":"article-journal","title":"Transnational Mutual Recognition Regimes: Governance without Global Government","container-title":"Law and Contemporary Problems","page":"263","volume":"68","author":[{"family":"Nicolaidis","given":"K."},{"family":"Shaffer","given":"G."}],"issued":{"date-parts":[["2005"]]}}}],"schema":"https://github.com/citation-style-language/schema/raw/master/csl-citation.json"} </w:instrText>
      </w:r>
      <w:r w:rsidR="00537900">
        <w:fldChar w:fldCharType="separate"/>
      </w:r>
      <w:r w:rsidR="00EF70F3">
        <w:rPr>
          <w:noProof/>
        </w:rPr>
        <w:t>(Nicolaidis and Shaffer 2005)</w:t>
      </w:r>
      <w:r w:rsidR="00537900">
        <w:fldChar w:fldCharType="end"/>
      </w:r>
      <w:r>
        <w:t>.</w:t>
      </w:r>
      <w:r w:rsidR="00E75CB9">
        <w:t xml:space="preserve"> If each side retains discretion to determine equivalent foreign regulations, firms from jurisdictions with the more stringent rules will fear an unfair playing field and their regulators will thus be hesitant to enter mutual recognition regimes.  </w:t>
      </w:r>
      <w:r>
        <w:t xml:space="preserve">The sluggish progress </w:t>
      </w:r>
      <w:r w:rsidR="00E75CB9">
        <w:t xml:space="preserve">toward reaching </w:t>
      </w:r>
      <w:r>
        <w:t>a Transatlantic Trade and Investment Partnership</w:t>
      </w:r>
      <w:r w:rsidR="004A1F96">
        <w:t>, for instance, shows</w:t>
      </w:r>
      <w:r>
        <w:t xml:space="preserve"> the</w:t>
      </w:r>
      <w:r w:rsidR="004A1F96">
        <w:t xml:space="preserve"> potential</w:t>
      </w:r>
      <w:r>
        <w:t xml:space="preserve"> limits of such a strategy. This is in part due to</w:t>
      </w:r>
      <w:r w:rsidR="00E75CB9">
        <w:t xml:space="preserve"> stakeholders who are unwilling to allow equal market access to foreign market players; but it is also due to</w:t>
      </w:r>
      <w:r>
        <w:t xml:space="preserve"> the significant differences in regulatory preferences</w:t>
      </w:r>
      <w:r w:rsidR="00E75CB9">
        <w:t xml:space="preserve"> and approaches.  T</w:t>
      </w:r>
      <w:r w:rsidR="00784291">
        <w:t xml:space="preserve">he </w:t>
      </w:r>
      <w:r w:rsidR="00E75CB9">
        <w:t xml:space="preserve">interaction of </w:t>
      </w:r>
      <w:r w:rsidR="00784291">
        <w:t xml:space="preserve">parity </w:t>
      </w:r>
      <w:r w:rsidR="00E75CB9">
        <w:t xml:space="preserve">in </w:t>
      </w:r>
      <w:r w:rsidR="00784291">
        <w:t>regulatory capacity</w:t>
      </w:r>
      <w:r w:rsidR="00E75CB9">
        <w:t xml:space="preserve"> and the </w:t>
      </w:r>
      <w:r w:rsidR="009F52C3">
        <w:t xml:space="preserve">relatively </w:t>
      </w:r>
      <w:r w:rsidR="000E04D3">
        <w:t>weak institutionalization could very well</w:t>
      </w:r>
      <w:r w:rsidR="00784291">
        <w:t xml:space="preserve"> incentivize</w:t>
      </w:r>
      <w:r w:rsidR="000E04D3">
        <w:t xml:space="preserve"> the creation of</w:t>
      </w:r>
      <w:r w:rsidR="00784291">
        <w:t xml:space="preserve"> rival rules </w:t>
      </w:r>
      <w:r w:rsidR="00E75CB9">
        <w:t xml:space="preserve">instead of </w:t>
      </w:r>
      <w:r w:rsidR="000E04D3">
        <w:t xml:space="preserve">the kind of sovereignty sharing necessary for </w:t>
      </w:r>
      <w:r w:rsidR="00784291">
        <w:t>extensive cooperation</w:t>
      </w:r>
      <w:r w:rsidR="000E04D3">
        <w:t xml:space="preserve"> </w:t>
      </w:r>
      <w:r w:rsidR="00537900">
        <w:fldChar w:fldCharType="begin"/>
      </w:r>
      <w:r w:rsidR="00EF70F3">
        <w:instrText xml:space="preserve"> ADDIN ZOTERO_ITEM CSL_CITATION {"citationID":"uNgyeNCb","properties":{"formattedCitation":"(Drezner 2007)","plainCitation":"(Drezner 2007)"},"citationItems":[{"id":19,"uris":["http://zotero.org/users/72538/items/26NFH5WK"],"uri":["http://zotero.org/users/72538/items/26NFH5WK"],"itemData":{"id":19,"type":"book","title":"All Politics is Global: Explaining International Regulatory Regimes","publisher":"Princeton University Press","publisher-place":"Princeton","event-place":"Princeton","author":[{"family":"Drezner","given":"D."}],"issued":{"date-parts":[["2007"]]}}}],"schema":"https://github.com/citation-style-language/schema/raw/master/csl-citation.json"} </w:instrText>
      </w:r>
      <w:r w:rsidR="00537900">
        <w:fldChar w:fldCharType="separate"/>
      </w:r>
      <w:r w:rsidR="00EF70F3">
        <w:rPr>
          <w:noProof/>
        </w:rPr>
        <w:t>(Drezner 2007)</w:t>
      </w:r>
      <w:r w:rsidR="00537900">
        <w:fldChar w:fldCharType="end"/>
      </w:r>
      <w:r w:rsidR="00784291">
        <w:t>.</w:t>
      </w:r>
    </w:p>
    <w:p w14:paraId="19F93863" w14:textId="77777777" w:rsidR="00DE0BE1" w:rsidRPr="00DE0BE1" w:rsidRDefault="00DE0BE1" w:rsidP="00D421B6">
      <w:pPr>
        <w:spacing w:line="480" w:lineRule="auto"/>
        <w:rPr>
          <w:i/>
        </w:rPr>
      </w:pPr>
      <w:r w:rsidRPr="00DE0BE1">
        <w:rPr>
          <w:i/>
        </w:rPr>
        <w:t>Coalition-Building</w:t>
      </w:r>
    </w:p>
    <w:p w14:paraId="08F4E57E" w14:textId="611A34DB" w:rsidR="00DE0BE1" w:rsidRDefault="00C57545" w:rsidP="00D421B6">
      <w:pPr>
        <w:spacing w:line="480" w:lineRule="auto"/>
      </w:pPr>
      <w:r>
        <w:tab/>
        <w:t>Finally, in domains characterized by parity in regulatory capacity, power</w:t>
      </w:r>
      <w:r w:rsidR="009C2967">
        <w:t>ful jurisdictions</w:t>
      </w:r>
      <w:r>
        <w:t xml:space="preserve"> may use </w:t>
      </w:r>
      <w:r w:rsidR="00795308">
        <w:t xml:space="preserve">densely </w:t>
      </w:r>
      <w:r>
        <w:t>institutionaliz</w:t>
      </w:r>
      <w:r w:rsidR="00795308">
        <w:t xml:space="preserve">ed arenas </w:t>
      </w:r>
      <w:r>
        <w:t>to advance their interests</w:t>
      </w:r>
      <w:r w:rsidR="00D40907">
        <w:t xml:space="preserve"> through strategies </w:t>
      </w:r>
      <w:r w:rsidR="00CB11EE">
        <w:t>more frequently associated with</w:t>
      </w:r>
      <w:r w:rsidR="00D40907">
        <w:t xml:space="preserve"> domestic political arenas</w:t>
      </w:r>
      <w:r>
        <w:t>. As in the first mover strategy, regulator</w:t>
      </w:r>
      <w:r w:rsidR="00336F53">
        <w:t>s</w:t>
      </w:r>
      <w:r>
        <w:t xml:space="preserve"> hope to </w:t>
      </w:r>
      <w:r w:rsidR="00DE07B8">
        <w:t xml:space="preserve">leverage international institutions to </w:t>
      </w:r>
      <w:r>
        <w:t xml:space="preserve">lock-in </w:t>
      </w:r>
      <w:r w:rsidR="00795308">
        <w:t xml:space="preserve">transnational </w:t>
      </w:r>
      <w:r>
        <w:t>standards</w:t>
      </w:r>
      <w:r w:rsidR="00795308">
        <w:t xml:space="preserve"> </w:t>
      </w:r>
      <w:r>
        <w:t xml:space="preserve">that reflect their interests. In contrast, to the first mover quadrant, however, regulatory powers are not able to use their </w:t>
      </w:r>
      <w:r w:rsidR="00F31421">
        <w:t>asymmetrical</w:t>
      </w:r>
      <w:r>
        <w:t xml:space="preserve"> regulatory capacity to out maneuver other </w:t>
      </w:r>
      <w:r w:rsidR="00467FB7">
        <w:t>great powers</w:t>
      </w:r>
      <w:r w:rsidR="00FD43E1">
        <w:t xml:space="preserve"> in terms of agenda setting</w:t>
      </w:r>
      <w:r>
        <w:t xml:space="preserve">. Instead, </w:t>
      </w:r>
      <w:r w:rsidR="00DF6D6F">
        <w:t xml:space="preserve">in this </w:t>
      </w:r>
      <w:r w:rsidR="00FD43E1">
        <w:t>context</w:t>
      </w:r>
      <w:r w:rsidR="00DF6D6F">
        <w:t xml:space="preserve"> – approaching </w:t>
      </w:r>
      <w:r w:rsidR="00D40907">
        <w:t xml:space="preserve">what we might </w:t>
      </w:r>
      <w:r w:rsidR="00DF6D6F">
        <w:t>call</w:t>
      </w:r>
      <w:r w:rsidR="002E3A76">
        <w:t xml:space="preserve"> a rule-based</w:t>
      </w:r>
      <w:r w:rsidR="00DF6D6F">
        <w:t xml:space="preserve"> </w:t>
      </w:r>
      <w:r w:rsidR="00DE07B8">
        <w:t>‘</w:t>
      </w:r>
      <w:r w:rsidR="00DF6D6F">
        <w:t>global politics</w:t>
      </w:r>
      <w:r w:rsidR="00DE07B8">
        <w:t>’</w:t>
      </w:r>
      <w:r w:rsidR="00DF6D6F">
        <w:t xml:space="preserve"> -- the </w:t>
      </w:r>
      <w:r w:rsidR="00D40907">
        <w:t xml:space="preserve">coalitional </w:t>
      </w:r>
      <w:r w:rsidR="00DF6D6F">
        <w:t>dynamics</w:t>
      </w:r>
      <w:r w:rsidR="002E3A76">
        <w:t xml:space="preserve"> to arise</w:t>
      </w:r>
      <w:r w:rsidR="00DF6D6F">
        <w:t xml:space="preserve"> </w:t>
      </w:r>
      <w:r w:rsidR="00795308">
        <w:t xml:space="preserve">more closely </w:t>
      </w:r>
      <w:r w:rsidR="00DF6D6F">
        <w:t xml:space="preserve">resemble domestic regulatory contests </w:t>
      </w:r>
      <w:r w:rsidR="00D40907">
        <w:t>as</w:t>
      </w:r>
      <w:r w:rsidR="00DF6D6F">
        <w:t xml:space="preserve"> the EU </w:t>
      </w:r>
      <w:r w:rsidR="00057010">
        <w:t xml:space="preserve">and other participants </w:t>
      </w:r>
      <w:r>
        <w:t>play by the rules of international institution</w:t>
      </w:r>
      <w:r w:rsidR="00336F53">
        <w:t>s</w:t>
      </w:r>
      <w:r w:rsidR="00EF70F3">
        <w:t xml:space="preserve"> </w:t>
      </w:r>
      <w:r w:rsidR="00537900">
        <w:fldChar w:fldCharType="begin"/>
      </w:r>
      <w:r w:rsidR="002E46EC">
        <w:instrText xml:space="preserve"> ADDIN ZOTERO_ITEM CSL_CITATION {"citationID":"jzZfpK9Z","properties":{"formattedCitation":"(Risse-Kappan 1995; Davis 2004; Tarrow 2001)","plainCitation":"(Risse-Kappan 1995; Davis 2004; Tarrow 2001)"},"citationItems":[{"id":41,"uris":["http://zotero.org/users/72538/items/2FBQMR83"],"uri":["http://zotero.org/users/72538/items/2FBQMR83"],"itemData":{"id":41,"type":"book","title":"Bringing Transnational Actors Back in.","publisher":"Cambridge University Press","publisher-place":"Cambridge","event-place":"Cambridge","author":[{"family":"Risse-Kappan","given":"T."}],"issued":{"date-parts":[["1995"]]}}},{"id":3097,"uris":["http://zotero.org/users/72538/items/7X9PXCBC"],"uri":["http://zotero.org/users/72538/items/7X9PXCBC"],"itemData":{"id":3097,"type":"article-journal","title":"International Institutions and Issue Linkage: Building Support for Agricultural Trade Liberalization","container-title":"The American Political Science Review","page":"153-169","volume":"98","issue":"1","source":"JSTOR","abstract":"This article explains how the institutional context of international negotiations influences their outcomes. I argue that issue linkage counteracts domestic obstacles to liberalization by broadening the negotiation stakes. Institutions bolster the credibility of the linkage to make it more effective. I test the argument in the agricultural sector, which has been among the most difficult sectors for governments to liberalize. Statistical analysis of U.S. negotiations with Japan and the EU from 1970 to 1999 indicates that an institutionalized linkage between agricultural and industrial issues encourages agricultural liberalization in both Japan and Europe. Through case studies of key negotiations, I first examine why countries choose to link issues, then show how the linkage changes interest group mobilization and shifts the policy process to promote liberalization.","ISSN":"0003-0554","shortTitle":"International Institutions and Issue Linkage","journalAbbreviation":"The American Political Science Review","author":[{"family":"Davis","given":"Christina L."}],"issued":{"date-parts":[["2004",2,1]]},"accessed":{"date-parts":[["2014",9,9]]}}},{"id":3099,"uris":["http://zotero.org/users/72538/items/285RUKHP"],"uri":["http://zotero.org/users/72538/items/285RUKHP"],"itemData":{"id":3099,"type":"article-journal","title":"TRANSNATIONAL POLITICS: Contention and Institutions in International Politics","container-title":"Annual Review of Political Science","page":"1-20","volume":"4","issue":"1","source":"Annual Reviews","abstract":"Recent scholars have broadened the study of transnational relations, once limited to political economy, to include contentious international politics. This is a refreshing trend, but most of them leap directly from globalization or some other such process to transnational social movements and thence to a global civil society. In addition, they have so far failed to distinguish among movements, nongovernmental organizations (NGOs), and transnational networks and do not adequately specify their relations with states and international institutions. In particular, few mechanisms are proposed to link domestic actors to transnational ones and to states and international institutions. This paper argues that mass-based transnational social movements are hard to construct, are difficult to maintain, and have very different relations to states and international institutions than more routinized international NGOs or activist networks. These latter forms may be encouraged both by states and international institutions and by the growth of a cosmopolitan class of transnational activists. Rather than being the antipodes of transnational contention, international institutions offer resources, opportunities, and incentives for the formation of actors in transnational politics. If transnational social movements form, it will be through a second-stage process of domestication of international conflict.","DOI":"10.1146/annurev.polisci.4.1.1","shortTitle":"TRANSNATIONAL POLITICS","author":[{"family":"Tarrow","given":"Sidney"}],"issued":{"date-parts":[["2001"]]},"accessed":{"date-parts":[["2014",9,9]]}}}],"schema":"https://github.com/citation-style-language/schema/raw/master/csl-citation.json"} </w:instrText>
      </w:r>
      <w:r w:rsidR="00537900">
        <w:fldChar w:fldCharType="separate"/>
      </w:r>
      <w:r w:rsidR="007B03A2">
        <w:rPr>
          <w:noProof/>
        </w:rPr>
        <w:t>(Risse-Kappan 1995; Davis 2004; Tarrow 2001</w:t>
      </w:r>
      <w:r w:rsidR="00467FB7">
        <w:rPr>
          <w:noProof/>
        </w:rPr>
        <w:t xml:space="preserve">; </w:t>
      </w:r>
      <w:r w:rsidR="00290290">
        <w:rPr>
          <w:noProof/>
        </w:rPr>
        <w:t xml:space="preserve">Sabel and Zeitlin 2010; </w:t>
      </w:r>
      <w:r w:rsidR="00F20FA4">
        <w:rPr>
          <w:noProof/>
        </w:rPr>
        <w:t xml:space="preserve">Alter 2014; </w:t>
      </w:r>
      <w:r w:rsidR="00467FB7">
        <w:rPr>
          <w:noProof/>
        </w:rPr>
        <w:t>Kissack 2015</w:t>
      </w:r>
      <w:r w:rsidR="007B03A2">
        <w:rPr>
          <w:noProof/>
        </w:rPr>
        <w:t>)</w:t>
      </w:r>
      <w:r w:rsidR="00537900">
        <w:fldChar w:fldCharType="end"/>
      </w:r>
      <w:r>
        <w:t>.</w:t>
      </w:r>
      <w:r w:rsidR="00F31421">
        <w:t xml:space="preserve">  </w:t>
      </w:r>
      <w:r>
        <w:t xml:space="preserve"> </w:t>
      </w:r>
    </w:p>
    <w:p w14:paraId="3614B6BD" w14:textId="4ABC76A2" w:rsidR="00C57545" w:rsidRDefault="00C57545" w:rsidP="00D421B6">
      <w:pPr>
        <w:spacing w:line="480" w:lineRule="auto"/>
      </w:pPr>
      <w:r>
        <w:tab/>
      </w:r>
      <w:r w:rsidR="00DE07B8">
        <w:t xml:space="preserve">Coalition-building in international institutions can be quite complex, involving a host of different negotiating parties – public and private – </w:t>
      </w:r>
      <w:r w:rsidR="00336F53">
        <w:t>behav</w:t>
      </w:r>
      <w:r w:rsidR="00057010">
        <w:t xml:space="preserve">ing in accordance with the different </w:t>
      </w:r>
      <w:r w:rsidR="00DE07B8">
        <w:t>rules</w:t>
      </w:r>
      <w:r w:rsidR="00057010">
        <w:t xml:space="preserve"> of different organizations</w:t>
      </w:r>
      <w:r w:rsidR="007B03A2">
        <w:t xml:space="preserve"> </w:t>
      </w:r>
      <w:r w:rsidR="00537900">
        <w:fldChar w:fldCharType="begin"/>
      </w:r>
      <w:r w:rsidR="002E46EC">
        <w:instrText xml:space="preserve"> ADDIN ZOTERO_ITEM CSL_CITATION {"citationID":"tHbWMQzY","properties":{"formattedCitation":"(Jupille 1999; Meunier 2005)","plainCitation":"(Jupille 1999; Meunier 2005)"},"citationItems":[{"id":458,"uris":["http://zotero.org/users/72538/items/7U6HD32N"],"uri":["http://zotero.org/users/72538/items/7U6HD32N"],"itemData":{"id":458,"type":"article-journal","title":"The European Union and international outcomes","container-title":"International Organization","page":"409-21","volume":"53","issue":"2","author":[{"family":"Jupille","given":"J."}],"issued":{"date-parts":[["1999"]]}}},{"id":2356,"uris":["http://zotero.org/users/72538/items/VXATW5JM"],"uri":["http://zotero.org/users/72538/items/VXATW5JM"],"itemData":{"id":2356,"type":"book","title":"Trading Voices: The European Union in International Commercial Negotiations","publisher":"Princeton University Press","publisher-place":"Princeton","event-place":"Princeton","author":[{"family":"Meunier","given":"S."}],"issued":{"date-parts":[["2005"]]}}}],"schema":"https://github.com/citation-style-language/schema/raw/master/csl-citation.json"} </w:instrText>
      </w:r>
      <w:r w:rsidR="00537900">
        <w:fldChar w:fldCharType="separate"/>
      </w:r>
      <w:r w:rsidR="007B03A2">
        <w:rPr>
          <w:noProof/>
        </w:rPr>
        <w:t>(Jupille 1999; Meunier 2005)</w:t>
      </w:r>
      <w:r w:rsidR="00537900">
        <w:fldChar w:fldCharType="end"/>
      </w:r>
      <w:r w:rsidR="00DE07B8">
        <w:t>.  T</w:t>
      </w:r>
      <w:r>
        <w:t xml:space="preserve">he EU will be best positioned to influence global standards when it can </w:t>
      </w:r>
      <w:r w:rsidR="00336F53">
        <w:t>build</w:t>
      </w:r>
      <w:r>
        <w:t xml:space="preserve"> a winning coalition of supporters behind its rules</w:t>
      </w:r>
      <w:r w:rsidR="00467FB7">
        <w:t xml:space="preserve"> and block the rules of an alternative coalition supported by other regulatory great powers</w:t>
      </w:r>
      <w:r>
        <w:t xml:space="preserve">. </w:t>
      </w:r>
      <w:r w:rsidR="00DE07B8">
        <w:t xml:space="preserve">Depending on the decision-rules of the rule-making body, </w:t>
      </w:r>
      <w:r>
        <w:t xml:space="preserve">EU success, then, depends </w:t>
      </w:r>
      <w:r w:rsidR="00336F53">
        <w:t>to an</w:t>
      </w:r>
      <w:r>
        <w:t xml:space="preserve"> important </w:t>
      </w:r>
      <w:r w:rsidR="00336F53">
        <w:t>extent</w:t>
      </w:r>
      <w:r>
        <w:t xml:space="preserve"> on the difference</w:t>
      </w:r>
      <w:r w:rsidR="002E3A76">
        <w:t>s</w:t>
      </w:r>
      <w:r>
        <w:t xml:space="preserve"> in its preferences from those of other decision-makers in the organization</w:t>
      </w:r>
      <w:r w:rsidR="00467FB7">
        <w:t xml:space="preserve">. </w:t>
      </w:r>
      <w:r>
        <w:t>In those cases where the EU is a preference outlier, it will have little power. In those cases, however, where the EU can forge a bloc of like</w:t>
      </w:r>
      <w:r w:rsidR="007F5523">
        <w:t>-</w:t>
      </w:r>
      <w:r>
        <w:t xml:space="preserve">minded </w:t>
      </w:r>
      <w:r w:rsidR="00DE07B8">
        <w:t>partners</w:t>
      </w:r>
      <w:r w:rsidR="00534D8F">
        <w:t>, either through linkage strategies or deliberative approaches</w:t>
      </w:r>
      <w:r>
        <w:t>, it will be able to use the organization to promote its ru</w:t>
      </w:r>
      <w:r w:rsidR="00057010">
        <w:t>l</w:t>
      </w:r>
      <w:r>
        <w:t>es.</w:t>
      </w:r>
      <w:r w:rsidR="00DE07B8">
        <w:t xml:space="preserve"> Alasdair Young (</w:t>
      </w:r>
      <w:r w:rsidR="00467FB7">
        <w:t>2014</w:t>
      </w:r>
      <w:r w:rsidR="00DE07B8">
        <w:t>), for example, demonstrates this argument in food and safety standards developed through the</w:t>
      </w:r>
      <w:r w:rsidR="00467FB7">
        <w:t xml:space="preserve"> Codex Alimentarius</w:t>
      </w:r>
      <w:r w:rsidR="00DE07B8">
        <w:t xml:space="preserve">, where EU preference extremes stymie </w:t>
      </w:r>
      <w:r w:rsidR="00CA4382">
        <w:t>its efforts to change global standards</w:t>
      </w:r>
      <w:r w:rsidR="00DE07B8">
        <w:t>.</w:t>
      </w:r>
      <w:r w:rsidR="00CA4382">
        <w:t xml:space="preserve"> And in those cases where the EU builds a change coalition, the outcome is not always identical with EU internal rules. In short, such coalition building requires compromise. </w:t>
      </w:r>
      <w:r w:rsidR="007B03A2">
        <w:t>Similarly, Meunier (2005</w:t>
      </w:r>
      <w:r w:rsidR="00CA4382">
        <w:t xml:space="preserve">) has argued that the EU is best positioned to influence global trade negotiations when it supports a status quo </w:t>
      </w:r>
      <w:proofErr w:type="gramStart"/>
      <w:r w:rsidR="00CA4382">
        <w:t>position</w:t>
      </w:r>
      <w:proofErr w:type="gramEnd"/>
      <w:r w:rsidR="00CA4382">
        <w:t xml:space="preserve"> as the EU needs few partners to bloc</w:t>
      </w:r>
      <w:r w:rsidR="00336F53">
        <w:t>k</w:t>
      </w:r>
      <w:r w:rsidR="00CA4382">
        <w:t xml:space="preserve"> negotiation progress. </w:t>
      </w:r>
    </w:p>
    <w:p w14:paraId="53B351B1" w14:textId="77777777" w:rsidR="00100526" w:rsidRDefault="00E0153E" w:rsidP="00986A6C">
      <w:pPr>
        <w:spacing w:line="480" w:lineRule="auto"/>
      </w:pPr>
      <w:r>
        <w:tab/>
      </w:r>
      <w:r w:rsidR="00E21525">
        <w:t>In contrast to the mutual recognition quadrant, in which the EU has little capacity to shape global rules, t</w:t>
      </w:r>
      <w:r>
        <w:t xml:space="preserve">he coalition-building quadrant </w:t>
      </w:r>
      <w:r w:rsidR="00E21525">
        <w:t>demonstrates the powerful role that institutions play. Yet in order</w:t>
      </w:r>
      <w:r w:rsidR="00CA4382">
        <w:t xml:space="preserve"> to overcome the status quo</w:t>
      </w:r>
      <w:r w:rsidR="00E21525">
        <w:t>, the EU must find a significant number of regulatory allies.</w:t>
      </w:r>
      <w:r w:rsidR="00CA4382">
        <w:t xml:space="preserve"> In those cases, however, the EU may not find support for the simple extension of EU rules. </w:t>
      </w:r>
    </w:p>
    <w:p w14:paraId="2151D5C2" w14:textId="77777777" w:rsidR="00CA4382" w:rsidRDefault="00CA4382" w:rsidP="00986A6C">
      <w:pPr>
        <w:spacing w:line="480" w:lineRule="auto"/>
      </w:pPr>
    </w:p>
    <w:p w14:paraId="5B8240E0" w14:textId="77777777" w:rsidR="00534F78" w:rsidRDefault="00D565E8" w:rsidP="00986A6C">
      <w:pPr>
        <w:spacing w:line="480" w:lineRule="auto"/>
        <w:rPr>
          <w:b/>
        </w:rPr>
      </w:pPr>
      <w:r w:rsidRPr="00D565E8">
        <w:rPr>
          <w:b/>
        </w:rPr>
        <w:t>Conclusion</w:t>
      </w:r>
    </w:p>
    <w:p w14:paraId="2EFFC391" w14:textId="29E9D829" w:rsidR="00443C26" w:rsidRDefault="00534F78" w:rsidP="00986A6C">
      <w:pPr>
        <w:spacing w:line="480" w:lineRule="auto"/>
      </w:pPr>
      <w:r>
        <w:t xml:space="preserve">Drawing on </w:t>
      </w:r>
      <w:r w:rsidR="009C64D7">
        <w:t xml:space="preserve">the </w:t>
      </w:r>
      <w:r>
        <w:t>concept</w:t>
      </w:r>
      <w:r w:rsidR="009C64D7">
        <w:t xml:space="preserve"> of context effects</w:t>
      </w:r>
      <w:r>
        <w:t xml:space="preserve"> developed by historical institutionalist scholars, this article attempts to better </w:t>
      </w:r>
      <w:r w:rsidR="0026169D">
        <w:t>define</w:t>
      </w:r>
      <w:r>
        <w:t xml:space="preserve"> the boundary conditions of EU </w:t>
      </w:r>
      <w:r w:rsidR="0026169D">
        <w:t>influence</w:t>
      </w:r>
      <w:r>
        <w:t>. It does this by</w:t>
      </w:r>
      <w:r w:rsidR="0026169D">
        <w:t xml:space="preserve"> suggesting how EU power</w:t>
      </w:r>
      <w:r w:rsidR="000E0799">
        <w:t xml:space="preserve"> </w:t>
      </w:r>
      <w:r w:rsidR="0026169D">
        <w:t>is</w:t>
      </w:r>
      <w:r>
        <w:t xml:space="preserve"> embedd</w:t>
      </w:r>
      <w:r w:rsidR="0026169D">
        <w:t xml:space="preserve">ed </w:t>
      </w:r>
      <w:r>
        <w:t xml:space="preserve">within the broader global regulatory context. </w:t>
      </w:r>
      <w:r w:rsidR="00B776F7">
        <w:t xml:space="preserve">Using </w:t>
      </w:r>
      <w:r>
        <w:t xml:space="preserve">two key </w:t>
      </w:r>
      <w:r w:rsidR="0026169D">
        <w:t>dimensions</w:t>
      </w:r>
      <w:r w:rsidR="00B776F7">
        <w:t xml:space="preserve"> of this context</w:t>
      </w:r>
      <w:r w:rsidR="0026169D">
        <w:t xml:space="preserve"> </w:t>
      </w:r>
      <w:r w:rsidR="00443C26">
        <w:t>– relative regulatory capacity and institutional density</w:t>
      </w:r>
      <w:r w:rsidR="00B776F7">
        <w:t xml:space="preserve"> –</w:t>
      </w:r>
      <w:r w:rsidR="0026169D">
        <w:t xml:space="preserve"> </w:t>
      </w:r>
      <w:r w:rsidR="00B776F7">
        <w:t xml:space="preserve">we </w:t>
      </w:r>
      <w:r w:rsidR="00443C26">
        <w:t>derive an analytic typology</w:t>
      </w:r>
      <w:r w:rsidR="00B776F7">
        <w:t xml:space="preserve"> of EU policy strategies</w:t>
      </w:r>
      <w:r w:rsidR="00443C26">
        <w:t>.</w:t>
      </w:r>
      <w:r w:rsidR="00443C26">
        <w:tab/>
      </w:r>
    </w:p>
    <w:p w14:paraId="1666B867" w14:textId="6196A7B2" w:rsidR="00525EA6" w:rsidRDefault="00C367AE" w:rsidP="00E9067E">
      <w:pPr>
        <w:spacing w:line="480" w:lineRule="auto"/>
      </w:pPr>
      <w:r>
        <w:tab/>
      </w:r>
      <w:r w:rsidR="007A3BC3">
        <w:t>F</w:t>
      </w:r>
      <w:r>
        <w:t xml:space="preserve">or </w:t>
      </w:r>
      <w:r w:rsidR="007A3BC3">
        <w:t xml:space="preserve">reasons of </w:t>
      </w:r>
      <w:r w:rsidR="008B27C2">
        <w:t xml:space="preserve">theory, </w:t>
      </w:r>
      <w:r>
        <w:t>clarity and space constraints, th</w:t>
      </w:r>
      <w:r w:rsidR="007A3BC3">
        <w:t>e framework</w:t>
      </w:r>
      <w:r w:rsidR="005D6AE7">
        <w:t xml:space="preserve"> </w:t>
      </w:r>
      <w:r>
        <w:t>focuses on institutional dimensions</w:t>
      </w:r>
      <w:r w:rsidR="007A3BC3">
        <w:t xml:space="preserve"> of the global regulatory context</w:t>
      </w:r>
      <w:r>
        <w:t xml:space="preserve"> and thus holds many other </w:t>
      </w:r>
      <w:r w:rsidR="007A3BC3">
        <w:t xml:space="preserve">related </w:t>
      </w:r>
      <w:r>
        <w:t>factors constant. As a simplifying assumption, we consider cases where there is significant distributional conflict centered on c</w:t>
      </w:r>
      <w:r w:rsidR="00802541">
        <w:t>lashing</w:t>
      </w:r>
      <w:r>
        <w:t xml:space="preserve"> regulatory practices. Future work will thus want to examine the ways in which the global context shape</w:t>
      </w:r>
      <w:r w:rsidR="00286A53">
        <w:t>s</w:t>
      </w:r>
      <w:r>
        <w:t xml:space="preserve"> normative alignment</w:t>
      </w:r>
      <w:r w:rsidR="00525EA6">
        <w:t xml:space="preserve"> (Newman and Posner</w:t>
      </w:r>
      <w:r w:rsidR="004977DF">
        <w:t>, 2014</w:t>
      </w:r>
      <w:r w:rsidR="00525EA6">
        <w:t>)</w:t>
      </w:r>
      <w:r>
        <w:t xml:space="preserve">. </w:t>
      </w:r>
      <w:r w:rsidR="008B327E">
        <w:t xml:space="preserve"> A </w:t>
      </w:r>
      <w:r>
        <w:t xml:space="preserve">strong ideational frame such as ‘the Washington Consensus’ or </w:t>
      </w:r>
      <w:r w:rsidR="008B327E">
        <w:t>neo-liberal principle may become part of the global regulatory context and as a result shape EU influence</w:t>
      </w:r>
      <w:r w:rsidR="00D10FD8">
        <w:t xml:space="preserve"> </w:t>
      </w:r>
      <w:r w:rsidR="00537900">
        <w:fldChar w:fldCharType="begin"/>
      </w:r>
      <w:r w:rsidR="002E46EC">
        <w:instrText xml:space="preserve"> ADDIN ZOTERO_ITEM CSL_CITATION {"citationID":"f7y5d09r","properties":{"formattedCitation":"{\\rtf (Abdelal 2007; Elliot Posner and V\\uc0\\u233{}ron 2010)}","plainCitation":"(Abdelal 2007; Elliot Posner and Véron 2010)"},"citationItems":[{"id":1216,"uris":["http://zotero.org/users/72538/items/HWR4S9RT"],"uri":["http://zotero.org/users/72538/items/HWR4S9RT"],"itemData":{"id":1216,"type":"book","title":"Capital Rules: The construction of Global Finance","publisher":"Cambridge University Press","publisher-place":"Cambridge","event-place":"Cambridge","author":[{"family":"Abdelal","given":"Rawi"}],"issued":{"date-parts":[["2007"]]}}},{"id":928,"uris":["http://zotero.org/users/72538/items/E4PPVQTQ"],"uri":["http://zotero.org/users/72538/items/E4PPVQTQ"],"itemData":{"id":928,"type":"article-journal","title":"The EU and financial regulation: power without purpose?","container-title":"Journal of European Public Policy","page":"400-415","volume":"17","source":"CrossRef","DOI":"10.1080/13501761003661950","ISSN":"1350-1763, 1466-4429","shortTitle":"The EU and financial regulation","author":[{"family":"Posner","given":"Elliot"},{"family":"Véron","given":"Nicolas"}],"issued":{"date-parts":[["2010",4]]},"accessed":{"date-parts":[["2011",12,13]]}}}],"schema":"https://github.com/citation-style-language/schema/raw/master/csl-citation.json"} </w:instrText>
      </w:r>
      <w:r w:rsidR="00537900">
        <w:fldChar w:fldCharType="separate"/>
      </w:r>
      <w:r w:rsidR="00486179" w:rsidRPr="00486179">
        <w:rPr>
          <w:rFonts w:ascii="Cambria"/>
        </w:rPr>
        <w:t>(Abdelal 2007</w:t>
      </w:r>
      <w:r w:rsidR="004369C5">
        <w:rPr>
          <w:rFonts w:ascii="Cambria"/>
        </w:rPr>
        <w:t>)</w:t>
      </w:r>
      <w:r w:rsidR="00537900">
        <w:fldChar w:fldCharType="end"/>
      </w:r>
      <w:r w:rsidR="008B327E">
        <w:t xml:space="preserve">. We would expect that in cases of strong normative consensus, the EU </w:t>
      </w:r>
      <w:proofErr w:type="gramStart"/>
      <w:r w:rsidR="008B327E">
        <w:t>may</w:t>
      </w:r>
      <w:proofErr w:type="gramEnd"/>
      <w:r w:rsidR="008B327E">
        <w:t xml:space="preserve"> either play a relatively inconsequential role as one of many regulatory followers or as part of the leading coalition among like-minded regulators. In either case, we would expect the context to b</w:t>
      </w:r>
      <w:r w:rsidR="00525EA6">
        <w:t>e a strong determinant of</w:t>
      </w:r>
      <w:r w:rsidR="008B327E">
        <w:t xml:space="preserve"> the result</w:t>
      </w:r>
      <w:r w:rsidR="00525EA6">
        <w:t>,</w:t>
      </w:r>
      <w:r w:rsidR="008B327E">
        <w:t xml:space="preserve"> as there would be less space for political contestation. </w:t>
      </w:r>
    </w:p>
    <w:p w14:paraId="4E670486" w14:textId="1E0C5EF6" w:rsidR="004744CE" w:rsidRDefault="008B327E" w:rsidP="00525EA6">
      <w:pPr>
        <w:spacing w:line="480" w:lineRule="auto"/>
        <w:ind w:firstLine="720"/>
        <w:rPr>
          <w:b/>
        </w:rPr>
      </w:pPr>
      <w:r>
        <w:t>Despite these limit</w:t>
      </w:r>
      <w:r w:rsidR="009C64D7">
        <w:t>ations</w:t>
      </w:r>
      <w:r>
        <w:t>, w</w:t>
      </w:r>
      <w:r w:rsidR="00443C26">
        <w:t>e believe</w:t>
      </w:r>
      <w:r w:rsidR="009C64D7">
        <w:t xml:space="preserve"> the framework </w:t>
      </w:r>
      <w:r w:rsidR="00525EA6">
        <w:t xml:space="preserve">improves on current </w:t>
      </w:r>
      <w:r w:rsidR="009C64D7">
        <w:t xml:space="preserve">understanding of global regulation and the EU’s role in developing it.  </w:t>
      </w:r>
      <w:r w:rsidR="004744CE">
        <w:t>In keeping with the ‘new interdependence’ approach presented by Farrell and Newman (2014), the paper underscores the global aspects of domestic institutions. Rather than</w:t>
      </w:r>
      <w:r w:rsidR="00911703">
        <w:t xml:space="preserve"> depict domestic institutions as</w:t>
      </w:r>
      <w:r w:rsidR="004744CE">
        <w:t xml:space="preserve"> simpl</w:t>
      </w:r>
      <w:r w:rsidR="002D6239">
        <w:t>e</w:t>
      </w:r>
      <w:r w:rsidR="004744CE">
        <w:t xml:space="preserve"> veto points that filter and aggregate domestic preferences or</w:t>
      </w:r>
      <w:r w:rsidR="00911703">
        <w:t xml:space="preserve"> as</w:t>
      </w:r>
      <w:r w:rsidR="004744CE">
        <w:t xml:space="preserve"> </w:t>
      </w:r>
      <w:r w:rsidR="002D6239">
        <w:t xml:space="preserve">sources of national </w:t>
      </w:r>
      <w:r w:rsidR="004744CE">
        <w:t>capacit</w:t>
      </w:r>
      <w:r w:rsidR="002D6239">
        <w:t>ies for</w:t>
      </w:r>
      <w:r w:rsidR="004744CE">
        <w:t xml:space="preserve"> individual stat</w:t>
      </w:r>
      <w:r w:rsidR="002D6239">
        <w:t>es</w:t>
      </w:r>
      <w:r w:rsidR="00911703">
        <w:t xml:space="preserve">, the framework suggests why scholars should treat them as </w:t>
      </w:r>
      <w:r w:rsidR="004744CE">
        <w:t xml:space="preserve">important elements of the </w:t>
      </w:r>
      <w:r w:rsidR="002D6239">
        <w:t xml:space="preserve">global </w:t>
      </w:r>
      <w:r w:rsidR="004744CE">
        <w:t>systemic context.</w:t>
      </w:r>
    </w:p>
    <w:p w14:paraId="61255D92" w14:textId="34763973" w:rsidR="005601B5" w:rsidRDefault="00E27385">
      <w:pPr>
        <w:spacing w:line="480" w:lineRule="auto"/>
        <w:ind w:firstLine="360"/>
      </w:pPr>
      <w:r>
        <w:t>Specifically</w:t>
      </w:r>
      <w:r w:rsidR="00443C26">
        <w:t>,</w:t>
      </w:r>
      <w:r w:rsidR="00955F89">
        <w:t xml:space="preserve"> our approach helps to </w:t>
      </w:r>
      <w:r w:rsidR="00A12ADC">
        <w:t>understand</w:t>
      </w:r>
      <w:r w:rsidR="00955F89">
        <w:t xml:space="preserve"> competing empirical claims</w:t>
      </w:r>
      <w:r w:rsidR="00F05A82">
        <w:t>, discussed above,</w:t>
      </w:r>
      <w:r w:rsidR="00955F89">
        <w:t xml:space="preserve"> about EU influence and impotence</w:t>
      </w:r>
      <w:r>
        <w:t xml:space="preserve"> and sharpens the logic behind theoretical propositions</w:t>
      </w:r>
      <w:r w:rsidR="00955F89">
        <w:t>.</w:t>
      </w:r>
      <w:r w:rsidR="00A12ADC">
        <w:t xml:space="preserve">  </w:t>
      </w:r>
      <w:r w:rsidR="00566CEE">
        <w:t xml:space="preserve">Empirically, </w:t>
      </w:r>
      <w:r w:rsidR="00A12ADC">
        <w:t xml:space="preserve">Table 1’s four types of strategies </w:t>
      </w:r>
      <w:r w:rsidR="00BB10D2">
        <w:t>lay</w:t>
      </w:r>
      <w:r w:rsidR="00AF7C2F">
        <w:t xml:space="preserve"> out in sharp relief why scholars can arrive at radically different conclusions:  the EU is likely to adopt different strategies under different configurations of the global institutional context.</w:t>
      </w:r>
      <w:r w:rsidR="00DC22A7">
        <w:t xml:space="preserve">  </w:t>
      </w:r>
      <w:r w:rsidR="00BB10D2">
        <w:t xml:space="preserve"> </w:t>
      </w:r>
      <w:r w:rsidR="008B0715">
        <w:t xml:space="preserve">Accordingly, </w:t>
      </w:r>
      <w:r w:rsidR="00BB10D2">
        <w:t>EU influence is</w:t>
      </w:r>
      <w:r w:rsidR="007645C1">
        <w:t xml:space="preserve"> expected to be </w:t>
      </w:r>
      <w:r w:rsidR="00BB10D2">
        <w:t xml:space="preserve">less likely when conditions </w:t>
      </w:r>
      <w:r w:rsidR="008B0715">
        <w:t xml:space="preserve">give rise to </w:t>
      </w:r>
      <w:r w:rsidR="00BB10D2">
        <w:t xml:space="preserve">coalition-building strategies, as </w:t>
      </w:r>
      <w:r w:rsidR="008B0715">
        <w:t xml:space="preserve">in </w:t>
      </w:r>
      <w:r w:rsidR="00AB4CB1">
        <w:t>the case of food and safety standards developed through the Codex Alimentarius</w:t>
      </w:r>
      <w:r w:rsidR="008B0715">
        <w:t xml:space="preserve">, </w:t>
      </w:r>
      <w:r w:rsidR="00BB10D2">
        <w:t xml:space="preserve">than </w:t>
      </w:r>
      <w:r w:rsidR="008B0715">
        <w:t xml:space="preserve">when the context pushes the EU toward first-mover </w:t>
      </w:r>
      <w:r w:rsidR="00AB4CB1">
        <w:t xml:space="preserve">agenda setting </w:t>
      </w:r>
      <w:r w:rsidR="008B0715">
        <w:t xml:space="preserve">strategies, as </w:t>
      </w:r>
      <w:r w:rsidR="00BB10D2">
        <w:t>in the case of</w:t>
      </w:r>
      <w:r w:rsidR="007645C1">
        <w:t xml:space="preserve"> standards development in </w:t>
      </w:r>
      <w:r w:rsidR="00AB4CB1">
        <w:t>the International Standards Organization</w:t>
      </w:r>
      <w:r w:rsidR="008B0715">
        <w:t>.   Likewise, the outcomes in</w:t>
      </w:r>
      <w:r w:rsidR="002D3A90">
        <w:t xml:space="preserve"> bilateral</w:t>
      </w:r>
      <w:r w:rsidR="008B0715">
        <w:t xml:space="preserve"> EU-US negotiations over</w:t>
      </w:r>
      <w:r w:rsidR="002D3A90">
        <w:t xml:space="preserve"> financial services regulation, </w:t>
      </w:r>
      <w:r w:rsidR="008B0715">
        <w:t xml:space="preserve">where the EU has operated </w:t>
      </w:r>
      <w:r w:rsidR="007645C1">
        <w:t xml:space="preserve">largely </w:t>
      </w:r>
      <w:r w:rsidR="008B0715">
        <w:t>under a mutual recognition strategy,</w:t>
      </w:r>
      <w:r w:rsidR="00F64237">
        <w:t xml:space="preserve"> will differ from those in</w:t>
      </w:r>
      <w:r w:rsidR="00724993">
        <w:t xml:space="preserve"> disputes over chemical regulations,</w:t>
      </w:r>
      <w:r w:rsidR="002D3A90">
        <w:t xml:space="preserve"> </w:t>
      </w:r>
      <w:r w:rsidR="00724993">
        <w:t>where the</w:t>
      </w:r>
      <w:r w:rsidR="007645C1">
        <w:t xml:space="preserve"> EU has adopted</w:t>
      </w:r>
      <w:r w:rsidR="00724993">
        <w:t xml:space="preserve"> regulatory export strategies.</w:t>
      </w:r>
      <w:r w:rsidR="00566CEE">
        <w:t xml:space="preserve">  The approach thus integrates a number of empirical claims that have either been depicted as competing arguments or have</w:t>
      </w:r>
      <w:r w:rsidR="004977DF">
        <w:t xml:space="preserve"> largely</w:t>
      </w:r>
      <w:r w:rsidR="00566CEE">
        <w:t xml:space="preserve"> ignored one another.  </w:t>
      </w:r>
      <w:r w:rsidR="00724993">
        <w:t xml:space="preserve"> </w:t>
      </w:r>
    </w:p>
    <w:p w14:paraId="46499789" w14:textId="2E56A28C" w:rsidR="007645C1" w:rsidRDefault="00566CEE" w:rsidP="00E9067E">
      <w:pPr>
        <w:spacing w:line="480" w:lineRule="auto"/>
        <w:ind w:firstLine="360"/>
      </w:pPr>
      <w:r>
        <w:t>Theoretically</w:t>
      </w:r>
      <w:r w:rsidR="007645C1">
        <w:t xml:space="preserve">, </w:t>
      </w:r>
      <w:r>
        <w:t xml:space="preserve">using our framework, the sometimes-wide </w:t>
      </w:r>
      <w:r w:rsidR="007645C1">
        <w:t>divide between civilian and normative power</w:t>
      </w:r>
      <w:r>
        <w:t xml:space="preserve"> approaches</w:t>
      </w:r>
      <w:r w:rsidR="007645C1">
        <w:t xml:space="preserve"> beco</w:t>
      </w:r>
      <w:r>
        <w:t xml:space="preserve">mes a secondary issue.  </w:t>
      </w:r>
      <w:r w:rsidR="00BF68EC">
        <w:t>R</w:t>
      </w:r>
      <w:r w:rsidR="0003475A">
        <w:t>egulation is based both on the substance of rules and the institutions that enforce them. Thus,</w:t>
      </w:r>
      <w:r>
        <w:t xml:space="preserve"> </w:t>
      </w:r>
      <w:r w:rsidR="007645C1">
        <w:t>the concept of relative regulatory capacity</w:t>
      </w:r>
      <w:r w:rsidR="00B31426">
        <w:t xml:space="preserve"> subsumes</w:t>
      </w:r>
      <w:r w:rsidR="007645C1">
        <w:t xml:space="preserve"> </w:t>
      </w:r>
      <w:r w:rsidR="0003475A">
        <w:t>and integrates</w:t>
      </w:r>
      <w:r w:rsidR="007645C1">
        <w:t xml:space="preserve"> </w:t>
      </w:r>
      <w:r>
        <w:t>elements of both types of power</w:t>
      </w:r>
      <w:r w:rsidR="0003475A">
        <w:t>. Moreover, our approach underscores</w:t>
      </w:r>
      <w:r w:rsidR="009C3C1A">
        <w:t xml:space="preserve"> that</w:t>
      </w:r>
      <w:r w:rsidR="0003475A">
        <w:t xml:space="preserve"> </w:t>
      </w:r>
      <w:r w:rsidR="007645C1">
        <w:t>the embedded</w:t>
      </w:r>
      <w:r>
        <w:t>ness of</w:t>
      </w:r>
      <w:r w:rsidR="009C3C1A">
        <w:t xml:space="preserve"> </w:t>
      </w:r>
      <w:r w:rsidR="0003475A">
        <w:t xml:space="preserve">normative and civilian </w:t>
      </w:r>
      <w:r w:rsidR="009C3C1A">
        <w:t>power</w:t>
      </w:r>
      <w:r w:rsidR="007645C1">
        <w:t xml:space="preserve"> </w:t>
      </w:r>
      <w:r w:rsidR="009C3C1A">
        <w:t>–</w:t>
      </w:r>
      <w:r>
        <w:t xml:space="preserve"> </w:t>
      </w:r>
      <w:r w:rsidR="00F67EC3">
        <w:t xml:space="preserve">specifically, </w:t>
      </w:r>
      <w:r w:rsidR="009C3C1A">
        <w:t xml:space="preserve">the </w:t>
      </w:r>
      <w:r w:rsidR="007645C1">
        <w:t>context</w:t>
      </w:r>
      <w:r>
        <w:t xml:space="preserve"> --</w:t>
      </w:r>
      <w:r w:rsidR="007645C1">
        <w:t xml:space="preserve"> emerges as the primary determinant of EU foreign regulatory engagement. </w:t>
      </w:r>
      <w:r>
        <w:t xml:space="preserve"> In this sense, the analytic framework reorients the theoretical debate </w:t>
      </w:r>
      <w:r w:rsidR="0003475A">
        <w:t xml:space="preserve">away from an artificial distinction between substance and process and </w:t>
      </w:r>
      <w:r>
        <w:t>contextualiz</w:t>
      </w:r>
      <w:r w:rsidR="0003475A">
        <w:t>es</w:t>
      </w:r>
      <w:r>
        <w:t xml:space="preserve"> an array of causal processes within the broader global environment</w:t>
      </w:r>
      <w:r w:rsidR="0005661D">
        <w:t>.</w:t>
      </w:r>
      <w:r w:rsidR="0003475A">
        <w:t xml:space="preserve"> Put another way, EU power resources (regardless of their particular attributes) must be situated both in terms of their relationship to the power resources of other great powers</w:t>
      </w:r>
      <w:r>
        <w:t xml:space="preserve"> </w:t>
      </w:r>
      <w:r w:rsidR="0003475A">
        <w:t>as well as</w:t>
      </w:r>
      <w:r w:rsidR="009C3C1A">
        <w:t xml:space="preserve"> to</w:t>
      </w:r>
      <w:r w:rsidR="0003475A">
        <w:t xml:space="preserve"> the institutions in which great powers interact.</w:t>
      </w:r>
      <w:r w:rsidR="0005661D">
        <w:t xml:space="preserve"> In</w:t>
      </w:r>
      <w:r>
        <w:t xml:space="preserve"> so doing, </w:t>
      </w:r>
      <w:r w:rsidR="009373CD">
        <w:t>the framework</w:t>
      </w:r>
      <w:r w:rsidR="0005661D">
        <w:t xml:space="preserve"> suggests </w:t>
      </w:r>
      <w:r w:rsidR="0003475A">
        <w:t>the policy strategies available to the</w:t>
      </w:r>
      <w:r w:rsidR="0005661D">
        <w:t xml:space="preserve"> EU </w:t>
      </w:r>
      <w:r w:rsidR="0003475A">
        <w:t xml:space="preserve">(as well as other regulatory great powers) </w:t>
      </w:r>
      <w:r w:rsidR="0005661D">
        <w:t xml:space="preserve">and </w:t>
      </w:r>
      <w:r>
        <w:t>better</w:t>
      </w:r>
      <w:r w:rsidR="0005661D">
        <w:t xml:space="preserve"> estimates</w:t>
      </w:r>
      <w:r>
        <w:t xml:space="preserve"> the likelihood of EU influence in global regulatory debates.</w:t>
      </w:r>
      <w:r w:rsidR="007645C1">
        <w:t xml:space="preserve"> </w:t>
      </w:r>
    </w:p>
    <w:p w14:paraId="0C396C30" w14:textId="1AD2D3C5" w:rsidR="0046037C" w:rsidRDefault="0046037C" w:rsidP="00E9067E">
      <w:pPr>
        <w:spacing w:line="480" w:lineRule="auto"/>
        <w:ind w:firstLine="360"/>
      </w:pPr>
      <w:r>
        <w:br w:type="page"/>
      </w:r>
    </w:p>
    <w:p w14:paraId="11F81C59" w14:textId="77777777" w:rsidR="009E6A91" w:rsidRDefault="00D10FD8" w:rsidP="004369C5">
      <w:pPr>
        <w:spacing w:line="480" w:lineRule="auto"/>
      </w:pPr>
      <w:r>
        <w:t>Bibliography</w:t>
      </w:r>
    </w:p>
    <w:p w14:paraId="2D0FC4BC" w14:textId="68D41787" w:rsidR="00B860A6" w:rsidRPr="00B860A6" w:rsidRDefault="00537900" w:rsidP="00E9067E">
      <w:pPr>
        <w:pStyle w:val="Bibliography"/>
      </w:pPr>
      <w:r>
        <w:fldChar w:fldCharType="begin"/>
      </w:r>
      <w:r w:rsidR="002E46EC">
        <w:instrText xml:space="preserve"> ADDIN ZOTERO_BIBL {"custom":[]} CSL_BIBLIOGRAPHY </w:instrText>
      </w:r>
      <w:r>
        <w:fldChar w:fldCharType="separate"/>
      </w:r>
      <w:r w:rsidR="00B860A6" w:rsidRPr="00B860A6">
        <w:t>Abbott, K</w:t>
      </w:r>
      <w:r w:rsidR="008758C4">
        <w:t>enneth, and Duncan</w:t>
      </w:r>
      <w:r w:rsidR="00B860A6" w:rsidRPr="00B860A6">
        <w:t xml:space="preserve"> Snidal. 2000. “Hard and Soft Law in International Governance.” </w:t>
      </w:r>
      <w:r w:rsidR="00B860A6" w:rsidRPr="00B860A6">
        <w:rPr>
          <w:i/>
          <w:iCs/>
        </w:rPr>
        <w:t>International Organization</w:t>
      </w:r>
      <w:r w:rsidR="00B860A6" w:rsidRPr="00B860A6">
        <w:t xml:space="preserve"> 54: 421–56.</w:t>
      </w:r>
    </w:p>
    <w:p w14:paraId="7EC91375" w14:textId="77777777" w:rsidR="00EB0632" w:rsidRDefault="00B860A6" w:rsidP="00E9067E">
      <w:pPr>
        <w:pStyle w:val="Bibliography"/>
      </w:pPr>
      <w:r w:rsidRPr="00B860A6">
        <w:t xml:space="preserve">Abdelal, Rawi. 2007. </w:t>
      </w:r>
      <w:r w:rsidRPr="00B860A6">
        <w:rPr>
          <w:i/>
          <w:iCs/>
        </w:rPr>
        <w:t>Capital Rules: The Construction of Global Finance</w:t>
      </w:r>
      <w:r w:rsidRPr="00B860A6">
        <w:t>. Cambridge: Cambridge University Press.</w:t>
      </w:r>
    </w:p>
    <w:p w14:paraId="5C40721A" w14:textId="2AFFB15D" w:rsidR="00EB0632" w:rsidRPr="00EB0632" w:rsidRDefault="00EB0632" w:rsidP="00E9067E">
      <w:pPr>
        <w:pStyle w:val="Bibliography"/>
      </w:pPr>
      <w:r>
        <w:t xml:space="preserve">Alter, Karen. 2014. </w:t>
      </w:r>
      <w:r w:rsidRPr="00E9067E">
        <w:rPr>
          <w:i/>
        </w:rPr>
        <w:t>The New Terrain of International Law: Courts, Politics, Rights</w:t>
      </w:r>
      <w:r>
        <w:t xml:space="preserve"> .  Princeton : Princeton University Press.</w:t>
      </w:r>
    </w:p>
    <w:p w14:paraId="4F37764D" w14:textId="77777777" w:rsidR="00B860A6" w:rsidRPr="00B860A6" w:rsidRDefault="00B860A6" w:rsidP="00E9067E">
      <w:pPr>
        <w:pStyle w:val="Bibliography"/>
      </w:pPr>
      <w:r w:rsidRPr="00B860A6">
        <w:t xml:space="preserve">Andonova, Liliana B. 2004. </w:t>
      </w:r>
      <w:r w:rsidRPr="00B860A6">
        <w:rPr>
          <w:i/>
          <w:iCs/>
        </w:rPr>
        <w:t>Transnational Politics of the Environment: The European Union and Environmental Policy in Central and Eastern Europe</w:t>
      </w:r>
      <w:r w:rsidRPr="00B860A6">
        <w:t>. MIT Press.</w:t>
      </w:r>
    </w:p>
    <w:p w14:paraId="1DC25632" w14:textId="6654DD2D" w:rsidR="00B860A6" w:rsidRPr="00B860A6" w:rsidRDefault="00B860A6" w:rsidP="00E9067E">
      <w:pPr>
        <w:pStyle w:val="Bibliography"/>
      </w:pPr>
      <w:r w:rsidRPr="00B860A6">
        <w:t xml:space="preserve">Axelrod, Robert, and Robert O. Keohane. 1985. “Achieving Cooperation under Anarchy: Strategies and Institutions.” </w:t>
      </w:r>
      <w:r w:rsidRPr="00B860A6">
        <w:rPr>
          <w:i/>
          <w:iCs/>
        </w:rPr>
        <w:t>World Politics</w:t>
      </w:r>
      <w:r w:rsidRPr="00B860A6">
        <w:t xml:space="preserve"> 38 (01): 226–54. </w:t>
      </w:r>
    </w:p>
    <w:p w14:paraId="4371770F" w14:textId="593D24B2" w:rsidR="00B860A6" w:rsidRPr="00B860A6" w:rsidRDefault="008758C4" w:rsidP="00E9067E">
      <w:pPr>
        <w:pStyle w:val="Bibliography"/>
      </w:pPr>
      <w:r>
        <w:t>Bach, David, and Abraham</w:t>
      </w:r>
      <w:r w:rsidR="00B860A6" w:rsidRPr="00B860A6">
        <w:t xml:space="preserve"> Newman. 2007. “The European Regulatory State and Global Public Policy: Micro-Institutions and Macro-Influence.” </w:t>
      </w:r>
      <w:r w:rsidR="00B860A6" w:rsidRPr="00B860A6">
        <w:rPr>
          <w:i/>
          <w:iCs/>
        </w:rPr>
        <w:t>Journal of European Public Policy</w:t>
      </w:r>
      <w:r w:rsidR="00B860A6" w:rsidRPr="00B860A6">
        <w:t xml:space="preserve"> 16 (4): 827–46.</w:t>
      </w:r>
    </w:p>
    <w:p w14:paraId="72F14B72" w14:textId="60B60394" w:rsidR="00B860A6" w:rsidRPr="00B860A6" w:rsidRDefault="00B860A6" w:rsidP="00E9067E">
      <w:pPr>
        <w:pStyle w:val="Bibliography"/>
      </w:pPr>
      <w:r w:rsidRPr="00B860A6">
        <w:t xml:space="preserve">Bach, David, and Abraham L. Newman. 2010. “Governing Lipitor and Lipstick: Capacity, Sequencing, and Power in International Pharmaceutical and Cosmetics Regulation.” </w:t>
      </w:r>
      <w:r w:rsidRPr="00B860A6">
        <w:rPr>
          <w:i/>
          <w:iCs/>
        </w:rPr>
        <w:t>Review of International Political Economy</w:t>
      </w:r>
      <w:r w:rsidRPr="00B860A6">
        <w:t xml:space="preserve"> 17 (4): 665–95. </w:t>
      </w:r>
    </w:p>
    <w:p w14:paraId="2DE83BD1" w14:textId="36F2A760" w:rsidR="00B860A6" w:rsidRPr="00B860A6" w:rsidRDefault="00B860A6" w:rsidP="00E9067E">
      <w:pPr>
        <w:pStyle w:val="Bibliography"/>
      </w:pPr>
      <w:r w:rsidRPr="00B860A6">
        <w:t xml:space="preserve">Bicchi, Federica. 2006. “‘Our Size Fits All’: Normative Power Europe and the Mediterranean.” </w:t>
      </w:r>
      <w:r w:rsidRPr="00B860A6">
        <w:rPr>
          <w:i/>
          <w:iCs/>
        </w:rPr>
        <w:t>Journal of European Public Policy</w:t>
      </w:r>
      <w:r w:rsidRPr="00B860A6">
        <w:t xml:space="preserve"> 13 (2): 286–303. </w:t>
      </w:r>
    </w:p>
    <w:p w14:paraId="414B8DE1" w14:textId="77777777" w:rsidR="00B860A6" w:rsidRPr="00B860A6" w:rsidRDefault="00B860A6" w:rsidP="00E9067E">
      <w:pPr>
        <w:pStyle w:val="Bibliography"/>
      </w:pPr>
      <w:r w:rsidRPr="00B860A6">
        <w:t xml:space="preserve">Bradford, Anu. 2012. “Brussels Effect, The.” </w:t>
      </w:r>
      <w:r w:rsidRPr="00B860A6">
        <w:rPr>
          <w:i/>
          <w:iCs/>
        </w:rPr>
        <w:t>Northwestern University Law Review</w:t>
      </w:r>
      <w:r w:rsidRPr="00B860A6">
        <w:t xml:space="preserve"> 107: 1.</w:t>
      </w:r>
    </w:p>
    <w:p w14:paraId="0A8EB91F" w14:textId="6907E543" w:rsidR="00B860A6" w:rsidRPr="00B860A6" w:rsidRDefault="008758C4" w:rsidP="00E9067E">
      <w:pPr>
        <w:pStyle w:val="Bibliography"/>
      </w:pPr>
      <w:r>
        <w:t>Bretherton, Charlotte, and John</w:t>
      </w:r>
      <w:r w:rsidR="00B860A6" w:rsidRPr="00B860A6">
        <w:t xml:space="preserve"> Vogler. 1999. </w:t>
      </w:r>
      <w:r w:rsidR="00B860A6" w:rsidRPr="00B860A6">
        <w:rPr>
          <w:i/>
          <w:iCs/>
        </w:rPr>
        <w:t>The European Union as a Global Actor</w:t>
      </w:r>
      <w:r w:rsidR="00B860A6" w:rsidRPr="00B860A6">
        <w:t>. London: Routledge.</w:t>
      </w:r>
    </w:p>
    <w:p w14:paraId="20609F93" w14:textId="160BEE9C" w:rsidR="00B860A6" w:rsidRPr="00B860A6" w:rsidRDefault="00B860A6" w:rsidP="00E9067E">
      <w:pPr>
        <w:pStyle w:val="Bibliography"/>
      </w:pPr>
      <w:r w:rsidRPr="00B860A6">
        <w:t xml:space="preserve">Bretherton, Charlotte, and John Vogler. 2013. “A Global Actor Past Its Peak?” </w:t>
      </w:r>
      <w:r w:rsidRPr="00B860A6">
        <w:rPr>
          <w:i/>
          <w:iCs/>
        </w:rPr>
        <w:t>International Relations</w:t>
      </w:r>
      <w:r w:rsidRPr="00B860A6">
        <w:t xml:space="preserve"> 27 (3): 375–90. </w:t>
      </w:r>
    </w:p>
    <w:p w14:paraId="35D67E8E" w14:textId="77777777" w:rsidR="00B860A6" w:rsidRPr="00B860A6" w:rsidRDefault="00B860A6" w:rsidP="00E9067E">
      <w:pPr>
        <w:pStyle w:val="Bibliography"/>
      </w:pPr>
      <w:r w:rsidRPr="00B860A6">
        <w:t xml:space="preserve">Búrca, Gráinne. 2012. “EU External Relations: The Governance Mode of Foreign Policy.” In </w:t>
      </w:r>
      <w:r w:rsidRPr="00B860A6">
        <w:rPr>
          <w:i/>
          <w:iCs/>
        </w:rPr>
        <w:t>The Legal Dimension of Global Governance: What Role for the EU</w:t>
      </w:r>
      <w:r w:rsidRPr="00B860A6">
        <w:t>. Oxford: Oxford Univeristy Press.</w:t>
      </w:r>
    </w:p>
    <w:p w14:paraId="00C1D140" w14:textId="1693208E" w:rsidR="00B860A6" w:rsidRPr="00B860A6" w:rsidRDefault="00B860A6" w:rsidP="00E9067E">
      <w:pPr>
        <w:pStyle w:val="Bibliography"/>
      </w:pPr>
      <w:r w:rsidRPr="00B860A6">
        <w:t>Büthe, T</w:t>
      </w:r>
      <w:r w:rsidR="008758C4">
        <w:t>im.</w:t>
      </w:r>
      <w:r w:rsidRPr="00B860A6">
        <w:t xml:space="preserve"> 2002. “Taking Temporality Seriously: Modeling History and the Use of Narratives as Evidence.” </w:t>
      </w:r>
      <w:r w:rsidRPr="00B860A6">
        <w:rPr>
          <w:i/>
          <w:iCs/>
        </w:rPr>
        <w:t>American Political Science Review</w:t>
      </w:r>
      <w:r w:rsidRPr="00B860A6">
        <w:t xml:space="preserve"> 96 (3): 481–93.</w:t>
      </w:r>
    </w:p>
    <w:p w14:paraId="2685388D" w14:textId="77777777" w:rsidR="00B860A6" w:rsidRPr="00B860A6" w:rsidRDefault="00B860A6" w:rsidP="00E9067E">
      <w:pPr>
        <w:pStyle w:val="Bibliography"/>
      </w:pPr>
      <w:r w:rsidRPr="00B860A6">
        <w:t xml:space="preserve">Büthe, Tim, and Walter Mattli. 2011. </w:t>
      </w:r>
      <w:r w:rsidRPr="00B860A6">
        <w:rPr>
          <w:i/>
          <w:iCs/>
        </w:rPr>
        <w:t>The New Global Rulers: The Privatization of Regulation in the World Economy</w:t>
      </w:r>
      <w:r w:rsidRPr="00B860A6">
        <w:t>. Princeton University Press.</w:t>
      </w:r>
    </w:p>
    <w:p w14:paraId="5FD74AD2" w14:textId="62CD9D41" w:rsidR="00B860A6" w:rsidRPr="00B860A6" w:rsidRDefault="00B860A6" w:rsidP="00E9067E">
      <w:pPr>
        <w:pStyle w:val="Bibliography"/>
      </w:pPr>
      <w:r w:rsidRPr="00B860A6">
        <w:t xml:space="preserve">Copelovitch, Mark S., and Tonya L. Putnam. 2014. “Design in Context: Existing International Agreements and New Cooperation.” </w:t>
      </w:r>
      <w:r w:rsidRPr="00B860A6">
        <w:rPr>
          <w:i/>
          <w:iCs/>
        </w:rPr>
        <w:t>International Organization</w:t>
      </w:r>
      <w:r w:rsidRPr="00B860A6">
        <w:t xml:space="preserve"> 68 (02): 471–93. </w:t>
      </w:r>
    </w:p>
    <w:p w14:paraId="615E3836" w14:textId="0516A481" w:rsidR="00B860A6" w:rsidRPr="00B860A6" w:rsidRDefault="00B860A6" w:rsidP="00E9067E">
      <w:pPr>
        <w:pStyle w:val="Bibliography"/>
      </w:pPr>
      <w:r w:rsidRPr="00B860A6">
        <w:t xml:space="preserve">Damro, Chad. 2012. “Market Power Europe.” </w:t>
      </w:r>
      <w:r w:rsidRPr="00B860A6">
        <w:rPr>
          <w:i/>
          <w:iCs/>
        </w:rPr>
        <w:t>Journal of European Public Policy</w:t>
      </w:r>
      <w:r w:rsidRPr="00B860A6">
        <w:t xml:space="preserve"> 19 (5): 682–99. </w:t>
      </w:r>
    </w:p>
    <w:p w14:paraId="769F5092" w14:textId="77777777" w:rsidR="00B860A6" w:rsidRPr="00B860A6" w:rsidRDefault="00B860A6" w:rsidP="00E9067E">
      <w:pPr>
        <w:pStyle w:val="Bibliography"/>
      </w:pPr>
      <w:r w:rsidRPr="00B860A6">
        <w:t xml:space="preserve">Davis, Christina L. 2004. “International Institutions and Issue Linkage: Building Support for Agricultural Trade Liberalization.” </w:t>
      </w:r>
      <w:r w:rsidRPr="00B860A6">
        <w:rPr>
          <w:i/>
          <w:iCs/>
        </w:rPr>
        <w:t>The American Political Science Review</w:t>
      </w:r>
      <w:r w:rsidRPr="00B860A6">
        <w:t xml:space="preserve"> 98 (1): 153–69.</w:t>
      </w:r>
    </w:p>
    <w:p w14:paraId="58E2F2E3" w14:textId="2554B716" w:rsidR="00B860A6" w:rsidRPr="00B860A6" w:rsidRDefault="00B860A6" w:rsidP="00E9067E">
      <w:pPr>
        <w:pStyle w:val="Bibliography"/>
      </w:pPr>
      <w:r w:rsidRPr="00B860A6">
        <w:t>Drezner, D</w:t>
      </w:r>
      <w:r w:rsidR="008758C4">
        <w:t>aniel</w:t>
      </w:r>
      <w:r w:rsidRPr="00B860A6">
        <w:t xml:space="preserve">. 2007. </w:t>
      </w:r>
      <w:r w:rsidRPr="00B860A6">
        <w:rPr>
          <w:i/>
          <w:iCs/>
        </w:rPr>
        <w:t>All Politics Is Global: Explaining International Regulatory Regimes</w:t>
      </w:r>
      <w:r w:rsidRPr="00B860A6">
        <w:t>. Princeton: Princeton University Press.</w:t>
      </w:r>
    </w:p>
    <w:p w14:paraId="158CE66E" w14:textId="50B18CD4" w:rsidR="00B860A6" w:rsidRPr="00B860A6" w:rsidRDefault="00B860A6" w:rsidP="00E9067E">
      <w:pPr>
        <w:pStyle w:val="Bibliography"/>
      </w:pPr>
      <w:r w:rsidRPr="00B860A6">
        <w:t xml:space="preserve">Falkner, Robert. 2007. “The Political Economy of ‘normative Power’ Europe: EU Environmental Leadership in International Biotechnology Regulation.” </w:t>
      </w:r>
      <w:r w:rsidRPr="00B860A6">
        <w:rPr>
          <w:i/>
          <w:iCs/>
        </w:rPr>
        <w:t>Journal of European Public Policy</w:t>
      </w:r>
      <w:r w:rsidRPr="00B860A6">
        <w:t xml:space="preserve"> 14 (4): 507–26. </w:t>
      </w:r>
    </w:p>
    <w:p w14:paraId="5970B604" w14:textId="4674820C" w:rsidR="00B860A6" w:rsidRPr="00B860A6" w:rsidRDefault="00B860A6" w:rsidP="00E9067E">
      <w:pPr>
        <w:pStyle w:val="Bibliography"/>
      </w:pPr>
      <w:r w:rsidRPr="00B860A6">
        <w:t xml:space="preserve">Falleti, Tulia G., and Julia F. Lynch. 2009. “Context and Causal Mechanisms in Political Analysis.” </w:t>
      </w:r>
      <w:r w:rsidRPr="00B860A6">
        <w:rPr>
          <w:i/>
          <w:iCs/>
        </w:rPr>
        <w:t>Comparative Political Studies</w:t>
      </w:r>
      <w:r w:rsidRPr="00B860A6">
        <w:t xml:space="preserve">, April. </w:t>
      </w:r>
    </w:p>
    <w:p w14:paraId="5403B029" w14:textId="3E00961E" w:rsidR="00B860A6" w:rsidRPr="00B860A6" w:rsidRDefault="00B860A6" w:rsidP="00E9067E">
      <w:pPr>
        <w:pStyle w:val="Bibliography"/>
      </w:pPr>
      <w:r w:rsidRPr="00B860A6">
        <w:t>Farrell, H</w:t>
      </w:r>
      <w:r w:rsidR="008758C4">
        <w:t>enry</w:t>
      </w:r>
      <w:r w:rsidRPr="00B860A6">
        <w:t xml:space="preserve">. 2003. “Constructing the International Foundations of E-Commerce: The EU-US Safe Harbor Arrangement.” </w:t>
      </w:r>
      <w:r w:rsidRPr="00B860A6">
        <w:rPr>
          <w:i/>
          <w:iCs/>
        </w:rPr>
        <w:t>International Organization</w:t>
      </w:r>
      <w:r w:rsidRPr="00B860A6">
        <w:t xml:space="preserve"> 2: 277–306.</w:t>
      </w:r>
    </w:p>
    <w:p w14:paraId="2C8A06A3" w14:textId="7EADE8D0" w:rsidR="00B860A6" w:rsidRPr="00B860A6" w:rsidRDefault="00B860A6" w:rsidP="00E9067E">
      <w:pPr>
        <w:pStyle w:val="Bibliography"/>
      </w:pPr>
      <w:r w:rsidRPr="00B860A6">
        <w:t xml:space="preserve">Farrell, Henry, and Abraham L. Newman. 2010. “Making Global Markets: Historical Institutionalism in International Political Economy.” </w:t>
      </w:r>
      <w:r w:rsidRPr="00B860A6">
        <w:rPr>
          <w:i/>
          <w:iCs/>
        </w:rPr>
        <w:t>Review of International Political Economy</w:t>
      </w:r>
      <w:r w:rsidRPr="00B860A6">
        <w:t xml:space="preserve"> 17 (4): 609–38. </w:t>
      </w:r>
    </w:p>
    <w:p w14:paraId="462D6AB7" w14:textId="70C96753" w:rsidR="00B860A6" w:rsidRPr="00B860A6" w:rsidRDefault="00B860A6" w:rsidP="00E9067E">
      <w:pPr>
        <w:pStyle w:val="Bibliography"/>
      </w:pPr>
      <w:r w:rsidRPr="00B860A6">
        <w:t xml:space="preserve">———. 2014. “Domestic Institutions beyond the Nation-State: Charting the New Interdependence Approach.” </w:t>
      </w:r>
      <w:r w:rsidRPr="00B860A6">
        <w:rPr>
          <w:i/>
          <w:iCs/>
        </w:rPr>
        <w:t>World Politics</w:t>
      </w:r>
      <w:r w:rsidRPr="00B860A6">
        <w:t xml:space="preserve"> 66 (02): 331–63. </w:t>
      </w:r>
    </w:p>
    <w:p w14:paraId="5763BD9B" w14:textId="378BCF8C" w:rsidR="00B860A6" w:rsidRPr="00B860A6" w:rsidRDefault="00B860A6" w:rsidP="00E9067E">
      <w:pPr>
        <w:pStyle w:val="Bibliography"/>
      </w:pPr>
      <w:r w:rsidRPr="00B860A6">
        <w:t>Finnemore, M</w:t>
      </w:r>
      <w:r w:rsidR="008758C4">
        <w:t>artha</w:t>
      </w:r>
      <w:r w:rsidRPr="00B860A6">
        <w:t xml:space="preserve">. 1996. </w:t>
      </w:r>
      <w:r w:rsidRPr="00B860A6">
        <w:rPr>
          <w:i/>
          <w:iCs/>
        </w:rPr>
        <w:t>National Interests in International Society</w:t>
      </w:r>
      <w:r w:rsidRPr="00B860A6">
        <w:t>. Ithaca: Cornell University Press.</w:t>
      </w:r>
    </w:p>
    <w:p w14:paraId="286DB5F5" w14:textId="798DCD6A" w:rsidR="00B860A6" w:rsidRPr="00B860A6" w:rsidRDefault="00B860A6" w:rsidP="00E9067E">
      <w:pPr>
        <w:pStyle w:val="Bibliography"/>
      </w:pPr>
      <w:r w:rsidRPr="00B860A6">
        <w:t xml:space="preserve">Fioretos, Orfeo. 2011. “Historical Institutionalism in International Relations.” </w:t>
      </w:r>
      <w:r w:rsidRPr="00B860A6">
        <w:rPr>
          <w:i/>
          <w:iCs/>
        </w:rPr>
        <w:t>International Organization</w:t>
      </w:r>
      <w:r w:rsidRPr="00B860A6">
        <w:t xml:space="preserve"> 65 (02): 367–99. </w:t>
      </w:r>
    </w:p>
    <w:p w14:paraId="4D28D2A8" w14:textId="2EB3E694" w:rsidR="00EB0632" w:rsidRDefault="00B860A6" w:rsidP="00E9067E">
      <w:pPr>
        <w:pStyle w:val="Bibliography"/>
      </w:pPr>
      <w:r w:rsidRPr="00B860A6">
        <w:t>George, A</w:t>
      </w:r>
      <w:r w:rsidR="008758C4">
        <w:t>lex, and Andrew</w:t>
      </w:r>
      <w:r w:rsidRPr="00B860A6">
        <w:t xml:space="preserve"> Bennett. 2005. </w:t>
      </w:r>
      <w:r w:rsidRPr="00B860A6">
        <w:rPr>
          <w:i/>
          <w:iCs/>
        </w:rPr>
        <w:t>Case Studies and Theory Development in the Social Sciences</w:t>
      </w:r>
      <w:r w:rsidRPr="00B860A6">
        <w:t>. Cambridge: MIT Press.</w:t>
      </w:r>
    </w:p>
    <w:p w14:paraId="2E43FAAE" w14:textId="3226434F" w:rsidR="00EB0632" w:rsidRPr="00EB0632" w:rsidRDefault="00EB0632" w:rsidP="00E9067E">
      <w:pPr>
        <w:pStyle w:val="Bibliography"/>
      </w:pPr>
      <w:r>
        <w:t xml:space="preserve">Green, Jessica F. 2014. </w:t>
      </w:r>
      <w:r w:rsidRPr="00E9067E">
        <w:rPr>
          <w:i/>
        </w:rPr>
        <w:t>Rethinking Private Authority: Agents and Entrepreneurs in Global Environmental Governance</w:t>
      </w:r>
      <w:r>
        <w:t>. Princeton: Princeton University Press.</w:t>
      </w:r>
    </w:p>
    <w:p w14:paraId="1B956835" w14:textId="46A176F5" w:rsidR="00B860A6" w:rsidRPr="00B860A6" w:rsidRDefault="00B860A6" w:rsidP="00E9067E">
      <w:pPr>
        <w:pStyle w:val="Bibliography"/>
      </w:pPr>
      <w:r w:rsidRPr="00B860A6">
        <w:t>Gruber, L</w:t>
      </w:r>
      <w:r w:rsidR="008758C4">
        <w:t>loyd</w:t>
      </w:r>
      <w:r w:rsidRPr="00B860A6">
        <w:t xml:space="preserve">. 2000. </w:t>
      </w:r>
      <w:r w:rsidRPr="00B860A6">
        <w:rPr>
          <w:i/>
          <w:iCs/>
        </w:rPr>
        <w:t>Ruling the World: Power Politics and the Rise of Supranational Institutions</w:t>
      </w:r>
      <w:r w:rsidRPr="00B860A6">
        <w:t>. Princeton: Princeton University Press.</w:t>
      </w:r>
    </w:p>
    <w:p w14:paraId="4DCB89E0" w14:textId="500E5BDC" w:rsidR="00B860A6" w:rsidRPr="00B860A6" w:rsidRDefault="00B860A6" w:rsidP="00E9067E">
      <w:pPr>
        <w:pStyle w:val="Bibliography"/>
      </w:pPr>
      <w:r w:rsidRPr="00B860A6">
        <w:t xml:space="preserve">Jacoby, Wade, and Sophie Meunier. 2010. “Europe and the Management of Globalization.” </w:t>
      </w:r>
      <w:r w:rsidRPr="00B860A6">
        <w:rPr>
          <w:i/>
          <w:iCs/>
        </w:rPr>
        <w:t>Journal of European Public Policy</w:t>
      </w:r>
      <w:r w:rsidRPr="00B860A6">
        <w:t xml:space="preserve"> 17 (3): 299–317. </w:t>
      </w:r>
    </w:p>
    <w:p w14:paraId="1475414D" w14:textId="77777777" w:rsidR="00B860A6" w:rsidRPr="00B860A6" w:rsidRDefault="00B860A6" w:rsidP="00E9067E">
      <w:pPr>
        <w:pStyle w:val="Bibliography"/>
      </w:pPr>
      <w:r w:rsidRPr="00B860A6">
        <w:t xml:space="preserve">Jervis, Robert. 1997. </w:t>
      </w:r>
      <w:r w:rsidRPr="00B860A6">
        <w:rPr>
          <w:i/>
          <w:iCs/>
        </w:rPr>
        <w:t>System Effects: Complexity in Political and Social Life</w:t>
      </w:r>
      <w:r w:rsidRPr="00B860A6">
        <w:t>. Princeton: Princenton University Press.</w:t>
      </w:r>
    </w:p>
    <w:p w14:paraId="7156E22A" w14:textId="74889535" w:rsidR="00B860A6" w:rsidRPr="00B860A6" w:rsidRDefault="008758C4" w:rsidP="00E9067E">
      <w:pPr>
        <w:pStyle w:val="Bibliography"/>
      </w:pPr>
      <w:r>
        <w:t>Jordana, Jacint, and David</w:t>
      </w:r>
      <w:r w:rsidR="00B860A6" w:rsidRPr="00B860A6">
        <w:t xml:space="preserve"> Levi-Faur. 2004. </w:t>
      </w:r>
      <w:r w:rsidR="00B860A6" w:rsidRPr="00B860A6">
        <w:rPr>
          <w:i/>
          <w:iCs/>
        </w:rPr>
        <w:t>The Politics of Regulation: Institutions and Regulatory Reform for the Age of Governance</w:t>
      </w:r>
      <w:r w:rsidR="00B860A6" w:rsidRPr="00B860A6">
        <w:t>. Northhampton: Edward Elgar.</w:t>
      </w:r>
    </w:p>
    <w:p w14:paraId="2D2F5221" w14:textId="36D10293" w:rsidR="00B860A6" w:rsidRPr="00B860A6" w:rsidRDefault="00B860A6" w:rsidP="00E9067E">
      <w:pPr>
        <w:pStyle w:val="Bibliography"/>
      </w:pPr>
      <w:r w:rsidRPr="00B860A6">
        <w:t>Jupille, J</w:t>
      </w:r>
      <w:r w:rsidR="008758C4">
        <w:t>oseph</w:t>
      </w:r>
      <w:r w:rsidRPr="00B860A6">
        <w:t xml:space="preserve">. 1999. “The European Union and International Outcomes.” </w:t>
      </w:r>
      <w:r w:rsidRPr="00B860A6">
        <w:rPr>
          <w:i/>
          <w:iCs/>
        </w:rPr>
        <w:t>International Organization</w:t>
      </w:r>
      <w:r w:rsidRPr="00B860A6">
        <w:t xml:space="preserve"> 53 (2): 409–21.</w:t>
      </w:r>
    </w:p>
    <w:p w14:paraId="0B6E92FC" w14:textId="51E6E69B" w:rsidR="00B860A6" w:rsidRPr="00B860A6" w:rsidRDefault="00B860A6" w:rsidP="00E9067E">
      <w:pPr>
        <w:pStyle w:val="Bibliography"/>
      </w:pPr>
      <w:r w:rsidRPr="00B860A6">
        <w:t xml:space="preserve">Kelemen, R. Daniel, and David Vogel. 2010. “Trading Places: The Role of the United States and the European Union in International Environmental Politics.” </w:t>
      </w:r>
      <w:r w:rsidRPr="00B860A6">
        <w:rPr>
          <w:i/>
          <w:iCs/>
        </w:rPr>
        <w:t>Comparative Political Studies</w:t>
      </w:r>
      <w:r w:rsidRPr="00B860A6">
        <w:t xml:space="preserve"> 43 (4): 427–56. </w:t>
      </w:r>
    </w:p>
    <w:p w14:paraId="2C097C9A" w14:textId="0B5C7FAC" w:rsidR="00B860A6" w:rsidRPr="00B860A6" w:rsidRDefault="00B860A6" w:rsidP="00E9067E">
      <w:pPr>
        <w:pStyle w:val="Bibliography"/>
      </w:pPr>
      <w:r w:rsidRPr="00B860A6">
        <w:t>Keohane, R</w:t>
      </w:r>
      <w:r w:rsidR="008758C4">
        <w:t>obert</w:t>
      </w:r>
      <w:r w:rsidRPr="00B860A6">
        <w:t xml:space="preserve">. 1984. </w:t>
      </w:r>
      <w:r w:rsidRPr="00B860A6">
        <w:rPr>
          <w:i/>
          <w:iCs/>
        </w:rPr>
        <w:t>After Hegemony</w:t>
      </w:r>
      <w:r w:rsidRPr="00B860A6">
        <w:t>. Princeton: Princeton University Press.</w:t>
      </w:r>
    </w:p>
    <w:p w14:paraId="02FDFC7C" w14:textId="77777777" w:rsidR="00B860A6" w:rsidRPr="00B860A6" w:rsidRDefault="00B860A6" w:rsidP="00E9067E">
      <w:pPr>
        <w:pStyle w:val="Bibliography"/>
      </w:pPr>
      <w:r w:rsidRPr="00B860A6">
        <w:t xml:space="preserve">Laïdi, Zaki. 2008. </w:t>
      </w:r>
      <w:r w:rsidRPr="00B860A6">
        <w:rPr>
          <w:i/>
          <w:iCs/>
        </w:rPr>
        <w:t>EU Foreign Policy in a Globalized World: Normative Power and Social Preferences</w:t>
      </w:r>
      <w:r w:rsidRPr="00B860A6">
        <w:t>. Routledge.</w:t>
      </w:r>
    </w:p>
    <w:p w14:paraId="64CBE109" w14:textId="31FC4074" w:rsidR="00B860A6" w:rsidRPr="00B860A6" w:rsidRDefault="00B860A6" w:rsidP="00E9067E">
      <w:pPr>
        <w:pStyle w:val="Bibliography"/>
      </w:pPr>
      <w:r w:rsidRPr="00B860A6">
        <w:t xml:space="preserve">Lall, Ranjit. 2014. “Timing as a Source of Regulatory Influence: A Technical Elite Network Analysis of Global Finance.” </w:t>
      </w:r>
      <w:r w:rsidRPr="00B860A6">
        <w:rPr>
          <w:i/>
          <w:iCs/>
        </w:rPr>
        <w:t>Regulation &amp; Governance</w:t>
      </w:r>
      <w:r w:rsidRPr="00B860A6">
        <w:t>, March, n/a – n/a</w:t>
      </w:r>
      <w:r w:rsidR="009106EF">
        <w:t>.</w:t>
      </w:r>
    </w:p>
    <w:p w14:paraId="7C84F4C1" w14:textId="3541673A" w:rsidR="00B860A6" w:rsidRPr="00B860A6" w:rsidRDefault="00B860A6" w:rsidP="00E9067E">
      <w:pPr>
        <w:pStyle w:val="Bibliography"/>
      </w:pPr>
      <w:r w:rsidRPr="00B860A6">
        <w:t xml:space="preserve">Lavenex, Sandra, and Frank Schimmelfennig. 2009. “EU Rules beyond EU Borders: Theorizing External Governance in European Politics.” </w:t>
      </w:r>
      <w:r w:rsidRPr="00B860A6">
        <w:rPr>
          <w:i/>
          <w:iCs/>
        </w:rPr>
        <w:t>Journal of European Public Policy</w:t>
      </w:r>
      <w:r w:rsidRPr="00B860A6">
        <w:t xml:space="preserve"> 16 (6): 791–812. </w:t>
      </w:r>
    </w:p>
    <w:p w14:paraId="13AE82D5" w14:textId="2921E1AE" w:rsidR="00B860A6" w:rsidRPr="00B860A6" w:rsidRDefault="00B860A6" w:rsidP="00E9067E">
      <w:pPr>
        <w:pStyle w:val="Bibliography"/>
      </w:pPr>
      <w:r w:rsidRPr="00B860A6">
        <w:t xml:space="preserve">Leblond, Patrick. 2011. “EU, US and International Accounting Standards: A Delicate Balancing Act in Governing Global Finance.” </w:t>
      </w:r>
      <w:r w:rsidRPr="00B860A6">
        <w:rPr>
          <w:i/>
          <w:iCs/>
        </w:rPr>
        <w:t>Journal of European Public Policy</w:t>
      </w:r>
      <w:r w:rsidRPr="00B860A6">
        <w:t xml:space="preserve"> 18 (3): 443–61. </w:t>
      </w:r>
    </w:p>
    <w:p w14:paraId="28DDDC74" w14:textId="4C837A67" w:rsidR="00B860A6" w:rsidRPr="00B860A6" w:rsidRDefault="00B860A6" w:rsidP="00E9067E">
      <w:pPr>
        <w:pStyle w:val="Bibliography"/>
      </w:pPr>
      <w:r w:rsidRPr="00B860A6">
        <w:t xml:space="preserve">Lütz, Susanne. 2011. “Back to the Future? The Domestic Sources of Transatlantic Regulation.” </w:t>
      </w:r>
      <w:r w:rsidRPr="00B860A6">
        <w:rPr>
          <w:i/>
          <w:iCs/>
        </w:rPr>
        <w:t>Review of International Political Economy</w:t>
      </w:r>
      <w:r w:rsidRPr="00B860A6">
        <w:t xml:space="preserve"> 18 (4): iii – xxii. </w:t>
      </w:r>
    </w:p>
    <w:p w14:paraId="625F1505" w14:textId="6AFBAB70" w:rsidR="00B860A6" w:rsidRPr="00B860A6" w:rsidRDefault="00B860A6" w:rsidP="00E9067E">
      <w:pPr>
        <w:pStyle w:val="Bibliography"/>
      </w:pPr>
      <w:r w:rsidRPr="00B860A6">
        <w:t xml:space="preserve">Manners, Ian. 2006. “Normative Power Europe Reconsidered: Beyond the Crossroads.” </w:t>
      </w:r>
      <w:r w:rsidRPr="00B860A6">
        <w:rPr>
          <w:i/>
          <w:iCs/>
        </w:rPr>
        <w:t>Journal of European Public Policy</w:t>
      </w:r>
      <w:r w:rsidRPr="00B860A6">
        <w:t xml:space="preserve"> 13 (2): 182–99. </w:t>
      </w:r>
    </w:p>
    <w:p w14:paraId="74B65A92" w14:textId="2AAEA8BD" w:rsidR="00B860A6" w:rsidRPr="00B860A6" w:rsidRDefault="008758C4" w:rsidP="00E9067E">
      <w:pPr>
        <w:pStyle w:val="Bibliography"/>
      </w:pPr>
      <w:r>
        <w:t>Mattli, Walter</w:t>
      </w:r>
      <w:r w:rsidR="00B860A6" w:rsidRPr="00B860A6">
        <w:t>, and T</w:t>
      </w:r>
      <w:r>
        <w:t>im</w:t>
      </w:r>
      <w:r w:rsidR="00B860A6" w:rsidRPr="00B860A6">
        <w:t xml:space="preserve"> Büthe. 2003. “Setting International Standards: Technological Rationality or Primacy of Power.” </w:t>
      </w:r>
      <w:r w:rsidR="00B860A6" w:rsidRPr="00B860A6">
        <w:rPr>
          <w:i/>
          <w:iCs/>
        </w:rPr>
        <w:t>World Politics</w:t>
      </w:r>
      <w:r w:rsidR="00B860A6" w:rsidRPr="00B860A6">
        <w:t xml:space="preserve"> 56 (1): 1–42.</w:t>
      </w:r>
    </w:p>
    <w:p w14:paraId="12BD999D" w14:textId="77777777" w:rsidR="00B860A6" w:rsidRPr="00B860A6" w:rsidRDefault="00B860A6" w:rsidP="00E9067E">
      <w:pPr>
        <w:pStyle w:val="Bibliography"/>
      </w:pPr>
      <w:r w:rsidRPr="00B860A6">
        <w:t xml:space="preserve">Mattli, Walter, and Ngaire Woods. 2009. </w:t>
      </w:r>
      <w:r w:rsidRPr="00B860A6">
        <w:rPr>
          <w:i/>
          <w:iCs/>
        </w:rPr>
        <w:t>The Politics of Global Regulation</w:t>
      </w:r>
      <w:r w:rsidRPr="00B860A6">
        <w:t>. Princeton University Press.</w:t>
      </w:r>
    </w:p>
    <w:p w14:paraId="0EBAD835" w14:textId="02E3E17B" w:rsidR="00B860A6" w:rsidRPr="00B860A6" w:rsidRDefault="00B860A6" w:rsidP="00E9067E">
      <w:pPr>
        <w:pStyle w:val="Bibliography"/>
      </w:pPr>
      <w:r w:rsidRPr="00B860A6">
        <w:t>M</w:t>
      </w:r>
      <w:r w:rsidR="008758C4">
        <w:t>cNamara, Kathleen, and Sophie</w:t>
      </w:r>
      <w:r w:rsidRPr="00B860A6">
        <w:t xml:space="preserve"> Meunier. 2002. “Between National Sovereignty and International Power: What External Voice for the Euro.” </w:t>
      </w:r>
      <w:r w:rsidRPr="00B860A6">
        <w:rPr>
          <w:i/>
          <w:iCs/>
        </w:rPr>
        <w:t>International Affairs</w:t>
      </w:r>
      <w:r w:rsidRPr="00B860A6">
        <w:t xml:space="preserve"> 78 (4): 849–68.</w:t>
      </w:r>
    </w:p>
    <w:p w14:paraId="31051743" w14:textId="7B4DE872" w:rsidR="00B860A6" w:rsidRPr="00B860A6" w:rsidRDefault="00B860A6" w:rsidP="00E9067E">
      <w:pPr>
        <w:pStyle w:val="Bibliography"/>
      </w:pPr>
      <w:r w:rsidRPr="00B860A6">
        <w:t>Meunier, S</w:t>
      </w:r>
      <w:r w:rsidR="008758C4">
        <w:t>ophie</w:t>
      </w:r>
      <w:r w:rsidRPr="00B860A6">
        <w:t xml:space="preserve">. 2005. </w:t>
      </w:r>
      <w:r w:rsidRPr="00B860A6">
        <w:rPr>
          <w:i/>
          <w:iCs/>
        </w:rPr>
        <w:t>Trading Voices: The European Union in International Commercial Negotiations</w:t>
      </w:r>
      <w:r w:rsidRPr="00B860A6">
        <w:t>. Princeton: Princeton University Press.</w:t>
      </w:r>
    </w:p>
    <w:p w14:paraId="2B5A2D0C" w14:textId="53ECE8B7" w:rsidR="00B860A6" w:rsidRPr="00B860A6" w:rsidRDefault="00B860A6" w:rsidP="00E9067E">
      <w:pPr>
        <w:pStyle w:val="Bibliography"/>
      </w:pPr>
      <w:r w:rsidRPr="00B860A6">
        <w:t xml:space="preserve">Müller, Patrick, Zdenek Kudrna, and Gerda Falkner. 2014. “EU–global Interactions: Policy Export, Import, Promotion and Protection.” </w:t>
      </w:r>
      <w:r w:rsidRPr="00B860A6">
        <w:rPr>
          <w:i/>
          <w:iCs/>
        </w:rPr>
        <w:t>Journal of European Public Policy</w:t>
      </w:r>
      <w:r w:rsidRPr="00B860A6">
        <w:t xml:space="preserve"> 21 (8): 1102–19. </w:t>
      </w:r>
    </w:p>
    <w:p w14:paraId="3D7EF8AE" w14:textId="76DB6987" w:rsidR="00B860A6" w:rsidRPr="00B860A6" w:rsidRDefault="00B860A6" w:rsidP="00E9067E">
      <w:pPr>
        <w:pStyle w:val="Bibliography"/>
      </w:pPr>
      <w:r w:rsidRPr="00B860A6">
        <w:t>Newman, A</w:t>
      </w:r>
      <w:r w:rsidR="008758C4">
        <w:t>braham</w:t>
      </w:r>
      <w:r w:rsidRPr="00B860A6">
        <w:t xml:space="preserve">. 2008. </w:t>
      </w:r>
      <w:r w:rsidRPr="00B860A6">
        <w:rPr>
          <w:i/>
          <w:iCs/>
        </w:rPr>
        <w:t>Protectors of Privacy: Regulating Personal Data in the Global Economy</w:t>
      </w:r>
      <w:r w:rsidRPr="00B860A6">
        <w:t>. Ithaca: Cornell University Press.</w:t>
      </w:r>
    </w:p>
    <w:p w14:paraId="4B170473" w14:textId="42A8863A" w:rsidR="00B860A6" w:rsidRPr="00B860A6" w:rsidRDefault="00B860A6" w:rsidP="00E9067E">
      <w:pPr>
        <w:pStyle w:val="Bibliography"/>
      </w:pPr>
      <w:r w:rsidRPr="00B860A6">
        <w:t xml:space="preserve">Newman, Abraham, and Elliot Posner. 2011. “International Interdependence and Regulatory Power: Authority, Mobility, and Markets.” </w:t>
      </w:r>
      <w:r w:rsidRPr="00B860A6">
        <w:rPr>
          <w:i/>
          <w:iCs/>
        </w:rPr>
        <w:t>European Journal of International Relations</w:t>
      </w:r>
      <w:r w:rsidRPr="00B860A6">
        <w:t xml:space="preserve">, March. </w:t>
      </w:r>
    </w:p>
    <w:p w14:paraId="4D12966E" w14:textId="42D2FAB4" w:rsidR="00B860A6" w:rsidRPr="00B860A6" w:rsidRDefault="008758C4" w:rsidP="00E9067E">
      <w:pPr>
        <w:pStyle w:val="Bibliography"/>
      </w:pPr>
      <w:r>
        <w:t>Nicolaidis, Kalypso, and Greg</w:t>
      </w:r>
      <w:r w:rsidR="00B860A6" w:rsidRPr="00B860A6">
        <w:t xml:space="preserve"> Shaffer. 2005. “Transnational Mutual Recognition Regimes: Governance without Global Government.” </w:t>
      </w:r>
      <w:r w:rsidR="00B860A6" w:rsidRPr="00B860A6">
        <w:rPr>
          <w:i/>
          <w:iCs/>
        </w:rPr>
        <w:t>Law and Contemporary Problems</w:t>
      </w:r>
      <w:r w:rsidR="00B860A6" w:rsidRPr="00B860A6">
        <w:t xml:space="preserve"> 68: 263.</w:t>
      </w:r>
    </w:p>
    <w:p w14:paraId="5D21CDF4" w14:textId="56323F6D" w:rsidR="00B860A6" w:rsidRPr="00B860A6" w:rsidRDefault="00B860A6" w:rsidP="00E9067E">
      <w:pPr>
        <w:pStyle w:val="Bibliography"/>
      </w:pPr>
      <w:r w:rsidRPr="00B860A6">
        <w:t xml:space="preserve">Oatley, Thomas. 2011. “The Reductionist Gamble: Open Economy Politics in the Global Economy.” </w:t>
      </w:r>
      <w:r w:rsidRPr="00B860A6">
        <w:rPr>
          <w:i/>
          <w:iCs/>
        </w:rPr>
        <w:t>International Organization</w:t>
      </w:r>
      <w:r w:rsidRPr="00B860A6">
        <w:t xml:space="preserve"> 65 (02): 311–41. </w:t>
      </w:r>
    </w:p>
    <w:p w14:paraId="74E6FB3B" w14:textId="77777777" w:rsidR="00B860A6" w:rsidRPr="00B860A6" w:rsidRDefault="00B860A6" w:rsidP="00E9067E">
      <w:pPr>
        <w:pStyle w:val="Bibliography"/>
      </w:pPr>
      <w:r w:rsidRPr="00B860A6">
        <w:t xml:space="preserve">Pollack, Mark A., and Gregory C. Shaffer. 2009. </w:t>
      </w:r>
      <w:r w:rsidRPr="00B860A6">
        <w:rPr>
          <w:i/>
          <w:iCs/>
        </w:rPr>
        <w:t>When Cooperation Fails: The International Law and Politics of Genetically Modified Foods</w:t>
      </w:r>
      <w:r w:rsidRPr="00B860A6">
        <w:t>. Oxford University Press, USA.</w:t>
      </w:r>
    </w:p>
    <w:p w14:paraId="5C40EE5C" w14:textId="77777777" w:rsidR="00B860A6" w:rsidRPr="00B860A6" w:rsidRDefault="00B860A6" w:rsidP="00E9067E">
      <w:pPr>
        <w:pStyle w:val="Bibliography"/>
      </w:pPr>
      <w:r w:rsidRPr="00B860A6">
        <w:t xml:space="preserve">Porter, Tony. 2005. </w:t>
      </w:r>
      <w:r w:rsidRPr="00B860A6">
        <w:rPr>
          <w:i/>
          <w:iCs/>
        </w:rPr>
        <w:t>Globalization and Finance</w:t>
      </w:r>
      <w:r w:rsidRPr="00B860A6">
        <w:t>. Polity.</w:t>
      </w:r>
    </w:p>
    <w:p w14:paraId="420516DD" w14:textId="32E8A442" w:rsidR="00B860A6" w:rsidRPr="00B860A6" w:rsidRDefault="00B860A6" w:rsidP="00E9067E">
      <w:pPr>
        <w:pStyle w:val="Bibliography"/>
      </w:pPr>
      <w:r w:rsidRPr="00B860A6">
        <w:t>Posner, E</w:t>
      </w:r>
      <w:r w:rsidR="008758C4">
        <w:t>lliot</w:t>
      </w:r>
      <w:r w:rsidRPr="00B860A6">
        <w:t xml:space="preserve">. 2009. “Making Rules for Global Finance: Transatlantic Regulatory Cooperation at the Turn of the Millennium.” </w:t>
      </w:r>
      <w:r w:rsidRPr="00B860A6">
        <w:rPr>
          <w:i/>
          <w:iCs/>
        </w:rPr>
        <w:t>International Organization</w:t>
      </w:r>
      <w:r w:rsidRPr="00B860A6">
        <w:t xml:space="preserve"> 63 (4): 665–99.</w:t>
      </w:r>
    </w:p>
    <w:p w14:paraId="584AF526" w14:textId="60B82910" w:rsidR="00B860A6" w:rsidRPr="00B860A6" w:rsidRDefault="00B860A6" w:rsidP="00E9067E">
      <w:pPr>
        <w:pStyle w:val="Bibliography"/>
      </w:pPr>
      <w:r w:rsidRPr="00B860A6">
        <w:t xml:space="preserve">Posner, Elliot, and Nicolas Véron. 2010. “The EU and Financial Regulation: Power without Purpose?” </w:t>
      </w:r>
      <w:r w:rsidRPr="00B860A6">
        <w:rPr>
          <w:i/>
          <w:iCs/>
        </w:rPr>
        <w:t>Journal of European Public Policy</w:t>
      </w:r>
      <w:r w:rsidRPr="00B860A6">
        <w:t xml:space="preserve"> 17 (April): 400–415. </w:t>
      </w:r>
    </w:p>
    <w:p w14:paraId="4EAB9CFA" w14:textId="140C3D4E" w:rsidR="00B860A6" w:rsidRPr="00B860A6" w:rsidRDefault="00B860A6" w:rsidP="00E9067E">
      <w:pPr>
        <w:pStyle w:val="Bibliography"/>
      </w:pPr>
      <w:r w:rsidRPr="00B860A6">
        <w:t xml:space="preserve">Quaglia, Lucia. 2013. “The European Union, the USA and International Standard Setting by Regulatory Fora in Finance.” </w:t>
      </w:r>
      <w:r w:rsidRPr="00B860A6">
        <w:rPr>
          <w:i/>
          <w:iCs/>
        </w:rPr>
        <w:t>New Political Economy</w:t>
      </w:r>
      <w:r w:rsidRPr="00B860A6">
        <w:t xml:space="preserve"> 19 (3): 427–44. </w:t>
      </w:r>
    </w:p>
    <w:p w14:paraId="28B20B6C" w14:textId="21F23BCA" w:rsidR="00B860A6" w:rsidRPr="00B860A6" w:rsidRDefault="00B860A6" w:rsidP="00E9067E">
      <w:pPr>
        <w:pStyle w:val="Bibliography"/>
      </w:pPr>
      <w:r w:rsidRPr="00B860A6">
        <w:t>Richards, J</w:t>
      </w:r>
      <w:r w:rsidR="008758C4">
        <w:t>ohn</w:t>
      </w:r>
      <w:r w:rsidRPr="00B860A6">
        <w:t xml:space="preserve">. 1999. “Toward a Positive Theory of International Institutions: Regulating International Aviation Markets.” </w:t>
      </w:r>
      <w:r w:rsidRPr="00B860A6">
        <w:rPr>
          <w:i/>
          <w:iCs/>
        </w:rPr>
        <w:t>International Organization</w:t>
      </w:r>
      <w:r w:rsidRPr="00B860A6">
        <w:t xml:space="preserve"> 53 (1): 1–37.</w:t>
      </w:r>
    </w:p>
    <w:p w14:paraId="516CF797" w14:textId="41730112" w:rsidR="00B860A6" w:rsidRPr="00B860A6" w:rsidRDefault="00B860A6" w:rsidP="00E9067E">
      <w:pPr>
        <w:pStyle w:val="Bibliography"/>
      </w:pPr>
      <w:r w:rsidRPr="00B860A6">
        <w:t>Risse-Kappan, T</w:t>
      </w:r>
      <w:r w:rsidR="008758C4">
        <w:t>homas</w:t>
      </w:r>
      <w:r w:rsidRPr="00B860A6">
        <w:t xml:space="preserve">. 1995. </w:t>
      </w:r>
      <w:r w:rsidRPr="00B860A6">
        <w:rPr>
          <w:i/>
          <w:iCs/>
        </w:rPr>
        <w:t>Bringing Transnational Actors Back In.</w:t>
      </w:r>
      <w:r w:rsidRPr="00B860A6">
        <w:t xml:space="preserve"> Cambridge: Cambridge University Press.</w:t>
      </w:r>
    </w:p>
    <w:p w14:paraId="5C632F06" w14:textId="5E83B506" w:rsidR="00B860A6" w:rsidRPr="00B860A6" w:rsidRDefault="00B860A6" w:rsidP="00E9067E">
      <w:pPr>
        <w:pStyle w:val="Bibliography"/>
      </w:pPr>
      <w:r w:rsidRPr="00B860A6">
        <w:t xml:space="preserve">Risse-Kappen, Thomas. 1994. “Ideas Do Not Float Freely: Transnational Coalitions, Domestic Structures, and the End of the Cold War.” </w:t>
      </w:r>
      <w:r w:rsidRPr="00B860A6">
        <w:rPr>
          <w:i/>
          <w:iCs/>
        </w:rPr>
        <w:t>International Organization</w:t>
      </w:r>
      <w:r w:rsidRPr="00B860A6">
        <w:t xml:space="preserve"> 48 (02): 185–214. </w:t>
      </w:r>
    </w:p>
    <w:p w14:paraId="640FEAD8" w14:textId="77777777" w:rsidR="00B860A6" w:rsidRPr="00B860A6" w:rsidRDefault="00B860A6" w:rsidP="00E9067E">
      <w:pPr>
        <w:pStyle w:val="Bibliography"/>
      </w:pPr>
      <w:r w:rsidRPr="00B860A6">
        <w:t xml:space="preserve">Ruggie, John Gerard. 1998. </w:t>
      </w:r>
      <w:r w:rsidRPr="00B860A6">
        <w:rPr>
          <w:i/>
          <w:iCs/>
        </w:rPr>
        <w:t>Constructing the World Polity: Essays on International Institutionalization</w:t>
      </w:r>
      <w:r w:rsidRPr="00B860A6">
        <w:t>. Psychology Press.</w:t>
      </w:r>
    </w:p>
    <w:p w14:paraId="51B14F5D" w14:textId="178FCB29" w:rsidR="00B860A6" w:rsidRPr="00B860A6" w:rsidRDefault="008758C4" w:rsidP="00E9067E">
      <w:pPr>
        <w:pStyle w:val="Bibliography"/>
      </w:pPr>
      <w:r>
        <w:t>Sabel, Charles, and Jonathan</w:t>
      </w:r>
      <w:r w:rsidR="00B860A6" w:rsidRPr="00B860A6">
        <w:t xml:space="preserve"> Zeitlin. 2010. </w:t>
      </w:r>
      <w:r w:rsidR="00B860A6" w:rsidRPr="00B860A6">
        <w:rPr>
          <w:i/>
          <w:iCs/>
        </w:rPr>
        <w:t>Experimentalist Governance in the European Union: Towards a New Architecutre</w:t>
      </w:r>
      <w:r w:rsidR="00B860A6" w:rsidRPr="00B860A6">
        <w:t>. Oxford: Oxford University Press.</w:t>
      </w:r>
    </w:p>
    <w:p w14:paraId="1A3E7608" w14:textId="7DC47D92" w:rsidR="00B860A6" w:rsidRPr="00B860A6" w:rsidRDefault="00B860A6" w:rsidP="00E9067E">
      <w:pPr>
        <w:pStyle w:val="Bibliography"/>
      </w:pPr>
      <w:r w:rsidRPr="00B860A6">
        <w:t xml:space="preserve">Sbragia, Alberta. 2010. “The EU, the US, and Trade Policy: Competitive Interdependence in the Management of Globalization.” </w:t>
      </w:r>
      <w:r w:rsidRPr="00B860A6">
        <w:rPr>
          <w:i/>
          <w:iCs/>
        </w:rPr>
        <w:t>Journal of European Public Policy</w:t>
      </w:r>
      <w:r w:rsidRPr="00B860A6">
        <w:t xml:space="preserve"> 17 (3): 368–82. </w:t>
      </w:r>
    </w:p>
    <w:p w14:paraId="6942E32D" w14:textId="0271A84F" w:rsidR="00B860A6" w:rsidRPr="00B860A6" w:rsidRDefault="00B860A6" w:rsidP="00E9067E">
      <w:pPr>
        <w:pStyle w:val="Bibliography"/>
      </w:pPr>
      <w:r w:rsidRPr="00B860A6">
        <w:t>Simmons, B</w:t>
      </w:r>
      <w:r w:rsidR="008758C4">
        <w:t>eth</w:t>
      </w:r>
      <w:r w:rsidRPr="00B860A6">
        <w:t xml:space="preserve">. 2001. “The International Politics of Harmonization: The Case of Capital Market Regulation.” </w:t>
      </w:r>
      <w:r w:rsidRPr="00B860A6">
        <w:rPr>
          <w:i/>
          <w:iCs/>
        </w:rPr>
        <w:t>International Organization</w:t>
      </w:r>
      <w:r w:rsidRPr="00B860A6">
        <w:t xml:space="preserve"> 55: 589–620.</w:t>
      </w:r>
    </w:p>
    <w:p w14:paraId="4612201F" w14:textId="41534D49" w:rsidR="00B860A6" w:rsidRPr="00B860A6" w:rsidRDefault="00B860A6" w:rsidP="00E9067E">
      <w:pPr>
        <w:pStyle w:val="Bibliography"/>
      </w:pPr>
      <w:r w:rsidRPr="00B860A6">
        <w:t>Slaughte</w:t>
      </w:r>
      <w:r w:rsidR="008758C4">
        <w:t>r, Anne-Marie</w:t>
      </w:r>
      <w:r w:rsidRPr="00B860A6">
        <w:t xml:space="preserve"> 2004. </w:t>
      </w:r>
      <w:r w:rsidRPr="00B860A6">
        <w:rPr>
          <w:i/>
          <w:iCs/>
        </w:rPr>
        <w:t>A New World Order</w:t>
      </w:r>
      <w:r w:rsidRPr="00B860A6">
        <w:t>. Princeton: Princeton University Press.</w:t>
      </w:r>
    </w:p>
    <w:p w14:paraId="406718E2" w14:textId="7612346F" w:rsidR="00B860A6" w:rsidRPr="00B860A6" w:rsidRDefault="00B860A6" w:rsidP="00E9067E">
      <w:pPr>
        <w:pStyle w:val="Bibliography"/>
      </w:pPr>
      <w:r w:rsidRPr="00B860A6">
        <w:t xml:space="preserve">Tarrow, Sidney. 2001. “TRANSNATIONAL POLITICS: Contention and Institutions in International Politics.” </w:t>
      </w:r>
      <w:r w:rsidRPr="00B860A6">
        <w:rPr>
          <w:i/>
          <w:iCs/>
        </w:rPr>
        <w:t>Annual Review of Political Science</w:t>
      </w:r>
      <w:r w:rsidRPr="00B860A6">
        <w:t xml:space="preserve"> 4 (1): 1–20. </w:t>
      </w:r>
    </w:p>
    <w:p w14:paraId="4E3264DA" w14:textId="77777777" w:rsidR="00B860A6" w:rsidRPr="00B860A6" w:rsidRDefault="00B860A6" w:rsidP="00E9067E">
      <w:pPr>
        <w:pStyle w:val="Bibliography"/>
      </w:pPr>
      <w:r w:rsidRPr="00B860A6">
        <w:t xml:space="preserve">Vogel, David. 2012. </w:t>
      </w:r>
      <w:r w:rsidRPr="00B860A6">
        <w:rPr>
          <w:i/>
          <w:iCs/>
        </w:rPr>
        <w:t>The Politics of Precaution: Regulating Health, Safety, and Environmental Risks in Europe and the United States</w:t>
      </w:r>
      <w:r w:rsidRPr="00B860A6">
        <w:t>. Princeton University Press.</w:t>
      </w:r>
    </w:p>
    <w:p w14:paraId="7E53D55C" w14:textId="35F8E93E" w:rsidR="00B860A6" w:rsidRPr="00B860A6" w:rsidRDefault="00B860A6" w:rsidP="00E9067E">
      <w:pPr>
        <w:pStyle w:val="Bibliography"/>
      </w:pPr>
      <w:r w:rsidRPr="00B860A6">
        <w:t>Waltz, K</w:t>
      </w:r>
      <w:r w:rsidR="008758C4">
        <w:t>enneth</w:t>
      </w:r>
      <w:r w:rsidRPr="00B860A6">
        <w:t xml:space="preserve">. 1979. </w:t>
      </w:r>
      <w:r w:rsidRPr="00B860A6">
        <w:rPr>
          <w:i/>
          <w:iCs/>
        </w:rPr>
        <w:t>Theory of International Politics</w:t>
      </w:r>
      <w:r w:rsidRPr="00B860A6">
        <w:t>. Reading: Addison-Wesley.</w:t>
      </w:r>
    </w:p>
    <w:p w14:paraId="712D2647" w14:textId="2918D1AE" w:rsidR="00B860A6" w:rsidRPr="00B860A6" w:rsidRDefault="00B860A6" w:rsidP="00E9067E">
      <w:pPr>
        <w:pStyle w:val="Bibliography"/>
      </w:pPr>
      <w:r w:rsidRPr="00B860A6">
        <w:t>Weber, S</w:t>
      </w:r>
      <w:r w:rsidR="008758C4">
        <w:t>teve</w:t>
      </w:r>
      <w:r w:rsidRPr="00B860A6">
        <w:t xml:space="preserve">. 1994. “The Origins of the European Bank of Reconstruction.” </w:t>
      </w:r>
      <w:r w:rsidRPr="00B860A6">
        <w:rPr>
          <w:i/>
          <w:iCs/>
        </w:rPr>
        <w:t>International Organization</w:t>
      </w:r>
      <w:r w:rsidRPr="00B860A6">
        <w:t xml:space="preserve"> 48: 1–38.</w:t>
      </w:r>
    </w:p>
    <w:p w14:paraId="6C22555F" w14:textId="77777777" w:rsidR="00B860A6" w:rsidRPr="00B860A6" w:rsidRDefault="00B860A6" w:rsidP="00E9067E">
      <w:pPr>
        <w:pStyle w:val="Bibliography"/>
      </w:pPr>
      <w:r w:rsidRPr="00B860A6">
        <w:t xml:space="preserve">Wendt, Alexander. 1998. “On Constitution and Causation in International Relations.” </w:t>
      </w:r>
      <w:r w:rsidRPr="00B860A6">
        <w:rPr>
          <w:i/>
          <w:iCs/>
        </w:rPr>
        <w:t>Review of International Studies</w:t>
      </w:r>
      <w:r w:rsidRPr="00B860A6">
        <w:t xml:space="preserve"> 24 (05): 101–18.</w:t>
      </w:r>
    </w:p>
    <w:p w14:paraId="7C3206C8" w14:textId="3830D81A" w:rsidR="00B860A6" w:rsidRPr="00B860A6" w:rsidRDefault="00B860A6" w:rsidP="00E9067E">
      <w:pPr>
        <w:pStyle w:val="Bibliography"/>
      </w:pPr>
      <w:r w:rsidRPr="00B860A6">
        <w:t>Young, A</w:t>
      </w:r>
      <w:r w:rsidR="008758C4">
        <w:t>lasdair</w:t>
      </w:r>
      <w:r w:rsidRPr="00B860A6">
        <w:t xml:space="preserve">. 2003. “Political Transfer and ‘Trading up’? Transatlantic Trade in Genetically Modified Food and US Politics.” </w:t>
      </w:r>
      <w:r w:rsidRPr="00B860A6">
        <w:rPr>
          <w:i/>
          <w:iCs/>
        </w:rPr>
        <w:t>World Politics</w:t>
      </w:r>
      <w:r w:rsidRPr="00B860A6">
        <w:t xml:space="preserve"> 55 (July): 457–84.</w:t>
      </w:r>
    </w:p>
    <w:p w14:paraId="263B2ECE" w14:textId="337283D5" w:rsidR="00B860A6" w:rsidRPr="00B860A6" w:rsidRDefault="00B860A6" w:rsidP="00E9067E">
      <w:pPr>
        <w:pStyle w:val="Bibliography"/>
      </w:pPr>
      <w:r w:rsidRPr="00B860A6">
        <w:t xml:space="preserve">Young, Alasdair R. 2014. “Europe as a Global Regulator? The Limits of EU Influence in International Food Safety Standards.” </w:t>
      </w:r>
      <w:r w:rsidRPr="00B860A6">
        <w:rPr>
          <w:i/>
          <w:iCs/>
        </w:rPr>
        <w:t>Journal of European Public Policy</w:t>
      </w:r>
      <w:r w:rsidRPr="00B860A6">
        <w:t xml:space="preserve"> 21 (6): 904–22. </w:t>
      </w:r>
    </w:p>
    <w:p w14:paraId="2FDCD206" w14:textId="77777777" w:rsidR="00D10FD8" w:rsidRDefault="00537900" w:rsidP="004369C5">
      <w:pPr>
        <w:spacing w:line="480" w:lineRule="auto"/>
      </w:pPr>
      <w:r>
        <w:fldChar w:fldCharType="end"/>
      </w:r>
    </w:p>
    <w:sectPr w:rsidR="00D10FD8" w:rsidSect="006E567B">
      <w:footerReference w:type="even" r:id="rId8"/>
      <w:footerReference w:type="default" r:id="rId9"/>
      <w:endnotePr>
        <w:numFmt w:val="decimal"/>
      </w:end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9ABD9" w14:textId="77777777" w:rsidR="00E00D74" w:rsidRDefault="00E00D74" w:rsidP="001B5226">
      <w:r>
        <w:separator/>
      </w:r>
    </w:p>
  </w:endnote>
  <w:endnote w:type="continuationSeparator" w:id="0">
    <w:p w14:paraId="7A45B087" w14:textId="77777777" w:rsidR="00E00D74" w:rsidRDefault="00E00D74" w:rsidP="001B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3886F" w14:textId="77777777" w:rsidR="00E00D74" w:rsidRDefault="00E00D74" w:rsidP="006E5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5CD03" w14:textId="77777777" w:rsidR="00E00D74" w:rsidRDefault="00E00D74" w:rsidP="001B52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E3A2" w14:textId="77777777" w:rsidR="00E00D74" w:rsidRDefault="00E00D74" w:rsidP="006E5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67E">
      <w:rPr>
        <w:rStyle w:val="PageNumber"/>
        <w:noProof/>
      </w:rPr>
      <w:t>5</w:t>
    </w:r>
    <w:r>
      <w:rPr>
        <w:rStyle w:val="PageNumber"/>
      </w:rPr>
      <w:fldChar w:fldCharType="end"/>
    </w:r>
  </w:p>
  <w:p w14:paraId="550CB1C4" w14:textId="77777777" w:rsidR="00E00D74" w:rsidRDefault="00E00D74" w:rsidP="001B522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37E07" w14:textId="77777777" w:rsidR="00E00D74" w:rsidRDefault="00E00D74" w:rsidP="001B5226">
      <w:r>
        <w:separator/>
      </w:r>
    </w:p>
  </w:footnote>
  <w:footnote w:type="continuationSeparator" w:id="0">
    <w:p w14:paraId="4F5B7087" w14:textId="77777777" w:rsidR="00E00D74" w:rsidRDefault="00E00D74" w:rsidP="001B52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C5F"/>
    <w:multiLevelType w:val="hybridMultilevel"/>
    <w:tmpl w:val="C7D840FC"/>
    <w:lvl w:ilvl="0" w:tplc="2F1CB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5D5966"/>
    <w:multiLevelType w:val="hybridMultilevel"/>
    <w:tmpl w:val="B7549748"/>
    <w:lvl w:ilvl="0" w:tplc="7A1601B4">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81259"/>
    <w:multiLevelType w:val="hybridMultilevel"/>
    <w:tmpl w:val="0B7266AC"/>
    <w:lvl w:ilvl="0" w:tplc="47ACE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6A6F60"/>
    <w:multiLevelType w:val="hybridMultilevel"/>
    <w:tmpl w:val="2464554A"/>
    <w:lvl w:ilvl="0" w:tplc="B7B2DD6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CE"/>
    <w:rsid w:val="000002C0"/>
    <w:rsid w:val="000100E0"/>
    <w:rsid w:val="00011E1F"/>
    <w:rsid w:val="0001288E"/>
    <w:rsid w:val="00013CDC"/>
    <w:rsid w:val="00014687"/>
    <w:rsid w:val="000149DF"/>
    <w:rsid w:val="0001691A"/>
    <w:rsid w:val="00017F9B"/>
    <w:rsid w:val="00020C46"/>
    <w:rsid w:val="00021B4D"/>
    <w:rsid w:val="000249B4"/>
    <w:rsid w:val="00030732"/>
    <w:rsid w:val="00031D81"/>
    <w:rsid w:val="00033A97"/>
    <w:rsid w:val="00034220"/>
    <w:rsid w:val="0003475A"/>
    <w:rsid w:val="00035409"/>
    <w:rsid w:val="0004051D"/>
    <w:rsid w:val="00042D48"/>
    <w:rsid w:val="00044AAF"/>
    <w:rsid w:val="000450FF"/>
    <w:rsid w:val="000467A4"/>
    <w:rsid w:val="0005661D"/>
    <w:rsid w:val="00057010"/>
    <w:rsid w:val="00057D15"/>
    <w:rsid w:val="00061196"/>
    <w:rsid w:val="00062213"/>
    <w:rsid w:val="00063C8A"/>
    <w:rsid w:val="00065A7A"/>
    <w:rsid w:val="00070BC2"/>
    <w:rsid w:val="0007108A"/>
    <w:rsid w:val="00075072"/>
    <w:rsid w:val="00076F25"/>
    <w:rsid w:val="00082756"/>
    <w:rsid w:val="00082787"/>
    <w:rsid w:val="00094170"/>
    <w:rsid w:val="0009551A"/>
    <w:rsid w:val="000A1C9E"/>
    <w:rsid w:val="000A20E1"/>
    <w:rsid w:val="000B0D7E"/>
    <w:rsid w:val="000B727C"/>
    <w:rsid w:val="000C2E46"/>
    <w:rsid w:val="000C34DA"/>
    <w:rsid w:val="000C40A4"/>
    <w:rsid w:val="000C6460"/>
    <w:rsid w:val="000D0769"/>
    <w:rsid w:val="000E04D3"/>
    <w:rsid w:val="000E0799"/>
    <w:rsid w:val="000E34ED"/>
    <w:rsid w:val="000E7471"/>
    <w:rsid w:val="000E7B9A"/>
    <w:rsid w:val="000F03D6"/>
    <w:rsid w:val="000F49E1"/>
    <w:rsid w:val="00100526"/>
    <w:rsid w:val="001005D0"/>
    <w:rsid w:val="00102F8F"/>
    <w:rsid w:val="0010403B"/>
    <w:rsid w:val="00104BEF"/>
    <w:rsid w:val="00105720"/>
    <w:rsid w:val="00106C3F"/>
    <w:rsid w:val="0011610A"/>
    <w:rsid w:val="00117CC0"/>
    <w:rsid w:val="00122611"/>
    <w:rsid w:val="00126259"/>
    <w:rsid w:val="001304E9"/>
    <w:rsid w:val="00132E64"/>
    <w:rsid w:val="00147B50"/>
    <w:rsid w:val="00151A95"/>
    <w:rsid w:val="00155272"/>
    <w:rsid w:val="00161924"/>
    <w:rsid w:val="0016522A"/>
    <w:rsid w:val="00171D37"/>
    <w:rsid w:val="00173992"/>
    <w:rsid w:val="00173F81"/>
    <w:rsid w:val="00174905"/>
    <w:rsid w:val="001957B2"/>
    <w:rsid w:val="001A256B"/>
    <w:rsid w:val="001A25E4"/>
    <w:rsid w:val="001A3657"/>
    <w:rsid w:val="001A463D"/>
    <w:rsid w:val="001B2A9B"/>
    <w:rsid w:val="001B3DA8"/>
    <w:rsid w:val="001B5226"/>
    <w:rsid w:val="001B57FE"/>
    <w:rsid w:val="001B61B3"/>
    <w:rsid w:val="001B639C"/>
    <w:rsid w:val="001C0DA1"/>
    <w:rsid w:val="001C331A"/>
    <w:rsid w:val="001C7CB5"/>
    <w:rsid w:val="001D5C2D"/>
    <w:rsid w:val="001D634A"/>
    <w:rsid w:val="001E14F4"/>
    <w:rsid w:val="001E45FF"/>
    <w:rsid w:val="001E6BCB"/>
    <w:rsid w:val="001F0FAA"/>
    <w:rsid w:val="001F2F32"/>
    <w:rsid w:val="001F5BE0"/>
    <w:rsid w:val="001F7429"/>
    <w:rsid w:val="00200BA7"/>
    <w:rsid w:val="002017D4"/>
    <w:rsid w:val="002050A3"/>
    <w:rsid w:val="00205FB0"/>
    <w:rsid w:val="00206A3B"/>
    <w:rsid w:val="00206D2A"/>
    <w:rsid w:val="002074A1"/>
    <w:rsid w:val="00215728"/>
    <w:rsid w:val="0021636A"/>
    <w:rsid w:val="002173DD"/>
    <w:rsid w:val="0022121B"/>
    <w:rsid w:val="00224AF7"/>
    <w:rsid w:val="00225EF3"/>
    <w:rsid w:val="002274DB"/>
    <w:rsid w:val="00233601"/>
    <w:rsid w:val="00235EB4"/>
    <w:rsid w:val="00236671"/>
    <w:rsid w:val="00243262"/>
    <w:rsid w:val="002551A1"/>
    <w:rsid w:val="00256818"/>
    <w:rsid w:val="00257441"/>
    <w:rsid w:val="00257C8B"/>
    <w:rsid w:val="00261168"/>
    <w:rsid w:val="0026169D"/>
    <w:rsid w:val="00262CFD"/>
    <w:rsid w:val="0026301A"/>
    <w:rsid w:val="00263D07"/>
    <w:rsid w:val="00266EE9"/>
    <w:rsid w:val="002752CC"/>
    <w:rsid w:val="00286022"/>
    <w:rsid w:val="00286A53"/>
    <w:rsid w:val="00290290"/>
    <w:rsid w:val="002A23E0"/>
    <w:rsid w:val="002A47A9"/>
    <w:rsid w:val="002A7A49"/>
    <w:rsid w:val="002B0FFD"/>
    <w:rsid w:val="002B21CA"/>
    <w:rsid w:val="002B22DA"/>
    <w:rsid w:val="002B3C4B"/>
    <w:rsid w:val="002B459E"/>
    <w:rsid w:val="002B5059"/>
    <w:rsid w:val="002B640D"/>
    <w:rsid w:val="002C1E8E"/>
    <w:rsid w:val="002C2AB7"/>
    <w:rsid w:val="002D0F49"/>
    <w:rsid w:val="002D3A90"/>
    <w:rsid w:val="002D43FE"/>
    <w:rsid w:val="002D6239"/>
    <w:rsid w:val="002D6F20"/>
    <w:rsid w:val="002E30ED"/>
    <w:rsid w:val="002E3A76"/>
    <w:rsid w:val="002E46EC"/>
    <w:rsid w:val="002E66D0"/>
    <w:rsid w:val="002E692C"/>
    <w:rsid w:val="002F0EEF"/>
    <w:rsid w:val="002F58FF"/>
    <w:rsid w:val="00300C59"/>
    <w:rsid w:val="003033F1"/>
    <w:rsid w:val="00303777"/>
    <w:rsid w:val="003267DE"/>
    <w:rsid w:val="0033417E"/>
    <w:rsid w:val="0033573A"/>
    <w:rsid w:val="00335AD4"/>
    <w:rsid w:val="00335EC2"/>
    <w:rsid w:val="00336F53"/>
    <w:rsid w:val="00340745"/>
    <w:rsid w:val="00340E79"/>
    <w:rsid w:val="00344B55"/>
    <w:rsid w:val="00344C0C"/>
    <w:rsid w:val="00344D89"/>
    <w:rsid w:val="00345B5D"/>
    <w:rsid w:val="00353C23"/>
    <w:rsid w:val="003547EE"/>
    <w:rsid w:val="00354E9B"/>
    <w:rsid w:val="00357B8F"/>
    <w:rsid w:val="00362AF2"/>
    <w:rsid w:val="00372F74"/>
    <w:rsid w:val="00373B9E"/>
    <w:rsid w:val="00373BD5"/>
    <w:rsid w:val="003740E3"/>
    <w:rsid w:val="00374910"/>
    <w:rsid w:val="00381B95"/>
    <w:rsid w:val="00381D8F"/>
    <w:rsid w:val="003820E0"/>
    <w:rsid w:val="003825A0"/>
    <w:rsid w:val="00383E51"/>
    <w:rsid w:val="00385762"/>
    <w:rsid w:val="00394391"/>
    <w:rsid w:val="00395D14"/>
    <w:rsid w:val="00395D1D"/>
    <w:rsid w:val="003972D6"/>
    <w:rsid w:val="003A5F0F"/>
    <w:rsid w:val="003A7224"/>
    <w:rsid w:val="003C4216"/>
    <w:rsid w:val="003C5D7A"/>
    <w:rsid w:val="003E0C3E"/>
    <w:rsid w:val="003E0DD7"/>
    <w:rsid w:val="003E1007"/>
    <w:rsid w:val="003E76C6"/>
    <w:rsid w:val="003F0854"/>
    <w:rsid w:val="003F18DF"/>
    <w:rsid w:val="003F67B4"/>
    <w:rsid w:val="003F6CAB"/>
    <w:rsid w:val="004060A4"/>
    <w:rsid w:val="00410981"/>
    <w:rsid w:val="0041586F"/>
    <w:rsid w:val="00421370"/>
    <w:rsid w:val="00421961"/>
    <w:rsid w:val="004246F3"/>
    <w:rsid w:val="004255AD"/>
    <w:rsid w:val="0042763F"/>
    <w:rsid w:val="0043183F"/>
    <w:rsid w:val="00432B07"/>
    <w:rsid w:val="00434F7B"/>
    <w:rsid w:val="004369C5"/>
    <w:rsid w:val="00443C26"/>
    <w:rsid w:val="00447C61"/>
    <w:rsid w:val="004506A7"/>
    <w:rsid w:val="00451570"/>
    <w:rsid w:val="00452E57"/>
    <w:rsid w:val="004569C3"/>
    <w:rsid w:val="0046037C"/>
    <w:rsid w:val="00463C50"/>
    <w:rsid w:val="00465A07"/>
    <w:rsid w:val="00465A55"/>
    <w:rsid w:val="00466CEC"/>
    <w:rsid w:val="00466E9A"/>
    <w:rsid w:val="00467FB7"/>
    <w:rsid w:val="004720A0"/>
    <w:rsid w:val="00472F62"/>
    <w:rsid w:val="004744CE"/>
    <w:rsid w:val="00480B6D"/>
    <w:rsid w:val="00486179"/>
    <w:rsid w:val="00492EEE"/>
    <w:rsid w:val="004949CC"/>
    <w:rsid w:val="004977DF"/>
    <w:rsid w:val="00497DCD"/>
    <w:rsid w:val="004A0DA5"/>
    <w:rsid w:val="004A1F96"/>
    <w:rsid w:val="004A78A3"/>
    <w:rsid w:val="004B7C8A"/>
    <w:rsid w:val="004C4BA9"/>
    <w:rsid w:val="004C536A"/>
    <w:rsid w:val="004D30FE"/>
    <w:rsid w:val="004D7781"/>
    <w:rsid w:val="004E0CCB"/>
    <w:rsid w:val="004E66A2"/>
    <w:rsid w:val="004F0702"/>
    <w:rsid w:val="004F2122"/>
    <w:rsid w:val="004F21AB"/>
    <w:rsid w:val="004F61FE"/>
    <w:rsid w:val="004F74CE"/>
    <w:rsid w:val="00500531"/>
    <w:rsid w:val="00501160"/>
    <w:rsid w:val="00504DC6"/>
    <w:rsid w:val="005132BB"/>
    <w:rsid w:val="00513928"/>
    <w:rsid w:val="00520602"/>
    <w:rsid w:val="005259C8"/>
    <w:rsid w:val="00525C65"/>
    <w:rsid w:val="00525EA6"/>
    <w:rsid w:val="005326BB"/>
    <w:rsid w:val="0053290B"/>
    <w:rsid w:val="00534D8F"/>
    <w:rsid w:val="00534F78"/>
    <w:rsid w:val="005358AD"/>
    <w:rsid w:val="0053736F"/>
    <w:rsid w:val="00537900"/>
    <w:rsid w:val="005423DF"/>
    <w:rsid w:val="0054344C"/>
    <w:rsid w:val="00551CA4"/>
    <w:rsid w:val="00552242"/>
    <w:rsid w:val="005601B5"/>
    <w:rsid w:val="00560C26"/>
    <w:rsid w:val="005650CF"/>
    <w:rsid w:val="00566CEE"/>
    <w:rsid w:val="005704E5"/>
    <w:rsid w:val="005721E2"/>
    <w:rsid w:val="00574CE6"/>
    <w:rsid w:val="00575F22"/>
    <w:rsid w:val="0058151A"/>
    <w:rsid w:val="005834A3"/>
    <w:rsid w:val="00585858"/>
    <w:rsid w:val="005874CB"/>
    <w:rsid w:val="005918C9"/>
    <w:rsid w:val="00591AB2"/>
    <w:rsid w:val="00592135"/>
    <w:rsid w:val="005948FC"/>
    <w:rsid w:val="00595501"/>
    <w:rsid w:val="00595AAE"/>
    <w:rsid w:val="00596EA9"/>
    <w:rsid w:val="005B62F9"/>
    <w:rsid w:val="005C094B"/>
    <w:rsid w:val="005C2C7C"/>
    <w:rsid w:val="005D6AE7"/>
    <w:rsid w:val="005E01A3"/>
    <w:rsid w:val="005E6476"/>
    <w:rsid w:val="005F4867"/>
    <w:rsid w:val="005F78C6"/>
    <w:rsid w:val="005F7AD7"/>
    <w:rsid w:val="0060172C"/>
    <w:rsid w:val="006031EC"/>
    <w:rsid w:val="00603BBD"/>
    <w:rsid w:val="00607973"/>
    <w:rsid w:val="00610F62"/>
    <w:rsid w:val="00612372"/>
    <w:rsid w:val="00615D75"/>
    <w:rsid w:val="00623F72"/>
    <w:rsid w:val="00625032"/>
    <w:rsid w:val="00630278"/>
    <w:rsid w:val="0063079B"/>
    <w:rsid w:val="0063336D"/>
    <w:rsid w:val="00641D5B"/>
    <w:rsid w:val="00642D16"/>
    <w:rsid w:val="00643DA8"/>
    <w:rsid w:val="00644A14"/>
    <w:rsid w:val="00646AE5"/>
    <w:rsid w:val="00647AB4"/>
    <w:rsid w:val="00650290"/>
    <w:rsid w:val="0065247D"/>
    <w:rsid w:val="00657B30"/>
    <w:rsid w:val="0066196B"/>
    <w:rsid w:val="00667256"/>
    <w:rsid w:val="00667356"/>
    <w:rsid w:val="00670173"/>
    <w:rsid w:val="006719E3"/>
    <w:rsid w:val="00672264"/>
    <w:rsid w:val="00674230"/>
    <w:rsid w:val="006748FC"/>
    <w:rsid w:val="00674FA5"/>
    <w:rsid w:val="006807FA"/>
    <w:rsid w:val="0068294B"/>
    <w:rsid w:val="00684959"/>
    <w:rsid w:val="00686467"/>
    <w:rsid w:val="00687A01"/>
    <w:rsid w:val="006A2B86"/>
    <w:rsid w:val="006A3681"/>
    <w:rsid w:val="006A3BBF"/>
    <w:rsid w:val="006A4FEC"/>
    <w:rsid w:val="006B1EBD"/>
    <w:rsid w:val="006B223F"/>
    <w:rsid w:val="006B2FA6"/>
    <w:rsid w:val="006B4C08"/>
    <w:rsid w:val="006B52A5"/>
    <w:rsid w:val="006B6FCD"/>
    <w:rsid w:val="006B7145"/>
    <w:rsid w:val="006B7C5B"/>
    <w:rsid w:val="006C1756"/>
    <w:rsid w:val="006D557E"/>
    <w:rsid w:val="006E2774"/>
    <w:rsid w:val="006E4A9A"/>
    <w:rsid w:val="006E567B"/>
    <w:rsid w:val="006E6631"/>
    <w:rsid w:val="006F224A"/>
    <w:rsid w:val="006F568E"/>
    <w:rsid w:val="006F67B8"/>
    <w:rsid w:val="007006FE"/>
    <w:rsid w:val="00701992"/>
    <w:rsid w:val="007034E4"/>
    <w:rsid w:val="007055F2"/>
    <w:rsid w:val="00710E2C"/>
    <w:rsid w:val="00712B11"/>
    <w:rsid w:val="00717A20"/>
    <w:rsid w:val="00717CEE"/>
    <w:rsid w:val="007217F4"/>
    <w:rsid w:val="00724993"/>
    <w:rsid w:val="007271C5"/>
    <w:rsid w:val="00731FEF"/>
    <w:rsid w:val="00736CB3"/>
    <w:rsid w:val="00737C07"/>
    <w:rsid w:val="0074382A"/>
    <w:rsid w:val="00744224"/>
    <w:rsid w:val="007526AC"/>
    <w:rsid w:val="007541B5"/>
    <w:rsid w:val="007645C1"/>
    <w:rsid w:val="00770B28"/>
    <w:rsid w:val="0077393A"/>
    <w:rsid w:val="00781A16"/>
    <w:rsid w:val="00781CD4"/>
    <w:rsid w:val="00784291"/>
    <w:rsid w:val="007903D8"/>
    <w:rsid w:val="00793396"/>
    <w:rsid w:val="00795308"/>
    <w:rsid w:val="0079688F"/>
    <w:rsid w:val="007A104E"/>
    <w:rsid w:val="007A2BAF"/>
    <w:rsid w:val="007A3AB5"/>
    <w:rsid w:val="007A3BC3"/>
    <w:rsid w:val="007A5F58"/>
    <w:rsid w:val="007A6D82"/>
    <w:rsid w:val="007B00B3"/>
    <w:rsid w:val="007B00F8"/>
    <w:rsid w:val="007B03A2"/>
    <w:rsid w:val="007B2892"/>
    <w:rsid w:val="007B3023"/>
    <w:rsid w:val="007C50DD"/>
    <w:rsid w:val="007D4A1F"/>
    <w:rsid w:val="007D508E"/>
    <w:rsid w:val="007E1130"/>
    <w:rsid w:val="007E11B8"/>
    <w:rsid w:val="007E2686"/>
    <w:rsid w:val="007E6B98"/>
    <w:rsid w:val="007F1F6F"/>
    <w:rsid w:val="007F5523"/>
    <w:rsid w:val="007F77E5"/>
    <w:rsid w:val="00801BAF"/>
    <w:rsid w:val="00802541"/>
    <w:rsid w:val="00804215"/>
    <w:rsid w:val="0080524E"/>
    <w:rsid w:val="00807593"/>
    <w:rsid w:val="00817C6A"/>
    <w:rsid w:val="00822BB4"/>
    <w:rsid w:val="0082316E"/>
    <w:rsid w:val="008243E6"/>
    <w:rsid w:val="008247AB"/>
    <w:rsid w:val="00834178"/>
    <w:rsid w:val="0083582A"/>
    <w:rsid w:val="00836B32"/>
    <w:rsid w:val="00840B58"/>
    <w:rsid w:val="00842C20"/>
    <w:rsid w:val="008450EE"/>
    <w:rsid w:val="00852FA8"/>
    <w:rsid w:val="008601E2"/>
    <w:rsid w:val="00860DE0"/>
    <w:rsid w:val="00861032"/>
    <w:rsid w:val="00863B67"/>
    <w:rsid w:val="008671EA"/>
    <w:rsid w:val="008717DD"/>
    <w:rsid w:val="00871F40"/>
    <w:rsid w:val="008758C4"/>
    <w:rsid w:val="00880195"/>
    <w:rsid w:val="00884632"/>
    <w:rsid w:val="008900C3"/>
    <w:rsid w:val="008945FE"/>
    <w:rsid w:val="00895AC5"/>
    <w:rsid w:val="00896575"/>
    <w:rsid w:val="008A201D"/>
    <w:rsid w:val="008A34B1"/>
    <w:rsid w:val="008B0715"/>
    <w:rsid w:val="008B24F9"/>
    <w:rsid w:val="008B27C2"/>
    <w:rsid w:val="008B327E"/>
    <w:rsid w:val="008B434A"/>
    <w:rsid w:val="008B63CE"/>
    <w:rsid w:val="008B7E69"/>
    <w:rsid w:val="008C2616"/>
    <w:rsid w:val="008C6552"/>
    <w:rsid w:val="008C6B95"/>
    <w:rsid w:val="008D0516"/>
    <w:rsid w:val="008D5C47"/>
    <w:rsid w:val="008D63FB"/>
    <w:rsid w:val="008D6509"/>
    <w:rsid w:val="008E0B2A"/>
    <w:rsid w:val="008E356D"/>
    <w:rsid w:val="008E6AB1"/>
    <w:rsid w:val="008E6E16"/>
    <w:rsid w:val="008F2518"/>
    <w:rsid w:val="009001E1"/>
    <w:rsid w:val="00904F40"/>
    <w:rsid w:val="00907464"/>
    <w:rsid w:val="009106EF"/>
    <w:rsid w:val="00911703"/>
    <w:rsid w:val="00911E41"/>
    <w:rsid w:val="00915038"/>
    <w:rsid w:val="0092531B"/>
    <w:rsid w:val="0092545C"/>
    <w:rsid w:val="009330CF"/>
    <w:rsid w:val="00936D31"/>
    <w:rsid w:val="009373CD"/>
    <w:rsid w:val="0094030D"/>
    <w:rsid w:val="0094195E"/>
    <w:rsid w:val="0094400A"/>
    <w:rsid w:val="00946BED"/>
    <w:rsid w:val="009509AE"/>
    <w:rsid w:val="00952709"/>
    <w:rsid w:val="00955F89"/>
    <w:rsid w:val="00956258"/>
    <w:rsid w:val="00957360"/>
    <w:rsid w:val="009578B7"/>
    <w:rsid w:val="00957CFA"/>
    <w:rsid w:val="009600E2"/>
    <w:rsid w:val="00960450"/>
    <w:rsid w:val="009654C4"/>
    <w:rsid w:val="00970E64"/>
    <w:rsid w:val="0097307E"/>
    <w:rsid w:val="00973A12"/>
    <w:rsid w:val="0097567F"/>
    <w:rsid w:val="00981A23"/>
    <w:rsid w:val="00981B28"/>
    <w:rsid w:val="00984309"/>
    <w:rsid w:val="009851E9"/>
    <w:rsid w:val="00986A6C"/>
    <w:rsid w:val="009911A7"/>
    <w:rsid w:val="00997DCF"/>
    <w:rsid w:val="009A1A6D"/>
    <w:rsid w:val="009A6C0F"/>
    <w:rsid w:val="009A6D23"/>
    <w:rsid w:val="009B1FFC"/>
    <w:rsid w:val="009C0ADA"/>
    <w:rsid w:val="009C2961"/>
    <w:rsid w:val="009C2967"/>
    <w:rsid w:val="009C3739"/>
    <w:rsid w:val="009C3BB8"/>
    <w:rsid w:val="009C3C1A"/>
    <w:rsid w:val="009C4B0B"/>
    <w:rsid w:val="009C595D"/>
    <w:rsid w:val="009C64D7"/>
    <w:rsid w:val="009D192C"/>
    <w:rsid w:val="009D277A"/>
    <w:rsid w:val="009D5DE4"/>
    <w:rsid w:val="009D6383"/>
    <w:rsid w:val="009E090C"/>
    <w:rsid w:val="009E2326"/>
    <w:rsid w:val="009E6A91"/>
    <w:rsid w:val="009F52C3"/>
    <w:rsid w:val="009F6ACA"/>
    <w:rsid w:val="00A0047D"/>
    <w:rsid w:val="00A023CC"/>
    <w:rsid w:val="00A07047"/>
    <w:rsid w:val="00A10424"/>
    <w:rsid w:val="00A11209"/>
    <w:rsid w:val="00A12ADC"/>
    <w:rsid w:val="00A130B0"/>
    <w:rsid w:val="00A145FE"/>
    <w:rsid w:val="00A1586C"/>
    <w:rsid w:val="00A165F0"/>
    <w:rsid w:val="00A17FCC"/>
    <w:rsid w:val="00A30492"/>
    <w:rsid w:val="00A34D37"/>
    <w:rsid w:val="00A35485"/>
    <w:rsid w:val="00A35FDF"/>
    <w:rsid w:val="00A361B4"/>
    <w:rsid w:val="00A363A3"/>
    <w:rsid w:val="00A37697"/>
    <w:rsid w:val="00A40B31"/>
    <w:rsid w:val="00A42987"/>
    <w:rsid w:val="00A450D3"/>
    <w:rsid w:val="00A457F7"/>
    <w:rsid w:val="00A46073"/>
    <w:rsid w:val="00A47A68"/>
    <w:rsid w:val="00A54CEB"/>
    <w:rsid w:val="00A5795A"/>
    <w:rsid w:val="00A825C6"/>
    <w:rsid w:val="00A87C2A"/>
    <w:rsid w:val="00A87EF6"/>
    <w:rsid w:val="00A931F1"/>
    <w:rsid w:val="00A96EFC"/>
    <w:rsid w:val="00AA17F5"/>
    <w:rsid w:val="00AA1EDD"/>
    <w:rsid w:val="00AA22BC"/>
    <w:rsid w:val="00AA24FB"/>
    <w:rsid w:val="00AA3069"/>
    <w:rsid w:val="00AA4279"/>
    <w:rsid w:val="00AA46C8"/>
    <w:rsid w:val="00AB147D"/>
    <w:rsid w:val="00AB4CB1"/>
    <w:rsid w:val="00AC1CD9"/>
    <w:rsid w:val="00AC53D7"/>
    <w:rsid w:val="00AD22E5"/>
    <w:rsid w:val="00AD2309"/>
    <w:rsid w:val="00AD2981"/>
    <w:rsid w:val="00AD5ED2"/>
    <w:rsid w:val="00AD6F49"/>
    <w:rsid w:val="00AD7338"/>
    <w:rsid w:val="00AE69A0"/>
    <w:rsid w:val="00AF6C2C"/>
    <w:rsid w:val="00AF7C2F"/>
    <w:rsid w:val="00B013A4"/>
    <w:rsid w:val="00B027B5"/>
    <w:rsid w:val="00B0417D"/>
    <w:rsid w:val="00B055D0"/>
    <w:rsid w:val="00B0714D"/>
    <w:rsid w:val="00B07925"/>
    <w:rsid w:val="00B10E22"/>
    <w:rsid w:val="00B11B72"/>
    <w:rsid w:val="00B126DC"/>
    <w:rsid w:val="00B149C0"/>
    <w:rsid w:val="00B14AD2"/>
    <w:rsid w:val="00B16297"/>
    <w:rsid w:val="00B20BD3"/>
    <w:rsid w:val="00B22656"/>
    <w:rsid w:val="00B25BF1"/>
    <w:rsid w:val="00B31426"/>
    <w:rsid w:val="00B341EA"/>
    <w:rsid w:val="00B34B86"/>
    <w:rsid w:val="00B34F1B"/>
    <w:rsid w:val="00B35534"/>
    <w:rsid w:val="00B402D6"/>
    <w:rsid w:val="00B4570D"/>
    <w:rsid w:val="00B45A09"/>
    <w:rsid w:val="00B45F22"/>
    <w:rsid w:val="00B50DA2"/>
    <w:rsid w:val="00B520A0"/>
    <w:rsid w:val="00B5233E"/>
    <w:rsid w:val="00B53CA4"/>
    <w:rsid w:val="00B547C1"/>
    <w:rsid w:val="00B54A6C"/>
    <w:rsid w:val="00B57950"/>
    <w:rsid w:val="00B611AA"/>
    <w:rsid w:val="00B6333D"/>
    <w:rsid w:val="00B642E1"/>
    <w:rsid w:val="00B66260"/>
    <w:rsid w:val="00B66387"/>
    <w:rsid w:val="00B66BAB"/>
    <w:rsid w:val="00B72235"/>
    <w:rsid w:val="00B74D1A"/>
    <w:rsid w:val="00B767D1"/>
    <w:rsid w:val="00B768ED"/>
    <w:rsid w:val="00B776F7"/>
    <w:rsid w:val="00B83DE9"/>
    <w:rsid w:val="00B85110"/>
    <w:rsid w:val="00B860A6"/>
    <w:rsid w:val="00B86372"/>
    <w:rsid w:val="00B87EDB"/>
    <w:rsid w:val="00B90603"/>
    <w:rsid w:val="00B91193"/>
    <w:rsid w:val="00B937DF"/>
    <w:rsid w:val="00B94F22"/>
    <w:rsid w:val="00B9589B"/>
    <w:rsid w:val="00B97F02"/>
    <w:rsid w:val="00BA02D8"/>
    <w:rsid w:val="00BA1C9D"/>
    <w:rsid w:val="00BA336D"/>
    <w:rsid w:val="00BA4691"/>
    <w:rsid w:val="00BB10D2"/>
    <w:rsid w:val="00BB4243"/>
    <w:rsid w:val="00BB4BE9"/>
    <w:rsid w:val="00BB4D08"/>
    <w:rsid w:val="00BB4DB9"/>
    <w:rsid w:val="00BB697D"/>
    <w:rsid w:val="00BC6E73"/>
    <w:rsid w:val="00BD2AD8"/>
    <w:rsid w:val="00BD3045"/>
    <w:rsid w:val="00BD6083"/>
    <w:rsid w:val="00BE0918"/>
    <w:rsid w:val="00BE0DA7"/>
    <w:rsid w:val="00BE1B93"/>
    <w:rsid w:val="00BE749F"/>
    <w:rsid w:val="00BF68EC"/>
    <w:rsid w:val="00C010B8"/>
    <w:rsid w:val="00C01369"/>
    <w:rsid w:val="00C0250F"/>
    <w:rsid w:val="00C03474"/>
    <w:rsid w:val="00C0567A"/>
    <w:rsid w:val="00C11FA2"/>
    <w:rsid w:val="00C12DEE"/>
    <w:rsid w:val="00C143ED"/>
    <w:rsid w:val="00C14B36"/>
    <w:rsid w:val="00C15AB3"/>
    <w:rsid w:val="00C21AF0"/>
    <w:rsid w:val="00C23D64"/>
    <w:rsid w:val="00C31CA6"/>
    <w:rsid w:val="00C3291B"/>
    <w:rsid w:val="00C367AE"/>
    <w:rsid w:val="00C420DE"/>
    <w:rsid w:val="00C423FD"/>
    <w:rsid w:val="00C45B16"/>
    <w:rsid w:val="00C51265"/>
    <w:rsid w:val="00C5710E"/>
    <w:rsid w:val="00C574EA"/>
    <w:rsid w:val="00C57545"/>
    <w:rsid w:val="00C651E6"/>
    <w:rsid w:val="00C67CD9"/>
    <w:rsid w:val="00C71131"/>
    <w:rsid w:val="00C738C8"/>
    <w:rsid w:val="00C75508"/>
    <w:rsid w:val="00C85404"/>
    <w:rsid w:val="00C912E5"/>
    <w:rsid w:val="00C979B9"/>
    <w:rsid w:val="00CA107B"/>
    <w:rsid w:val="00CA1AA6"/>
    <w:rsid w:val="00CA39D3"/>
    <w:rsid w:val="00CA4382"/>
    <w:rsid w:val="00CB11EE"/>
    <w:rsid w:val="00CB27C5"/>
    <w:rsid w:val="00CC07BD"/>
    <w:rsid w:val="00CC48C9"/>
    <w:rsid w:val="00CC7FA7"/>
    <w:rsid w:val="00CD2450"/>
    <w:rsid w:val="00CD7577"/>
    <w:rsid w:val="00CE1AC0"/>
    <w:rsid w:val="00CE47F3"/>
    <w:rsid w:val="00CF02B5"/>
    <w:rsid w:val="00CF264F"/>
    <w:rsid w:val="00CF325F"/>
    <w:rsid w:val="00CF5886"/>
    <w:rsid w:val="00D00AFC"/>
    <w:rsid w:val="00D01D0C"/>
    <w:rsid w:val="00D0407A"/>
    <w:rsid w:val="00D072CB"/>
    <w:rsid w:val="00D10FD8"/>
    <w:rsid w:val="00D116C3"/>
    <w:rsid w:val="00D123C2"/>
    <w:rsid w:val="00D1375F"/>
    <w:rsid w:val="00D145AD"/>
    <w:rsid w:val="00D17768"/>
    <w:rsid w:val="00D22CCA"/>
    <w:rsid w:val="00D25636"/>
    <w:rsid w:val="00D27906"/>
    <w:rsid w:val="00D30643"/>
    <w:rsid w:val="00D34556"/>
    <w:rsid w:val="00D36A80"/>
    <w:rsid w:val="00D37E81"/>
    <w:rsid w:val="00D40907"/>
    <w:rsid w:val="00D411F7"/>
    <w:rsid w:val="00D421B6"/>
    <w:rsid w:val="00D43915"/>
    <w:rsid w:val="00D54626"/>
    <w:rsid w:val="00D565E8"/>
    <w:rsid w:val="00D63074"/>
    <w:rsid w:val="00D65C2E"/>
    <w:rsid w:val="00D673E2"/>
    <w:rsid w:val="00D703E0"/>
    <w:rsid w:val="00D72DCC"/>
    <w:rsid w:val="00D77893"/>
    <w:rsid w:val="00D85C57"/>
    <w:rsid w:val="00D85CE3"/>
    <w:rsid w:val="00D87EB2"/>
    <w:rsid w:val="00D9002B"/>
    <w:rsid w:val="00D90CE5"/>
    <w:rsid w:val="00D925A5"/>
    <w:rsid w:val="00D940A1"/>
    <w:rsid w:val="00D942B4"/>
    <w:rsid w:val="00D97DAC"/>
    <w:rsid w:val="00DA7A8F"/>
    <w:rsid w:val="00DB3EDE"/>
    <w:rsid w:val="00DB61FB"/>
    <w:rsid w:val="00DB670E"/>
    <w:rsid w:val="00DB67F6"/>
    <w:rsid w:val="00DC0B5E"/>
    <w:rsid w:val="00DC0C6B"/>
    <w:rsid w:val="00DC0F53"/>
    <w:rsid w:val="00DC22A7"/>
    <w:rsid w:val="00DC3A1E"/>
    <w:rsid w:val="00DC3A96"/>
    <w:rsid w:val="00DC3CFA"/>
    <w:rsid w:val="00DD1A8E"/>
    <w:rsid w:val="00DD5BF8"/>
    <w:rsid w:val="00DD5DF7"/>
    <w:rsid w:val="00DD6EBC"/>
    <w:rsid w:val="00DE07B8"/>
    <w:rsid w:val="00DE0BE1"/>
    <w:rsid w:val="00DE78CC"/>
    <w:rsid w:val="00DF5089"/>
    <w:rsid w:val="00DF6D6F"/>
    <w:rsid w:val="00E00D74"/>
    <w:rsid w:val="00E0153E"/>
    <w:rsid w:val="00E0341A"/>
    <w:rsid w:val="00E0353A"/>
    <w:rsid w:val="00E041FA"/>
    <w:rsid w:val="00E0609A"/>
    <w:rsid w:val="00E10A51"/>
    <w:rsid w:val="00E1778D"/>
    <w:rsid w:val="00E21525"/>
    <w:rsid w:val="00E22833"/>
    <w:rsid w:val="00E235FD"/>
    <w:rsid w:val="00E27385"/>
    <w:rsid w:val="00E31FD3"/>
    <w:rsid w:val="00E3200E"/>
    <w:rsid w:val="00E32B7C"/>
    <w:rsid w:val="00E3571A"/>
    <w:rsid w:val="00E35EA8"/>
    <w:rsid w:val="00E414DE"/>
    <w:rsid w:val="00E43638"/>
    <w:rsid w:val="00E455F7"/>
    <w:rsid w:val="00E476D5"/>
    <w:rsid w:val="00E501D4"/>
    <w:rsid w:val="00E51119"/>
    <w:rsid w:val="00E54A87"/>
    <w:rsid w:val="00E63AD6"/>
    <w:rsid w:val="00E64F5D"/>
    <w:rsid w:val="00E661E2"/>
    <w:rsid w:val="00E74AE1"/>
    <w:rsid w:val="00E75CB9"/>
    <w:rsid w:val="00E821F9"/>
    <w:rsid w:val="00E8492C"/>
    <w:rsid w:val="00E84A58"/>
    <w:rsid w:val="00E86164"/>
    <w:rsid w:val="00E9067E"/>
    <w:rsid w:val="00E914BA"/>
    <w:rsid w:val="00E97D03"/>
    <w:rsid w:val="00EA1AE0"/>
    <w:rsid w:val="00EA286F"/>
    <w:rsid w:val="00EA38F9"/>
    <w:rsid w:val="00EA49C6"/>
    <w:rsid w:val="00EA6211"/>
    <w:rsid w:val="00EA6255"/>
    <w:rsid w:val="00EB0632"/>
    <w:rsid w:val="00EB668B"/>
    <w:rsid w:val="00EB7600"/>
    <w:rsid w:val="00ED1F34"/>
    <w:rsid w:val="00ED457A"/>
    <w:rsid w:val="00EE15EB"/>
    <w:rsid w:val="00EE4E2C"/>
    <w:rsid w:val="00EF6F08"/>
    <w:rsid w:val="00EF70F3"/>
    <w:rsid w:val="00EF72FB"/>
    <w:rsid w:val="00F003A4"/>
    <w:rsid w:val="00F05A82"/>
    <w:rsid w:val="00F13338"/>
    <w:rsid w:val="00F175A6"/>
    <w:rsid w:val="00F20FA4"/>
    <w:rsid w:val="00F27CB7"/>
    <w:rsid w:val="00F30678"/>
    <w:rsid w:val="00F30BDC"/>
    <w:rsid w:val="00F30DE9"/>
    <w:rsid w:val="00F31421"/>
    <w:rsid w:val="00F33285"/>
    <w:rsid w:val="00F33FCD"/>
    <w:rsid w:val="00F35355"/>
    <w:rsid w:val="00F378E3"/>
    <w:rsid w:val="00F407DD"/>
    <w:rsid w:val="00F40AAA"/>
    <w:rsid w:val="00F437BA"/>
    <w:rsid w:val="00F5295F"/>
    <w:rsid w:val="00F52DF1"/>
    <w:rsid w:val="00F55085"/>
    <w:rsid w:val="00F55C46"/>
    <w:rsid w:val="00F560F8"/>
    <w:rsid w:val="00F56178"/>
    <w:rsid w:val="00F604B1"/>
    <w:rsid w:val="00F61ED1"/>
    <w:rsid w:val="00F64237"/>
    <w:rsid w:val="00F648F0"/>
    <w:rsid w:val="00F651E7"/>
    <w:rsid w:val="00F67062"/>
    <w:rsid w:val="00F67ADE"/>
    <w:rsid w:val="00F67EC3"/>
    <w:rsid w:val="00F74A96"/>
    <w:rsid w:val="00F76EDD"/>
    <w:rsid w:val="00F816D5"/>
    <w:rsid w:val="00F82218"/>
    <w:rsid w:val="00F83044"/>
    <w:rsid w:val="00F849B5"/>
    <w:rsid w:val="00F85B67"/>
    <w:rsid w:val="00F8662F"/>
    <w:rsid w:val="00F95595"/>
    <w:rsid w:val="00FA4D7F"/>
    <w:rsid w:val="00FA7E33"/>
    <w:rsid w:val="00FB52F2"/>
    <w:rsid w:val="00FB544E"/>
    <w:rsid w:val="00FD43E1"/>
    <w:rsid w:val="00FE2007"/>
    <w:rsid w:val="00FE2A4E"/>
    <w:rsid w:val="00FE77E3"/>
    <w:rsid w:val="00FF323F"/>
    <w:rsid w:val="00FF5804"/>
    <w:rsid w:val="00FF64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E9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lsdException w:name="heading 3" w:uiPriority="9"/>
  </w:latentStyles>
  <w:style w:type="paragraph" w:default="1" w:styleId="Normal">
    <w:name w:val="Normal"/>
    <w:qFormat/>
    <w:rsid w:val="0058151A"/>
  </w:style>
  <w:style w:type="paragraph" w:styleId="Heading1">
    <w:name w:val="heading 1"/>
    <w:basedOn w:val="Normal"/>
    <w:link w:val="Heading1Char"/>
    <w:uiPriority w:val="9"/>
    <w:rsid w:val="005423DF"/>
    <w:pPr>
      <w:spacing w:beforeLines="1" w:afterLines="1"/>
      <w:outlineLvl w:val="0"/>
    </w:pPr>
    <w:rPr>
      <w:rFonts w:ascii="Times" w:hAnsi="Times"/>
      <w:b/>
      <w:kern w:val="36"/>
      <w:sz w:val="48"/>
      <w:szCs w:val="20"/>
      <w:lang w:eastAsia="en-US"/>
    </w:rPr>
  </w:style>
  <w:style w:type="paragraph" w:styleId="Heading3">
    <w:name w:val="heading 3"/>
    <w:basedOn w:val="Normal"/>
    <w:link w:val="Heading3Char"/>
    <w:uiPriority w:val="9"/>
    <w:rsid w:val="005423DF"/>
    <w:pPr>
      <w:spacing w:beforeLines="1" w:afterLines="1"/>
      <w:outlineLvl w:val="2"/>
    </w:pPr>
    <w:rPr>
      <w:rFonts w:ascii="Times" w:hAnsi="Times"/>
      <w:b/>
      <w:sz w:val="27"/>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6467"/>
    <w:rPr>
      <w:rFonts w:ascii="Lucida Grande" w:hAnsi="Lucida Grande" w:cs="Lucida Grande"/>
      <w:sz w:val="18"/>
      <w:szCs w:val="18"/>
    </w:rPr>
  </w:style>
  <w:style w:type="character" w:customStyle="1" w:styleId="BalloonTextChar">
    <w:name w:val="Balloon Text Char"/>
    <w:basedOn w:val="DefaultParagraphFont"/>
    <w:uiPriority w:val="99"/>
    <w:semiHidden/>
    <w:rsid w:val="00B40513"/>
    <w:rPr>
      <w:rFonts w:ascii="Lucida Grande" w:hAnsi="Lucida Grande"/>
      <w:sz w:val="18"/>
      <w:szCs w:val="18"/>
    </w:rPr>
  </w:style>
  <w:style w:type="character" w:customStyle="1" w:styleId="BalloonTextChar0">
    <w:name w:val="Balloon Text Char"/>
    <w:basedOn w:val="DefaultParagraphFont"/>
    <w:uiPriority w:val="99"/>
    <w:semiHidden/>
    <w:rsid w:val="00B40513"/>
    <w:rPr>
      <w:rFonts w:ascii="Lucida Grande" w:hAnsi="Lucida Grande"/>
      <w:sz w:val="18"/>
      <w:szCs w:val="18"/>
    </w:rPr>
  </w:style>
  <w:style w:type="character" w:customStyle="1" w:styleId="BalloonTextChar2">
    <w:name w:val="Balloon Text Char"/>
    <w:basedOn w:val="DefaultParagraphFont"/>
    <w:uiPriority w:val="99"/>
    <w:semiHidden/>
    <w:rsid w:val="00931E2B"/>
    <w:rPr>
      <w:rFonts w:ascii="Lucida Grande" w:hAnsi="Lucida Grande"/>
      <w:sz w:val="18"/>
      <w:szCs w:val="18"/>
    </w:rPr>
  </w:style>
  <w:style w:type="character" w:customStyle="1" w:styleId="BalloonTextChar3">
    <w:name w:val="Balloon Text Char"/>
    <w:basedOn w:val="DefaultParagraphFont"/>
    <w:uiPriority w:val="99"/>
    <w:semiHidden/>
    <w:rsid w:val="00931E2B"/>
    <w:rPr>
      <w:rFonts w:ascii="Lucida Grande" w:hAnsi="Lucida Grande"/>
      <w:sz w:val="18"/>
      <w:szCs w:val="18"/>
    </w:rPr>
  </w:style>
  <w:style w:type="character" w:customStyle="1" w:styleId="BalloonTextChar4">
    <w:name w:val="Balloon Text Char"/>
    <w:basedOn w:val="DefaultParagraphFont"/>
    <w:uiPriority w:val="99"/>
    <w:semiHidden/>
    <w:rsid w:val="00C534A9"/>
    <w:rPr>
      <w:rFonts w:ascii="Lucida Grande" w:hAnsi="Lucida Grande"/>
      <w:sz w:val="18"/>
      <w:szCs w:val="18"/>
    </w:rPr>
  </w:style>
  <w:style w:type="character" w:customStyle="1" w:styleId="BalloonTextChar5">
    <w:name w:val="Balloon Text Char"/>
    <w:basedOn w:val="DefaultParagraphFont"/>
    <w:uiPriority w:val="99"/>
    <w:semiHidden/>
    <w:rsid w:val="0089279D"/>
    <w:rPr>
      <w:rFonts w:ascii="Lucida Grande" w:hAnsi="Lucida Grande" w:cs="Lucida Grande"/>
      <w:sz w:val="18"/>
      <w:szCs w:val="18"/>
    </w:rPr>
  </w:style>
  <w:style w:type="character" w:customStyle="1" w:styleId="BalloonTextChar6">
    <w:name w:val="Balloon Text Char"/>
    <w:basedOn w:val="DefaultParagraphFont"/>
    <w:uiPriority w:val="99"/>
    <w:semiHidden/>
    <w:rsid w:val="000C270D"/>
    <w:rPr>
      <w:rFonts w:ascii="Lucida Grande" w:hAnsi="Lucida Grande"/>
      <w:sz w:val="18"/>
      <w:szCs w:val="18"/>
    </w:rPr>
  </w:style>
  <w:style w:type="character" w:styleId="CommentReference">
    <w:name w:val="annotation reference"/>
    <w:basedOn w:val="DefaultParagraphFont"/>
    <w:uiPriority w:val="99"/>
    <w:semiHidden/>
    <w:unhideWhenUsed/>
    <w:rsid w:val="00686467"/>
    <w:rPr>
      <w:sz w:val="18"/>
      <w:szCs w:val="18"/>
    </w:rPr>
  </w:style>
  <w:style w:type="paragraph" w:styleId="CommentText">
    <w:name w:val="annotation text"/>
    <w:basedOn w:val="Normal"/>
    <w:link w:val="CommentTextChar"/>
    <w:uiPriority w:val="99"/>
    <w:semiHidden/>
    <w:unhideWhenUsed/>
    <w:rsid w:val="00686467"/>
  </w:style>
  <w:style w:type="character" w:customStyle="1" w:styleId="CommentTextChar">
    <w:name w:val="Comment Text Char"/>
    <w:basedOn w:val="DefaultParagraphFont"/>
    <w:link w:val="CommentText"/>
    <w:uiPriority w:val="99"/>
    <w:semiHidden/>
    <w:rsid w:val="00686467"/>
  </w:style>
  <w:style w:type="paragraph" w:styleId="CommentSubject">
    <w:name w:val="annotation subject"/>
    <w:basedOn w:val="CommentText"/>
    <w:next w:val="CommentText"/>
    <w:link w:val="CommentSubjectChar"/>
    <w:uiPriority w:val="99"/>
    <w:semiHidden/>
    <w:unhideWhenUsed/>
    <w:rsid w:val="00686467"/>
    <w:rPr>
      <w:b/>
      <w:bCs/>
      <w:sz w:val="20"/>
      <w:szCs w:val="20"/>
    </w:rPr>
  </w:style>
  <w:style w:type="character" w:customStyle="1" w:styleId="CommentSubjectChar">
    <w:name w:val="Comment Subject Char"/>
    <w:basedOn w:val="CommentTextChar"/>
    <w:link w:val="CommentSubject"/>
    <w:uiPriority w:val="99"/>
    <w:semiHidden/>
    <w:rsid w:val="00686467"/>
    <w:rPr>
      <w:b/>
      <w:bCs/>
      <w:sz w:val="20"/>
      <w:szCs w:val="20"/>
    </w:rPr>
  </w:style>
  <w:style w:type="character" w:customStyle="1" w:styleId="BalloonTextChar1">
    <w:name w:val="Balloon Text Char1"/>
    <w:basedOn w:val="DefaultParagraphFont"/>
    <w:link w:val="BalloonText"/>
    <w:uiPriority w:val="99"/>
    <w:semiHidden/>
    <w:rsid w:val="00686467"/>
    <w:rPr>
      <w:rFonts w:ascii="Lucida Grande" w:hAnsi="Lucida Grande" w:cs="Lucida Grande"/>
      <w:sz w:val="18"/>
      <w:szCs w:val="18"/>
    </w:rPr>
  </w:style>
  <w:style w:type="paragraph" w:styleId="ListParagraph">
    <w:name w:val="List Paragraph"/>
    <w:basedOn w:val="Normal"/>
    <w:uiPriority w:val="34"/>
    <w:qFormat/>
    <w:rsid w:val="008C2616"/>
    <w:pPr>
      <w:ind w:left="720"/>
      <w:contextualSpacing/>
    </w:pPr>
  </w:style>
  <w:style w:type="paragraph" w:styleId="Footer">
    <w:name w:val="footer"/>
    <w:basedOn w:val="Normal"/>
    <w:link w:val="FooterChar"/>
    <w:uiPriority w:val="99"/>
    <w:unhideWhenUsed/>
    <w:rsid w:val="001B5226"/>
    <w:pPr>
      <w:tabs>
        <w:tab w:val="center" w:pos="4320"/>
        <w:tab w:val="right" w:pos="8640"/>
      </w:tabs>
    </w:pPr>
  </w:style>
  <w:style w:type="character" w:customStyle="1" w:styleId="FooterChar">
    <w:name w:val="Footer Char"/>
    <w:basedOn w:val="DefaultParagraphFont"/>
    <w:link w:val="Footer"/>
    <w:uiPriority w:val="99"/>
    <w:rsid w:val="001B5226"/>
  </w:style>
  <w:style w:type="character" w:styleId="PageNumber">
    <w:name w:val="page number"/>
    <w:basedOn w:val="DefaultParagraphFont"/>
    <w:uiPriority w:val="99"/>
    <w:semiHidden/>
    <w:unhideWhenUsed/>
    <w:rsid w:val="001B5226"/>
  </w:style>
  <w:style w:type="character" w:styleId="Emphasis">
    <w:name w:val="Emphasis"/>
    <w:basedOn w:val="DefaultParagraphFont"/>
    <w:uiPriority w:val="20"/>
    <w:rsid w:val="00A40B31"/>
    <w:rPr>
      <w:i/>
    </w:rPr>
  </w:style>
  <w:style w:type="table" w:styleId="TableGrid">
    <w:name w:val="Table Grid"/>
    <w:basedOn w:val="TableNormal"/>
    <w:uiPriority w:val="59"/>
    <w:rsid w:val="000B72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rsid w:val="00710E2C"/>
  </w:style>
  <w:style w:type="character" w:styleId="Hyperlink">
    <w:name w:val="Hyperlink"/>
    <w:basedOn w:val="DefaultParagraphFont"/>
    <w:rsid w:val="0074382A"/>
    <w:rPr>
      <w:color w:val="0000FF" w:themeColor="hyperlink"/>
      <w:u w:val="single"/>
    </w:rPr>
  </w:style>
  <w:style w:type="paragraph" w:customStyle="1" w:styleId="Default">
    <w:name w:val="Default"/>
    <w:rsid w:val="0074382A"/>
    <w:pPr>
      <w:widowControl w:val="0"/>
      <w:autoSpaceDE w:val="0"/>
      <w:autoSpaceDN w:val="0"/>
      <w:adjustRightInd w:val="0"/>
    </w:pPr>
    <w:rPr>
      <w:rFonts w:ascii="Times New Roman" w:hAnsi="Times New Roman" w:cs="Times New Roman"/>
      <w:color w:val="000000"/>
    </w:rPr>
  </w:style>
  <w:style w:type="paragraph" w:styleId="EndnoteText">
    <w:name w:val="endnote text"/>
    <w:basedOn w:val="Normal"/>
    <w:link w:val="EndnoteTextChar"/>
    <w:rsid w:val="00DC0F53"/>
  </w:style>
  <w:style w:type="character" w:customStyle="1" w:styleId="EndnoteTextChar">
    <w:name w:val="Endnote Text Char"/>
    <w:basedOn w:val="DefaultParagraphFont"/>
    <w:link w:val="EndnoteText"/>
    <w:rsid w:val="00DC0F53"/>
  </w:style>
  <w:style w:type="character" w:styleId="EndnoteReference">
    <w:name w:val="endnote reference"/>
    <w:basedOn w:val="DefaultParagraphFont"/>
    <w:rsid w:val="00DC0F53"/>
    <w:rPr>
      <w:vertAlign w:val="superscript"/>
    </w:rPr>
  </w:style>
  <w:style w:type="paragraph" w:styleId="FootnoteText">
    <w:name w:val="footnote text"/>
    <w:basedOn w:val="Normal"/>
    <w:link w:val="FootnoteTextChar"/>
    <w:rsid w:val="00DC0F53"/>
  </w:style>
  <w:style w:type="character" w:customStyle="1" w:styleId="FootnoteTextChar">
    <w:name w:val="Footnote Text Char"/>
    <w:basedOn w:val="DefaultParagraphFont"/>
    <w:link w:val="FootnoteText"/>
    <w:rsid w:val="00DC0F53"/>
  </w:style>
  <w:style w:type="character" w:styleId="FootnoteReference">
    <w:name w:val="footnote reference"/>
    <w:basedOn w:val="DefaultParagraphFont"/>
    <w:rsid w:val="00DC0F53"/>
    <w:rPr>
      <w:vertAlign w:val="superscript"/>
    </w:rPr>
  </w:style>
  <w:style w:type="paragraph" w:styleId="Bibliography">
    <w:name w:val="Bibliography"/>
    <w:basedOn w:val="Normal"/>
    <w:next w:val="Normal"/>
    <w:rsid w:val="00D10FD8"/>
    <w:pPr>
      <w:ind w:left="720" w:hanging="720"/>
    </w:pPr>
  </w:style>
  <w:style w:type="character" w:customStyle="1" w:styleId="Heading1Char">
    <w:name w:val="Heading 1 Char"/>
    <w:basedOn w:val="DefaultParagraphFont"/>
    <w:link w:val="Heading1"/>
    <w:uiPriority w:val="9"/>
    <w:rsid w:val="005423DF"/>
    <w:rPr>
      <w:rFonts w:ascii="Times" w:hAnsi="Times"/>
      <w:b/>
      <w:kern w:val="36"/>
      <w:sz w:val="48"/>
      <w:szCs w:val="20"/>
      <w:lang w:eastAsia="en-US"/>
    </w:rPr>
  </w:style>
  <w:style w:type="character" w:customStyle="1" w:styleId="Heading3Char">
    <w:name w:val="Heading 3 Char"/>
    <w:basedOn w:val="DefaultParagraphFont"/>
    <w:link w:val="Heading3"/>
    <w:uiPriority w:val="9"/>
    <w:rsid w:val="005423DF"/>
    <w:rPr>
      <w:rFonts w:ascii="Times" w:hAnsi="Times"/>
      <w:b/>
      <w:sz w:val="27"/>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lsdException w:name="heading 3" w:uiPriority="9"/>
  </w:latentStyles>
  <w:style w:type="paragraph" w:default="1" w:styleId="Normal">
    <w:name w:val="Normal"/>
    <w:qFormat/>
    <w:rsid w:val="0058151A"/>
  </w:style>
  <w:style w:type="paragraph" w:styleId="Heading1">
    <w:name w:val="heading 1"/>
    <w:basedOn w:val="Normal"/>
    <w:link w:val="Heading1Char"/>
    <w:uiPriority w:val="9"/>
    <w:rsid w:val="005423DF"/>
    <w:pPr>
      <w:spacing w:beforeLines="1" w:afterLines="1"/>
      <w:outlineLvl w:val="0"/>
    </w:pPr>
    <w:rPr>
      <w:rFonts w:ascii="Times" w:hAnsi="Times"/>
      <w:b/>
      <w:kern w:val="36"/>
      <w:sz w:val="48"/>
      <w:szCs w:val="20"/>
      <w:lang w:eastAsia="en-US"/>
    </w:rPr>
  </w:style>
  <w:style w:type="paragraph" w:styleId="Heading3">
    <w:name w:val="heading 3"/>
    <w:basedOn w:val="Normal"/>
    <w:link w:val="Heading3Char"/>
    <w:uiPriority w:val="9"/>
    <w:rsid w:val="005423DF"/>
    <w:pPr>
      <w:spacing w:beforeLines="1" w:afterLines="1"/>
      <w:outlineLvl w:val="2"/>
    </w:pPr>
    <w:rPr>
      <w:rFonts w:ascii="Times" w:hAnsi="Times"/>
      <w:b/>
      <w:sz w:val="27"/>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6467"/>
    <w:rPr>
      <w:rFonts w:ascii="Lucida Grande" w:hAnsi="Lucida Grande" w:cs="Lucida Grande"/>
      <w:sz w:val="18"/>
      <w:szCs w:val="18"/>
    </w:rPr>
  </w:style>
  <w:style w:type="character" w:customStyle="1" w:styleId="BalloonTextChar">
    <w:name w:val="Balloon Text Char"/>
    <w:basedOn w:val="DefaultParagraphFont"/>
    <w:uiPriority w:val="99"/>
    <w:semiHidden/>
    <w:rsid w:val="00B40513"/>
    <w:rPr>
      <w:rFonts w:ascii="Lucida Grande" w:hAnsi="Lucida Grande"/>
      <w:sz w:val="18"/>
      <w:szCs w:val="18"/>
    </w:rPr>
  </w:style>
  <w:style w:type="character" w:customStyle="1" w:styleId="BalloonTextChar0">
    <w:name w:val="Balloon Text Char"/>
    <w:basedOn w:val="DefaultParagraphFont"/>
    <w:uiPriority w:val="99"/>
    <w:semiHidden/>
    <w:rsid w:val="00B40513"/>
    <w:rPr>
      <w:rFonts w:ascii="Lucida Grande" w:hAnsi="Lucida Grande"/>
      <w:sz w:val="18"/>
      <w:szCs w:val="18"/>
    </w:rPr>
  </w:style>
  <w:style w:type="character" w:customStyle="1" w:styleId="BalloonTextChar2">
    <w:name w:val="Balloon Text Char"/>
    <w:basedOn w:val="DefaultParagraphFont"/>
    <w:uiPriority w:val="99"/>
    <w:semiHidden/>
    <w:rsid w:val="00931E2B"/>
    <w:rPr>
      <w:rFonts w:ascii="Lucida Grande" w:hAnsi="Lucida Grande"/>
      <w:sz w:val="18"/>
      <w:szCs w:val="18"/>
    </w:rPr>
  </w:style>
  <w:style w:type="character" w:customStyle="1" w:styleId="BalloonTextChar3">
    <w:name w:val="Balloon Text Char"/>
    <w:basedOn w:val="DefaultParagraphFont"/>
    <w:uiPriority w:val="99"/>
    <w:semiHidden/>
    <w:rsid w:val="00931E2B"/>
    <w:rPr>
      <w:rFonts w:ascii="Lucida Grande" w:hAnsi="Lucida Grande"/>
      <w:sz w:val="18"/>
      <w:szCs w:val="18"/>
    </w:rPr>
  </w:style>
  <w:style w:type="character" w:customStyle="1" w:styleId="BalloonTextChar4">
    <w:name w:val="Balloon Text Char"/>
    <w:basedOn w:val="DefaultParagraphFont"/>
    <w:uiPriority w:val="99"/>
    <w:semiHidden/>
    <w:rsid w:val="00C534A9"/>
    <w:rPr>
      <w:rFonts w:ascii="Lucida Grande" w:hAnsi="Lucida Grande"/>
      <w:sz w:val="18"/>
      <w:szCs w:val="18"/>
    </w:rPr>
  </w:style>
  <w:style w:type="character" w:customStyle="1" w:styleId="BalloonTextChar5">
    <w:name w:val="Balloon Text Char"/>
    <w:basedOn w:val="DefaultParagraphFont"/>
    <w:uiPriority w:val="99"/>
    <w:semiHidden/>
    <w:rsid w:val="0089279D"/>
    <w:rPr>
      <w:rFonts w:ascii="Lucida Grande" w:hAnsi="Lucida Grande" w:cs="Lucida Grande"/>
      <w:sz w:val="18"/>
      <w:szCs w:val="18"/>
    </w:rPr>
  </w:style>
  <w:style w:type="character" w:customStyle="1" w:styleId="BalloonTextChar6">
    <w:name w:val="Balloon Text Char"/>
    <w:basedOn w:val="DefaultParagraphFont"/>
    <w:uiPriority w:val="99"/>
    <w:semiHidden/>
    <w:rsid w:val="000C270D"/>
    <w:rPr>
      <w:rFonts w:ascii="Lucida Grande" w:hAnsi="Lucida Grande"/>
      <w:sz w:val="18"/>
      <w:szCs w:val="18"/>
    </w:rPr>
  </w:style>
  <w:style w:type="character" w:styleId="CommentReference">
    <w:name w:val="annotation reference"/>
    <w:basedOn w:val="DefaultParagraphFont"/>
    <w:uiPriority w:val="99"/>
    <w:semiHidden/>
    <w:unhideWhenUsed/>
    <w:rsid w:val="00686467"/>
    <w:rPr>
      <w:sz w:val="18"/>
      <w:szCs w:val="18"/>
    </w:rPr>
  </w:style>
  <w:style w:type="paragraph" w:styleId="CommentText">
    <w:name w:val="annotation text"/>
    <w:basedOn w:val="Normal"/>
    <w:link w:val="CommentTextChar"/>
    <w:uiPriority w:val="99"/>
    <w:semiHidden/>
    <w:unhideWhenUsed/>
    <w:rsid w:val="00686467"/>
  </w:style>
  <w:style w:type="character" w:customStyle="1" w:styleId="CommentTextChar">
    <w:name w:val="Comment Text Char"/>
    <w:basedOn w:val="DefaultParagraphFont"/>
    <w:link w:val="CommentText"/>
    <w:uiPriority w:val="99"/>
    <w:semiHidden/>
    <w:rsid w:val="00686467"/>
  </w:style>
  <w:style w:type="paragraph" w:styleId="CommentSubject">
    <w:name w:val="annotation subject"/>
    <w:basedOn w:val="CommentText"/>
    <w:next w:val="CommentText"/>
    <w:link w:val="CommentSubjectChar"/>
    <w:uiPriority w:val="99"/>
    <w:semiHidden/>
    <w:unhideWhenUsed/>
    <w:rsid w:val="00686467"/>
    <w:rPr>
      <w:b/>
      <w:bCs/>
      <w:sz w:val="20"/>
      <w:szCs w:val="20"/>
    </w:rPr>
  </w:style>
  <w:style w:type="character" w:customStyle="1" w:styleId="CommentSubjectChar">
    <w:name w:val="Comment Subject Char"/>
    <w:basedOn w:val="CommentTextChar"/>
    <w:link w:val="CommentSubject"/>
    <w:uiPriority w:val="99"/>
    <w:semiHidden/>
    <w:rsid w:val="00686467"/>
    <w:rPr>
      <w:b/>
      <w:bCs/>
      <w:sz w:val="20"/>
      <w:szCs w:val="20"/>
    </w:rPr>
  </w:style>
  <w:style w:type="character" w:customStyle="1" w:styleId="BalloonTextChar1">
    <w:name w:val="Balloon Text Char1"/>
    <w:basedOn w:val="DefaultParagraphFont"/>
    <w:link w:val="BalloonText"/>
    <w:uiPriority w:val="99"/>
    <w:semiHidden/>
    <w:rsid w:val="00686467"/>
    <w:rPr>
      <w:rFonts w:ascii="Lucida Grande" w:hAnsi="Lucida Grande" w:cs="Lucida Grande"/>
      <w:sz w:val="18"/>
      <w:szCs w:val="18"/>
    </w:rPr>
  </w:style>
  <w:style w:type="paragraph" w:styleId="ListParagraph">
    <w:name w:val="List Paragraph"/>
    <w:basedOn w:val="Normal"/>
    <w:uiPriority w:val="34"/>
    <w:qFormat/>
    <w:rsid w:val="008C2616"/>
    <w:pPr>
      <w:ind w:left="720"/>
      <w:contextualSpacing/>
    </w:pPr>
  </w:style>
  <w:style w:type="paragraph" w:styleId="Footer">
    <w:name w:val="footer"/>
    <w:basedOn w:val="Normal"/>
    <w:link w:val="FooterChar"/>
    <w:uiPriority w:val="99"/>
    <w:unhideWhenUsed/>
    <w:rsid w:val="001B5226"/>
    <w:pPr>
      <w:tabs>
        <w:tab w:val="center" w:pos="4320"/>
        <w:tab w:val="right" w:pos="8640"/>
      </w:tabs>
    </w:pPr>
  </w:style>
  <w:style w:type="character" w:customStyle="1" w:styleId="FooterChar">
    <w:name w:val="Footer Char"/>
    <w:basedOn w:val="DefaultParagraphFont"/>
    <w:link w:val="Footer"/>
    <w:uiPriority w:val="99"/>
    <w:rsid w:val="001B5226"/>
  </w:style>
  <w:style w:type="character" w:styleId="PageNumber">
    <w:name w:val="page number"/>
    <w:basedOn w:val="DefaultParagraphFont"/>
    <w:uiPriority w:val="99"/>
    <w:semiHidden/>
    <w:unhideWhenUsed/>
    <w:rsid w:val="001B5226"/>
  </w:style>
  <w:style w:type="character" w:styleId="Emphasis">
    <w:name w:val="Emphasis"/>
    <w:basedOn w:val="DefaultParagraphFont"/>
    <w:uiPriority w:val="20"/>
    <w:rsid w:val="00A40B31"/>
    <w:rPr>
      <w:i/>
    </w:rPr>
  </w:style>
  <w:style w:type="table" w:styleId="TableGrid">
    <w:name w:val="Table Grid"/>
    <w:basedOn w:val="TableNormal"/>
    <w:uiPriority w:val="59"/>
    <w:rsid w:val="000B72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rsid w:val="00710E2C"/>
  </w:style>
  <w:style w:type="character" w:styleId="Hyperlink">
    <w:name w:val="Hyperlink"/>
    <w:basedOn w:val="DefaultParagraphFont"/>
    <w:rsid w:val="0074382A"/>
    <w:rPr>
      <w:color w:val="0000FF" w:themeColor="hyperlink"/>
      <w:u w:val="single"/>
    </w:rPr>
  </w:style>
  <w:style w:type="paragraph" w:customStyle="1" w:styleId="Default">
    <w:name w:val="Default"/>
    <w:rsid w:val="0074382A"/>
    <w:pPr>
      <w:widowControl w:val="0"/>
      <w:autoSpaceDE w:val="0"/>
      <w:autoSpaceDN w:val="0"/>
      <w:adjustRightInd w:val="0"/>
    </w:pPr>
    <w:rPr>
      <w:rFonts w:ascii="Times New Roman" w:hAnsi="Times New Roman" w:cs="Times New Roman"/>
      <w:color w:val="000000"/>
    </w:rPr>
  </w:style>
  <w:style w:type="paragraph" w:styleId="EndnoteText">
    <w:name w:val="endnote text"/>
    <w:basedOn w:val="Normal"/>
    <w:link w:val="EndnoteTextChar"/>
    <w:rsid w:val="00DC0F53"/>
  </w:style>
  <w:style w:type="character" w:customStyle="1" w:styleId="EndnoteTextChar">
    <w:name w:val="Endnote Text Char"/>
    <w:basedOn w:val="DefaultParagraphFont"/>
    <w:link w:val="EndnoteText"/>
    <w:rsid w:val="00DC0F53"/>
  </w:style>
  <w:style w:type="character" w:styleId="EndnoteReference">
    <w:name w:val="endnote reference"/>
    <w:basedOn w:val="DefaultParagraphFont"/>
    <w:rsid w:val="00DC0F53"/>
    <w:rPr>
      <w:vertAlign w:val="superscript"/>
    </w:rPr>
  </w:style>
  <w:style w:type="paragraph" w:styleId="FootnoteText">
    <w:name w:val="footnote text"/>
    <w:basedOn w:val="Normal"/>
    <w:link w:val="FootnoteTextChar"/>
    <w:rsid w:val="00DC0F53"/>
  </w:style>
  <w:style w:type="character" w:customStyle="1" w:styleId="FootnoteTextChar">
    <w:name w:val="Footnote Text Char"/>
    <w:basedOn w:val="DefaultParagraphFont"/>
    <w:link w:val="FootnoteText"/>
    <w:rsid w:val="00DC0F53"/>
  </w:style>
  <w:style w:type="character" w:styleId="FootnoteReference">
    <w:name w:val="footnote reference"/>
    <w:basedOn w:val="DefaultParagraphFont"/>
    <w:rsid w:val="00DC0F53"/>
    <w:rPr>
      <w:vertAlign w:val="superscript"/>
    </w:rPr>
  </w:style>
  <w:style w:type="paragraph" w:styleId="Bibliography">
    <w:name w:val="Bibliography"/>
    <w:basedOn w:val="Normal"/>
    <w:next w:val="Normal"/>
    <w:rsid w:val="00D10FD8"/>
    <w:pPr>
      <w:ind w:left="720" w:hanging="720"/>
    </w:pPr>
  </w:style>
  <w:style w:type="character" w:customStyle="1" w:styleId="Heading1Char">
    <w:name w:val="Heading 1 Char"/>
    <w:basedOn w:val="DefaultParagraphFont"/>
    <w:link w:val="Heading1"/>
    <w:uiPriority w:val="9"/>
    <w:rsid w:val="005423DF"/>
    <w:rPr>
      <w:rFonts w:ascii="Times" w:hAnsi="Times"/>
      <w:b/>
      <w:kern w:val="36"/>
      <w:sz w:val="48"/>
      <w:szCs w:val="20"/>
      <w:lang w:eastAsia="en-US"/>
    </w:rPr>
  </w:style>
  <w:style w:type="character" w:customStyle="1" w:styleId="Heading3Char">
    <w:name w:val="Heading 3 Char"/>
    <w:basedOn w:val="DefaultParagraphFont"/>
    <w:link w:val="Heading3"/>
    <w:uiPriority w:val="9"/>
    <w:rsid w:val="005423DF"/>
    <w:rPr>
      <w:rFonts w:ascii="Times" w:hAnsi="Times"/>
      <w:b/>
      <w:sz w:val="27"/>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26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25600</Words>
  <Characters>147713</Characters>
  <Application>Microsoft Macintosh Word</Application>
  <DocSecurity>0</DocSecurity>
  <Lines>2637</Lines>
  <Paragraphs>990</Paragraphs>
  <ScaleCrop>false</ScaleCrop>
  <Company/>
  <LinksUpToDate>false</LinksUpToDate>
  <CharactersWithSpaces>172323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Newman</dc:creator>
  <cp:keywords/>
  <cp:lastModifiedBy>Abraham Newman</cp:lastModifiedBy>
  <cp:revision>3</cp:revision>
  <cp:lastPrinted>2014-07-19T20:37:00Z</cp:lastPrinted>
  <dcterms:created xsi:type="dcterms:W3CDTF">2015-01-08T18:58:00Z</dcterms:created>
  <dcterms:modified xsi:type="dcterms:W3CDTF">2015-01-08T18:58:00Z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id="yRwmbfP2"/&gt;&lt;style id="http://www.zotero.org/styles/chicago-author-date"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