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445EE" w14:textId="77777777" w:rsidR="00B523F1" w:rsidRPr="00104AF1" w:rsidRDefault="00B523F1" w:rsidP="00B73E67">
      <w:pPr>
        <w:jc w:val="center"/>
        <w:rPr>
          <w:rFonts w:ascii="Garamond" w:hAnsi="Garamond"/>
          <w:b/>
        </w:rPr>
      </w:pPr>
    </w:p>
    <w:p w14:paraId="24EB832B" w14:textId="0AB2C170" w:rsidR="00EF4A72" w:rsidRPr="00104AF1" w:rsidRDefault="00200840" w:rsidP="00B73E67">
      <w:pPr>
        <w:jc w:val="center"/>
        <w:rPr>
          <w:rFonts w:ascii="Garamond" w:hAnsi="Garamond"/>
          <w:b/>
        </w:rPr>
      </w:pPr>
      <w:r w:rsidRPr="00104AF1">
        <w:rPr>
          <w:rFonts w:ascii="Garamond" w:hAnsi="Garamond"/>
          <w:b/>
        </w:rPr>
        <w:t>Transnational Feedbacks</w:t>
      </w:r>
      <w:r w:rsidR="00BC61B8">
        <w:rPr>
          <w:rFonts w:ascii="Garamond" w:hAnsi="Garamond"/>
          <w:b/>
        </w:rPr>
        <w:t>, Soft Law, and</w:t>
      </w:r>
      <w:r w:rsidR="00AC79BA" w:rsidRPr="00104AF1">
        <w:rPr>
          <w:rFonts w:ascii="Garamond" w:hAnsi="Garamond"/>
          <w:b/>
        </w:rPr>
        <w:t xml:space="preserve"> </w:t>
      </w:r>
      <w:r w:rsidR="00D8528B">
        <w:rPr>
          <w:rFonts w:ascii="Garamond" w:hAnsi="Garamond"/>
          <w:b/>
        </w:rPr>
        <w:t>Preference</w:t>
      </w:r>
      <w:r w:rsidR="00CE1D67">
        <w:rPr>
          <w:rFonts w:ascii="Garamond" w:hAnsi="Garamond"/>
          <w:b/>
        </w:rPr>
        <w:t>s i</w:t>
      </w:r>
      <w:r w:rsidR="00D8528B">
        <w:rPr>
          <w:rFonts w:ascii="Garamond" w:hAnsi="Garamond"/>
          <w:b/>
        </w:rPr>
        <w:t xml:space="preserve">n </w:t>
      </w:r>
      <w:r w:rsidR="00AC79BA" w:rsidRPr="00104AF1">
        <w:rPr>
          <w:rFonts w:ascii="Garamond" w:hAnsi="Garamond"/>
          <w:b/>
        </w:rPr>
        <w:t>Global Financial Regulation</w:t>
      </w:r>
    </w:p>
    <w:p w14:paraId="7A13DBF0" w14:textId="77777777" w:rsidR="00A573B3" w:rsidRPr="00104AF1" w:rsidRDefault="00A573B3" w:rsidP="00B73E67">
      <w:pPr>
        <w:jc w:val="center"/>
        <w:rPr>
          <w:rFonts w:ascii="Garamond" w:hAnsi="Garamond"/>
          <w:b/>
        </w:rPr>
      </w:pPr>
    </w:p>
    <w:p w14:paraId="58357BE6" w14:textId="77777777" w:rsidR="0091376A" w:rsidRDefault="0091376A" w:rsidP="00165203">
      <w:pPr>
        <w:jc w:val="center"/>
        <w:rPr>
          <w:rFonts w:ascii="Garamond" w:hAnsi="Garamond"/>
          <w:b/>
        </w:rPr>
      </w:pPr>
      <w:r>
        <w:rPr>
          <w:rFonts w:ascii="Garamond" w:hAnsi="Garamond"/>
          <w:b/>
        </w:rPr>
        <w:t xml:space="preserve">By </w:t>
      </w:r>
    </w:p>
    <w:p w14:paraId="41392014" w14:textId="16DF1BD2" w:rsidR="00165203" w:rsidRDefault="0091376A" w:rsidP="00165203">
      <w:pPr>
        <w:jc w:val="center"/>
        <w:rPr>
          <w:rFonts w:ascii="Garamond" w:hAnsi="Garamond"/>
          <w:b/>
        </w:rPr>
      </w:pPr>
      <w:r>
        <w:rPr>
          <w:rFonts w:ascii="Garamond" w:hAnsi="Garamond"/>
          <w:b/>
        </w:rPr>
        <w:t>Abraham Newman and Elliot Posner</w:t>
      </w:r>
    </w:p>
    <w:p w14:paraId="1A74D6CE" w14:textId="77777777" w:rsidR="0091376A" w:rsidRDefault="0091376A" w:rsidP="00165203">
      <w:pPr>
        <w:jc w:val="center"/>
        <w:rPr>
          <w:rFonts w:ascii="Garamond" w:hAnsi="Garamond"/>
          <w:b/>
        </w:rPr>
      </w:pPr>
    </w:p>
    <w:p w14:paraId="26CB16C6" w14:textId="77777777" w:rsidR="0091376A" w:rsidRPr="00104AF1" w:rsidRDefault="0091376A" w:rsidP="00165203">
      <w:pPr>
        <w:jc w:val="center"/>
        <w:rPr>
          <w:rFonts w:ascii="Garamond" w:hAnsi="Garamond"/>
          <w:b/>
        </w:rPr>
      </w:pPr>
    </w:p>
    <w:p w14:paraId="27BE7D1C" w14:textId="77777777" w:rsidR="00653324" w:rsidRPr="00104AF1" w:rsidRDefault="00A62B48" w:rsidP="00866CF2">
      <w:pPr>
        <w:jc w:val="center"/>
        <w:rPr>
          <w:rFonts w:ascii="Garamond" w:hAnsi="Garamond"/>
          <w:b/>
        </w:rPr>
      </w:pPr>
      <w:r w:rsidRPr="00104AF1">
        <w:rPr>
          <w:rFonts w:ascii="Garamond" w:hAnsi="Garamond"/>
          <w:b/>
        </w:rPr>
        <w:t>Abstract</w:t>
      </w:r>
    </w:p>
    <w:p w14:paraId="51D27622" w14:textId="77777777" w:rsidR="00866CF2" w:rsidRPr="00104AF1" w:rsidRDefault="00866CF2" w:rsidP="00866CF2">
      <w:pPr>
        <w:jc w:val="center"/>
        <w:rPr>
          <w:rFonts w:ascii="Garamond" w:hAnsi="Garamond"/>
          <w:b/>
        </w:rPr>
      </w:pPr>
    </w:p>
    <w:p w14:paraId="120AE3D3" w14:textId="690228FA" w:rsidR="00A82964" w:rsidRPr="00104AF1" w:rsidRDefault="005F795C" w:rsidP="00866CF2">
      <w:pPr>
        <w:rPr>
          <w:rFonts w:ascii="Garamond" w:hAnsi="Garamond"/>
        </w:rPr>
      </w:pPr>
      <w:r>
        <w:rPr>
          <w:rFonts w:ascii="Garamond" w:hAnsi="Garamond"/>
        </w:rPr>
        <w:t xml:space="preserve">Pre-crisis </w:t>
      </w:r>
      <w:r w:rsidR="00A41626" w:rsidRPr="004769FE">
        <w:rPr>
          <w:rFonts w:ascii="Garamond" w:hAnsi="Garamond"/>
        </w:rPr>
        <w:t xml:space="preserve">global governance of finance </w:t>
      </w:r>
      <w:r>
        <w:rPr>
          <w:rFonts w:ascii="Garamond" w:hAnsi="Garamond"/>
        </w:rPr>
        <w:t>was</w:t>
      </w:r>
      <w:r w:rsidR="00A41626" w:rsidRPr="004769FE">
        <w:rPr>
          <w:rFonts w:ascii="Garamond" w:hAnsi="Garamond"/>
        </w:rPr>
        <w:t xml:space="preserve"> marked by </w:t>
      </w:r>
      <w:r>
        <w:rPr>
          <w:rFonts w:ascii="Garamond" w:hAnsi="Garamond"/>
        </w:rPr>
        <w:t xml:space="preserve">extensive </w:t>
      </w:r>
      <w:r w:rsidR="00A41626" w:rsidRPr="004769FE">
        <w:rPr>
          <w:rFonts w:ascii="Garamond" w:hAnsi="Garamond"/>
        </w:rPr>
        <w:t>c</w:t>
      </w:r>
      <w:r w:rsidR="007C06D7" w:rsidRPr="001F48F1">
        <w:rPr>
          <w:rFonts w:ascii="Garamond" w:hAnsi="Garamond"/>
        </w:rPr>
        <w:t>ooperation</w:t>
      </w:r>
      <w:r>
        <w:rPr>
          <w:rFonts w:ascii="Garamond" w:hAnsi="Garamond"/>
        </w:rPr>
        <w:t xml:space="preserve"> </w:t>
      </w:r>
      <w:r w:rsidR="007C06D7" w:rsidRPr="00104AF1">
        <w:rPr>
          <w:rFonts w:ascii="Garamond" w:hAnsi="Garamond"/>
        </w:rPr>
        <w:t xml:space="preserve">supported by </w:t>
      </w:r>
      <w:r w:rsidR="00410DF0" w:rsidRPr="00104AF1">
        <w:rPr>
          <w:rFonts w:ascii="Garamond" w:hAnsi="Garamond"/>
        </w:rPr>
        <w:t>a</w:t>
      </w:r>
      <w:r w:rsidR="00C222BA">
        <w:rPr>
          <w:rFonts w:ascii="Garamond" w:hAnsi="Garamond"/>
        </w:rPr>
        <w:t xml:space="preserve"> </w:t>
      </w:r>
      <w:r w:rsidR="007C06D7" w:rsidRPr="00104AF1">
        <w:rPr>
          <w:rFonts w:ascii="Garamond" w:hAnsi="Garamond"/>
        </w:rPr>
        <w:t xml:space="preserve">preference alignment </w:t>
      </w:r>
      <w:r>
        <w:rPr>
          <w:rFonts w:ascii="Garamond" w:hAnsi="Garamond"/>
        </w:rPr>
        <w:t>between</w:t>
      </w:r>
      <w:r w:rsidR="007C06D7" w:rsidRPr="00104AF1">
        <w:rPr>
          <w:rFonts w:ascii="Garamond" w:hAnsi="Garamond"/>
        </w:rPr>
        <w:t xml:space="preserve"> the </w:t>
      </w:r>
      <w:r w:rsidR="00E77224" w:rsidRPr="00104AF1">
        <w:rPr>
          <w:rFonts w:ascii="Garamond" w:hAnsi="Garamond"/>
        </w:rPr>
        <w:t xml:space="preserve">two </w:t>
      </w:r>
      <w:r>
        <w:rPr>
          <w:rFonts w:ascii="Garamond" w:hAnsi="Garamond"/>
        </w:rPr>
        <w:t>regulatory</w:t>
      </w:r>
      <w:r w:rsidR="007C06D7" w:rsidRPr="00104AF1">
        <w:rPr>
          <w:rFonts w:ascii="Garamond" w:hAnsi="Garamond"/>
        </w:rPr>
        <w:t xml:space="preserve"> great powers,</w:t>
      </w:r>
      <w:r>
        <w:rPr>
          <w:rFonts w:ascii="Garamond" w:hAnsi="Garamond"/>
        </w:rPr>
        <w:t xml:space="preserve"> the U.S. and the EU</w:t>
      </w:r>
      <w:r w:rsidR="007C06D7" w:rsidRPr="00104AF1">
        <w:rPr>
          <w:rFonts w:ascii="Garamond" w:hAnsi="Garamond"/>
        </w:rPr>
        <w:t>.</w:t>
      </w:r>
      <w:r w:rsidR="00542BD3" w:rsidRPr="00104AF1">
        <w:rPr>
          <w:rFonts w:ascii="Garamond" w:hAnsi="Garamond"/>
        </w:rPr>
        <w:t xml:space="preserve">  </w:t>
      </w:r>
      <w:r w:rsidR="00C222BA">
        <w:rPr>
          <w:rFonts w:ascii="Garamond" w:hAnsi="Garamond"/>
        </w:rPr>
        <w:t>The</w:t>
      </w:r>
      <w:r>
        <w:rPr>
          <w:rFonts w:ascii="Garamond" w:hAnsi="Garamond"/>
        </w:rPr>
        <w:t xml:space="preserve"> paper’s</w:t>
      </w:r>
      <w:r w:rsidR="00CF5D0D" w:rsidRPr="00104AF1">
        <w:rPr>
          <w:rFonts w:ascii="Garamond" w:hAnsi="Garamond"/>
        </w:rPr>
        <w:t xml:space="preserve"> explanation</w:t>
      </w:r>
      <w:r w:rsidR="00514277">
        <w:rPr>
          <w:rFonts w:ascii="Garamond" w:hAnsi="Garamond"/>
        </w:rPr>
        <w:t xml:space="preserve"> of</w:t>
      </w:r>
      <w:r w:rsidR="00C222BA">
        <w:rPr>
          <w:rFonts w:ascii="Garamond" w:hAnsi="Garamond"/>
        </w:rPr>
        <w:t xml:space="preserve"> this surprising pattern in</w:t>
      </w:r>
      <w:r w:rsidR="00514277">
        <w:rPr>
          <w:rFonts w:ascii="Garamond" w:hAnsi="Garamond"/>
        </w:rPr>
        <w:t xml:space="preserve"> regulatory preferences</w:t>
      </w:r>
      <w:r w:rsidR="00CF5D0D" w:rsidRPr="00104AF1">
        <w:rPr>
          <w:rFonts w:ascii="Garamond" w:hAnsi="Garamond"/>
        </w:rPr>
        <w:t xml:space="preserve"> takes the institutional context of global finance seriously. It highlights endogenous, temporal effects of the international institutions at the co</w:t>
      </w:r>
      <w:bookmarkStart w:id="0" w:name="_GoBack"/>
      <w:bookmarkEnd w:id="0"/>
      <w:r w:rsidR="00CF5D0D" w:rsidRPr="00104AF1">
        <w:rPr>
          <w:rFonts w:ascii="Garamond" w:hAnsi="Garamond"/>
        </w:rPr>
        <w:t xml:space="preserve">re of global economic governance and, in particular, </w:t>
      </w:r>
      <w:r w:rsidR="00CF5D0D" w:rsidRPr="00104AF1">
        <w:rPr>
          <w:rFonts w:ascii="Garamond" w:hAnsi="Garamond"/>
          <w:i/>
        </w:rPr>
        <w:t>policy feedbacks</w:t>
      </w:r>
      <w:r w:rsidR="00CF5D0D" w:rsidRPr="00104AF1">
        <w:rPr>
          <w:rFonts w:ascii="Garamond" w:hAnsi="Garamond"/>
        </w:rPr>
        <w:t xml:space="preserve"> arising from</w:t>
      </w:r>
      <w:r w:rsidR="00A41626" w:rsidRPr="00104AF1">
        <w:rPr>
          <w:rFonts w:ascii="Garamond" w:hAnsi="Garamond"/>
        </w:rPr>
        <w:t xml:space="preserve"> the interaction of transnational</w:t>
      </w:r>
      <w:r w:rsidR="00CF5D0D" w:rsidRPr="00104AF1">
        <w:rPr>
          <w:rFonts w:ascii="Garamond" w:hAnsi="Garamond"/>
        </w:rPr>
        <w:t xml:space="preserve"> soft law </w:t>
      </w:r>
      <w:r w:rsidR="00A41626" w:rsidRPr="00104AF1">
        <w:rPr>
          <w:rFonts w:ascii="Garamond" w:hAnsi="Garamond"/>
        </w:rPr>
        <w:t>and domestic politic</w:t>
      </w:r>
      <w:r w:rsidR="00514277">
        <w:rPr>
          <w:rFonts w:ascii="Garamond" w:hAnsi="Garamond"/>
        </w:rPr>
        <w:t>al contests</w:t>
      </w:r>
      <w:r w:rsidR="00A41626" w:rsidRPr="00104AF1">
        <w:rPr>
          <w:rFonts w:ascii="Garamond" w:hAnsi="Garamond"/>
        </w:rPr>
        <w:t>.</w:t>
      </w:r>
      <w:r w:rsidR="00CF5D0D" w:rsidRPr="00104AF1">
        <w:rPr>
          <w:rStyle w:val="FootnoteReference"/>
          <w:rFonts w:ascii="Garamond" w:hAnsi="Garamond"/>
        </w:rPr>
        <w:t xml:space="preserve"> </w:t>
      </w:r>
      <w:r w:rsidR="00CF5D0D" w:rsidRPr="00104AF1">
        <w:rPr>
          <w:rFonts w:ascii="Garamond" w:hAnsi="Garamond"/>
        </w:rPr>
        <w:t xml:space="preserve">In this extension of historical </w:t>
      </w:r>
      <w:proofErr w:type="spellStart"/>
      <w:r w:rsidR="00CF5D0D" w:rsidRPr="00104AF1">
        <w:rPr>
          <w:rFonts w:ascii="Garamond" w:hAnsi="Garamond"/>
        </w:rPr>
        <w:t>institutionalist</w:t>
      </w:r>
      <w:proofErr w:type="spellEnd"/>
      <w:r w:rsidR="00CF5D0D" w:rsidRPr="00104AF1">
        <w:rPr>
          <w:rFonts w:ascii="Garamond" w:hAnsi="Garamond"/>
        </w:rPr>
        <w:t xml:space="preserve"> theory to</w:t>
      </w:r>
      <w:r w:rsidR="00453E66">
        <w:rPr>
          <w:rFonts w:ascii="Garamond" w:hAnsi="Garamond"/>
        </w:rPr>
        <w:t xml:space="preserve"> the international political arena</w:t>
      </w:r>
      <w:r w:rsidR="00CF5D0D" w:rsidRPr="00104AF1">
        <w:rPr>
          <w:rFonts w:ascii="Garamond" w:hAnsi="Garamond"/>
        </w:rPr>
        <w:t xml:space="preserve">, </w:t>
      </w:r>
      <w:r w:rsidR="006E1373">
        <w:rPr>
          <w:rFonts w:ascii="Garamond" w:hAnsi="Garamond"/>
        </w:rPr>
        <w:t xml:space="preserve">soft law is </w:t>
      </w:r>
      <w:r w:rsidR="00CF5D0D" w:rsidRPr="00104AF1">
        <w:rPr>
          <w:rFonts w:ascii="Garamond" w:hAnsi="Garamond"/>
        </w:rPr>
        <w:t xml:space="preserve">more than </w:t>
      </w:r>
      <w:r w:rsidR="006E1373">
        <w:rPr>
          <w:rFonts w:ascii="Garamond" w:hAnsi="Garamond"/>
        </w:rPr>
        <w:t>a coordinating mechanism.  It is an institution</w:t>
      </w:r>
      <w:r w:rsidR="00C07686">
        <w:rPr>
          <w:rFonts w:ascii="Garamond" w:hAnsi="Garamond"/>
        </w:rPr>
        <w:t xml:space="preserve"> that, like its </w:t>
      </w:r>
      <w:r w:rsidR="00CF5D0D" w:rsidRPr="00104AF1">
        <w:rPr>
          <w:rFonts w:ascii="Garamond" w:hAnsi="Garamond"/>
        </w:rPr>
        <w:t>domestic analogues, structure</w:t>
      </w:r>
      <w:r w:rsidR="00C07686">
        <w:rPr>
          <w:rFonts w:ascii="Garamond" w:hAnsi="Garamond"/>
        </w:rPr>
        <w:t>s</w:t>
      </w:r>
      <w:r w:rsidR="00CF5D0D" w:rsidRPr="00104AF1">
        <w:rPr>
          <w:rFonts w:ascii="Garamond" w:hAnsi="Garamond"/>
        </w:rPr>
        <w:t xml:space="preserve"> politics over time, redistributing resources</w:t>
      </w:r>
      <w:r w:rsidR="00AE44EC" w:rsidRPr="00104AF1">
        <w:rPr>
          <w:rFonts w:ascii="Garamond" w:hAnsi="Garamond"/>
        </w:rPr>
        <w:t xml:space="preserve"> </w:t>
      </w:r>
      <w:r w:rsidR="00CF5D0D" w:rsidRPr="00104AF1">
        <w:rPr>
          <w:rFonts w:ascii="Garamond" w:hAnsi="Garamond"/>
        </w:rPr>
        <w:t xml:space="preserve">and altering contests between competing coalitions.  </w:t>
      </w:r>
      <w:r w:rsidR="00F11F57" w:rsidRPr="00104AF1">
        <w:rPr>
          <w:rFonts w:ascii="Garamond" w:hAnsi="Garamond"/>
        </w:rPr>
        <w:t xml:space="preserve">In addition to </w:t>
      </w:r>
      <w:r w:rsidR="00410DF0" w:rsidRPr="00104AF1">
        <w:rPr>
          <w:rFonts w:ascii="Garamond" w:hAnsi="Garamond"/>
        </w:rPr>
        <w:t xml:space="preserve">improving our understanding of </w:t>
      </w:r>
      <w:r w:rsidR="00F11F57" w:rsidRPr="00104AF1">
        <w:rPr>
          <w:rFonts w:ascii="Garamond" w:hAnsi="Garamond"/>
        </w:rPr>
        <w:t>historical events</w:t>
      </w:r>
      <w:r w:rsidR="00852A20" w:rsidRPr="00104AF1">
        <w:rPr>
          <w:rFonts w:ascii="Garamond" w:hAnsi="Garamond"/>
        </w:rPr>
        <w:t xml:space="preserve"> and great power preference </w:t>
      </w:r>
      <w:r w:rsidR="00453E66">
        <w:rPr>
          <w:rFonts w:ascii="Garamond" w:hAnsi="Garamond"/>
        </w:rPr>
        <w:t>alignment</w:t>
      </w:r>
      <w:r w:rsidR="00852A20" w:rsidRPr="00104AF1">
        <w:rPr>
          <w:rFonts w:ascii="Garamond" w:hAnsi="Garamond"/>
        </w:rPr>
        <w:t>,</w:t>
      </w:r>
      <w:r w:rsidR="00F11F57" w:rsidRPr="00104AF1">
        <w:rPr>
          <w:rFonts w:ascii="Garamond" w:hAnsi="Garamond"/>
        </w:rPr>
        <w:t xml:space="preserve"> </w:t>
      </w:r>
      <w:r w:rsidR="00410DF0" w:rsidRPr="00104AF1">
        <w:rPr>
          <w:rFonts w:ascii="Garamond" w:hAnsi="Garamond"/>
        </w:rPr>
        <w:t>the</w:t>
      </w:r>
      <w:r w:rsidR="00F11F57" w:rsidRPr="00104AF1">
        <w:rPr>
          <w:rFonts w:ascii="Garamond" w:hAnsi="Garamond"/>
        </w:rPr>
        <w:t xml:space="preserve"> argument develops claim</w:t>
      </w:r>
      <w:r w:rsidR="00E77224" w:rsidRPr="00104AF1">
        <w:rPr>
          <w:rFonts w:ascii="Garamond" w:hAnsi="Garamond"/>
        </w:rPr>
        <w:t>s</w:t>
      </w:r>
      <w:r w:rsidR="00F11F57" w:rsidRPr="00104AF1">
        <w:rPr>
          <w:rFonts w:ascii="Garamond" w:hAnsi="Garamond"/>
        </w:rPr>
        <w:t xml:space="preserve"> about the temporal effects</w:t>
      </w:r>
      <w:r w:rsidR="00E77224" w:rsidRPr="00104AF1">
        <w:rPr>
          <w:rFonts w:ascii="Garamond" w:hAnsi="Garamond"/>
        </w:rPr>
        <w:t xml:space="preserve"> and</w:t>
      </w:r>
      <w:r w:rsidR="006936A3" w:rsidRPr="00104AF1">
        <w:rPr>
          <w:rFonts w:ascii="Garamond" w:hAnsi="Garamond"/>
        </w:rPr>
        <w:t xml:space="preserve"> domestic-international </w:t>
      </w:r>
      <w:r w:rsidR="00384518" w:rsidRPr="00104AF1">
        <w:rPr>
          <w:rFonts w:ascii="Garamond" w:hAnsi="Garamond"/>
        </w:rPr>
        <w:t xml:space="preserve">interaction </w:t>
      </w:r>
      <w:r w:rsidR="00F11F57" w:rsidRPr="00104AF1">
        <w:rPr>
          <w:rFonts w:ascii="Garamond" w:hAnsi="Garamond"/>
        </w:rPr>
        <w:t>of informal cooperation</w:t>
      </w:r>
      <w:r w:rsidR="00123CD7" w:rsidRPr="00104AF1">
        <w:rPr>
          <w:rFonts w:ascii="Garamond" w:hAnsi="Garamond"/>
        </w:rPr>
        <w:t xml:space="preserve"> in global governance</w:t>
      </w:r>
      <w:r w:rsidR="003C590E" w:rsidRPr="00104AF1">
        <w:rPr>
          <w:rFonts w:ascii="Garamond" w:hAnsi="Garamond"/>
        </w:rPr>
        <w:t xml:space="preserve">.   </w:t>
      </w:r>
    </w:p>
    <w:p w14:paraId="46D2D797" w14:textId="77777777" w:rsidR="00653324" w:rsidRPr="00104AF1" w:rsidRDefault="00653324" w:rsidP="00653324">
      <w:pPr>
        <w:spacing w:line="480" w:lineRule="auto"/>
        <w:jc w:val="center"/>
        <w:rPr>
          <w:rFonts w:ascii="Garamond" w:hAnsi="Garamond"/>
          <w:b/>
        </w:rPr>
      </w:pPr>
    </w:p>
    <w:p w14:paraId="21A58FB4" w14:textId="77777777" w:rsidR="00455909" w:rsidRPr="00104AF1" w:rsidRDefault="00455909" w:rsidP="001C22F8">
      <w:pPr>
        <w:rPr>
          <w:rFonts w:ascii="Garamond" w:hAnsi="Garamond"/>
          <w:b/>
        </w:rPr>
      </w:pPr>
    </w:p>
    <w:p w14:paraId="6786A9AE" w14:textId="77777777" w:rsidR="00455909" w:rsidRPr="00104AF1" w:rsidRDefault="00455909" w:rsidP="00A62B48">
      <w:pPr>
        <w:rPr>
          <w:rFonts w:ascii="Garamond" w:hAnsi="Garamond"/>
        </w:rPr>
      </w:pPr>
      <w:r w:rsidRPr="00104AF1">
        <w:rPr>
          <w:rFonts w:ascii="Garamond" w:hAnsi="Garamond"/>
          <w:b/>
        </w:rPr>
        <w:br w:type="page"/>
      </w:r>
    </w:p>
    <w:p w14:paraId="34286861" w14:textId="77777777" w:rsidR="00BE3741" w:rsidRPr="00104AF1" w:rsidRDefault="005C53A4" w:rsidP="006B2144">
      <w:pPr>
        <w:spacing w:line="480" w:lineRule="auto"/>
        <w:rPr>
          <w:rFonts w:ascii="Garamond" w:hAnsi="Garamond"/>
        </w:rPr>
      </w:pPr>
      <w:r w:rsidRPr="00104AF1">
        <w:rPr>
          <w:rFonts w:ascii="Garamond" w:hAnsi="Garamond"/>
        </w:rPr>
        <w:lastRenderedPageBreak/>
        <w:tab/>
      </w:r>
      <w:r w:rsidR="00FE27E7" w:rsidRPr="00104AF1">
        <w:rPr>
          <w:rFonts w:ascii="Garamond" w:hAnsi="Garamond"/>
        </w:rPr>
        <w:t xml:space="preserve">In the </w:t>
      </w:r>
      <w:r w:rsidR="00384518" w:rsidRPr="00104AF1">
        <w:rPr>
          <w:rFonts w:ascii="Garamond" w:hAnsi="Garamond"/>
        </w:rPr>
        <w:t xml:space="preserve">sizable </w:t>
      </w:r>
      <w:r w:rsidR="00FE27E7" w:rsidRPr="00104AF1">
        <w:rPr>
          <w:rFonts w:ascii="Garamond" w:hAnsi="Garamond"/>
        </w:rPr>
        <w:t>literature on</w:t>
      </w:r>
      <w:r w:rsidR="00020DEA" w:rsidRPr="00104AF1">
        <w:rPr>
          <w:rFonts w:ascii="Garamond" w:hAnsi="Garamond"/>
        </w:rPr>
        <w:t xml:space="preserve"> the causes of the 2008 financial crisis</w:t>
      </w:r>
      <w:r w:rsidR="004E40BB" w:rsidRPr="00104AF1">
        <w:rPr>
          <w:rFonts w:ascii="Garamond" w:hAnsi="Garamond"/>
        </w:rPr>
        <w:t xml:space="preserve"> </w:t>
      </w:r>
      <w:r w:rsidR="004E40BB" w:rsidRPr="007603BE">
        <w:rPr>
          <w:rFonts w:ascii="Garamond" w:hAnsi="Garamond"/>
        </w:rPr>
        <w:t>(Lo 2012)</w:t>
      </w:r>
      <w:r w:rsidR="005C29F6" w:rsidRPr="007603BE">
        <w:rPr>
          <w:rFonts w:ascii="Garamond" w:hAnsi="Garamond"/>
        </w:rPr>
        <w:t>,</w:t>
      </w:r>
      <w:r w:rsidR="005C29F6" w:rsidRPr="004769FE">
        <w:rPr>
          <w:rFonts w:ascii="Garamond" w:hAnsi="Garamond"/>
        </w:rPr>
        <w:t xml:space="preserve"> one contributing factor has received relativel</w:t>
      </w:r>
      <w:r w:rsidR="005C29F6" w:rsidRPr="001F48F1">
        <w:rPr>
          <w:rFonts w:ascii="Garamond" w:hAnsi="Garamond"/>
        </w:rPr>
        <w:t xml:space="preserve">y little </w:t>
      </w:r>
      <w:r w:rsidR="00D9533E" w:rsidRPr="001F48F1">
        <w:rPr>
          <w:rFonts w:ascii="Garamond" w:hAnsi="Garamond"/>
        </w:rPr>
        <w:t>attention</w:t>
      </w:r>
      <w:r w:rsidR="005C29F6" w:rsidRPr="00104AF1">
        <w:rPr>
          <w:rFonts w:ascii="Garamond" w:hAnsi="Garamond"/>
        </w:rPr>
        <w:t>: the pre-crisis cooperation between the two main regulatory powers, the US and the EU, and the preference alignment tha</w:t>
      </w:r>
      <w:r w:rsidR="00434FAD" w:rsidRPr="00104AF1">
        <w:rPr>
          <w:rFonts w:ascii="Garamond" w:hAnsi="Garamond"/>
        </w:rPr>
        <w:t>t sustained it.</w:t>
      </w:r>
      <w:r w:rsidR="00BE3741" w:rsidRPr="00104AF1">
        <w:rPr>
          <w:rFonts w:ascii="Garamond" w:hAnsi="Garamond"/>
        </w:rPr>
        <w:t xml:space="preserve">  Had Europe</w:t>
      </w:r>
      <w:r w:rsidR="00093894" w:rsidRPr="00104AF1">
        <w:rPr>
          <w:rFonts w:ascii="Garamond" w:hAnsi="Garamond"/>
        </w:rPr>
        <w:t xml:space="preserve"> in the early 2000s</w:t>
      </w:r>
      <w:r w:rsidR="00BE3741" w:rsidRPr="00104AF1">
        <w:rPr>
          <w:rFonts w:ascii="Garamond" w:hAnsi="Garamond"/>
        </w:rPr>
        <w:t xml:space="preserve"> challenged US regulatory approaches in finance – as it had in other sectors such as chemicals and data privacy – </w:t>
      </w:r>
      <w:r w:rsidR="00B31A88" w:rsidRPr="00104AF1">
        <w:rPr>
          <w:rFonts w:ascii="Garamond" w:hAnsi="Garamond"/>
        </w:rPr>
        <w:t>one could</w:t>
      </w:r>
      <w:r w:rsidR="00093894" w:rsidRPr="00104AF1">
        <w:rPr>
          <w:rFonts w:ascii="Garamond" w:hAnsi="Garamond"/>
        </w:rPr>
        <w:t xml:space="preserve"> imagine</w:t>
      </w:r>
      <w:r w:rsidR="00D9533E" w:rsidRPr="00104AF1">
        <w:rPr>
          <w:rFonts w:ascii="Garamond" w:hAnsi="Garamond"/>
        </w:rPr>
        <w:t xml:space="preserve"> any number of</w:t>
      </w:r>
      <w:r w:rsidR="00FB0D4D" w:rsidRPr="00104AF1">
        <w:rPr>
          <w:rFonts w:ascii="Garamond" w:hAnsi="Garamond"/>
        </w:rPr>
        <w:t xml:space="preserve"> </w:t>
      </w:r>
      <w:r w:rsidR="00093894" w:rsidRPr="00104AF1">
        <w:rPr>
          <w:rFonts w:ascii="Garamond" w:hAnsi="Garamond"/>
        </w:rPr>
        <w:t xml:space="preserve">different scenarios to the dismal one that unfolded: </w:t>
      </w:r>
      <w:r w:rsidR="00D9533E" w:rsidRPr="00104AF1">
        <w:rPr>
          <w:rFonts w:ascii="Garamond" w:hAnsi="Garamond"/>
        </w:rPr>
        <w:t xml:space="preserve">from fewer countries afflicted by banking </w:t>
      </w:r>
      <w:r w:rsidR="00FB0D4D" w:rsidRPr="00104AF1">
        <w:rPr>
          <w:rFonts w:ascii="Garamond" w:hAnsi="Garamond"/>
        </w:rPr>
        <w:t xml:space="preserve">and sovereign debt </w:t>
      </w:r>
      <w:r w:rsidR="00D9533E" w:rsidRPr="00104AF1">
        <w:rPr>
          <w:rFonts w:ascii="Garamond" w:hAnsi="Garamond"/>
        </w:rPr>
        <w:t>crise</w:t>
      </w:r>
      <w:r w:rsidR="00FB0D4D" w:rsidRPr="00104AF1">
        <w:rPr>
          <w:rFonts w:ascii="Garamond" w:hAnsi="Garamond"/>
        </w:rPr>
        <w:t>s, to</w:t>
      </w:r>
      <w:r w:rsidR="00093894" w:rsidRPr="00104AF1">
        <w:rPr>
          <w:rFonts w:ascii="Garamond" w:hAnsi="Garamond"/>
        </w:rPr>
        <w:t xml:space="preserve"> the absence of </w:t>
      </w:r>
      <w:r w:rsidR="00FB0D4D" w:rsidRPr="00104AF1">
        <w:rPr>
          <w:rFonts w:ascii="Garamond" w:hAnsi="Garamond"/>
        </w:rPr>
        <w:t xml:space="preserve">calamity and austerity policies within the </w:t>
      </w:r>
      <w:proofErr w:type="spellStart"/>
      <w:r w:rsidR="00FB0D4D" w:rsidRPr="00104AF1">
        <w:rPr>
          <w:rFonts w:ascii="Garamond" w:hAnsi="Garamond"/>
        </w:rPr>
        <w:t>eurozone</w:t>
      </w:r>
      <w:proofErr w:type="spellEnd"/>
      <w:r w:rsidR="00FB0D4D" w:rsidRPr="00104AF1">
        <w:rPr>
          <w:rFonts w:ascii="Garamond" w:hAnsi="Garamond"/>
        </w:rPr>
        <w:t>.</w:t>
      </w:r>
    </w:p>
    <w:p w14:paraId="0D3927DC" w14:textId="0305BCDF" w:rsidR="006F75C1" w:rsidRPr="00104AF1" w:rsidRDefault="00337CA9" w:rsidP="00BE3741">
      <w:pPr>
        <w:spacing w:line="480" w:lineRule="auto"/>
        <w:ind w:firstLine="720"/>
        <w:rPr>
          <w:rFonts w:ascii="Garamond" w:hAnsi="Garamond"/>
        </w:rPr>
      </w:pPr>
      <w:r w:rsidRPr="00104AF1">
        <w:rPr>
          <w:rFonts w:ascii="Garamond" w:hAnsi="Garamond"/>
        </w:rPr>
        <w:t xml:space="preserve">Patterns of preference alignment (or diversity) among great regulatory powers </w:t>
      </w:r>
      <w:r w:rsidR="00114204" w:rsidRPr="00104AF1">
        <w:rPr>
          <w:rFonts w:ascii="Garamond" w:hAnsi="Garamond"/>
        </w:rPr>
        <w:t>are</w:t>
      </w:r>
      <w:r w:rsidR="0053420D" w:rsidRPr="00104AF1">
        <w:rPr>
          <w:rFonts w:ascii="Garamond" w:hAnsi="Garamond"/>
        </w:rPr>
        <w:t xml:space="preserve"> not just</w:t>
      </w:r>
      <w:r w:rsidR="00114204" w:rsidRPr="00104AF1">
        <w:rPr>
          <w:rFonts w:ascii="Garamond" w:hAnsi="Garamond"/>
        </w:rPr>
        <w:t xml:space="preserve"> of real-world salience; they</w:t>
      </w:r>
      <w:r w:rsidRPr="00104AF1">
        <w:rPr>
          <w:rFonts w:ascii="Garamond" w:hAnsi="Garamond"/>
        </w:rPr>
        <w:t xml:space="preserve"> also </w:t>
      </w:r>
      <w:r w:rsidR="002E7178" w:rsidRPr="00104AF1">
        <w:rPr>
          <w:rFonts w:ascii="Garamond" w:hAnsi="Garamond"/>
        </w:rPr>
        <w:t xml:space="preserve">pose </w:t>
      </w:r>
      <w:r w:rsidRPr="00104AF1">
        <w:rPr>
          <w:rFonts w:ascii="Garamond" w:hAnsi="Garamond"/>
        </w:rPr>
        <w:t>a</w:t>
      </w:r>
      <w:r w:rsidR="002E7178" w:rsidRPr="00104AF1">
        <w:rPr>
          <w:rFonts w:ascii="Garamond" w:hAnsi="Garamond"/>
        </w:rPr>
        <w:t xml:space="preserve"> stubborn challenge to political economy theory</w:t>
      </w:r>
      <w:r w:rsidRPr="00104AF1">
        <w:rPr>
          <w:rFonts w:ascii="Garamond" w:hAnsi="Garamond"/>
        </w:rPr>
        <w:t xml:space="preserve">.  </w:t>
      </w:r>
      <w:r w:rsidR="00852A20" w:rsidRPr="00104AF1">
        <w:rPr>
          <w:rFonts w:ascii="Garamond" w:hAnsi="Garamond"/>
        </w:rPr>
        <w:t>Power-based arguments</w:t>
      </w:r>
      <w:r w:rsidR="00771B17" w:rsidRPr="00104AF1">
        <w:rPr>
          <w:rFonts w:ascii="Garamond" w:hAnsi="Garamond"/>
        </w:rPr>
        <w:t xml:space="preserve"> do</w:t>
      </w:r>
      <w:r w:rsidR="00910BB5" w:rsidRPr="00104AF1">
        <w:rPr>
          <w:rFonts w:ascii="Garamond" w:hAnsi="Garamond"/>
        </w:rPr>
        <w:t xml:space="preserve"> not anticipate </w:t>
      </w:r>
      <w:r w:rsidR="00EA31A3" w:rsidRPr="00104AF1">
        <w:rPr>
          <w:rFonts w:ascii="Garamond" w:hAnsi="Garamond"/>
        </w:rPr>
        <w:t>the kind of</w:t>
      </w:r>
      <w:r w:rsidR="00852A20" w:rsidRPr="00104AF1">
        <w:rPr>
          <w:rFonts w:ascii="Garamond" w:hAnsi="Garamond"/>
        </w:rPr>
        <w:t xml:space="preserve"> preference </w:t>
      </w:r>
      <w:r w:rsidR="00197E51">
        <w:rPr>
          <w:rFonts w:ascii="Garamond" w:hAnsi="Garamond"/>
        </w:rPr>
        <w:t>harmonization</w:t>
      </w:r>
      <w:r w:rsidR="001E03A9" w:rsidRPr="00104AF1">
        <w:rPr>
          <w:rFonts w:ascii="Garamond" w:hAnsi="Garamond"/>
        </w:rPr>
        <w:t xml:space="preserve"> </w:t>
      </w:r>
      <w:r w:rsidR="00EA31A3" w:rsidRPr="00104AF1">
        <w:rPr>
          <w:rFonts w:ascii="Garamond" w:hAnsi="Garamond"/>
        </w:rPr>
        <w:t>observed in pre-crisis financial regulation</w:t>
      </w:r>
      <w:r w:rsidR="00771B17" w:rsidRPr="00104AF1">
        <w:rPr>
          <w:rFonts w:ascii="Garamond" w:hAnsi="Garamond"/>
        </w:rPr>
        <w:t>.</w:t>
      </w:r>
      <w:r w:rsidR="000A1953" w:rsidRPr="00104AF1">
        <w:rPr>
          <w:rFonts w:ascii="Garamond" w:hAnsi="Garamond"/>
        </w:rPr>
        <w:t xml:space="preserve"> </w:t>
      </w:r>
      <w:r w:rsidR="00D16F76" w:rsidRPr="00104AF1">
        <w:rPr>
          <w:rFonts w:ascii="Garamond" w:hAnsi="Garamond"/>
        </w:rPr>
        <w:t>Because of differences in domestic</w:t>
      </w:r>
      <w:r w:rsidR="00BE7501">
        <w:rPr>
          <w:rFonts w:ascii="Garamond" w:hAnsi="Garamond"/>
        </w:rPr>
        <w:t xml:space="preserve"> (internal for the EU)</w:t>
      </w:r>
      <w:r w:rsidR="00D16F76" w:rsidRPr="00104AF1">
        <w:rPr>
          <w:rFonts w:ascii="Garamond" w:hAnsi="Garamond"/>
        </w:rPr>
        <w:t xml:space="preserve"> regulatory structures, t</w:t>
      </w:r>
      <w:r w:rsidR="0022482C" w:rsidRPr="00104AF1">
        <w:rPr>
          <w:rFonts w:ascii="Garamond" w:hAnsi="Garamond"/>
        </w:rPr>
        <w:t>he</w:t>
      </w:r>
      <w:r w:rsidR="000A1953" w:rsidRPr="00104AF1">
        <w:rPr>
          <w:rFonts w:ascii="Garamond" w:hAnsi="Garamond"/>
        </w:rPr>
        <w:t>se</w:t>
      </w:r>
      <w:r w:rsidR="00DB755B" w:rsidRPr="00104AF1">
        <w:rPr>
          <w:rFonts w:ascii="Garamond" w:hAnsi="Garamond"/>
        </w:rPr>
        <w:t xml:space="preserve"> acc</w:t>
      </w:r>
      <w:r w:rsidR="000A5EFD" w:rsidRPr="00104AF1">
        <w:rPr>
          <w:rFonts w:ascii="Garamond" w:hAnsi="Garamond"/>
        </w:rPr>
        <w:t>o</w:t>
      </w:r>
      <w:r w:rsidR="00DB755B" w:rsidRPr="00104AF1">
        <w:rPr>
          <w:rFonts w:ascii="Garamond" w:hAnsi="Garamond"/>
        </w:rPr>
        <w:t>unts</w:t>
      </w:r>
      <w:r w:rsidR="00630A32" w:rsidRPr="00104AF1">
        <w:rPr>
          <w:rFonts w:ascii="Garamond" w:hAnsi="Garamond"/>
        </w:rPr>
        <w:t xml:space="preserve"> </w:t>
      </w:r>
      <w:r w:rsidR="00D16F76" w:rsidRPr="00104AF1">
        <w:rPr>
          <w:rFonts w:ascii="Garamond" w:hAnsi="Garamond"/>
        </w:rPr>
        <w:t xml:space="preserve">predict </w:t>
      </w:r>
      <w:r w:rsidR="00630A32" w:rsidRPr="00104AF1">
        <w:rPr>
          <w:rFonts w:ascii="Garamond" w:hAnsi="Garamond"/>
        </w:rPr>
        <w:t>the rise of new economic centers to complicate collective action</w:t>
      </w:r>
      <w:r w:rsidR="00890172" w:rsidRPr="00104AF1">
        <w:rPr>
          <w:rFonts w:ascii="Garamond" w:hAnsi="Garamond"/>
        </w:rPr>
        <w:t xml:space="preserve"> in the “clubs” that develop transnational regulatory </w:t>
      </w:r>
      <w:r w:rsidR="00116987" w:rsidRPr="00104AF1">
        <w:rPr>
          <w:rFonts w:ascii="Garamond" w:hAnsi="Garamond"/>
        </w:rPr>
        <w:t>standards</w:t>
      </w:r>
      <w:r w:rsidR="005C53A4" w:rsidRPr="00104AF1">
        <w:rPr>
          <w:rFonts w:ascii="Garamond" w:hAnsi="Garamond"/>
        </w:rPr>
        <w:t>.</w:t>
      </w:r>
      <w:r w:rsidR="00A71703" w:rsidRPr="00104AF1">
        <w:rPr>
          <w:rFonts w:ascii="Garamond" w:hAnsi="Garamond"/>
        </w:rPr>
        <w:t xml:space="preserve"> </w:t>
      </w:r>
      <w:proofErr w:type="gramStart"/>
      <w:r w:rsidR="005C53A4" w:rsidRPr="00104AF1">
        <w:rPr>
          <w:rFonts w:ascii="Garamond" w:hAnsi="Garamond"/>
        </w:rPr>
        <w:t>(</w:t>
      </w:r>
      <w:proofErr w:type="spellStart"/>
      <w:r w:rsidR="005C53A4" w:rsidRPr="00104AF1">
        <w:rPr>
          <w:rFonts w:ascii="Garamond" w:hAnsi="Garamond"/>
        </w:rPr>
        <w:t>Drezner</w:t>
      </w:r>
      <w:proofErr w:type="spellEnd"/>
      <w:r w:rsidR="005C53A4" w:rsidRPr="00104AF1">
        <w:rPr>
          <w:rFonts w:ascii="Garamond" w:hAnsi="Garamond"/>
        </w:rPr>
        <w:t>, 2007).</w:t>
      </w:r>
      <w:proofErr w:type="gramEnd"/>
      <w:r w:rsidR="005C53A4" w:rsidRPr="00104AF1">
        <w:rPr>
          <w:rFonts w:ascii="Garamond" w:hAnsi="Garamond"/>
        </w:rPr>
        <w:t xml:space="preserve">  </w:t>
      </w:r>
      <w:r w:rsidR="00B31A88" w:rsidRPr="00104AF1">
        <w:rPr>
          <w:rFonts w:ascii="Garamond" w:hAnsi="Garamond"/>
        </w:rPr>
        <w:t>N</w:t>
      </w:r>
      <w:r w:rsidR="00DA332C" w:rsidRPr="00104AF1">
        <w:rPr>
          <w:rFonts w:ascii="Garamond" w:hAnsi="Garamond"/>
        </w:rPr>
        <w:t xml:space="preserve">owhere </w:t>
      </w:r>
      <w:r w:rsidR="00103A80" w:rsidRPr="00104AF1">
        <w:rPr>
          <w:rFonts w:ascii="Garamond" w:hAnsi="Garamond"/>
        </w:rPr>
        <w:t xml:space="preserve">should </w:t>
      </w:r>
      <w:r w:rsidR="00EA31A3" w:rsidRPr="00104AF1">
        <w:rPr>
          <w:rFonts w:ascii="Garamond" w:hAnsi="Garamond"/>
        </w:rPr>
        <w:t xml:space="preserve">such complications </w:t>
      </w:r>
      <w:r w:rsidR="00103A80" w:rsidRPr="00104AF1">
        <w:rPr>
          <w:rFonts w:ascii="Garamond" w:hAnsi="Garamond"/>
        </w:rPr>
        <w:t>have been</w:t>
      </w:r>
      <w:r w:rsidR="00910BB5" w:rsidRPr="00104AF1">
        <w:rPr>
          <w:rFonts w:ascii="Garamond" w:hAnsi="Garamond"/>
        </w:rPr>
        <w:t xml:space="preserve"> more</w:t>
      </w:r>
      <w:r w:rsidR="001E03A9" w:rsidRPr="00104AF1">
        <w:rPr>
          <w:rFonts w:ascii="Garamond" w:hAnsi="Garamond"/>
        </w:rPr>
        <w:t xml:space="preserve"> </w:t>
      </w:r>
      <w:r w:rsidR="00910BB5" w:rsidRPr="00104AF1">
        <w:rPr>
          <w:rFonts w:ascii="Garamond" w:hAnsi="Garamond"/>
        </w:rPr>
        <w:t xml:space="preserve">expected than in the case of pre-crisis </w:t>
      </w:r>
      <w:r w:rsidR="0080454D" w:rsidRPr="00104AF1">
        <w:rPr>
          <w:rFonts w:ascii="Garamond" w:hAnsi="Garamond"/>
        </w:rPr>
        <w:t>finance</w:t>
      </w:r>
      <w:r w:rsidR="00910BB5" w:rsidRPr="00104AF1">
        <w:rPr>
          <w:rFonts w:ascii="Garamond" w:hAnsi="Garamond"/>
        </w:rPr>
        <w:t>, which</w:t>
      </w:r>
      <w:r w:rsidR="00B31A88" w:rsidRPr="00104AF1">
        <w:rPr>
          <w:rFonts w:ascii="Garamond" w:hAnsi="Garamond"/>
        </w:rPr>
        <w:t xml:space="preserve"> </w:t>
      </w:r>
      <w:r w:rsidR="00910BB5" w:rsidRPr="00104AF1">
        <w:rPr>
          <w:rFonts w:ascii="Garamond" w:hAnsi="Garamond"/>
        </w:rPr>
        <w:t>witnessed the EU</w:t>
      </w:r>
      <w:r w:rsidR="001E03A9" w:rsidRPr="00104AF1">
        <w:rPr>
          <w:rFonts w:ascii="Garamond" w:hAnsi="Garamond"/>
        </w:rPr>
        <w:t>’s rise</w:t>
      </w:r>
      <w:r w:rsidR="00910BB5" w:rsidRPr="00104AF1">
        <w:rPr>
          <w:rFonts w:ascii="Garamond" w:hAnsi="Garamond"/>
        </w:rPr>
        <w:t xml:space="preserve"> as a </w:t>
      </w:r>
      <w:r w:rsidR="00103A80" w:rsidRPr="00104AF1">
        <w:rPr>
          <w:rFonts w:ascii="Garamond" w:hAnsi="Garamond"/>
        </w:rPr>
        <w:t xml:space="preserve">global </w:t>
      </w:r>
      <w:proofErr w:type="spellStart"/>
      <w:r w:rsidR="00910BB5" w:rsidRPr="00104AF1">
        <w:rPr>
          <w:rFonts w:ascii="Garamond" w:hAnsi="Garamond"/>
        </w:rPr>
        <w:t>rulemaker</w:t>
      </w:r>
      <w:proofErr w:type="spellEnd"/>
      <w:r w:rsidR="00910BB5" w:rsidRPr="00104AF1">
        <w:rPr>
          <w:rFonts w:ascii="Garamond" w:hAnsi="Garamond"/>
        </w:rPr>
        <w:t xml:space="preserve"> and </w:t>
      </w:r>
      <w:r w:rsidR="00103A80" w:rsidRPr="00104AF1">
        <w:rPr>
          <w:rFonts w:ascii="Garamond" w:hAnsi="Garamond"/>
        </w:rPr>
        <w:t xml:space="preserve">the </w:t>
      </w:r>
      <w:r w:rsidR="001E03A9" w:rsidRPr="00104AF1">
        <w:rPr>
          <w:rFonts w:ascii="Garamond" w:hAnsi="Garamond"/>
        </w:rPr>
        <w:t xml:space="preserve">concomitant </w:t>
      </w:r>
      <w:r w:rsidR="00910BB5" w:rsidRPr="00104AF1">
        <w:rPr>
          <w:rFonts w:ascii="Garamond" w:hAnsi="Garamond"/>
        </w:rPr>
        <w:t>shift from US hegemony to transatlantic bipolarity.  Finance</w:t>
      </w:r>
      <w:r w:rsidR="00964792" w:rsidRPr="00104AF1">
        <w:rPr>
          <w:rFonts w:ascii="Garamond" w:hAnsi="Garamond"/>
        </w:rPr>
        <w:t xml:space="preserve"> </w:t>
      </w:r>
      <w:r w:rsidR="00910BB5" w:rsidRPr="00104AF1">
        <w:rPr>
          <w:rFonts w:ascii="Garamond" w:hAnsi="Garamond"/>
        </w:rPr>
        <w:t xml:space="preserve">is </w:t>
      </w:r>
      <w:r w:rsidR="006F75C1" w:rsidRPr="00104AF1">
        <w:rPr>
          <w:rFonts w:ascii="Garamond" w:hAnsi="Garamond"/>
        </w:rPr>
        <w:t>often depicted as the hea</w:t>
      </w:r>
      <w:r w:rsidR="008762B9" w:rsidRPr="00104AF1">
        <w:rPr>
          <w:rFonts w:ascii="Garamond" w:hAnsi="Garamond"/>
        </w:rPr>
        <w:t xml:space="preserve">rt of national capitalist types </w:t>
      </w:r>
      <w:r w:rsidR="006F75C1" w:rsidRPr="00104AF1">
        <w:rPr>
          <w:rFonts w:ascii="Garamond" w:hAnsi="Garamond"/>
        </w:rPr>
        <w:t>(</w:t>
      </w:r>
      <w:proofErr w:type="spellStart"/>
      <w:r w:rsidR="006F75C1" w:rsidRPr="00104AF1">
        <w:rPr>
          <w:rFonts w:ascii="Garamond" w:hAnsi="Garamond"/>
        </w:rPr>
        <w:t>Zysman</w:t>
      </w:r>
      <w:proofErr w:type="spellEnd"/>
      <w:r w:rsidR="006F75C1" w:rsidRPr="00104AF1">
        <w:rPr>
          <w:rFonts w:ascii="Garamond" w:hAnsi="Garamond"/>
        </w:rPr>
        <w:t xml:space="preserve"> 1983; Hall and Soskice 2001; </w:t>
      </w:r>
      <w:proofErr w:type="spellStart"/>
      <w:r w:rsidR="006F75C1" w:rsidRPr="00104AF1">
        <w:rPr>
          <w:rFonts w:ascii="Garamond" w:hAnsi="Garamond"/>
        </w:rPr>
        <w:t>Deeg</w:t>
      </w:r>
      <w:proofErr w:type="spellEnd"/>
      <w:r w:rsidR="006F75C1" w:rsidRPr="00104AF1">
        <w:rPr>
          <w:rFonts w:ascii="Garamond" w:hAnsi="Garamond"/>
        </w:rPr>
        <w:t xml:space="preserve"> 2010; </w:t>
      </w:r>
      <w:proofErr w:type="spellStart"/>
      <w:r w:rsidR="00721375" w:rsidRPr="007603BE">
        <w:rPr>
          <w:rFonts w:ascii="Garamond" w:hAnsi="Garamond"/>
        </w:rPr>
        <w:t>Hardie</w:t>
      </w:r>
      <w:proofErr w:type="spellEnd"/>
      <w:r w:rsidR="00721375" w:rsidRPr="007603BE">
        <w:rPr>
          <w:rFonts w:ascii="Garamond" w:hAnsi="Garamond"/>
        </w:rPr>
        <w:t xml:space="preserve"> et al 2013</w:t>
      </w:r>
      <w:r w:rsidR="006F75C1" w:rsidRPr="004769FE">
        <w:rPr>
          <w:rFonts w:ascii="Garamond" w:hAnsi="Garamond"/>
        </w:rPr>
        <w:t>)</w:t>
      </w:r>
      <w:r w:rsidR="008035B3" w:rsidRPr="004769FE">
        <w:rPr>
          <w:rFonts w:ascii="Garamond" w:hAnsi="Garamond"/>
        </w:rPr>
        <w:t>.</w:t>
      </w:r>
      <w:r w:rsidR="008035B3" w:rsidRPr="001F48F1">
        <w:rPr>
          <w:rFonts w:ascii="Garamond" w:hAnsi="Garamond"/>
        </w:rPr>
        <w:t xml:space="preserve">  C</w:t>
      </w:r>
      <w:r w:rsidR="008A0623" w:rsidRPr="001F48F1">
        <w:rPr>
          <w:rFonts w:ascii="Garamond" w:hAnsi="Garamond"/>
        </w:rPr>
        <w:t>hange</w:t>
      </w:r>
      <w:r w:rsidR="008035B3" w:rsidRPr="00104AF1">
        <w:rPr>
          <w:rFonts w:ascii="Garamond" w:hAnsi="Garamond"/>
        </w:rPr>
        <w:t xml:space="preserve"> in domestic</w:t>
      </w:r>
      <w:r w:rsidR="00103A80" w:rsidRPr="00104AF1">
        <w:rPr>
          <w:rFonts w:ascii="Garamond" w:hAnsi="Garamond"/>
        </w:rPr>
        <w:t xml:space="preserve"> financial systems</w:t>
      </w:r>
      <w:r w:rsidR="00BC61B8">
        <w:rPr>
          <w:rFonts w:ascii="Garamond" w:hAnsi="Garamond"/>
        </w:rPr>
        <w:t>, while not</w:t>
      </w:r>
      <w:r w:rsidR="00247487">
        <w:rPr>
          <w:rFonts w:ascii="Garamond" w:hAnsi="Garamond"/>
        </w:rPr>
        <w:t xml:space="preserve"> </w:t>
      </w:r>
      <w:r w:rsidR="00453601" w:rsidRPr="00104AF1">
        <w:rPr>
          <w:rFonts w:ascii="Garamond" w:hAnsi="Garamond"/>
        </w:rPr>
        <w:t>purely path-dependent</w:t>
      </w:r>
      <w:r w:rsidR="00BC61B8">
        <w:rPr>
          <w:rFonts w:ascii="Garamond" w:hAnsi="Garamond"/>
        </w:rPr>
        <w:t xml:space="preserve">, </w:t>
      </w:r>
      <w:r w:rsidR="00771B17" w:rsidRPr="00104AF1">
        <w:rPr>
          <w:rFonts w:ascii="Garamond" w:hAnsi="Garamond"/>
        </w:rPr>
        <w:t>had</w:t>
      </w:r>
      <w:r w:rsidR="00247487">
        <w:rPr>
          <w:rFonts w:ascii="Garamond" w:hAnsi="Garamond"/>
        </w:rPr>
        <w:t xml:space="preserve"> </w:t>
      </w:r>
      <w:r w:rsidR="008035B3" w:rsidRPr="00104AF1">
        <w:rPr>
          <w:rFonts w:ascii="Garamond" w:hAnsi="Garamond"/>
        </w:rPr>
        <w:t xml:space="preserve">spawned </w:t>
      </w:r>
      <w:r w:rsidR="00260B8F" w:rsidRPr="00104AF1">
        <w:rPr>
          <w:rFonts w:ascii="Garamond" w:hAnsi="Garamond"/>
        </w:rPr>
        <w:t>complex cross-border diversity</w:t>
      </w:r>
      <w:r w:rsidR="008035B3" w:rsidRPr="00104AF1">
        <w:rPr>
          <w:rFonts w:ascii="Garamond" w:hAnsi="Garamond"/>
        </w:rPr>
        <w:t xml:space="preserve"> in Europe</w:t>
      </w:r>
      <w:r w:rsidR="00260B8F" w:rsidRPr="00104AF1">
        <w:rPr>
          <w:rFonts w:ascii="Garamond" w:hAnsi="Garamond"/>
        </w:rPr>
        <w:t xml:space="preserve"> </w:t>
      </w:r>
      <w:r w:rsidR="008A0623" w:rsidRPr="00104AF1">
        <w:rPr>
          <w:rFonts w:ascii="Garamond" w:hAnsi="Garamond"/>
        </w:rPr>
        <w:t>(</w:t>
      </w:r>
      <w:proofErr w:type="spellStart"/>
      <w:r w:rsidR="00721375" w:rsidRPr="007603BE">
        <w:rPr>
          <w:rFonts w:ascii="Garamond" w:hAnsi="Garamond"/>
        </w:rPr>
        <w:t>Hardie</w:t>
      </w:r>
      <w:proofErr w:type="spellEnd"/>
      <w:r w:rsidR="00721375" w:rsidRPr="007603BE">
        <w:rPr>
          <w:rFonts w:ascii="Garamond" w:hAnsi="Garamond"/>
        </w:rPr>
        <w:t xml:space="preserve"> and </w:t>
      </w:r>
      <w:proofErr w:type="spellStart"/>
      <w:r w:rsidR="00721375" w:rsidRPr="007603BE">
        <w:rPr>
          <w:rFonts w:ascii="Garamond" w:hAnsi="Garamond"/>
        </w:rPr>
        <w:t>Howarth</w:t>
      </w:r>
      <w:proofErr w:type="spellEnd"/>
      <w:r w:rsidR="00721375" w:rsidRPr="007603BE">
        <w:rPr>
          <w:rFonts w:ascii="Garamond" w:hAnsi="Garamond"/>
        </w:rPr>
        <w:t xml:space="preserve"> 2013</w:t>
      </w:r>
      <w:r w:rsidR="00C97BB7" w:rsidRPr="004769FE">
        <w:rPr>
          <w:rFonts w:ascii="Garamond" w:hAnsi="Garamond"/>
        </w:rPr>
        <w:t>;</w:t>
      </w:r>
      <w:r w:rsidR="00C97BB7" w:rsidRPr="001F48F1">
        <w:rPr>
          <w:rFonts w:ascii="Garamond" w:hAnsi="Garamond"/>
        </w:rPr>
        <w:t xml:space="preserve"> </w:t>
      </w:r>
      <w:proofErr w:type="spellStart"/>
      <w:r w:rsidR="006F75C1" w:rsidRPr="00104AF1">
        <w:rPr>
          <w:rFonts w:ascii="Garamond" w:hAnsi="Garamond"/>
        </w:rPr>
        <w:t>Hardie</w:t>
      </w:r>
      <w:proofErr w:type="spellEnd"/>
      <w:r w:rsidR="008762B9" w:rsidRPr="00104AF1">
        <w:rPr>
          <w:rFonts w:ascii="Garamond" w:hAnsi="Garamond"/>
        </w:rPr>
        <w:t xml:space="preserve"> et al</w:t>
      </w:r>
      <w:r w:rsidR="00C97BB7" w:rsidRPr="00104AF1">
        <w:rPr>
          <w:rFonts w:ascii="Garamond" w:hAnsi="Garamond"/>
        </w:rPr>
        <w:t xml:space="preserve"> 2013</w:t>
      </w:r>
      <w:r w:rsidR="00260B8F" w:rsidRPr="00104AF1">
        <w:rPr>
          <w:rFonts w:ascii="Garamond" w:hAnsi="Garamond"/>
        </w:rPr>
        <w:t>) that</w:t>
      </w:r>
      <w:r w:rsidR="008035B3" w:rsidRPr="00104AF1">
        <w:rPr>
          <w:rFonts w:ascii="Garamond" w:hAnsi="Garamond"/>
        </w:rPr>
        <w:t xml:space="preserve"> </w:t>
      </w:r>
      <w:r w:rsidR="00260B8F" w:rsidRPr="00104AF1">
        <w:rPr>
          <w:rFonts w:ascii="Garamond" w:hAnsi="Garamond"/>
        </w:rPr>
        <w:t xml:space="preserve">should have diminished </w:t>
      </w:r>
      <w:r w:rsidR="00771B17" w:rsidRPr="00104AF1">
        <w:rPr>
          <w:rFonts w:ascii="Garamond" w:hAnsi="Garamond"/>
        </w:rPr>
        <w:t xml:space="preserve">the </w:t>
      </w:r>
      <w:r w:rsidR="00260B8F" w:rsidRPr="00104AF1">
        <w:rPr>
          <w:rFonts w:ascii="Garamond" w:hAnsi="Garamond"/>
        </w:rPr>
        <w:t>possibility of finding common ground in the EU</w:t>
      </w:r>
      <w:r w:rsidR="00496C20" w:rsidRPr="00104AF1">
        <w:rPr>
          <w:rFonts w:ascii="Garamond" w:hAnsi="Garamond"/>
        </w:rPr>
        <w:t xml:space="preserve"> (</w:t>
      </w:r>
      <w:proofErr w:type="spellStart"/>
      <w:r w:rsidR="00496C20" w:rsidRPr="00104AF1">
        <w:rPr>
          <w:rFonts w:ascii="Garamond" w:hAnsi="Garamond"/>
        </w:rPr>
        <w:t>Fioretes</w:t>
      </w:r>
      <w:proofErr w:type="spellEnd"/>
      <w:r w:rsidR="00496C20" w:rsidRPr="00104AF1">
        <w:rPr>
          <w:rFonts w:ascii="Garamond" w:hAnsi="Garamond"/>
        </w:rPr>
        <w:t xml:space="preserve"> 2010; Zimmerman 2010; </w:t>
      </w:r>
      <w:proofErr w:type="spellStart"/>
      <w:r w:rsidR="00496C20" w:rsidRPr="00104AF1">
        <w:rPr>
          <w:rFonts w:ascii="Garamond" w:hAnsi="Garamond"/>
        </w:rPr>
        <w:t>Howarth</w:t>
      </w:r>
      <w:proofErr w:type="spellEnd"/>
      <w:r w:rsidR="00496C20" w:rsidRPr="00104AF1">
        <w:rPr>
          <w:rFonts w:ascii="Garamond" w:hAnsi="Garamond"/>
        </w:rPr>
        <w:t xml:space="preserve"> and </w:t>
      </w:r>
      <w:proofErr w:type="spellStart"/>
      <w:r w:rsidR="00496C20" w:rsidRPr="00104AF1">
        <w:rPr>
          <w:rFonts w:ascii="Garamond" w:hAnsi="Garamond"/>
        </w:rPr>
        <w:t>Quaglia</w:t>
      </w:r>
      <w:proofErr w:type="spellEnd"/>
      <w:r w:rsidR="00496C20" w:rsidRPr="00104AF1">
        <w:rPr>
          <w:rFonts w:ascii="Garamond" w:hAnsi="Garamond"/>
        </w:rPr>
        <w:t xml:space="preserve"> 2013)</w:t>
      </w:r>
      <w:r w:rsidR="00260B8F" w:rsidRPr="00104AF1">
        <w:rPr>
          <w:rFonts w:ascii="Garamond" w:hAnsi="Garamond"/>
        </w:rPr>
        <w:t xml:space="preserve"> and increased the </w:t>
      </w:r>
      <w:r w:rsidR="006F75C1" w:rsidRPr="00104AF1">
        <w:rPr>
          <w:rFonts w:ascii="Garamond" w:hAnsi="Garamond"/>
        </w:rPr>
        <w:t>potential</w:t>
      </w:r>
      <w:r w:rsidR="008035B3" w:rsidRPr="00104AF1">
        <w:rPr>
          <w:rFonts w:ascii="Garamond" w:hAnsi="Garamond"/>
        </w:rPr>
        <w:t xml:space="preserve"> for preference heterogeneity under the new EU-US </w:t>
      </w:r>
      <w:r w:rsidR="006F75C1" w:rsidRPr="00104AF1">
        <w:rPr>
          <w:rFonts w:ascii="Garamond" w:hAnsi="Garamond"/>
        </w:rPr>
        <w:t>bipolarity</w:t>
      </w:r>
      <w:r w:rsidR="008035B3" w:rsidRPr="00104AF1">
        <w:rPr>
          <w:rFonts w:ascii="Garamond" w:hAnsi="Garamond"/>
        </w:rPr>
        <w:t>.</w:t>
      </w:r>
      <w:r w:rsidR="00D16F76" w:rsidRPr="00104AF1">
        <w:rPr>
          <w:rFonts w:ascii="Garamond" w:hAnsi="Garamond"/>
        </w:rPr>
        <w:t xml:space="preserve">  </w:t>
      </w:r>
      <w:r w:rsidR="008035B3" w:rsidRPr="00104AF1">
        <w:rPr>
          <w:rFonts w:ascii="Garamond" w:hAnsi="Garamond"/>
        </w:rPr>
        <w:t xml:space="preserve">Power-based arguments would have expected </w:t>
      </w:r>
      <w:r w:rsidR="006F75C1" w:rsidRPr="00104AF1">
        <w:rPr>
          <w:rFonts w:ascii="Garamond" w:hAnsi="Garamond"/>
        </w:rPr>
        <w:t>rival standards – not great power preference alignment</w:t>
      </w:r>
      <w:r w:rsidR="008035B3" w:rsidRPr="00104AF1">
        <w:rPr>
          <w:rFonts w:ascii="Garamond" w:hAnsi="Garamond"/>
        </w:rPr>
        <w:t xml:space="preserve"> and cooperation</w:t>
      </w:r>
      <w:r w:rsidR="006F75C1" w:rsidRPr="00104AF1">
        <w:rPr>
          <w:rFonts w:ascii="Garamond" w:hAnsi="Garamond"/>
        </w:rPr>
        <w:t xml:space="preserve"> (</w:t>
      </w:r>
      <w:proofErr w:type="spellStart"/>
      <w:r w:rsidR="006F75C1" w:rsidRPr="00104AF1">
        <w:rPr>
          <w:rFonts w:ascii="Garamond" w:hAnsi="Garamond"/>
        </w:rPr>
        <w:t>Drezner</w:t>
      </w:r>
      <w:proofErr w:type="spellEnd"/>
      <w:r w:rsidR="006F75C1" w:rsidRPr="00104AF1">
        <w:rPr>
          <w:rFonts w:ascii="Garamond" w:hAnsi="Garamond"/>
        </w:rPr>
        <w:t xml:space="preserve"> 2007; DeLong and Cohen 2010).</w:t>
      </w:r>
      <w:r w:rsidR="006F75C1" w:rsidRPr="00104AF1" w:rsidDel="00A71703">
        <w:rPr>
          <w:rStyle w:val="FootnoteReference"/>
          <w:rFonts w:ascii="Garamond" w:hAnsi="Garamond"/>
        </w:rPr>
        <w:t xml:space="preserve"> </w:t>
      </w:r>
      <w:r w:rsidR="006F75C1" w:rsidRPr="00104AF1">
        <w:rPr>
          <w:rFonts w:ascii="Garamond" w:hAnsi="Garamond"/>
        </w:rPr>
        <w:t xml:space="preserve"> </w:t>
      </w:r>
      <w:r w:rsidR="00910BB5" w:rsidRPr="00104AF1">
        <w:rPr>
          <w:rFonts w:ascii="Garamond" w:hAnsi="Garamond"/>
        </w:rPr>
        <w:t xml:space="preserve">  </w:t>
      </w:r>
    </w:p>
    <w:p w14:paraId="64BAD57F" w14:textId="77777777" w:rsidR="00A829A1" w:rsidRPr="00104AF1" w:rsidRDefault="00515FA6" w:rsidP="00AE69EE">
      <w:pPr>
        <w:spacing w:line="480" w:lineRule="auto"/>
        <w:ind w:firstLine="720"/>
        <w:rPr>
          <w:rFonts w:ascii="Garamond" w:hAnsi="Garamond"/>
        </w:rPr>
      </w:pPr>
      <w:r w:rsidRPr="00104AF1">
        <w:rPr>
          <w:rFonts w:ascii="Garamond" w:hAnsi="Garamond"/>
        </w:rPr>
        <w:t>N</w:t>
      </w:r>
      <w:r w:rsidR="00245CF3" w:rsidRPr="00104AF1">
        <w:rPr>
          <w:rFonts w:ascii="Garamond" w:hAnsi="Garamond"/>
        </w:rPr>
        <w:t xml:space="preserve">eo-Marxist </w:t>
      </w:r>
      <w:r w:rsidR="006D0BD2" w:rsidRPr="00104AF1">
        <w:rPr>
          <w:rFonts w:ascii="Garamond" w:hAnsi="Garamond"/>
        </w:rPr>
        <w:t xml:space="preserve">and other </w:t>
      </w:r>
      <w:r w:rsidR="00533B9B" w:rsidRPr="00104AF1">
        <w:rPr>
          <w:rFonts w:ascii="Garamond" w:hAnsi="Garamond"/>
        </w:rPr>
        <w:t xml:space="preserve">arguments </w:t>
      </w:r>
      <w:r w:rsidR="0033009D" w:rsidRPr="00104AF1">
        <w:rPr>
          <w:rFonts w:ascii="Garamond" w:hAnsi="Garamond"/>
        </w:rPr>
        <w:t>stressin</w:t>
      </w:r>
      <w:r w:rsidR="00420B3F" w:rsidRPr="00104AF1">
        <w:rPr>
          <w:rFonts w:ascii="Garamond" w:hAnsi="Garamond"/>
        </w:rPr>
        <w:t xml:space="preserve">g </w:t>
      </w:r>
      <w:r w:rsidR="00FF500D" w:rsidRPr="00104AF1">
        <w:rPr>
          <w:rFonts w:ascii="Garamond" w:hAnsi="Garamond"/>
        </w:rPr>
        <w:t>rising levels of capital mobility</w:t>
      </w:r>
      <w:r w:rsidR="00420B3F" w:rsidRPr="00104AF1">
        <w:rPr>
          <w:rFonts w:ascii="Garamond" w:hAnsi="Garamond"/>
        </w:rPr>
        <w:t xml:space="preserve">, among other factors, </w:t>
      </w:r>
      <w:r w:rsidR="003E4777" w:rsidRPr="00104AF1">
        <w:rPr>
          <w:rFonts w:ascii="Garamond" w:hAnsi="Garamond"/>
        </w:rPr>
        <w:t>expect</w:t>
      </w:r>
      <w:r w:rsidR="006D0BD2" w:rsidRPr="00104AF1">
        <w:rPr>
          <w:rFonts w:ascii="Garamond" w:hAnsi="Garamond"/>
        </w:rPr>
        <w:t xml:space="preserve"> </w:t>
      </w:r>
      <w:r w:rsidR="00F91FF0" w:rsidRPr="00104AF1">
        <w:rPr>
          <w:rFonts w:ascii="Garamond" w:hAnsi="Garamond"/>
        </w:rPr>
        <w:t xml:space="preserve">rules </w:t>
      </w:r>
      <w:r w:rsidR="003E4777" w:rsidRPr="00104AF1">
        <w:rPr>
          <w:rFonts w:ascii="Garamond" w:hAnsi="Garamond"/>
        </w:rPr>
        <w:t xml:space="preserve">to </w:t>
      </w:r>
      <w:r w:rsidR="00A33A24" w:rsidRPr="00104AF1">
        <w:rPr>
          <w:rFonts w:ascii="Garamond" w:hAnsi="Garamond"/>
        </w:rPr>
        <w:t xml:space="preserve">reflect </w:t>
      </w:r>
      <w:r w:rsidR="003E47E4" w:rsidRPr="00104AF1">
        <w:rPr>
          <w:rFonts w:ascii="Garamond" w:hAnsi="Garamond"/>
        </w:rPr>
        <w:t>preferences</w:t>
      </w:r>
      <w:r w:rsidR="00B73E67" w:rsidRPr="00104AF1">
        <w:rPr>
          <w:rFonts w:ascii="Garamond" w:hAnsi="Garamond"/>
        </w:rPr>
        <w:t xml:space="preserve"> of large internationally active companies</w:t>
      </w:r>
      <w:r w:rsidR="00C53817" w:rsidRPr="00104AF1">
        <w:rPr>
          <w:rFonts w:ascii="Garamond" w:hAnsi="Garamond"/>
        </w:rPr>
        <w:t xml:space="preserve"> (Baker 2010; Underhill and Zhang 2008; </w:t>
      </w:r>
      <w:proofErr w:type="spellStart"/>
      <w:r w:rsidR="00C53817" w:rsidRPr="00104AF1">
        <w:rPr>
          <w:rFonts w:ascii="Garamond" w:hAnsi="Garamond"/>
        </w:rPr>
        <w:t>Tsingou</w:t>
      </w:r>
      <w:proofErr w:type="spellEnd"/>
      <w:r w:rsidR="00C53817" w:rsidRPr="00104AF1">
        <w:rPr>
          <w:rFonts w:ascii="Garamond" w:hAnsi="Garamond"/>
        </w:rPr>
        <w:t xml:space="preserve"> 2008; Laurence 2001; </w:t>
      </w:r>
      <w:proofErr w:type="spellStart"/>
      <w:r w:rsidR="00C53817" w:rsidRPr="00104AF1">
        <w:rPr>
          <w:rFonts w:ascii="Garamond" w:hAnsi="Garamond"/>
        </w:rPr>
        <w:t>Kurzer</w:t>
      </w:r>
      <w:proofErr w:type="spellEnd"/>
      <w:r w:rsidR="00C53817" w:rsidRPr="00104AF1">
        <w:rPr>
          <w:rFonts w:ascii="Garamond" w:hAnsi="Garamond"/>
        </w:rPr>
        <w:t xml:space="preserve"> 1993)</w:t>
      </w:r>
      <w:r w:rsidRPr="00104AF1">
        <w:rPr>
          <w:rFonts w:ascii="Garamond" w:hAnsi="Garamond"/>
        </w:rPr>
        <w:t xml:space="preserve"> and would therefore</w:t>
      </w:r>
      <w:r w:rsidR="00384518" w:rsidRPr="00104AF1">
        <w:rPr>
          <w:rFonts w:ascii="Garamond" w:hAnsi="Garamond"/>
        </w:rPr>
        <w:t xml:space="preserve"> better fit with the empirical record</w:t>
      </w:r>
      <w:r w:rsidRPr="00104AF1">
        <w:rPr>
          <w:rFonts w:ascii="Garamond" w:hAnsi="Garamond"/>
        </w:rPr>
        <w:t xml:space="preserve">. </w:t>
      </w:r>
      <w:r w:rsidR="00F97429" w:rsidRPr="00104AF1">
        <w:rPr>
          <w:rFonts w:ascii="Garamond" w:hAnsi="Garamond"/>
        </w:rPr>
        <w:t xml:space="preserve"> </w:t>
      </w:r>
      <w:r w:rsidRPr="00104AF1">
        <w:rPr>
          <w:rFonts w:ascii="Garamond" w:hAnsi="Garamond"/>
        </w:rPr>
        <w:t>I</w:t>
      </w:r>
      <w:r w:rsidR="003E4777" w:rsidRPr="00104AF1">
        <w:rPr>
          <w:rFonts w:ascii="Garamond" w:hAnsi="Garamond"/>
        </w:rPr>
        <w:t>ndeed</w:t>
      </w:r>
      <w:r w:rsidRPr="00104AF1">
        <w:rPr>
          <w:rFonts w:ascii="Garamond" w:hAnsi="Garamond"/>
        </w:rPr>
        <w:t>,</w:t>
      </w:r>
      <w:r w:rsidR="003E4777" w:rsidRPr="00104AF1">
        <w:rPr>
          <w:rFonts w:ascii="Garamond" w:hAnsi="Garamond"/>
        </w:rPr>
        <w:t xml:space="preserve"> </w:t>
      </w:r>
      <w:r w:rsidR="00F97429" w:rsidRPr="00104AF1">
        <w:rPr>
          <w:rFonts w:ascii="Garamond" w:hAnsi="Garamond"/>
        </w:rPr>
        <w:t>our</w:t>
      </w:r>
      <w:r w:rsidR="0050394C" w:rsidRPr="00104AF1">
        <w:rPr>
          <w:rFonts w:ascii="Garamond" w:hAnsi="Garamond"/>
        </w:rPr>
        <w:t xml:space="preserve"> evidence bears out a substantial role for</w:t>
      </w:r>
      <w:r w:rsidR="00B73E67" w:rsidRPr="00104AF1">
        <w:rPr>
          <w:rFonts w:ascii="Garamond" w:hAnsi="Garamond"/>
        </w:rPr>
        <w:t xml:space="preserve"> such</w:t>
      </w:r>
      <w:r w:rsidR="0050394C" w:rsidRPr="00104AF1">
        <w:rPr>
          <w:rFonts w:ascii="Garamond" w:hAnsi="Garamond"/>
        </w:rPr>
        <w:t xml:space="preserve"> firms</w:t>
      </w:r>
      <w:r w:rsidRPr="00104AF1">
        <w:rPr>
          <w:rFonts w:ascii="Garamond" w:hAnsi="Garamond"/>
        </w:rPr>
        <w:t xml:space="preserve"> and their</w:t>
      </w:r>
      <w:r w:rsidR="009C10C9" w:rsidRPr="00104AF1">
        <w:rPr>
          <w:rFonts w:ascii="Garamond" w:hAnsi="Garamond"/>
        </w:rPr>
        <w:t xml:space="preserve"> associations</w:t>
      </w:r>
      <w:r w:rsidR="003A3033" w:rsidRPr="00104AF1">
        <w:rPr>
          <w:rFonts w:ascii="Garamond" w:hAnsi="Garamond"/>
        </w:rPr>
        <w:t xml:space="preserve"> in </w:t>
      </w:r>
      <w:r w:rsidR="00BD2D45" w:rsidRPr="00104AF1">
        <w:rPr>
          <w:rFonts w:ascii="Garamond" w:hAnsi="Garamond"/>
        </w:rPr>
        <w:t xml:space="preserve">forging similar approaches across the Atlantic.  </w:t>
      </w:r>
      <w:r w:rsidR="00F97429" w:rsidRPr="00104AF1">
        <w:rPr>
          <w:rFonts w:ascii="Garamond" w:hAnsi="Garamond"/>
        </w:rPr>
        <w:t>Yet</w:t>
      </w:r>
      <w:r w:rsidR="00A245C8" w:rsidRPr="00104AF1">
        <w:rPr>
          <w:rFonts w:ascii="Garamond" w:hAnsi="Garamond"/>
        </w:rPr>
        <w:t xml:space="preserve"> </w:t>
      </w:r>
      <w:r w:rsidR="00743C2C" w:rsidRPr="00104AF1">
        <w:rPr>
          <w:rFonts w:ascii="Garamond" w:hAnsi="Garamond"/>
        </w:rPr>
        <w:t xml:space="preserve">this paper’s findings are consistent with </w:t>
      </w:r>
      <w:r w:rsidR="00A245C8" w:rsidRPr="00104AF1">
        <w:rPr>
          <w:rFonts w:ascii="Garamond" w:hAnsi="Garamond"/>
        </w:rPr>
        <w:t xml:space="preserve">recent scholarship </w:t>
      </w:r>
      <w:r w:rsidR="00680B89" w:rsidRPr="00104AF1">
        <w:rPr>
          <w:rFonts w:ascii="Garamond" w:hAnsi="Garamond"/>
        </w:rPr>
        <w:t>(Young, 2012</w:t>
      </w:r>
      <w:r w:rsidR="008762B9" w:rsidRPr="00104AF1">
        <w:rPr>
          <w:rFonts w:ascii="Garamond" w:hAnsi="Garamond"/>
        </w:rPr>
        <w:t xml:space="preserve">; </w:t>
      </w:r>
      <w:proofErr w:type="spellStart"/>
      <w:r w:rsidR="002A343B" w:rsidRPr="00104AF1">
        <w:rPr>
          <w:rFonts w:ascii="Garamond" w:hAnsi="Garamond"/>
        </w:rPr>
        <w:t>McKeen</w:t>
      </w:r>
      <w:proofErr w:type="spellEnd"/>
      <w:r w:rsidR="002A343B" w:rsidRPr="00104AF1">
        <w:rPr>
          <w:rFonts w:ascii="Garamond" w:hAnsi="Garamond"/>
        </w:rPr>
        <w:t>-Edwards and Porter 2013</w:t>
      </w:r>
      <w:r w:rsidR="00680B89" w:rsidRPr="00104AF1">
        <w:rPr>
          <w:rFonts w:ascii="Garamond" w:hAnsi="Garamond"/>
        </w:rPr>
        <w:t>)</w:t>
      </w:r>
      <w:r w:rsidR="00743C2C" w:rsidRPr="00104AF1">
        <w:rPr>
          <w:rFonts w:ascii="Garamond" w:hAnsi="Garamond"/>
        </w:rPr>
        <w:t xml:space="preserve"> maintaining that</w:t>
      </w:r>
      <w:r w:rsidR="00A245C8" w:rsidRPr="00104AF1">
        <w:rPr>
          <w:rFonts w:ascii="Garamond" w:hAnsi="Garamond"/>
        </w:rPr>
        <w:t xml:space="preserve"> th</w:t>
      </w:r>
      <w:r w:rsidR="00743C2C" w:rsidRPr="00104AF1">
        <w:rPr>
          <w:rFonts w:ascii="Garamond" w:hAnsi="Garamond"/>
        </w:rPr>
        <w:t>e</w:t>
      </w:r>
      <w:r w:rsidR="000E550D" w:rsidRPr="00104AF1">
        <w:rPr>
          <w:rFonts w:ascii="Garamond" w:hAnsi="Garamond"/>
        </w:rPr>
        <w:t>se arguments</w:t>
      </w:r>
      <w:r w:rsidR="00F97429" w:rsidRPr="00104AF1">
        <w:rPr>
          <w:rFonts w:ascii="Garamond" w:hAnsi="Garamond"/>
        </w:rPr>
        <w:t xml:space="preserve"> </w:t>
      </w:r>
      <w:r w:rsidR="009C10C9" w:rsidRPr="00104AF1">
        <w:rPr>
          <w:rFonts w:ascii="Garamond" w:hAnsi="Garamond"/>
        </w:rPr>
        <w:t xml:space="preserve">are underspecified and </w:t>
      </w:r>
      <w:r w:rsidR="003E47E4" w:rsidRPr="00104AF1">
        <w:rPr>
          <w:rFonts w:ascii="Garamond" w:hAnsi="Garamond"/>
        </w:rPr>
        <w:t xml:space="preserve">cannot account for important variance in </w:t>
      </w:r>
      <w:r w:rsidR="006E09D6" w:rsidRPr="00104AF1">
        <w:rPr>
          <w:rFonts w:ascii="Garamond" w:hAnsi="Garamond"/>
        </w:rPr>
        <w:t xml:space="preserve">the </w:t>
      </w:r>
      <w:r w:rsidR="003E47E4" w:rsidRPr="00104AF1">
        <w:rPr>
          <w:rFonts w:ascii="Garamond" w:hAnsi="Garamond"/>
        </w:rPr>
        <w:t>influence</w:t>
      </w:r>
      <w:r w:rsidR="00B73E67" w:rsidRPr="00104AF1">
        <w:rPr>
          <w:rFonts w:ascii="Garamond" w:hAnsi="Garamond"/>
        </w:rPr>
        <w:t xml:space="preserve"> </w:t>
      </w:r>
      <w:r w:rsidR="006E09D6" w:rsidRPr="00104AF1">
        <w:rPr>
          <w:rFonts w:ascii="Garamond" w:hAnsi="Garamond"/>
        </w:rPr>
        <w:t>of</w:t>
      </w:r>
      <w:r w:rsidR="00B73E67" w:rsidRPr="00104AF1">
        <w:rPr>
          <w:rFonts w:ascii="Garamond" w:hAnsi="Garamond"/>
        </w:rPr>
        <w:t xml:space="preserve"> internationally active firms</w:t>
      </w:r>
      <w:r w:rsidR="008F6E63" w:rsidRPr="00104AF1">
        <w:rPr>
          <w:rFonts w:ascii="Garamond" w:hAnsi="Garamond"/>
        </w:rPr>
        <w:t>.</w:t>
      </w:r>
      <w:r w:rsidR="00B31A88" w:rsidRPr="00104AF1">
        <w:rPr>
          <w:rFonts w:ascii="Garamond" w:hAnsi="Garamond"/>
        </w:rPr>
        <w:t xml:space="preserve">  </w:t>
      </w:r>
    </w:p>
    <w:p w14:paraId="6E9D5A47" w14:textId="76B47F6F" w:rsidR="005D7861" w:rsidRPr="004769FE" w:rsidRDefault="0054712C" w:rsidP="001A6531">
      <w:pPr>
        <w:spacing w:line="480" w:lineRule="auto"/>
        <w:ind w:firstLine="720"/>
        <w:rPr>
          <w:rFonts w:ascii="Garamond" w:hAnsi="Garamond"/>
        </w:rPr>
      </w:pPr>
      <w:r w:rsidRPr="00104AF1">
        <w:rPr>
          <w:rFonts w:ascii="Garamond" w:hAnsi="Garamond"/>
        </w:rPr>
        <w:t>What accounts for the great power preference alignment</w:t>
      </w:r>
      <w:r w:rsidR="002F7411" w:rsidRPr="00104AF1">
        <w:rPr>
          <w:rFonts w:ascii="Garamond" w:hAnsi="Garamond"/>
        </w:rPr>
        <w:t xml:space="preserve"> over financial regulation</w:t>
      </w:r>
      <w:r w:rsidR="0016787A" w:rsidRPr="00104AF1">
        <w:rPr>
          <w:rFonts w:ascii="Garamond" w:hAnsi="Garamond"/>
        </w:rPr>
        <w:t xml:space="preserve"> and variance across time and </w:t>
      </w:r>
      <w:r w:rsidR="00E86D15" w:rsidRPr="00104AF1">
        <w:rPr>
          <w:rFonts w:ascii="Garamond" w:hAnsi="Garamond"/>
        </w:rPr>
        <w:t>subsectors</w:t>
      </w:r>
      <w:r w:rsidR="0016787A" w:rsidRPr="00104AF1">
        <w:rPr>
          <w:rFonts w:ascii="Garamond" w:hAnsi="Garamond"/>
        </w:rPr>
        <w:t xml:space="preserve"> in the pre-crisis years?</w:t>
      </w:r>
      <w:r w:rsidR="00A245C8" w:rsidRPr="00104AF1">
        <w:rPr>
          <w:rFonts w:ascii="Garamond" w:hAnsi="Garamond"/>
        </w:rPr>
        <w:t xml:space="preserve">  </w:t>
      </w:r>
      <w:r w:rsidR="0083688D" w:rsidRPr="00104AF1">
        <w:rPr>
          <w:rFonts w:ascii="Garamond" w:hAnsi="Garamond"/>
        </w:rPr>
        <w:t xml:space="preserve">Our </w:t>
      </w:r>
      <w:r w:rsidR="00BA2570" w:rsidRPr="00104AF1">
        <w:rPr>
          <w:rFonts w:ascii="Garamond" w:hAnsi="Garamond"/>
        </w:rPr>
        <w:t>argument</w:t>
      </w:r>
      <w:r w:rsidR="006E316E" w:rsidRPr="00104AF1">
        <w:rPr>
          <w:rFonts w:ascii="Garamond" w:hAnsi="Garamond"/>
        </w:rPr>
        <w:t>, part of the</w:t>
      </w:r>
      <w:r w:rsidR="009369E1" w:rsidRPr="00104AF1">
        <w:rPr>
          <w:rFonts w:ascii="Garamond" w:hAnsi="Garamond"/>
        </w:rPr>
        <w:t xml:space="preserve"> latest</w:t>
      </w:r>
      <w:r w:rsidR="00290823" w:rsidRPr="00104AF1">
        <w:rPr>
          <w:rFonts w:ascii="Garamond" w:hAnsi="Garamond"/>
        </w:rPr>
        <w:t xml:space="preserve"> wave of research on transnationalism,</w:t>
      </w:r>
      <w:r w:rsidR="005D7861" w:rsidRPr="00104AF1">
        <w:rPr>
          <w:rStyle w:val="EndnoteReference"/>
          <w:rFonts w:ascii="Garamond" w:hAnsi="Garamond"/>
        </w:rPr>
        <w:endnoteReference w:id="1"/>
      </w:r>
      <w:r w:rsidR="005D7861" w:rsidRPr="00104AF1">
        <w:rPr>
          <w:rFonts w:ascii="Garamond" w:hAnsi="Garamond"/>
        </w:rPr>
        <w:t xml:space="preserve"> </w:t>
      </w:r>
      <w:r w:rsidR="005D7861" w:rsidRPr="004769FE">
        <w:rPr>
          <w:rFonts w:ascii="Garamond" w:hAnsi="Garamond"/>
        </w:rPr>
        <w:t>builds on</w:t>
      </w:r>
      <w:r w:rsidR="005D7861" w:rsidRPr="001F48F1">
        <w:rPr>
          <w:rFonts w:ascii="Garamond" w:hAnsi="Garamond"/>
        </w:rPr>
        <w:t xml:space="preserve"> historical </w:t>
      </w:r>
      <w:proofErr w:type="spellStart"/>
      <w:r w:rsidR="005D7861" w:rsidRPr="001F48F1">
        <w:rPr>
          <w:rFonts w:ascii="Garamond" w:hAnsi="Garamond"/>
        </w:rPr>
        <w:t>institutionalist</w:t>
      </w:r>
      <w:proofErr w:type="spellEnd"/>
      <w:r w:rsidR="005D7861" w:rsidRPr="001F48F1">
        <w:rPr>
          <w:rFonts w:ascii="Garamond" w:hAnsi="Garamond"/>
        </w:rPr>
        <w:t xml:space="preserve"> work by comparative politics scholars who take institutional context seriously.</w:t>
      </w:r>
      <w:r w:rsidR="005D7861" w:rsidRPr="007603BE">
        <w:rPr>
          <w:rStyle w:val="EndnoteReference"/>
          <w:rFonts w:ascii="Garamond" w:hAnsi="Garamond"/>
        </w:rPr>
        <w:endnoteReference w:id="2"/>
      </w:r>
      <w:r w:rsidR="005D7861" w:rsidRPr="00104AF1">
        <w:rPr>
          <w:rFonts w:ascii="Garamond" w:hAnsi="Garamond"/>
        </w:rPr>
        <w:t xml:space="preserve">  We</w:t>
      </w:r>
      <w:r w:rsidR="005D7861" w:rsidRPr="004769FE">
        <w:rPr>
          <w:rFonts w:ascii="Garamond" w:hAnsi="Garamond"/>
        </w:rPr>
        <w:t xml:space="preserve"> highlight</w:t>
      </w:r>
      <w:r w:rsidR="005D7861" w:rsidRPr="001F48F1">
        <w:rPr>
          <w:rFonts w:ascii="Garamond" w:hAnsi="Garamond"/>
        </w:rPr>
        <w:t xml:space="preserve"> endogenous, temp</w:t>
      </w:r>
      <w:r w:rsidR="005D7861" w:rsidRPr="00104AF1">
        <w:rPr>
          <w:rFonts w:ascii="Garamond" w:hAnsi="Garamond"/>
        </w:rPr>
        <w:t>oral effects of the international institutions at the core of global economic governance – transnational regulatory networks</w:t>
      </w:r>
      <w:r w:rsidR="005D7861" w:rsidRPr="007603BE">
        <w:rPr>
          <w:rStyle w:val="EndnoteReference"/>
          <w:rFonts w:ascii="Garamond" w:hAnsi="Garamond"/>
        </w:rPr>
        <w:endnoteReference w:id="3"/>
      </w:r>
      <w:r w:rsidR="005D7861" w:rsidRPr="00104AF1">
        <w:rPr>
          <w:rFonts w:ascii="Garamond" w:hAnsi="Garamond"/>
        </w:rPr>
        <w:t xml:space="preserve"> – and, in particular, </w:t>
      </w:r>
      <w:r w:rsidR="005D7861" w:rsidRPr="004769FE">
        <w:rPr>
          <w:rFonts w:ascii="Garamond" w:hAnsi="Garamond"/>
          <w:i/>
        </w:rPr>
        <w:t>policy feedbacks</w:t>
      </w:r>
      <w:r w:rsidR="005D7861" w:rsidRPr="004769FE">
        <w:rPr>
          <w:rFonts w:ascii="Garamond" w:hAnsi="Garamond"/>
        </w:rPr>
        <w:t xml:space="preserve"> arising fr</w:t>
      </w:r>
      <w:r w:rsidR="005D7861">
        <w:rPr>
          <w:rFonts w:ascii="Garamond" w:hAnsi="Garamond"/>
        </w:rPr>
        <w:t xml:space="preserve">om the </w:t>
      </w:r>
      <w:r w:rsidR="005D7861" w:rsidRPr="001F48F1">
        <w:rPr>
          <w:rFonts w:ascii="Garamond" w:hAnsi="Garamond"/>
        </w:rPr>
        <w:t>interaction</w:t>
      </w:r>
      <w:r w:rsidR="005D7861">
        <w:rPr>
          <w:rFonts w:ascii="Garamond" w:hAnsi="Garamond"/>
        </w:rPr>
        <w:t xml:space="preserve"> of soft law and the </w:t>
      </w:r>
      <w:r w:rsidR="005D7861" w:rsidRPr="001F48F1">
        <w:rPr>
          <w:rFonts w:ascii="Garamond" w:hAnsi="Garamond"/>
        </w:rPr>
        <w:t>domestic politics of constituent members of the networks.</w:t>
      </w:r>
      <w:r w:rsidR="005D7861" w:rsidRPr="001F48F1">
        <w:rPr>
          <w:rStyle w:val="EndnoteReference"/>
          <w:rFonts w:ascii="Garamond" w:hAnsi="Garamond"/>
        </w:rPr>
        <w:t xml:space="preserve"> </w:t>
      </w:r>
      <w:r w:rsidR="005D7861" w:rsidRPr="001F48F1">
        <w:rPr>
          <w:rFonts w:ascii="Garamond" w:hAnsi="Garamond"/>
        </w:rPr>
        <w:t xml:space="preserve"> The feedback processes under study entail “templates-as-disruptor” sequences in which</w:t>
      </w:r>
      <w:r w:rsidR="005D7861" w:rsidRPr="00104AF1">
        <w:rPr>
          <w:rFonts w:ascii="Garamond" w:hAnsi="Garamond"/>
        </w:rPr>
        <w:t xml:space="preserve"> the creation of transnational soft law by regulatory networks at t</w:t>
      </w:r>
      <w:r w:rsidR="005D7861" w:rsidRPr="00104AF1">
        <w:rPr>
          <w:rFonts w:ascii="Garamond" w:hAnsi="Garamond"/>
          <w:vertAlign w:val="subscript"/>
        </w:rPr>
        <w:t>1</w:t>
      </w:r>
      <w:r w:rsidR="005D7861" w:rsidRPr="00104AF1">
        <w:rPr>
          <w:rFonts w:ascii="Garamond" w:hAnsi="Garamond"/>
        </w:rPr>
        <w:t xml:space="preserve"> creates policy templates that disrupt pre-existing internal (e.g. domestic) political contests at t</w:t>
      </w:r>
      <w:r w:rsidR="005D7861" w:rsidRPr="00104AF1">
        <w:rPr>
          <w:rFonts w:ascii="Garamond" w:hAnsi="Garamond"/>
          <w:vertAlign w:val="subscript"/>
        </w:rPr>
        <w:t>2</w:t>
      </w:r>
      <w:r w:rsidR="005D7861" w:rsidRPr="00104AF1">
        <w:rPr>
          <w:rFonts w:ascii="Garamond" w:hAnsi="Garamond"/>
        </w:rPr>
        <w:t xml:space="preserve">. In this extension of historical </w:t>
      </w:r>
      <w:proofErr w:type="spellStart"/>
      <w:r w:rsidR="005D7861" w:rsidRPr="00104AF1">
        <w:rPr>
          <w:rFonts w:ascii="Garamond" w:hAnsi="Garamond"/>
        </w:rPr>
        <w:t>institutionalist</w:t>
      </w:r>
      <w:proofErr w:type="spellEnd"/>
      <w:r w:rsidR="005D7861" w:rsidRPr="00104AF1">
        <w:rPr>
          <w:rFonts w:ascii="Garamond" w:hAnsi="Garamond"/>
        </w:rPr>
        <w:t xml:space="preserve"> theory to global politics,</w:t>
      </w:r>
      <w:r w:rsidR="005D7861" w:rsidRPr="00551C43">
        <w:rPr>
          <w:rStyle w:val="EndnoteReference"/>
          <w:rFonts w:ascii="Garamond" w:hAnsi="Garamond"/>
        </w:rPr>
        <w:endnoteReference w:id="4"/>
      </w:r>
      <w:r w:rsidR="005D7861" w:rsidRPr="00104AF1">
        <w:rPr>
          <w:rFonts w:ascii="Garamond" w:hAnsi="Garamond"/>
        </w:rPr>
        <w:t xml:space="preserve"> </w:t>
      </w:r>
      <w:r w:rsidR="005D7861" w:rsidRPr="004769FE">
        <w:rPr>
          <w:rFonts w:ascii="Garamond" w:hAnsi="Garamond"/>
        </w:rPr>
        <w:t>regulatory networks and soft law are more than coordinating mechanisms or “rules of the game.”</w:t>
      </w:r>
      <w:r w:rsidR="005D7861" w:rsidRPr="00104AF1">
        <w:rPr>
          <w:rFonts w:ascii="Garamond" w:hAnsi="Garamond"/>
        </w:rPr>
        <w:t xml:space="preserve">  They are</w:t>
      </w:r>
      <w:r w:rsidR="005D7861" w:rsidRPr="004769FE">
        <w:rPr>
          <w:rFonts w:ascii="Garamond" w:hAnsi="Garamond"/>
        </w:rPr>
        <w:t xml:space="preserve"> institutions that, like their domestic analogues, structure politics over time, redistributing resources, transforming the preferences of political actors and altering contests between competing political coalitions.</w:t>
      </w:r>
      <w:r w:rsidR="005D7861" w:rsidRPr="00551C43">
        <w:rPr>
          <w:rStyle w:val="EndnoteReference"/>
          <w:rFonts w:ascii="Garamond" w:hAnsi="Garamond"/>
        </w:rPr>
        <w:endnoteReference w:id="5"/>
      </w:r>
      <w:r w:rsidR="005D7861" w:rsidRPr="00104AF1">
        <w:rPr>
          <w:rFonts w:ascii="Garamond" w:hAnsi="Garamond"/>
        </w:rPr>
        <w:t xml:space="preserve"> </w:t>
      </w:r>
    </w:p>
    <w:p w14:paraId="259D3A46" w14:textId="77777777" w:rsidR="005D7861" w:rsidRPr="00104AF1" w:rsidRDefault="005D7861" w:rsidP="00090CF6">
      <w:pPr>
        <w:spacing w:line="480" w:lineRule="auto"/>
        <w:ind w:firstLine="720"/>
        <w:rPr>
          <w:rFonts w:ascii="Garamond" w:hAnsi="Garamond"/>
        </w:rPr>
      </w:pPr>
      <w:r w:rsidRPr="001F48F1">
        <w:rPr>
          <w:rFonts w:ascii="Garamond" w:hAnsi="Garamond"/>
        </w:rPr>
        <w:t xml:space="preserve">In the pre-crisis decades, the identified sequences are especially helpful for </w:t>
      </w:r>
      <w:r w:rsidRPr="00104AF1">
        <w:rPr>
          <w:rFonts w:ascii="Garamond" w:hAnsi="Garamond"/>
        </w:rPr>
        <w:t>understanding the policy position of the main “second mover,” the EU, and why its preferences aligned with the regulatory “first mover,” the United States.  In short, transnational soft law provided reform templates to opportunistic coalitions within the EU</w:t>
      </w:r>
      <w:r w:rsidRPr="004769FE">
        <w:rPr>
          <w:rFonts w:ascii="Garamond" w:hAnsi="Garamond"/>
        </w:rPr>
        <w:t>, which facilitated cooperation among the</w:t>
      </w:r>
      <w:r w:rsidRPr="001F48F1">
        <w:rPr>
          <w:rFonts w:ascii="Garamond" w:hAnsi="Garamond"/>
        </w:rPr>
        <w:t xml:space="preserve"> member governments and had the effect of bringing </w:t>
      </w:r>
      <w:proofErr w:type="spellStart"/>
      <w:r w:rsidRPr="001F48F1">
        <w:rPr>
          <w:rFonts w:ascii="Garamond" w:hAnsi="Garamond"/>
        </w:rPr>
        <w:t>Brussel’s</w:t>
      </w:r>
      <w:proofErr w:type="spellEnd"/>
      <w:r w:rsidRPr="001F48F1">
        <w:rPr>
          <w:rFonts w:ascii="Garamond" w:hAnsi="Garamond"/>
        </w:rPr>
        <w:t xml:space="preserve"> preferences closer to Washington’s.  While our study focuses on the EU, corroborating </w:t>
      </w:r>
      <w:r w:rsidRPr="00104AF1">
        <w:rPr>
          <w:rFonts w:ascii="Garamond" w:hAnsi="Garamond"/>
        </w:rPr>
        <w:t xml:space="preserve">research on China suggests a broader trend of soft law’s impact on domestic contests within second-mover regulatory powers. </w:t>
      </w:r>
    </w:p>
    <w:p w14:paraId="1BD1593D" w14:textId="77777777" w:rsidR="005D7861" w:rsidRPr="00104AF1" w:rsidRDefault="005D7861" w:rsidP="00F65023">
      <w:pPr>
        <w:spacing w:line="480" w:lineRule="auto"/>
        <w:ind w:firstLine="720"/>
        <w:rPr>
          <w:rFonts w:ascii="Garamond" w:hAnsi="Garamond"/>
        </w:rPr>
      </w:pPr>
      <w:r w:rsidRPr="00104AF1">
        <w:rPr>
          <w:rFonts w:ascii="Garamond" w:hAnsi="Garamond"/>
        </w:rPr>
        <w:t>Empirically, we test our argument through dynamic and static structured comparisons, including a six within-case study, to evaluate our claims against those offered by other accounts (</w:t>
      </w:r>
      <w:r w:rsidRPr="00551C43">
        <w:rPr>
          <w:rFonts w:ascii="Garamond" w:hAnsi="Garamond"/>
        </w:rPr>
        <w:t>Mahoney 2007</w:t>
      </w:r>
      <w:r w:rsidRPr="001F48F1">
        <w:rPr>
          <w:rFonts w:ascii="Garamond" w:hAnsi="Garamond"/>
        </w:rPr>
        <w:t>; Bennett and George 2005). Our cases</w:t>
      </w:r>
      <w:r>
        <w:rPr>
          <w:rFonts w:ascii="Garamond" w:hAnsi="Garamond"/>
        </w:rPr>
        <w:t xml:space="preserve"> focus on policy reform in the EU during the late 1990s and early 2000s in sectors that have formed the basis of much previous research on global finance, while at the same time </w:t>
      </w:r>
      <w:r w:rsidRPr="001F48F1">
        <w:rPr>
          <w:rFonts w:ascii="Garamond" w:hAnsi="Garamond"/>
        </w:rPr>
        <w:t>vary in outcomes (between preference alignment and divergence) over time and across subsectors, and our evidence includes new data, deriving from original interviews</w:t>
      </w:r>
      <w:r>
        <w:rPr>
          <w:rFonts w:ascii="Garamond" w:hAnsi="Garamond"/>
        </w:rPr>
        <w:t>,</w:t>
      </w:r>
      <w:r w:rsidRPr="00104AF1">
        <w:rPr>
          <w:rFonts w:ascii="Garamond" w:hAnsi="Garamond"/>
        </w:rPr>
        <w:t xml:space="preserve"> primary documents</w:t>
      </w:r>
      <w:r>
        <w:rPr>
          <w:rFonts w:ascii="Garamond" w:hAnsi="Garamond"/>
        </w:rPr>
        <w:t>, and historical analysis</w:t>
      </w:r>
      <w:r w:rsidRPr="00104AF1">
        <w:rPr>
          <w:rFonts w:ascii="Garamond" w:hAnsi="Garamond"/>
        </w:rPr>
        <w:t xml:space="preserve">.  </w:t>
      </w:r>
    </w:p>
    <w:p w14:paraId="4959296A" w14:textId="11B7DE9B" w:rsidR="005D7861" w:rsidRPr="00104AF1" w:rsidRDefault="005D7861" w:rsidP="001F4EF6">
      <w:pPr>
        <w:spacing w:line="480" w:lineRule="auto"/>
        <w:ind w:firstLine="720"/>
        <w:rPr>
          <w:rFonts w:ascii="Garamond" w:hAnsi="Garamond"/>
        </w:rPr>
      </w:pPr>
      <w:r w:rsidRPr="00104AF1">
        <w:rPr>
          <w:rFonts w:ascii="Garamond" w:hAnsi="Garamond"/>
        </w:rPr>
        <w:t>The paper makes several contributions. First, it responds to calls for better conceptual linkages between international and domestic financial arrangements (</w:t>
      </w:r>
      <w:proofErr w:type="spellStart"/>
      <w:r w:rsidRPr="00104AF1">
        <w:rPr>
          <w:rFonts w:ascii="Garamond" w:hAnsi="Garamond"/>
        </w:rPr>
        <w:t>Helleiner</w:t>
      </w:r>
      <w:proofErr w:type="spellEnd"/>
      <w:r w:rsidRPr="00104AF1">
        <w:rPr>
          <w:rFonts w:ascii="Garamond" w:hAnsi="Garamond"/>
        </w:rPr>
        <w:t xml:space="preserve"> and </w:t>
      </w:r>
      <w:proofErr w:type="spellStart"/>
      <w:r w:rsidRPr="00104AF1">
        <w:rPr>
          <w:rFonts w:ascii="Garamond" w:hAnsi="Garamond"/>
        </w:rPr>
        <w:t>Pagliari</w:t>
      </w:r>
      <w:proofErr w:type="spellEnd"/>
      <w:r w:rsidRPr="00104AF1">
        <w:rPr>
          <w:rFonts w:ascii="Garamond" w:hAnsi="Garamond"/>
        </w:rPr>
        <w:t xml:space="preserve"> 2011</w:t>
      </w:r>
      <w:r w:rsidRPr="001F48F1">
        <w:rPr>
          <w:rFonts w:ascii="Garamond" w:hAnsi="Garamond"/>
        </w:rPr>
        <w:t xml:space="preserve">; </w:t>
      </w:r>
      <w:proofErr w:type="spellStart"/>
      <w:r w:rsidRPr="00551C43">
        <w:rPr>
          <w:rFonts w:ascii="Garamond" w:hAnsi="Garamond"/>
        </w:rPr>
        <w:t>C</w:t>
      </w:r>
      <w:r w:rsidRPr="001F48F1">
        <w:rPr>
          <w:rFonts w:ascii="Garamond" w:hAnsi="Garamond"/>
        </w:rPr>
        <w:t>aparaso</w:t>
      </w:r>
      <w:proofErr w:type="spellEnd"/>
      <w:r w:rsidRPr="00551C43">
        <w:rPr>
          <w:rFonts w:ascii="Garamond" w:hAnsi="Garamond"/>
        </w:rPr>
        <w:t xml:space="preserve"> 1997</w:t>
      </w:r>
      <w:r w:rsidRPr="001F48F1">
        <w:rPr>
          <w:rFonts w:ascii="Garamond" w:hAnsi="Garamond"/>
        </w:rPr>
        <w:t>).</w:t>
      </w:r>
      <w:r w:rsidRPr="00104AF1">
        <w:rPr>
          <w:rFonts w:ascii="Garamond" w:hAnsi="Garamond"/>
        </w:rPr>
        <w:t xml:space="preserve"> </w:t>
      </w:r>
      <w:r w:rsidRPr="004769FE">
        <w:rPr>
          <w:rFonts w:ascii="Garamond" w:hAnsi="Garamond"/>
        </w:rPr>
        <w:t xml:space="preserve"> Specifically, it builds on an earlier body </w:t>
      </w:r>
      <w:r w:rsidRPr="001F48F1">
        <w:rPr>
          <w:rFonts w:ascii="Garamond" w:hAnsi="Garamond"/>
        </w:rPr>
        <w:t>of research about the domestic effects of cross-border networks (</w:t>
      </w:r>
      <w:proofErr w:type="spellStart"/>
      <w:r w:rsidRPr="001F48F1">
        <w:rPr>
          <w:rFonts w:ascii="Garamond" w:hAnsi="Garamond"/>
        </w:rPr>
        <w:t>Risse</w:t>
      </w:r>
      <w:r>
        <w:rPr>
          <w:rFonts w:ascii="Garamond" w:hAnsi="Garamond"/>
        </w:rPr>
        <w:t>-Kappen</w:t>
      </w:r>
      <w:proofErr w:type="spellEnd"/>
      <w:r w:rsidRPr="001F48F1">
        <w:rPr>
          <w:rFonts w:ascii="Garamond" w:hAnsi="Garamond"/>
        </w:rPr>
        <w:t xml:space="preserve"> 1995; Keck and </w:t>
      </w:r>
      <w:proofErr w:type="spellStart"/>
      <w:r w:rsidRPr="001F48F1">
        <w:rPr>
          <w:rFonts w:ascii="Garamond" w:hAnsi="Garamond"/>
        </w:rPr>
        <w:t>Sikkink</w:t>
      </w:r>
      <w:proofErr w:type="spellEnd"/>
      <w:r>
        <w:rPr>
          <w:rFonts w:ascii="Garamond" w:hAnsi="Garamond"/>
        </w:rPr>
        <w:t xml:space="preserve"> 1998</w:t>
      </w:r>
      <w:r w:rsidRPr="004769FE">
        <w:rPr>
          <w:rFonts w:ascii="Garamond" w:hAnsi="Garamond"/>
        </w:rPr>
        <w:t xml:space="preserve">; and </w:t>
      </w:r>
      <w:r w:rsidRPr="00551C43">
        <w:rPr>
          <w:rFonts w:ascii="Garamond" w:hAnsi="Garamond"/>
        </w:rPr>
        <w:t>B</w:t>
      </w:r>
      <w:r w:rsidRPr="001F48F1">
        <w:rPr>
          <w:rFonts w:ascii="Garamond" w:hAnsi="Garamond"/>
        </w:rPr>
        <w:t>ob 2005</w:t>
      </w:r>
      <w:r w:rsidRPr="00104AF1">
        <w:rPr>
          <w:rFonts w:ascii="Garamond" w:hAnsi="Garamond"/>
        </w:rPr>
        <w:t xml:space="preserve">) and </w:t>
      </w:r>
      <w:r w:rsidRPr="004769FE">
        <w:rPr>
          <w:rFonts w:ascii="Garamond" w:hAnsi="Garamond"/>
        </w:rPr>
        <w:t>suggests</w:t>
      </w:r>
      <w:r w:rsidRPr="001F48F1">
        <w:rPr>
          <w:rFonts w:ascii="Garamond" w:hAnsi="Garamond"/>
        </w:rPr>
        <w:t xml:space="preserve"> that soft law created in transnational bodies becomes a “domestic,” contextual factor that recasts national political bargains among coalitions hoping to alter the regulatory status quo. Second, the paper demonstrates how insights from historical institutionalism can be employed beyond comparative politics to better understand</w:t>
      </w:r>
      <w:r w:rsidRPr="00104AF1">
        <w:rPr>
          <w:rFonts w:ascii="Garamond" w:hAnsi="Garamond"/>
        </w:rPr>
        <w:t xml:space="preserve"> international dynamics (</w:t>
      </w:r>
      <w:proofErr w:type="spellStart"/>
      <w:r w:rsidRPr="00104AF1">
        <w:rPr>
          <w:rFonts w:ascii="Garamond" w:hAnsi="Garamond"/>
        </w:rPr>
        <w:t>Fioretos</w:t>
      </w:r>
      <w:proofErr w:type="spellEnd"/>
      <w:r w:rsidRPr="00104AF1">
        <w:rPr>
          <w:rFonts w:ascii="Garamond" w:hAnsi="Garamond"/>
        </w:rPr>
        <w:t xml:space="preserve"> 2011; </w:t>
      </w:r>
      <w:proofErr w:type="spellStart"/>
      <w:r w:rsidRPr="00104AF1">
        <w:rPr>
          <w:rFonts w:ascii="Garamond" w:hAnsi="Garamond"/>
        </w:rPr>
        <w:t>Moschella</w:t>
      </w:r>
      <w:proofErr w:type="spellEnd"/>
      <w:r w:rsidRPr="00104AF1">
        <w:rPr>
          <w:rFonts w:ascii="Garamond" w:hAnsi="Garamond"/>
        </w:rPr>
        <w:t xml:space="preserve"> and </w:t>
      </w:r>
      <w:proofErr w:type="spellStart"/>
      <w:r w:rsidRPr="00104AF1">
        <w:rPr>
          <w:rFonts w:ascii="Garamond" w:hAnsi="Garamond"/>
        </w:rPr>
        <w:t>Tsingou</w:t>
      </w:r>
      <w:proofErr w:type="spellEnd"/>
      <w:r w:rsidRPr="00104AF1">
        <w:rPr>
          <w:rFonts w:ascii="Garamond" w:hAnsi="Garamond"/>
        </w:rPr>
        <w:t xml:space="preserve"> 201</w:t>
      </w:r>
      <w:r w:rsidR="00696168">
        <w:rPr>
          <w:rFonts w:ascii="Garamond" w:hAnsi="Garamond"/>
        </w:rPr>
        <w:t xml:space="preserve">3; </w:t>
      </w:r>
      <w:proofErr w:type="spellStart"/>
      <w:r w:rsidR="00696168">
        <w:rPr>
          <w:rFonts w:ascii="Garamond" w:hAnsi="Garamond"/>
        </w:rPr>
        <w:t>Helleiner</w:t>
      </w:r>
      <w:proofErr w:type="spellEnd"/>
      <w:r w:rsidR="00696168">
        <w:rPr>
          <w:rFonts w:ascii="Garamond" w:hAnsi="Garamond"/>
        </w:rPr>
        <w:t xml:space="preserve"> forthcoming; Farrell and Newman 2014</w:t>
      </w:r>
      <w:r w:rsidRPr="00104AF1">
        <w:rPr>
          <w:rFonts w:ascii="Garamond" w:hAnsi="Garamond"/>
        </w:rPr>
        <w:t>). Transnational networks have become central elements of economic regulation.  Scholars have paid insufficient attention to their temporal effects (Porter, 2011). Finally, it adds to our understanding of unanswered puzzles in the study of pre-crisis global finance – sustained cooperation in the face of structural change and financial crises (</w:t>
      </w:r>
      <w:proofErr w:type="spellStart"/>
      <w:r w:rsidRPr="00104AF1">
        <w:rPr>
          <w:rFonts w:ascii="Garamond" w:hAnsi="Garamond"/>
        </w:rPr>
        <w:t>Drezner</w:t>
      </w:r>
      <w:proofErr w:type="spellEnd"/>
      <w:r w:rsidRPr="00104AF1">
        <w:rPr>
          <w:rFonts w:ascii="Garamond" w:hAnsi="Garamond"/>
        </w:rPr>
        <w:t xml:space="preserve"> 2014; </w:t>
      </w:r>
      <w:proofErr w:type="spellStart"/>
      <w:r w:rsidRPr="00104AF1">
        <w:rPr>
          <w:rFonts w:ascii="Garamond" w:hAnsi="Garamond"/>
        </w:rPr>
        <w:t>Helleiner</w:t>
      </w:r>
      <w:proofErr w:type="spellEnd"/>
      <w:r w:rsidRPr="00104AF1">
        <w:rPr>
          <w:rFonts w:ascii="Garamond" w:hAnsi="Garamond"/>
        </w:rPr>
        <w:t xml:space="preserve"> 2014).  </w:t>
      </w:r>
    </w:p>
    <w:p w14:paraId="7C96A072" w14:textId="77777777" w:rsidR="005D7861" w:rsidRPr="00104AF1" w:rsidRDefault="005D7861" w:rsidP="00803D14">
      <w:pPr>
        <w:spacing w:line="480" w:lineRule="auto"/>
        <w:rPr>
          <w:rFonts w:ascii="Garamond" w:hAnsi="Garamond"/>
          <w:highlight w:val="yellow"/>
        </w:rPr>
      </w:pPr>
    </w:p>
    <w:p w14:paraId="3996268E" w14:textId="77777777" w:rsidR="005D7861" w:rsidRPr="00104AF1" w:rsidRDefault="005D7861" w:rsidP="00BD1D8D">
      <w:pPr>
        <w:spacing w:line="480" w:lineRule="auto"/>
        <w:rPr>
          <w:rFonts w:ascii="Garamond" w:hAnsi="Garamond"/>
          <w:u w:val="single"/>
        </w:rPr>
      </w:pPr>
      <w:r w:rsidRPr="00104AF1">
        <w:rPr>
          <w:rFonts w:ascii="Garamond" w:hAnsi="Garamond"/>
          <w:u w:val="single"/>
        </w:rPr>
        <w:t>Explaining Regulatory Cooperation</w:t>
      </w:r>
    </w:p>
    <w:p w14:paraId="5051FA37" w14:textId="77777777" w:rsidR="005D7861" w:rsidRPr="00104AF1" w:rsidRDefault="005D7861" w:rsidP="00BD1D8D">
      <w:pPr>
        <w:spacing w:line="480" w:lineRule="auto"/>
        <w:rPr>
          <w:rFonts w:ascii="Garamond" w:hAnsi="Garamond"/>
        </w:rPr>
      </w:pPr>
      <w:r w:rsidRPr="00104AF1">
        <w:rPr>
          <w:rFonts w:ascii="Garamond" w:hAnsi="Garamond"/>
        </w:rPr>
        <w:tab/>
        <w:t xml:space="preserve">The puzzle of this study stems </w:t>
      </w:r>
      <w:r>
        <w:rPr>
          <w:rFonts w:ascii="Garamond" w:hAnsi="Garamond"/>
        </w:rPr>
        <w:t xml:space="preserve">from the </w:t>
      </w:r>
      <w:r w:rsidRPr="00104AF1">
        <w:rPr>
          <w:rFonts w:ascii="Garamond" w:hAnsi="Garamond"/>
        </w:rPr>
        <w:t xml:space="preserve">observation of preference alignment between the financial regulatory great powers in the pre-crisis period: the US and the EU. Before establishing that pattern and developing our argument, </w:t>
      </w:r>
      <w:r>
        <w:rPr>
          <w:rFonts w:ascii="Garamond" w:hAnsi="Garamond"/>
        </w:rPr>
        <w:t xml:space="preserve">which </w:t>
      </w:r>
      <w:r w:rsidRPr="00104AF1">
        <w:rPr>
          <w:rFonts w:ascii="Garamond" w:hAnsi="Garamond"/>
        </w:rPr>
        <w:t>highlight</w:t>
      </w:r>
      <w:r>
        <w:rPr>
          <w:rFonts w:ascii="Garamond" w:hAnsi="Garamond"/>
        </w:rPr>
        <w:t>s</w:t>
      </w:r>
      <w:r w:rsidRPr="00104AF1">
        <w:rPr>
          <w:rFonts w:ascii="Garamond" w:hAnsi="Garamond"/>
        </w:rPr>
        <w:t xml:space="preserve"> the interaction between transnational soft law and domestic politics, we review the two dominant analytic approaches used to understand the politics of global finance and highlight their empirical expectations.  </w:t>
      </w:r>
    </w:p>
    <w:p w14:paraId="73F8E7A5" w14:textId="169258BB" w:rsidR="005D7861" w:rsidRPr="00104AF1" w:rsidRDefault="005D7861" w:rsidP="006B2144">
      <w:pPr>
        <w:spacing w:line="480" w:lineRule="auto"/>
        <w:ind w:firstLine="720"/>
        <w:rPr>
          <w:rFonts w:ascii="Garamond" w:hAnsi="Garamond"/>
        </w:rPr>
      </w:pPr>
      <w:r w:rsidRPr="00104AF1">
        <w:rPr>
          <w:rFonts w:ascii="Garamond" w:hAnsi="Garamond"/>
        </w:rPr>
        <w:t xml:space="preserve">One prominent approach employed to explain regulation of cross-border finance relies on state power, frequently operationalized by the relative size of national markets </w:t>
      </w:r>
      <w:r w:rsidRPr="00104AF1">
        <w:rPr>
          <w:rFonts w:ascii="Garamond" w:hAnsi="Garamond"/>
          <w:noProof/>
        </w:rPr>
        <w:t>(James and Lake 1989; D. Vogel 1995)</w:t>
      </w:r>
      <w:r w:rsidRPr="00104AF1">
        <w:rPr>
          <w:rFonts w:ascii="Garamond" w:hAnsi="Garamond"/>
        </w:rPr>
        <w:t xml:space="preserve">. Scholars have enumerated a list of mechanisms by which market power </w:t>
      </w:r>
      <w:r>
        <w:rPr>
          <w:rFonts w:ascii="Garamond" w:hAnsi="Garamond"/>
        </w:rPr>
        <w:t xml:space="preserve">may (or may not) </w:t>
      </w:r>
      <w:r w:rsidRPr="00104AF1">
        <w:rPr>
          <w:rFonts w:ascii="Garamond" w:hAnsi="Garamond"/>
        </w:rPr>
        <w:t xml:space="preserve">produce </w:t>
      </w:r>
      <w:r>
        <w:rPr>
          <w:rFonts w:ascii="Garamond" w:hAnsi="Garamond"/>
        </w:rPr>
        <w:t xml:space="preserve">regulatory </w:t>
      </w:r>
      <w:r w:rsidRPr="00104AF1">
        <w:rPr>
          <w:rFonts w:ascii="Garamond" w:hAnsi="Garamond"/>
        </w:rPr>
        <w:t>harmonization</w:t>
      </w:r>
      <w:r>
        <w:rPr>
          <w:rFonts w:ascii="Garamond" w:hAnsi="Garamond"/>
        </w:rPr>
        <w:t>.  In a world characterized by a single, dominant regulator, the identified mechanisms</w:t>
      </w:r>
      <w:r w:rsidRPr="00104AF1">
        <w:rPr>
          <w:rFonts w:ascii="Garamond" w:hAnsi="Garamond"/>
        </w:rPr>
        <w:t xml:space="preserve"> includ</w:t>
      </w:r>
      <w:r>
        <w:rPr>
          <w:rFonts w:ascii="Garamond" w:hAnsi="Garamond"/>
        </w:rPr>
        <w:t>e</w:t>
      </w:r>
      <w:r w:rsidRPr="00104AF1">
        <w:rPr>
          <w:rFonts w:ascii="Garamond" w:hAnsi="Garamond"/>
        </w:rPr>
        <w:t xml:space="preserve"> emulation, price signals, an</w:t>
      </w:r>
      <w:r w:rsidR="00696168">
        <w:rPr>
          <w:rFonts w:ascii="Garamond" w:hAnsi="Garamond"/>
        </w:rPr>
        <w:t>d coercion (Simmons 2001</w:t>
      </w:r>
      <w:r w:rsidRPr="00104AF1">
        <w:rPr>
          <w:rFonts w:ascii="Garamond" w:hAnsi="Garamond"/>
        </w:rPr>
        <w:t xml:space="preserve">). </w:t>
      </w:r>
      <w:r>
        <w:rPr>
          <w:rFonts w:ascii="Garamond" w:hAnsi="Garamond"/>
        </w:rPr>
        <w:t xml:space="preserve">Arguing that many sectors, including finance, had two regulatory powers (the EU and the US) in the pre-crisis years, </w:t>
      </w:r>
      <w:proofErr w:type="spellStart"/>
      <w:r w:rsidRPr="00104AF1">
        <w:rPr>
          <w:rFonts w:ascii="Garamond" w:hAnsi="Garamond"/>
        </w:rPr>
        <w:t>Drezner</w:t>
      </w:r>
      <w:proofErr w:type="spellEnd"/>
      <w:r w:rsidRPr="00104AF1">
        <w:rPr>
          <w:rFonts w:ascii="Garamond" w:hAnsi="Garamond"/>
        </w:rPr>
        <w:t xml:space="preserve"> (2007) </w:t>
      </w:r>
      <w:r>
        <w:rPr>
          <w:rFonts w:ascii="Garamond" w:hAnsi="Garamond"/>
        </w:rPr>
        <w:t xml:space="preserve">theorizes that the extent and type of regulatory cooperation in a bipolar world </w:t>
      </w:r>
      <w:r w:rsidRPr="00104AF1">
        <w:rPr>
          <w:rFonts w:ascii="Garamond" w:hAnsi="Garamond"/>
        </w:rPr>
        <w:t xml:space="preserve">depends on the preferences of the </w:t>
      </w:r>
      <w:r>
        <w:rPr>
          <w:rFonts w:ascii="Garamond" w:hAnsi="Garamond"/>
        </w:rPr>
        <w:t>two powers</w:t>
      </w:r>
      <w:r w:rsidRPr="00104AF1">
        <w:rPr>
          <w:rFonts w:ascii="Garamond" w:hAnsi="Garamond"/>
        </w:rPr>
        <w:t xml:space="preserve">.  He anticipates that existing domestic regulatory structures will determine </w:t>
      </w:r>
      <w:r>
        <w:rPr>
          <w:rFonts w:ascii="Garamond" w:hAnsi="Garamond"/>
        </w:rPr>
        <w:t>patterns of conflict and cooperation</w:t>
      </w:r>
      <w:r w:rsidRPr="00104AF1">
        <w:rPr>
          <w:rFonts w:ascii="Garamond" w:hAnsi="Garamond"/>
        </w:rPr>
        <w:t xml:space="preserve">.  In instances where regulatory structures are compatible, the two powers </w:t>
      </w:r>
      <w:r>
        <w:rPr>
          <w:rFonts w:ascii="Garamond" w:hAnsi="Garamond"/>
        </w:rPr>
        <w:t>are said to</w:t>
      </w:r>
      <w:r w:rsidRPr="00104AF1">
        <w:rPr>
          <w:rFonts w:ascii="Garamond" w:hAnsi="Garamond"/>
        </w:rPr>
        <w:t xml:space="preserve"> have fairly similar preferences and cooperate to set club standards.  Where existing regulatory structures significantly differ, cooperation would mean sizable switching costs.  The result then would</w:t>
      </w:r>
      <w:r>
        <w:rPr>
          <w:rFonts w:ascii="Garamond" w:hAnsi="Garamond"/>
        </w:rPr>
        <w:t xml:space="preserve"> likely yield </w:t>
      </w:r>
      <w:r w:rsidRPr="00104AF1">
        <w:rPr>
          <w:rFonts w:ascii="Garamond" w:hAnsi="Garamond"/>
        </w:rPr>
        <w:t xml:space="preserve">either sham or rival standards. </w:t>
      </w:r>
    </w:p>
    <w:p w14:paraId="2EDB92B6" w14:textId="77777777" w:rsidR="005D7861" w:rsidRPr="00104AF1" w:rsidRDefault="005D7861" w:rsidP="00AC4D7E">
      <w:pPr>
        <w:spacing w:line="480" w:lineRule="auto"/>
        <w:jc w:val="center"/>
        <w:rPr>
          <w:rFonts w:ascii="Garamond" w:hAnsi="Garamond"/>
        </w:rPr>
      </w:pPr>
      <w:r w:rsidRPr="00104AF1">
        <w:rPr>
          <w:rFonts w:ascii="Garamond" w:hAnsi="Garamond"/>
        </w:rPr>
        <w:t>INSERT TABLE 1 HERE</w:t>
      </w:r>
    </w:p>
    <w:p w14:paraId="38982E01" w14:textId="11E9A583" w:rsidR="005D7861" w:rsidRPr="00104AF1" w:rsidRDefault="005D7861" w:rsidP="00585F9A">
      <w:pPr>
        <w:spacing w:line="480" w:lineRule="auto"/>
        <w:ind w:firstLine="720"/>
        <w:rPr>
          <w:rFonts w:ascii="Garamond" w:hAnsi="Garamond"/>
        </w:rPr>
      </w:pPr>
      <w:r w:rsidRPr="00104AF1">
        <w:rPr>
          <w:rFonts w:ascii="Garamond" w:hAnsi="Garamond"/>
        </w:rPr>
        <w:t xml:space="preserve">There can be no doubt that the policy positions of </w:t>
      </w:r>
      <w:r>
        <w:rPr>
          <w:rFonts w:ascii="Garamond" w:hAnsi="Garamond"/>
        </w:rPr>
        <w:t xml:space="preserve">jurisdictions with </w:t>
      </w:r>
      <w:r w:rsidRPr="00104AF1">
        <w:rPr>
          <w:rFonts w:ascii="Garamond" w:hAnsi="Garamond"/>
        </w:rPr>
        <w:t>large markets play a crucial role in determining the global governance of finance (</w:t>
      </w:r>
      <w:proofErr w:type="spellStart"/>
      <w:r>
        <w:rPr>
          <w:rFonts w:ascii="Garamond" w:hAnsi="Garamond"/>
        </w:rPr>
        <w:t>Helleiner</w:t>
      </w:r>
      <w:proofErr w:type="spellEnd"/>
      <w:r>
        <w:rPr>
          <w:rFonts w:ascii="Garamond" w:hAnsi="Garamond"/>
        </w:rPr>
        <w:t xml:space="preserve"> 1994; </w:t>
      </w:r>
      <w:proofErr w:type="spellStart"/>
      <w:r w:rsidRPr="00104AF1">
        <w:rPr>
          <w:rFonts w:ascii="Garamond" w:hAnsi="Garamond"/>
        </w:rPr>
        <w:t>Drezner</w:t>
      </w:r>
      <w:proofErr w:type="spellEnd"/>
      <w:r w:rsidRPr="00104AF1">
        <w:rPr>
          <w:rFonts w:ascii="Garamond" w:hAnsi="Garamond"/>
        </w:rPr>
        <w:t xml:space="preserve"> 2014).  Upon close inspection, however, state-power accounts fall short in explaining the conundrum that motivates this study: Why, with the rise of the European Union, </w:t>
      </w:r>
      <w:r>
        <w:rPr>
          <w:rFonts w:ascii="Garamond" w:hAnsi="Garamond"/>
        </w:rPr>
        <w:t xml:space="preserve">did </w:t>
      </w:r>
      <w:r w:rsidRPr="00104AF1">
        <w:rPr>
          <w:rFonts w:ascii="Garamond" w:hAnsi="Garamond"/>
        </w:rPr>
        <w:t>th</w:t>
      </w:r>
      <w:r>
        <w:rPr>
          <w:rFonts w:ascii="Garamond" w:hAnsi="Garamond"/>
        </w:rPr>
        <w:t>e</w:t>
      </w:r>
      <w:r w:rsidRPr="00104AF1">
        <w:rPr>
          <w:rFonts w:ascii="Garamond" w:hAnsi="Garamond"/>
        </w:rPr>
        <w:t xml:space="preserve"> increase</w:t>
      </w:r>
      <w:r>
        <w:rPr>
          <w:rFonts w:ascii="Garamond" w:hAnsi="Garamond"/>
        </w:rPr>
        <w:t>d</w:t>
      </w:r>
      <w:r w:rsidRPr="00104AF1">
        <w:rPr>
          <w:rFonts w:ascii="Garamond" w:hAnsi="Garamond"/>
        </w:rPr>
        <w:t xml:space="preserve"> number of great powers in finance not produce regulatory conflict as it did in other cases such as data privacy, chemicals and food safety (Table 1, EE1) (Pollack and Shaffer 2009; Vogel 1995;</w:t>
      </w:r>
      <w:r w:rsidR="00696168">
        <w:rPr>
          <w:rFonts w:ascii="Garamond" w:hAnsi="Garamond"/>
        </w:rPr>
        <w:t xml:space="preserve"> Newman 2008</w:t>
      </w:r>
      <w:r w:rsidRPr="00104AF1">
        <w:rPr>
          <w:rFonts w:ascii="Garamond" w:hAnsi="Garamond"/>
        </w:rPr>
        <w:t xml:space="preserve">).  Given the twentieth-century history of divergence in national financial models, the preference alignment between the EU and the US is a surprising outcome. Starting with </w:t>
      </w:r>
      <w:proofErr w:type="spellStart"/>
      <w:r w:rsidRPr="00104AF1">
        <w:rPr>
          <w:rFonts w:ascii="Garamond" w:hAnsi="Garamond"/>
        </w:rPr>
        <w:t>Zysman’s</w:t>
      </w:r>
      <w:proofErr w:type="spellEnd"/>
      <w:r w:rsidRPr="00104AF1">
        <w:rPr>
          <w:rFonts w:ascii="Garamond" w:hAnsi="Garamond"/>
        </w:rPr>
        <w:t xml:space="preserve"> (1983) pioneering work, scholars in comparative politics have highlighted persistent differences in national financial systems in Europe and across the Atlantic (</w:t>
      </w:r>
      <w:proofErr w:type="spellStart"/>
      <w:r w:rsidRPr="00104AF1">
        <w:rPr>
          <w:rFonts w:ascii="Garamond" w:hAnsi="Garamond"/>
        </w:rPr>
        <w:t>Zysman</w:t>
      </w:r>
      <w:proofErr w:type="spellEnd"/>
      <w:r w:rsidRPr="00104AF1">
        <w:rPr>
          <w:rFonts w:ascii="Garamond" w:hAnsi="Garamond"/>
        </w:rPr>
        <w:t xml:space="preserve"> 1983), including deeply embedded characteristics of countries’ political economies such as the nature of government oversight, sources and access to capital, and rules concerning market entry (Hall and Soskice 2001; </w:t>
      </w:r>
      <w:proofErr w:type="spellStart"/>
      <w:r w:rsidRPr="00104AF1">
        <w:rPr>
          <w:rFonts w:ascii="Garamond" w:hAnsi="Garamond"/>
        </w:rPr>
        <w:t>Deeg</w:t>
      </w:r>
      <w:proofErr w:type="spellEnd"/>
      <w:r w:rsidRPr="00104AF1">
        <w:rPr>
          <w:rFonts w:ascii="Garamond" w:hAnsi="Garamond"/>
        </w:rPr>
        <w:t xml:space="preserve"> 2010).  Recent research, moreover, points to </w:t>
      </w:r>
      <w:r>
        <w:rPr>
          <w:rFonts w:ascii="Garamond" w:hAnsi="Garamond"/>
        </w:rPr>
        <w:t xml:space="preserve">a new </w:t>
      </w:r>
      <w:r w:rsidRPr="00104AF1">
        <w:rPr>
          <w:rFonts w:ascii="Garamond" w:hAnsi="Garamond"/>
        </w:rPr>
        <w:t xml:space="preserve">complexity of cross-jurisdictional </w:t>
      </w:r>
      <w:r w:rsidR="00065EAA">
        <w:rPr>
          <w:rFonts w:ascii="Garamond" w:hAnsi="Garamond"/>
        </w:rPr>
        <w:t xml:space="preserve">similarities and </w:t>
      </w:r>
      <w:r w:rsidRPr="00104AF1">
        <w:rPr>
          <w:rFonts w:ascii="Garamond" w:hAnsi="Garamond"/>
        </w:rPr>
        <w:t>differences in the years before and after the crisis (</w:t>
      </w:r>
      <w:proofErr w:type="spellStart"/>
      <w:r w:rsidRPr="00104AF1">
        <w:rPr>
          <w:rFonts w:ascii="Garamond" w:hAnsi="Garamond"/>
        </w:rPr>
        <w:t>Hardie</w:t>
      </w:r>
      <w:proofErr w:type="spellEnd"/>
      <w:r w:rsidRPr="00104AF1">
        <w:rPr>
          <w:rFonts w:ascii="Garamond" w:hAnsi="Garamond"/>
        </w:rPr>
        <w:t xml:space="preserve"> et al 2013</w:t>
      </w:r>
      <w:r>
        <w:rPr>
          <w:rFonts w:ascii="Garamond" w:hAnsi="Garamond"/>
        </w:rPr>
        <w:t xml:space="preserve">; </w:t>
      </w:r>
      <w:proofErr w:type="spellStart"/>
      <w:r>
        <w:rPr>
          <w:rFonts w:ascii="Garamond" w:hAnsi="Garamond"/>
        </w:rPr>
        <w:t>Hardie</w:t>
      </w:r>
      <w:proofErr w:type="spellEnd"/>
      <w:r>
        <w:rPr>
          <w:rFonts w:ascii="Garamond" w:hAnsi="Garamond"/>
        </w:rPr>
        <w:t xml:space="preserve"> and </w:t>
      </w:r>
      <w:proofErr w:type="spellStart"/>
      <w:r>
        <w:rPr>
          <w:rFonts w:ascii="Garamond" w:hAnsi="Garamond"/>
        </w:rPr>
        <w:t>Howarth</w:t>
      </w:r>
      <w:proofErr w:type="spellEnd"/>
      <w:r>
        <w:rPr>
          <w:rFonts w:ascii="Garamond" w:hAnsi="Garamond"/>
        </w:rPr>
        <w:t xml:space="preserve"> 2013</w:t>
      </w:r>
      <w:r w:rsidRPr="00104AF1">
        <w:rPr>
          <w:rFonts w:ascii="Garamond" w:hAnsi="Garamond"/>
        </w:rPr>
        <w:t>).  Not only has finance varied considerably across capitalist jurisdictions but the differences also produced large adjustment costs for firms operating globally, an observation that has led scholars to predict preference divergence and regulatory confrontation within Europe and across the Atlantic (</w:t>
      </w:r>
      <w:proofErr w:type="spellStart"/>
      <w:r w:rsidRPr="00104AF1">
        <w:rPr>
          <w:rFonts w:ascii="Garamond" w:hAnsi="Garamond"/>
        </w:rPr>
        <w:t>Kalinowski</w:t>
      </w:r>
      <w:proofErr w:type="spellEnd"/>
      <w:r w:rsidRPr="00104AF1">
        <w:rPr>
          <w:rFonts w:ascii="Garamond" w:hAnsi="Garamond"/>
        </w:rPr>
        <w:t xml:space="preserve"> 2012; </w:t>
      </w:r>
      <w:proofErr w:type="spellStart"/>
      <w:r w:rsidRPr="00104AF1">
        <w:rPr>
          <w:rFonts w:ascii="Garamond" w:hAnsi="Garamond"/>
        </w:rPr>
        <w:t>Fioretos</w:t>
      </w:r>
      <w:proofErr w:type="spellEnd"/>
      <w:r w:rsidRPr="00104AF1">
        <w:rPr>
          <w:rFonts w:ascii="Garamond" w:hAnsi="Garamond"/>
        </w:rPr>
        <w:t xml:space="preserve"> 2010; Zimmerman 2009; Story and Walter </w:t>
      </w:r>
      <w:r>
        <w:rPr>
          <w:rFonts w:ascii="Garamond" w:hAnsi="Garamond"/>
        </w:rPr>
        <w:t>1997</w:t>
      </w:r>
      <w:r w:rsidRPr="001F48F1">
        <w:rPr>
          <w:rFonts w:ascii="Garamond" w:hAnsi="Garamond"/>
        </w:rPr>
        <w:t xml:space="preserve">; </w:t>
      </w:r>
      <w:proofErr w:type="spellStart"/>
      <w:r w:rsidR="00696168">
        <w:rPr>
          <w:rFonts w:ascii="Garamond" w:hAnsi="Garamond"/>
        </w:rPr>
        <w:t>Howarth</w:t>
      </w:r>
      <w:proofErr w:type="spellEnd"/>
      <w:r w:rsidR="00696168">
        <w:rPr>
          <w:rFonts w:ascii="Garamond" w:hAnsi="Garamond"/>
        </w:rPr>
        <w:t xml:space="preserve"> and </w:t>
      </w:r>
      <w:proofErr w:type="spellStart"/>
      <w:r w:rsidR="00696168">
        <w:rPr>
          <w:rFonts w:ascii="Garamond" w:hAnsi="Garamond"/>
        </w:rPr>
        <w:t>Quaglia</w:t>
      </w:r>
      <w:proofErr w:type="spellEnd"/>
      <w:r w:rsidR="00696168">
        <w:rPr>
          <w:rFonts w:ascii="Garamond" w:hAnsi="Garamond"/>
        </w:rPr>
        <w:t xml:space="preserve"> 2013</w:t>
      </w:r>
      <w:r w:rsidRPr="001F48F1">
        <w:rPr>
          <w:rFonts w:ascii="Garamond" w:hAnsi="Garamond"/>
        </w:rPr>
        <w:t xml:space="preserve">). </w:t>
      </w:r>
      <w:r w:rsidRPr="00104AF1">
        <w:rPr>
          <w:rFonts w:ascii="Garamond" w:hAnsi="Garamond"/>
        </w:rPr>
        <w:t>Given the history of financial system diversity,</w:t>
      </w:r>
      <w:r>
        <w:rPr>
          <w:rFonts w:ascii="Garamond" w:hAnsi="Garamond"/>
        </w:rPr>
        <w:t xml:space="preserve"> internal EU agreement should have been more challenging and, by </w:t>
      </w:r>
      <w:proofErr w:type="spellStart"/>
      <w:r>
        <w:rPr>
          <w:rFonts w:ascii="Garamond" w:hAnsi="Garamond"/>
        </w:rPr>
        <w:t>Drezner’s</w:t>
      </w:r>
      <w:proofErr w:type="spellEnd"/>
      <w:r>
        <w:rPr>
          <w:rFonts w:ascii="Garamond" w:hAnsi="Garamond"/>
        </w:rPr>
        <w:t xml:space="preserve"> logic of bipolarity, </w:t>
      </w:r>
      <w:r w:rsidRPr="00104AF1">
        <w:rPr>
          <w:rFonts w:ascii="Garamond" w:hAnsi="Garamond"/>
        </w:rPr>
        <w:t>EU and US preferences over regulation</w:t>
      </w:r>
      <w:r>
        <w:rPr>
          <w:rFonts w:ascii="Garamond" w:hAnsi="Garamond"/>
        </w:rPr>
        <w:t xml:space="preserve"> </w:t>
      </w:r>
      <w:r w:rsidRPr="00104AF1">
        <w:rPr>
          <w:rFonts w:ascii="Garamond" w:hAnsi="Garamond"/>
        </w:rPr>
        <w:t>should have been farther apart</w:t>
      </w:r>
      <w:r>
        <w:rPr>
          <w:rFonts w:ascii="Garamond" w:hAnsi="Garamond"/>
        </w:rPr>
        <w:t>.  In short, t</w:t>
      </w:r>
      <w:r w:rsidRPr="00104AF1">
        <w:rPr>
          <w:rFonts w:ascii="Garamond" w:hAnsi="Garamond"/>
        </w:rPr>
        <w:t xml:space="preserve">here should not have been a marked shift from stalemate to cooperation in the 2000s, </w:t>
      </w:r>
      <w:r>
        <w:rPr>
          <w:rFonts w:ascii="Garamond" w:hAnsi="Garamond"/>
        </w:rPr>
        <w:t>the</w:t>
      </w:r>
      <w:r w:rsidRPr="00104AF1">
        <w:rPr>
          <w:rFonts w:ascii="Garamond" w:hAnsi="Garamond"/>
        </w:rPr>
        <w:t xml:space="preserve"> pattern detailed below.</w:t>
      </w:r>
    </w:p>
    <w:p w14:paraId="4129A6B1" w14:textId="77777777" w:rsidR="005D7861" w:rsidRPr="00104AF1" w:rsidRDefault="005D7861" w:rsidP="00BD1D8D">
      <w:pPr>
        <w:spacing w:line="480" w:lineRule="auto"/>
        <w:rPr>
          <w:rFonts w:ascii="Garamond" w:hAnsi="Garamond"/>
        </w:rPr>
      </w:pPr>
      <w:r w:rsidRPr="00104AF1">
        <w:rPr>
          <w:rFonts w:ascii="Garamond" w:hAnsi="Garamond"/>
        </w:rPr>
        <w:tab/>
        <w:t xml:space="preserve">A second account in the political economy literature on finance emphasizes the ability of transnational private </w:t>
      </w:r>
      <w:r>
        <w:rPr>
          <w:rFonts w:ascii="Garamond" w:hAnsi="Garamond"/>
        </w:rPr>
        <w:t xml:space="preserve">market </w:t>
      </w:r>
      <w:r w:rsidRPr="00104AF1">
        <w:rPr>
          <w:rFonts w:ascii="Garamond" w:hAnsi="Garamond"/>
        </w:rPr>
        <w:t xml:space="preserve">actors to pressure policymakers into adopting regulation with greater levels of firm discretion.  Merging arguments about international class structure, technological change and relative asset mobility, these authors give pride of place to the role of transnational capital in systematically influencing rules (Baker 2010; Underhill and Zhang 2008; </w:t>
      </w:r>
      <w:proofErr w:type="spellStart"/>
      <w:r w:rsidRPr="00104AF1">
        <w:rPr>
          <w:rFonts w:ascii="Garamond" w:hAnsi="Garamond"/>
        </w:rPr>
        <w:t>Tsingou</w:t>
      </w:r>
      <w:proofErr w:type="spellEnd"/>
      <w:r w:rsidRPr="00104AF1">
        <w:rPr>
          <w:rFonts w:ascii="Garamond" w:hAnsi="Garamond"/>
        </w:rPr>
        <w:t xml:space="preserve"> 2008, </w:t>
      </w:r>
      <w:proofErr w:type="spellStart"/>
      <w:r w:rsidRPr="00104AF1">
        <w:rPr>
          <w:rFonts w:ascii="Garamond" w:hAnsi="Garamond"/>
        </w:rPr>
        <w:t>Lall</w:t>
      </w:r>
      <w:proofErr w:type="spellEnd"/>
      <w:r w:rsidRPr="00104AF1">
        <w:rPr>
          <w:rFonts w:ascii="Garamond" w:hAnsi="Garamond"/>
        </w:rPr>
        <w:t xml:space="preserve"> 2012; Perry and </w:t>
      </w:r>
      <w:proofErr w:type="spellStart"/>
      <w:r w:rsidRPr="00104AF1">
        <w:rPr>
          <w:rFonts w:ascii="Garamond" w:hAnsi="Garamond"/>
        </w:rPr>
        <w:t>Nölke</w:t>
      </w:r>
      <w:proofErr w:type="spellEnd"/>
      <w:r w:rsidRPr="00104AF1">
        <w:rPr>
          <w:rFonts w:ascii="Garamond" w:hAnsi="Garamond"/>
        </w:rPr>
        <w:t xml:space="preserve"> 2006; </w:t>
      </w:r>
      <w:proofErr w:type="spellStart"/>
      <w:r w:rsidRPr="00104AF1">
        <w:rPr>
          <w:rFonts w:ascii="Garamond" w:hAnsi="Garamond"/>
        </w:rPr>
        <w:t>Nölke</w:t>
      </w:r>
      <w:proofErr w:type="spellEnd"/>
      <w:r w:rsidRPr="00104AF1">
        <w:rPr>
          <w:rFonts w:ascii="Garamond" w:hAnsi="Garamond"/>
        </w:rPr>
        <w:t xml:space="preserve"> and Perry 2008; Gill and Law 1989).  Multinational banks, asset managers and other financial services providers are said to have an interest in promoting neo-liberal policies that minimize oversight by public authorities. The central logic posits that financial firms possess a range of resource advantages relative to governments and other political actors – critical technical knowledge, close ties to political elites, organizational capacities, and the threat of exit, to name the most prevalent ones – all of which allow them to steer the policy agenda and outcomes, if not engage in straight out regulatory capture.  Financial regulation is expected to mirror the interests of internationally active firms (Table 1, EE2).      </w:t>
      </w:r>
    </w:p>
    <w:p w14:paraId="75ECB554" w14:textId="77777777" w:rsidR="005D7861" w:rsidRPr="00104AF1" w:rsidRDefault="005D7861" w:rsidP="0091659D">
      <w:pPr>
        <w:spacing w:line="480" w:lineRule="auto"/>
        <w:rPr>
          <w:rFonts w:ascii="Garamond" w:hAnsi="Garamond"/>
        </w:rPr>
      </w:pPr>
      <w:r w:rsidRPr="00104AF1">
        <w:rPr>
          <w:rFonts w:ascii="Garamond" w:hAnsi="Garamond"/>
        </w:rPr>
        <w:tab/>
        <w:t>Large internationally active firms play an important role in regulatory processes, so we evaluate these arguments carefully.  Yet a raft of research s</w:t>
      </w:r>
      <w:r>
        <w:rPr>
          <w:rFonts w:ascii="Garamond" w:hAnsi="Garamond"/>
        </w:rPr>
        <w:t>uggest</w:t>
      </w:r>
      <w:r w:rsidRPr="00104AF1">
        <w:rPr>
          <w:rFonts w:ascii="Garamond" w:hAnsi="Garamond"/>
        </w:rPr>
        <w:t>s that</w:t>
      </w:r>
      <w:r>
        <w:rPr>
          <w:rFonts w:ascii="Garamond" w:hAnsi="Garamond"/>
        </w:rPr>
        <w:t xml:space="preserve"> as explanations for the regulatory preferences of the leading regulatory jurisdictions,</w:t>
      </w:r>
      <w:r w:rsidRPr="00104AF1">
        <w:rPr>
          <w:rFonts w:ascii="Garamond" w:hAnsi="Garamond"/>
        </w:rPr>
        <w:t xml:space="preserve"> the</w:t>
      </w:r>
      <w:r>
        <w:rPr>
          <w:rFonts w:ascii="Garamond" w:hAnsi="Garamond"/>
        </w:rPr>
        <w:t>se arguments</w:t>
      </w:r>
      <w:r w:rsidRPr="00104AF1">
        <w:rPr>
          <w:rFonts w:ascii="Garamond" w:hAnsi="Garamond"/>
        </w:rPr>
        <w:t xml:space="preserve"> suffer from a number of deficiencies.</w:t>
      </w:r>
      <w:r w:rsidRPr="00174AC8">
        <w:rPr>
          <w:rStyle w:val="EndnoteReference"/>
          <w:rFonts w:ascii="Garamond" w:hAnsi="Garamond"/>
        </w:rPr>
        <w:endnoteReference w:id="6"/>
      </w:r>
      <w:r w:rsidRPr="00104AF1">
        <w:rPr>
          <w:rFonts w:ascii="Garamond" w:hAnsi="Garamond"/>
        </w:rPr>
        <w:t xml:space="preserve"> </w:t>
      </w:r>
      <w:r w:rsidRPr="004769FE">
        <w:rPr>
          <w:rFonts w:ascii="Garamond" w:hAnsi="Garamond"/>
        </w:rPr>
        <w:t>Most relevant</w:t>
      </w:r>
      <w:r w:rsidRPr="001F48F1">
        <w:rPr>
          <w:rFonts w:ascii="Garamond" w:hAnsi="Garamond"/>
        </w:rPr>
        <w:t xml:space="preserve"> to our study, firm influence varies over time and issue area</w:t>
      </w:r>
      <w:r w:rsidRPr="00104AF1">
        <w:rPr>
          <w:rFonts w:ascii="Garamond" w:hAnsi="Garamond"/>
        </w:rPr>
        <w:t xml:space="preserve"> – even during periods when capital mobility levels are consistently high (Young 2012; </w:t>
      </w:r>
      <w:proofErr w:type="spellStart"/>
      <w:r w:rsidRPr="00104AF1">
        <w:rPr>
          <w:rFonts w:ascii="Garamond" w:hAnsi="Garamond"/>
        </w:rPr>
        <w:t>Büthe</w:t>
      </w:r>
      <w:proofErr w:type="spellEnd"/>
      <w:r w:rsidRPr="00104AF1">
        <w:rPr>
          <w:rFonts w:ascii="Garamond" w:hAnsi="Garamond"/>
        </w:rPr>
        <w:t xml:space="preserve"> and </w:t>
      </w:r>
      <w:proofErr w:type="spellStart"/>
      <w:r w:rsidRPr="00104AF1">
        <w:rPr>
          <w:rFonts w:ascii="Garamond" w:hAnsi="Garamond"/>
        </w:rPr>
        <w:t>Mattli</w:t>
      </w:r>
      <w:proofErr w:type="spellEnd"/>
      <w:r w:rsidRPr="00104AF1">
        <w:rPr>
          <w:rFonts w:ascii="Garamond" w:hAnsi="Garamond"/>
        </w:rPr>
        <w:t xml:space="preserve"> 2011; </w:t>
      </w:r>
      <w:proofErr w:type="spellStart"/>
      <w:r w:rsidRPr="009F14C8">
        <w:rPr>
          <w:rFonts w:ascii="Garamond" w:hAnsi="Garamond"/>
        </w:rPr>
        <w:t>Lall</w:t>
      </w:r>
      <w:proofErr w:type="spellEnd"/>
      <w:r w:rsidRPr="009F14C8">
        <w:rPr>
          <w:rFonts w:ascii="Garamond" w:hAnsi="Garamond"/>
        </w:rPr>
        <w:t xml:space="preserve"> 2012</w:t>
      </w:r>
      <w:r w:rsidRPr="00CB1346">
        <w:rPr>
          <w:rFonts w:ascii="Garamond" w:hAnsi="Garamond"/>
        </w:rPr>
        <w:t>;</w:t>
      </w:r>
      <w:r>
        <w:rPr>
          <w:rFonts w:ascii="Garamond" w:hAnsi="Garamond"/>
        </w:rPr>
        <w:t xml:space="preserve"> </w:t>
      </w:r>
      <w:proofErr w:type="spellStart"/>
      <w:r w:rsidRPr="00104AF1">
        <w:rPr>
          <w:rFonts w:ascii="Garamond" w:hAnsi="Garamond"/>
        </w:rPr>
        <w:t>McKeen</w:t>
      </w:r>
      <w:proofErr w:type="spellEnd"/>
      <w:r w:rsidRPr="00104AF1">
        <w:rPr>
          <w:rFonts w:ascii="Garamond" w:hAnsi="Garamond"/>
        </w:rPr>
        <w:t>-Edwards and Porter 2013, 8-9).  This is what we find in our analysis of the EU’s financial regulatory overhaul of the 2000s</w:t>
      </w:r>
      <w:r>
        <w:rPr>
          <w:rFonts w:ascii="Garamond" w:hAnsi="Garamond"/>
        </w:rPr>
        <w:t>, which is the key event in bringing about the great power preference alignment</w:t>
      </w:r>
      <w:r w:rsidRPr="00104AF1">
        <w:rPr>
          <w:rFonts w:ascii="Garamond" w:hAnsi="Garamond"/>
        </w:rPr>
        <w:t xml:space="preserve">.  In spite of a general neoliberal trend, there was considerable variation in adopted regulatory principles across </w:t>
      </w:r>
      <w:r>
        <w:rPr>
          <w:rFonts w:ascii="Garamond" w:hAnsi="Garamond"/>
        </w:rPr>
        <w:t>financial subsectors</w:t>
      </w:r>
      <w:r w:rsidRPr="00104AF1">
        <w:rPr>
          <w:rFonts w:ascii="Garamond" w:hAnsi="Garamond"/>
        </w:rPr>
        <w:t xml:space="preserve"> – even during the same span of years and in the same polity, the EU.  While scholars who prioritize the role of multinational firms by assumption have </w:t>
      </w:r>
      <w:r>
        <w:rPr>
          <w:rFonts w:ascii="Garamond" w:hAnsi="Garamond"/>
        </w:rPr>
        <w:t xml:space="preserve">often </w:t>
      </w:r>
      <w:r w:rsidRPr="00104AF1">
        <w:rPr>
          <w:rFonts w:ascii="Garamond" w:hAnsi="Garamond"/>
        </w:rPr>
        <w:t xml:space="preserve">nuanced their claims, the underlying explanatory logic – that firms get what they want – does not account for the widely observed variance in influence.   </w:t>
      </w:r>
    </w:p>
    <w:p w14:paraId="14F56056" w14:textId="77777777" w:rsidR="005D7861" w:rsidRPr="00104AF1" w:rsidRDefault="005D7861">
      <w:pPr>
        <w:spacing w:line="480" w:lineRule="auto"/>
        <w:ind w:firstLine="720"/>
        <w:rPr>
          <w:rFonts w:ascii="Garamond" w:hAnsi="Garamond"/>
        </w:rPr>
      </w:pPr>
      <w:r w:rsidRPr="00104AF1">
        <w:rPr>
          <w:rFonts w:ascii="Garamond" w:hAnsi="Garamond"/>
        </w:rPr>
        <w:t>To help fill this gap and resolve the conundrum of EU-US preference alignment in the pre-crisis decades, we argue one needs to pay close attention to the institutional context that filters and shapes political contests, preferences, capacities and opportunities. By ignoring the institutional context of global governance, the leading accounts potentially suffer from omitted variable bias, over-emphasizing the effect of their variable of choice (</w:t>
      </w:r>
      <w:proofErr w:type="spellStart"/>
      <w:r w:rsidRPr="00104AF1">
        <w:rPr>
          <w:rFonts w:ascii="Garamond" w:hAnsi="Garamond"/>
        </w:rPr>
        <w:t>Falleti</w:t>
      </w:r>
      <w:proofErr w:type="spellEnd"/>
      <w:r w:rsidRPr="00104AF1">
        <w:rPr>
          <w:rFonts w:ascii="Garamond" w:hAnsi="Garamond"/>
        </w:rPr>
        <w:t xml:space="preserve"> and Lynch 2009).</w:t>
      </w:r>
    </w:p>
    <w:p w14:paraId="247D90CC" w14:textId="77777777" w:rsidR="005D7861" w:rsidRPr="00104AF1" w:rsidRDefault="005D7861" w:rsidP="00BD1D8D">
      <w:pPr>
        <w:spacing w:line="480" w:lineRule="auto"/>
        <w:rPr>
          <w:rFonts w:ascii="Garamond" w:hAnsi="Garamond"/>
          <w:u w:val="single"/>
        </w:rPr>
      </w:pPr>
    </w:p>
    <w:p w14:paraId="00289584" w14:textId="77777777" w:rsidR="005D7861" w:rsidRPr="00104AF1" w:rsidRDefault="005D7861" w:rsidP="00BD1D8D">
      <w:pPr>
        <w:spacing w:line="480" w:lineRule="auto"/>
        <w:rPr>
          <w:rFonts w:ascii="Garamond" w:hAnsi="Garamond"/>
          <w:u w:val="single"/>
        </w:rPr>
      </w:pPr>
      <w:r w:rsidRPr="00104AF1">
        <w:rPr>
          <w:rFonts w:ascii="Garamond" w:hAnsi="Garamond"/>
          <w:u w:val="single"/>
        </w:rPr>
        <w:t>Transnational Networks and Policy Feedbacks</w:t>
      </w:r>
    </w:p>
    <w:p w14:paraId="2FFC8D4B" w14:textId="77777777" w:rsidR="005D7861" w:rsidRPr="00104AF1" w:rsidRDefault="005D7861" w:rsidP="00BD1D8D">
      <w:pPr>
        <w:spacing w:line="480" w:lineRule="auto"/>
        <w:rPr>
          <w:rFonts w:ascii="Garamond" w:hAnsi="Garamond"/>
        </w:rPr>
      </w:pPr>
      <w:r w:rsidRPr="00104AF1">
        <w:rPr>
          <w:rFonts w:ascii="Garamond" w:hAnsi="Garamond"/>
        </w:rPr>
        <w:tab/>
        <w:t>An important characteristic of the Bretton Woods system was that the IMF, the formal international organization charged with promoting international monetary cooperation (which included some authorities to regulate capital transfers), did not evolve into the central forum for financial regulatory cooperation.</w:t>
      </w:r>
      <w:r w:rsidRPr="009F14C8">
        <w:rPr>
          <w:rStyle w:val="EndnoteReference"/>
          <w:rFonts w:ascii="Garamond" w:hAnsi="Garamond"/>
        </w:rPr>
        <w:endnoteReference w:id="7"/>
      </w:r>
      <w:r w:rsidRPr="00104AF1">
        <w:rPr>
          <w:rFonts w:ascii="Garamond" w:hAnsi="Garamond"/>
        </w:rPr>
        <w:t xml:space="preserve">  </w:t>
      </w:r>
      <w:r w:rsidRPr="004769FE">
        <w:rPr>
          <w:rFonts w:ascii="Garamond" w:hAnsi="Garamond"/>
        </w:rPr>
        <w:t>Instead, s</w:t>
      </w:r>
      <w:r w:rsidRPr="001F48F1">
        <w:rPr>
          <w:rFonts w:ascii="Garamond" w:hAnsi="Garamond"/>
        </w:rPr>
        <w:t xml:space="preserve">tarting in the 1970s, financial regulators from major markets </w:t>
      </w:r>
      <w:r w:rsidRPr="00104AF1">
        <w:rPr>
          <w:rFonts w:ascii="Garamond" w:hAnsi="Garamond"/>
        </w:rPr>
        <w:t xml:space="preserve">began to approach counterparts in other countries to manage the policy challenges of the nascent globalization of finance.  Well-resourced agencies – e.g. the Federal Reserve, the Bank of England and the Securities and Exchange Commission – led the way in constructing the web of regulatory networks that would encompass dozens of forums including the Basel Committee on Banking Supervision, the International Organization of Securities Commissions, the International Association of Insurance Supervisors and the International Accounting Standards Board (Porter 2005; Davies and Green 2008; </w:t>
      </w:r>
      <w:proofErr w:type="spellStart"/>
      <w:r w:rsidRPr="00104AF1">
        <w:rPr>
          <w:rFonts w:ascii="Garamond" w:hAnsi="Garamond"/>
        </w:rPr>
        <w:t>Brummer</w:t>
      </w:r>
      <w:proofErr w:type="spellEnd"/>
      <w:r w:rsidRPr="00104AF1">
        <w:rPr>
          <w:rFonts w:ascii="Garamond" w:hAnsi="Garamond"/>
        </w:rPr>
        <w:t xml:space="preserve"> 2012). </w:t>
      </w:r>
    </w:p>
    <w:p w14:paraId="06C553C3" w14:textId="20C1DA59" w:rsidR="005D7861" w:rsidRPr="00104AF1" w:rsidRDefault="005D7861" w:rsidP="00BD1D8D">
      <w:pPr>
        <w:spacing w:line="480" w:lineRule="auto"/>
        <w:ind w:firstLine="720"/>
        <w:rPr>
          <w:rFonts w:ascii="Garamond" w:hAnsi="Garamond"/>
        </w:rPr>
      </w:pPr>
      <w:r w:rsidRPr="00104AF1">
        <w:rPr>
          <w:rFonts w:ascii="Garamond" w:hAnsi="Garamond"/>
        </w:rPr>
        <w:t>In some instances these networks comprised public sector regulators such as central bankers cooperating in the Basel Committee</w:t>
      </w:r>
      <w:r>
        <w:rPr>
          <w:rFonts w:ascii="Garamond" w:hAnsi="Garamond"/>
        </w:rPr>
        <w:t xml:space="preserve"> on Banking Supervision</w:t>
      </w:r>
      <w:proofErr w:type="gramStart"/>
      <w:r w:rsidRPr="00104AF1">
        <w:rPr>
          <w:rFonts w:ascii="Garamond" w:hAnsi="Garamond"/>
        </w:rPr>
        <w:t>;</w:t>
      </w:r>
      <w:proofErr w:type="gramEnd"/>
      <w:r w:rsidRPr="00104AF1">
        <w:rPr>
          <w:rFonts w:ascii="Garamond" w:hAnsi="Garamond"/>
        </w:rPr>
        <w:t xml:space="preserve"> in others, private sector “regulators” such as accounting experts meeting in the International Accounting Standards Board</w:t>
      </w:r>
      <w:r>
        <w:rPr>
          <w:rFonts w:ascii="Garamond" w:hAnsi="Garamond"/>
        </w:rPr>
        <w:t xml:space="preserve"> (until 2001, the International Accounting Standards Committee)</w:t>
      </w:r>
      <w:r w:rsidRPr="00104AF1">
        <w:rPr>
          <w:rFonts w:ascii="Garamond" w:hAnsi="Garamond"/>
        </w:rPr>
        <w:t xml:space="preserve">. Regardless of composition, the networks lacked formal treaty bases and rested primarily on non-binding international soft law. As the networks evolved they began to interact with one another and other international institutions in settings such as the Financial Stability Forum (now, Financial Stability Board) </w:t>
      </w:r>
      <w:r w:rsidRPr="00104AF1">
        <w:rPr>
          <w:rFonts w:ascii="Garamond" w:hAnsi="Garamond"/>
          <w:noProof/>
        </w:rPr>
        <w:t>(Slaughter 2004)</w:t>
      </w:r>
      <w:r w:rsidRPr="00104AF1">
        <w:rPr>
          <w:rFonts w:ascii="Garamond" w:hAnsi="Garamond"/>
        </w:rPr>
        <w:t xml:space="preserve">. </w:t>
      </w:r>
    </w:p>
    <w:p w14:paraId="5B2B15B6" w14:textId="77777777" w:rsidR="005D7861" w:rsidRPr="00104AF1" w:rsidRDefault="005D7861" w:rsidP="005A2AEA">
      <w:pPr>
        <w:spacing w:line="480" w:lineRule="auto"/>
        <w:rPr>
          <w:rFonts w:ascii="Garamond" w:hAnsi="Garamond"/>
        </w:rPr>
      </w:pPr>
      <w:r w:rsidRPr="00104AF1">
        <w:rPr>
          <w:rFonts w:ascii="Garamond" w:hAnsi="Garamond"/>
        </w:rPr>
        <w:tab/>
        <w:t>A large existing literature examines the role of these informal financial regulatory networks.</w:t>
      </w:r>
      <w:r w:rsidRPr="009F14C8">
        <w:rPr>
          <w:rStyle w:val="EndnoteReference"/>
          <w:rFonts w:ascii="Garamond" w:hAnsi="Garamond"/>
        </w:rPr>
        <w:endnoteReference w:id="8"/>
      </w:r>
      <w:r w:rsidRPr="00104AF1">
        <w:rPr>
          <w:rFonts w:ascii="Garamond" w:hAnsi="Garamond"/>
        </w:rPr>
        <w:t xml:space="preserve"> </w:t>
      </w:r>
      <w:r w:rsidRPr="004769FE">
        <w:rPr>
          <w:rFonts w:ascii="Garamond" w:hAnsi="Garamond"/>
        </w:rPr>
        <w:t xml:space="preserve">This literature tends to </w:t>
      </w:r>
      <w:r w:rsidRPr="001F48F1">
        <w:rPr>
          <w:rFonts w:ascii="Garamond" w:hAnsi="Garamond"/>
        </w:rPr>
        <w:t xml:space="preserve">emphasize the ways that the networks coordinate global standards (Slaughter 2004; </w:t>
      </w:r>
      <w:proofErr w:type="spellStart"/>
      <w:r w:rsidRPr="001F48F1">
        <w:rPr>
          <w:rFonts w:ascii="Garamond" w:hAnsi="Garamond"/>
        </w:rPr>
        <w:t>Dehousse</w:t>
      </w:r>
      <w:proofErr w:type="spellEnd"/>
      <w:r w:rsidRPr="001F48F1">
        <w:rPr>
          <w:rFonts w:ascii="Garamond" w:hAnsi="Garamond"/>
        </w:rPr>
        <w:t xml:space="preserve"> 1997; </w:t>
      </w:r>
      <w:proofErr w:type="spellStart"/>
      <w:r w:rsidRPr="001F48F1">
        <w:rPr>
          <w:rFonts w:ascii="Garamond" w:hAnsi="Garamond"/>
        </w:rPr>
        <w:t>Raustiala</w:t>
      </w:r>
      <w:proofErr w:type="spellEnd"/>
      <w:r w:rsidRPr="001F48F1">
        <w:rPr>
          <w:rFonts w:ascii="Garamond" w:hAnsi="Garamond"/>
        </w:rPr>
        <w:t xml:space="preserve"> 2002; </w:t>
      </w:r>
      <w:proofErr w:type="spellStart"/>
      <w:r w:rsidRPr="001F48F1">
        <w:rPr>
          <w:rFonts w:ascii="Garamond" w:hAnsi="Garamond"/>
        </w:rPr>
        <w:t>Deeg</w:t>
      </w:r>
      <w:proofErr w:type="spellEnd"/>
      <w:r w:rsidRPr="001F48F1">
        <w:rPr>
          <w:rFonts w:ascii="Garamond" w:hAnsi="Garamond"/>
        </w:rPr>
        <w:t xml:space="preserve"> and O’Sullivan 2009).  This literatur</w:t>
      </w:r>
      <w:r w:rsidRPr="00104AF1">
        <w:rPr>
          <w:rFonts w:ascii="Garamond" w:hAnsi="Garamond"/>
        </w:rPr>
        <w:t>e has been criticized, however, as overly functionalist, treating the networks as coordination mechanism</w:t>
      </w:r>
      <w:r>
        <w:rPr>
          <w:rFonts w:ascii="Garamond" w:hAnsi="Garamond"/>
        </w:rPr>
        <w:t>s</w:t>
      </w:r>
      <w:r w:rsidRPr="00104AF1">
        <w:rPr>
          <w:rFonts w:ascii="Garamond" w:hAnsi="Garamond"/>
        </w:rPr>
        <w:t xml:space="preserve"> in largely depoliticized forums (</w:t>
      </w:r>
      <w:proofErr w:type="spellStart"/>
      <w:r w:rsidRPr="00104AF1">
        <w:rPr>
          <w:rFonts w:ascii="Garamond" w:hAnsi="Garamond"/>
        </w:rPr>
        <w:t>Drezner</w:t>
      </w:r>
      <w:proofErr w:type="spellEnd"/>
      <w:r w:rsidRPr="00104AF1">
        <w:rPr>
          <w:rFonts w:ascii="Garamond" w:hAnsi="Garamond"/>
        </w:rPr>
        <w:t xml:space="preserve"> 2007; Baker 2009; </w:t>
      </w:r>
      <w:proofErr w:type="spellStart"/>
      <w:r w:rsidRPr="00104AF1">
        <w:rPr>
          <w:rFonts w:ascii="Garamond" w:hAnsi="Garamond"/>
        </w:rPr>
        <w:t>McKeen</w:t>
      </w:r>
      <w:proofErr w:type="spellEnd"/>
      <w:r w:rsidRPr="00104AF1">
        <w:rPr>
          <w:rFonts w:ascii="Garamond" w:hAnsi="Garamond"/>
        </w:rPr>
        <w:t xml:space="preserve">-Edwards and Porter 2013). </w:t>
      </w:r>
    </w:p>
    <w:p w14:paraId="1EECD7F6" w14:textId="77777777" w:rsidR="005D7861" w:rsidRPr="004769FE" w:rsidRDefault="005D7861" w:rsidP="00D630AD">
      <w:pPr>
        <w:spacing w:line="480" w:lineRule="auto"/>
        <w:ind w:firstLine="720"/>
        <w:rPr>
          <w:rFonts w:ascii="Garamond" w:hAnsi="Garamond"/>
        </w:rPr>
      </w:pPr>
      <w:r w:rsidRPr="00104AF1">
        <w:rPr>
          <w:rFonts w:ascii="Garamond" w:hAnsi="Garamond"/>
        </w:rPr>
        <w:t>Building on recent work highlighting the political nature of transnational interactions (</w:t>
      </w:r>
      <w:proofErr w:type="spellStart"/>
      <w:r w:rsidRPr="00104AF1">
        <w:rPr>
          <w:rFonts w:ascii="Garamond" w:hAnsi="Garamond"/>
        </w:rPr>
        <w:t>Cerny</w:t>
      </w:r>
      <w:proofErr w:type="spellEnd"/>
      <w:r w:rsidRPr="00104AF1">
        <w:rPr>
          <w:rFonts w:ascii="Garamond" w:hAnsi="Garamond"/>
        </w:rPr>
        <w:t xml:space="preserve"> 2010; </w:t>
      </w:r>
      <w:proofErr w:type="spellStart"/>
      <w:r w:rsidRPr="00104AF1">
        <w:rPr>
          <w:rFonts w:ascii="Garamond" w:hAnsi="Garamond"/>
        </w:rPr>
        <w:t>Djelic</w:t>
      </w:r>
      <w:proofErr w:type="spellEnd"/>
      <w:r w:rsidRPr="00104AF1">
        <w:rPr>
          <w:rFonts w:ascii="Garamond" w:hAnsi="Garamond"/>
        </w:rPr>
        <w:t xml:space="preserve"> and Quack 2010), we argue such networks have additional, potentially extensive consequences beyond their coordination function.  Similar to historical </w:t>
      </w:r>
      <w:proofErr w:type="spellStart"/>
      <w:r w:rsidRPr="00104AF1">
        <w:rPr>
          <w:rFonts w:ascii="Garamond" w:hAnsi="Garamond"/>
        </w:rPr>
        <w:t>institutionalist</w:t>
      </w:r>
      <w:proofErr w:type="spellEnd"/>
      <w:r w:rsidRPr="00104AF1">
        <w:rPr>
          <w:rFonts w:ascii="Garamond" w:hAnsi="Garamond"/>
        </w:rPr>
        <w:t xml:space="preserve"> explanations put forth by </w:t>
      </w:r>
      <w:proofErr w:type="spellStart"/>
      <w:r>
        <w:rPr>
          <w:rFonts w:ascii="Garamond" w:hAnsi="Garamond"/>
        </w:rPr>
        <w:t>C</w:t>
      </w:r>
      <w:r w:rsidRPr="00104AF1">
        <w:rPr>
          <w:rFonts w:ascii="Garamond" w:hAnsi="Garamond"/>
        </w:rPr>
        <w:t>omparativists</w:t>
      </w:r>
      <w:proofErr w:type="spellEnd"/>
      <w:r w:rsidRPr="00104AF1">
        <w:rPr>
          <w:rFonts w:ascii="Garamond" w:hAnsi="Garamond"/>
        </w:rPr>
        <w:t>,</w:t>
      </w:r>
      <w:r w:rsidRPr="00104AF1" w:rsidDel="00D77641">
        <w:rPr>
          <w:rFonts w:ascii="Garamond" w:hAnsi="Garamond"/>
        </w:rPr>
        <w:t xml:space="preserve"> </w:t>
      </w:r>
      <w:r w:rsidRPr="00104AF1">
        <w:rPr>
          <w:rFonts w:ascii="Garamond" w:hAnsi="Garamond"/>
        </w:rPr>
        <w:t>we focus on the ways that institutions structure politics (</w:t>
      </w:r>
      <w:proofErr w:type="spellStart"/>
      <w:r w:rsidRPr="00104AF1">
        <w:rPr>
          <w:rFonts w:ascii="Garamond" w:hAnsi="Garamond"/>
        </w:rPr>
        <w:t>Steinmo</w:t>
      </w:r>
      <w:proofErr w:type="spellEnd"/>
      <w:r w:rsidRPr="00104AF1">
        <w:rPr>
          <w:rFonts w:ascii="Garamond" w:hAnsi="Garamond"/>
        </w:rPr>
        <w:t xml:space="preserve"> and </w:t>
      </w:r>
      <w:proofErr w:type="spellStart"/>
      <w:r w:rsidRPr="00104AF1">
        <w:rPr>
          <w:rFonts w:ascii="Garamond" w:hAnsi="Garamond"/>
        </w:rPr>
        <w:t>Thelen</w:t>
      </w:r>
      <w:proofErr w:type="spellEnd"/>
      <w:r w:rsidRPr="00104AF1">
        <w:rPr>
          <w:rFonts w:ascii="Garamond" w:hAnsi="Garamond"/>
        </w:rPr>
        <w:t xml:space="preserve"> 1992; Mahoney and </w:t>
      </w:r>
      <w:proofErr w:type="spellStart"/>
      <w:r w:rsidRPr="00104AF1">
        <w:rPr>
          <w:rFonts w:ascii="Garamond" w:hAnsi="Garamond"/>
        </w:rPr>
        <w:t>Rueschemeyer</w:t>
      </w:r>
      <w:proofErr w:type="spellEnd"/>
      <w:r w:rsidRPr="00104AF1">
        <w:rPr>
          <w:rFonts w:ascii="Garamond" w:hAnsi="Garamond"/>
        </w:rPr>
        <w:t xml:space="preserve"> 2003).   In particular, transnational regulatory networks generate policy feedbacks and thus serve as important sources of endogenous change.</w:t>
      </w:r>
      <w:r w:rsidRPr="009F14C8">
        <w:rPr>
          <w:rStyle w:val="EndnoteReference"/>
          <w:rFonts w:ascii="Garamond" w:hAnsi="Garamond"/>
        </w:rPr>
        <w:endnoteReference w:id="9"/>
      </w:r>
      <w:r w:rsidRPr="00104AF1">
        <w:rPr>
          <w:rFonts w:ascii="Garamond" w:hAnsi="Garamond"/>
        </w:rPr>
        <w:t xml:space="preserve">  </w:t>
      </w:r>
    </w:p>
    <w:p w14:paraId="7F25C0F8" w14:textId="77777777" w:rsidR="005D7861" w:rsidRPr="00104AF1" w:rsidRDefault="005D7861" w:rsidP="00036D9E">
      <w:pPr>
        <w:spacing w:line="480" w:lineRule="auto"/>
        <w:rPr>
          <w:rFonts w:ascii="Garamond" w:hAnsi="Garamond"/>
        </w:rPr>
      </w:pPr>
      <w:r w:rsidRPr="001F48F1">
        <w:rPr>
          <w:rFonts w:ascii="Garamond" w:hAnsi="Garamond"/>
        </w:rPr>
        <w:tab/>
        <w:t>A workhorse concept in the field of comparative politics, policy feedbacks occur when gove</w:t>
      </w:r>
      <w:r w:rsidRPr="00104AF1">
        <w:rPr>
          <w:rFonts w:ascii="Garamond" w:hAnsi="Garamond"/>
        </w:rPr>
        <w:t xml:space="preserve">rnance decisions – that is, rule creation in the broadest sense – over time shape actor identities, interests and capabilities </w:t>
      </w:r>
      <w:r w:rsidRPr="00104AF1">
        <w:rPr>
          <w:rFonts w:ascii="Garamond" w:hAnsi="Garamond"/>
          <w:noProof/>
        </w:rPr>
        <w:t>(Pierson 2006; Pierson 1993; Pierson and Hacker 2010)</w:t>
      </w:r>
      <w:r w:rsidRPr="00104AF1">
        <w:rPr>
          <w:rFonts w:ascii="Garamond" w:hAnsi="Garamond"/>
        </w:rPr>
        <w:t xml:space="preserve">.  Such themes are well developed in cross-national research on the welfare state and on types of capitalism.  </w:t>
      </w:r>
      <w:proofErr w:type="spellStart"/>
      <w:r w:rsidRPr="00104AF1">
        <w:rPr>
          <w:rFonts w:ascii="Garamond" w:hAnsi="Garamond"/>
        </w:rPr>
        <w:t>Theda</w:t>
      </w:r>
      <w:proofErr w:type="spellEnd"/>
      <w:r w:rsidRPr="00104AF1">
        <w:rPr>
          <w:rFonts w:ascii="Garamond" w:hAnsi="Garamond"/>
        </w:rPr>
        <w:t xml:space="preserve"> </w:t>
      </w:r>
      <w:proofErr w:type="spellStart"/>
      <w:r w:rsidRPr="00104AF1">
        <w:rPr>
          <w:rFonts w:ascii="Garamond" w:hAnsi="Garamond"/>
        </w:rPr>
        <w:t>Skocpol</w:t>
      </w:r>
      <w:proofErr w:type="spellEnd"/>
      <w:r w:rsidRPr="00104AF1">
        <w:rPr>
          <w:rFonts w:ascii="Garamond" w:hAnsi="Garamond"/>
        </w:rPr>
        <w:t>, for example, identifies the role that the U.S. Civil War pension program played in forging a collective identity among veterans and organizing this new interest group to pursue the expansion of social programs (</w:t>
      </w:r>
      <w:proofErr w:type="spellStart"/>
      <w:r w:rsidRPr="00104AF1">
        <w:rPr>
          <w:rFonts w:ascii="Garamond" w:hAnsi="Garamond"/>
        </w:rPr>
        <w:t>Skocpol</w:t>
      </w:r>
      <w:proofErr w:type="spellEnd"/>
      <w:r w:rsidRPr="00104AF1">
        <w:rPr>
          <w:rFonts w:ascii="Garamond" w:hAnsi="Garamond"/>
        </w:rPr>
        <w:t xml:space="preserve"> 1992).  Similarly, Peter Evans examines how differences in civil service personnel rules in Brazil and South Korea altered the ability of the state to promote business innovation (Evans, 1995).  This literature stresses that in addition to the formal ‘rules of the game,’ public “policies frame the choices of political actors both by creating resources and incentives and by influencing the efforts of individuals to interpret the social world” (Pierson, 1993: 628). </w:t>
      </w:r>
    </w:p>
    <w:p w14:paraId="6668EAAB" w14:textId="77777777" w:rsidR="005D7861" w:rsidRPr="001F48F1" w:rsidRDefault="005D7861" w:rsidP="002218AC">
      <w:pPr>
        <w:spacing w:line="480" w:lineRule="auto"/>
        <w:ind w:firstLine="720"/>
        <w:rPr>
          <w:rFonts w:ascii="Garamond" w:hAnsi="Garamond"/>
        </w:rPr>
      </w:pPr>
      <w:r w:rsidRPr="00104AF1">
        <w:rPr>
          <w:rFonts w:ascii="Garamond" w:hAnsi="Garamond"/>
        </w:rPr>
        <w:t>We extend the approach to the transnational setting, drawing especially from domestic policy feedbacks resulting from the administrative capacities of states.  Here, the configuration of the bureaucracy and regulatory apparatus structures opportunities and constraints that encourage some reforms over others.  Jonah Levy, for example, demonstrates how statist policies in post-war France undermined coalitions attempting to decentralize in later periods (Levy 1999).</w:t>
      </w:r>
      <w:r w:rsidRPr="009F14C8">
        <w:rPr>
          <w:rStyle w:val="EndnoteReference"/>
          <w:rFonts w:ascii="Garamond" w:hAnsi="Garamond"/>
        </w:rPr>
        <w:endnoteReference w:id="10"/>
      </w:r>
      <w:r w:rsidRPr="00104AF1">
        <w:rPr>
          <w:rFonts w:ascii="Garamond" w:hAnsi="Garamond"/>
        </w:rPr>
        <w:t xml:space="preserve"> </w:t>
      </w:r>
      <w:r w:rsidRPr="004769FE">
        <w:rPr>
          <w:rFonts w:ascii="Garamond" w:hAnsi="Garamond"/>
        </w:rPr>
        <w:t xml:space="preserve"> </w:t>
      </w:r>
    </w:p>
    <w:p w14:paraId="61FF96A2" w14:textId="77777777" w:rsidR="005D7861" w:rsidRPr="00104AF1" w:rsidRDefault="005D7861" w:rsidP="008D1924">
      <w:pPr>
        <w:spacing w:line="480" w:lineRule="auto"/>
        <w:ind w:firstLine="720"/>
        <w:rPr>
          <w:rFonts w:ascii="Garamond" w:hAnsi="Garamond"/>
        </w:rPr>
      </w:pPr>
      <w:r w:rsidRPr="00104AF1">
        <w:rPr>
          <w:rFonts w:ascii="Garamond" w:hAnsi="Garamond"/>
        </w:rPr>
        <w:t>In our adaptation of the concept, policy templates developed by transnational soft law have similar endogenous effects.  Such transnational templates should not be conceived as separate from the longstanding and well-documented national contests between conflicting coalitions over financial regulation, but rather as among the</w:t>
      </w:r>
      <w:r>
        <w:rPr>
          <w:rFonts w:ascii="Garamond" w:hAnsi="Garamond"/>
        </w:rPr>
        <w:t xml:space="preserve"> key</w:t>
      </w:r>
      <w:r w:rsidRPr="00104AF1">
        <w:rPr>
          <w:rFonts w:ascii="Garamond" w:hAnsi="Garamond"/>
        </w:rPr>
        <w:t xml:space="preserve"> domestic political factors that actors can use to bolster the position of their coalition over another.  </w:t>
      </w:r>
    </w:p>
    <w:p w14:paraId="2542B000" w14:textId="77777777" w:rsidR="005D7861" w:rsidRPr="00104AF1" w:rsidRDefault="005D7861" w:rsidP="008D1924">
      <w:pPr>
        <w:spacing w:line="480" w:lineRule="auto"/>
        <w:ind w:firstLine="720"/>
        <w:rPr>
          <w:rFonts w:ascii="Garamond" w:hAnsi="Garamond"/>
        </w:rPr>
      </w:pPr>
      <w:r w:rsidRPr="00104AF1">
        <w:rPr>
          <w:rFonts w:ascii="Garamond" w:hAnsi="Garamond"/>
        </w:rPr>
        <w:t xml:space="preserve">Recent research shows such soft law “template-as-disruptor” sequences occur even within the U.S., in contrast to previous scholarship that treated the country as a unitary actor, more or less uploading its preferred rules to the transnational level (Lavelle 2013, 232-240; Foot and Walter 2010).  </w:t>
      </w:r>
      <w:r>
        <w:rPr>
          <w:rFonts w:ascii="Garamond" w:hAnsi="Garamond"/>
        </w:rPr>
        <w:t xml:space="preserve">For example, the June 2004 passage of </w:t>
      </w:r>
      <w:r w:rsidRPr="00104AF1">
        <w:rPr>
          <w:rFonts w:ascii="Garamond" w:hAnsi="Garamond"/>
        </w:rPr>
        <w:t>Basel II</w:t>
      </w:r>
      <w:r>
        <w:rPr>
          <w:rFonts w:ascii="Garamond" w:hAnsi="Garamond"/>
        </w:rPr>
        <w:t xml:space="preserve">, a BCBS accord on capital reserve requirements for banks, </w:t>
      </w:r>
      <w:r w:rsidRPr="00104AF1">
        <w:rPr>
          <w:rFonts w:ascii="Garamond" w:hAnsi="Garamond"/>
        </w:rPr>
        <w:t>illustrates</w:t>
      </w:r>
      <w:r>
        <w:rPr>
          <w:rFonts w:ascii="Garamond" w:hAnsi="Garamond"/>
        </w:rPr>
        <w:t xml:space="preserve"> </w:t>
      </w:r>
      <w:r w:rsidRPr="00104AF1">
        <w:rPr>
          <w:rFonts w:ascii="Garamond" w:hAnsi="Garamond"/>
        </w:rPr>
        <w:t>how new transnational agreements can reflect the agenda of one domestic U.S. coalition (comprised of the Federal Reserve, the Treasury, the SEC and international banks) over another (led by the F</w:t>
      </w:r>
      <w:r>
        <w:rPr>
          <w:rFonts w:ascii="Garamond" w:hAnsi="Garamond"/>
        </w:rPr>
        <w:t xml:space="preserve">ederal </w:t>
      </w:r>
      <w:r w:rsidRPr="00104AF1">
        <w:rPr>
          <w:rFonts w:ascii="Garamond" w:hAnsi="Garamond"/>
        </w:rPr>
        <w:t>D</w:t>
      </w:r>
      <w:r>
        <w:rPr>
          <w:rFonts w:ascii="Garamond" w:hAnsi="Garamond"/>
        </w:rPr>
        <w:t xml:space="preserve">eposit </w:t>
      </w:r>
      <w:r w:rsidRPr="00104AF1">
        <w:rPr>
          <w:rFonts w:ascii="Garamond" w:hAnsi="Garamond"/>
        </w:rPr>
        <w:t>I</w:t>
      </w:r>
      <w:r>
        <w:rPr>
          <w:rFonts w:ascii="Garamond" w:hAnsi="Garamond"/>
        </w:rPr>
        <w:t xml:space="preserve">nsurance </w:t>
      </w:r>
      <w:r w:rsidRPr="00104AF1">
        <w:rPr>
          <w:rFonts w:ascii="Garamond" w:hAnsi="Garamond"/>
        </w:rPr>
        <w:t>C</w:t>
      </w:r>
      <w:r>
        <w:rPr>
          <w:rFonts w:ascii="Garamond" w:hAnsi="Garamond"/>
        </w:rPr>
        <w:t>orporation</w:t>
      </w:r>
      <w:r w:rsidRPr="00104AF1">
        <w:rPr>
          <w:rFonts w:ascii="Garamond" w:hAnsi="Garamond"/>
        </w:rPr>
        <w:t>) and then ricochet back into existing domestic conflicts.  Indeed, the Basel II agreement altered the U.S. regulatory reversion point by helping the pro-Basel faction legitimize the rules they favored</w:t>
      </w:r>
      <w:r w:rsidRPr="009F14C8">
        <w:rPr>
          <w:rStyle w:val="EndnoteReference"/>
          <w:rFonts w:ascii="Garamond" w:hAnsi="Garamond"/>
        </w:rPr>
        <w:endnoteReference w:id="11"/>
      </w:r>
      <w:r w:rsidRPr="00104AF1">
        <w:rPr>
          <w:rFonts w:ascii="Garamond" w:hAnsi="Garamond"/>
        </w:rPr>
        <w:t xml:space="preserve"> and</w:t>
      </w:r>
      <w:r w:rsidRPr="004769FE">
        <w:rPr>
          <w:rFonts w:ascii="Garamond" w:hAnsi="Garamond"/>
        </w:rPr>
        <w:t xml:space="preserve"> </w:t>
      </w:r>
      <w:r w:rsidRPr="001F48F1">
        <w:rPr>
          <w:rFonts w:ascii="Garamond" w:hAnsi="Garamond"/>
        </w:rPr>
        <w:t xml:space="preserve">diminishing the bargaining power of the FDIC in its efforts to </w:t>
      </w:r>
      <w:r w:rsidRPr="00104AF1">
        <w:rPr>
          <w:rFonts w:ascii="Garamond" w:hAnsi="Garamond"/>
        </w:rPr>
        <w:t xml:space="preserve">resist the adoption of more flexible capital reserve requirements for the largest banks (Lavelle 2013; Foot and Walter 2010; Bair 2012). </w:t>
      </w:r>
    </w:p>
    <w:p w14:paraId="0A66C01A" w14:textId="77777777" w:rsidR="005D7861" w:rsidRPr="00104AF1" w:rsidRDefault="005D7861">
      <w:pPr>
        <w:spacing w:line="480" w:lineRule="auto"/>
        <w:ind w:firstLine="720"/>
        <w:rPr>
          <w:rFonts w:ascii="Garamond" w:hAnsi="Garamond"/>
        </w:rPr>
      </w:pPr>
      <w:r w:rsidRPr="00104AF1">
        <w:rPr>
          <w:rFonts w:ascii="Garamond" w:hAnsi="Garamond"/>
        </w:rPr>
        <w:t xml:space="preserve">We expect sequences similar to this </w:t>
      </w:r>
      <w:r>
        <w:rPr>
          <w:rFonts w:ascii="Garamond" w:hAnsi="Garamond"/>
        </w:rPr>
        <w:t>U.S.</w:t>
      </w:r>
      <w:r w:rsidRPr="00104AF1">
        <w:rPr>
          <w:rFonts w:ascii="Garamond" w:hAnsi="Garamond"/>
        </w:rPr>
        <w:t xml:space="preserve"> one to occur in rising economic powers (i.e. second movers), where typically there exists consensus over the need to catch up with the leading power but conflict over how to do so.  The key issues regarding great power preference alignment turn on second-movers and why they might adopt transnational rules that bring them into line with the leading country as opposed to adopting homegrown standards that might spawn rival global rules.  Whereas reformist coalitions are unlikely to overcome opposition to their preferences for copying the first movers’ rules (because copying can be easily criticized as ceding regulatory sovereignty to the leading jurisdiction); status quo advocates typically lack sufficient capacities and political agreement to forge homegrown solutions that would lessen the adjustment costs of catching up.  In this context the presence (or absence) of transnational soft law is likely to play a salient role in bringing about (or not bringing about) alignment.   </w:t>
      </w:r>
    </w:p>
    <w:p w14:paraId="22E45F97" w14:textId="77777777" w:rsidR="005D7861" w:rsidRPr="00104AF1" w:rsidRDefault="005D7861" w:rsidP="00C7194F">
      <w:pPr>
        <w:spacing w:line="480" w:lineRule="auto"/>
        <w:ind w:firstLine="720"/>
        <w:rPr>
          <w:rFonts w:ascii="Garamond" w:hAnsi="Garamond"/>
        </w:rPr>
      </w:pPr>
      <w:r w:rsidRPr="00104AF1">
        <w:rPr>
          <w:rFonts w:ascii="Garamond" w:hAnsi="Garamond"/>
        </w:rPr>
        <w:t>Pro-reform factions in second-mover polities will see in transnational soft law a mechanism for advancing their agenda. In contrast to the alternative courses of action, the adoption of transnational soft law needs little local know-how or experience, and enables pro-reformers to legitimize their preferred rules by framing the adoption as a politically neutral, ready-made solution (</w:t>
      </w:r>
      <w:proofErr w:type="spellStart"/>
      <w:r w:rsidRPr="00104AF1">
        <w:rPr>
          <w:rFonts w:ascii="Garamond" w:hAnsi="Garamond"/>
        </w:rPr>
        <w:t>Risse-Kappen</w:t>
      </w:r>
      <w:proofErr w:type="spellEnd"/>
      <w:r w:rsidRPr="00104AF1">
        <w:rPr>
          <w:rFonts w:ascii="Garamond" w:hAnsi="Garamond"/>
        </w:rPr>
        <w:t xml:space="preserve"> 1995). While the details will vary across cases, the core idea is that the creation of transnational templates is likely to set off a sequence of events that improves the position of reformist coalitions in rising economic powers and contributes substantially to the convergence of great power preferences. </w:t>
      </w:r>
    </w:p>
    <w:p w14:paraId="2E33FBE6" w14:textId="77777777" w:rsidR="005D7861" w:rsidRPr="00104AF1" w:rsidRDefault="005D7861" w:rsidP="00B245E7">
      <w:pPr>
        <w:spacing w:line="480" w:lineRule="auto"/>
        <w:ind w:firstLine="720"/>
        <w:rPr>
          <w:rFonts w:ascii="Garamond" w:hAnsi="Garamond"/>
        </w:rPr>
      </w:pPr>
      <w:r w:rsidRPr="00104AF1">
        <w:rPr>
          <w:rFonts w:ascii="Garamond" w:hAnsi="Garamond"/>
        </w:rPr>
        <w:t>This discussion yields the following relevant empirical expectations that we evaluate, below, against the historical narrative and other arguments:</w:t>
      </w:r>
    </w:p>
    <w:p w14:paraId="1B536A71" w14:textId="77777777" w:rsidR="005D7861" w:rsidRPr="00104AF1" w:rsidRDefault="005D7861" w:rsidP="00C94430">
      <w:pPr>
        <w:spacing w:line="480" w:lineRule="auto"/>
        <w:ind w:left="720"/>
        <w:rPr>
          <w:rFonts w:ascii="Garamond" w:hAnsi="Garamond"/>
          <w:i/>
        </w:rPr>
      </w:pPr>
      <w:r w:rsidRPr="00104AF1">
        <w:rPr>
          <w:rFonts w:ascii="Garamond" w:hAnsi="Garamond"/>
          <w:i/>
        </w:rPr>
        <w:t>E1: Given proximity of transnational standards to first-mover regulatory approaches, the creation of standards at t</w:t>
      </w:r>
      <w:r w:rsidRPr="00104AF1">
        <w:rPr>
          <w:rFonts w:ascii="Garamond" w:hAnsi="Garamond"/>
          <w:i/>
          <w:vertAlign w:val="subscript"/>
        </w:rPr>
        <w:t>1</w:t>
      </w:r>
      <w:r w:rsidRPr="00104AF1">
        <w:rPr>
          <w:rFonts w:ascii="Garamond" w:hAnsi="Garamond"/>
          <w:i/>
        </w:rPr>
        <w:t xml:space="preserve"> is likely to bring about great power preference alignment at t</w:t>
      </w:r>
      <w:r w:rsidRPr="00104AF1">
        <w:rPr>
          <w:rFonts w:ascii="Garamond" w:hAnsi="Garamond"/>
          <w:i/>
          <w:vertAlign w:val="subscript"/>
        </w:rPr>
        <w:t>2</w:t>
      </w:r>
      <w:r w:rsidRPr="00104AF1">
        <w:rPr>
          <w:rFonts w:ascii="Garamond" w:hAnsi="Garamond"/>
          <w:i/>
        </w:rPr>
        <w:t xml:space="preserve">. </w:t>
      </w:r>
    </w:p>
    <w:p w14:paraId="6A273A41" w14:textId="77777777" w:rsidR="005D7861" w:rsidRPr="00104AF1" w:rsidRDefault="005D7861" w:rsidP="0008247D">
      <w:pPr>
        <w:spacing w:line="480" w:lineRule="auto"/>
        <w:ind w:left="720"/>
        <w:rPr>
          <w:rFonts w:ascii="Garamond" w:hAnsi="Garamond"/>
          <w:i/>
        </w:rPr>
      </w:pPr>
      <w:r w:rsidRPr="00104AF1">
        <w:rPr>
          <w:rFonts w:ascii="Garamond" w:hAnsi="Garamond"/>
          <w:i/>
        </w:rPr>
        <w:t xml:space="preserve">E2: Transnational soft law alters domestic political debates in second-mover jurisdictions, increasing the probability that reformist factions can break through political impasses. </w:t>
      </w:r>
    </w:p>
    <w:p w14:paraId="7DF2BB35" w14:textId="77777777" w:rsidR="005D7861" w:rsidRPr="00104AF1" w:rsidRDefault="005D7861" w:rsidP="00BD1D8D">
      <w:pPr>
        <w:spacing w:line="480" w:lineRule="auto"/>
        <w:rPr>
          <w:rFonts w:ascii="Garamond" w:hAnsi="Garamond"/>
        </w:rPr>
      </w:pPr>
      <w:r w:rsidRPr="00104AF1">
        <w:rPr>
          <w:rFonts w:ascii="Garamond" w:hAnsi="Garamond"/>
        </w:rPr>
        <w:tab/>
        <w:t xml:space="preserve">We evaluate these empirical expectations for the primary example of a rising financial power in the pre-crisis decades (i.e., the EU) and in the context of securities oversight, corporate governance and banking rules.  Cases within these regulatory areas have received extensive attention in the scholarly literature.  They are critical, in the sense that valid arguments must be able to account for them.  We use structured comparisons and </w:t>
      </w:r>
      <w:proofErr w:type="gramStart"/>
      <w:r w:rsidRPr="00104AF1">
        <w:rPr>
          <w:rFonts w:ascii="Garamond" w:hAnsi="Garamond"/>
        </w:rPr>
        <w:t>process-tracing</w:t>
      </w:r>
      <w:proofErr w:type="gramEnd"/>
      <w:r w:rsidRPr="00104AF1">
        <w:rPr>
          <w:rFonts w:ascii="Garamond" w:hAnsi="Garamond"/>
        </w:rPr>
        <w:t xml:space="preserve"> exercises to tease out the causal mechanisms at play and contrast them to alternative expectations derived from state and firm power arguments.   </w:t>
      </w:r>
    </w:p>
    <w:p w14:paraId="6404DA29" w14:textId="77777777" w:rsidR="005D7861" w:rsidRPr="00104AF1" w:rsidRDefault="005D7861" w:rsidP="00556C7B">
      <w:pPr>
        <w:rPr>
          <w:rFonts w:ascii="Garamond" w:hAnsi="Garamond"/>
        </w:rPr>
      </w:pPr>
    </w:p>
    <w:p w14:paraId="2932451E" w14:textId="77777777" w:rsidR="005D7861" w:rsidRPr="00104AF1" w:rsidRDefault="005D7861" w:rsidP="00556C7B">
      <w:pPr>
        <w:rPr>
          <w:rFonts w:ascii="Garamond" w:hAnsi="Garamond"/>
        </w:rPr>
      </w:pPr>
    </w:p>
    <w:p w14:paraId="08924ACC" w14:textId="77777777" w:rsidR="005D7861" w:rsidRPr="00104AF1" w:rsidRDefault="005D7861" w:rsidP="00BA6ECD">
      <w:pPr>
        <w:spacing w:line="480" w:lineRule="auto"/>
        <w:rPr>
          <w:rFonts w:ascii="Garamond" w:hAnsi="Garamond"/>
        </w:rPr>
      </w:pPr>
      <w:r w:rsidRPr="00104AF1">
        <w:rPr>
          <w:rFonts w:ascii="Garamond" w:hAnsi="Garamond"/>
          <w:b/>
        </w:rPr>
        <w:t xml:space="preserve">The alignment of preferences: Feedbacks through the template-as-disruptor effect </w:t>
      </w:r>
    </w:p>
    <w:p w14:paraId="6F4C1EBE" w14:textId="77777777" w:rsidR="005D7861" w:rsidRPr="00104AF1" w:rsidRDefault="005D7861" w:rsidP="00556C7B">
      <w:pPr>
        <w:rPr>
          <w:rFonts w:ascii="Garamond" w:hAnsi="Garamond"/>
          <w:u w:val="single"/>
        </w:rPr>
      </w:pPr>
    </w:p>
    <w:p w14:paraId="5644466C" w14:textId="77777777" w:rsidR="005D7861" w:rsidRPr="00104AF1" w:rsidRDefault="005D7861" w:rsidP="00805ABD">
      <w:pPr>
        <w:spacing w:line="480" w:lineRule="auto"/>
        <w:ind w:firstLine="720"/>
        <w:rPr>
          <w:rFonts w:ascii="Garamond" w:hAnsi="Garamond"/>
        </w:rPr>
      </w:pPr>
      <w:r w:rsidRPr="00104AF1">
        <w:rPr>
          <w:rFonts w:ascii="Garamond" w:hAnsi="Garamond"/>
        </w:rPr>
        <w:t>The evidence of this section reveals the importance of feedbacks</w:t>
      </w:r>
      <w:r>
        <w:rPr>
          <w:rFonts w:ascii="Garamond" w:hAnsi="Garamond"/>
        </w:rPr>
        <w:t xml:space="preserve"> in bringing about the US-EU financial regulatory preference alignment</w:t>
      </w:r>
      <w:r w:rsidRPr="00104AF1">
        <w:rPr>
          <w:rFonts w:ascii="Garamond" w:hAnsi="Garamond"/>
        </w:rPr>
        <w:t xml:space="preserve">: Reformist coalitions in Europe used newly available soft law templates to win domestic political contests over internal regulatory modernization and thereby brought about </w:t>
      </w:r>
      <w:r>
        <w:rPr>
          <w:rFonts w:ascii="Garamond" w:hAnsi="Garamond"/>
        </w:rPr>
        <w:t xml:space="preserve">the </w:t>
      </w:r>
      <w:r w:rsidRPr="00104AF1">
        <w:rPr>
          <w:rFonts w:ascii="Garamond" w:hAnsi="Garamond"/>
        </w:rPr>
        <w:t>alignment.  These findings and our critique of other explanations are based on a within-case comparison across six issues that were highly contested.</w:t>
      </w:r>
      <w:r>
        <w:rPr>
          <w:rFonts w:ascii="Garamond" w:hAnsi="Garamond"/>
        </w:rPr>
        <w:t xml:space="preserve"> </w:t>
      </w:r>
      <w:r w:rsidRPr="00104AF1">
        <w:rPr>
          <w:rFonts w:ascii="Garamond" w:hAnsi="Garamond"/>
        </w:rPr>
        <w:t xml:space="preserve">We start by providing background on the regulatory agencies (mostly US and British) that shaped initial transnational standards and then show how in future periods these standards </w:t>
      </w:r>
      <w:r>
        <w:rPr>
          <w:rFonts w:ascii="Garamond" w:hAnsi="Garamond"/>
        </w:rPr>
        <w:t>influenced</w:t>
      </w:r>
      <w:r w:rsidRPr="00104AF1">
        <w:rPr>
          <w:rFonts w:ascii="Garamond" w:hAnsi="Garamond"/>
        </w:rPr>
        <w:t xml:space="preserve"> the preferences of rising economic powers.   </w:t>
      </w:r>
    </w:p>
    <w:p w14:paraId="144E908D" w14:textId="77777777" w:rsidR="005D7861" w:rsidRPr="00104AF1" w:rsidRDefault="005D7861" w:rsidP="00CB2AEB">
      <w:pPr>
        <w:spacing w:line="480" w:lineRule="auto"/>
        <w:ind w:firstLine="720"/>
        <w:rPr>
          <w:rFonts w:ascii="Garamond" w:hAnsi="Garamond"/>
          <w:i/>
        </w:rPr>
      </w:pPr>
    </w:p>
    <w:p w14:paraId="250C399B" w14:textId="77777777" w:rsidR="005D7861" w:rsidRPr="00104AF1" w:rsidRDefault="005D7861" w:rsidP="00533B9B">
      <w:pPr>
        <w:spacing w:line="480" w:lineRule="auto"/>
        <w:rPr>
          <w:rFonts w:ascii="Garamond" w:hAnsi="Garamond"/>
          <w:i/>
        </w:rPr>
      </w:pPr>
      <w:r w:rsidRPr="00104AF1">
        <w:rPr>
          <w:rFonts w:ascii="Garamond" w:hAnsi="Garamond"/>
          <w:i/>
        </w:rPr>
        <w:t xml:space="preserve">Setting Early Standards for Cross-Border Exchange </w:t>
      </w:r>
    </w:p>
    <w:p w14:paraId="610AB49E" w14:textId="77777777" w:rsidR="005D7861" w:rsidRPr="00104AF1" w:rsidRDefault="005D7861" w:rsidP="00805ABD">
      <w:pPr>
        <w:spacing w:line="480" w:lineRule="auto"/>
        <w:ind w:firstLine="720"/>
        <w:rPr>
          <w:rFonts w:ascii="Garamond" w:hAnsi="Garamond"/>
        </w:rPr>
      </w:pPr>
      <w:r w:rsidRPr="00104AF1">
        <w:rPr>
          <w:rFonts w:ascii="Garamond" w:hAnsi="Garamond"/>
        </w:rPr>
        <w:t xml:space="preserve">Early regulatory cooperation in banking is perhaps the best known and also one of the clearest cases of regulators forging the terms of transnational cooperation.  Research from </w:t>
      </w:r>
      <w:proofErr w:type="spellStart"/>
      <w:r w:rsidRPr="00104AF1">
        <w:rPr>
          <w:rFonts w:ascii="Garamond" w:hAnsi="Garamond"/>
        </w:rPr>
        <w:t>Kapstein</w:t>
      </w:r>
      <w:proofErr w:type="spellEnd"/>
      <w:r w:rsidRPr="00104AF1">
        <w:rPr>
          <w:rFonts w:ascii="Garamond" w:hAnsi="Garamond"/>
        </w:rPr>
        <w:t xml:space="preserve"> (1994) to Singer (2007) demonstrates the critical role that </w:t>
      </w:r>
      <w:proofErr w:type="gramStart"/>
      <w:r w:rsidRPr="00104AF1">
        <w:rPr>
          <w:rFonts w:ascii="Garamond" w:hAnsi="Garamond"/>
        </w:rPr>
        <w:t>US and British</w:t>
      </w:r>
      <w:r>
        <w:rPr>
          <w:rFonts w:ascii="Garamond" w:hAnsi="Garamond"/>
        </w:rPr>
        <w:t xml:space="preserve"> </w:t>
      </w:r>
      <w:r w:rsidRPr="00104AF1">
        <w:rPr>
          <w:rFonts w:ascii="Garamond" w:hAnsi="Garamond"/>
        </w:rPr>
        <w:t>regulators</w:t>
      </w:r>
      <w:proofErr w:type="gramEnd"/>
      <w:r w:rsidRPr="00104AF1">
        <w:rPr>
          <w:rFonts w:ascii="Garamond" w:hAnsi="Garamond"/>
        </w:rPr>
        <w:t xml:space="preserve"> played in shaping the content of capital adequacy rules codified in the Basel I accord.  Responding to the entry of Japanese banks into global finance, the Federal Reserve and the US Treasury worked with their British counterparts to construct a set of international standards that could externalize their regulatory goals. </w:t>
      </w:r>
    </w:p>
    <w:p w14:paraId="72BFEBE9" w14:textId="77777777" w:rsidR="005D7861" w:rsidRPr="00104AF1" w:rsidRDefault="005D7861" w:rsidP="00B37BBB">
      <w:pPr>
        <w:spacing w:line="480" w:lineRule="auto"/>
        <w:rPr>
          <w:rFonts w:ascii="Garamond" w:hAnsi="Garamond"/>
        </w:rPr>
      </w:pPr>
      <w:r w:rsidRPr="00104AF1">
        <w:rPr>
          <w:rFonts w:ascii="Garamond" w:hAnsi="Garamond"/>
        </w:rPr>
        <w:tab/>
        <w:t>In the case of securities, early IOSCO standards similarly reflected the relative regulatory capacity of US representatives (Singer, 2007).  While standards on regulatory oversight or insider trading mirrored US regulatory experience, the micro or macro economic benefits to such a regulatory system were highly disputed (</w:t>
      </w:r>
      <w:proofErr w:type="spellStart"/>
      <w:r w:rsidRPr="00104AF1">
        <w:rPr>
          <w:rFonts w:ascii="Garamond" w:hAnsi="Garamond"/>
        </w:rPr>
        <w:t>Kerner</w:t>
      </w:r>
      <w:proofErr w:type="spellEnd"/>
      <w:r w:rsidRPr="00104AF1">
        <w:rPr>
          <w:rFonts w:ascii="Garamond" w:hAnsi="Garamond"/>
        </w:rPr>
        <w:t xml:space="preserve"> and </w:t>
      </w:r>
      <w:proofErr w:type="spellStart"/>
      <w:r w:rsidRPr="00104AF1">
        <w:rPr>
          <w:rFonts w:ascii="Garamond" w:hAnsi="Garamond"/>
        </w:rPr>
        <w:t>Kucik</w:t>
      </w:r>
      <w:proofErr w:type="spellEnd"/>
      <w:r w:rsidRPr="00104AF1">
        <w:rPr>
          <w:rFonts w:ascii="Garamond" w:hAnsi="Garamond"/>
        </w:rPr>
        <w:t xml:space="preserve"> 2010).  During many of the IOSCO discussions, the SEC enjoyed a privileged position vis-à-vis other representatives.  Several large countries including Germany and the United Kingdom had a long tradition of self-regulation for the financial services sector and sent representatives from self-regulatory bodies to IOSCO meetings.  Even after independent domestic agencies were established in these countries, they lacked the technical expertise and staff enjoyed by the SEC (</w:t>
      </w:r>
      <w:r w:rsidRPr="00104AF1">
        <w:rPr>
          <w:rFonts w:ascii="Garamond" w:hAnsi="Garamond"/>
          <w:noProof/>
        </w:rPr>
        <w:t>Lutz 1998; Deeg and Luetz 2000)</w:t>
      </w:r>
      <w:r w:rsidRPr="00104AF1">
        <w:rPr>
          <w:rFonts w:ascii="Garamond" w:hAnsi="Garamond"/>
        </w:rPr>
        <w:t xml:space="preserve">.  Long before the networks actually contributed to policy coordination, US regulators had left a significant imprint on their animating ideas and norms. </w:t>
      </w:r>
    </w:p>
    <w:p w14:paraId="47CA33AB" w14:textId="77777777" w:rsidR="005D7861" w:rsidRPr="00104AF1" w:rsidRDefault="005D7861" w:rsidP="0041625F">
      <w:pPr>
        <w:spacing w:line="480" w:lineRule="auto"/>
        <w:rPr>
          <w:rFonts w:ascii="Garamond" w:hAnsi="Garamond"/>
        </w:rPr>
      </w:pPr>
      <w:r w:rsidRPr="00104AF1">
        <w:rPr>
          <w:rFonts w:ascii="Garamond" w:hAnsi="Garamond"/>
        </w:rPr>
        <w:tab/>
        <w:t xml:space="preserve">The IASC/IASB process offers an important additional example of how even in the case of private actor governance, regulatory authorities, played a critical role.  In the 1980s, the SEC became increasingly interested in international market regulation in general and the work of the IASC in particular.  The SEC used the </w:t>
      </w:r>
      <w:proofErr w:type="gramStart"/>
      <w:r w:rsidRPr="00104AF1">
        <w:rPr>
          <w:rFonts w:ascii="Garamond" w:hAnsi="Garamond"/>
        </w:rPr>
        <w:t>newly-created</w:t>
      </w:r>
      <w:proofErr w:type="gramEnd"/>
      <w:r w:rsidRPr="00104AF1">
        <w:rPr>
          <w:rFonts w:ascii="Garamond" w:hAnsi="Garamond"/>
        </w:rPr>
        <w:t xml:space="preserve"> IOSCO to engage with the IASC.   Working through the Compatibility Project, members of the IASC and IOSCO attempted to revise IASC core standards so as to eliminate variation and develop a functioning set of international standards (</w:t>
      </w:r>
      <w:proofErr w:type="spellStart"/>
      <w:r w:rsidRPr="00104AF1">
        <w:rPr>
          <w:rFonts w:ascii="Garamond" w:hAnsi="Garamond"/>
        </w:rPr>
        <w:t>Camfferman</w:t>
      </w:r>
      <w:proofErr w:type="spellEnd"/>
      <w:r w:rsidRPr="00104AF1">
        <w:rPr>
          <w:rFonts w:ascii="Garamond" w:hAnsi="Garamond"/>
        </w:rPr>
        <w:t xml:space="preserve"> and </w:t>
      </w:r>
      <w:proofErr w:type="spellStart"/>
      <w:r w:rsidRPr="00104AF1">
        <w:rPr>
          <w:rFonts w:ascii="Garamond" w:hAnsi="Garamond"/>
        </w:rPr>
        <w:t>Zeff</w:t>
      </w:r>
      <w:proofErr w:type="spellEnd"/>
      <w:r w:rsidRPr="00104AF1">
        <w:rPr>
          <w:rFonts w:ascii="Garamond" w:hAnsi="Garamond"/>
        </w:rPr>
        <w:t xml:space="preserve"> 2007).  By the end of the IOSCO-IASC interaction in the late 1990s, the core standards had been significantly narrowed and strengthened (Ibid.).  IASC could credibly argue that their standards formed the basis for a global convergence project.  The SEC succeeded in steering this process, so as to shape the content of IASC standards to converge along principles largely compatible with U.S. ones. </w:t>
      </w:r>
    </w:p>
    <w:p w14:paraId="332D01DC" w14:textId="77777777" w:rsidR="005D7861" w:rsidRPr="00104AF1" w:rsidRDefault="005D7861" w:rsidP="0086300C">
      <w:pPr>
        <w:spacing w:line="480" w:lineRule="auto"/>
        <w:ind w:firstLine="720"/>
        <w:rPr>
          <w:rFonts w:ascii="Garamond" w:hAnsi="Garamond"/>
        </w:rPr>
      </w:pPr>
      <w:r w:rsidRPr="00104AF1">
        <w:rPr>
          <w:rFonts w:ascii="Garamond" w:hAnsi="Garamond"/>
        </w:rPr>
        <w:t>Despite considerable influence, it is important to underscore the fragmented interests of US regulators during this time period.  For example, the Fed was unable to convince the SEC to promote global capital adequacy rules and as a result there were no comparable rules for investment banks with the release of Basel I (Singer, 2007).  Similarly, the FDIC, as noted, vehemently resisted Basel II but ultimately lost the battle to other interest constellations (Lavelle 2013; Foot and Walter 2010; Bair 2012). Finally, within the SEC there was considerable disagreement between the international office and the more traditional departments over participation in IASB development (</w:t>
      </w:r>
      <w:proofErr w:type="spellStart"/>
      <w:r w:rsidRPr="00104AF1">
        <w:rPr>
          <w:rFonts w:ascii="Garamond" w:hAnsi="Garamond"/>
        </w:rPr>
        <w:t>Camfferman</w:t>
      </w:r>
      <w:proofErr w:type="spellEnd"/>
      <w:r w:rsidRPr="00104AF1">
        <w:rPr>
          <w:rFonts w:ascii="Garamond" w:hAnsi="Garamond"/>
        </w:rPr>
        <w:t xml:space="preserve"> and </w:t>
      </w:r>
      <w:proofErr w:type="spellStart"/>
      <w:r w:rsidRPr="00104AF1">
        <w:rPr>
          <w:rFonts w:ascii="Garamond" w:hAnsi="Garamond"/>
        </w:rPr>
        <w:t>Zeff</w:t>
      </w:r>
      <w:proofErr w:type="spellEnd"/>
      <w:r w:rsidRPr="00104AF1">
        <w:rPr>
          <w:rFonts w:ascii="Garamond" w:hAnsi="Garamond"/>
        </w:rPr>
        <w:t xml:space="preserve"> 2007).  In short, many of the templates created in initial periods represent less a unified “US” position than the position of an influential regulatory actor that was able to steer the transnational rule setting process – at a particular time and in a particular forum – despite the sometimes unsettled nature of the issues at home.  Moreover, the below analysis of specific regulatory areas illustrates that domestic regulatory battles do not end with the introduction of transnational soft law.</w:t>
      </w:r>
    </w:p>
    <w:p w14:paraId="60AD2D7C" w14:textId="77777777" w:rsidR="005D7861" w:rsidRPr="00104AF1" w:rsidRDefault="005D7861" w:rsidP="009D12BC">
      <w:pPr>
        <w:spacing w:line="480" w:lineRule="auto"/>
        <w:rPr>
          <w:rFonts w:ascii="Garamond" w:hAnsi="Garamond"/>
        </w:rPr>
      </w:pPr>
    </w:p>
    <w:p w14:paraId="6EB6E2B5" w14:textId="77777777" w:rsidR="005D7861" w:rsidRPr="00104AF1" w:rsidRDefault="005D7861" w:rsidP="00384BD0">
      <w:pPr>
        <w:spacing w:line="480" w:lineRule="auto"/>
        <w:rPr>
          <w:rFonts w:ascii="Garamond" w:hAnsi="Garamond"/>
          <w:i/>
        </w:rPr>
      </w:pPr>
      <w:r w:rsidRPr="00104AF1">
        <w:rPr>
          <w:rFonts w:ascii="Garamond" w:hAnsi="Garamond"/>
          <w:i/>
        </w:rPr>
        <w:t>EU Modernization through Templates</w:t>
      </w:r>
    </w:p>
    <w:p w14:paraId="792432D6" w14:textId="77777777" w:rsidR="005D7861" w:rsidRPr="00104AF1" w:rsidRDefault="005D7861" w:rsidP="00384BD0">
      <w:pPr>
        <w:spacing w:line="480" w:lineRule="auto"/>
        <w:ind w:firstLine="720"/>
        <w:rPr>
          <w:rFonts w:ascii="Garamond" w:hAnsi="Garamond"/>
        </w:rPr>
      </w:pPr>
      <w:r w:rsidRPr="00104AF1">
        <w:rPr>
          <w:rFonts w:ascii="Garamond" w:hAnsi="Garamond"/>
        </w:rPr>
        <w:t xml:space="preserve">This section establishes the role played by transnational standards in restructuring internal political contests facing the rising financial power, the European Union.  In instances where templates were available, EU member countries were more likely to overcome internal political stalemates and adopt a regulatory approach fairly close to that of US regulators.  This template-as-disruptor effect (E1) helps to explain why realist expectations of diverging great power preferences were rarely realized (Table 1, EE1) and why industry lobby arguments are insufficient (Table 1, EE2).  After documenting congruence between the presence of transnational standards and Transatlantic alignment, we show, through process tracing, how the two are causally linked.      </w:t>
      </w:r>
    </w:p>
    <w:p w14:paraId="7CBF29F5" w14:textId="77777777" w:rsidR="005D7861" w:rsidRPr="00104AF1" w:rsidRDefault="005D7861" w:rsidP="000E3533">
      <w:pPr>
        <w:spacing w:line="480" w:lineRule="auto"/>
        <w:ind w:firstLine="720"/>
        <w:rPr>
          <w:rFonts w:ascii="Garamond" w:hAnsi="Garamond"/>
        </w:rPr>
      </w:pPr>
      <w:r w:rsidRPr="00104AF1">
        <w:rPr>
          <w:rFonts w:ascii="Garamond" w:hAnsi="Garamond"/>
        </w:rPr>
        <w:t xml:space="preserve">In the mid-1990s, EU policymakers faced a dual challenge of constructing a modern financial regulatory framework that could underpin the single currency while also responding to competitiveness challenges posed by US and Asian markets.  The Financial Services Action Plan or FSAP (the legislative agenda) and the </w:t>
      </w:r>
      <w:proofErr w:type="spellStart"/>
      <w:r w:rsidRPr="00104AF1">
        <w:rPr>
          <w:rFonts w:ascii="Garamond" w:hAnsi="Garamond"/>
        </w:rPr>
        <w:t>Lamfalussy</w:t>
      </w:r>
      <w:proofErr w:type="spellEnd"/>
      <w:r w:rsidRPr="00104AF1">
        <w:rPr>
          <w:rFonts w:ascii="Garamond" w:hAnsi="Garamond"/>
        </w:rPr>
        <w:t xml:space="preserve"> process (the adopted rulemaking procedures) transformed financial regulatory rulemaking into a Brussels-based governance system (</w:t>
      </w:r>
      <w:proofErr w:type="spellStart"/>
      <w:r w:rsidRPr="00104AF1">
        <w:rPr>
          <w:rFonts w:ascii="Garamond" w:hAnsi="Garamond"/>
        </w:rPr>
        <w:t>Mügge</w:t>
      </w:r>
      <w:proofErr w:type="spellEnd"/>
      <w:r w:rsidRPr="00104AF1">
        <w:rPr>
          <w:rFonts w:ascii="Garamond" w:hAnsi="Garamond"/>
        </w:rPr>
        <w:t xml:space="preserve"> 2010; </w:t>
      </w:r>
      <w:proofErr w:type="spellStart"/>
      <w:r w:rsidRPr="00104AF1">
        <w:rPr>
          <w:rFonts w:ascii="Garamond" w:hAnsi="Garamond"/>
        </w:rPr>
        <w:t>Quaglia</w:t>
      </w:r>
      <w:proofErr w:type="spellEnd"/>
      <w:r w:rsidRPr="00104AF1">
        <w:rPr>
          <w:rFonts w:ascii="Garamond" w:hAnsi="Garamond"/>
        </w:rPr>
        <w:t xml:space="preserve"> 2008b and 2010).  One US Treasury official deeply involved in Transatlantic economic cooperation describes the scope of reform: “Imagine in the United States, Graham-Leech-Bliley, US General Accepted Accounting Practices, the Securities Act of 1934, and Sarbanes-Oxley legislation being adopted within five years.”</w:t>
      </w:r>
      <w:r w:rsidRPr="009F14C8">
        <w:rPr>
          <w:rStyle w:val="EndnoteReference"/>
          <w:rFonts w:ascii="Garamond" w:hAnsi="Garamond"/>
        </w:rPr>
        <w:endnoteReference w:id="12"/>
      </w:r>
    </w:p>
    <w:p w14:paraId="4CB9A3B3" w14:textId="17224964" w:rsidR="005D7861" w:rsidRPr="00104AF1" w:rsidRDefault="005D7861" w:rsidP="001C6442">
      <w:pPr>
        <w:spacing w:line="480" w:lineRule="auto"/>
        <w:ind w:firstLine="720"/>
        <w:rPr>
          <w:rFonts w:ascii="Garamond" w:hAnsi="Garamond"/>
        </w:rPr>
      </w:pPr>
      <w:r w:rsidRPr="004769FE">
        <w:rPr>
          <w:rFonts w:ascii="Garamond" w:hAnsi="Garamond"/>
        </w:rPr>
        <w:t xml:space="preserve">Many </w:t>
      </w:r>
      <w:r w:rsidRPr="001F48F1">
        <w:rPr>
          <w:rFonts w:ascii="Garamond" w:hAnsi="Garamond"/>
        </w:rPr>
        <w:t>of these reforms took on a neoliberal character, which shared considerable affinity with US approaches (</w:t>
      </w:r>
      <w:proofErr w:type="spellStart"/>
      <w:r w:rsidRPr="001F48F1">
        <w:rPr>
          <w:rFonts w:ascii="Garamond" w:hAnsi="Garamond"/>
        </w:rPr>
        <w:t>Mügge</w:t>
      </w:r>
      <w:proofErr w:type="spellEnd"/>
      <w:r w:rsidRPr="001F48F1">
        <w:rPr>
          <w:rFonts w:ascii="Garamond" w:hAnsi="Garamond"/>
        </w:rPr>
        <w:t xml:space="preserve"> 2011a</w:t>
      </w:r>
      <w:r>
        <w:rPr>
          <w:rFonts w:ascii="Garamond" w:hAnsi="Garamond"/>
        </w:rPr>
        <w:t>, 186</w:t>
      </w:r>
      <w:r w:rsidR="00696168">
        <w:rPr>
          <w:rFonts w:ascii="Garamond" w:hAnsi="Garamond"/>
        </w:rPr>
        <w:t xml:space="preserve">; Posner and </w:t>
      </w:r>
      <w:proofErr w:type="spellStart"/>
      <w:r w:rsidR="00696168">
        <w:rPr>
          <w:rFonts w:ascii="Garamond" w:hAnsi="Garamond"/>
        </w:rPr>
        <w:t>Veron</w:t>
      </w:r>
      <w:proofErr w:type="spellEnd"/>
      <w:r w:rsidR="00696168">
        <w:rPr>
          <w:rFonts w:ascii="Garamond" w:hAnsi="Garamond"/>
        </w:rPr>
        <w:t xml:space="preserve"> 2010</w:t>
      </w:r>
      <w:r w:rsidRPr="001F48F1">
        <w:rPr>
          <w:rFonts w:ascii="Garamond" w:hAnsi="Garamond"/>
        </w:rPr>
        <w:t xml:space="preserve">). </w:t>
      </w:r>
      <w:r w:rsidRPr="00104AF1">
        <w:rPr>
          <w:rFonts w:ascii="Garamond" w:hAnsi="Garamond"/>
        </w:rPr>
        <w:t xml:space="preserve">The result of these reforms was </w:t>
      </w:r>
      <w:proofErr w:type="gramStart"/>
      <w:r w:rsidRPr="00104AF1">
        <w:rPr>
          <w:rFonts w:ascii="Garamond" w:hAnsi="Garamond"/>
        </w:rPr>
        <w:t>Transatlantic</w:t>
      </w:r>
      <w:proofErr w:type="gramEnd"/>
      <w:r w:rsidRPr="00104AF1">
        <w:rPr>
          <w:rFonts w:ascii="Garamond" w:hAnsi="Garamond"/>
        </w:rPr>
        <w:t xml:space="preserve"> normative alignment in many critical issue areas.  Commenting in 2006, the same US Treasury official wrote:</w:t>
      </w:r>
    </w:p>
    <w:p w14:paraId="08C9E212" w14:textId="77777777" w:rsidR="005D7861" w:rsidRPr="00104AF1" w:rsidRDefault="005D7861" w:rsidP="001C6442">
      <w:pPr>
        <w:ind w:left="720"/>
        <w:rPr>
          <w:rFonts w:ascii="Garamond" w:hAnsi="Garamond"/>
        </w:rPr>
      </w:pPr>
      <w:r w:rsidRPr="00104AF1">
        <w:rPr>
          <w:rFonts w:ascii="Garamond" w:hAnsi="Garamond"/>
        </w:rPr>
        <w:t>EU and US financial market rules are firmly anchored in the international system... The US, EU member states and the EC participate in the same international organizations that provide frameworks for financial market regulation.  These common frameworks provide the basis for convergence of US and EU regulations.</w:t>
      </w:r>
      <w:r w:rsidRPr="009F14C8">
        <w:rPr>
          <w:rStyle w:val="EndnoteReference"/>
          <w:rFonts w:ascii="Garamond" w:hAnsi="Garamond"/>
        </w:rPr>
        <w:endnoteReference w:id="13"/>
      </w:r>
    </w:p>
    <w:p w14:paraId="43F2906D" w14:textId="77777777" w:rsidR="005D7861" w:rsidRPr="004769FE" w:rsidRDefault="005D7861" w:rsidP="00D64431">
      <w:pPr>
        <w:spacing w:line="480" w:lineRule="auto"/>
        <w:ind w:firstLine="720"/>
        <w:rPr>
          <w:rFonts w:ascii="Garamond" w:hAnsi="Garamond"/>
        </w:rPr>
      </w:pPr>
    </w:p>
    <w:p w14:paraId="4B9B6ECD" w14:textId="77777777" w:rsidR="005D7861" w:rsidRPr="00104AF1" w:rsidRDefault="005D7861" w:rsidP="00384BD0">
      <w:pPr>
        <w:spacing w:line="480" w:lineRule="auto"/>
        <w:ind w:firstLine="720"/>
        <w:rPr>
          <w:rFonts w:ascii="Garamond" w:hAnsi="Garamond"/>
        </w:rPr>
      </w:pPr>
      <w:r w:rsidRPr="001F48F1">
        <w:rPr>
          <w:rFonts w:ascii="Garamond" w:hAnsi="Garamond"/>
        </w:rPr>
        <w:t>It is hard to exaggerate the subsequent impact of the great power convergence: 1)</w:t>
      </w:r>
      <w:r w:rsidRPr="00104AF1">
        <w:rPr>
          <w:rFonts w:ascii="Garamond" w:hAnsi="Garamond"/>
        </w:rPr>
        <w:t xml:space="preserve"> the management of conflicts in the 2000s (generally preempting the development of rival standards); </w:t>
      </w:r>
      <w:r>
        <w:rPr>
          <w:rFonts w:ascii="Garamond" w:hAnsi="Garamond"/>
        </w:rPr>
        <w:t xml:space="preserve">2) </w:t>
      </w:r>
      <w:r w:rsidRPr="001F48F1">
        <w:rPr>
          <w:rFonts w:ascii="Garamond" w:hAnsi="Garamond"/>
        </w:rPr>
        <w:t>the continuity and deepening of the neolib</w:t>
      </w:r>
      <w:r w:rsidRPr="00104AF1">
        <w:rPr>
          <w:rFonts w:ascii="Garamond" w:hAnsi="Garamond"/>
        </w:rPr>
        <w:t>eral financial regulatory rules</w:t>
      </w:r>
      <w:r>
        <w:rPr>
          <w:rFonts w:ascii="Garamond" w:hAnsi="Garamond"/>
        </w:rPr>
        <w:t xml:space="preserve"> that set the stage for crisis; </w:t>
      </w:r>
      <w:r w:rsidRPr="00104AF1">
        <w:rPr>
          <w:rFonts w:ascii="Garamond" w:hAnsi="Garamond"/>
        </w:rPr>
        <w:t>and 3) coordinated regulatory reforms in the immediate aftermath of the great financial crisis (</w:t>
      </w:r>
      <w:proofErr w:type="spellStart"/>
      <w:r w:rsidRPr="00104AF1">
        <w:rPr>
          <w:rFonts w:ascii="Garamond" w:hAnsi="Garamond"/>
        </w:rPr>
        <w:t>Lannoo</w:t>
      </w:r>
      <w:proofErr w:type="spellEnd"/>
      <w:r w:rsidRPr="00104AF1">
        <w:rPr>
          <w:rFonts w:ascii="Garamond" w:hAnsi="Garamond"/>
        </w:rPr>
        <w:t xml:space="preserve">, 2011).  What </w:t>
      </w:r>
      <w:proofErr w:type="gramStart"/>
      <w:r w:rsidRPr="00104AF1">
        <w:rPr>
          <w:rFonts w:ascii="Garamond" w:hAnsi="Garamond"/>
        </w:rPr>
        <w:t>makes</w:t>
      </w:r>
      <w:proofErr w:type="gramEnd"/>
      <w:r w:rsidRPr="00104AF1">
        <w:rPr>
          <w:rFonts w:ascii="Garamond" w:hAnsi="Garamond"/>
        </w:rPr>
        <w:t xml:space="preserve"> this </w:t>
      </w:r>
      <w:r>
        <w:rPr>
          <w:rFonts w:ascii="Garamond" w:hAnsi="Garamond"/>
        </w:rPr>
        <w:t>alignment</w:t>
      </w:r>
      <w:r w:rsidRPr="00104AF1">
        <w:rPr>
          <w:rFonts w:ascii="Garamond" w:hAnsi="Garamond"/>
        </w:rPr>
        <w:t xml:space="preserve"> striking is the prior decades of policy stalemate rooted in alternative national models of finance within the EU (Story and Walter 1997; </w:t>
      </w:r>
      <w:proofErr w:type="spellStart"/>
      <w:r w:rsidRPr="00104AF1">
        <w:rPr>
          <w:rFonts w:ascii="Garamond" w:hAnsi="Garamond"/>
        </w:rPr>
        <w:t>Zysman</w:t>
      </w:r>
      <w:proofErr w:type="spellEnd"/>
      <w:r w:rsidRPr="00104AF1">
        <w:rPr>
          <w:rFonts w:ascii="Garamond" w:hAnsi="Garamond"/>
        </w:rPr>
        <w:t xml:space="preserve"> 1983). Transatlantic alignment and cooperation only became a possibility when EU decision-makers were able to move beyond many of these longstanding political conflicts. </w:t>
      </w:r>
    </w:p>
    <w:p w14:paraId="24F69A12" w14:textId="77777777" w:rsidR="005D7861" w:rsidRPr="00104AF1" w:rsidRDefault="005D7861" w:rsidP="00DB456D">
      <w:pPr>
        <w:spacing w:line="480" w:lineRule="auto"/>
        <w:ind w:firstLine="720"/>
        <w:rPr>
          <w:rFonts w:ascii="Garamond" w:hAnsi="Garamond"/>
        </w:rPr>
      </w:pPr>
    </w:p>
    <w:p w14:paraId="23817816" w14:textId="77777777" w:rsidR="005D7861" w:rsidRPr="00104AF1" w:rsidRDefault="005D7861" w:rsidP="00384BD0">
      <w:pPr>
        <w:spacing w:line="480" w:lineRule="auto"/>
        <w:rPr>
          <w:rFonts w:ascii="Garamond" w:hAnsi="Garamond"/>
          <w:i/>
        </w:rPr>
      </w:pPr>
      <w:r w:rsidRPr="00104AF1">
        <w:rPr>
          <w:rFonts w:ascii="Garamond" w:hAnsi="Garamond"/>
          <w:i/>
        </w:rPr>
        <w:t xml:space="preserve">Soft Law as Disruptor and Alignment Mechanism </w:t>
      </w:r>
    </w:p>
    <w:p w14:paraId="38E8ABC6" w14:textId="77777777" w:rsidR="005D7861" w:rsidRPr="00104AF1" w:rsidRDefault="005D7861" w:rsidP="00353063">
      <w:pPr>
        <w:spacing w:line="480" w:lineRule="auto"/>
        <w:ind w:firstLine="720"/>
        <w:rPr>
          <w:rFonts w:ascii="Garamond" w:hAnsi="Garamond"/>
        </w:rPr>
      </w:pPr>
      <w:r w:rsidRPr="00104AF1">
        <w:rPr>
          <w:rFonts w:ascii="Garamond" w:hAnsi="Garamond"/>
        </w:rPr>
        <w:t>The availability of transnational templates was a key variable in the causal sequences behind the EU-US preference alignment.   To substantiate our argument that templates served as disruptors and harmonizers, we take advantage of variance within the regional modernization effort. Not all areas of EU financial regulatory reform produced transatlantic alignment.  We examine six core financial regulatory issues (accounting standards, capital reserves, financial conglomerates, insurance, company law and financial instruments) that feature prominently in previous studies of financial reform within the EU (</w:t>
      </w:r>
      <w:proofErr w:type="spellStart"/>
      <w:r w:rsidRPr="00104AF1">
        <w:rPr>
          <w:rFonts w:ascii="Garamond" w:hAnsi="Garamond"/>
        </w:rPr>
        <w:t>Quaglia</w:t>
      </w:r>
      <w:proofErr w:type="spellEnd"/>
      <w:r w:rsidRPr="00104AF1">
        <w:rPr>
          <w:rFonts w:ascii="Garamond" w:hAnsi="Garamond"/>
        </w:rPr>
        <w:t xml:space="preserve"> 2010; 2014; </w:t>
      </w:r>
      <w:proofErr w:type="spellStart"/>
      <w:r w:rsidRPr="00104AF1">
        <w:rPr>
          <w:rFonts w:ascii="Garamond" w:hAnsi="Garamond"/>
        </w:rPr>
        <w:t>Mügge</w:t>
      </w:r>
      <w:proofErr w:type="spellEnd"/>
      <w:r w:rsidRPr="00104AF1">
        <w:rPr>
          <w:rFonts w:ascii="Garamond" w:hAnsi="Garamond"/>
        </w:rPr>
        <w:t xml:space="preserve"> 2010).</w:t>
      </w:r>
    </w:p>
    <w:p w14:paraId="5112A538" w14:textId="77777777" w:rsidR="005D7861" w:rsidRPr="00104AF1" w:rsidRDefault="005D7861" w:rsidP="00353063">
      <w:pPr>
        <w:spacing w:line="480" w:lineRule="auto"/>
        <w:ind w:firstLine="720"/>
        <w:rPr>
          <w:rFonts w:ascii="Garamond" w:hAnsi="Garamond"/>
        </w:rPr>
      </w:pPr>
    </w:p>
    <w:p w14:paraId="53592A76" w14:textId="77777777" w:rsidR="005D7861" w:rsidRPr="00104AF1" w:rsidRDefault="005D7861" w:rsidP="00C43F98">
      <w:pPr>
        <w:spacing w:line="480" w:lineRule="auto"/>
        <w:ind w:firstLine="720"/>
        <w:jc w:val="center"/>
        <w:rPr>
          <w:rFonts w:ascii="Garamond" w:hAnsi="Garamond"/>
        </w:rPr>
      </w:pPr>
      <w:r w:rsidRPr="00104AF1">
        <w:rPr>
          <w:rFonts w:ascii="Garamond" w:hAnsi="Garamond"/>
        </w:rPr>
        <w:t>INSERT TABLE 2 HERE</w:t>
      </w:r>
    </w:p>
    <w:p w14:paraId="1EBED7E5" w14:textId="77777777" w:rsidR="005D7861" w:rsidRPr="00104AF1" w:rsidRDefault="005D7861" w:rsidP="00353063">
      <w:pPr>
        <w:spacing w:line="480" w:lineRule="auto"/>
        <w:ind w:firstLine="720"/>
        <w:rPr>
          <w:rFonts w:ascii="Garamond" w:hAnsi="Garamond"/>
        </w:rPr>
      </w:pPr>
    </w:p>
    <w:p w14:paraId="1A6D3CAB" w14:textId="77777777" w:rsidR="005D7861" w:rsidRPr="004769FE" w:rsidRDefault="005D7861">
      <w:pPr>
        <w:spacing w:line="480" w:lineRule="auto"/>
        <w:ind w:firstLine="720"/>
        <w:rPr>
          <w:rFonts w:ascii="Garamond" w:hAnsi="Garamond"/>
        </w:rPr>
      </w:pPr>
      <w:r w:rsidRPr="00104AF1">
        <w:rPr>
          <w:rFonts w:ascii="Garamond" w:hAnsi="Garamond"/>
        </w:rPr>
        <w:t>We find alignment with US approaches in the three areas where transnational soft law existed prior to EU regulatory modernization (accounting standards, capital reserves and conglomerates) and alignment in only one (financial instruments) of the three where it did not (insurance, company law and financial instruments). In 2002, the EU adopted legislation</w:t>
      </w:r>
      <w:r w:rsidRPr="009F14C8">
        <w:rPr>
          <w:rStyle w:val="EndnoteReference"/>
          <w:rFonts w:ascii="Garamond" w:hAnsi="Garamond"/>
        </w:rPr>
        <w:endnoteReference w:id="14"/>
      </w:r>
      <w:r w:rsidRPr="00104AF1">
        <w:rPr>
          <w:rFonts w:ascii="Garamond" w:hAnsi="Garamond"/>
        </w:rPr>
        <w:t xml:space="preserve"> requiring that companies listed on EU stock exchanges </w:t>
      </w:r>
      <w:r w:rsidRPr="004769FE">
        <w:rPr>
          <w:rFonts w:ascii="Garamond" w:hAnsi="Garamond"/>
        </w:rPr>
        <w:t xml:space="preserve">employ IAS/IFRS developed by the IASB </w:t>
      </w:r>
      <w:r w:rsidRPr="001F48F1">
        <w:rPr>
          <w:rFonts w:ascii="Garamond" w:hAnsi="Garamond"/>
        </w:rPr>
        <w:t xml:space="preserve">by 2005.  Like the US GAAP, the IAS/IFRS (despite considerable differences) </w:t>
      </w:r>
      <w:r w:rsidRPr="00104AF1">
        <w:rPr>
          <w:rFonts w:ascii="Garamond" w:hAnsi="Garamond"/>
        </w:rPr>
        <w:t xml:space="preserve">were designed to cater to the informational needs of investors (Perry and </w:t>
      </w:r>
      <w:proofErr w:type="spellStart"/>
      <w:r w:rsidRPr="00104AF1">
        <w:rPr>
          <w:rFonts w:ascii="Garamond" w:hAnsi="Garamond"/>
        </w:rPr>
        <w:t>Nolke</w:t>
      </w:r>
      <w:proofErr w:type="spellEnd"/>
      <w:r w:rsidRPr="00104AF1">
        <w:rPr>
          <w:rFonts w:ascii="Garamond" w:hAnsi="Garamond"/>
        </w:rPr>
        <w:t xml:space="preserve"> 2006b; </w:t>
      </w:r>
      <w:proofErr w:type="spellStart"/>
      <w:r w:rsidRPr="00104AF1">
        <w:rPr>
          <w:rFonts w:ascii="Garamond" w:hAnsi="Garamond"/>
        </w:rPr>
        <w:t>Nölke</w:t>
      </w:r>
      <w:proofErr w:type="spellEnd"/>
      <w:r w:rsidRPr="00104AF1">
        <w:rPr>
          <w:rFonts w:ascii="Garamond" w:hAnsi="Garamond"/>
        </w:rPr>
        <w:t xml:space="preserve"> and Perry 2008; </w:t>
      </w:r>
      <w:proofErr w:type="spellStart"/>
      <w:r w:rsidRPr="00104AF1">
        <w:rPr>
          <w:rFonts w:ascii="Garamond" w:hAnsi="Garamond"/>
        </w:rPr>
        <w:t>Büthe</w:t>
      </w:r>
      <w:proofErr w:type="spellEnd"/>
      <w:r w:rsidRPr="00104AF1">
        <w:rPr>
          <w:rFonts w:ascii="Garamond" w:hAnsi="Garamond"/>
        </w:rPr>
        <w:t xml:space="preserve"> and </w:t>
      </w:r>
      <w:proofErr w:type="spellStart"/>
      <w:r w:rsidRPr="00104AF1">
        <w:rPr>
          <w:rFonts w:ascii="Garamond" w:hAnsi="Garamond"/>
        </w:rPr>
        <w:t>Mattli</w:t>
      </w:r>
      <w:proofErr w:type="spellEnd"/>
      <w:r w:rsidRPr="00104AF1">
        <w:rPr>
          <w:rFonts w:ascii="Garamond" w:hAnsi="Garamond"/>
        </w:rPr>
        <w:t xml:space="preserve"> 2011).  Similarly, the EU transposed and implemented the 2004 Basel II agreement giving banks greater discretion over minimal capital requirements.</w:t>
      </w:r>
      <w:r w:rsidRPr="009F14C8">
        <w:rPr>
          <w:rStyle w:val="EndnoteReference"/>
          <w:rFonts w:ascii="Garamond" w:hAnsi="Garamond"/>
        </w:rPr>
        <w:endnoteReference w:id="15"/>
      </w:r>
      <w:r w:rsidRPr="00104AF1">
        <w:rPr>
          <w:rFonts w:ascii="Garamond" w:hAnsi="Garamond"/>
        </w:rPr>
        <w:t xml:space="preserve"> </w:t>
      </w:r>
      <w:r w:rsidRPr="004769FE">
        <w:rPr>
          <w:rFonts w:ascii="Garamond" w:hAnsi="Garamond"/>
        </w:rPr>
        <w:t>Finally, the 2002 Financial Conglomerates Directive</w:t>
      </w:r>
      <w:r w:rsidRPr="009F14C8">
        <w:rPr>
          <w:rStyle w:val="EndnoteReference"/>
          <w:rFonts w:ascii="Garamond" w:hAnsi="Garamond"/>
        </w:rPr>
        <w:endnoteReference w:id="16"/>
      </w:r>
      <w:r w:rsidRPr="00104AF1">
        <w:rPr>
          <w:rFonts w:ascii="Garamond" w:hAnsi="Garamond"/>
        </w:rPr>
        <w:t xml:space="preserve"> mandates that</w:t>
      </w:r>
      <w:r w:rsidRPr="004769FE">
        <w:rPr>
          <w:rFonts w:ascii="Garamond" w:hAnsi="Garamond"/>
        </w:rPr>
        <w:t xml:space="preserve"> </w:t>
      </w:r>
      <w:r w:rsidRPr="001F48F1">
        <w:rPr>
          <w:rFonts w:ascii="Garamond" w:hAnsi="Garamond"/>
        </w:rPr>
        <w:t>a single regulator must oversee all components of large financial conglomerates with the goal of reducing regulatory arbitrage.</w:t>
      </w:r>
      <w:r w:rsidRPr="009F14C8">
        <w:rPr>
          <w:rStyle w:val="EndnoteReference"/>
          <w:rFonts w:ascii="Garamond" w:hAnsi="Garamond"/>
        </w:rPr>
        <w:endnoteReference w:id="17"/>
      </w:r>
      <w:r w:rsidRPr="00104AF1">
        <w:rPr>
          <w:rFonts w:ascii="Garamond" w:hAnsi="Garamond"/>
        </w:rPr>
        <w:t xml:space="preserve">  </w:t>
      </w:r>
      <w:r w:rsidRPr="004769FE">
        <w:rPr>
          <w:rFonts w:ascii="Garamond" w:hAnsi="Garamond"/>
        </w:rPr>
        <w:t>T</w:t>
      </w:r>
      <w:r w:rsidRPr="001F48F1">
        <w:rPr>
          <w:rFonts w:ascii="Garamond" w:hAnsi="Garamond"/>
        </w:rPr>
        <w:t>he blueprint for the directive, like the two previous examples, was transnational standards (the 1999 Joint Forum on Financial Conglomerates, in this instance).</w:t>
      </w:r>
      <w:r w:rsidRPr="009F14C8">
        <w:rPr>
          <w:rStyle w:val="EndnoteReference"/>
          <w:rFonts w:ascii="Garamond" w:hAnsi="Garamond"/>
        </w:rPr>
        <w:endnoteReference w:id="18"/>
      </w:r>
      <w:r w:rsidRPr="00104AF1">
        <w:rPr>
          <w:rFonts w:ascii="Garamond" w:hAnsi="Garamond"/>
        </w:rPr>
        <w:t xml:space="preserve">  </w:t>
      </w:r>
    </w:p>
    <w:p w14:paraId="6BBD22BE" w14:textId="77777777" w:rsidR="005D7861" w:rsidRPr="00104AF1" w:rsidRDefault="005D7861" w:rsidP="00384BD0">
      <w:pPr>
        <w:spacing w:line="480" w:lineRule="auto"/>
        <w:ind w:firstLine="720"/>
        <w:rPr>
          <w:rFonts w:ascii="Garamond" w:hAnsi="Garamond"/>
        </w:rPr>
      </w:pPr>
      <w:r w:rsidRPr="004769FE">
        <w:rPr>
          <w:rFonts w:ascii="Garamond" w:hAnsi="Garamond"/>
        </w:rPr>
        <w:t xml:space="preserve">By contrast, </w:t>
      </w:r>
      <w:r w:rsidRPr="001F48F1">
        <w:rPr>
          <w:rFonts w:ascii="Garamond" w:hAnsi="Garamond"/>
        </w:rPr>
        <w:t xml:space="preserve">we find considerably less Transatlantic alignment in company law and the regulation of </w:t>
      </w:r>
      <w:r w:rsidRPr="00104AF1">
        <w:rPr>
          <w:rFonts w:ascii="Garamond" w:hAnsi="Garamond"/>
        </w:rPr>
        <w:t>the insurance sector, both domains where little and weak prior transnational soft law existed.  While there is a transnational network of insurance regulators known as the International Association of Insurance Supervisors (IAIS), it was founded first in 1995 and had no consensus standards concerning solvency rules when the EU underwent its modernization.  In the absence of transnational guidance on insurance regulation, EU’s Solvency II directive</w:t>
      </w:r>
      <w:r w:rsidRPr="009F14C8">
        <w:rPr>
          <w:rStyle w:val="EndnoteReference"/>
          <w:rFonts w:ascii="Garamond" w:hAnsi="Garamond"/>
        </w:rPr>
        <w:endnoteReference w:id="19"/>
      </w:r>
      <w:r w:rsidRPr="00104AF1">
        <w:rPr>
          <w:rFonts w:ascii="Garamond" w:hAnsi="Garamond"/>
        </w:rPr>
        <w:t xml:space="preserve"> follows</w:t>
      </w:r>
      <w:r w:rsidRPr="004769FE">
        <w:rPr>
          <w:rFonts w:ascii="Garamond" w:hAnsi="Garamond"/>
        </w:rPr>
        <w:t xml:space="preserve"> a</w:t>
      </w:r>
      <w:r w:rsidRPr="001F48F1">
        <w:rPr>
          <w:rFonts w:ascii="Garamond" w:hAnsi="Garamond"/>
        </w:rPr>
        <w:t xml:space="preserve"> homegrown approach and is at odds with US practices.  Insurance has been </w:t>
      </w:r>
      <w:r w:rsidRPr="00104AF1">
        <w:rPr>
          <w:rFonts w:ascii="Garamond" w:hAnsi="Garamond"/>
        </w:rPr>
        <w:t xml:space="preserve">a critical area of prolonged and intractable global financial regulatory conflict. In company law, an area devoid of transnational regulatory cooperation, deeper integration failed as EU governments, each with their own traditional model, could not agree on a joint template (Callaghan and </w:t>
      </w:r>
      <w:proofErr w:type="spellStart"/>
      <w:r w:rsidRPr="00104AF1">
        <w:rPr>
          <w:rFonts w:ascii="Garamond" w:hAnsi="Garamond"/>
        </w:rPr>
        <w:t>Höpner</w:t>
      </w:r>
      <w:proofErr w:type="spellEnd"/>
      <w:r w:rsidRPr="00104AF1">
        <w:rPr>
          <w:rFonts w:ascii="Garamond" w:hAnsi="Garamond"/>
        </w:rPr>
        <w:t xml:space="preserve"> 2005; </w:t>
      </w:r>
      <w:proofErr w:type="spellStart"/>
      <w:r w:rsidRPr="00104AF1">
        <w:rPr>
          <w:rFonts w:ascii="Garamond" w:hAnsi="Garamond"/>
        </w:rPr>
        <w:t>Fioretos</w:t>
      </w:r>
      <w:proofErr w:type="spellEnd"/>
      <w:r w:rsidRPr="00104AF1">
        <w:rPr>
          <w:rFonts w:ascii="Garamond" w:hAnsi="Garamond"/>
        </w:rPr>
        <w:t xml:space="preserve"> 2009).  Transatlantic authorities have had to make exceptions where necessary to overcome incompatibilities between American and European national company law.</w:t>
      </w:r>
      <w:r w:rsidRPr="009F14C8">
        <w:rPr>
          <w:rStyle w:val="EndnoteReference"/>
          <w:rFonts w:ascii="Garamond" w:hAnsi="Garamond"/>
        </w:rPr>
        <w:endnoteReference w:id="20"/>
      </w:r>
    </w:p>
    <w:p w14:paraId="51EABCD2" w14:textId="77777777" w:rsidR="005D7861" w:rsidRPr="001F48F1" w:rsidRDefault="005D7861" w:rsidP="00384BD0">
      <w:pPr>
        <w:spacing w:line="480" w:lineRule="auto"/>
        <w:ind w:firstLine="720"/>
        <w:rPr>
          <w:rFonts w:ascii="Garamond" w:hAnsi="Garamond"/>
        </w:rPr>
      </w:pPr>
      <w:r w:rsidRPr="004769FE">
        <w:rPr>
          <w:rFonts w:ascii="Garamond" w:hAnsi="Garamond"/>
        </w:rPr>
        <w:t>The one anomaly to the pattern</w:t>
      </w:r>
      <w:r w:rsidRPr="001F48F1">
        <w:rPr>
          <w:rFonts w:ascii="Garamond" w:hAnsi="Garamond"/>
        </w:rPr>
        <w:t xml:space="preserve"> is the EU’s 2004 Market in Financial Instruments Directive (</w:t>
      </w:r>
      <w:r w:rsidRPr="00104AF1">
        <w:rPr>
          <w:rFonts w:ascii="Garamond" w:hAnsi="Garamond"/>
        </w:rPr>
        <w:t xml:space="preserve">a revision of a 1993 directive, the Investment Services Directive or ISD, aimed to liberalize cross-border trading of financial instruments and investment services provision).  While not contradicting the templates-as-disruptors proposition, this case indicates </w:t>
      </w:r>
      <w:proofErr w:type="spellStart"/>
      <w:r w:rsidRPr="00104AF1">
        <w:rPr>
          <w:rFonts w:ascii="Garamond" w:hAnsi="Garamond"/>
        </w:rPr>
        <w:t>equifinality</w:t>
      </w:r>
      <w:proofErr w:type="spellEnd"/>
      <w:r w:rsidRPr="00104AF1">
        <w:rPr>
          <w:rFonts w:ascii="Garamond" w:hAnsi="Garamond"/>
        </w:rPr>
        <w:t xml:space="preserve"> (i.e. more than one causal path to the same outcome).  Despite the absence of transnational soft law concerning the core issue (i.e. how to structure cross-border competition of securities trading and investment services),</w:t>
      </w:r>
      <w:r w:rsidRPr="009F14C8">
        <w:rPr>
          <w:rStyle w:val="EndnoteReference"/>
          <w:rFonts w:ascii="Garamond" w:hAnsi="Garamond"/>
        </w:rPr>
        <w:endnoteReference w:id="21"/>
      </w:r>
      <w:r w:rsidRPr="00104AF1">
        <w:rPr>
          <w:rFonts w:ascii="Garamond" w:hAnsi="Garamond"/>
        </w:rPr>
        <w:t xml:space="preserve"> </w:t>
      </w:r>
      <w:r w:rsidRPr="004769FE">
        <w:rPr>
          <w:rFonts w:ascii="Garamond" w:hAnsi="Garamond"/>
        </w:rPr>
        <w:t>the EU eventually adopted more liberalized rules largely mirroring the direction of U.S. reforms (</w:t>
      </w:r>
      <w:proofErr w:type="spellStart"/>
      <w:r w:rsidRPr="004769FE">
        <w:rPr>
          <w:rFonts w:ascii="Garamond" w:hAnsi="Garamond"/>
        </w:rPr>
        <w:t>Quaglia</w:t>
      </w:r>
      <w:proofErr w:type="spellEnd"/>
      <w:r w:rsidRPr="004769FE">
        <w:rPr>
          <w:rFonts w:ascii="Garamond" w:hAnsi="Garamond"/>
        </w:rPr>
        <w:t xml:space="preserve"> 2010, 83-90; </w:t>
      </w:r>
      <w:proofErr w:type="spellStart"/>
      <w:r w:rsidRPr="004769FE">
        <w:rPr>
          <w:rFonts w:ascii="Garamond" w:hAnsi="Garamond"/>
        </w:rPr>
        <w:t>Mügge</w:t>
      </w:r>
      <w:proofErr w:type="spellEnd"/>
      <w:r w:rsidRPr="004769FE">
        <w:rPr>
          <w:rFonts w:ascii="Garamond" w:hAnsi="Garamond"/>
        </w:rPr>
        <w:t xml:space="preserve"> 2010, 125-142)</w:t>
      </w:r>
      <w:r w:rsidRPr="001F48F1">
        <w:rPr>
          <w:rFonts w:ascii="Garamond" w:hAnsi="Garamond"/>
        </w:rPr>
        <w:t xml:space="preserve">. </w:t>
      </w:r>
    </w:p>
    <w:p w14:paraId="355AB069" w14:textId="3108E173" w:rsidR="005D7861" w:rsidRPr="00104AF1" w:rsidRDefault="005D7861" w:rsidP="00DB456D">
      <w:pPr>
        <w:spacing w:line="480" w:lineRule="auto"/>
        <w:ind w:firstLine="720"/>
        <w:rPr>
          <w:rFonts w:ascii="Garamond" w:hAnsi="Garamond"/>
        </w:rPr>
      </w:pPr>
      <w:r w:rsidRPr="00104AF1">
        <w:rPr>
          <w:rFonts w:ascii="Garamond" w:hAnsi="Garamond"/>
        </w:rPr>
        <w:t xml:space="preserve">Observing congruence between transnational soft law and great power preference alignment is one thing.  Establishing a causal link is quite another.  Does the evidence support our proposition that the existence of transnational templates increases the probability that </w:t>
      </w:r>
      <w:r w:rsidR="00BC61B8">
        <w:rPr>
          <w:rFonts w:ascii="Garamond" w:hAnsi="Garamond"/>
        </w:rPr>
        <w:t>reformers</w:t>
      </w:r>
      <w:r w:rsidRPr="00104AF1">
        <w:rPr>
          <w:rFonts w:ascii="Garamond" w:hAnsi="Garamond"/>
        </w:rPr>
        <w:t xml:space="preserve"> will adopt convergent policies? Our process-tracing exercise suggests the answer is yes.</w:t>
      </w:r>
    </w:p>
    <w:p w14:paraId="732E8A1A" w14:textId="00079FE5" w:rsidR="005D7861" w:rsidRPr="00104AF1" w:rsidRDefault="005D7861" w:rsidP="00543370">
      <w:pPr>
        <w:spacing w:line="480" w:lineRule="auto"/>
        <w:ind w:firstLine="720"/>
        <w:rPr>
          <w:rFonts w:ascii="Garamond" w:hAnsi="Garamond"/>
        </w:rPr>
      </w:pPr>
      <w:r w:rsidRPr="00104AF1">
        <w:rPr>
          <w:rFonts w:ascii="Garamond" w:hAnsi="Garamond"/>
        </w:rPr>
        <w:t>By the late 1990s, a core group of reform minded European policy elite, spearheaded by the European Commission and supported by reformist factions in the U.K., emerged in favor of rapid financial regulatory integration. This reformist coalition faced persistent obstacles stemming from core differences in the political economy of finance across Europe that had vexed previous harmonization efforts.  Key to the political bargain that emerged was that EU financial integration, unlike monetary union, would encompass all member states, including the U.K. with its leading international financial center.  Even without Britain’s inclusion, there were numerous other sticking points among Continental members (for example, resistance to the creation of supranational financial authorities), not to mention among EU political institutions (Pol</w:t>
      </w:r>
      <w:r w:rsidR="00696168">
        <w:rPr>
          <w:rFonts w:ascii="Garamond" w:hAnsi="Garamond"/>
        </w:rPr>
        <w:t xml:space="preserve">lack, 2002; </w:t>
      </w:r>
      <w:proofErr w:type="spellStart"/>
      <w:r w:rsidR="00696168">
        <w:rPr>
          <w:rFonts w:ascii="Garamond" w:hAnsi="Garamond"/>
        </w:rPr>
        <w:t>Buerkle</w:t>
      </w:r>
      <w:proofErr w:type="spellEnd"/>
      <w:r w:rsidR="00696168">
        <w:rPr>
          <w:rFonts w:ascii="Garamond" w:hAnsi="Garamond"/>
        </w:rPr>
        <w:t xml:space="preserve"> 2002</w:t>
      </w:r>
      <w:r w:rsidRPr="00104AF1">
        <w:rPr>
          <w:rFonts w:ascii="Garamond" w:hAnsi="Garamond"/>
        </w:rPr>
        <w:t xml:space="preserve">).  Because of the UK’s inclusion, however, the challenges to reform were all the more considerable, as the governments had to find common ground between the continental countries, especially the relatively heavily banked and embedded German and French financial systems, and the U.K. with some of the world’s largest capital markets and a fairly </w:t>
      </w:r>
      <w:proofErr w:type="spellStart"/>
      <w:r w:rsidRPr="00104AF1">
        <w:rPr>
          <w:rFonts w:ascii="Garamond" w:hAnsi="Garamond"/>
        </w:rPr>
        <w:t>unembedded</w:t>
      </w:r>
      <w:proofErr w:type="spellEnd"/>
      <w:r w:rsidRPr="00104AF1">
        <w:rPr>
          <w:rFonts w:ascii="Garamond" w:hAnsi="Garamond"/>
        </w:rPr>
        <w:t xml:space="preserve"> light-touch regulatory regime (</w:t>
      </w:r>
      <w:proofErr w:type="spellStart"/>
      <w:r w:rsidRPr="00104AF1">
        <w:rPr>
          <w:rFonts w:ascii="Garamond" w:hAnsi="Garamond"/>
        </w:rPr>
        <w:t>Mügge</w:t>
      </w:r>
      <w:proofErr w:type="spellEnd"/>
      <w:r w:rsidRPr="00104AF1">
        <w:rPr>
          <w:rFonts w:ascii="Garamond" w:hAnsi="Garamond"/>
        </w:rPr>
        <w:t xml:space="preserve"> 2010, 31-50). </w:t>
      </w:r>
    </w:p>
    <w:p w14:paraId="5B74FF1B" w14:textId="057A520C" w:rsidR="005D7861" w:rsidRPr="00104AF1" w:rsidRDefault="005D7861" w:rsidP="005E1222">
      <w:pPr>
        <w:spacing w:line="480" w:lineRule="auto"/>
        <w:ind w:firstLine="720"/>
        <w:rPr>
          <w:rFonts w:ascii="Garamond" w:hAnsi="Garamond"/>
        </w:rPr>
      </w:pPr>
      <w:r w:rsidRPr="00104AF1">
        <w:rPr>
          <w:rFonts w:ascii="Garamond" w:hAnsi="Garamond"/>
        </w:rPr>
        <w:t>The FSAP legislative package represented ongoing and unsettled political battles over the rules of finance:  Many proposals were revisions of previous legislation from the 1980s (European C</w:t>
      </w:r>
      <w:r w:rsidR="00696168">
        <w:rPr>
          <w:rFonts w:ascii="Garamond" w:hAnsi="Garamond"/>
        </w:rPr>
        <w:t>ommission, 1983 and 1985; Posner 2009</w:t>
      </w:r>
      <w:r w:rsidRPr="00104AF1">
        <w:rPr>
          <w:rFonts w:ascii="Garamond" w:hAnsi="Garamond"/>
        </w:rPr>
        <w:t>).  Neatly captured by Story and Walter’s phrase “battle of the systems,” this earlier project was fraught with incompatible national preferences and, by consequence, yielded weak legislation that had little bearing on financial regulation on the ground (Story and Walter 1997; Underhill 1997). Even after agreement on many elements of the FSAP, scholars continue to find deep-seated differences in preferences and beliefs among the major economic players within the EU (</w:t>
      </w:r>
      <w:proofErr w:type="spellStart"/>
      <w:r w:rsidRPr="00104AF1">
        <w:rPr>
          <w:rFonts w:ascii="Garamond" w:hAnsi="Garamond"/>
        </w:rPr>
        <w:t>Quaglia</w:t>
      </w:r>
      <w:proofErr w:type="spellEnd"/>
      <w:r w:rsidRPr="00104AF1">
        <w:rPr>
          <w:rFonts w:ascii="Garamond" w:hAnsi="Garamond"/>
        </w:rPr>
        <w:t xml:space="preserve"> 2010; </w:t>
      </w:r>
      <w:proofErr w:type="spellStart"/>
      <w:r w:rsidRPr="00104AF1">
        <w:rPr>
          <w:rFonts w:ascii="Garamond" w:hAnsi="Garamond"/>
        </w:rPr>
        <w:t>Fioretos</w:t>
      </w:r>
      <w:proofErr w:type="spellEnd"/>
      <w:r w:rsidRPr="00104AF1">
        <w:rPr>
          <w:rFonts w:ascii="Garamond" w:hAnsi="Garamond"/>
        </w:rPr>
        <w:t xml:space="preserve"> 2010).</w:t>
      </w:r>
    </w:p>
    <w:p w14:paraId="326B8BCC" w14:textId="77777777" w:rsidR="005D7861" w:rsidRPr="00104AF1" w:rsidRDefault="005D7861" w:rsidP="00476920">
      <w:pPr>
        <w:spacing w:line="480" w:lineRule="auto"/>
        <w:ind w:firstLine="720"/>
        <w:rPr>
          <w:rFonts w:ascii="Garamond" w:hAnsi="Garamond"/>
        </w:rPr>
      </w:pPr>
      <w:r w:rsidRPr="00104AF1">
        <w:rPr>
          <w:rFonts w:ascii="Garamond" w:hAnsi="Garamond"/>
        </w:rPr>
        <w:t xml:space="preserve">Why were Europeans able to overcome abiding differences in several core issue areas at the turn-of-the-millennium that seemed intractable in the 1980s and early 1990s?  Clearly, this process is neither </w:t>
      </w:r>
      <w:proofErr w:type="spellStart"/>
      <w:r w:rsidRPr="00104AF1">
        <w:rPr>
          <w:rFonts w:ascii="Garamond" w:hAnsi="Garamond"/>
        </w:rPr>
        <w:t>monocausal</w:t>
      </w:r>
      <w:proofErr w:type="spellEnd"/>
      <w:r w:rsidRPr="00104AF1">
        <w:rPr>
          <w:rFonts w:ascii="Garamond" w:hAnsi="Garamond"/>
        </w:rPr>
        <w:t xml:space="preserve"> nor deterministic as each piece of legislation has an idiosyncratic political story.  In some areas, there had been significant regulatory reforms inside member states since the mid-1980s.  In others, the shift in policy preferences of the largest financial firms had brought German and French governments closer to long-standing British (and neoliberal) positions (</w:t>
      </w:r>
      <w:proofErr w:type="spellStart"/>
      <w:r w:rsidRPr="00104AF1">
        <w:rPr>
          <w:rFonts w:ascii="Garamond" w:hAnsi="Garamond"/>
        </w:rPr>
        <w:t>Mügge</w:t>
      </w:r>
      <w:proofErr w:type="spellEnd"/>
      <w:r w:rsidRPr="00104AF1">
        <w:rPr>
          <w:rFonts w:ascii="Garamond" w:hAnsi="Garamond"/>
        </w:rPr>
        <w:t xml:space="preserve"> 2010, 31-49).</w:t>
      </w:r>
    </w:p>
    <w:p w14:paraId="62DED48B" w14:textId="77777777" w:rsidR="005D7861" w:rsidRPr="00104AF1" w:rsidRDefault="005D7861" w:rsidP="00CF7D88">
      <w:pPr>
        <w:spacing w:line="480" w:lineRule="auto"/>
        <w:ind w:firstLine="720"/>
        <w:rPr>
          <w:rFonts w:ascii="Garamond" w:hAnsi="Garamond"/>
        </w:rPr>
      </w:pPr>
      <w:r w:rsidRPr="00104AF1">
        <w:rPr>
          <w:rFonts w:ascii="Garamond" w:hAnsi="Garamond"/>
        </w:rPr>
        <w:t>A theme across cases is that the presence of transnational soft law increased the probability that battling negotiators would find agreement and tilted outcomes in favor of reformist coalitions. In accounting standards, for example, core differences between national models – such as principle versus rule-based standards or fair value versus historic value – had long stymied meaningful reform (European Commission, 1995).  The European Commission, in a document anticipating the completion of improved international reporting standards, made explicit how IFRS could be used to outflank internal resistance and political impasse:</w:t>
      </w:r>
    </w:p>
    <w:p w14:paraId="198CC49F" w14:textId="77777777" w:rsidR="005D7861" w:rsidRPr="00104AF1" w:rsidRDefault="005D7861" w:rsidP="00B37793">
      <w:pPr>
        <w:widowControl w:val="0"/>
        <w:autoSpaceDE w:val="0"/>
        <w:autoSpaceDN w:val="0"/>
        <w:adjustRightInd w:val="0"/>
        <w:spacing w:after="240"/>
        <w:ind w:left="720"/>
        <w:rPr>
          <w:rFonts w:ascii="Garamond" w:hAnsi="Garamond" w:cs="Times"/>
        </w:rPr>
      </w:pPr>
      <w:r w:rsidRPr="00104AF1">
        <w:rPr>
          <w:rFonts w:ascii="Garamond" w:hAnsi="Garamond" w:cs="Times"/>
        </w:rPr>
        <w:t xml:space="preserve">No further progress has been made at EU level in </w:t>
      </w:r>
      <w:proofErr w:type="spellStart"/>
      <w:r w:rsidRPr="00104AF1">
        <w:rPr>
          <w:rFonts w:ascii="Garamond" w:hAnsi="Garamond" w:cs="Times"/>
        </w:rPr>
        <w:t>harmonising</w:t>
      </w:r>
      <w:proofErr w:type="spellEnd"/>
      <w:r w:rsidRPr="00104AF1">
        <w:rPr>
          <w:rFonts w:ascii="Garamond" w:hAnsi="Garamond" w:cs="Times"/>
        </w:rPr>
        <w:t xml:space="preserve"> the basic rules on accounting and financial reporting. There is disagreement between Member States about the usefulness of the Directive [referencing existing accounting rules] as an instrument for accounting harmonization…</w:t>
      </w:r>
      <w:proofErr w:type="gramStart"/>
      <w:r w:rsidRPr="00104AF1">
        <w:rPr>
          <w:rFonts w:ascii="Garamond" w:hAnsi="Garamond" w:cs="Times"/>
        </w:rPr>
        <w:t>It</w:t>
      </w:r>
      <w:proofErr w:type="gramEnd"/>
      <w:r w:rsidRPr="00104AF1">
        <w:rPr>
          <w:rFonts w:ascii="Garamond" w:hAnsi="Garamond" w:cs="Times"/>
        </w:rPr>
        <w:t xml:space="preserve"> would however be difficult to agree on the issues which should be covered in such a revision. Some Member States might seek to renegotiate parts of the Directives they do not like. The preparation and negotiation of such an important revision of the Directives would take a long time (Ibid: 3-5.).</w:t>
      </w:r>
    </w:p>
    <w:p w14:paraId="79B56182" w14:textId="7E752E17" w:rsidR="00BC61B8" w:rsidRDefault="00BC61B8" w:rsidP="00BF51FA">
      <w:pPr>
        <w:spacing w:line="480" w:lineRule="auto"/>
        <w:rPr>
          <w:rFonts w:ascii="Garamond" w:hAnsi="Garamond"/>
        </w:rPr>
      </w:pPr>
      <w:r>
        <w:rPr>
          <w:rFonts w:ascii="Garamond" w:hAnsi="Garamond"/>
        </w:rPr>
        <w:t>While IFRS and USGAAP are not perfectly convergent, they are increasingly</w:t>
      </w:r>
      <w:r w:rsidR="00363AFD">
        <w:rPr>
          <w:rFonts w:ascii="Garamond" w:hAnsi="Garamond"/>
        </w:rPr>
        <w:t xml:space="preserve"> compatible, as demonstrated</w:t>
      </w:r>
      <w:r>
        <w:rPr>
          <w:rFonts w:ascii="Garamond" w:hAnsi="Garamond"/>
        </w:rPr>
        <w:t xml:space="preserve"> by the US SEC’s decision to allow</w:t>
      </w:r>
      <w:r w:rsidR="00363AFD">
        <w:rPr>
          <w:rFonts w:ascii="Garamond" w:hAnsi="Garamond"/>
        </w:rPr>
        <w:t xml:space="preserve"> IFRS for</w:t>
      </w:r>
      <w:r>
        <w:rPr>
          <w:rFonts w:ascii="Garamond" w:hAnsi="Garamond"/>
        </w:rPr>
        <w:t xml:space="preserve"> </w:t>
      </w:r>
      <w:r w:rsidR="00363AFD">
        <w:rPr>
          <w:rFonts w:ascii="Garamond" w:hAnsi="Garamond"/>
        </w:rPr>
        <w:t>reconciliation by foreign issuers.</w:t>
      </w:r>
    </w:p>
    <w:p w14:paraId="485FBF5C" w14:textId="77777777" w:rsidR="005D7861" w:rsidRPr="00104AF1" w:rsidRDefault="005D7861" w:rsidP="000547DF">
      <w:pPr>
        <w:spacing w:line="480" w:lineRule="auto"/>
        <w:ind w:firstLine="720"/>
        <w:rPr>
          <w:rFonts w:ascii="Garamond" w:hAnsi="Garamond"/>
        </w:rPr>
      </w:pPr>
      <w:r w:rsidRPr="00104AF1">
        <w:rPr>
          <w:rFonts w:ascii="Garamond" w:hAnsi="Garamond"/>
        </w:rPr>
        <w:t>The role of transnational soft law in banking, while equally important for transatlantic alignment, was subtler as it occurred incrementally over a fifteen-year period.  The gradual transformation in Europe is quite remarkable, given the initially stark contrast in regulatory practice across the member states as well as the ineffective preexisting rules (e.g. 1977 First Banking Directive). Two issues fragmented European preferences.  Capital adequacy levels across the member states varied considerably, with French banks among those with the fewest reserves and British banks among those with the most; and differences in banking structure between more universal banking models and segmented banking models.  The direction of reforms could thus have important externalities (</w:t>
      </w:r>
      <w:proofErr w:type="spellStart"/>
      <w:r w:rsidRPr="00104AF1">
        <w:rPr>
          <w:rFonts w:ascii="Garamond" w:hAnsi="Garamond"/>
        </w:rPr>
        <w:t>Oatley</w:t>
      </w:r>
      <w:proofErr w:type="spellEnd"/>
      <w:r w:rsidRPr="00104AF1">
        <w:rPr>
          <w:rFonts w:ascii="Garamond" w:hAnsi="Garamond"/>
        </w:rPr>
        <w:t xml:space="preserve"> and Nabors 1998).</w:t>
      </w:r>
      <w:r w:rsidRPr="00104AF1">
        <w:rPr>
          <w:rFonts w:ascii="Garamond" w:hAnsi="Garamond"/>
        </w:rPr>
        <w:tab/>
      </w:r>
    </w:p>
    <w:p w14:paraId="1C3CFDB9" w14:textId="77777777" w:rsidR="005D7861" w:rsidRPr="00104AF1" w:rsidRDefault="005D7861" w:rsidP="00A52223">
      <w:pPr>
        <w:spacing w:line="480" w:lineRule="auto"/>
        <w:ind w:firstLine="720"/>
        <w:rPr>
          <w:rFonts w:ascii="Garamond" w:hAnsi="Garamond"/>
        </w:rPr>
      </w:pPr>
      <w:r w:rsidRPr="00104AF1">
        <w:rPr>
          <w:rFonts w:ascii="Garamond" w:hAnsi="Garamond"/>
        </w:rPr>
        <w:t>Even in early Basel I discussions, European reformists saw potential tools for advancing their agenda to coordinate national banking regulation inside the region and internationally (European Commission, 1983:17; Story and Walter, 1997: 281-283). Commitment to a single European passport for banks under the principle of mutual recognition, codified in the 1988 Second Banking Coordinating Directive, necessitated harmonization of capital reserve requirements (to ensure a level playing field) and made the newly agreed Basel I rules so appealing to European reformists (European Commission, 1985).</w:t>
      </w:r>
      <w:r w:rsidRPr="009F14C8">
        <w:rPr>
          <w:rStyle w:val="EndnoteReference"/>
          <w:rFonts w:ascii="Garamond" w:hAnsi="Garamond"/>
        </w:rPr>
        <w:endnoteReference w:id="22"/>
      </w:r>
      <w:r w:rsidRPr="00104AF1">
        <w:rPr>
          <w:rFonts w:ascii="Garamond" w:hAnsi="Garamond"/>
        </w:rPr>
        <w:t xml:space="preserve"> </w:t>
      </w:r>
      <w:r w:rsidRPr="004769FE">
        <w:rPr>
          <w:rFonts w:ascii="Garamond" w:hAnsi="Garamond"/>
        </w:rPr>
        <w:t xml:space="preserve"> </w:t>
      </w:r>
      <w:r w:rsidRPr="001F48F1">
        <w:rPr>
          <w:rFonts w:ascii="Garamond" w:hAnsi="Garamond"/>
        </w:rPr>
        <w:t xml:space="preserve">The incorporation of Basel I was an attractive alternative to the daunting challenge of devising a </w:t>
      </w:r>
      <w:r w:rsidRPr="00104AF1">
        <w:rPr>
          <w:rFonts w:ascii="Garamond" w:hAnsi="Garamond"/>
        </w:rPr>
        <w:t>European template at a time of vast differences in national capital requirement approaches. The Basel guidelines were not only international “best practice” but also provided significant flexibility (notably by not giving a common definition of capital and thereby accommodating the poorly capitalized French banks) (Story and Walter 1997, 283) and appealed to the British government, which had long advocated the creation of a European financial area (Ibid</w:t>
      </w:r>
      <w:proofErr w:type="gramStart"/>
      <w:r w:rsidRPr="00104AF1">
        <w:rPr>
          <w:rFonts w:ascii="Garamond" w:hAnsi="Garamond"/>
        </w:rPr>
        <w:t>.,</w:t>
      </w:r>
      <w:proofErr w:type="gramEnd"/>
      <w:r w:rsidRPr="00104AF1">
        <w:rPr>
          <w:rFonts w:ascii="Garamond" w:hAnsi="Garamond"/>
        </w:rPr>
        <w:t xml:space="preserve"> 276-281) and supported the US bid to create international requirements because of competitiveness concerns vis-à-vis Japanese banks.</w:t>
      </w:r>
    </w:p>
    <w:p w14:paraId="6ADE58C1" w14:textId="77777777" w:rsidR="005D7861" w:rsidRPr="00104AF1" w:rsidRDefault="005D7861" w:rsidP="00C4115D">
      <w:pPr>
        <w:spacing w:line="480" w:lineRule="auto"/>
        <w:ind w:firstLine="720"/>
        <w:rPr>
          <w:rFonts w:ascii="Garamond" w:hAnsi="Garamond"/>
        </w:rPr>
      </w:pPr>
      <w:r w:rsidRPr="00104AF1">
        <w:rPr>
          <w:rFonts w:ascii="Garamond" w:hAnsi="Garamond"/>
        </w:rPr>
        <w:t>The 1989 precedent of using Basel rules in EU legislation was repeated in subsequent legislation</w:t>
      </w:r>
      <w:r w:rsidRPr="009F14C8">
        <w:rPr>
          <w:rStyle w:val="EndnoteReference"/>
          <w:rFonts w:ascii="Garamond" w:hAnsi="Garamond"/>
        </w:rPr>
        <w:endnoteReference w:id="23"/>
      </w:r>
      <w:r w:rsidRPr="00104AF1">
        <w:rPr>
          <w:rFonts w:ascii="Garamond" w:hAnsi="Garamond"/>
        </w:rPr>
        <w:t xml:space="preserve"> when</w:t>
      </w:r>
      <w:r w:rsidRPr="004769FE">
        <w:rPr>
          <w:rFonts w:ascii="Garamond" w:hAnsi="Garamond"/>
        </w:rPr>
        <w:t xml:space="preserve"> the Europe</w:t>
      </w:r>
      <w:r w:rsidRPr="001F48F1">
        <w:rPr>
          <w:rFonts w:ascii="Garamond" w:hAnsi="Garamond"/>
        </w:rPr>
        <w:t xml:space="preserve">an Commission listed revision of EU capital adequacy </w:t>
      </w:r>
      <w:r w:rsidRPr="00104AF1">
        <w:rPr>
          <w:rFonts w:ascii="Garamond" w:hAnsi="Garamond"/>
        </w:rPr>
        <w:t>legislation as among the goals of the FSAP’s financial regulatory overhaul (European Commission, 1998 [18-20] &amp; 1999 [29]</w:t>
      </w:r>
      <w:r>
        <w:rPr>
          <w:rFonts w:ascii="Garamond" w:hAnsi="Garamond"/>
        </w:rPr>
        <w:t>)</w:t>
      </w:r>
      <w:r w:rsidRPr="00104AF1">
        <w:rPr>
          <w:rFonts w:ascii="Garamond" w:hAnsi="Garamond"/>
        </w:rPr>
        <w:t xml:space="preserve">.  Thus, as Basel rules became more neoliberal (see below), so too did Europe’s.  Transnational templates did not complete the global harmonization process, as domestic pushback against US Basel II compliance and continued disagreements over Basel III within the EU demonstrate.  Yet they brought Europe and the US closer on the ground rules for capital adequacy standards.  </w:t>
      </w:r>
    </w:p>
    <w:p w14:paraId="6EFFC6F1" w14:textId="77777777" w:rsidR="005D7861" w:rsidRPr="00104AF1" w:rsidRDefault="005D7861" w:rsidP="0080068D">
      <w:pPr>
        <w:spacing w:line="480" w:lineRule="auto"/>
        <w:ind w:firstLine="720"/>
        <w:rPr>
          <w:rFonts w:ascii="Garamond" w:hAnsi="Garamond"/>
        </w:rPr>
      </w:pPr>
      <w:r w:rsidRPr="00104AF1">
        <w:rPr>
          <w:rFonts w:ascii="Garamond" w:hAnsi="Garamond"/>
        </w:rPr>
        <w:t xml:space="preserve">Financial conglomerates is similar in that the preexistence of a transnational template helped to restructure internal bargains and brought the EU into closer alignment with the U.S.  </w:t>
      </w:r>
      <w:proofErr w:type="gramStart"/>
      <w:r w:rsidRPr="00104AF1">
        <w:rPr>
          <w:rFonts w:ascii="Garamond" w:hAnsi="Garamond"/>
        </w:rPr>
        <w:t xml:space="preserve">Previous efforts to establish consolidated supervision in Europe failed to overcome core </w:t>
      </w:r>
      <w:proofErr w:type="spellStart"/>
      <w:r w:rsidRPr="00104AF1">
        <w:rPr>
          <w:rFonts w:ascii="Garamond" w:hAnsi="Garamond"/>
        </w:rPr>
        <w:t>sectoral</w:t>
      </w:r>
      <w:proofErr w:type="spellEnd"/>
      <w:r w:rsidRPr="00104AF1">
        <w:rPr>
          <w:rFonts w:ascii="Garamond" w:hAnsi="Garamond"/>
        </w:rPr>
        <w:t xml:space="preserve"> differences.</w:t>
      </w:r>
      <w:proofErr w:type="gramEnd"/>
      <w:r w:rsidRPr="00104AF1">
        <w:rPr>
          <w:rFonts w:ascii="Garamond" w:hAnsi="Garamond"/>
        </w:rPr>
        <w:t xml:space="preserve">  Each sector ended up with its own directive (Coates 2001; </w:t>
      </w:r>
      <w:proofErr w:type="spellStart"/>
      <w:r w:rsidRPr="00104AF1">
        <w:rPr>
          <w:rFonts w:ascii="Garamond" w:hAnsi="Garamond"/>
        </w:rPr>
        <w:t>Gruson</w:t>
      </w:r>
      <w:proofErr w:type="spellEnd"/>
      <w:r w:rsidRPr="00104AF1">
        <w:rPr>
          <w:rFonts w:ascii="Garamond" w:hAnsi="Garamond"/>
        </w:rPr>
        <w:t xml:space="preserve"> 2004, 363-364).  The adoption of a single national regulator for all financial services sectors in the UK (1997) and Germany (in 2002) prompted their governments to take the lead in the new legislative effort.  </w:t>
      </w:r>
    </w:p>
    <w:p w14:paraId="657FFBDE" w14:textId="77777777" w:rsidR="005D7861" w:rsidRPr="00104AF1" w:rsidRDefault="005D7861" w:rsidP="00DA7DE0">
      <w:pPr>
        <w:spacing w:line="480" w:lineRule="auto"/>
        <w:ind w:firstLine="720"/>
        <w:rPr>
          <w:rFonts w:ascii="Garamond" w:hAnsi="Garamond"/>
        </w:rPr>
      </w:pPr>
      <w:r w:rsidRPr="00104AF1">
        <w:rPr>
          <w:rFonts w:ascii="Garamond" w:hAnsi="Garamond"/>
        </w:rPr>
        <w:t>The availability of the 1999 Joint Forum’s principles for supervision of financial conglomerates facilitated Europe-wide agreement.</w:t>
      </w:r>
      <w:r w:rsidRPr="009F14C8">
        <w:rPr>
          <w:rStyle w:val="EndnoteReference"/>
          <w:rFonts w:ascii="Garamond" w:hAnsi="Garamond"/>
        </w:rPr>
        <w:endnoteReference w:id="24"/>
      </w:r>
      <w:r w:rsidRPr="00104AF1">
        <w:rPr>
          <w:rFonts w:ascii="Garamond" w:hAnsi="Garamond"/>
        </w:rPr>
        <w:t xml:space="preserve"> </w:t>
      </w:r>
      <w:r w:rsidRPr="004769FE">
        <w:rPr>
          <w:rFonts w:ascii="Garamond" w:hAnsi="Garamond"/>
        </w:rPr>
        <w:t xml:space="preserve"> </w:t>
      </w:r>
      <w:r w:rsidRPr="001F48F1">
        <w:rPr>
          <w:rFonts w:ascii="Garamond" w:hAnsi="Garamond"/>
        </w:rPr>
        <w:t xml:space="preserve">Like a new technology, the Joint Forum’s principles concerning coordination of authorities and supplementary supervision (atop of existing “silos”) </w:t>
      </w:r>
      <w:r w:rsidRPr="00104AF1">
        <w:rPr>
          <w:rFonts w:ascii="Garamond" w:hAnsi="Garamond"/>
        </w:rPr>
        <w:t xml:space="preserve">offered Europeans a way around the political impasse concerning </w:t>
      </w:r>
      <w:proofErr w:type="spellStart"/>
      <w:r w:rsidRPr="00104AF1">
        <w:rPr>
          <w:rFonts w:ascii="Garamond" w:hAnsi="Garamond"/>
        </w:rPr>
        <w:t>sectoral</w:t>
      </w:r>
      <w:proofErr w:type="spellEnd"/>
      <w:r w:rsidRPr="00104AF1">
        <w:rPr>
          <w:rFonts w:ascii="Garamond" w:hAnsi="Garamond"/>
        </w:rPr>
        <w:t xml:space="preserve"> differences (</w:t>
      </w:r>
      <w:proofErr w:type="spellStart"/>
      <w:r w:rsidRPr="00104AF1">
        <w:rPr>
          <w:rFonts w:ascii="Garamond" w:hAnsi="Garamond"/>
        </w:rPr>
        <w:t>Gruson</w:t>
      </w:r>
      <w:proofErr w:type="spellEnd"/>
      <w:r w:rsidRPr="00104AF1">
        <w:rPr>
          <w:rFonts w:ascii="Garamond" w:hAnsi="Garamond"/>
        </w:rPr>
        <w:t xml:space="preserve"> 2004). The new approach won over the resistance of Mediterranean countries and some of the new member states, which had not adopted the single regulatory model at the national level and were reluctant to alter existing domestic arrangements (</w:t>
      </w:r>
      <w:proofErr w:type="spellStart"/>
      <w:r w:rsidRPr="00104AF1">
        <w:rPr>
          <w:rFonts w:ascii="Garamond" w:hAnsi="Garamond"/>
        </w:rPr>
        <w:t>Quaglia</w:t>
      </w:r>
      <w:proofErr w:type="spellEnd"/>
      <w:r w:rsidRPr="00104AF1">
        <w:rPr>
          <w:rFonts w:ascii="Garamond" w:hAnsi="Garamond"/>
        </w:rPr>
        <w:t xml:space="preserve"> 2010, 63).  Moreover, by writing legislation based on international best practice and including provisions that required foreign firms – especially U.S. ones – operating in London (and elsewhere in Europe) to have equivalent supervision or be subject to the EU’s regime, the Brussels accord was able to satisfy British concerns (Ibid. 64).</w:t>
      </w:r>
      <w:r w:rsidRPr="009F14C8">
        <w:rPr>
          <w:rStyle w:val="EndnoteReference"/>
          <w:rFonts w:ascii="Garamond" w:hAnsi="Garamond"/>
        </w:rPr>
        <w:endnoteReference w:id="25"/>
      </w:r>
    </w:p>
    <w:p w14:paraId="79EE5846" w14:textId="5FA8CADF" w:rsidR="005D7861" w:rsidRPr="00104AF1" w:rsidRDefault="005D7861" w:rsidP="00972921">
      <w:pPr>
        <w:spacing w:line="480" w:lineRule="auto"/>
        <w:ind w:firstLine="720"/>
        <w:rPr>
          <w:rFonts w:ascii="Garamond" w:hAnsi="Garamond"/>
        </w:rPr>
      </w:pPr>
      <w:r w:rsidRPr="004769FE">
        <w:rPr>
          <w:rFonts w:ascii="Garamond" w:hAnsi="Garamond"/>
        </w:rPr>
        <w:t>T</w:t>
      </w:r>
      <w:r w:rsidRPr="001F48F1">
        <w:rPr>
          <w:rFonts w:ascii="Garamond" w:hAnsi="Garamond"/>
        </w:rPr>
        <w:t xml:space="preserve">he adoption of the Joint Forum template was not politically neutral.  It eased </w:t>
      </w:r>
      <w:r w:rsidRPr="00104AF1">
        <w:rPr>
          <w:rFonts w:ascii="Garamond" w:hAnsi="Garamond"/>
        </w:rPr>
        <w:t xml:space="preserve">agreement in the narrow area of consolidated supervision but sparked new conflicts, one of which prompted </w:t>
      </w:r>
      <w:proofErr w:type="gramStart"/>
      <w:r w:rsidRPr="00104AF1">
        <w:rPr>
          <w:rFonts w:ascii="Garamond" w:hAnsi="Garamond"/>
        </w:rPr>
        <w:t>Transatlantic</w:t>
      </w:r>
      <w:proofErr w:type="gramEnd"/>
      <w:r w:rsidRPr="00104AF1">
        <w:rPr>
          <w:rFonts w:ascii="Garamond" w:hAnsi="Garamond"/>
        </w:rPr>
        <w:t xml:space="preserve"> alignment.  Internally, by borrowing the Joint Forum’s emphasis on coordinating mechanisms, the directive aggravated a simmering battle over oversight and led to the extension of the </w:t>
      </w:r>
      <w:proofErr w:type="spellStart"/>
      <w:r w:rsidRPr="00104AF1">
        <w:rPr>
          <w:rFonts w:ascii="Garamond" w:hAnsi="Garamond"/>
        </w:rPr>
        <w:t>Lamfalussy</w:t>
      </w:r>
      <w:proofErr w:type="spellEnd"/>
      <w:r w:rsidRPr="00104AF1">
        <w:rPr>
          <w:rFonts w:ascii="Garamond" w:hAnsi="Garamond"/>
        </w:rPr>
        <w:t xml:space="preserve"> architecture to banking, insurance and conglomerates (and to the ECB’s continued relegation to the sidelines of banking supervision).</w:t>
      </w:r>
      <w:r w:rsidRPr="009F14C8">
        <w:rPr>
          <w:rStyle w:val="EndnoteReference"/>
          <w:rFonts w:ascii="Garamond" w:hAnsi="Garamond"/>
        </w:rPr>
        <w:endnoteReference w:id="26"/>
      </w:r>
      <w:r w:rsidRPr="00104AF1">
        <w:rPr>
          <w:rFonts w:ascii="Garamond" w:hAnsi="Garamond"/>
        </w:rPr>
        <w:t xml:space="preserve"> </w:t>
      </w:r>
      <w:r w:rsidRPr="004769FE">
        <w:rPr>
          <w:rFonts w:ascii="Garamond" w:hAnsi="Garamond"/>
        </w:rPr>
        <w:t xml:space="preserve"> Externally, by requiring</w:t>
      </w:r>
      <w:r w:rsidRPr="001F48F1">
        <w:rPr>
          <w:rFonts w:ascii="Garamond" w:hAnsi="Garamond"/>
        </w:rPr>
        <w:t xml:space="preserve"> equivalent supervision for U.S. and other foreign firms operating in the EU, </w:t>
      </w:r>
      <w:r w:rsidRPr="00104AF1">
        <w:rPr>
          <w:rFonts w:ascii="Garamond" w:hAnsi="Garamond"/>
        </w:rPr>
        <w:t>after an initial Transatlantic spat, the SEC introduced a new holding company rule also designed to meet int</w:t>
      </w:r>
      <w:r w:rsidR="00696168">
        <w:rPr>
          <w:rFonts w:ascii="Garamond" w:hAnsi="Garamond"/>
        </w:rPr>
        <w:t>ernational best practice (Posner 2009</w:t>
      </w:r>
      <w:r w:rsidRPr="00104AF1">
        <w:rPr>
          <w:rFonts w:ascii="Garamond" w:hAnsi="Garamond"/>
        </w:rPr>
        <w:t xml:space="preserve">; </w:t>
      </w:r>
      <w:proofErr w:type="spellStart"/>
      <w:r w:rsidRPr="00104AF1">
        <w:rPr>
          <w:rFonts w:ascii="Garamond" w:hAnsi="Garamond"/>
        </w:rPr>
        <w:t>Dür</w:t>
      </w:r>
      <w:proofErr w:type="spellEnd"/>
      <w:r w:rsidRPr="00104AF1">
        <w:rPr>
          <w:rFonts w:ascii="Garamond" w:hAnsi="Garamond"/>
        </w:rPr>
        <w:t xml:space="preserve"> 2011).</w:t>
      </w:r>
    </w:p>
    <w:p w14:paraId="47BD7375" w14:textId="77777777" w:rsidR="005D7861" w:rsidRPr="00104AF1" w:rsidRDefault="005D7861" w:rsidP="00972921">
      <w:pPr>
        <w:spacing w:line="480" w:lineRule="auto"/>
        <w:ind w:firstLine="720"/>
        <w:rPr>
          <w:rFonts w:ascii="Garamond" w:hAnsi="Garamond"/>
        </w:rPr>
      </w:pPr>
    </w:p>
    <w:p w14:paraId="4A033D6C" w14:textId="77777777" w:rsidR="005D7861" w:rsidRPr="00104AF1" w:rsidRDefault="005D7861" w:rsidP="00F07D0B">
      <w:pPr>
        <w:spacing w:line="480" w:lineRule="auto"/>
        <w:rPr>
          <w:rFonts w:ascii="Garamond" w:hAnsi="Garamond"/>
          <w:i/>
        </w:rPr>
      </w:pPr>
      <w:r w:rsidRPr="00104AF1">
        <w:rPr>
          <w:rFonts w:ascii="Garamond" w:hAnsi="Garamond"/>
          <w:i/>
        </w:rPr>
        <w:t xml:space="preserve">Alternative Arguments </w:t>
      </w:r>
    </w:p>
    <w:p w14:paraId="795843FA" w14:textId="77777777" w:rsidR="005D7861" w:rsidRPr="00104AF1" w:rsidRDefault="005D7861" w:rsidP="00BE24A7">
      <w:pPr>
        <w:spacing w:line="480" w:lineRule="auto"/>
        <w:ind w:firstLine="720"/>
        <w:rPr>
          <w:rFonts w:ascii="Garamond" w:hAnsi="Garamond"/>
        </w:rPr>
      </w:pPr>
      <w:r w:rsidRPr="00104AF1">
        <w:rPr>
          <w:rFonts w:ascii="Garamond" w:hAnsi="Garamond"/>
        </w:rPr>
        <w:t>Do the counter arguments better explain great power alignment?  The power-based account (Table 1, EE1) faces a number of challenges.  First, it has little purchase on the overarching pattern of preference alignment or the variation across subsectors.  The power-based model assumes that existing internal regulatory structures prior to global cooperation determine great power preferences. Yet assuming fixed and largely domestically derived preferences generates an expectation of preference divergence across the Atlantic.  Our six-subsector study finds internal policy paralysis within Europe that then gives way to internal reform and transatlantic policy alignment - in the majority but not all instances (i.e., insurance and company law).  Thus, the power-based approach not only incorrectly predicts the probability of transatlantic alignment but also offers no mechanism to explain subsector variance.</w:t>
      </w:r>
    </w:p>
    <w:p w14:paraId="4A34D5AA" w14:textId="00F80FCA" w:rsidR="005D7861" w:rsidRPr="001F48F1" w:rsidRDefault="005D7861">
      <w:pPr>
        <w:spacing w:line="480" w:lineRule="auto"/>
        <w:ind w:firstLine="720"/>
        <w:rPr>
          <w:rFonts w:ascii="Garamond" w:hAnsi="Garamond"/>
        </w:rPr>
      </w:pPr>
      <w:r w:rsidRPr="00104AF1">
        <w:rPr>
          <w:rFonts w:ascii="Garamond" w:hAnsi="Garamond"/>
        </w:rPr>
        <w:t xml:space="preserve">Is the great power </w:t>
      </w:r>
      <w:r>
        <w:rPr>
          <w:rFonts w:ascii="Garamond" w:hAnsi="Garamond"/>
        </w:rPr>
        <w:t xml:space="preserve">preference </w:t>
      </w:r>
      <w:r w:rsidRPr="00104AF1">
        <w:rPr>
          <w:rFonts w:ascii="Garamond" w:hAnsi="Garamond"/>
        </w:rPr>
        <w:t xml:space="preserve">alignment better conceived as a function of organized international firms (Table 1, EE2)?  Several types of evidence run counter to such arguments.  First, the </w:t>
      </w:r>
      <w:r w:rsidR="00363AFD">
        <w:rPr>
          <w:rFonts w:ascii="Garamond" w:hAnsi="Garamond"/>
        </w:rPr>
        <w:t>regulatory capture</w:t>
      </w:r>
      <w:r w:rsidRPr="00104AF1">
        <w:rPr>
          <w:rFonts w:ascii="Garamond" w:hAnsi="Garamond"/>
        </w:rPr>
        <w:t xml:space="preserve"> account faces similar difficulties in explaining variance in transatlantic cooperation across subsectors as organized international firms have fairly constant incentives, well established in the literature, to promote regulation that expands firm discretion.  Second, leading political actors in Europe were not captured by industry.  Even Daniel </w:t>
      </w:r>
      <w:proofErr w:type="spellStart"/>
      <w:r w:rsidRPr="00104AF1">
        <w:rPr>
          <w:rFonts w:ascii="Garamond" w:hAnsi="Garamond"/>
        </w:rPr>
        <w:t>Mügge’s</w:t>
      </w:r>
      <w:proofErr w:type="spellEnd"/>
      <w:r w:rsidRPr="00104AF1">
        <w:rPr>
          <w:rFonts w:ascii="Garamond" w:hAnsi="Garamond"/>
        </w:rPr>
        <w:t xml:space="preserve"> careful study, which emphasizes the importance of the largest international banks in Europe’s financial regulatory overhaul, supports our claim.  With its attention to transnational public-private alliances, </w:t>
      </w:r>
      <w:proofErr w:type="spellStart"/>
      <w:r w:rsidRPr="00104AF1">
        <w:rPr>
          <w:rFonts w:ascii="Garamond" w:hAnsi="Garamond"/>
        </w:rPr>
        <w:t>Mügge’s</w:t>
      </w:r>
      <w:proofErr w:type="spellEnd"/>
      <w:r w:rsidRPr="00104AF1">
        <w:rPr>
          <w:rFonts w:ascii="Garamond" w:hAnsi="Garamond"/>
        </w:rPr>
        <w:t xml:space="preserve"> argument maintains that the policy entrepreneur behind the FSAP, the European Commission, “had already reached its position in </w:t>
      </w:r>
      <w:proofErr w:type="spellStart"/>
      <w:r w:rsidRPr="00104AF1">
        <w:rPr>
          <w:rFonts w:ascii="Garamond" w:hAnsi="Garamond"/>
        </w:rPr>
        <w:t>favour</w:t>
      </w:r>
      <w:proofErr w:type="spellEnd"/>
      <w:r w:rsidRPr="00104AF1">
        <w:rPr>
          <w:rFonts w:ascii="Garamond" w:hAnsi="Garamond"/>
        </w:rPr>
        <w:t xml:space="preserve"> of further integration...”(</w:t>
      </w:r>
      <w:proofErr w:type="spellStart"/>
      <w:r w:rsidRPr="00104AF1">
        <w:rPr>
          <w:rFonts w:ascii="Garamond" w:hAnsi="Garamond"/>
        </w:rPr>
        <w:t>Mügge</w:t>
      </w:r>
      <w:proofErr w:type="spellEnd"/>
      <w:r w:rsidRPr="00104AF1">
        <w:rPr>
          <w:rFonts w:ascii="Garamond" w:hAnsi="Garamond"/>
        </w:rPr>
        <w:t xml:space="preserve"> 2010, 93-94).  Third, contrary to expectations by the mobility argument, at the time of the EU reforms cross-Atlantic private sector coordination hardly existed.  Once EU policymakers had decided to move ahead with the legislative agenda, US banks were first to lobby – a fact that triggered angry reactions from their relatively poorly organized European counterparts (Wicks, 2004).</w:t>
      </w:r>
      <w:r w:rsidRPr="009F14C8">
        <w:rPr>
          <w:rStyle w:val="EndnoteReference"/>
          <w:rFonts w:ascii="Garamond" w:hAnsi="Garamond"/>
        </w:rPr>
        <w:endnoteReference w:id="27"/>
      </w:r>
      <w:r w:rsidRPr="00104AF1">
        <w:rPr>
          <w:rFonts w:ascii="Garamond" w:hAnsi="Garamond"/>
        </w:rPr>
        <w:t xml:space="preserve"> </w:t>
      </w:r>
      <w:r w:rsidRPr="004769FE">
        <w:rPr>
          <w:rFonts w:ascii="Garamond" w:hAnsi="Garamond"/>
        </w:rPr>
        <w:t xml:space="preserve"> </w:t>
      </w:r>
      <w:r w:rsidRPr="001F48F1">
        <w:rPr>
          <w:rFonts w:ascii="Garamond" w:hAnsi="Garamond"/>
        </w:rPr>
        <w:t>Unable to sway EU policymakers to their satisfaction, US banks turned to the US Congress, Treasury and the SEC for help.</w:t>
      </w:r>
      <w:r w:rsidRPr="009F14C8">
        <w:rPr>
          <w:rStyle w:val="EndnoteReference"/>
          <w:rFonts w:ascii="Garamond" w:hAnsi="Garamond"/>
        </w:rPr>
        <w:endnoteReference w:id="28"/>
      </w:r>
      <w:r w:rsidRPr="00104AF1">
        <w:rPr>
          <w:rFonts w:ascii="Garamond" w:hAnsi="Garamond"/>
        </w:rPr>
        <w:t xml:space="preserve">  When the extraterritorial effects of EU and US legislation sparked regulatory conflicts, </w:t>
      </w:r>
      <w:proofErr w:type="gramStart"/>
      <w:r w:rsidRPr="00104AF1">
        <w:rPr>
          <w:rFonts w:ascii="Garamond" w:hAnsi="Garamond"/>
        </w:rPr>
        <w:t>US and EU firms</w:t>
      </w:r>
      <w:proofErr w:type="gramEnd"/>
      <w:r w:rsidRPr="00104AF1">
        <w:rPr>
          <w:rFonts w:ascii="Garamond" w:hAnsi="Garamond"/>
        </w:rPr>
        <w:t xml:space="preserve"> were </w:t>
      </w:r>
      <w:r w:rsidRPr="004769FE">
        <w:rPr>
          <w:rFonts w:ascii="Garamond" w:hAnsi="Garamond"/>
        </w:rPr>
        <w:t>sometim</w:t>
      </w:r>
      <w:r w:rsidRPr="001F48F1">
        <w:rPr>
          <w:rFonts w:ascii="Garamond" w:hAnsi="Garamond"/>
        </w:rPr>
        <w:t xml:space="preserve">es on opposing sides. </w:t>
      </w:r>
    </w:p>
    <w:p w14:paraId="67F5C0BC" w14:textId="70E6AECD" w:rsidR="005D7861" w:rsidRPr="00104AF1" w:rsidRDefault="005D7861" w:rsidP="00E63BB9">
      <w:pPr>
        <w:spacing w:line="480" w:lineRule="auto"/>
        <w:ind w:firstLine="720"/>
        <w:rPr>
          <w:rFonts w:ascii="Garamond" w:hAnsi="Garamond"/>
        </w:rPr>
      </w:pPr>
      <w:r w:rsidRPr="00104AF1">
        <w:rPr>
          <w:rFonts w:ascii="Garamond" w:hAnsi="Garamond"/>
        </w:rPr>
        <w:t>Finally, the public-private alliance between the biggest banks, the European Commission and “Northern” governments comprised the anchor of the broad European coalition of reformers in long-standing political battles over financial regulation.  There is no doubt this coalition did better than the competing one.</w:t>
      </w:r>
      <w:r w:rsidRPr="00104AF1">
        <w:rPr>
          <w:rStyle w:val="EndnoteReference"/>
          <w:rFonts w:ascii="Garamond" w:hAnsi="Garamond"/>
        </w:rPr>
        <w:t xml:space="preserve"> </w:t>
      </w:r>
      <w:r w:rsidRPr="009F14C8">
        <w:rPr>
          <w:rStyle w:val="EndnoteReference"/>
          <w:rFonts w:ascii="Garamond" w:hAnsi="Garamond"/>
        </w:rPr>
        <w:endnoteReference w:id="29"/>
      </w:r>
      <w:r w:rsidRPr="00104AF1">
        <w:rPr>
          <w:rFonts w:ascii="Garamond" w:hAnsi="Garamond"/>
        </w:rPr>
        <w:t xml:space="preserve">  The evidence from our study, however, shows that the reformists did not win every battle; and that transnational templates played a significant role across cases </w:t>
      </w:r>
      <w:r w:rsidRPr="004769FE">
        <w:rPr>
          <w:rFonts w:ascii="Garamond" w:hAnsi="Garamond"/>
        </w:rPr>
        <w:t>in bolstering their relative bargaining power.  I</w:t>
      </w:r>
      <w:r w:rsidRPr="001F48F1">
        <w:rPr>
          <w:rFonts w:ascii="Garamond" w:hAnsi="Garamond"/>
        </w:rPr>
        <w:t xml:space="preserve">n the absence of transnational templates, it is hard to imagine that the EU would have gone nearly as far in this direction as it did.  </w:t>
      </w:r>
    </w:p>
    <w:p w14:paraId="59EFCE4D" w14:textId="77777777" w:rsidR="005D7861" w:rsidRPr="00104AF1" w:rsidRDefault="005D7861" w:rsidP="00D10E82">
      <w:pPr>
        <w:spacing w:line="480" w:lineRule="auto"/>
        <w:ind w:firstLine="720"/>
        <w:rPr>
          <w:rFonts w:ascii="Garamond" w:hAnsi="Garamond"/>
        </w:rPr>
      </w:pPr>
      <w:r w:rsidRPr="00104AF1">
        <w:rPr>
          <w:rFonts w:ascii="Garamond" w:hAnsi="Garamond"/>
        </w:rPr>
        <w:t xml:space="preserve">At the end of the millennium, the EU faced a number of pressures to modernize its financial architecture including spillovers from its internal decision to construct a single currency and growing competitiveness challenges from abroad.  Nevertheless, reformist policy-makers faced entrenched institutional and </w:t>
      </w:r>
      <w:proofErr w:type="spellStart"/>
      <w:r w:rsidRPr="00104AF1">
        <w:rPr>
          <w:rFonts w:ascii="Garamond" w:hAnsi="Garamond"/>
        </w:rPr>
        <w:t>sectoral</w:t>
      </w:r>
      <w:proofErr w:type="spellEnd"/>
      <w:r w:rsidRPr="00104AF1">
        <w:rPr>
          <w:rFonts w:ascii="Garamond" w:hAnsi="Garamond"/>
        </w:rPr>
        <w:t xml:space="preserve"> differences (e.g. universal versus fragmented banking, fair value versus historical value accounting, anti-trust versus competition policy, and interlocking directorates versus independent boards to name a few), which generated preference heterogeneity across the member states and frequently sham standards or policy failure internally.  How this reform program was resolved and on what terms, played a critical role not only for Europe </w:t>
      </w:r>
      <w:proofErr w:type="gramStart"/>
      <w:r w:rsidRPr="00104AF1">
        <w:rPr>
          <w:rFonts w:ascii="Garamond" w:hAnsi="Garamond"/>
        </w:rPr>
        <w:t>but</w:t>
      </w:r>
      <w:proofErr w:type="gramEnd"/>
      <w:r w:rsidRPr="00104AF1">
        <w:rPr>
          <w:rFonts w:ascii="Garamond" w:hAnsi="Garamond"/>
        </w:rPr>
        <w:t xml:space="preserve"> for cooperation globally. While not the result of </w:t>
      </w:r>
      <w:r>
        <w:rPr>
          <w:rFonts w:ascii="Garamond" w:hAnsi="Garamond"/>
        </w:rPr>
        <w:t xml:space="preserve">a </w:t>
      </w:r>
      <w:proofErr w:type="spellStart"/>
      <w:r w:rsidRPr="00104AF1">
        <w:rPr>
          <w:rFonts w:ascii="Garamond" w:hAnsi="Garamond"/>
        </w:rPr>
        <w:t>monocausal</w:t>
      </w:r>
      <w:proofErr w:type="spellEnd"/>
      <w:r w:rsidRPr="00104AF1">
        <w:rPr>
          <w:rFonts w:ascii="Garamond" w:hAnsi="Garamond"/>
        </w:rPr>
        <w:t xml:space="preserve"> pathway, as demonstrated by the case of financial instruments, our evidence strongly supports that the existence of transnational templates produced policy feedbacks that increased the probability of reform.  Standards created in earlier periods with significant input from US regulatory actors, provided reformist coalitions in later periods with important leverage in domestic debates.  In adopting these templates, reformists could navigate the delicate political divide between member state divisions while at the same time (often unintentionally) promote preference </w:t>
      </w:r>
      <w:r>
        <w:rPr>
          <w:rFonts w:ascii="Garamond" w:hAnsi="Garamond"/>
        </w:rPr>
        <w:t>alignment</w:t>
      </w:r>
      <w:r w:rsidRPr="00104AF1">
        <w:rPr>
          <w:rFonts w:ascii="Garamond" w:hAnsi="Garamond"/>
        </w:rPr>
        <w:t xml:space="preserve"> globally. </w:t>
      </w:r>
    </w:p>
    <w:p w14:paraId="5FCA504A" w14:textId="77777777" w:rsidR="005D7861" w:rsidRPr="00104AF1" w:rsidRDefault="005D7861" w:rsidP="009B6870">
      <w:pPr>
        <w:spacing w:line="480" w:lineRule="auto"/>
        <w:rPr>
          <w:rFonts w:ascii="Garamond" w:hAnsi="Garamond"/>
          <w:i/>
        </w:rPr>
      </w:pPr>
      <w:proofErr w:type="gramStart"/>
      <w:r w:rsidRPr="00104AF1">
        <w:rPr>
          <w:rFonts w:ascii="Garamond" w:hAnsi="Garamond"/>
          <w:i/>
        </w:rPr>
        <w:t>Transnational Soft Law as a Mechanism of US Regulation?</w:t>
      </w:r>
      <w:proofErr w:type="gramEnd"/>
    </w:p>
    <w:p w14:paraId="6F770B6F" w14:textId="77777777" w:rsidR="005D7861" w:rsidRPr="00104AF1" w:rsidRDefault="005D7861" w:rsidP="009B6870">
      <w:pPr>
        <w:spacing w:line="480" w:lineRule="auto"/>
        <w:ind w:firstLine="720"/>
        <w:rPr>
          <w:rFonts w:ascii="Garamond" w:hAnsi="Garamond"/>
        </w:rPr>
      </w:pPr>
      <w:r w:rsidRPr="00104AF1">
        <w:rPr>
          <w:rFonts w:ascii="Garamond" w:hAnsi="Garamond"/>
        </w:rPr>
        <w:t>One lingering question, rooted in a variant of Realist skepticism (</w:t>
      </w:r>
      <w:proofErr w:type="spellStart"/>
      <w:r w:rsidRPr="00104AF1">
        <w:rPr>
          <w:rFonts w:ascii="Garamond" w:hAnsi="Garamond"/>
        </w:rPr>
        <w:t>Tablel</w:t>
      </w:r>
      <w:proofErr w:type="spellEnd"/>
      <w:r w:rsidRPr="00104AF1">
        <w:rPr>
          <w:rFonts w:ascii="Garamond" w:hAnsi="Garamond"/>
        </w:rPr>
        <w:t xml:space="preserve"> 1</w:t>
      </w:r>
      <w:r>
        <w:rPr>
          <w:rFonts w:ascii="Garamond" w:hAnsi="Garamond"/>
        </w:rPr>
        <w:t>, EE1</w:t>
      </w:r>
      <w:r w:rsidRPr="00104AF1">
        <w:rPr>
          <w:rFonts w:ascii="Garamond" w:hAnsi="Garamond"/>
        </w:rPr>
        <w:t xml:space="preserve">), is whether US regulators had intentionally used transnational soft law to bring about EU convergence to US approaches.  If this were the case, our assumption of pre-crisis EU-US financial regulatory bipolarity (borrowed from </w:t>
      </w:r>
      <w:proofErr w:type="spellStart"/>
      <w:r w:rsidRPr="00104AF1">
        <w:rPr>
          <w:rFonts w:ascii="Garamond" w:hAnsi="Garamond"/>
        </w:rPr>
        <w:t>Drezner</w:t>
      </w:r>
      <w:proofErr w:type="spellEnd"/>
      <w:r w:rsidRPr="00104AF1">
        <w:rPr>
          <w:rFonts w:ascii="Garamond" w:hAnsi="Garamond"/>
        </w:rPr>
        <w:t xml:space="preserve"> and others) would be misguided, as US hegemony would never have ended.  </w:t>
      </w:r>
    </w:p>
    <w:p w14:paraId="44FE9863" w14:textId="5CCCD952" w:rsidR="005D7861" w:rsidRPr="00104AF1" w:rsidRDefault="005D7861" w:rsidP="009B6870">
      <w:pPr>
        <w:spacing w:line="480" w:lineRule="auto"/>
        <w:ind w:firstLine="720"/>
        <w:rPr>
          <w:rFonts w:ascii="Garamond" w:hAnsi="Garamond"/>
        </w:rPr>
      </w:pPr>
      <w:r w:rsidRPr="00104AF1">
        <w:rPr>
          <w:rFonts w:ascii="Garamond" w:hAnsi="Garamond"/>
        </w:rPr>
        <w:t>Such a logic, which sees transnational soft law as a US tool for transforming European financial arrangements rather than a</w:t>
      </w:r>
      <w:r>
        <w:rPr>
          <w:rFonts w:ascii="Garamond" w:hAnsi="Garamond"/>
        </w:rPr>
        <w:t xml:space="preserve"> source of</w:t>
      </w:r>
      <w:r w:rsidRPr="00104AF1">
        <w:rPr>
          <w:rFonts w:ascii="Garamond" w:hAnsi="Garamond"/>
        </w:rPr>
        <w:t xml:space="preserve"> independent</w:t>
      </w:r>
      <w:r>
        <w:rPr>
          <w:rFonts w:ascii="Garamond" w:hAnsi="Garamond"/>
        </w:rPr>
        <w:t>, temporal</w:t>
      </w:r>
      <w:r w:rsidRPr="00104AF1">
        <w:rPr>
          <w:rFonts w:ascii="Garamond" w:hAnsi="Garamond"/>
        </w:rPr>
        <w:t xml:space="preserve"> effect</w:t>
      </w:r>
      <w:r>
        <w:rPr>
          <w:rFonts w:ascii="Garamond" w:hAnsi="Garamond"/>
        </w:rPr>
        <w:t xml:space="preserve">s, </w:t>
      </w:r>
      <w:r w:rsidRPr="00104AF1">
        <w:rPr>
          <w:rFonts w:ascii="Garamond" w:hAnsi="Garamond"/>
        </w:rPr>
        <w:t>engages in ex post analysis and makes incredulous assumptions about the ability of actors to strategize into the future.  In 1998, when the European Commission first proposed the FSAP, no one in Europe, let alone across the Atlantic, anticipated the concatenated factors that produced financial regulatory harmonization</w:t>
      </w:r>
      <w:r>
        <w:rPr>
          <w:rFonts w:ascii="Garamond" w:hAnsi="Garamond"/>
        </w:rPr>
        <w:t xml:space="preserve"> in the region</w:t>
      </w:r>
      <w:r w:rsidRPr="00104AF1">
        <w:rPr>
          <w:rFonts w:ascii="Garamond" w:hAnsi="Garamond"/>
        </w:rPr>
        <w:t xml:space="preserve"> – and therefore that European policy entrepreneurs would find transnational templates so useful. </w:t>
      </w:r>
    </w:p>
    <w:p w14:paraId="7628D991" w14:textId="77777777" w:rsidR="005D7861" w:rsidRPr="00104AF1" w:rsidRDefault="005D7861" w:rsidP="009B6870">
      <w:pPr>
        <w:spacing w:line="480" w:lineRule="auto"/>
        <w:ind w:firstLine="720"/>
        <w:rPr>
          <w:rFonts w:ascii="Garamond" w:hAnsi="Garamond"/>
        </w:rPr>
      </w:pPr>
      <w:r w:rsidRPr="00104AF1">
        <w:rPr>
          <w:rFonts w:ascii="Garamond" w:hAnsi="Garamond"/>
        </w:rPr>
        <w:t>Indeed, the EU project occurred when US financial regulatory strategy vis-à-vis transnational bodies was not focused on Europe. US authorities during this period supported the enhancement of transnational standards and bodies primarily as tools for reforming “crony” financial systems of Asian and other “emerging” markets in the wake of the Asian Financial Crisis</w:t>
      </w:r>
      <w:r>
        <w:rPr>
          <w:rFonts w:ascii="Garamond" w:hAnsi="Garamond"/>
        </w:rPr>
        <w:t xml:space="preserve"> (</w:t>
      </w:r>
      <w:proofErr w:type="spellStart"/>
      <w:r>
        <w:rPr>
          <w:rFonts w:ascii="Garamond" w:hAnsi="Garamond"/>
        </w:rPr>
        <w:t>Blustein</w:t>
      </w:r>
      <w:proofErr w:type="spellEnd"/>
      <w:r>
        <w:rPr>
          <w:rFonts w:ascii="Garamond" w:hAnsi="Garamond"/>
        </w:rPr>
        <w:t xml:space="preserve"> 2003)</w:t>
      </w:r>
      <w:r w:rsidRPr="00104AF1">
        <w:rPr>
          <w:rFonts w:ascii="Garamond" w:hAnsi="Garamond"/>
        </w:rPr>
        <w:t>.  Even in the prior case of Basel I, U.S. authorities were motivated primarily by the threat of Japanese banks and not the potential payoff of the agreement to transform Europe (</w:t>
      </w:r>
      <w:proofErr w:type="spellStart"/>
      <w:r w:rsidRPr="00104AF1">
        <w:rPr>
          <w:rFonts w:ascii="Garamond" w:hAnsi="Garamond"/>
        </w:rPr>
        <w:t>Kapstein</w:t>
      </w:r>
      <w:proofErr w:type="spellEnd"/>
      <w:r w:rsidRPr="00104AF1">
        <w:rPr>
          <w:rFonts w:ascii="Garamond" w:hAnsi="Garamond"/>
        </w:rPr>
        <w:t xml:space="preserve"> 1994; Singer 2007; </w:t>
      </w:r>
      <w:proofErr w:type="spellStart"/>
      <w:r w:rsidRPr="00104AF1">
        <w:rPr>
          <w:rFonts w:ascii="Garamond" w:hAnsi="Garamond"/>
        </w:rPr>
        <w:t>Oatley</w:t>
      </w:r>
      <w:proofErr w:type="spellEnd"/>
      <w:r w:rsidRPr="00104AF1">
        <w:rPr>
          <w:rFonts w:ascii="Garamond" w:hAnsi="Garamond"/>
        </w:rPr>
        <w:t xml:space="preserve"> and Nabors 1998).  The lack of US attention to EU matters is understandable, given the record of regional integration failures. European policymakers had launched a previous regulatory project in 1985, which fell woefully short of the “single financial market” goal (Story and Walter 1997).  In 1995, when the European Commission proposed EU adoption of international accounting standards, for example, US officials had good reason to think the plan would never come to fruition. Two earlier pieces of EU accounting standards legislation (The Fourth [1978] and Seventh [1983] Company Law Directives) had accomplished little.  For much of the 1990s, pressure from the New York Stock Exchange to maintain US market competitiveness, not the prospect of EU emulation, drove intermittent SEC’s interest in IOSCO and IASC.</w:t>
      </w:r>
      <w:r w:rsidRPr="009F14C8">
        <w:rPr>
          <w:rStyle w:val="EndnoteReference"/>
          <w:rFonts w:ascii="Garamond" w:hAnsi="Garamond"/>
        </w:rPr>
        <w:endnoteReference w:id="30"/>
      </w:r>
      <w:r w:rsidRPr="00104AF1">
        <w:rPr>
          <w:rFonts w:ascii="Garamond" w:hAnsi="Garamond"/>
        </w:rPr>
        <w:t xml:space="preserve">  Moreover, that most countries have adopted I</w:t>
      </w:r>
      <w:r w:rsidRPr="004769FE">
        <w:rPr>
          <w:rFonts w:ascii="Garamond" w:hAnsi="Garamond"/>
        </w:rPr>
        <w:t>FRS must have come as a surprise to SEC officials who assumed that it was a matter of time before US GAAP would become the global standard</w:t>
      </w:r>
      <w:r>
        <w:rPr>
          <w:rFonts w:ascii="Garamond" w:hAnsi="Garamond"/>
        </w:rPr>
        <w:t xml:space="preserve"> (Levitt 2001)</w:t>
      </w:r>
      <w:r w:rsidRPr="004769FE">
        <w:rPr>
          <w:rFonts w:ascii="Garamond" w:hAnsi="Garamond"/>
        </w:rPr>
        <w:t>.</w:t>
      </w:r>
    </w:p>
    <w:p w14:paraId="182F7415" w14:textId="77777777" w:rsidR="005D7861" w:rsidRPr="001F48F1" w:rsidRDefault="005D7861" w:rsidP="009B6870">
      <w:pPr>
        <w:spacing w:line="480" w:lineRule="auto"/>
        <w:ind w:firstLine="720"/>
        <w:rPr>
          <w:rFonts w:ascii="Garamond" w:hAnsi="Garamond"/>
        </w:rPr>
      </w:pPr>
      <w:r w:rsidRPr="004769FE">
        <w:rPr>
          <w:rFonts w:ascii="Garamond" w:hAnsi="Garamond"/>
        </w:rPr>
        <w:t>U.S. officials misjudged and misperceived EU reforms in other ways. The EU’s Financial Conglomerates Directive is a</w:t>
      </w:r>
      <w:r w:rsidRPr="001F48F1">
        <w:rPr>
          <w:rFonts w:ascii="Garamond" w:hAnsi="Garamond"/>
        </w:rPr>
        <w:t xml:space="preserve"> case in point.  With reference to the </w:t>
      </w:r>
      <w:proofErr w:type="gramStart"/>
      <w:r w:rsidRPr="001F48F1">
        <w:rPr>
          <w:rFonts w:ascii="Garamond" w:hAnsi="Garamond"/>
        </w:rPr>
        <w:t>Transatlantic</w:t>
      </w:r>
      <w:proofErr w:type="gramEnd"/>
      <w:r w:rsidRPr="001F48F1">
        <w:rPr>
          <w:rFonts w:ascii="Garamond" w:hAnsi="Garamond"/>
        </w:rPr>
        <w:t xml:space="preserve"> conflict over the FCD, a U.S. Treasury official wrote:</w:t>
      </w:r>
    </w:p>
    <w:p w14:paraId="6F850C63" w14:textId="77777777" w:rsidR="005D7861" w:rsidRPr="00104AF1" w:rsidRDefault="005D7861" w:rsidP="009B6870">
      <w:pPr>
        <w:ind w:left="720"/>
        <w:rPr>
          <w:rFonts w:ascii="Garamond" w:hAnsi="Garamond"/>
        </w:rPr>
      </w:pPr>
      <w:proofErr w:type="gramStart"/>
      <w:r w:rsidRPr="00104AF1">
        <w:rPr>
          <w:rFonts w:ascii="Garamond" w:hAnsi="Garamond"/>
        </w:rPr>
        <w:t>The atmosphere surrounding the initial meeting was charged with suspicions by some market participants that EC officials wanted to “push back”</w:t>
      </w:r>
      <w:proofErr w:type="gramEnd"/>
      <w:r w:rsidRPr="00104AF1">
        <w:rPr>
          <w:rFonts w:ascii="Garamond" w:hAnsi="Garamond"/>
        </w:rPr>
        <w:t>… The initial meeting between the US and EU experts did not confirm these concerns, but dispelled them.</w:t>
      </w:r>
      <w:r w:rsidRPr="009F14C8">
        <w:rPr>
          <w:rStyle w:val="EndnoteReference"/>
          <w:rFonts w:ascii="Garamond" w:hAnsi="Garamond"/>
        </w:rPr>
        <w:endnoteReference w:id="31"/>
      </w:r>
    </w:p>
    <w:p w14:paraId="5E392C19" w14:textId="77777777" w:rsidR="005D7861" w:rsidRPr="004769FE" w:rsidRDefault="005D7861" w:rsidP="009B6870">
      <w:pPr>
        <w:spacing w:line="480" w:lineRule="auto"/>
        <w:rPr>
          <w:rFonts w:ascii="Garamond" w:hAnsi="Garamond"/>
        </w:rPr>
      </w:pPr>
    </w:p>
    <w:p w14:paraId="525D97EB" w14:textId="77777777" w:rsidR="005D7861" w:rsidRPr="00104AF1" w:rsidRDefault="005D7861" w:rsidP="009B6870">
      <w:pPr>
        <w:spacing w:line="480" w:lineRule="auto"/>
        <w:ind w:firstLine="720"/>
        <w:rPr>
          <w:rFonts w:ascii="Garamond" w:hAnsi="Garamond"/>
        </w:rPr>
      </w:pPr>
      <w:r w:rsidRPr="001F48F1">
        <w:rPr>
          <w:rFonts w:ascii="Garamond" w:hAnsi="Garamond"/>
        </w:rPr>
        <w:t>The strategic action of US authorities notwithstanding, it is still possible that soft law functions as a subtle diffusion mechanism of US structural power.</w:t>
      </w:r>
      <w:r w:rsidRPr="00104AF1">
        <w:rPr>
          <w:rFonts w:ascii="Garamond" w:hAnsi="Garamond"/>
        </w:rPr>
        <w:t xml:space="preserve">  Here, again, the evidence from careful process tracing suggests a more complex picture. The US does not operate as a unitary state in transnational regulatory bodies, and “American” positions often reflect one side in unsettled domestic political battles.  In the case of Basel II,</w:t>
      </w:r>
      <w:r>
        <w:rPr>
          <w:rFonts w:ascii="Garamond" w:hAnsi="Garamond"/>
        </w:rPr>
        <w:t xml:space="preserve"> as noted,</w:t>
      </w:r>
      <w:r w:rsidRPr="00104AF1">
        <w:rPr>
          <w:rFonts w:ascii="Garamond" w:hAnsi="Garamond"/>
        </w:rPr>
        <w:t xml:space="preserve"> there emerged a wide distance between commitments made by US representatives and an opposing coalition of the FDIC and small and medium-sized banks.  A similar divergence occurred in the conglomerates case, where U.S. Treasury representatives did not even recognize that the EU’s adopted regulation reflected previously agreed Joint Forum principles.  A second reason is that political battles over regulation are ongoing both inside the US and in transnational bodies.  For example, the SEC won a major fight over the IASB’s governance structure</w:t>
      </w:r>
      <w:r>
        <w:rPr>
          <w:rFonts w:ascii="Garamond" w:hAnsi="Garamond"/>
        </w:rPr>
        <w:t xml:space="preserve"> in 1999 (Martinez-Diaz 2005)</w:t>
      </w:r>
      <w:r w:rsidRPr="00104AF1">
        <w:rPr>
          <w:rFonts w:ascii="Garamond" w:hAnsi="Garamond"/>
        </w:rPr>
        <w:t>, yet FASB and IASB are different standard-setting organizations, have different degrees of autonomy from political influences and, indeed, reacted differently at times to crisis-induced pressures.  There is no guarantee that IFRS will reflect the SEC’s preferences in the future; and transnational standards do not change in lock step with US reforms.</w:t>
      </w:r>
    </w:p>
    <w:p w14:paraId="6B99EE3B" w14:textId="77777777" w:rsidR="005D7861" w:rsidRPr="00104AF1" w:rsidRDefault="005D7861" w:rsidP="00C56E01">
      <w:pPr>
        <w:spacing w:line="480" w:lineRule="auto"/>
        <w:rPr>
          <w:rFonts w:ascii="Garamond" w:hAnsi="Garamond"/>
          <w:b/>
        </w:rPr>
      </w:pPr>
    </w:p>
    <w:p w14:paraId="0B5541CD" w14:textId="77777777" w:rsidR="005D7861" w:rsidRPr="00104AF1" w:rsidRDefault="005D7861" w:rsidP="00056528">
      <w:pPr>
        <w:spacing w:line="480" w:lineRule="auto"/>
        <w:rPr>
          <w:rFonts w:ascii="Garamond" w:hAnsi="Garamond"/>
        </w:rPr>
      </w:pPr>
      <w:r w:rsidRPr="00104AF1">
        <w:rPr>
          <w:rFonts w:ascii="Garamond" w:hAnsi="Garamond"/>
          <w:b/>
        </w:rPr>
        <w:t>Conclusion</w:t>
      </w:r>
      <w:r w:rsidRPr="00104AF1">
        <w:rPr>
          <w:rFonts w:ascii="Garamond" w:hAnsi="Garamond"/>
        </w:rPr>
        <w:t xml:space="preserve"> </w:t>
      </w:r>
    </w:p>
    <w:p w14:paraId="60CA0C65" w14:textId="77777777" w:rsidR="005D7861" w:rsidRPr="00104AF1" w:rsidRDefault="005D7861" w:rsidP="004C2560">
      <w:pPr>
        <w:spacing w:line="480" w:lineRule="auto"/>
        <w:ind w:firstLine="720"/>
        <w:rPr>
          <w:rFonts w:ascii="Garamond" w:hAnsi="Garamond"/>
        </w:rPr>
      </w:pPr>
      <w:r w:rsidRPr="00104AF1">
        <w:rPr>
          <w:rFonts w:ascii="Garamond" w:hAnsi="Garamond"/>
        </w:rPr>
        <w:t>Our paper addresses a core question in political economy: How to explain</w:t>
      </w:r>
      <w:r>
        <w:rPr>
          <w:rFonts w:ascii="Garamond" w:hAnsi="Garamond"/>
        </w:rPr>
        <w:t xml:space="preserve"> regulatory preference alignment </w:t>
      </w:r>
      <w:r w:rsidRPr="00104AF1">
        <w:rPr>
          <w:rFonts w:ascii="Garamond" w:hAnsi="Garamond"/>
        </w:rPr>
        <w:t xml:space="preserve">in </w:t>
      </w:r>
      <w:r>
        <w:rPr>
          <w:rFonts w:ascii="Garamond" w:hAnsi="Garamond"/>
        </w:rPr>
        <w:t>a world of rising economic powers</w:t>
      </w:r>
      <w:r w:rsidRPr="00104AF1">
        <w:rPr>
          <w:rFonts w:ascii="Garamond" w:hAnsi="Garamond"/>
        </w:rPr>
        <w:t xml:space="preserve">?  Given the differences in models of capitalism across the advanced economies, such </w:t>
      </w:r>
      <w:r>
        <w:rPr>
          <w:rFonts w:ascii="Garamond" w:hAnsi="Garamond"/>
        </w:rPr>
        <w:t>alignment</w:t>
      </w:r>
      <w:r w:rsidRPr="00104AF1">
        <w:rPr>
          <w:rFonts w:ascii="Garamond" w:hAnsi="Garamond"/>
        </w:rPr>
        <w:t xml:space="preserve"> should be particularly difficult and indeed has proven so across many, if not most, domains – yet not in finance.  Our paper </w:t>
      </w:r>
      <w:r>
        <w:rPr>
          <w:rFonts w:ascii="Garamond" w:hAnsi="Garamond"/>
        </w:rPr>
        <w:t>draws attention to</w:t>
      </w:r>
      <w:r w:rsidRPr="00104AF1">
        <w:rPr>
          <w:rFonts w:ascii="Garamond" w:hAnsi="Garamond"/>
        </w:rPr>
        <w:t xml:space="preserve"> the international institutional context and in particular processes endogenous to transnational regulatory networks to explain the </w:t>
      </w:r>
      <w:r>
        <w:rPr>
          <w:rFonts w:ascii="Garamond" w:hAnsi="Garamond"/>
        </w:rPr>
        <w:t>similarity</w:t>
      </w:r>
      <w:r w:rsidRPr="00104AF1">
        <w:rPr>
          <w:rFonts w:ascii="Garamond" w:hAnsi="Garamond"/>
        </w:rPr>
        <w:t xml:space="preserve"> of great power preferences. The creation of transnational templates that largely reflected US regulatory approaches gave rise to an important feedback, which structured internal European Union distributional contests and thereby reduced preference heterogeneity between the US and the potential challenger.  When the EU sought to reform internal governance, its leaders borrowed extensively from the existing palette of templates.  The resulting h</w:t>
      </w:r>
      <w:r>
        <w:rPr>
          <w:rFonts w:ascii="Garamond" w:hAnsi="Garamond"/>
        </w:rPr>
        <w:t>armonization</w:t>
      </w:r>
      <w:r w:rsidRPr="00104AF1">
        <w:rPr>
          <w:rFonts w:ascii="Garamond" w:hAnsi="Garamond"/>
        </w:rPr>
        <w:t xml:space="preserve"> supported </w:t>
      </w:r>
      <w:proofErr w:type="gramStart"/>
      <w:r>
        <w:rPr>
          <w:rFonts w:ascii="Garamond" w:hAnsi="Garamond"/>
        </w:rPr>
        <w:t>Transatlantic</w:t>
      </w:r>
      <w:proofErr w:type="gramEnd"/>
      <w:r>
        <w:rPr>
          <w:rFonts w:ascii="Garamond" w:hAnsi="Garamond"/>
        </w:rPr>
        <w:t xml:space="preserve"> alignment</w:t>
      </w:r>
      <w:r w:rsidRPr="00104AF1">
        <w:rPr>
          <w:rFonts w:ascii="Garamond" w:hAnsi="Garamond"/>
        </w:rPr>
        <w:t xml:space="preserve">. </w:t>
      </w:r>
    </w:p>
    <w:p w14:paraId="424A5E00" w14:textId="77777777" w:rsidR="005D7861" w:rsidRPr="00104AF1" w:rsidRDefault="005D7861" w:rsidP="0008247D">
      <w:pPr>
        <w:spacing w:line="480" w:lineRule="auto"/>
        <w:ind w:firstLine="720"/>
        <w:rPr>
          <w:rFonts w:ascii="Garamond" w:hAnsi="Garamond"/>
        </w:rPr>
      </w:pPr>
      <w:r w:rsidRPr="00104AF1">
        <w:rPr>
          <w:rFonts w:ascii="Garamond" w:hAnsi="Garamond"/>
        </w:rPr>
        <w:t xml:space="preserve">A study of this kind naturally has limitations. Our transnational feedback claim does not attempt to provide a universal and subsuming theory but rather to draw attention to a causal mechanism with explanatory power that sometimes complements but often offers more satisfying accounts than existing arguments.  By focusing on the twenty years before the financial crisis, moreover, this study is empirically restricted to the EU as a rising power, a case that suggests the importance of domestic preference heterogeneity or policy stalemate and internal demand for regulatory solutions as preconditions for template adoption.  Future work will be necessary to develop these boundary conditions further and evaluate the argument in the context of newly rising financial powers, such as China, as well as historical cases, such as Japan in the 1980s.  Our preliminary assessment of existing research suggests encouraging support for our arguments as well as limitations.  Some Chinese authorities promoted transnational financial regulatory templates in order to resolve internal political dilemmas (Walter 2010; Shih 2007).  For example, the passage of the Basel II agreement fed back into an existing domestic struggle between technocratic-reformists and old-style pro-growth factions.  By arguing the Basel rules were international best practice, the reformists improved their hand and ultimately were able to adopt Basel II rules (Walter 2010, 162-163; Foot and Walter 2010; Shih 2007). </w:t>
      </w:r>
    </w:p>
    <w:p w14:paraId="3A0501A3" w14:textId="3A59CE5B" w:rsidR="00A26611" w:rsidRPr="00104AF1" w:rsidRDefault="005D7861" w:rsidP="002D58F5">
      <w:pPr>
        <w:spacing w:line="480" w:lineRule="auto"/>
        <w:ind w:firstLine="720"/>
        <w:rPr>
          <w:rFonts w:ascii="Garamond" w:hAnsi="Garamond"/>
        </w:rPr>
      </w:pPr>
      <w:r w:rsidRPr="00104AF1">
        <w:rPr>
          <w:rFonts w:ascii="Garamond" w:hAnsi="Garamond"/>
        </w:rPr>
        <w:t>Drawing attention to institutional feedbacks in global financial regulation points to several avenues for future research. First, it responds to calls for better conceptualizations of domestic-international linkages in the area of financial regulation (</w:t>
      </w:r>
      <w:proofErr w:type="spellStart"/>
      <w:r w:rsidRPr="00104AF1">
        <w:rPr>
          <w:rFonts w:ascii="Garamond" w:hAnsi="Garamond"/>
        </w:rPr>
        <w:t>Helleiner</w:t>
      </w:r>
      <w:proofErr w:type="spellEnd"/>
      <w:r w:rsidRPr="00104AF1">
        <w:rPr>
          <w:rFonts w:ascii="Garamond" w:hAnsi="Garamond"/>
        </w:rPr>
        <w:t xml:space="preserve"> and </w:t>
      </w:r>
      <w:proofErr w:type="spellStart"/>
      <w:r w:rsidRPr="00104AF1">
        <w:rPr>
          <w:rFonts w:ascii="Garamond" w:hAnsi="Garamond"/>
        </w:rPr>
        <w:t>Pagliari</w:t>
      </w:r>
      <w:proofErr w:type="spellEnd"/>
      <w:r w:rsidRPr="00104AF1">
        <w:rPr>
          <w:rFonts w:ascii="Garamond" w:hAnsi="Garamond"/>
        </w:rPr>
        <w:t xml:space="preserve"> 2011).  Here, rather than accept the relatively narrow set of intended and functional effects of transnational networks (</w:t>
      </w:r>
      <w:r>
        <w:rPr>
          <w:rFonts w:ascii="Garamond" w:hAnsi="Garamond"/>
        </w:rPr>
        <w:t>Slaughter 2004</w:t>
      </w:r>
      <w:r w:rsidRPr="00104AF1">
        <w:rPr>
          <w:rFonts w:ascii="Garamond" w:hAnsi="Garamond"/>
        </w:rPr>
        <w:t>)</w:t>
      </w:r>
      <w:r>
        <w:rPr>
          <w:rFonts w:ascii="Garamond" w:hAnsi="Garamond"/>
        </w:rPr>
        <w:t>,</w:t>
      </w:r>
      <w:r w:rsidRPr="00104AF1">
        <w:rPr>
          <w:rFonts w:ascii="Garamond" w:hAnsi="Garamond"/>
        </w:rPr>
        <w:t xml:space="preserve"> the paper builds on an earlier generation of research about transnationalism (</w:t>
      </w:r>
      <w:proofErr w:type="spellStart"/>
      <w:r w:rsidRPr="00104AF1">
        <w:rPr>
          <w:rFonts w:ascii="Garamond" w:hAnsi="Garamond"/>
        </w:rPr>
        <w:t>Risse-Kappen</w:t>
      </w:r>
      <w:proofErr w:type="spellEnd"/>
      <w:r w:rsidRPr="00104AF1">
        <w:rPr>
          <w:rFonts w:ascii="Garamond" w:hAnsi="Garamond"/>
        </w:rPr>
        <w:t xml:space="preserve"> 1995; Keck and </w:t>
      </w:r>
      <w:proofErr w:type="spellStart"/>
      <w:r w:rsidRPr="00104AF1">
        <w:rPr>
          <w:rFonts w:ascii="Garamond" w:hAnsi="Garamond"/>
        </w:rPr>
        <w:t>Sikkink</w:t>
      </w:r>
      <w:proofErr w:type="spellEnd"/>
      <w:r w:rsidRPr="00104AF1">
        <w:rPr>
          <w:rFonts w:ascii="Garamond" w:hAnsi="Garamond"/>
        </w:rPr>
        <w:t xml:space="preserve"> 1998; </w:t>
      </w:r>
      <w:proofErr w:type="spellStart"/>
      <w:r w:rsidRPr="00104AF1">
        <w:rPr>
          <w:rFonts w:ascii="Garamond" w:hAnsi="Garamond"/>
        </w:rPr>
        <w:t>Djelic</w:t>
      </w:r>
      <w:proofErr w:type="spellEnd"/>
      <w:r w:rsidRPr="00104AF1">
        <w:rPr>
          <w:rFonts w:ascii="Garamond" w:hAnsi="Garamond"/>
        </w:rPr>
        <w:t xml:space="preserve"> and Quack 2010).  In the pre-crisis decades, transnational financial regulatory bodies did not take on a role comparable to transnational advocates of human rights or other norms (Keck and </w:t>
      </w:r>
      <w:proofErr w:type="spellStart"/>
      <w:r w:rsidRPr="00104AF1">
        <w:rPr>
          <w:rFonts w:ascii="Garamond" w:hAnsi="Garamond"/>
        </w:rPr>
        <w:t>Sikkink</w:t>
      </w:r>
      <w:proofErr w:type="spellEnd"/>
      <w:r w:rsidRPr="00104AF1">
        <w:rPr>
          <w:rFonts w:ascii="Garamond" w:hAnsi="Garamond"/>
        </w:rPr>
        <w:t xml:space="preserve"> 1998).  Like some of the previous literature, however, our approach stresses how transnational rules become politically relevant facts on the ground in domestic political contests.</w:t>
      </w:r>
      <w:r>
        <w:rPr>
          <w:rStyle w:val="EndnoteReference"/>
          <w:rFonts w:ascii="Garamond" w:hAnsi="Garamond"/>
        </w:rPr>
        <w:endnoteReference w:id="32"/>
      </w:r>
      <w:r w:rsidRPr="00104AF1">
        <w:rPr>
          <w:rFonts w:ascii="Garamond" w:hAnsi="Garamond"/>
        </w:rPr>
        <w:t xml:space="preserve"> </w:t>
      </w:r>
      <w:r w:rsidR="00784384" w:rsidRPr="00104AF1">
        <w:rPr>
          <w:rFonts w:ascii="Garamond" w:hAnsi="Garamond"/>
        </w:rPr>
        <w:t xml:space="preserve">  The main insight is that t</w:t>
      </w:r>
      <w:r w:rsidR="007263AB" w:rsidRPr="00104AF1">
        <w:rPr>
          <w:rFonts w:ascii="Garamond" w:hAnsi="Garamond"/>
        </w:rPr>
        <w:t xml:space="preserve">ransnational standards </w:t>
      </w:r>
      <w:r w:rsidR="00784384" w:rsidRPr="00104AF1">
        <w:rPr>
          <w:rFonts w:ascii="Garamond" w:hAnsi="Garamond"/>
        </w:rPr>
        <w:t>are likely to be attractive for</w:t>
      </w:r>
      <w:r w:rsidR="007263AB" w:rsidRPr="00104AF1">
        <w:rPr>
          <w:rFonts w:ascii="Garamond" w:hAnsi="Garamond"/>
        </w:rPr>
        <w:t xml:space="preserve"> some</w:t>
      </w:r>
      <w:r w:rsidR="00F47645" w:rsidRPr="00104AF1">
        <w:rPr>
          <w:rFonts w:ascii="Garamond" w:hAnsi="Garamond"/>
        </w:rPr>
        <w:t xml:space="preserve"> domestic political actors</w:t>
      </w:r>
      <w:r w:rsidR="00C669B4" w:rsidRPr="00104AF1">
        <w:rPr>
          <w:rFonts w:ascii="Garamond" w:hAnsi="Garamond"/>
        </w:rPr>
        <w:t xml:space="preserve"> who see them as potentially beneficial</w:t>
      </w:r>
      <w:r w:rsidR="00C25194" w:rsidRPr="00104AF1">
        <w:rPr>
          <w:rFonts w:ascii="Garamond" w:hAnsi="Garamond"/>
        </w:rPr>
        <w:t xml:space="preserve"> to their campaigns in</w:t>
      </w:r>
      <w:r w:rsidR="00784384" w:rsidRPr="00104AF1">
        <w:rPr>
          <w:rFonts w:ascii="Garamond" w:hAnsi="Garamond"/>
        </w:rPr>
        <w:t xml:space="preserve"> ongoing political battles</w:t>
      </w:r>
      <w:r w:rsidR="00F47645" w:rsidRPr="00104AF1">
        <w:rPr>
          <w:rFonts w:ascii="Garamond" w:hAnsi="Garamond"/>
        </w:rPr>
        <w:t>.</w:t>
      </w:r>
      <w:r w:rsidR="007263AB" w:rsidRPr="00104AF1">
        <w:rPr>
          <w:rFonts w:ascii="Garamond" w:hAnsi="Garamond"/>
        </w:rPr>
        <w:t xml:space="preserve">  While this study</w:t>
      </w:r>
      <w:r w:rsidR="00F14B44" w:rsidRPr="00104AF1">
        <w:rPr>
          <w:rFonts w:ascii="Garamond" w:hAnsi="Garamond"/>
        </w:rPr>
        <w:t xml:space="preserve"> focused on</w:t>
      </w:r>
      <w:r w:rsidR="00C25194" w:rsidRPr="00104AF1">
        <w:rPr>
          <w:rFonts w:ascii="Garamond" w:hAnsi="Garamond"/>
        </w:rPr>
        <w:t xml:space="preserve"> the two international rule makers in the area of financial regulation </w:t>
      </w:r>
      <w:r w:rsidR="00333D50">
        <w:rPr>
          <w:rFonts w:ascii="Garamond" w:hAnsi="Garamond"/>
        </w:rPr>
        <w:t>during the</w:t>
      </w:r>
      <w:r w:rsidR="00C669B4" w:rsidRPr="00104AF1">
        <w:rPr>
          <w:rFonts w:ascii="Garamond" w:hAnsi="Garamond"/>
        </w:rPr>
        <w:t xml:space="preserve"> </w:t>
      </w:r>
      <w:r w:rsidR="00F14B44" w:rsidRPr="00104AF1">
        <w:rPr>
          <w:rFonts w:ascii="Garamond" w:hAnsi="Garamond"/>
        </w:rPr>
        <w:t>pre-crisis era, the framewo</w:t>
      </w:r>
      <w:r w:rsidR="007263AB" w:rsidRPr="00104AF1">
        <w:rPr>
          <w:rFonts w:ascii="Garamond" w:hAnsi="Garamond"/>
        </w:rPr>
        <w:t xml:space="preserve">rk is potentially </w:t>
      </w:r>
      <w:r w:rsidR="00F14B44" w:rsidRPr="00104AF1">
        <w:rPr>
          <w:rFonts w:ascii="Garamond" w:hAnsi="Garamond"/>
        </w:rPr>
        <w:t>more general.</w:t>
      </w:r>
      <w:r w:rsidR="00C25194" w:rsidRPr="00104AF1">
        <w:rPr>
          <w:rFonts w:ascii="Garamond" w:hAnsi="Garamond"/>
        </w:rPr>
        <w:t xml:space="preserve">  Because of t</w:t>
      </w:r>
      <w:r w:rsidR="00F14B44" w:rsidRPr="00104AF1">
        <w:rPr>
          <w:rFonts w:ascii="Garamond" w:hAnsi="Garamond"/>
        </w:rPr>
        <w:t>he di</w:t>
      </w:r>
      <w:r w:rsidR="00784384" w:rsidRPr="00104AF1">
        <w:rPr>
          <w:rFonts w:ascii="Garamond" w:hAnsi="Garamond"/>
        </w:rPr>
        <w:t xml:space="preserve">stributive nature of most financial regulatory </w:t>
      </w:r>
      <w:r w:rsidR="00F14B44" w:rsidRPr="00104AF1">
        <w:rPr>
          <w:rFonts w:ascii="Garamond" w:hAnsi="Garamond"/>
        </w:rPr>
        <w:t>arrang</w:t>
      </w:r>
      <w:r w:rsidR="00C25194" w:rsidRPr="00104AF1">
        <w:rPr>
          <w:rFonts w:ascii="Garamond" w:hAnsi="Garamond"/>
        </w:rPr>
        <w:t>e</w:t>
      </w:r>
      <w:r w:rsidR="00F14B44" w:rsidRPr="00104AF1">
        <w:rPr>
          <w:rFonts w:ascii="Garamond" w:hAnsi="Garamond"/>
        </w:rPr>
        <w:t xml:space="preserve">ments, </w:t>
      </w:r>
      <w:r w:rsidR="00784384" w:rsidRPr="00104AF1">
        <w:rPr>
          <w:rFonts w:ascii="Garamond" w:hAnsi="Garamond"/>
        </w:rPr>
        <w:t>the rules governing the sector</w:t>
      </w:r>
      <w:r w:rsidR="00C25194" w:rsidRPr="00104AF1">
        <w:rPr>
          <w:rFonts w:ascii="Garamond" w:hAnsi="Garamond"/>
        </w:rPr>
        <w:t xml:space="preserve"> </w:t>
      </w:r>
      <w:r w:rsidR="00784384" w:rsidRPr="00104AF1">
        <w:rPr>
          <w:rFonts w:ascii="Garamond" w:hAnsi="Garamond"/>
        </w:rPr>
        <w:t>tend</w:t>
      </w:r>
      <w:r w:rsidR="00C25194" w:rsidRPr="00104AF1">
        <w:rPr>
          <w:rFonts w:ascii="Garamond" w:hAnsi="Garamond"/>
        </w:rPr>
        <w:t xml:space="preserve"> to be</w:t>
      </w:r>
      <w:r w:rsidR="00F14B44" w:rsidRPr="00104AF1">
        <w:rPr>
          <w:rFonts w:ascii="Garamond" w:hAnsi="Garamond"/>
        </w:rPr>
        <w:t xml:space="preserve"> highly contested</w:t>
      </w:r>
      <w:r w:rsidR="00C25194" w:rsidRPr="00104AF1">
        <w:rPr>
          <w:rFonts w:ascii="Garamond" w:hAnsi="Garamond"/>
        </w:rPr>
        <w:t xml:space="preserve">.  Regardless of the particular content of soft law, some </w:t>
      </w:r>
      <w:r w:rsidR="00F14B44" w:rsidRPr="00104AF1">
        <w:rPr>
          <w:rFonts w:ascii="Garamond" w:hAnsi="Garamond"/>
        </w:rPr>
        <w:t>participants</w:t>
      </w:r>
      <w:r w:rsidR="00C25194" w:rsidRPr="00104AF1">
        <w:rPr>
          <w:rFonts w:ascii="Garamond" w:hAnsi="Garamond"/>
        </w:rPr>
        <w:t xml:space="preserve"> in these contests</w:t>
      </w:r>
      <w:r w:rsidR="00F14B44" w:rsidRPr="00104AF1">
        <w:rPr>
          <w:rFonts w:ascii="Garamond" w:hAnsi="Garamond"/>
        </w:rPr>
        <w:t xml:space="preserve"> </w:t>
      </w:r>
      <w:r w:rsidR="00C25194" w:rsidRPr="00104AF1">
        <w:rPr>
          <w:rFonts w:ascii="Garamond" w:hAnsi="Garamond"/>
        </w:rPr>
        <w:t xml:space="preserve">are likely to perceive </w:t>
      </w:r>
      <w:r w:rsidR="00F14B44" w:rsidRPr="00104AF1">
        <w:rPr>
          <w:rFonts w:ascii="Garamond" w:hAnsi="Garamond"/>
        </w:rPr>
        <w:t xml:space="preserve">soft law </w:t>
      </w:r>
      <w:r w:rsidR="00C25194" w:rsidRPr="00104AF1">
        <w:rPr>
          <w:rFonts w:ascii="Garamond" w:hAnsi="Garamond"/>
        </w:rPr>
        <w:t xml:space="preserve">as potential resource.  </w:t>
      </w:r>
      <w:r w:rsidR="00F14B44" w:rsidRPr="00104AF1">
        <w:rPr>
          <w:rFonts w:ascii="Garamond" w:hAnsi="Garamond"/>
        </w:rPr>
        <w:t xml:space="preserve"> </w:t>
      </w:r>
    </w:p>
    <w:p w14:paraId="6D1CA9AC" w14:textId="77777777" w:rsidR="00AD407B" w:rsidRDefault="00C706F2" w:rsidP="00C56E01">
      <w:pPr>
        <w:spacing w:line="480" w:lineRule="auto"/>
        <w:ind w:firstLine="720"/>
        <w:rPr>
          <w:rFonts w:ascii="Garamond" w:hAnsi="Garamond"/>
        </w:rPr>
      </w:pPr>
      <w:r>
        <w:rPr>
          <w:rFonts w:ascii="Garamond" w:hAnsi="Garamond"/>
        </w:rPr>
        <w:t>Second</w:t>
      </w:r>
      <w:r w:rsidR="00AD407B" w:rsidRPr="00104AF1">
        <w:rPr>
          <w:rFonts w:ascii="Garamond" w:hAnsi="Garamond"/>
        </w:rPr>
        <w:t>, the paper takes time and temporality seriously in international politics</w:t>
      </w:r>
      <w:r w:rsidR="00846A52" w:rsidRPr="00104AF1">
        <w:rPr>
          <w:rFonts w:ascii="Garamond" w:hAnsi="Garamond"/>
        </w:rPr>
        <w:t xml:space="preserve"> (</w:t>
      </w:r>
      <w:proofErr w:type="spellStart"/>
      <w:r w:rsidR="00846A52" w:rsidRPr="00104AF1">
        <w:rPr>
          <w:rFonts w:ascii="Garamond" w:hAnsi="Garamond"/>
        </w:rPr>
        <w:t>Buthe</w:t>
      </w:r>
      <w:proofErr w:type="spellEnd"/>
      <w:r w:rsidR="00846A52" w:rsidRPr="00104AF1">
        <w:rPr>
          <w:rFonts w:ascii="Garamond" w:hAnsi="Garamond"/>
        </w:rPr>
        <w:t xml:space="preserve"> 2002; </w:t>
      </w:r>
      <w:proofErr w:type="spellStart"/>
      <w:r w:rsidR="00846A52" w:rsidRPr="00104AF1">
        <w:rPr>
          <w:rFonts w:ascii="Garamond" w:hAnsi="Garamond"/>
        </w:rPr>
        <w:t>Fioretos</w:t>
      </w:r>
      <w:proofErr w:type="spellEnd"/>
      <w:r w:rsidR="00846A52" w:rsidRPr="00104AF1">
        <w:rPr>
          <w:rFonts w:ascii="Garamond" w:hAnsi="Garamond"/>
        </w:rPr>
        <w:t xml:space="preserve"> 2011</w:t>
      </w:r>
      <w:r w:rsidR="00666F8B" w:rsidRPr="00104AF1">
        <w:rPr>
          <w:rFonts w:ascii="Garamond" w:hAnsi="Garamond"/>
        </w:rPr>
        <w:t xml:space="preserve">; </w:t>
      </w:r>
      <w:proofErr w:type="spellStart"/>
      <w:r w:rsidR="00666F8B" w:rsidRPr="00104AF1">
        <w:rPr>
          <w:rFonts w:ascii="Garamond" w:hAnsi="Garamond"/>
        </w:rPr>
        <w:t>Moschelle</w:t>
      </w:r>
      <w:proofErr w:type="spellEnd"/>
      <w:r w:rsidR="00666F8B" w:rsidRPr="00104AF1">
        <w:rPr>
          <w:rFonts w:ascii="Garamond" w:hAnsi="Garamond"/>
        </w:rPr>
        <w:t xml:space="preserve"> and </w:t>
      </w:r>
      <w:proofErr w:type="spellStart"/>
      <w:r w:rsidR="00666F8B" w:rsidRPr="00104AF1">
        <w:rPr>
          <w:rFonts w:ascii="Garamond" w:hAnsi="Garamond"/>
        </w:rPr>
        <w:t>Tsingou</w:t>
      </w:r>
      <w:proofErr w:type="spellEnd"/>
      <w:r w:rsidR="00666F8B" w:rsidRPr="00104AF1">
        <w:rPr>
          <w:rFonts w:ascii="Garamond" w:hAnsi="Garamond"/>
        </w:rPr>
        <w:t xml:space="preserve"> 2013</w:t>
      </w:r>
      <w:r w:rsidR="00846A52" w:rsidRPr="00104AF1">
        <w:rPr>
          <w:rFonts w:ascii="Garamond" w:hAnsi="Garamond"/>
        </w:rPr>
        <w:t>)</w:t>
      </w:r>
      <w:r w:rsidR="00AD407B" w:rsidRPr="00104AF1">
        <w:rPr>
          <w:rFonts w:ascii="Garamond" w:hAnsi="Garamond"/>
        </w:rPr>
        <w:t>.</w:t>
      </w:r>
      <w:r w:rsidR="00846A52" w:rsidRPr="00104AF1">
        <w:rPr>
          <w:rFonts w:ascii="Garamond" w:hAnsi="Garamond"/>
        </w:rPr>
        <w:t xml:space="preserve"> </w:t>
      </w:r>
      <w:r w:rsidR="004C6E8D" w:rsidRPr="00104AF1">
        <w:rPr>
          <w:rFonts w:ascii="Garamond" w:hAnsi="Garamond"/>
        </w:rPr>
        <w:t xml:space="preserve"> </w:t>
      </w:r>
      <w:r w:rsidR="00D11A9E" w:rsidRPr="00104AF1">
        <w:rPr>
          <w:rFonts w:ascii="Garamond" w:hAnsi="Garamond"/>
        </w:rPr>
        <w:t>I</w:t>
      </w:r>
      <w:r w:rsidR="004C6E8D" w:rsidRPr="00104AF1">
        <w:rPr>
          <w:rFonts w:ascii="Garamond" w:hAnsi="Garamond"/>
        </w:rPr>
        <w:t xml:space="preserve">t demonstrates not only the relevance of tools developed in comparative politics such as policy feedbacks but adapts them to the international and transnational setting.  This exercise produces analytically novel expectations about context that can be tested in </w:t>
      </w:r>
      <w:r w:rsidR="008A1DC5">
        <w:rPr>
          <w:rFonts w:ascii="Garamond" w:hAnsi="Garamond"/>
        </w:rPr>
        <w:t>other</w:t>
      </w:r>
      <w:r w:rsidR="004C6E8D" w:rsidRPr="00104AF1">
        <w:rPr>
          <w:rFonts w:ascii="Garamond" w:hAnsi="Garamond"/>
        </w:rPr>
        <w:t xml:space="preserve"> empirical setting</w:t>
      </w:r>
      <w:r w:rsidR="008A1DC5">
        <w:rPr>
          <w:rFonts w:ascii="Garamond" w:hAnsi="Garamond"/>
        </w:rPr>
        <w:t>s</w:t>
      </w:r>
      <w:r w:rsidR="004C6E8D" w:rsidRPr="00104AF1">
        <w:rPr>
          <w:rFonts w:ascii="Garamond" w:hAnsi="Garamond"/>
        </w:rPr>
        <w:t xml:space="preserve">.  Additional work could translate other concepts </w:t>
      </w:r>
      <w:r w:rsidR="00C36AA1" w:rsidRPr="00104AF1">
        <w:rPr>
          <w:rFonts w:ascii="Garamond" w:hAnsi="Garamond"/>
        </w:rPr>
        <w:t xml:space="preserve">common in comparative politics </w:t>
      </w:r>
      <w:r w:rsidR="004C6E8D" w:rsidRPr="00104AF1">
        <w:rPr>
          <w:rFonts w:ascii="Garamond" w:hAnsi="Garamond"/>
        </w:rPr>
        <w:t>such as institutional layering or drift to global phenomenon</w:t>
      </w:r>
      <w:r w:rsidR="00846A52" w:rsidRPr="00104AF1">
        <w:rPr>
          <w:rFonts w:ascii="Garamond" w:hAnsi="Garamond"/>
        </w:rPr>
        <w:t xml:space="preserve"> (</w:t>
      </w:r>
      <w:proofErr w:type="spellStart"/>
      <w:r w:rsidR="00846A52" w:rsidRPr="00104AF1">
        <w:rPr>
          <w:rFonts w:ascii="Garamond" w:hAnsi="Garamond"/>
        </w:rPr>
        <w:t>Thelen</w:t>
      </w:r>
      <w:proofErr w:type="spellEnd"/>
      <w:r w:rsidR="00846A52" w:rsidRPr="00104AF1">
        <w:rPr>
          <w:rFonts w:ascii="Garamond" w:hAnsi="Garamond"/>
        </w:rPr>
        <w:t xml:space="preserve"> 2004)</w:t>
      </w:r>
      <w:r w:rsidR="004C6E8D" w:rsidRPr="00104AF1">
        <w:rPr>
          <w:rFonts w:ascii="Garamond" w:hAnsi="Garamond"/>
        </w:rPr>
        <w:t xml:space="preserve">. </w:t>
      </w:r>
    </w:p>
    <w:p w14:paraId="7FA6150E" w14:textId="7DA135C8" w:rsidR="00C706F2" w:rsidRPr="00104AF1" w:rsidRDefault="00C706F2" w:rsidP="00C56E01">
      <w:pPr>
        <w:spacing w:line="480" w:lineRule="auto"/>
        <w:ind w:firstLine="720"/>
        <w:rPr>
          <w:rFonts w:ascii="Garamond" w:hAnsi="Garamond"/>
        </w:rPr>
      </w:pPr>
      <w:r>
        <w:rPr>
          <w:rFonts w:ascii="Garamond" w:hAnsi="Garamond"/>
        </w:rPr>
        <w:t xml:space="preserve">Finally, by improving our understanding of the pre-crisis </w:t>
      </w:r>
      <w:proofErr w:type="gramStart"/>
      <w:r>
        <w:rPr>
          <w:rFonts w:ascii="Garamond" w:hAnsi="Garamond"/>
        </w:rPr>
        <w:t>Transatlantic</w:t>
      </w:r>
      <w:proofErr w:type="gramEnd"/>
      <w:r>
        <w:rPr>
          <w:rFonts w:ascii="Garamond" w:hAnsi="Garamond"/>
        </w:rPr>
        <w:t xml:space="preserve"> preference alignment, this paper </w:t>
      </w:r>
      <w:r w:rsidR="00E328E3">
        <w:rPr>
          <w:rFonts w:ascii="Garamond" w:hAnsi="Garamond"/>
        </w:rPr>
        <w:t xml:space="preserve">also </w:t>
      </w:r>
      <w:r w:rsidR="00AD762A">
        <w:rPr>
          <w:rFonts w:ascii="Garamond" w:hAnsi="Garamond"/>
        </w:rPr>
        <w:t>helps</w:t>
      </w:r>
      <w:r>
        <w:rPr>
          <w:rFonts w:ascii="Garamond" w:hAnsi="Garamond"/>
        </w:rPr>
        <w:t xml:space="preserve"> to</w:t>
      </w:r>
      <w:r w:rsidR="00AD762A">
        <w:rPr>
          <w:rFonts w:ascii="Garamond" w:hAnsi="Garamond"/>
        </w:rPr>
        <w:t xml:space="preserve"> clarify</w:t>
      </w:r>
      <w:r w:rsidR="00333D50">
        <w:rPr>
          <w:rFonts w:ascii="Garamond" w:hAnsi="Garamond"/>
        </w:rPr>
        <w:t xml:space="preserve"> </w:t>
      </w:r>
      <w:r w:rsidR="00AD762A">
        <w:rPr>
          <w:rFonts w:ascii="Garamond" w:hAnsi="Garamond"/>
        </w:rPr>
        <w:t xml:space="preserve">some of </w:t>
      </w:r>
      <w:r w:rsidR="00E328E3">
        <w:rPr>
          <w:rFonts w:ascii="Garamond" w:hAnsi="Garamond"/>
        </w:rPr>
        <w:t xml:space="preserve">its </w:t>
      </w:r>
      <w:r w:rsidR="00333D50">
        <w:rPr>
          <w:rFonts w:ascii="Garamond" w:hAnsi="Garamond"/>
        </w:rPr>
        <w:t xml:space="preserve">normative implications. </w:t>
      </w:r>
      <w:r w:rsidR="00AD762A">
        <w:rPr>
          <w:rFonts w:ascii="Garamond" w:hAnsi="Garamond"/>
        </w:rPr>
        <w:t>H</w:t>
      </w:r>
      <w:r w:rsidR="00333D50">
        <w:rPr>
          <w:rFonts w:ascii="Garamond" w:hAnsi="Garamond"/>
        </w:rPr>
        <w:t>armoniz</w:t>
      </w:r>
      <w:r w:rsidR="00AD762A">
        <w:rPr>
          <w:rFonts w:ascii="Garamond" w:hAnsi="Garamond"/>
        </w:rPr>
        <w:t xml:space="preserve">ed regulatory approaches </w:t>
      </w:r>
      <w:r w:rsidR="00E328E3">
        <w:rPr>
          <w:rFonts w:ascii="Garamond" w:hAnsi="Garamond"/>
        </w:rPr>
        <w:t xml:space="preserve">facilitate cooperation </w:t>
      </w:r>
      <w:r w:rsidR="00AD762A">
        <w:rPr>
          <w:rFonts w:ascii="Garamond" w:hAnsi="Garamond"/>
        </w:rPr>
        <w:t>and smooth the bumps in globalization processes</w:t>
      </w:r>
      <w:r w:rsidR="00E328E3">
        <w:rPr>
          <w:rFonts w:ascii="Garamond" w:hAnsi="Garamond"/>
        </w:rPr>
        <w:t>.  T</w:t>
      </w:r>
      <w:r w:rsidR="00333D50">
        <w:rPr>
          <w:rFonts w:ascii="Garamond" w:hAnsi="Garamond"/>
        </w:rPr>
        <w:t xml:space="preserve">hey may also contribute to intellectual </w:t>
      </w:r>
      <w:r w:rsidR="00AB5723">
        <w:rPr>
          <w:rFonts w:ascii="Garamond" w:hAnsi="Garamond"/>
        </w:rPr>
        <w:t xml:space="preserve">and governance </w:t>
      </w:r>
      <w:r w:rsidR="00333D50">
        <w:rPr>
          <w:rFonts w:ascii="Garamond" w:hAnsi="Garamond"/>
        </w:rPr>
        <w:t>monocultures (McNamara 2009)</w:t>
      </w:r>
      <w:r w:rsidR="00E328E3">
        <w:rPr>
          <w:rFonts w:ascii="Garamond" w:hAnsi="Garamond"/>
        </w:rPr>
        <w:t xml:space="preserve"> that may </w:t>
      </w:r>
      <w:r w:rsidR="00333D50">
        <w:rPr>
          <w:rFonts w:ascii="Garamond" w:hAnsi="Garamond"/>
        </w:rPr>
        <w:t xml:space="preserve">seem quite vibrant in periods of stability but </w:t>
      </w:r>
      <w:r w:rsidR="007A1FB8">
        <w:rPr>
          <w:rFonts w:ascii="Garamond" w:hAnsi="Garamond"/>
        </w:rPr>
        <w:t xml:space="preserve">may </w:t>
      </w:r>
      <w:r w:rsidR="00333D50">
        <w:rPr>
          <w:rFonts w:ascii="Garamond" w:hAnsi="Garamond"/>
        </w:rPr>
        <w:t xml:space="preserve">also </w:t>
      </w:r>
      <w:r w:rsidR="007A1FB8">
        <w:rPr>
          <w:rFonts w:ascii="Garamond" w:hAnsi="Garamond"/>
        </w:rPr>
        <w:t>predispose economies</w:t>
      </w:r>
      <w:r w:rsidR="006B346B">
        <w:rPr>
          <w:rFonts w:ascii="Garamond" w:hAnsi="Garamond"/>
        </w:rPr>
        <w:t xml:space="preserve"> to</w:t>
      </w:r>
      <w:r w:rsidR="00333D50">
        <w:rPr>
          <w:rFonts w:ascii="Garamond" w:hAnsi="Garamond"/>
        </w:rPr>
        <w:t xml:space="preserve"> quick and rapid collapse.</w:t>
      </w:r>
    </w:p>
    <w:p w14:paraId="2182B7BE" w14:textId="77777777" w:rsidR="00C369D9" w:rsidRPr="00104AF1" w:rsidRDefault="00DF11B7" w:rsidP="007879A1">
      <w:pPr>
        <w:rPr>
          <w:rFonts w:ascii="Garamond" w:hAnsi="Garamond"/>
          <w:b/>
        </w:rPr>
      </w:pPr>
      <w:r w:rsidRPr="00104AF1">
        <w:rPr>
          <w:rFonts w:ascii="Garamond" w:hAnsi="Garamond"/>
          <w:b/>
        </w:rPr>
        <w:br w:type="page"/>
      </w:r>
      <w:r w:rsidR="00C369D9" w:rsidRPr="00104AF1">
        <w:rPr>
          <w:rFonts w:ascii="Garamond" w:hAnsi="Garamond"/>
          <w:b/>
        </w:rPr>
        <w:t>Bibliography</w:t>
      </w:r>
    </w:p>
    <w:p w14:paraId="2ECFBF07" w14:textId="77777777" w:rsidR="00C369D9" w:rsidRPr="00104AF1" w:rsidRDefault="00C369D9" w:rsidP="00C369D9">
      <w:pPr>
        <w:pStyle w:val="Bibliography"/>
        <w:rPr>
          <w:rFonts w:ascii="Garamond" w:hAnsi="Garamond"/>
        </w:rPr>
      </w:pPr>
    </w:p>
    <w:p w14:paraId="72E04290" w14:textId="77777777" w:rsidR="00C369D9" w:rsidRPr="00104AF1" w:rsidRDefault="00C369D9" w:rsidP="00104AF1">
      <w:pPr>
        <w:pStyle w:val="Bibliography"/>
        <w:rPr>
          <w:rFonts w:ascii="Garamond" w:hAnsi="Garamond"/>
        </w:rPr>
      </w:pPr>
      <w:proofErr w:type="spellStart"/>
      <w:r w:rsidRPr="00104AF1">
        <w:rPr>
          <w:rFonts w:ascii="Garamond" w:hAnsi="Garamond"/>
        </w:rPr>
        <w:t>Abdelal</w:t>
      </w:r>
      <w:proofErr w:type="spellEnd"/>
      <w:r w:rsidRPr="00104AF1">
        <w:rPr>
          <w:rFonts w:ascii="Garamond" w:hAnsi="Garamond"/>
        </w:rPr>
        <w:t xml:space="preserve">, </w:t>
      </w:r>
      <w:proofErr w:type="spellStart"/>
      <w:r w:rsidRPr="00104AF1">
        <w:rPr>
          <w:rFonts w:ascii="Garamond" w:hAnsi="Garamond"/>
        </w:rPr>
        <w:t>Rawi</w:t>
      </w:r>
      <w:proofErr w:type="spellEnd"/>
      <w:r w:rsidRPr="00104AF1">
        <w:rPr>
          <w:rFonts w:ascii="Garamond" w:hAnsi="Garamond"/>
        </w:rPr>
        <w:t xml:space="preserve">. </w:t>
      </w:r>
      <w:r w:rsidRPr="00104AF1">
        <w:rPr>
          <w:rFonts w:ascii="Garamond" w:hAnsi="Garamond"/>
          <w:i/>
          <w:iCs/>
        </w:rPr>
        <w:t>Capital Rules: The construction of Global Finance</w:t>
      </w:r>
      <w:r w:rsidRPr="00104AF1">
        <w:rPr>
          <w:rFonts w:ascii="Garamond" w:hAnsi="Garamond"/>
        </w:rPr>
        <w:t>. Cambridge: Cambridge University Press, 2007.</w:t>
      </w:r>
    </w:p>
    <w:p w14:paraId="2066720B" w14:textId="77777777" w:rsidR="00C369D9" w:rsidRPr="00104AF1" w:rsidRDefault="00C369D9" w:rsidP="004769FE">
      <w:pPr>
        <w:pStyle w:val="Bibliography"/>
        <w:rPr>
          <w:rFonts w:ascii="Garamond" w:hAnsi="Garamond"/>
        </w:rPr>
      </w:pPr>
      <w:r w:rsidRPr="00104AF1">
        <w:rPr>
          <w:rFonts w:ascii="Garamond" w:hAnsi="Garamond"/>
        </w:rPr>
        <w:t xml:space="preserve">Alexander, Kern, Rahul </w:t>
      </w:r>
      <w:proofErr w:type="spellStart"/>
      <w:r w:rsidRPr="00104AF1">
        <w:rPr>
          <w:rFonts w:ascii="Garamond" w:hAnsi="Garamond"/>
        </w:rPr>
        <w:t>Dhumale</w:t>
      </w:r>
      <w:proofErr w:type="spellEnd"/>
      <w:r w:rsidRPr="00104AF1">
        <w:rPr>
          <w:rFonts w:ascii="Garamond" w:hAnsi="Garamond"/>
        </w:rPr>
        <w:t xml:space="preserve">, and John </w:t>
      </w:r>
      <w:proofErr w:type="spellStart"/>
      <w:r w:rsidRPr="00104AF1">
        <w:rPr>
          <w:rFonts w:ascii="Garamond" w:hAnsi="Garamond"/>
        </w:rPr>
        <w:t>Eatwell</w:t>
      </w:r>
      <w:proofErr w:type="spellEnd"/>
      <w:r w:rsidRPr="00104AF1">
        <w:rPr>
          <w:rFonts w:ascii="Garamond" w:hAnsi="Garamond"/>
        </w:rPr>
        <w:t xml:space="preserve">. </w:t>
      </w:r>
      <w:r w:rsidRPr="00104AF1">
        <w:rPr>
          <w:rFonts w:ascii="Garamond" w:hAnsi="Garamond"/>
          <w:i/>
          <w:iCs/>
        </w:rPr>
        <w:t>Global governance of financial systems: the international regulation of systemic risk</w:t>
      </w:r>
      <w:r w:rsidRPr="00104AF1">
        <w:rPr>
          <w:rFonts w:ascii="Garamond" w:hAnsi="Garamond"/>
        </w:rPr>
        <w:t xml:space="preserve">. </w:t>
      </w:r>
      <w:proofErr w:type="gramStart"/>
      <w:r w:rsidRPr="00104AF1">
        <w:rPr>
          <w:rFonts w:ascii="Garamond" w:hAnsi="Garamond"/>
        </w:rPr>
        <w:t>Oxford University Press, 2006.</w:t>
      </w:r>
      <w:proofErr w:type="gramEnd"/>
    </w:p>
    <w:p w14:paraId="1531E0D9" w14:textId="77777777" w:rsidR="00C369D9" w:rsidRPr="00104AF1" w:rsidRDefault="00C369D9" w:rsidP="001F48F1">
      <w:pPr>
        <w:pStyle w:val="Bibliography"/>
        <w:rPr>
          <w:rFonts w:ascii="Garamond" w:hAnsi="Garamond"/>
        </w:rPr>
      </w:pPr>
      <w:r w:rsidRPr="00104AF1">
        <w:rPr>
          <w:rFonts w:ascii="Garamond" w:hAnsi="Garamond"/>
        </w:rPr>
        <w:t>Baker</w:t>
      </w:r>
      <w:r w:rsidR="00056528" w:rsidRPr="00104AF1">
        <w:rPr>
          <w:rFonts w:ascii="Garamond" w:hAnsi="Garamond"/>
        </w:rPr>
        <w:t>, Andrew</w:t>
      </w:r>
      <w:r w:rsidRPr="00104AF1">
        <w:rPr>
          <w:rFonts w:ascii="Garamond" w:hAnsi="Garamond"/>
        </w:rPr>
        <w:t xml:space="preserve">. “Deliberative Equality and the </w:t>
      </w:r>
      <w:proofErr w:type="spellStart"/>
      <w:r w:rsidRPr="00104AF1">
        <w:rPr>
          <w:rFonts w:ascii="Garamond" w:hAnsi="Garamond"/>
        </w:rPr>
        <w:t>Transgovernmental</w:t>
      </w:r>
      <w:proofErr w:type="spellEnd"/>
      <w:r w:rsidRPr="00104AF1">
        <w:rPr>
          <w:rFonts w:ascii="Garamond" w:hAnsi="Garamond"/>
        </w:rPr>
        <w:t xml:space="preserve"> Politics of the Global Financial Architecture.” Research-article, April 20, 2009</w:t>
      </w:r>
      <w:r w:rsidR="008F0522" w:rsidRPr="00104AF1">
        <w:rPr>
          <w:rFonts w:ascii="Garamond" w:hAnsi="Garamond"/>
        </w:rPr>
        <w:t>.</w:t>
      </w:r>
    </w:p>
    <w:p w14:paraId="358B97EF" w14:textId="77777777" w:rsidR="00C369D9" w:rsidRPr="00104AF1" w:rsidRDefault="00B627D7">
      <w:pPr>
        <w:pStyle w:val="Bibliography"/>
        <w:rPr>
          <w:rFonts w:ascii="Garamond" w:hAnsi="Garamond"/>
        </w:rPr>
      </w:pPr>
      <w:r w:rsidRPr="00104AF1">
        <w:rPr>
          <w:rFonts w:ascii="Garamond" w:hAnsi="Garamond"/>
        </w:rPr>
        <w:t>---------</w:t>
      </w:r>
      <w:r w:rsidR="00C369D9" w:rsidRPr="00104AF1">
        <w:rPr>
          <w:rFonts w:ascii="Garamond" w:hAnsi="Garamond"/>
        </w:rPr>
        <w:t xml:space="preserve">. “Restraining regulatory capture? Anglo-America, crisis politics and trajectories of change in global financial governance.” </w:t>
      </w:r>
      <w:r w:rsidR="00C369D9" w:rsidRPr="00104AF1">
        <w:rPr>
          <w:rFonts w:ascii="Garamond" w:hAnsi="Garamond"/>
          <w:i/>
          <w:iCs/>
        </w:rPr>
        <w:t>International Affairs</w:t>
      </w:r>
      <w:r w:rsidR="00C369D9" w:rsidRPr="00104AF1">
        <w:rPr>
          <w:rFonts w:ascii="Garamond" w:hAnsi="Garamond"/>
        </w:rPr>
        <w:t xml:space="preserve"> 86, no. 3 (May 2010): 647-663.</w:t>
      </w:r>
    </w:p>
    <w:p w14:paraId="47508104" w14:textId="77777777" w:rsidR="00420744" w:rsidRPr="00104AF1" w:rsidRDefault="00F11502">
      <w:pPr>
        <w:rPr>
          <w:rFonts w:ascii="Garamond" w:hAnsi="Garamond"/>
        </w:rPr>
      </w:pPr>
      <w:r w:rsidRPr="00104AF1">
        <w:rPr>
          <w:rFonts w:ascii="Garamond" w:hAnsi="Garamond"/>
        </w:rPr>
        <w:t xml:space="preserve">Bair, Sheila. Bull by the Horns: Fighting to Save Main Street from Wall Street and Wall </w:t>
      </w:r>
      <w:r w:rsidR="00B73192" w:rsidRPr="00104AF1">
        <w:rPr>
          <w:rFonts w:ascii="Garamond" w:hAnsi="Garamond"/>
        </w:rPr>
        <w:tab/>
      </w:r>
      <w:r w:rsidRPr="00104AF1">
        <w:rPr>
          <w:rFonts w:ascii="Garamond" w:hAnsi="Garamond"/>
        </w:rPr>
        <w:t>Street from Itself.  New York: Free Press. 2012.</w:t>
      </w:r>
    </w:p>
    <w:p w14:paraId="76726472" w14:textId="77777777" w:rsidR="00C369D9" w:rsidRPr="00104AF1" w:rsidRDefault="00C369D9">
      <w:pPr>
        <w:pStyle w:val="Bibliography"/>
        <w:rPr>
          <w:rFonts w:ascii="Garamond" w:hAnsi="Garamond"/>
        </w:rPr>
      </w:pPr>
      <w:r w:rsidRPr="00104AF1">
        <w:rPr>
          <w:rFonts w:ascii="Garamond" w:hAnsi="Garamond"/>
        </w:rPr>
        <w:t xml:space="preserve">Barr, Michael, and Geoffrey Miller. “Global Administrative Law: the View from Basel.” </w:t>
      </w:r>
      <w:r w:rsidRPr="00104AF1">
        <w:rPr>
          <w:rFonts w:ascii="Garamond" w:hAnsi="Garamond"/>
          <w:i/>
          <w:iCs/>
        </w:rPr>
        <w:t>European Journal of International Law</w:t>
      </w:r>
      <w:r w:rsidRPr="00104AF1">
        <w:rPr>
          <w:rFonts w:ascii="Garamond" w:hAnsi="Garamond"/>
        </w:rPr>
        <w:t xml:space="preserve"> 17, no. 1 (</w:t>
      </w:r>
      <w:r w:rsidR="0063679F" w:rsidRPr="00104AF1">
        <w:rPr>
          <w:rFonts w:ascii="Garamond" w:hAnsi="Garamond"/>
        </w:rPr>
        <w:t>2006</w:t>
      </w:r>
      <w:r w:rsidRPr="00104AF1">
        <w:rPr>
          <w:rFonts w:ascii="Garamond" w:hAnsi="Garamond"/>
        </w:rPr>
        <w:t>): 15-46.</w:t>
      </w:r>
    </w:p>
    <w:p w14:paraId="1D845C22" w14:textId="77777777" w:rsidR="00B66945" w:rsidRDefault="00B66945">
      <w:pPr>
        <w:rPr>
          <w:rFonts w:ascii="Garamond" w:hAnsi="Garamond"/>
        </w:rPr>
      </w:pPr>
      <w:r w:rsidRPr="00104AF1">
        <w:rPr>
          <w:rFonts w:ascii="Garamond" w:hAnsi="Garamond"/>
        </w:rPr>
        <w:t xml:space="preserve">Berger, Suzanne. </w:t>
      </w:r>
      <w:proofErr w:type="gramStart"/>
      <w:r w:rsidRPr="00104AF1">
        <w:rPr>
          <w:rFonts w:ascii="Garamond" w:hAnsi="Garamond"/>
          <w:i/>
        </w:rPr>
        <w:t>Organizing Interests in Western Europe</w:t>
      </w:r>
      <w:r w:rsidRPr="00104AF1">
        <w:rPr>
          <w:rFonts w:ascii="Garamond" w:hAnsi="Garamond"/>
        </w:rPr>
        <w:t>.</w:t>
      </w:r>
      <w:proofErr w:type="gramEnd"/>
      <w:r w:rsidRPr="00104AF1">
        <w:rPr>
          <w:rFonts w:ascii="Garamond" w:hAnsi="Garamond"/>
        </w:rPr>
        <w:t xml:space="preserve"> </w:t>
      </w:r>
      <w:proofErr w:type="gramStart"/>
      <w:r w:rsidRPr="00104AF1">
        <w:rPr>
          <w:rFonts w:ascii="Garamond" w:hAnsi="Garamond"/>
        </w:rPr>
        <w:t>Cambr</w:t>
      </w:r>
      <w:r w:rsidR="002C282D" w:rsidRPr="00104AF1">
        <w:rPr>
          <w:rFonts w:ascii="Garamond" w:hAnsi="Garamond"/>
        </w:rPr>
        <w:t>id</w:t>
      </w:r>
      <w:r w:rsidRPr="00104AF1">
        <w:rPr>
          <w:rFonts w:ascii="Garamond" w:hAnsi="Garamond"/>
        </w:rPr>
        <w:t>ge University Press.</w:t>
      </w:r>
      <w:proofErr w:type="gramEnd"/>
      <w:r w:rsidRPr="00104AF1">
        <w:rPr>
          <w:rFonts w:ascii="Garamond" w:hAnsi="Garamond"/>
        </w:rPr>
        <w:t xml:space="preserve"> 1981.</w:t>
      </w:r>
    </w:p>
    <w:p w14:paraId="79CF3B6C" w14:textId="77777777" w:rsidR="00803D9D" w:rsidRDefault="00803D9D">
      <w:pPr>
        <w:rPr>
          <w:rFonts w:ascii="Garamond" w:hAnsi="Garamond"/>
          <w:i/>
        </w:rPr>
      </w:pPr>
      <w:proofErr w:type="spellStart"/>
      <w:r>
        <w:rPr>
          <w:rFonts w:ascii="Garamond" w:hAnsi="Garamond"/>
        </w:rPr>
        <w:t>Blustein</w:t>
      </w:r>
      <w:proofErr w:type="spellEnd"/>
      <w:r>
        <w:rPr>
          <w:rFonts w:ascii="Garamond" w:hAnsi="Garamond"/>
        </w:rPr>
        <w:t xml:space="preserve">, Paul. </w:t>
      </w:r>
      <w:r w:rsidR="006318A7" w:rsidRPr="006318A7">
        <w:rPr>
          <w:rFonts w:ascii="Garamond" w:hAnsi="Garamond"/>
          <w:i/>
        </w:rPr>
        <w:t xml:space="preserve">The Chastening: Inside the Crisis that Rocked the Global Financial System and Humbled </w:t>
      </w:r>
    </w:p>
    <w:p w14:paraId="1E278B7B" w14:textId="77777777" w:rsidR="00BE7501" w:rsidRDefault="006318A7">
      <w:pPr>
        <w:ind w:firstLine="720"/>
        <w:rPr>
          <w:rFonts w:ascii="Garamond" w:hAnsi="Garamond"/>
        </w:rPr>
      </w:pPr>
      <w:proofErr w:type="gramStart"/>
      <w:r w:rsidRPr="006318A7">
        <w:rPr>
          <w:rFonts w:ascii="Garamond" w:hAnsi="Garamond"/>
          <w:i/>
        </w:rPr>
        <w:t>the</w:t>
      </w:r>
      <w:proofErr w:type="gramEnd"/>
      <w:r w:rsidRPr="006318A7">
        <w:rPr>
          <w:rFonts w:ascii="Garamond" w:hAnsi="Garamond"/>
          <w:i/>
        </w:rPr>
        <w:t xml:space="preserve"> IMF</w:t>
      </w:r>
      <w:r w:rsidR="00803D9D">
        <w:rPr>
          <w:rFonts w:ascii="Garamond" w:hAnsi="Garamond"/>
        </w:rPr>
        <w:t>. Public Affairs. 2003.</w:t>
      </w:r>
    </w:p>
    <w:p w14:paraId="6E1EC13A" w14:textId="77777777" w:rsidR="00104AF1" w:rsidRPr="00104AF1" w:rsidRDefault="00104AF1">
      <w:pPr>
        <w:rPr>
          <w:rFonts w:ascii="Garamond" w:hAnsi="Garamond"/>
        </w:rPr>
      </w:pPr>
      <w:r w:rsidRPr="00104AF1">
        <w:rPr>
          <w:rFonts w:ascii="Garamond" w:hAnsi="Garamond"/>
        </w:rPr>
        <w:t xml:space="preserve">Bob, Clifford. </w:t>
      </w:r>
      <w:proofErr w:type="gramStart"/>
      <w:r w:rsidR="009F14C8" w:rsidRPr="00D93632">
        <w:rPr>
          <w:rFonts w:ascii="Garamond" w:hAnsi="Garamond"/>
          <w:i/>
        </w:rPr>
        <w:t>The Marketing of Rebellion</w:t>
      </w:r>
      <w:r w:rsidRPr="00104AF1">
        <w:rPr>
          <w:rFonts w:ascii="Garamond" w:hAnsi="Garamond"/>
        </w:rPr>
        <w:t>.</w:t>
      </w:r>
      <w:proofErr w:type="gramEnd"/>
      <w:r w:rsidRPr="00104AF1">
        <w:rPr>
          <w:rFonts w:ascii="Garamond" w:hAnsi="Garamond"/>
        </w:rPr>
        <w:t xml:space="preserve"> Cambridge: Cambridge University Press. 2005.</w:t>
      </w:r>
    </w:p>
    <w:p w14:paraId="2CE7BC37" w14:textId="77777777" w:rsidR="00187E85" w:rsidRDefault="009F14C8" w:rsidP="00D93632">
      <w:pPr>
        <w:pStyle w:val="Bibliography"/>
        <w:rPr>
          <w:rFonts w:ascii="Garamond" w:hAnsi="Garamond"/>
        </w:rPr>
      </w:pPr>
      <w:proofErr w:type="spellStart"/>
      <w:r w:rsidRPr="00D93632">
        <w:rPr>
          <w:rFonts w:ascii="Garamond" w:hAnsi="Garamond"/>
        </w:rPr>
        <w:t>Botzem</w:t>
      </w:r>
      <w:proofErr w:type="spellEnd"/>
      <w:r w:rsidRPr="00D93632">
        <w:rPr>
          <w:rFonts w:ascii="Garamond" w:hAnsi="Garamond"/>
        </w:rPr>
        <w:t xml:space="preserve">, Sebastian. </w:t>
      </w:r>
      <w:r w:rsidRPr="00D93632">
        <w:rPr>
          <w:rFonts w:ascii="Garamond" w:hAnsi="Garamond"/>
          <w:i/>
          <w:iCs/>
        </w:rPr>
        <w:t>The Politics of Accounting Regulation: Organizing Transnational Standard Setting in Financial Reporting</w:t>
      </w:r>
      <w:r w:rsidRPr="00D93632">
        <w:rPr>
          <w:rFonts w:ascii="Garamond" w:hAnsi="Garamond"/>
        </w:rPr>
        <w:t>. Edward Elgar Publishing. 2012.</w:t>
      </w:r>
    </w:p>
    <w:p w14:paraId="512C646B" w14:textId="77777777" w:rsidR="00420744" w:rsidRPr="00104AF1" w:rsidRDefault="00420744">
      <w:pPr>
        <w:rPr>
          <w:rFonts w:ascii="Garamond" w:hAnsi="Garamond"/>
        </w:rPr>
      </w:pPr>
      <w:proofErr w:type="spellStart"/>
      <w:r w:rsidRPr="00104AF1">
        <w:rPr>
          <w:rFonts w:ascii="Garamond" w:hAnsi="Garamond"/>
        </w:rPr>
        <w:t>Brummer</w:t>
      </w:r>
      <w:proofErr w:type="spellEnd"/>
      <w:r w:rsidRPr="00104AF1">
        <w:rPr>
          <w:rFonts w:ascii="Garamond" w:hAnsi="Garamond"/>
        </w:rPr>
        <w:t xml:space="preserve">, C. </w:t>
      </w:r>
      <w:r w:rsidRPr="00104AF1">
        <w:rPr>
          <w:rFonts w:ascii="Garamond" w:hAnsi="Garamond"/>
          <w:i/>
        </w:rPr>
        <w:t>Soft Law and the Global Financial System</w:t>
      </w:r>
      <w:r w:rsidRPr="00104AF1">
        <w:rPr>
          <w:rFonts w:ascii="Garamond" w:hAnsi="Garamond"/>
        </w:rPr>
        <w:t xml:space="preserve">. Cambridge: Cambridge </w:t>
      </w:r>
    </w:p>
    <w:p w14:paraId="2F153FED" w14:textId="77777777" w:rsidR="00420744" w:rsidRPr="004769FE" w:rsidRDefault="00420744">
      <w:pPr>
        <w:ind w:firstLine="720"/>
        <w:rPr>
          <w:rFonts w:ascii="Garamond" w:hAnsi="Garamond"/>
        </w:rPr>
      </w:pPr>
      <w:r w:rsidRPr="004769FE">
        <w:rPr>
          <w:rFonts w:ascii="Garamond" w:hAnsi="Garamond"/>
        </w:rPr>
        <w:t>University Press. 2012.</w:t>
      </w:r>
    </w:p>
    <w:p w14:paraId="5D4245E1" w14:textId="77777777" w:rsidR="00420744" w:rsidRPr="001F48F1" w:rsidRDefault="00420744">
      <w:pPr>
        <w:rPr>
          <w:rFonts w:ascii="Garamond" w:hAnsi="Garamond"/>
        </w:rPr>
      </w:pPr>
      <w:proofErr w:type="spellStart"/>
      <w:r w:rsidRPr="001F48F1">
        <w:rPr>
          <w:rFonts w:ascii="Garamond" w:hAnsi="Garamond"/>
        </w:rPr>
        <w:t>Buerkle</w:t>
      </w:r>
      <w:proofErr w:type="spellEnd"/>
      <w:r w:rsidRPr="001F48F1">
        <w:rPr>
          <w:rFonts w:ascii="Garamond" w:hAnsi="Garamond"/>
        </w:rPr>
        <w:t xml:space="preserve">, Tom. “European Disunion.” </w:t>
      </w:r>
      <w:r w:rsidRPr="001F48F1">
        <w:rPr>
          <w:rFonts w:ascii="Garamond" w:hAnsi="Garamond"/>
          <w:i/>
        </w:rPr>
        <w:t>Institutional Investor</w:t>
      </w:r>
      <w:r w:rsidRPr="001F48F1">
        <w:rPr>
          <w:rFonts w:ascii="Garamond" w:hAnsi="Garamond"/>
        </w:rPr>
        <w:t>. July 2002</w:t>
      </w:r>
    </w:p>
    <w:p w14:paraId="527FC053" w14:textId="77777777" w:rsidR="00C369D9" w:rsidRPr="00104AF1" w:rsidRDefault="00C369D9">
      <w:pPr>
        <w:pStyle w:val="Bibliography"/>
        <w:rPr>
          <w:rFonts w:ascii="Garamond" w:hAnsi="Garamond"/>
        </w:rPr>
      </w:pPr>
      <w:proofErr w:type="spellStart"/>
      <w:r w:rsidRPr="00104AF1">
        <w:rPr>
          <w:rFonts w:ascii="Garamond" w:hAnsi="Garamond"/>
        </w:rPr>
        <w:t>Büthe</w:t>
      </w:r>
      <w:proofErr w:type="spellEnd"/>
      <w:r w:rsidRPr="00104AF1">
        <w:rPr>
          <w:rFonts w:ascii="Garamond" w:hAnsi="Garamond"/>
        </w:rPr>
        <w:t xml:space="preserve">, T. “Taking Temporality Seriously: Modeling History and the Use of Narratives as Evidence.” </w:t>
      </w:r>
      <w:r w:rsidRPr="00104AF1">
        <w:rPr>
          <w:rFonts w:ascii="Garamond" w:hAnsi="Garamond"/>
          <w:i/>
          <w:iCs/>
        </w:rPr>
        <w:t>American Political Science Review</w:t>
      </w:r>
      <w:r w:rsidRPr="00104AF1">
        <w:rPr>
          <w:rFonts w:ascii="Garamond" w:hAnsi="Garamond"/>
        </w:rPr>
        <w:t xml:space="preserve"> 96, no. 3 (2002): 481-493.</w:t>
      </w:r>
    </w:p>
    <w:p w14:paraId="0A020619" w14:textId="77777777" w:rsidR="006811F3" w:rsidRPr="00104AF1" w:rsidRDefault="006811F3">
      <w:pPr>
        <w:rPr>
          <w:rFonts w:ascii="Garamond" w:hAnsi="Garamond"/>
          <w:i/>
        </w:rPr>
      </w:pPr>
      <w:proofErr w:type="spellStart"/>
      <w:r w:rsidRPr="00104AF1">
        <w:rPr>
          <w:rFonts w:ascii="Garamond" w:hAnsi="Garamond"/>
        </w:rPr>
        <w:t>Büthe</w:t>
      </w:r>
      <w:proofErr w:type="spellEnd"/>
      <w:r w:rsidRPr="00104AF1">
        <w:rPr>
          <w:rFonts w:ascii="Garamond" w:hAnsi="Garamond"/>
        </w:rPr>
        <w:t xml:space="preserve">, Tim, and Walter </w:t>
      </w:r>
      <w:proofErr w:type="spellStart"/>
      <w:r w:rsidRPr="00104AF1">
        <w:rPr>
          <w:rFonts w:ascii="Garamond" w:hAnsi="Garamond"/>
        </w:rPr>
        <w:t>Mattli</w:t>
      </w:r>
      <w:proofErr w:type="spellEnd"/>
      <w:r w:rsidRPr="00104AF1">
        <w:rPr>
          <w:rFonts w:ascii="Garamond" w:hAnsi="Garamond"/>
        </w:rPr>
        <w:t xml:space="preserve">. </w:t>
      </w:r>
      <w:r w:rsidRPr="00104AF1">
        <w:rPr>
          <w:rFonts w:ascii="Garamond" w:hAnsi="Garamond"/>
          <w:i/>
        </w:rPr>
        <w:t xml:space="preserve">The New Global Rulers: The privatization of regulation in the world </w:t>
      </w:r>
    </w:p>
    <w:p w14:paraId="0AB0ADAC" w14:textId="77777777" w:rsidR="006811F3" w:rsidRPr="00104AF1" w:rsidRDefault="006811F3">
      <w:pPr>
        <w:ind w:firstLine="720"/>
        <w:rPr>
          <w:rFonts w:ascii="Garamond" w:hAnsi="Garamond"/>
        </w:rPr>
      </w:pPr>
      <w:proofErr w:type="gramStart"/>
      <w:r w:rsidRPr="00104AF1">
        <w:rPr>
          <w:rFonts w:ascii="Garamond" w:hAnsi="Garamond"/>
          <w:i/>
        </w:rPr>
        <w:t>economy</w:t>
      </w:r>
      <w:proofErr w:type="gramEnd"/>
      <w:r w:rsidRPr="00104AF1">
        <w:rPr>
          <w:rFonts w:ascii="Garamond" w:hAnsi="Garamond"/>
        </w:rPr>
        <w:t>.  Princeton: Princeton University Press. 2011</w:t>
      </w:r>
    </w:p>
    <w:p w14:paraId="370368FD" w14:textId="77777777" w:rsidR="002C282D" w:rsidRPr="00104AF1" w:rsidRDefault="00206AF1">
      <w:pPr>
        <w:pStyle w:val="Bibliography"/>
        <w:rPr>
          <w:rFonts w:ascii="Garamond" w:hAnsi="Garamond"/>
        </w:rPr>
      </w:pPr>
      <w:r w:rsidRPr="00104AF1">
        <w:rPr>
          <w:rFonts w:ascii="Garamond" w:hAnsi="Garamond"/>
        </w:rPr>
        <w:t xml:space="preserve">Callaghan, Helen and Martin </w:t>
      </w:r>
      <w:proofErr w:type="spellStart"/>
      <w:r w:rsidRPr="00104AF1">
        <w:rPr>
          <w:rFonts w:ascii="Garamond" w:hAnsi="Garamond"/>
        </w:rPr>
        <w:t>Ho</w:t>
      </w:r>
      <w:r w:rsidR="002C282D" w:rsidRPr="00104AF1">
        <w:rPr>
          <w:rFonts w:ascii="Garamond" w:hAnsi="Garamond"/>
        </w:rPr>
        <w:t>pner</w:t>
      </w:r>
      <w:proofErr w:type="spellEnd"/>
      <w:r w:rsidR="002C282D" w:rsidRPr="00104AF1">
        <w:rPr>
          <w:rFonts w:ascii="Garamond" w:hAnsi="Garamond"/>
        </w:rPr>
        <w:t>.</w:t>
      </w:r>
      <w:r w:rsidRPr="00104AF1">
        <w:rPr>
          <w:rFonts w:ascii="Garamond" w:hAnsi="Garamond"/>
        </w:rPr>
        <w:t xml:space="preserve"> “European Integration and the Clash of Capitalisms: Political cleavages over takeover liberalization.” </w:t>
      </w:r>
      <w:r w:rsidRPr="00104AF1">
        <w:rPr>
          <w:rFonts w:ascii="Garamond" w:hAnsi="Garamond"/>
          <w:i/>
        </w:rPr>
        <w:t>Comparative European Politics</w:t>
      </w:r>
      <w:r w:rsidR="002C282D" w:rsidRPr="00104AF1">
        <w:rPr>
          <w:rFonts w:ascii="Garamond" w:hAnsi="Garamond"/>
        </w:rPr>
        <w:t xml:space="preserve"> </w:t>
      </w:r>
      <w:r w:rsidRPr="00104AF1">
        <w:rPr>
          <w:rFonts w:ascii="Garamond" w:hAnsi="Garamond"/>
        </w:rPr>
        <w:t>3, no. 3 (2005): 307-332.</w:t>
      </w:r>
    </w:p>
    <w:p w14:paraId="18DF9305" w14:textId="77777777" w:rsidR="00C369D9" w:rsidRPr="00104AF1" w:rsidRDefault="00C369D9">
      <w:pPr>
        <w:pStyle w:val="Bibliography"/>
        <w:rPr>
          <w:rFonts w:ascii="Garamond" w:hAnsi="Garamond"/>
        </w:rPr>
      </w:pPr>
      <w:proofErr w:type="spellStart"/>
      <w:r w:rsidRPr="00104AF1">
        <w:rPr>
          <w:rFonts w:ascii="Garamond" w:hAnsi="Garamond"/>
        </w:rPr>
        <w:t>Camfferman</w:t>
      </w:r>
      <w:proofErr w:type="spellEnd"/>
      <w:r w:rsidRPr="00104AF1">
        <w:rPr>
          <w:rFonts w:ascii="Garamond" w:hAnsi="Garamond"/>
        </w:rPr>
        <w:t xml:space="preserve">, </w:t>
      </w:r>
      <w:proofErr w:type="spellStart"/>
      <w:r w:rsidRPr="00104AF1">
        <w:rPr>
          <w:rFonts w:ascii="Garamond" w:hAnsi="Garamond"/>
        </w:rPr>
        <w:t>Kees</w:t>
      </w:r>
      <w:proofErr w:type="spellEnd"/>
      <w:r w:rsidRPr="00104AF1">
        <w:rPr>
          <w:rFonts w:ascii="Garamond" w:hAnsi="Garamond"/>
        </w:rPr>
        <w:t xml:space="preserve">, and Stephen A. </w:t>
      </w:r>
      <w:proofErr w:type="spellStart"/>
      <w:r w:rsidRPr="00104AF1">
        <w:rPr>
          <w:rFonts w:ascii="Garamond" w:hAnsi="Garamond"/>
        </w:rPr>
        <w:t>Zeff</w:t>
      </w:r>
      <w:proofErr w:type="spellEnd"/>
      <w:r w:rsidRPr="00104AF1">
        <w:rPr>
          <w:rFonts w:ascii="Garamond" w:hAnsi="Garamond"/>
        </w:rPr>
        <w:t xml:space="preserve">. </w:t>
      </w:r>
      <w:r w:rsidRPr="00104AF1">
        <w:rPr>
          <w:rFonts w:ascii="Garamond" w:hAnsi="Garamond"/>
          <w:i/>
          <w:iCs/>
        </w:rPr>
        <w:t>Financial reporting and global capital markets: a history of the International Accounting Standards Committee, 1973-2000</w:t>
      </w:r>
      <w:r w:rsidRPr="00104AF1">
        <w:rPr>
          <w:rFonts w:ascii="Garamond" w:hAnsi="Garamond"/>
        </w:rPr>
        <w:t xml:space="preserve">. </w:t>
      </w:r>
      <w:proofErr w:type="gramStart"/>
      <w:r w:rsidRPr="00104AF1">
        <w:rPr>
          <w:rFonts w:ascii="Garamond" w:hAnsi="Garamond"/>
        </w:rPr>
        <w:t>Oxford University Press, 2007.</w:t>
      </w:r>
      <w:proofErr w:type="gramEnd"/>
    </w:p>
    <w:p w14:paraId="5417E9E0" w14:textId="77777777" w:rsidR="00C369D9" w:rsidRPr="00104AF1" w:rsidRDefault="00C369D9">
      <w:pPr>
        <w:pStyle w:val="Bibliography"/>
        <w:rPr>
          <w:rFonts w:ascii="Garamond" w:hAnsi="Garamond"/>
        </w:rPr>
      </w:pPr>
      <w:r w:rsidRPr="00104AF1">
        <w:rPr>
          <w:rFonts w:ascii="Garamond" w:hAnsi="Garamond"/>
        </w:rPr>
        <w:t xml:space="preserve">Campbell, A. </w:t>
      </w:r>
      <w:r w:rsidRPr="00104AF1">
        <w:rPr>
          <w:rFonts w:ascii="Garamond" w:hAnsi="Garamond"/>
          <w:i/>
          <w:iCs/>
        </w:rPr>
        <w:t>How Policies Make Citizens: Senior Political Activism and the American Welfare State</w:t>
      </w:r>
      <w:r w:rsidRPr="00104AF1">
        <w:rPr>
          <w:rFonts w:ascii="Garamond" w:hAnsi="Garamond"/>
        </w:rPr>
        <w:t>. Princeton: Princeton University Press, 2003.</w:t>
      </w:r>
    </w:p>
    <w:p w14:paraId="34742605" w14:textId="77777777" w:rsidR="00A46A84" w:rsidRPr="00104AF1" w:rsidRDefault="009F14C8">
      <w:pPr>
        <w:pStyle w:val="Bibliography"/>
        <w:rPr>
          <w:rFonts w:ascii="Garamond" w:hAnsi="Garamond"/>
        </w:rPr>
      </w:pPr>
      <w:proofErr w:type="spellStart"/>
      <w:r w:rsidRPr="00D93632">
        <w:rPr>
          <w:rFonts w:ascii="Garamond" w:hAnsi="Garamond"/>
        </w:rPr>
        <w:t>Caporaso</w:t>
      </w:r>
      <w:proofErr w:type="spellEnd"/>
      <w:r w:rsidRPr="00D93632">
        <w:rPr>
          <w:rFonts w:ascii="Garamond" w:hAnsi="Garamond"/>
        </w:rPr>
        <w:t>, James.  James. ceton University Press, 2003.ctivism and the  International Politics.ol</w:t>
      </w:r>
      <w:r w:rsidRPr="00D93632">
        <w:rPr>
          <w:rFonts w:ascii="Garamond" w:hAnsi="Garamond"/>
          <w:i/>
          <w:iCs/>
        </w:rPr>
        <w:t>International Studies Quarterly</w:t>
      </w:r>
      <w:r w:rsidRPr="00D93632">
        <w:rPr>
          <w:rFonts w:ascii="Garamond" w:hAnsi="Garamond"/>
        </w:rPr>
        <w:t xml:space="preserve"> 41, no. 4 (1997): 563atio </w:t>
      </w:r>
    </w:p>
    <w:p w14:paraId="66E35A04" w14:textId="77777777" w:rsidR="00187E85" w:rsidRDefault="009F14C8" w:rsidP="00D93632">
      <w:pPr>
        <w:rPr>
          <w:rFonts w:ascii="Garamond" w:hAnsi="Garamond"/>
        </w:rPr>
      </w:pPr>
      <w:proofErr w:type="spellStart"/>
      <w:r w:rsidRPr="00D93632">
        <w:rPr>
          <w:rFonts w:ascii="Garamond" w:hAnsi="Garamond"/>
        </w:rPr>
        <w:t>Cerny</w:t>
      </w:r>
      <w:proofErr w:type="spellEnd"/>
      <w:r w:rsidRPr="00D93632">
        <w:rPr>
          <w:rFonts w:ascii="Garamond" w:hAnsi="Garamond"/>
        </w:rPr>
        <w:t xml:space="preserve">, Philip G. </w:t>
      </w:r>
      <w:r w:rsidRPr="00D93632">
        <w:rPr>
          <w:rFonts w:ascii="Garamond" w:hAnsi="Garamond"/>
          <w:i/>
          <w:iCs/>
        </w:rPr>
        <w:t xml:space="preserve">Rethinking World Politics: A Theory of Transnational </w:t>
      </w:r>
      <w:proofErr w:type="spellStart"/>
      <w:r w:rsidRPr="00D93632">
        <w:rPr>
          <w:rFonts w:ascii="Garamond" w:hAnsi="Garamond"/>
          <w:i/>
          <w:iCs/>
        </w:rPr>
        <w:t>Neopluralism</w:t>
      </w:r>
      <w:proofErr w:type="spellEnd"/>
      <w:r w:rsidRPr="00D93632">
        <w:rPr>
          <w:rFonts w:ascii="Garamond" w:hAnsi="Garamond"/>
        </w:rPr>
        <w:t xml:space="preserve">. Oxford </w:t>
      </w:r>
    </w:p>
    <w:p w14:paraId="3B01413E" w14:textId="77777777" w:rsidR="00187E85" w:rsidRDefault="009F14C8" w:rsidP="00D93632">
      <w:pPr>
        <w:ind w:firstLine="720"/>
        <w:rPr>
          <w:rFonts w:ascii="Garamond" w:hAnsi="Garamond"/>
        </w:rPr>
      </w:pPr>
      <w:r w:rsidRPr="00D93632">
        <w:rPr>
          <w:rFonts w:ascii="Garamond" w:hAnsi="Garamond"/>
        </w:rPr>
        <w:t>University Press. 2010.</w:t>
      </w:r>
    </w:p>
    <w:p w14:paraId="3A30AFAE" w14:textId="77777777" w:rsidR="00187E85" w:rsidRDefault="005966FB" w:rsidP="00D93632">
      <w:pPr>
        <w:pStyle w:val="Bibliography"/>
        <w:rPr>
          <w:rFonts w:ascii="Garamond" w:hAnsi="Garamond"/>
        </w:rPr>
      </w:pPr>
      <w:r w:rsidRPr="00104AF1">
        <w:rPr>
          <w:rFonts w:ascii="Garamond" w:hAnsi="Garamond"/>
        </w:rPr>
        <w:t xml:space="preserve">Coates, Katherine.  “Regulation: Passport to Change,” </w:t>
      </w:r>
      <w:r w:rsidRPr="00104AF1">
        <w:rPr>
          <w:rFonts w:ascii="Garamond" w:hAnsi="Garamond"/>
          <w:i/>
        </w:rPr>
        <w:t>Reinsurance Magazine</w:t>
      </w:r>
      <w:r w:rsidRPr="00104AF1">
        <w:rPr>
          <w:rFonts w:ascii="Garamond" w:hAnsi="Garamond"/>
        </w:rPr>
        <w:t>, August 16, 2001</w:t>
      </w:r>
      <w:proofErr w:type="gramStart"/>
      <w:r w:rsidRPr="00104AF1">
        <w:rPr>
          <w:rFonts w:ascii="Garamond" w:hAnsi="Garamond"/>
        </w:rPr>
        <w:t>.</w:t>
      </w:r>
      <w:r w:rsidR="002C282D" w:rsidRPr="00104AF1">
        <w:rPr>
          <w:rFonts w:ascii="Garamond" w:hAnsi="Garamond"/>
        </w:rPr>
        <w:t>.</w:t>
      </w:r>
      <w:proofErr w:type="gramEnd"/>
    </w:p>
    <w:p w14:paraId="78D07CFA" w14:textId="77777777" w:rsidR="00C369D9" w:rsidRPr="001F48F1" w:rsidRDefault="00C369D9">
      <w:pPr>
        <w:pStyle w:val="Bibliography"/>
        <w:rPr>
          <w:rFonts w:ascii="Garamond" w:hAnsi="Garamond"/>
        </w:rPr>
      </w:pPr>
      <w:r w:rsidRPr="004769FE">
        <w:rPr>
          <w:rFonts w:ascii="Garamond" w:hAnsi="Garamond"/>
        </w:rPr>
        <w:t xml:space="preserve">Davies, Howard, and David Green. </w:t>
      </w:r>
      <w:r w:rsidRPr="001F48F1">
        <w:rPr>
          <w:rFonts w:ascii="Garamond" w:hAnsi="Garamond"/>
          <w:i/>
          <w:iCs/>
        </w:rPr>
        <w:t>Global Financial Regulation: The Essential Guide</w:t>
      </w:r>
      <w:r w:rsidRPr="001F48F1">
        <w:rPr>
          <w:rFonts w:ascii="Garamond" w:hAnsi="Garamond"/>
        </w:rPr>
        <w:t xml:space="preserve">. </w:t>
      </w:r>
      <w:proofErr w:type="gramStart"/>
      <w:r w:rsidRPr="001F48F1">
        <w:rPr>
          <w:rFonts w:ascii="Garamond" w:hAnsi="Garamond"/>
        </w:rPr>
        <w:t>Polity, 2008.</w:t>
      </w:r>
      <w:proofErr w:type="gramEnd"/>
    </w:p>
    <w:p w14:paraId="715769B2" w14:textId="77777777" w:rsidR="005A3218" w:rsidRPr="00104AF1" w:rsidRDefault="005A3218">
      <w:pPr>
        <w:rPr>
          <w:rFonts w:ascii="Garamond" w:hAnsi="Garamond"/>
        </w:rPr>
      </w:pPr>
      <w:proofErr w:type="spellStart"/>
      <w:r w:rsidRPr="00104AF1">
        <w:rPr>
          <w:rFonts w:ascii="Garamond" w:hAnsi="Garamond"/>
        </w:rPr>
        <w:t>Deeg</w:t>
      </w:r>
      <w:proofErr w:type="spellEnd"/>
      <w:r w:rsidRPr="00104AF1">
        <w:rPr>
          <w:rFonts w:ascii="Garamond" w:hAnsi="Garamond"/>
        </w:rPr>
        <w:t xml:space="preserve">, R. “Institutional Change in Financial Systems” in </w:t>
      </w:r>
      <w:r w:rsidRPr="00104AF1">
        <w:rPr>
          <w:rFonts w:ascii="Garamond" w:hAnsi="Garamond"/>
          <w:i/>
        </w:rPr>
        <w:t xml:space="preserve">The Oxford Handbook of </w:t>
      </w:r>
      <w:r w:rsidRPr="00104AF1">
        <w:rPr>
          <w:rFonts w:ascii="Garamond" w:hAnsi="Garamond"/>
          <w:i/>
        </w:rPr>
        <w:tab/>
        <w:t>Comparative Institutional Analysis</w:t>
      </w:r>
      <w:r w:rsidRPr="00104AF1">
        <w:rPr>
          <w:rFonts w:ascii="Garamond" w:hAnsi="Garamond"/>
        </w:rPr>
        <w:t xml:space="preserve">, edited by G. Morgan et al. Oxford: Oxford </w:t>
      </w:r>
      <w:r w:rsidRPr="00104AF1">
        <w:rPr>
          <w:rFonts w:ascii="Garamond" w:hAnsi="Garamond"/>
        </w:rPr>
        <w:tab/>
        <w:t xml:space="preserve">University Press. </w:t>
      </w:r>
      <w:proofErr w:type="gramStart"/>
      <w:r w:rsidRPr="00104AF1">
        <w:rPr>
          <w:rFonts w:ascii="Garamond" w:hAnsi="Garamond"/>
        </w:rPr>
        <w:t>2010, 309-334.</w:t>
      </w:r>
      <w:proofErr w:type="gramEnd"/>
      <w:r w:rsidRPr="00104AF1">
        <w:rPr>
          <w:rFonts w:ascii="Garamond" w:hAnsi="Garamond"/>
        </w:rPr>
        <w:t xml:space="preserve">   </w:t>
      </w:r>
    </w:p>
    <w:p w14:paraId="417EBAA4" w14:textId="77777777" w:rsidR="00C369D9" w:rsidRPr="00104AF1" w:rsidRDefault="00C369D9">
      <w:pPr>
        <w:pStyle w:val="Bibliography"/>
        <w:rPr>
          <w:rFonts w:ascii="Garamond" w:hAnsi="Garamond"/>
        </w:rPr>
      </w:pPr>
      <w:proofErr w:type="spellStart"/>
      <w:proofErr w:type="gramStart"/>
      <w:r w:rsidRPr="00104AF1">
        <w:rPr>
          <w:rFonts w:ascii="Garamond" w:hAnsi="Garamond"/>
        </w:rPr>
        <w:t>Deeg</w:t>
      </w:r>
      <w:proofErr w:type="spellEnd"/>
      <w:r w:rsidRPr="00104AF1">
        <w:rPr>
          <w:rFonts w:ascii="Garamond" w:hAnsi="Garamond"/>
        </w:rPr>
        <w:t xml:space="preserve">, R., and S. </w:t>
      </w:r>
      <w:proofErr w:type="spellStart"/>
      <w:r w:rsidRPr="00104AF1">
        <w:rPr>
          <w:rFonts w:ascii="Garamond" w:hAnsi="Garamond"/>
        </w:rPr>
        <w:t>Luetz</w:t>
      </w:r>
      <w:proofErr w:type="spellEnd"/>
      <w:r w:rsidRPr="00104AF1">
        <w:rPr>
          <w:rFonts w:ascii="Garamond" w:hAnsi="Garamond"/>
        </w:rPr>
        <w:t>.</w:t>
      </w:r>
      <w:proofErr w:type="gramEnd"/>
      <w:r w:rsidRPr="00104AF1">
        <w:rPr>
          <w:rFonts w:ascii="Garamond" w:hAnsi="Garamond"/>
        </w:rPr>
        <w:t xml:space="preserve"> “Internationalization and Financial Federalism.” </w:t>
      </w:r>
      <w:r w:rsidRPr="00104AF1">
        <w:rPr>
          <w:rFonts w:ascii="Garamond" w:hAnsi="Garamond"/>
          <w:i/>
          <w:iCs/>
        </w:rPr>
        <w:t>Comparative Political Studies</w:t>
      </w:r>
      <w:r w:rsidRPr="00104AF1">
        <w:rPr>
          <w:rFonts w:ascii="Garamond" w:hAnsi="Garamond"/>
        </w:rPr>
        <w:t xml:space="preserve"> 33, no. 3 (April 2000): 374-405.</w:t>
      </w:r>
    </w:p>
    <w:p w14:paraId="35CAEB7D" w14:textId="77777777" w:rsidR="00DF11B7" w:rsidRPr="00104AF1" w:rsidRDefault="00DF11B7">
      <w:pPr>
        <w:rPr>
          <w:rFonts w:ascii="Garamond" w:hAnsi="Garamond"/>
        </w:rPr>
      </w:pPr>
      <w:proofErr w:type="spellStart"/>
      <w:r w:rsidRPr="00104AF1">
        <w:rPr>
          <w:rFonts w:ascii="Garamond" w:hAnsi="Garamond"/>
        </w:rPr>
        <w:t>Deeg</w:t>
      </w:r>
      <w:proofErr w:type="spellEnd"/>
      <w:r w:rsidRPr="00104AF1">
        <w:rPr>
          <w:rFonts w:ascii="Garamond" w:hAnsi="Garamond"/>
        </w:rPr>
        <w:t xml:space="preserve">, R. and M. O’Sullivan. “The Political Economy of Global Financial Capital,” </w:t>
      </w:r>
    </w:p>
    <w:p w14:paraId="44B8DFF2" w14:textId="77777777" w:rsidR="00DF11B7" w:rsidRPr="00104AF1" w:rsidRDefault="00DF11B7">
      <w:pPr>
        <w:ind w:firstLine="720"/>
        <w:rPr>
          <w:rFonts w:ascii="Garamond" w:hAnsi="Garamond"/>
        </w:rPr>
      </w:pPr>
      <w:r w:rsidRPr="00104AF1">
        <w:rPr>
          <w:rFonts w:ascii="Garamond" w:hAnsi="Garamond"/>
        </w:rPr>
        <w:t>World Politics 61, no. 4(2009): 731-63)</w:t>
      </w:r>
    </w:p>
    <w:p w14:paraId="03740FF9" w14:textId="77777777" w:rsidR="00C369D9" w:rsidRPr="00104AF1" w:rsidRDefault="00C369D9">
      <w:pPr>
        <w:pStyle w:val="Bibliography"/>
        <w:rPr>
          <w:rFonts w:ascii="Garamond" w:hAnsi="Garamond"/>
        </w:rPr>
      </w:pPr>
      <w:r w:rsidRPr="00104AF1">
        <w:rPr>
          <w:rFonts w:ascii="Garamond" w:hAnsi="Garamond"/>
        </w:rPr>
        <w:t xml:space="preserve">DeLong, J. Bradford, and Stephen S. Cohen. </w:t>
      </w:r>
      <w:r w:rsidRPr="00104AF1">
        <w:rPr>
          <w:rFonts w:ascii="Garamond" w:hAnsi="Garamond"/>
          <w:i/>
          <w:iCs/>
        </w:rPr>
        <w:t>The End of Influence: What Happens When Other Countries Have the Money</w:t>
      </w:r>
      <w:r w:rsidRPr="00104AF1">
        <w:rPr>
          <w:rFonts w:ascii="Garamond" w:hAnsi="Garamond"/>
        </w:rPr>
        <w:t xml:space="preserve">. </w:t>
      </w:r>
      <w:proofErr w:type="gramStart"/>
      <w:r w:rsidRPr="00104AF1">
        <w:rPr>
          <w:rFonts w:ascii="Garamond" w:hAnsi="Garamond"/>
        </w:rPr>
        <w:t>Basic Books, 2010.</w:t>
      </w:r>
      <w:proofErr w:type="gramEnd"/>
    </w:p>
    <w:p w14:paraId="16957AC2" w14:textId="77777777" w:rsidR="00187E85" w:rsidRDefault="009F14C8" w:rsidP="00D93632">
      <w:pPr>
        <w:rPr>
          <w:rFonts w:ascii="Garamond" w:hAnsi="Garamond"/>
        </w:rPr>
      </w:pPr>
      <w:proofErr w:type="spellStart"/>
      <w:r w:rsidRPr="00D93632">
        <w:rPr>
          <w:rFonts w:ascii="Garamond" w:hAnsi="Garamond"/>
        </w:rPr>
        <w:t>Djelic</w:t>
      </w:r>
      <w:proofErr w:type="spellEnd"/>
      <w:r w:rsidRPr="00D93632">
        <w:rPr>
          <w:rFonts w:ascii="Garamond" w:hAnsi="Garamond"/>
        </w:rPr>
        <w:t xml:space="preserve">, Marie-Laure and Sigrid Quack, “Transnational Communities and Governance” in </w:t>
      </w:r>
    </w:p>
    <w:p w14:paraId="7F9319E6" w14:textId="77777777" w:rsidR="00187E85" w:rsidRDefault="009F14C8" w:rsidP="00D93632">
      <w:pPr>
        <w:ind w:firstLine="720"/>
        <w:rPr>
          <w:rFonts w:ascii="Garamond" w:hAnsi="Garamond"/>
        </w:rPr>
      </w:pPr>
      <w:proofErr w:type="spellStart"/>
      <w:r w:rsidRPr="00D93632">
        <w:rPr>
          <w:rFonts w:ascii="Garamond" w:hAnsi="Garamond"/>
        </w:rPr>
        <w:t>Djelic</w:t>
      </w:r>
      <w:proofErr w:type="spellEnd"/>
      <w:r w:rsidRPr="00D93632">
        <w:rPr>
          <w:rFonts w:ascii="Garamond" w:hAnsi="Garamond"/>
        </w:rPr>
        <w:t xml:space="preserve"> and Quack, eds</w:t>
      </w:r>
      <w:proofErr w:type="gramStart"/>
      <w:r w:rsidRPr="00D93632">
        <w:rPr>
          <w:rFonts w:ascii="Garamond" w:hAnsi="Garamond"/>
        </w:rPr>
        <w:t>.,</w:t>
      </w:r>
      <w:proofErr w:type="gramEnd"/>
      <w:r w:rsidRPr="00D93632">
        <w:rPr>
          <w:rFonts w:ascii="Garamond" w:hAnsi="Garamond"/>
        </w:rPr>
        <w:t xml:space="preserve"> </w:t>
      </w:r>
      <w:r w:rsidRPr="00D93632">
        <w:rPr>
          <w:rFonts w:ascii="Garamond" w:hAnsi="Garamond"/>
          <w:i/>
        </w:rPr>
        <w:t>Transnational Communities: Shaping Global Economic Governance</w:t>
      </w:r>
      <w:r w:rsidRPr="00D93632">
        <w:rPr>
          <w:rFonts w:ascii="Garamond" w:hAnsi="Garamond"/>
        </w:rPr>
        <w:t xml:space="preserve"> </w:t>
      </w:r>
    </w:p>
    <w:p w14:paraId="495579F3" w14:textId="77777777" w:rsidR="00187E85" w:rsidRDefault="009F14C8" w:rsidP="00D93632">
      <w:pPr>
        <w:ind w:firstLine="720"/>
        <w:rPr>
          <w:rFonts w:ascii="Garamond" w:hAnsi="Garamond"/>
        </w:rPr>
      </w:pPr>
      <w:proofErr w:type="spellStart"/>
      <w:proofErr w:type="gramStart"/>
      <w:r w:rsidRPr="00D93632">
        <w:rPr>
          <w:rFonts w:ascii="Garamond" w:hAnsi="Garamond"/>
        </w:rPr>
        <w:t>Campbridge</w:t>
      </w:r>
      <w:proofErr w:type="spellEnd"/>
      <w:r w:rsidRPr="00D93632">
        <w:rPr>
          <w:rFonts w:ascii="Garamond" w:hAnsi="Garamond"/>
        </w:rPr>
        <w:t xml:space="preserve"> University Press, 2010, 3-36.</w:t>
      </w:r>
      <w:proofErr w:type="gramEnd"/>
    </w:p>
    <w:p w14:paraId="6F34409B" w14:textId="77777777" w:rsidR="00C369D9" w:rsidRPr="004769FE" w:rsidRDefault="00C369D9" w:rsidP="00104AF1">
      <w:pPr>
        <w:pStyle w:val="Bibliography"/>
        <w:rPr>
          <w:rFonts w:ascii="Garamond" w:hAnsi="Garamond"/>
        </w:rPr>
      </w:pPr>
      <w:proofErr w:type="spellStart"/>
      <w:r w:rsidRPr="00104AF1">
        <w:rPr>
          <w:rFonts w:ascii="Garamond" w:hAnsi="Garamond"/>
        </w:rPr>
        <w:t>Drezner</w:t>
      </w:r>
      <w:proofErr w:type="spellEnd"/>
      <w:r w:rsidRPr="00104AF1">
        <w:rPr>
          <w:rFonts w:ascii="Garamond" w:hAnsi="Garamond"/>
        </w:rPr>
        <w:t xml:space="preserve">, D. </w:t>
      </w:r>
      <w:r w:rsidRPr="00104AF1">
        <w:rPr>
          <w:rFonts w:ascii="Garamond" w:hAnsi="Garamond"/>
          <w:i/>
          <w:iCs/>
        </w:rPr>
        <w:t>All Politics is Global: Explaining International Regulatory Regimes</w:t>
      </w:r>
      <w:r w:rsidRPr="00104AF1">
        <w:rPr>
          <w:rFonts w:ascii="Garamond" w:hAnsi="Garamond"/>
        </w:rPr>
        <w:t xml:space="preserve">. Princeton: </w:t>
      </w:r>
      <w:r w:rsidRPr="004769FE">
        <w:rPr>
          <w:rFonts w:ascii="Garamond" w:hAnsi="Garamond"/>
        </w:rPr>
        <w:t>Princeton University Press, 2007.</w:t>
      </w:r>
    </w:p>
    <w:p w14:paraId="429F78A3" w14:textId="77777777" w:rsidR="00C369D9" w:rsidRPr="001F48F1" w:rsidRDefault="00C369D9" w:rsidP="004769FE">
      <w:pPr>
        <w:pStyle w:val="Bibliography"/>
        <w:rPr>
          <w:rFonts w:ascii="Garamond" w:hAnsi="Garamond"/>
        </w:rPr>
      </w:pPr>
      <w:proofErr w:type="spellStart"/>
      <w:r w:rsidRPr="004769FE">
        <w:rPr>
          <w:rFonts w:ascii="Garamond" w:hAnsi="Garamond"/>
        </w:rPr>
        <w:t>Drezner</w:t>
      </w:r>
      <w:proofErr w:type="spellEnd"/>
      <w:r w:rsidRPr="004769FE">
        <w:rPr>
          <w:rFonts w:ascii="Garamond" w:hAnsi="Garamond"/>
        </w:rPr>
        <w:t xml:space="preserve">, Daniel W. “New </w:t>
      </w:r>
      <w:proofErr w:type="spellStart"/>
      <w:r w:rsidRPr="004769FE">
        <w:rPr>
          <w:rFonts w:ascii="Garamond" w:hAnsi="Garamond"/>
        </w:rPr>
        <w:t>New</w:t>
      </w:r>
      <w:proofErr w:type="spellEnd"/>
      <w:r w:rsidRPr="004769FE">
        <w:rPr>
          <w:rFonts w:ascii="Garamond" w:hAnsi="Garamond"/>
        </w:rPr>
        <w:t xml:space="preserve"> World Order, The.” </w:t>
      </w:r>
      <w:r w:rsidRPr="001F48F1">
        <w:rPr>
          <w:rFonts w:ascii="Garamond" w:hAnsi="Garamond"/>
          <w:i/>
          <w:iCs/>
        </w:rPr>
        <w:t>Foreign Affairs</w:t>
      </w:r>
      <w:r w:rsidRPr="001F48F1">
        <w:rPr>
          <w:rFonts w:ascii="Garamond" w:hAnsi="Garamond"/>
        </w:rPr>
        <w:t xml:space="preserve"> 86 (2007): 34.</w:t>
      </w:r>
    </w:p>
    <w:p w14:paraId="7AE3E8A4" w14:textId="77777777" w:rsidR="006C7A46" w:rsidRPr="001F48F1" w:rsidRDefault="006C7A46" w:rsidP="001F48F1">
      <w:pPr>
        <w:rPr>
          <w:rFonts w:ascii="Garamond" w:hAnsi="Garamond"/>
        </w:rPr>
      </w:pPr>
      <w:proofErr w:type="spellStart"/>
      <w:r w:rsidRPr="001F48F1">
        <w:rPr>
          <w:rFonts w:ascii="Garamond" w:hAnsi="Garamond"/>
        </w:rPr>
        <w:t>Drezner</w:t>
      </w:r>
      <w:proofErr w:type="spellEnd"/>
      <w:r w:rsidRPr="001F48F1">
        <w:rPr>
          <w:rFonts w:ascii="Garamond" w:hAnsi="Garamond"/>
        </w:rPr>
        <w:t xml:space="preserve">, Daniel. </w:t>
      </w:r>
      <w:proofErr w:type="gramStart"/>
      <w:r w:rsidRPr="001F48F1">
        <w:rPr>
          <w:rFonts w:ascii="Garamond" w:hAnsi="Garamond"/>
          <w:i/>
        </w:rPr>
        <w:t>The System Worked</w:t>
      </w:r>
      <w:r w:rsidRPr="001F48F1">
        <w:rPr>
          <w:rFonts w:ascii="Garamond" w:hAnsi="Garamond"/>
        </w:rPr>
        <w:t>.</w:t>
      </w:r>
      <w:proofErr w:type="gramEnd"/>
      <w:r w:rsidRPr="001F48F1">
        <w:rPr>
          <w:rFonts w:ascii="Garamond" w:hAnsi="Garamond"/>
        </w:rPr>
        <w:t xml:space="preserve"> Princeton: Princeton University Press, 2014.</w:t>
      </w:r>
    </w:p>
    <w:p w14:paraId="1460DD35" w14:textId="77777777" w:rsidR="00A82964" w:rsidRPr="00104AF1" w:rsidRDefault="00BC7862">
      <w:pPr>
        <w:rPr>
          <w:rFonts w:ascii="Garamond" w:hAnsi="Garamond"/>
        </w:rPr>
      </w:pPr>
      <w:r w:rsidRPr="00104AF1">
        <w:rPr>
          <w:rFonts w:ascii="Garamond" w:hAnsi="Garamond"/>
        </w:rPr>
        <w:t xml:space="preserve">Evans, Peter. </w:t>
      </w:r>
      <w:r w:rsidRPr="00104AF1">
        <w:rPr>
          <w:rFonts w:ascii="Garamond" w:hAnsi="Garamond"/>
          <w:i/>
        </w:rPr>
        <w:t>Embedded Autonomy: States and industrial transformation</w:t>
      </w:r>
      <w:r w:rsidRPr="00104AF1">
        <w:rPr>
          <w:rFonts w:ascii="Garamond" w:hAnsi="Garamond"/>
        </w:rPr>
        <w:t xml:space="preserve">. Princeton: </w:t>
      </w:r>
    </w:p>
    <w:p w14:paraId="6312F705" w14:textId="77777777" w:rsidR="00A82964" w:rsidRPr="00104AF1" w:rsidRDefault="00BC7862">
      <w:pPr>
        <w:ind w:firstLine="720"/>
        <w:rPr>
          <w:rFonts w:ascii="Garamond" w:hAnsi="Garamond"/>
        </w:rPr>
      </w:pPr>
      <w:proofErr w:type="gramStart"/>
      <w:r w:rsidRPr="00104AF1">
        <w:rPr>
          <w:rFonts w:ascii="Garamond" w:hAnsi="Garamond"/>
        </w:rPr>
        <w:t>Princeton University Press, 1995.</w:t>
      </w:r>
      <w:proofErr w:type="gramEnd"/>
      <w:r w:rsidRPr="00104AF1">
        <w:rPr>
          <w:rFonts w:ascii="Garamond" w:hAnsi="Garamond"/>
        </w:rPr>
        <w:t xml:space="preserve"> </w:t>
      </w:r>
    </w:p>
    <w:p w14:paraId="699B6091" w14:textId="77777777" w:rsidR="003A7951" w:rsidRPr="00104AF1" w:rsidRDefault="00463DC0">
      <w:pPr>
        <w:rPr>
          <w:rFonts w:ascii="Garamond" w:hAnsi="Garamond"/>
        </w:rPr>
      </w:pPr>
      <w:r w:rsidRPr="00104AF1">
        <w:rPr>
          <w:rFonts w:ascii="Garamond" w:hAnsi="Garamond"/>
        </w:rPr>
        <w:t xml:space="preserve">European Commission. “Financial Services: Building a Framework for Action, IP/98/941, </w:t>
      </w:r>
    </w:p>
    <w:p w14:paraId="08D48E25" w14:textId="77777777" w:rsidR="00A82964" w:rsidRPr="00104AF1" w:rsidRDefault="00463DC0">
      <w:pPr>
        <w:ind w:firstLine="720"/>
        <w:rPr>
          <w:rFonts w:ascii="Garamond" w:hAnsi="Garamond"/>
        </w:rPr>
      </w:pPr>
      <w:r w:rsidRPr="00104AF1">
        <w:rPr>
          <w:rFonts w:ascii="Garamond" w:hAnsi="Garamond"/>
        </w:rPr>
        <w:t>28 October.</w:t>
      </w:r>
    </w:p>
    <w:p w14:paraId="5D5DD165" w14:textId="77777777" w:rsidR="00463DC0" w:rsidRPr="00104AF1" w:rsidRDefault="00463DC0">
      <w:pPr>
        <w:rPr>
          <w:rFonts w:ascii="Garamond" w:hAnsi="Garamond"/>
        </w:rPr>
      </w:pPr>
      <w:r w:rsidRPr="00104AF1">
        <w:rPr>
          <w:rFonts w:ascii="Garamond" w:hAnsi="Garamond"/>
        </w:rPr>
        <w:t xml:space="preserve">________.  “Financial Services: Implementing the Framework for Financial Markets:  </w:t>
      </w:r>
      <w:r w:rsidR="009F6E6E" w:rsidRPr="00104AF1">
        <w:rPr>
          <w:rFonts w:ascii="Garamond" w:hAnsi="Garamond"/>
        </w:rPr>
        <w:tab/>
      </w:r>
      <w:r w:rsidRPr="00104AF1">
        <w:rPr>
          <w:rFonts w:ascii="Garamond" w:hAnsi="Garamond"/>
        </w:rPr>
        <w:t xml:space="preserve">Action Plan. </w:t>
      </w:r>
      <w:proofErr w:type="gramStart"/>
      <w:r w:rsidRPr="00104AF1">
        <w:rPr>
          <w:rFonts w:ascii="Garamond" w:hAnsi="Garamond"/>
        </w:rPr>
        <w:t>COM(</w:t>
      </w:r>
      <w:proofErr w:type="gramEnd"/>
      <w:r w:rsidRPr="00104AF1">
        <w:rPr>
          <w:rFonts w:ascii="Garamond" w:hAnsi="Garamond"/>
        </w:rPr>
        <w:t>1999)232.</w:t>
      </w:r>
    </w:p>
    <w:p w14:paraId="7336F31E" w14:textId="77777777" w:rsidR="003A7951" w:rsidRPr="00104AF1" w:rsidRDefault="008E65FE">
      <w:pPr>
        <w:rPr>
          <w:rFonts w:ascii="Garamond" w:hAnsi="Garamond"/>
        </w:rPr>
      </w:pPr>
      <w:r w:rsidRPr="00104AF1">
        <w:rPr>
          <w:rFonts w:ascii="Garamond" w:hAnsi="Garamond"/>
        </w:rPr>
        <w:t>________</w:t>
      </w:r>
      <w:proofErr w:type="gramStart"/>
      <w:r w:rsidRPr="00104AF1">
        <w:rPr>
          <w:rFonts w:ascii="Garamond" w:hAnsi="Garamond"/>
        </w:rPr>
        <w:t>.</w:t>
      </w:r>
      <w:r w:rsidR="008F6332" w:rsidRPr="00104AF1">
        <w:rPr>
          <w:rFonts w:ascii="Garamond" w:hAnsi="Garamond"/>
        </w:rPr>
        <w:t>.</w:t>
      </w:r>
      <w:proofErr w:type="gramEnd"/>
      <w:r w:rsidR="008F6332" w:rsidRPr="00104AF1">
        <w:rPr>
          <w:rFonts w:ascii="Garamond" w:hAnsi="Garamond"/>
        </w:rPr>
        <w:t xml:space="preserve"> “Accounting Harmonization: A new strategy vis-à-vis international </w:t>
      </w:r>
    </w:p>
    <w:p w14:paraId="1E19C787" w14:textId="77777777" w:rsidR="009F6E6E" w:rsidRPr="00104AF1" w:rsidRDefault="008F6332">
      <w:pPr>
        <w:ind w:firstLine="720"/>
        <w:rPr>
          <w:rFonts w:ascii="Garamond" w:hAnsi="Garamond"/>
        </w:rPr>
      </w:pPr>
      <w:proofErr w:type="gramStart"/>
      <w:r w:rsidRPr="00104AF1">
        <w:rPr>
          <w:rFonts w:ascii="Garamond" w:hAnsi="Garamond"/>
        </w:rPr>
        <w:t>harmonization</w:t>
      </w:r>
      <w:proofErr w:type="gramEnd"/>
      <w:r w:rsidRPr="00104AF1">
        <w:rPr>
          <w:rFonts w:ascii="Garamond" w:hAnsi="Garamond"/>
        </w:rPr>
        <w:t xml:space="preserve">. </w:t>
      </w:r>
      <w:proofErr w:type="gramStart"/>
      <w:r w:rsidRPr="00104AF1">
        <w:rPr>
          <w:rFonts w:ascii="Garamond" w:hAnsi="Garamond"/>
        </w:rPr>
        <w:t>COM(</w:t>
      </w:r>
      <w:proofErr w:type="gramEnd"/>
      <w:r w:rsidRPr="00104AF1">
        <w:rPr>
          <w:rFonts w:ascii="Garamond" w:hAnsi="Garamond"/>
        </w:rPr>
        <w:t>1995)508.</w:t>
      </w:r>
    </w:p>
    <w:p w14:paraId="5E0842CF" w14:textId="77777777" w:rsidR="008E65FE" w:rsidRPr="00104AF1" w:rsidRDefault="008E65FE">
      <w:pPr>
        <w:rPr>
          <w:rFonts w:ascii="Garamond" w:hAnsi="Garamond"/>
        </w:rPr>
      </w:pPr>
      <w:r w:rsidRPr="00104AF1">
        <w:rPr>
          <w:rFonts w:ascii="Garamond" w:hAnsi="Garamond"/>
        </w:rPr>
        <w:softHyphen/>
      </w:r>
      <w:r w:rsidRPr="00104AF1">
        <w:rPr>
          <w:rFonts w:ascii="Garamond" w:hAnsi="Garamond"/>
        </w:rPr>
        <w:softHyphen/>
      </w:r>
      <w:r w:rsidRPr="00104AF1">
        <w:rPr>
          <w:rFonts w:ascii="Garamond" w:hAnsi="Garamond"/>
        </w:rPr>
        <w:softHyphen/>
      </w:r>
      <w:r w:rsidRPr="00104AF1">
        <w:rPr>
          <w:rFonts w:ascii="Garamond" w:hAnsi="Garamond"/>
        </w:rPr>
        <w:softHyphen/>
      </w:r>
      <w:r w:rsidRPr="00104AF1">
        <w:rPr>
          <w:rFonts w:ascii="Garamond" w:hAnsi="Garamond"/>
        </w:rPr>
        <w:softHyphen/>
      </w:r>
      <w:r w:rsidRPr="00104AF1">
        <w:rPr>
          <w:rFonts w:ascii="Garamond" w:hAnsi="Garamond"/>
        </w:rPr>
        <w:softHyphen/>
        <w:t xml:space="preserve">________.“Completing the Internal Market: White Paper from the Commission to the </w:t>
      </w:r>
      <w:r w:rsidRPr="00104AF1">
        <w:rPr>
          <w:rFonts w:ascii="Garamond" w:hAnsi="Garamond"/>
        </w:rPr>
        <w:tab/>
        <w:t xml:space="preserve">European Council,” </w:t>
      </w:r>
      <w:proofErr w:type="gramStart"/>
      <w:r w:rsidRPr="00104AF1">
        <w:rPr>
          <w:rFonts w:ascii="Garamond" w:hAnsi="Garamond"/>
        </w:rPr>
        <w:t>Official Journal COM 85/310</w:t>
      </w:r>
      <w:proofErr w:type="gramEnd"/>
      <w:r w:rsidRPr="00104AF1">
        <w:rPr>
          <w:rFonts w:ascii="Garamond" w:hAnsi="Garamond"/>
        </w:rPr>
        <w:t xml:space="preserve"> final, 14 June 1985.</w:t>
      </w:r>
    </w:p>
    <w:p w14:paraId="7DF7E4F3" w14:textId="77777777" w:rsidR="00C369D9" w:rsidRPr="00155386" w:rsidRDefault="00C5604D" w:rsidP="00155386">
      <w:pPr>
        <w:rPr>
          <w:rFonts w:ascii="Garamond" w:hAnsi="Garamond"/>
        </w:rPr>
      </w:pPr>
      <w:r w:rsidRPr="00155386">
        <w:rPr>
          <w:rFonts w:ascii="Garamond" w:hAnsi="Garamond"/>
        </w:rPr>
        <w:t>________. “Financial Integration.</w:t>
      </w:r>
      <w:r w:rsidR="009F6E6E" w:rsidRPr="00155386">
        <w:rPr>
          <w:rFonts w:ascii="Garamond" w:hAnsi="Garamond"/>
        </w:rPr>
        <w:t xml:space="preserve">” </w:t>
      </w:r>
      <w:proofErr w:type="gramStart"/>
      <w:r w:rsidR="009F6E6E" w:rsidRPr="00155386">
        <w:rPr>
          <w:rFonts w:ascii="Garamond" w:hAnsi="Garamond"/>
        </w:rPr>
        <w:t>COM 83/207</w:t>
      </w:r>
      <w:r w:rsidRPr="00155386">
        <w:rPr>
          <w:rFonts w:ascii="Garamond" w:hAnsi="Garamond"/>
        </w:rPr>
        <w:t xml:space="preserve"> (1983).</w:t>
      </w:r>
      <w:proofErr w:type="gramEnd"/>
      <w:r w:rsidRPr="00155386">
        <w:rPr>
          <w:rFonts w:ascii="Garamond" w:hAnsi="Garamond"/>
        </w:rPr>
        <w:t xml:space="preserve"> </w:t>
      </w:r>
    </w:p>
    <w:p w14:paraId="2A1731BE" w14:textId="77777777" w:rsidR="006C7A46" w:rsidRPr="00155386" w:rsidRDefault="006C7A46" w:rsidP="00155386">
      <w:pPr>
        <w:rPr>
          <w:rFonts w:ascii="Garamond" w:hAnsi="Garamond"/>
        </w:rPr>
      </w:pPr>
      <w:proofErr w:type="spellStart"/>
      <w:r w:rsidRPr="00155386">
        <w:rPr>
          <w:rFonts w:ascii="Garamond" w:hAnsi="Garamond"/>
        </w:rPr>
        <w:t>Falleti</w:t>
      </w:r>
      <w:proofErr w:type="spellEnd"/>
      <w:r w:rsidRPr="00155386">
        <w:rPr>
          <w:rFonts w:ascii="Garamond" w:hAnsi="Garamond"/>
        </w:rPr>
        <w:t xml:space="preserve">, Tulia and Julia Lynch. “Context and Causal Mechanisms in Political Analysis,” </w:t>
      </w:r>
    </w:p>
    <w:p w14:paraId="56DC1C6A" w14:textId="77777777" w:rsidR="006C7A46" w:rsidRPr="00155386" w:rsidRDefault="006C7A46" w:rsidP="00155386">
      <w:pPr>
        <w:ind w:firstLine="720"/>
        <w:rPr>
          <w:rFonts w:ascii="Garamond" w:hAnsi="Garamond"/>
        </w:rPr>
      </w:pPr>
      <w:r w:rsidRPr="00155386">
        <w:rPr>
          <w:rFonts w:ascii="Garamond" w:hAnsi="Garamond"/>
          <w:i/>
        </w:rPr>
        <w:t>Comparative Political Studies</w:t>
      </w:r>
      <w:r w:rsidRPr="00155386">
        <w:rPr>
          <w:rFonts w:ascii="Garamond" w:hAnsi="Garamond"/>
        </w:rPr>
        <w:t xml:space="preserve"> 42(9): 1143-1166.</w:t>
      </w:r>
    </w:p>
    <w:p w14:paraId="57DDD39E" w14:textId="77777777" w:rsidR="00155386" w:rsidRPr="00155386" w:rsidRDefault="00155386" w:rsidP="00155386">
      <w:pPr>
        <w:rPr>
          <w:rFonts w:ascii="Garamond" w:hAnsi="Garamond"/>
        </w:rPr>
      </w:pPr>
      <w:r w:rsidRPr="00155386">
        <w:rPr>
          <w:rFonts w:ascii="Garamond" w:hAnsi="Garamond"/>
        </w:rPr>
        <w:t xml:space="preserve">Farrell, Henry &amp; Newman, Abraham. (2014). Domestic Institutions Beyond the </w:t>
      </w:r>
    </w:p>
    <w:p w14:paraId="740C3295" w14:textId="77777777" w:rsidR="00155386" w:rsidRPr="00155386" w:rsidRDefault="00155386" w:rsidP="00155386">
      <w:pPr>
        <w:ind w:firstLine="720"/>
        <w:rPr>
          <w:rFonts w:ascii="Garamond" w:hAnsi="Garamond"/>
        </w:rPr>
      </w:pPr>
      <w:r w:rsidRPr="00155386">
        <w:rPr>
          <w:rFonts w:ascii="Garamond" w:hAnsi="Garamond"/>
        </w:rPr>
        <w:t xml:space="preserve">Nation-State: charting the New Interdependence approach. </w:t>
      </w:r>
      <w:r w:rsidRPr="00155386">
        <w:rPr>
          <w:rFonts w:ascii="Garamond" w:hAnsi="Garamond"/>
          <w:i/>
        </w:rPr>
        <w:t>World Politics</w:t>
      </w:r>
      <w:r w:rsidRPr="00155386">
        <w:rPr>
          <w:rFonts w:ascii="Garamond" w:hAnsi="Garamond"/>
        </w:rPr>
        <w:t xml:space="preserve">, </w:t>
      </w:r>
    </w:p>
    <w:p w14:paraId="75B91169" w14:textId="637164E6" w:rsidR="00155386" w:rsidRPr="00155386" w:rsidRDefault="00155386" w:rsidP="00155386">
      <w:pPr>
        <w:ind w:firstLine="720"/>
        <w:rPr>
          <w:rFonts w:ascii="Garamond" w:hAnsi="Garamond"/>
        </w:rPr>
      </w:pPr>
      <w:r w:rsidRPr="00155386">
        <w:rPr>
          <w:rFonts w:ascii="Garamond" w:hAnsi="Garamond"/>
        </w:rPr>
        <w:t>66(2): 331-363.</w:t>
      </w:r>
    </w:p>
    <w:p w14:paraId="553AF8E8" w14:textId="77777777" w:rsidR="00187E85" w:rsidRPr="00155386" w:rsidRDefault="009F0704" w:rsidP="00155386">
      <w:pPr>
        <w:pStyle w:val="Heading1"/>
        <w:spacing w:beforeLines="0" w:afterLines="0"/>
        <w:rPr>
          <w:rFonts w:ascii="Garamond" w:hAnsi="Garamond"/>
          <w:b w:val="0"/>
          <w:sz w:val="24"/>
          <w:szCs w:val="24"/>
        </w:rPr>
      </w:pPr>
      <w:proofErr w:type="spellStart"/>
      <w:proofErr w:type="gramStart"/>
      <w:r w:rsidRPr="00155386">
        <w:rPr>
          <w:rFonts w:ascii="Garamond" w:hAnsi="Garamond"/>
          <w:b w:val="0"/>
          <w:sz w:val="24"/>
          <w:szCs w:val="24"/>
        </w:rPr>
        <w:t>Favarel-Garrigues</w:t>
      </w:r>
      <w:proofErr w:type="spellEnd"/>
      <w:r w:rsidRPr="00155386">
        <w:rPr>
          <w:rFonts w:ascii="Garamond" w:hAnsi="Garamond"/>
          <w:b w:val="0"/>
          <w:sz w:val="24"/>
          <w:szCs w:val="24"/>
        </w:rPr>
        <w:t xml:space="preserve">, Gilles, Thierry </w:t>
      </w:r>
      <w:proofErr w:type="spellStart"/>
      <w:r w:rsidRPr="00155386">
        <w:rPr>
          <w:rFonts w:ascii="Garamond" w:hAnsi="Garamond"/>
          <w:b w:val="0"/>
          <w:sz w:val="24"/>
          <w:szCs w:val="24"/>
        </w:rPr>
        <w:t>Godefroy</w:t>
      </w:r>
      <w:proofErr w:type="spellEnd"/>
      <w:r w:rsidRPr="00155386">
        <w:rPr>
          <w:rFonts w:ascii="Garamond" w:hAnsi="Garamond"/>
          <w:b w:val="0"/>
          <w:sz w:val="24"/>
          <w:szCs w:val="24"/>
        </w:rPr>
        <w:t xml:space="preserve"> and Pierre </w:t>
      </w:r>
      <w:proofErr w:type="spellStart"/>
      <w:r w:rsidRPr="00155386">
        <w:rPr>
          <w:rFonts w:ascii="Garamond" w:hAnsi="Garamond"/>
          <w:b w:val="0"/>
          <w:sz w:val="24"/>
          <w:szCs w:val="24"/>
        </w:rPr>
        <w:t>Lascoumes</w:t>
      </w:r>
      <w:proofErr w:type="spellEnd"/>
      <w:r w:rsidRPr="00155386">
        <w:rPr>
          <w:rFonts w:ascii="Garamond" w:hAnsi="Garamond"/>
          <w:b w:val="0"/>
          <w:sz w:val="24"/>
          <w:szCs w:val="24"/>
        </w:rPr>
        <w:t>.</w:t>
      </w:r>
      <w:proofErr w:type="gramEnd"/>
      <w:r w:rsidRPr="00155386">
        <w:rPr>
          <w:rFonts w:ascii="Garamond" w:hAnsi="Garamond"/>
          <w:b w:val="0"/>
          <w:sz w:val="24"/>
          <w:szCs w:val="24"/>
        </w:rPr>
        <w:t xml:space="preserve"> </w:t>
      </w:r>
      <w:proofErr w:type="gramStart"/>
      <w:r w:rsidRPr="00155386">
        <w:rPr>
          <w:rFonts w:ascii="Garamond" w:hAnsi="Garamond"/>
          <w:b w:val="0"/>
          <w:i/>
          <w:sz w:val="24"/>
          <w:szCs w:val="24"/>
        </w:rPr>
        <w:t xml:space="preserve">Les </w:t>
      </w:r>
      <w:proofErr w:type="spellStart"/>
      <w:r w:rsidRPr="00155386">
        <w:rPr>
          <w:rFonts w:ascii="Garamond" w:hAnsi="Garamond"/>
          <w:b w:val="0"/>
          <w:i/>
          <w:sz w:val="24"/>
          <w:szCs w:val="24"/>
        </w:rPr>
        <w:t>sentinelles</w:t>
      </w:r>
      <w:proofErr w:type="spellEnd"/>
      <w:r w:rsidRPr="00155386">
        <w:rPr>
          <w:rFonts w:ascii="Garamond" w:hAnsi="Garamond"/>
          <w:b w:val="0"/>
          <w:i/>
          <w:sz w:val="24"/>
          <w:szCs w:val="24"/>
        </w:rPr>
        <w:t xml:space="preserve"> de </w:t>
      </w:r>
      <w:proofErr w:type="spellStart"/>
      <w:r w:rsidRPr="00155386">
        <w:rPr>
          <w:rFonts w:ascii="Garamond" w:hAnsi="Garamond"/>
          <w:b w:val="0"/>
          <w:i/>
          <w:sz w:val="24"/>
          <w:szCs w:val="24"/>
        </w:rPr>
        <w:t>l’argent</w:t>
      </w:r>
      <w:proofErr w:type="spellEnd"/>
      <w:r w:rsidRPr="00155386">
        <w:rPr>
          <w:rFonts w:ascii="Garamond" w:hAnsi="Garamond"/>
          <w:b w:val="0"/>
          <w:i/>
          <w:sz w:val="24"/>
          <w:szCs w:val="24"/>
        </w:rPr>
        <w:t xml:space="preserve"> </w:t>
      </w:r>
      <w:r w:rsidRPr="00155386">
        <w:rPr>
          <w:rFonts w:ascii="Garamond" w:hAnsi="Garamond"/>
          <w:b w:val="0"/>
          <w:i/>
          <w:sz w:val="24"/>
          <w:szCs w:val="24"/>
        </w:rPr>
        <w:tab/>
        <w:t>sale.</w:t>
      </w:r>
      <w:proofErr w:type="gramEnd"/>
      <w:r w:rsidRPr="00155386">
        <w:rPr>
          <w:rFonts w:ascii="Garamond" w:hAnsi="Garamond"/>
          <w:b w:val="0"/>
          <w:i/>
          <w:sz w:val="24"/>
          <w:szCs w:val="24"/>
        </w:rPr>
        <w:t xml:space="preserve"> Les </w:t>
      </w:r>
      <w:proofErr w:type="spellStart"/>
      <w:r w:rsidRPr="00155386">
        <w:rPr>
          <w:rFonts w:ascii="Garamond" w:hAnsi="Garamond"/>
          <w:b w:val="0"/>
          <w:i/>
          <w:sz w:val="24"/>
          <w:szCs w:val="24"/>
        </w:rPr>
        <w:t>banques</w:t>
      </w:r>
      <w:proofErr w:type="spellEnd"/>
      <w:r w:rsidRPr="00155386">
        <w:rPr>
          <w:rFonts w:ascii="Garamond" w:hAnsi="Garamond"/>
          <w:b w:val="0"/>
          <w:i/>
          <w:sz w:val="24"/>
          <w:szCs w:val="24"/>
        </w:rPr>
        <w:t xml:space="preserve"> aux </w:t>
      </w:r>
      <w:proofErr w:type="spellStart"/>
      <w:r w:rsidRPr="00155386">
        <w:rPr>
          <w:rFonts w:ascii="Garamond" w:hAnsi="Garamond"/>
          <w:b w:val="0"/>
          <w:i/>
          <w:sz w:val="24"/>
          <w:szCs w:val="24"/>
        </w:rPr>
        <w:t>prises</w:t>
      </w:r>
      <w:proofErr w:type="spellEnd"/>
      <w:r w:rsidRPr="00155386">
        <w:rPr>
          <w:rFonts w:ascii="Garamond" w:hAnsi="Garamond"/>
          <w:b w:val="0"/>
          <w:i/>
          <w:sz w:val="24"/>
          <w:szCs w:val="24"/>
        </w:rPr>
        <w:t xml:space="preserve"> avec </w:t>
      </w:r>
      <w:proofErr w:type="spellStart"/>
      <w:r w:rsidRPr="00155386">
        <w:rPr>
          <w:rFonts w:ascii="Garamond" w:hAnsi="Garamond"/>
          <w:b w:val="0"/>
          <w:i/>
          <w:sz w:val="24"/>
          <w:szCs w:val="24"/>
        </w:rPr>
        <w:t>l’antiblanchiment</w:t>
      </w:r>
      <w:proofErr w:type="spellEnd"/>
      <w:r w:rsidRPr="00155386">
        <w:rPr>
          <w:rFonts w:ascii="Garamond" w:hAnsi="Garamond"/>
          <w:b w:val="0"/>
          <w:sz w:val="24"/>
          <w:szCs w:val="24"/>
        </w:rPr>
        <w:t xml:space="preserve">. </w:t>
      </w:r>
      <w:proofErr w:type="gramStart"/>
      <w:r w:rsidRPr="00155386">
        <w:rPr>
          <w:rFonts w:ascii="Garamond" w:hAnsi="Garamond"/>
          <w:b w:val="0"/>
          <w:sz w:val="24"/>
          <w:szCs w:val="24"/>
        </w:rPr>
        <w:t xml:space="preserve">Paris, La </w:t>
      </w:r>
      <w:proofErr w:type="spellStart"/>
      <w:r w:rsidRPr="00155386">
        <w:rPr>
          <w:rFonts w:ascii="Garamond" w:hAnsi="Garamond"/>
          <w:b w:val="0"/>
          <w:sz w:val="24"/>
          <w:szCs w:val="24"/>
        </w:rPr>
        <w:t>découverte</w:t>
      </w:r>
      <w:proofErr w:type="spellEnd"/>
      <w:r w:rsidRPr="00155386">
        <w:rPr>
          <w:rFonts w:ascii="Garamond" w:hAnsi="Garamond"/>
          <w:b w:val="0"/>
          <w:sz w:val="24"/>
          <w:szCs w:val="24"/>
        </w:rPr>
        <w:t>.</w:t>
      </w:r>
      <w:proofErr w:type="gramEnd"/>
      <w:r w:rsidRPr="00155386">
        <w:rPr>
          <w:rFonts w:ascii="Garamond" w:hAnsi="Garamond"/>
          <w:b w:val="0"/>
          <w:sz w:val="24"/>
          <w:szCs w:val="24"/>
        </w:rPr>
        <w:t xml:space="preserve"> 2009.</w:t>
      </w:r>
    </w:p>
    <w:p w14:paraId="526BB36C" w14:textId="77777777" w:rsidR="000A7366" w:rsidRPr="00104AF1" w:rsidRDefault="000A7366" w:rsidP="00104AF1">
      <w:pPr>
        <w:rPr>
          <w:rFonts w:ascii="Garamond" w:hAnsi="Garamond"/>
        </w:rPr>
      </w:pPr>
      <w:proofErr w:type="gramStart"/>
      <w:r w:rsidRPr="00155386">
        <w:rPr>
          <w:rFonts w:ascii="Garamond" w:hAnsi="Garamond"/>
        </w:rPr>
        <w:t>Financial Services</w:t>
      </w:r>
      <w:r w:rsidRPr="00104AF1">
        <w:rPr>
          <w:rFonts w:ascii="Garamond" w:hAnsi="Garamond"/>
        </w:rPr>
        <w:t xml:space="preserve"> Authority.</w:t>
      </w:r>
      <w:proofErr w:type="gramEnd"/>
      <w:r w:rsidRPr="00104AF1">
        <w:rPr>
          <w:rFonts w:ascii="Garamond" w:hAnsi="Garamond"/>
        </w:rPr>
        <w:t xml:space="preserve">  </w:t>
      </w:r>
      <w:r w:rsidRPr="00104AF1">
        <w:rPr>
          <w:rFonts w:ascii="Garamond" w:hAnsi="Garamond"/>
          <w:i/>
        </w:rPr>
        <w:t>The Turner Review: A Regulatory Response to the Banking Crisis</w:t>
      </w:r>
      <w:r w:rsidRPr="00104AF1">
        <w:rPr>
          <w:rFonts w:ascii="Garamond" w:hAnsi="Garamond"/>
        </w:rPr>
        <w:t xml:space="preserve">. </w:t>
      </w:r>
      <w:r w:rsidR="00AB6937" w:rsidRPr="00104AF1">
        <w:rPr>
          <w:rFonts w:ascii="Garamond" w:hAnsi="Garamond"/>
        </w:rPr>
        <w:tab/>
      </w:r>
      <w:r w:rsidRPr="00104AF1">
        <w:rPr>
          <w:rFonts w:ascii="Garamond" w:hAnsi="Garamond"/>
        </w:rPr>
        <w:t>March 2009. London.</w:t>
      </w:r>
    </w:p>
    <w:p w14:paraId="08CF1998" w14:textId="77777777" w:rsidR="004F6B28" w:rsidRPr="00104AF1" w:rsidRDefault="00C369D9" w:rsidP="004769FE">
      <w:pPr>
        <w:pStyle w:val="Bibliography"/>
        <w:rPr>
          <w:rFonts w:ascii="Garamond" w:hAnsi="Garamond"/>
        </w:rPr>
      </w:pPr>
      <w:proofErr w:type="spellStart"/>
      <w:r w:rsidRPr="00104AF1">
        <w:rPr>
          <w:rFonts w:ascii="Garamond" w:hAnsi="Garamond"/>
        </w:rPr>
        <w:t>Fioretos</w:t>
      </w:r>
      <w:proofErr w:type="spellEnd"/>
      <w:r w:rsidRPr="00104AF1">
        <w:rPr>
          <w:rFonts w:ascii="Garamond" w:hAnsi="Garamond"/>
        </w:rPr>
        <w:t xml:space="preserve">, O. “The Domestic Sources of Multilateral Preferences.” </w:t>
      </w:r>
      <w:proofErr w:type="gramStart"/>
      <w:r w:rsidRPr="00104AF1">
        <w:rPr>
          <w:rFonts w:ascii="Garamond" w:hAnsi="Garamond"/>
        </w:rPr>
        <w:t xml:space="preserve">In </w:t>
      </w:r>
      <w:r w:rsidRPr="00104AF1">
        <w:rPr>
          <w:rFonts w:ascii="Garamond" w:hAnsi="Garamond"/>
          <w:i/>
          <w:iCs/>
        </w:rPr>
        <w:t>Varieties of Capitalism</w:t>
      </w:r>
      <w:r w:rsidRPr="00104AF1">
        <w:rPr>
          <w:rFonts w:ascii="Garamond" w:hAnsi="Garamond"/>
        </w:rPr>
        <w:t>.</w:t>
      </w:r>
      <w:proofErr w:type="gramEnd"/>
      <w:r w:rsidRPr="00104AF1">
        <w:rPr>
          <w:rFonts w:ascii="Garamond" w:hAnsi="Garamond"/>
        </w:rPr>
        <w:t xml:space="preserve"> Oxford: Oxford University Press, 2001.</w:t>
      </w:r>
    </w:p>
    <w:p w14:paraId="0C158A27" w14:textId="77777777" w:rsidR="00715B4C" w:rsidRPr="00104AF1" w:rsidRDefault="001D2979" w:rsidP="001F48F1">
      <w:pPr>
        <w:rPr>
          <w:rFonts w:ascii="Garamond" w:hAnsi="Garamond"/>
          <w:i/>
        </w:rPr>
      </w:pPr>
      <w:r w:rsidRPr="00104AF1">
        <w:rPr>
          <w:rFonts w:ascii="Garamond" w:hAnsi="Garamond"/>
        </w:rPr>
        <w:t xml:space="preserve">----------. “The Regulation of Transnational Corporate Identity in Europe.” </w:t>
      </w:r>
      <w:r w:rsidRPr="00104AF1">
        <w:rPr>
          <w:rFonts w:ascii="Garamond" w:hAnsi="Garamond"/>
          <w:i/>
        </w:rPr>
        <w:t xml:space="preserve">Comparative </w:t>
      </w:r>
    </w:p>
    <w:p w14:paraId="3161BAE8" w14:textId="77777777" w:rsidR="001D2979" w:rsidRPr="00104AF1" w:rsidRDefault="001D2979">
      <w:pPr>
        <w:ind w:firstLine="720"/>
        <w:rPr>
          <w:rFonts w:ascii="Garamond" w:hAnsi="Garamond"/>
        </w:rPr>
      </w:pPr>
      <w:r w:rsidRPr="00104AF1">
        <w:rPr>
          <w:rFonts w:ascii="Garamond" w:hAnsi="Garamond"/>
          <w:i/>
        </w:rPr>
        <w:t>Poli</w:t>
      </w:r>
      <w:r w:rsidR="00063C89" w:rsidRPr="00104AF1">
        <w:rPr>
          <w:rFonts w:ascii="Garamond" w:hAnsi="Garamond"/>
          <w:i/>
        </w:rPr>
        <w:t>tical Studies</w:t>
      </w:r>
      <w:r w:rsidR="00063C89" w:rsidRPr="00104AF1">
        <w:rPr>
          <w:rFonts w:ascii="Garamond" w:hAnsi="Garamond"/>
        </w:rPr>
        <w:t xml:space="preserve"> 42(2009): 1167-92.</w:t>
      </w:r>
    </w:p>
    <w:p w14:paraId="0D4C2DBA" w14:textId="77777777" w:rsidR="005C7E4B" w:rsidRPr="00104AF1" w:rsidRDefault="005C7E4B">
      <w:pPr>
        <w:rPr>
          <w:rFonts w:ascii="Garamond" w:hAnsi="Garamond"/>
        </w:rPr>
      </w:pPr>
      <w:r w:rsidRPr="00104AF1">
        <w:rPr>
          <w:rFonts w:ascii="Garamond" w:hAnsi="Garamond"/>
        </w:rPr>
        <w:t xml:space="preserve">-----------. “Capitalist Diversity and the International Regulation of Hedge Funds.” </w:t>
      </w:r>
    </w:p>
    <w:p w14:paraId="3E82EB13" w14:textId="77777777" w:rsidR="005C7E4B" w:rsidRPr="00104AF1" w:rsidRDefault="005C7E4B">
      <w:pPr>
        <w:ind w:firstLine="720"/>
        <w:rPr>
          <w:rFonts w:ascii="Garamond" w:hAnsi="Garamond"/>
        </w:rPr>
      </w:pPr>
      <w:r w:rsidRPr="00104AF1">
        <w:rPr>
          <w:rFonts w:ascii="Garamond" w:hAnsi="Garamond"/>
          <w:i/>
        </w:rPr>
        <w:t>Review of International Political Economy</w:t>
      </w:r>
      <w:r w:rsidRPr="00104AF1">
        <w:rPr>
          <w:rFonts w:ascii="Garamond" w:hAnsi="Garamond"/>
        </w:rPr>
        <w:t xml:space="preserve"> 17, no. 4(2010): 696-723.</w:t>
      </w:r>
    </w:p>
    <w:p w14:paraId="3F80FBB6" w14:textId="77777777" w:rsidR="00AD407B" w:rsidRPr="00104AF1" w:rsidRDefault="00AD407B">
      <w:pPr>
        <w:rPr>
          <w:rFonts w:ascii="Garamond" w:hAnsi="Garamond"/>
          <w:i/>
        </w:rPr>
      </w:pPr>
      <w:r w:rsidRPr="00104AF1">
        <w:rPr>
          <w:rFonts w:ascii="Garamond" w:hAnsi="Garamond"/>
        </w:rPr>
        <w:t xml:space="preserve">------------. “Historical Institutionalism in International Relations,” </w:t>
      </w:r>
      <w:r w:rsidRPr="00104AF1">
        <w:rPr>
          <w:rFonts w:ascii="Garamond" w:hAnsi="Garamond"/>
          <w:i/>
        </w:rPr>
        <w:t xml:space="preserve">International </w:t>
      </w:r>
    </w:p>
    <w:p w14:paraId="52455DB7" w14:textId="77777777" w:rsidR="00AD407B" w:rsidRPr="00104AF1" w:rsidRDefault="00AD407B">
      <w:pPr>
        <w:ind w:firstLine="720"/>
        <w:rPr>
          <w:rFonts w:ascii="Garamond" w:hAnsi="Garamond"/>
        </w:rPr>
      </w:pPr>
      <w:r w:rsidRPr="00104AF1">
        <w:rPr>
          <w:rFonts w:ascii="Garamond" w:hAnsi="Garamond"/>
          <w:i/>
        </w:rPr>
        <w:t xml:space="preserve">Organization </w:t>
      </w:r>
      <w:r w:rsidRPr="00104AF1">
        <w:rPr>
          <w:rFonts w:ascii="Garamond" w:hAnsi="Garamond"/>
        </w:rPr>
        <w:t>62, no. 2 (2011): 367-99.</w:t>
      </w:r>
    </w:p>
    <w:p w14:paraId="4A292533" w14:textId="77777777" w:rsidR="00F82DCD" w:rsidRPr="00104AF1" w:rsidRDefault="00F82DCD">
      <w:pPr>
        <w:rPr>
          <w:rFonts w:ascii="Garamond" w:hAnsi="Garamond"/>
        </w:rPr>
      </w:pPr>
      <w:proofErr w:type="spellStart"/>
      <w:r w:rsidRPr="00104AF1">
        <w:rPr>
          <w:rFonts w:ascii="Garamond" w:hAnsi="Garamond"/>
        </w:rPr>
        <w:t>Frieden</w:t>
      </w:r>
      <w:proofErr w:type="spellEnd"/>
      <w:r w:rsidRPr="00104AF1">
        <w:rPr>
          <w:rFonts w:ascii="Garamond" w:hAnsi="Garamond"/>
        </w:rPr>
        <w:t xml:space="preserve">, Jeffry. “Invested Interests: the Politics of National Economic Policies in a World of </w:t>
      </w:r>
    </w:p>
    <w:p w14:paraId="2784E8B3" w14:textId="77777777" w:rsidR="00F82DCD" w:rsidRPr="00104AF1" w:rsidRDefault="00F82DCD">
      <w:pPr>
        <w:ind w:firstLine="720"/>
        <w:rPr>
          <w:rFonts w:ascii="Garamond" w:hAnsi="Garamond"/>
        </w:rPr>
      </w:pPr>
      <w:r w:rsidRPr="00104AF1">
        <w:rPr>
          <w:rFonts w:ascii="Garamond" w:hAnsi="Garamond"/>
        </w:rPr>
        <w:t xml:space="preserve">Global Finance.” </w:t>
      </w:r>
      <w:r w:rsidRPr="00104AF1">
        <w:rPr>
          <w:rFonts w:ascii="Garamond" w:hAnsi="Garamond"/>
          <w:i/>
        </w:rPr>
        <w:t>International Organization</w:t>
      </w:r>
      <w:r w:rsidRPr="00104AF1">
        <w:rPr>
          <w:rFonts w:ascii="Garamond" w:hAnsi="Garamond"/>
        </w:rPr>
        <w:t xml:space="preserve"> 45(1991): 425-451.</w:t>
      </w:r>
    </w:p>
    <w:p w14:paraId="30DFE655" w14:textId="77777777" w:rsidR="00C369D9" w:rsidRPr="00104AF1" w:rsidRDefault="00C369D9">
      <w:pPr>
        <w:pStyle w:val="Bibliography"/>
        <w:rPr>
          <w:rFonts w:ascii="Garamond" w:hAnsi="Garamond"/>
        </w:rPr>
      </w:pPr>
      <w:proofErr w:type="gramStart"/>
      <w:r w:rsidRPr="00104AF1">
        <w:rPr>
          <w:rFonts w:ascii="Garamond" w:hAnsi="Garamond"/>
        </w:rPr>
        <w:t>Foot, Rosemary, and Andrew Walter.</w:t>
      </w:r>
      <w:proofErr w:type="gramEnd"/>
      <w:r w:rsidRPr="00104AF1">
        <w:rPr>
          <w:rFonts w:ascii="Garamond" w:hAnsi="Garamond"/>
        </w:rPr>
        <w:t xml:space="preserve"> </w:t>
      </w:r>
      <w:r w:rsidRPr="00104AF1">
        <w:rPr>
          <w:rFonts w:ascii="Garamond" w:hAnsi="Garamond"/>
          <w:i/>
          <w:iCs/>
        </w:rPr>
        <w:t>China, the United States, and Global Order</w:t>
      </w:r>
      <w:r w:rsidRPr="00104AF1">
        <w:rPr>
          <w:rFonts w:ascii="Garamond" w:hAnsi="Garamond"/>
        </w:rPr>
        <w:t xml:space="preserve">. </w:t>
      </w:r>
      <w:proofErr w:type="gramStart"/>
      <w:r w:rsidRPr="00104AF1">
        <w:rPr>
          <w:rFonts w:ascii="Garamond" w:hAnsi="Garamond"/>
        </w:rPr>
        <w:t>Cambridge University Press, 2010.</w:t>
      </w:r>
      <w:proofErr w:type="gramEnd"/>
    </w:p>
    <w:p w14:paraId="1894136A" w14:textId="77777777" w:rsidR="00BB3D05" w:rsidRPr="00104AF1" w:rsidRDefault="00BB3D05">
      <w:pPr>
        <w:pStyle w:val="Bibliography"/>
        <w:rPr>
          <w:rFonts w:ascii="Garamond" w:hAnsi="Garamond"/>
        </w:rPr>
      </w:pPr>
      <w:proofErr w:type="spellStart"/>
      <w:r w:rsidRPr="00104AF1">
        <w:rPr>
          <w:rFonts w:ascii="Garamond" w:hAnsi="Garamond"/>
        </w:rPr>
        <w:t>Garten</w:t>
      </w:r>
      <w:proofErr w:type="spellEnd"/>
      <w:r w:rsidRPr="00104AF1">
        <w:rPr>
          <w:rFonts w:ascii="Garamond" w:hAnsi="Garamond"/>
        </w:rPr>
        <w:t>, Helen A. “</w:t>
      </w:r>
      <w:r w:rsidR="00EA4AE9" w:rsidRPr="00104AF1">
        <w:rPr>
          <w:rFonts w:ascii="Garamond" w:hAnsi="Garamond"/>
        </w:rPr>
        <w:t>Financial Reform: The United States and the New World Oder in International Finance</w:t>
      </w:r>
      <w:r w:rsidRPr="00104AF1">
        <w:rPr>
          <w:rFonts w:ascii="Garamond" w:hAnsi="Garamond"/>
        </w:rPr>
        <w:t>” in</w:t>
      </w:r>
      <w:r w:rsidR="00940CFA" w:rsidRPr="00104AF1">
        <w:rPr>
          <w:rFonts w:ascii="Garamond" w:hAnsi="Garamond"/>
        </w:rPr>
        <w:t xml:space="preserve"> Underhill, G. D.</w:t>
      </w:r>
      <w:proofErr w:type="gramStart"/>
      <w:r w:rsidR="00940CFA" w:rsidRPr="00104AF1">
        <w:rPr>
          <w:rFonts w:ascii="Garamond" w:hAnsi="Garamond"/>
        </w:rPr>
        <w:t>,  ed</w:t>
      </w:r>
      <w:proofErr w:type="gramEnd"/>
      <w:r w:rsidR="00940CFA" w:rsidRPr="00104AF1">
        <w:rPr>
          <w:rFonts w:ascii="Garamond" w:hAnsi="Garamond"/>
        </w:rPr>
        <w:t xml:space="preserve">., . </w:t>
      </w:r>
      <w:proofErr w:type="gramStart"/>
      <w:r w:rsidR="00940CFA" w:rsidRPr="00104AF1">
        <w:rPr>
          <w:rFonts w:ascii="Garamond" w:hAnsi="Garamond"/>
          <w:i/>
        </w:rPr>
        <w:t>The new world order in international finance.</w:t>
      </w:r>
      <w:proofErr w:type="gramEnd"/>
      <w:r w:rsidR="00940CFA" w:rsidRPr="00104AF1">
        <w:rPr>
          <w:rFonts w:ascii="Garamond" w:hAnsi="Garamond"/>
        </w:rPr>
        <w:t xml:space="preserve">  New York: Palgrave Macmillan, 1997.</w:t>
      </w:r>
      <w:r w:rsidRPr="00104AF1">
        <w:rPr>
          <w:rFonts w:ascii="Garamond" w:hAnsi="Garamond"/>
        </w:rPr>
        <w:t xml:space="preserve"> </w:t>
      </w:r>
    </w:p>
    <w:p w14:paraId="03B97665" w14:textId="77777777" w:rsidR="00187E85" w:rsidRDefault="009F14C8" w:rsidP="00D93632">
      <w:pPr>
        <w:rPr>
          <w:rFonts w:ascii="Garamond" w:hAnsi="Garamond"/>
        </w:rPr>
      </w:pPr>
      <w:r w:rsidRPr="00D93632">
        <w:rPr>
          <w:rFonts w:ascii="Garamond" w:hAnsi="Garamond"/>
        </w:rPr>
        <w:t xml:space="preserve">George, Alex and Andrew Bennett. </w:t>
      </w:r>
      <w:r w:rsidRPr="00D93632">
        <w:rPr>
          <w:rFonts w:ascii="Garamond" w:hAnsi="Garamond"/>
          <w:i/>
        </w:rPr>
        <w:t>Case Studies and Theory Development in the Social Sciences</w:t>
      </w:r>
      <w:r w:rsidRPr="00D93632">
        <w:rPr>
          <w:rFonts w:ascii="Garamond" w:hAnsi="Garamond"/>
        </w:rPr>
        <w:t xml:space="preserve">. </w:t>
      </w:r>
    </w:p>
    <w:p w14:paraId="7CFFAC99" w14:textId="77777777" w:rsidR="00187E85" w:rsidRDefault="009F14C8" w:rsidP="00D93632">
      <w:pPr>
        <w:ind w:firstLine="720"/>
        <w:rPr>
          <w:rFonts w:ascii="Garamond" w:hAnsi="Garamond"/>
        </w:rPr>
      </w:pPr>
      <w:r w:rsidRPr="00D93632">
        <w:rPr>
          <w:rFonts w:ascii="Garamond" w:hAnsi="Garamond"/>
        </w:rPr>
        <w:t>MIT Press. 2005.</w:t>
      </w:r>
    </w:p>
    <w:p w14:paraId="778D545A" w14:textId="77777777" w:rsidR="00AB6937" w:rsidRPr="00104AF1" w:rsidRDefault="00C369D9" w:rsidP="00104AF1">
      <w:pPr>
        <w:pStyle w:val="Bibliography"/>
        <w:rPr>
          <w:rFonts w:ascii="Garamond" w:hAnsi="Garamond"/>
        </w:rPr>
      </w:pPr>
      <w:proofErr w:type="spellStart"/>
      <w:r w:rsidRPr="00104AF1">
        <w:rPr>
          <w:rFonts w:ascii="Garamond" w:hAnsi="Garamond"/>
        </w:rPr>
        <w:t>Germain</w:t>
      </w:r>
      <w:proofErr w:type="spellEnd"/>
      <w:r w:rsidRPr="00104AF1">
        <w:rPr>
          <w:rFonts w:ascii="Garamond" w:hAnsi="Garamond"/>
        </w:rPr>
        <w:t xml:space="preserve">, Randall D. </w:t>
      </w:r>
      <w:r w:rsidR="00AB6937" w:rsidRPr="00104AF1">
        <w:rPr>
          <w:rFonts w:ascii="Garamond" w:hAnsi="Garamond"/>
          <w:i/>
        </w:rPr>
        <w:t>Global Politics and Financial Governance</w:t>
      </w:r>
      <w:r w:rsidR="00AB6937" w:rsidRPr="00104AF1">
        <w:rPr>
          <w:rFonts w:ascii="Garamond" w:hAnsi="Garamond"/>
        </w:rPr>
        <w:t>.  New York: Palgrave Macmillan, 2010.</w:t>
      </w:r>
    </w:p>
    <w:p w14:paraId="03E9FAC2" w14:textId="77777777" w:rsidR="00C369D9" w:rsidRPr="00104AF1" w:rsidRDefault="00AB6937" w:rsidP="004769FE">
      <w:pPr>
        <w:pStyle w:val="Bibliography"/>
        <w:rPr>
          <w:rFonts w:ascii="Garamond" w:hAnsi="Garamond"/>
        </w:rPr>
      </w:pPr>
      <w:r w:rsidRPr="004769FE">
        <w:rPr>
          <w:rFonts w:ascii="Garamond" w:hAnsi="Garamond"/>
        </w:rPr>
        <w:t xml:space="preserve">______. </w:t>
      </w:r>
      <w:r w:rsidR="00C369D9" w:rsidRPr="004769FE">
        <w:rPr>
          <w:rFonts w:ascii="Garamond" w:hAnsi="Garamond"/>
        </w:rPr>
        <w:t>“</w:t>
      </w:r>
      <w:proofErr w:type="spellStart"/>
      <w:r w:rsidR="00C369D9" w:rsidRPr="004769FE">
        <w:rPr>
          <w:rFonts w:ascii="Garamond" w:hAnsi="Garamond"/>
        </w:rPr>
        <w:t>Globalising</w:t>
      </w:r>
      <w:proofErr w:type="spellEnd"/>
      <w:r w:rsidR="00C369D9" w:rsidRPr="004769FE">
        <w:rPr>
          <w:rFonts w:ascii="Garamond" w:hAnsi="Garamond"/>
        </w:rPr>
        <w:t xml:space="preserve"> Accountability within the In</w:t>
      </w:r>
      <w:r w:rsidR="00C369D9" w:rsidRPr="001F48F1">
        <w:rPr>
          <w:rFonts w:ascii="Garamond" w:hAnsi="Garamond"/>
        </w:rPr>
        <w:t xml:space="preserve">ternational </w:t>
      </w:r>
      <w:proofErr w:type="spellStart"/>
      <w:r w:rsidR="00C369D9" w:rsidRPr="001F48F1">
        <w:rPr>
          <w:rFonts w:ascii="Garamond" w:hAnsi="Garamond"/>
        </w:rPr>
        <w:t>Organisation</w:t>
      </w:r>
      <w:proofErr w:type="spellEnd"/>
      <w:r w:rsidR="00C369D9" w:rsidRPr="001F48F1">
        <w:rPr>
          <w:rFonts w:ascii="Garamond" w:hAnsi="Garamond"/>
        </w:rPr>
        <w:t xml:space="preserve"> of Credit: Financial Governance and the Public Sphere.” </w:t>
      </w:r>
      <w:r w:rsidR="00C369D9" w:rsidRPr="00104AF1">
        <w:rPr>
          <w:rFonts w:ascii="Garamond" w:hAnsi="Garamond"/>
          <w:i/>
          <w:iCs/>
        </w:rPr>
        <w:t>Global Society</w:t>
      </w:r>
      <w:r w:rsidR="00C369D9" w:rsidRPr="00104AF1">
        <w:rPr>
          <w:rFonts w:ascii="Garamond" w:hAnsi="Garamond"/>
        </w:rPr>
        <w:t xml:space="preserve"> 18, no. 3 (2004): 217-242.</w:t>
      </w:r>
    </w:p>
    <w:p w14:paraId="424593E8" w14:textId="77777777" w:rsidR="00C369D9" w:rsidRPr="00104AF1" w:rsidRDefault="00C369D9" w:rsidP="004769FE">
      <w:pPr>
        <w:pStyle w:val="Bibliography"/>
        <w:rPr>
          <w:rFonts w:ascii="Garamond" w:hAnsi="Garamond"/>
        </w:rPr>
      </w:pPr>
      <w:r w:rsidRPr="00104AF1">
        <w:rPr>
          <w:rFonts w:ascii="Garamond" w:hAnsi="Garamond"/>
        </w:rPr>
        <w:t xml:space="preserve">Gilpin, R. </w:t>
      </w:r>
      <w:proofErr w:type="gramStart"/>
      <w:r w:rsidRPr="00104AF1">
        <w:rPr>
          <w:rFonts w:ascii="Garamond" w:hAnsi="Garamond"/>
          <w:i/>
          <w:iCs/>
        </w:rPr>
        <w:t>The Political Economy Of International Relations</w:t>
      </w:r>
      <w:r w:rsidRPr="00104AF1">
        <w:rPr>
          <w:rFonts w:ascii="Garamond" w:hAnsi="Garamond"/>
        </w:rPr>
        <w:t>.</w:t>
      </w:r>
      <w:proofErr w:type="gramEnd"/>
      <w:r w:rsidRPr="00104AF1">
        <w:rPr>
          <w:rFonts w:ascii="Garamond" w:hAnsi="Garamond"/>
        </w:rPr>
        <w:t xml:space="preserve"> </w:t>
      </w:r>
      <w:proofErr w:type="gramStart"/>
      <w:r w:rsidRPr="00104AF1">
        <w:rPr>
          <w:rFonts w:ascii="Garamond" w:hAnsi="Garamond"/>
        </w:rPr>
        <w:t>Princeton University Press, 1987.</w:t>
      </w:r>
      <w:proofErr w:type="gramEnd"/>
    </w:p>
    <w:p w14:paraId="0248044D" w14:textId="77777777" w:rsidR="00C369D9" w:rsidRPr="00104AF1" w:rsidRDefault="00802A5E" w:rsidP="001F48F1">
      <w:pPr>
        <w:rPr>
          <w:rFonts w:ascii="Garamond" w:hAnsi="Garamond"/>
        </w:rPr>
      </w:pPr>
      <w:proofErr w:type="spellStart"/>
      <w:r w:rsidRPr="00104AF1">
        <w:rPr>
          <w:rFonts w:ascii="Garamond" w:hAnsi="Garamond"/>
        </w:rPr>
        <w:t>Gruson</w:t>
      </w:r>
      <w:proofErr w:type="spellEnd"/>
      <w:r w:rsidRPr="00104AF1">
        <w:rPr>
          <w:rFonts w:ascii="Garamond" w:hAnsi="Garamond"/>
        </w:rPr>
        <w:t xml:space="preserve">, M. “Supervision of Financial Conglomerates in the European Union,” </w:t>
      </w:r>
      <w:r w:rsidR="00B7391A" w:rsidRPr="00104AF1">
        <w:rPr>
          <w:rFonts w:ascii="Garamond" w:hAnsi="Garamond"/>
          <w:i/>
        </w:rPr>
        <w:t xml:space="preserve">Journal </w:t>
      </w:r>
      <w:r w:rsidR="00B7708F" w:rsidRPr="00104AF1">
        <w:rPr>
          <w:rFonts w:ascii="Garamond" w:hAnsi="Garamond"/>
          <w:i/>
        </w:rPr>
        <w:tab/>
      </w:r>
      <w:r w:rsidR="00B7391A" w:rsidRPr="00104AF1">
        <w:rPr>
          <w:rFonts w:ascii="Garamond" w:hAnsi="Garamond"/>
          <w:i/>
        </w:rPr>
        <w:t>of International Banking Law and Regulation</w:t>
      </w:r>
      <w:r w:rsidRPr="00104AF1">
        <w:rPr>
          <w:rFonts w:ascii="Garamond" w:hAnsi="Garamond"/>
        </w:rPr>
        <w:t xml:space="preserve"> 19</w:t>
      </w:r>
      <w:r w:rsidR="00B7708F" w:rsidRPr="00104AF1">
        <w:rPr>
          <w:rFonts w:ascii="Garamond" w:hAnsi="Garamond"/>
        </w:rPr>
        <w:t xml:space="preserve"> (2004): 363-381.</w:t>
      </w:r>
    </w:p>
    <w:p w14:paraId="1FD9A95C" w14:textId="77777777" w:rsidR="006811F3" w:rsidRPr="00104AF1" w:rsidRDefault="006811F3">
      <w:pPr>
        <w:rPr>
          <w:rFonts w:ascii="Garamond" w:hAnsi="Garamond"/>
        </w:rPr>
      </w:pPr>
      <w:proofErr w:type="gramStart"/>
      <w:r w:rsidRPr="00104AF1">
        <w:rPr>
          <w:rFonts w:ascii="Garamond" w:hAnsi="Garamond"/>
        </w:rPr>
        <w:t>Hacker, Jacob and Paul Pierson.</w:t>
      </w:r>
      <w:proofErr w:type="gramEnd"/>
      <w:r w:rsidRPr="00104AF1">
        <w:rPr>
          <w:rFonts w:ascii="Garamond" w:hAnsi="Garamond"/>
        </w:rPr>
        <w:t xml:space="preserve"> Winner Take All Politics: How Washington made the rich </w:t>
      </w:r>
      <w:r w:rsidR="005A3218" w:rsidRPr="00104AF1">
        <w:rPr>
          <w:rFonts w:ascii="Garamond" w:hAnsi="Garamond"/>
        </w:rPr>
        <w:tab/>
      </w:r>
      <w:r w:rsidRPr="00104AF1">
        <w:rPr>
          <w:rFonts w:ascii="Garamond" w:hAnsi="Garamond"/>
        </w:rPr>
        <w:t>richer.  New York: Simon Schuster. 2011</w:t>
      </w:r>
    </w:p>
    <w:p w14:paraId="7C42E86A" w14:textId="77777777" w:rsidR="00187E85" w:rsidRPr="00D93632" w:rsidRDefault="009F14C8" w:rsidP="00D93632">
      <w:pPr>
        <w:rPr>
          <w:rFonts w:ascii="Garamond" w:hAnsi="Garamond"/>
        </w:rPr>
      </w:pPr>
      <w:proofErr w:type="spellStart"/>
      <w:r w:rsidRPr="00D93632">
        <w:rPr>
          <w:rFonts w:ascii="Garamond" w:hAnsi="Garamond"/>
        </w:rPr>
        <w:t>Hardie</w:t>
      </w:r>
      <w:proofErr w:type="spellEnd"/>
      <w:r w:rsidRPr="00D93632">
        <w:rPr>
          <w:rFonts w:ascii="Garamond" w:hAnsi="Garamond"/>
        </w:rPr>
        <w:t xml:space="preserve">, Iain and David </w:t>
      </w:r>
      <w:proofErr w:type="spellStart"/>
      <w:r w:rsidRPr="00D93632">
        <w:rPr>
          <w:rFonts w:ascii="Garamond" w:hAnsi="Garamond"/>
        </w:rPr>
        <w:t>Howarth</w:t>
      </w:r>
      <w:proofErr w:type="spellEnd"/>
      <w:r w:rsidRPr="00D93632">
        <w:rPr>
          <w:rFonts w:ascii="Garamond" w:hAnsi="Garamond"/>
        </w:rPr>
        <w:t xml:space="preserve">. Market-Based Banking and the International </w:t>
      </w:r>
      <w:r w:rsidRPr="00D93632">
        <w:rPr>
          <w:rFonts w:ascii="Garamond" w:hAnsi="Garamond"/>
        </w:rPr>
        <w:tab/>
        <w:t>Financial Crisis. Oxford: Oxford University Press. 2013.</w:t>
      </w:r>
    </w:p>
    <w:p w14:paraId="2DDB31FB" w14:textId="77777777" w:rsidR="00104AF1" w:rsidRDefault="00EA4AE9" w:rsidP="00104AF1">
      <w:pPr>
        <w:rPr>
          <w:rFonts w:ascii="Garamond" w:hAnsi="Garamond"/>
        </w:rPr>
      </w:pPr>
      <w:proofErr w:type="spellStart"/>
      <w:proofErr w:type="gramStart"/>
      <w:r w:rsidRPr="00104AF1">
        <w:rPr>
          <w:rFonts w:ascii="Garamond" w:hAnsi="Garamond"/>
        </w:rPr>
        <w:t>Hardie</w:t>
      </w:r>
      <w:proofErr w:type="spellEnd"/>
      <w:r w:rsidRPr="00104AF1">
        <w:rPr>
          <w:rFonts w:ascii="Garamond" w:hAnsi="Garamond"/>
        </w:rPr>
        <w:t xml:space="preserve">, Iain, D. </w:t>
      </w:r>
      <w:proofErr w:type="spellStart"/>
      <w:r w:rsidRPr="00104AF1">
        <w:rPr>
          <w:rFonts w:ascii="Garamond" w:hAnsi="Garamond"/>
        </w:rPr>
        <w:t>Howarth</w:t>
      </w:r>
      <w:proofErr w:type="spellEnd"/>
      <w:r w:rsidRPr="00104AF1">
        <w:rPr>
          <w:rFonts w:ascii="Garamond" w:hAnsi="Garamond"/>
        </w:rPr>
        <w:t xml:space="preserve">, S. </w:t>
      </w:r>
      <w:proofErr w:type="spellStart"/>
      <w:r w:rsidRPr="00104AF1">
        <w:rPr>
          <w:rFonts w:ascii="Garamond" w:hAnsi="Garamond"/>
        </w:rPr>
        <w:t>Maxfield</w:t>
      </w:r>
      <w:proofErr w:type="spellEnd"/>
      <w:r w:rsidRPr="00104AF1">
        <w:rPr>
          <w:rFonts w:ascii="Garamond" w:hAnsi="Garamond"/>
        </w:rPr>
        <w:t>, and A. Verdun.</w:t>
      </w:r>
      <w:proofErr w:type="gramEnd"/>
      <w:r w:rsidRPr="00104AF1">
        <w:rPr>
          <w:rFonts w:ascii="Garamond" w:hAnsi="Garamond"/>
        </w:rPr>
        <w:t xml:space="preserve"> “Banks and the False Dichotomy in </w:t>
      </w:r>
    </w:p>
    <w:p w14:paraId="4D192D3E" w14:textId="77777777" w:rsidR="00187E85" w:rsidRDefault="00EA4AE9" w:rsidP="00D93632">
      <w:pPr>
        <w:ind w:firstLine="720"/>
        <w:rPr>
          <w:rFonts w:ascii="Garamond" w:hAnsi="Garamond"/>
        </w:rPr>
      </w:pPr>
      <w:proofErr w:type="gramStart"/>
      <w:r w:rsidRPr="00104AF1">
        <w:rPr>
          <w:rFonts w:ascii="Garamond" w:hAnsi="Garamond"/>
        </w:rPr>
        <w:t>the</w:t>
      </w:r>
      <w:proofErr w:type="gramEnd"/>
      <w:r w:rsidRPr="00104AF1">
        <w:rPr>
          <w:rFonts w:ascii="Garamond" w:hAnsi="Garamond"/>
        </w:rPr>
        <w:t xml:space="preserve"> Comparative Political Economy of Finance,” </w:t>
      </w:r>
      <w:r w:rsidR="009F14C8" w:rsidRPr="00D93632">
        <w:rPr>
          <w:rFonts w:ascii="Garamond" w:hAnsi="Garamond"/>
          <w:i/>
        </w:rPr>
        <w:t>World Politics</w:t>
      </w:r>
      <w:r w:rsidRPr="00104AF1">
        <w:rPr>
          <w:rFonts w:ascii="Garamond" w:hAnsi="Garamond"/>
        </w:rPr>
        <w:t xml:space="preserve"> 65, no. 4 (2013): 691-</w:t>
      </w:r>
    </w:p>
    <w:p w14:paraId="59E9932A" w14:textId="77777777" w:rsidR="00187E85" w:rsidRDefault="00EA4AE9" w:rsidP="00D93632">
      <w:pPr>
        <w:ind w:firstLine="720"/>
        <w:rPr>
          <w:rFonts w:ascii="Garamond" w:hAnsi="Garamond"/>
        </w:rPr>
      </w:pPr>
      <w:r w:rsidRPr="00104AF1">
        <w:rPr>
          <w:rFonts w:ascii="Garamond" w:hAnsi="Garamond"/>
        </w:rPr>
        <w:t xml:space="preserve">728. </w:t>
      </w:r>
    </w:p>
    <w:p w14:paraId="70BFA4D2" w14:textId="77777777" w:rsidR="00C369D9" w:rsidRPr="00104AF1" w:rsidRDefault="00C369D9" w:rsidP="00104AF1">
      <w:pPr>
        <w:pStyle w:val="Bibliography"/>
        <w:rPr>
          <w:rFonts w:ascii="Garamond" w:hAnsi="Garamond"/>
        </w:rPr>
      </w:pPr>
      <w:proofErr w:type="spellStart"/>
      <w:r w:rsidRPr="00104AF1">
        <w:rPr>
          <w:rFonts w:ascii="Garamond" w:hAnsi="Garamond"/>
        </w:rPr>
        <w:t>Helleiner</w:t>
      </w:r>
      <w:proofErr w:type="spellEnd"/>
      <w:r w:rsidRPr="00104AF1">
        <w:rPr>
          <w:rFonts w:ascii="Garamond" w:hAnsi="Garamond"/>
        </w:rPr>
        <w:t xml:space="preserve">, Eric. </w:t>
      </w:r>
      <w:proofErr w:type="gramStart"/>
      <w:r w:rsidRPr="00104AF1">
        <w:rPr>
          <w:rFonts w:ascii="Garamond" w:hAnsi="Garamond"/>
          <w:i/>
          <w:iCs/>
        </w:rPr>
        <w:t>States and the reemergence of global finance</w:t>
      </w:r>
      <w:r w:rsidRPr="00104AF1">
        <w:rPr>
          <w:rFonts w:ascii="Garamond" w:hAnsi="Garamond"/>
        </w:rPr>
        <w:t>.</w:t>
      </w:r>
      <w:proofErr w:type="gramEnd"/>
      <w:r w:rsidRPr="00104AF1">
        <w:rPr>
          <w:rFonts w:ascii="Garamond" w:hAnsi="Garamond"/>
        </w:rPr>
        <w:t xml:space="preserve"> </w:t>
      </w:r>
      <w:proofErr w:type="gramStart"/>
      <w:r w:rsidRPr="00104AF1">
        <w:rPr>
          <w:rFonts w:ascii="Garamond" w:hAnsi="Garamond"/>
        </w:rPr>
        <w:t>Cornell University Press, 199</w:t>
      </w:r>
      <w:r w:rsidR="00A4690B" w:rsidRPr="00104AF1">
        <w:rPr>
          <w:rFonts w:ascii="Garamond" w:hAnsi="Garamond"/>
        </w:rPr>
        <w:t>4</w:t>
      </w:r>
      <w:r w:rsidRPr="00104AF1">
        <w:rPr>
          <w:rFonts w:ascii="Garamond" w:hAnsi="Garamond"/>
        </w:rPr>
        <w:t>.</w:t>
      </w:r>
      <w:proofErr w:type="gramEnd"/>
    </w:p>
    <w:p w14:paraId="03230215" w14:textId="77777777" w:rsidR="006C7A46" w:rsidRPr="004769FE" w:rsidRDefault="006C7A46" w:rsidP="004769FE">
      <w:pPr>
        <w:rPr>
          <w:rFonts w:ascii="Garamond" w:hAnsi="Garamond"/>
          <w:i/>
        </w:rPr>
      </w:pPr>
      <w:proofErr w:type="spellStart"/>
      <w:r w:rsidRPr="004769FE">
        <w:rPr>
          <w:rFonts w:ascii="Garamond" w:hAnsi="Garamond"/>
        </w:rPr>
        <w:t>Helleiner</w:t>
      </w:r>
      <w:proofErr w:type="spellEnd"/>
      <w:r w:rsidRPr="004769FE">
        <w:rPr>
          <w:rFonts w:ascii="Garamond" w:hAnsi="Garamond"/>
        </w:rPr>
        <w:t xml:space="preserve">, Eric. </w:t>
      </w:r>
      <w:r w:rsidRPr="004769FE">
        <w:rPr>
          <w:rFonts w:ascii="Garamond" w:hAnsi="Garamond"/>
          <w:i/>
        </w:rPr>
        <w:t xml:space="preserve">The Status Quo Crisis: Global Financial Governance After the 2008 </w:t>
      </w:r>
    </w:p>
    <w:p w14:paraId="7113816B" w14:textId="77777777" w:rsidR="00A94EDD" w:rsidRPr="001F48F1" w:rsidRDefault="006C7A46" w:rsidP="001F48F1">
      <w:pPr>
        <w:ind w:firstLine="720"/>
        <w:rPr>
          <w:rFonts w:ascii="Garamond" w:hAnsi="Garamond"/>
        </w:rPr>
      </w:pPr>
      <w:r w:rsidRPr="001F48F1">
        <w:rPr>
          <w:rFonts w:ascii="Garamond" w:hAnsi="Garamond"/>
          <w:i/>
        </w:rPr>
        <w:t>Meltdown</w:t>
      </w:r>
      <w:r w:rsidRPr="001F48F1">
        <w:rPr>
          <w:rFonts w:ascii="Garamond" w:hAnsi="Garamond"/>
        </w:rPr>
        <w:t>. Oxford: Oxford University Press</w:t>
      </w:r>
      <w:r w:rsidR="00A94EDD" w:rsidRPr="001F48F1">
        <w:rPr>
          <w:rFonts w:ascii="Garamond" w:hAnsi="Garamond"/>
        </w:rPr>
        <w:t>, 2014.</w:t>
      </w:r>
    </w:p>
    <w:p w14:paraId="1458E302" w14:textId="77777777" w:rsidR="00A94EDD" w:rsidRPr="00104AF1" w:rsidRDefault="00A94EDD">
      <w:pPr>
        <w:rPr>
          <w:rFonts w:ascii="Garamond" w:hAnsi="Garamond"/>
          <w:i/>
        </w:rPr>
      </w:pPr>
      <w:proofErr w:type="spellStart"/>
      <w:r w:rsidRPr="00104AF1">
        <w:rPr>
          <w:rFonts w:ascii="Garamond" w:hAnsi="Garamond"/>
        </w:rPr>
        <w:t>Helleiner</w:t>
      </w:r>
      <w:proofErr w:type="spellEnd"/>
      <w:r w:rsidRPr="00104AF1">
        <w:rPr>
          <w:rFonts w:ascii="Garamond" w:hAnsi="Garamond"/>
        </w:rPr>
        <w:t xml:space="preserve">, Eric. “International Money and Finance,” in </w:t>
      </w:r>
      <w:r w:rsidRPr="00104AF1">
        <w:rPr>
          <w:rFonts w:ascii="Garamond" w:hAnsi="Garamond"/>
          <w:i/>
        </w:rPr>
        <w:t xml:space="preserve">Oxford Handbook of Historical </w:t>
      </w:r>
    </w:p>
    <w:p w14:paraId="310974F5" w14:textId="77777777" w:rsidR="00A94EDD" w:rsidRPr="00104AF1" w:rsidRDefault="00A94EDD">
      <w:pPr>
        <w:ind w:firstLine="720"/>
        <w:rPr>
          <w:rFonts w:ascii="Garamond" w:hAnsi="Garamond"/>
        </w:rPr>
      </w:pPr>
      <w:r w:rsidRPr="00104AF1">
        <w:rPr>
          <w:rFonts w:ascii="Garamond" w:hAnsi="Garamond"/>
          <w:i/>
        </w:rPr>
        <w:t>Institutionalism</w:t>
      </w:r>
      <w:r w:rsidRPr="00104AF1">
        <w:rPr>
          <w:rFonts w:ascii="Garamond" w:hAnsi="Garamond"/>
        </w:rPr>
        <w:t xml:space="preserve">, </w:t>
      </w:r>
      <w:proofErr w:type="spellStart"/>
      <w:proofErr w:type="gramStart"/>
      <w:r w:rsidRPr="00104AF1">
        <w:rPr>
          <w:rFonts w:ascii="Garamond" w:hAnsi="Garamond"/>
        </w:rPr>
        <w:t>eds</w:t>
      </w:r>
      <w:proofErr w:type="spellEnd"/>
      <w:proofErr w:type="gramEnd"/>
      <w:r w:rsidRPr="00104AF1">
        <w:rPr>
          <w:rFonts w:ascii="Garamond" w:hAnsi="Garamond"/>
        </w:rPr>
        <w:t xml:space="preserve"> </w:t>
      </w:r>
      <w:proofErr w:type="spellStart"/>
      <w:r w:rsidRPr="00104AF1">
        <w:rPr>
          <w:rFonts w:ascii="Garamond" w:hAnsi="Garamond"/>
        </w:rPr>
        <w:t>Fioretos</w:t>
      </w:r>
      <w:proofErr w:type="spellEnd"/>
      <w:r w:rsidRPr="00104AF1">
        <w:rPr>
          <w:rFonts w:ascii="Garamond" w:hAnsi="Garamond"/>
        </w:rPr>
        <w:t xml:space="preserve">, </w:t>
      </w:r>
      <w:proofErr w:type="spellStart"/>
      <w:r w:rsidRPr="00104AF1">
        <w:rPr>
          <w:rFonts w:ascii="Garamond" w:hAnsi="Garamond"/>
        </w:rPr>
        <w:t>Falleiti</w:t>
      </w:r>
      <w:proofErr w:type="spellEnd"/>
      <w:r w:rsidRPr="00104AF1">
        <w:rPr>
          <w:rFonts w:ascii="Garamond" w:hAnsi="Garamond"/>
        </w:rPr>
        <w:t xml:space="preserve">, and </w:t>
      </w:r>
      <w:proofErr w:type="spellStart"/>
      <w:r w:rsidRPr="00104AF1">
        <w:rPr>
          <w:rFonts w:ascii="Garamond" w:hAnsi="Garamond"/>
        </w:rPr>
        <w:t>Sheingate</w:t>
      </w:r>
      <w:proofErr w:type="spellEnd"/>
      <w:r w:rsidRPr="00104AF1">
        <w:rPr>
          <w:rFonts w:ascii="Garamond" w:hAnsi="Garamond"/>
        </w:rPr>
        <w:t xml:space="preserve">. Oxford: Oxford University </w:t>
      </w:r>
    </w:p>
    <w:p w14:paraId="52D89B71" w14:textId="77777777" w:rsidR="006C7A46" w:rsidRPr="00104AF1" w:rsidRDefault="00A94EDD">
      <w:pPr>
        <w:ind w:firstLine="720"/>
        <w:rPr>
          <w:rFonts w:ascii="Garamond" w:hAnsi="Garamond"/>
        </w:rPr>
      </w:pPr>
      <w:r w:rsidRPr="00104AF1">
        <w:rPr>
          <w:rFonts w:ascii="Garamond" w:hAnsi="Garamond"/>
        </w:rPr>
        <w:t>Press. Forthcoming.</w:t>
      </w:r>
    </w:p>
    <w:p w14:paraId="5AD01FFB" w14:textId="77777777" w:rsidR="00C369D9" w:rsidRPr="00104AF1" w:rsidRDefault="00C369D9">
      <w:pPr>
        <w:pStyle w:val="Bibliography"/>
        <w:rPr>
          <w:rFonts w:ascii="Garamond" w:hAnsi="Garamond"/>
        </w:rPr>
      </w:pPr>
      <w:proofErr w:type="spellStart"/>
      <w:r w:rsidRPr="00104AF1">
        <w:rPr>
          <w:rFonts w:ascii="Garamond" w:hAnsi="Garamond"/>
        </w:rPr>
        <w:t>Helleiner</w:t>
      </w:r>
      <w:proofErr w:type="spellEnd"/>
      <w:r w:rsidRPr="00104AF1">
        <w:rPr>
          <w:rFonts w:ascii="Garamond" w:hAnsi="Garamond"/>
        </w:rPr>
        <w:t xml:space="preserve">, Eric, and Jonathan </w:t>
      </w:r>
      <w:proofErr w:type="spellStart"/>
      <w:r w:rsidRPr="00104AF1">
        <w:rPr>
          <w:rFonts w:ascii="Garamond" w:hAnsi="Garamond"/>
        </w:rPr>
        <w:t>Kirshner</w:t>
      </w:r>
      <w:proofErr w:type="spellEnd"/>
      <w:r w:rsidRPr="00104AF1">
        <w:rPr>
          <w:rFonts w:ascii="Garamond" w:hAnsi="Garamond"/>
        </w:rPr>
        <w:t xml:space="preserve">. </w:t>
      </w:r>
      <w:proofErr w:type="gramStart"/>
      <w:r w:rsidRPr="00104AF1">
        <w:rPr>
          <w:rFonts w:ascii="Garamond" w:hAnsi="Garamond"/>
          <w:i/>
          <w:iCs/>
        </w:rPr>
        <w:t>The future of the dollar</w:t>
      </w:r>
      <w:r w:rsidRPr="00104AF1">
        <w:rPr>
          <w:rFonts w:ascii="Garamond" w:hAnsi="Garamond"/>
        </w:rPr>
        <w:t>.</w:t>
      </w:r>
      <w:proofErr w:type="gramEnd"/>
      <w:r w:rsidRPr="00104AF1">
        <w:rPr>
          <w:rFonts w:ascii="Garamond" w:hAnsi="Garamond"/>
        </w:rPr>
        <w:t xml:space="preserve"> </w:t>
      </w:r>
      <w:proofErr w:type="gramStart"/>
      <w:r w:rsidRPr="00104AF1">
        <w:rPr>
          <w:rFonts w:ascii="Garamond" w:hAnsi="Garamond"/>
        </w:rPr>
        <w:t>Cornell University Press, 2009.</w:t>
      </w:r>
      <w:proofErr w:type="gramEnd"/>
    </w:p>
    <w:p w14:paraId="7D67C988" w14:textId="77777777" w:rsidR="00C369D9" w:rsidRPr="00104AF1" w:rsidRDefault="00C369D9">
      <w:pPr>
        <w:pStyle w:val="Bibliography"/>
        <w:rPr>
          <w:rFonts w:ascii="Garamond" w:hAnsi="Garamond"/>
        </w:rPr>
      </w:pPr>
      <w:proofErr w:type="spellStart"/>
      <w:r w:rsidRPr="00104AF1">
        <w:rPr>
          <w:rFonts w:ascii="Garamond" w:hAnsi="Garamond"/>
        </w:rPr>
        <w:t>Helleiner</w:t>
      </w:r>
      <w:proofErr w:type="spellEnd"/>
      <w:r w:rsidRPr="00104AF1">
        <w:rPr>
          <w:rFonts w:ascii="Garamond" w:hAnsi="Garamond"/>
        </w:rPr>
        <w:t xml:space="preserve">, Eric, and Stefano </w:t>
      </w:r>
      <w:proofErr w:type="spellStart"/>
      <w:r w:rsidRPr="00104AF1">
        <w:rPr>
          <w:rFonts w:ascii="Garamond" w:hAnsi="Garamond"/>
        </w:rPr>
        <w:t>Pagliari</w:t>
      </w:r>
      <w:proofErr w:type="spellEnd"/>
      <w:r w:rsidRPr="00104AF1">
        <w:rPr>
          <w:rFonts w:ascii="Garamond" w:hAnsi="Garamond"/>
        </w:rPr>
        <w:t xml:space="preserve">. “The End of an Era in International Financial Regulation? A </w:t>
      </w:r>
      <w:proofErr w:type="spellStart"/>
      <w:r w:rsidRPr="00104AF1">
        <w:rPr>
          <w:rFonts w:ascii="Garamond" w:hAnsi="Garamond"/>
        </w:rPr>
        <w:t>Postcrisis</w:t>
      </w:r>
      <w:proofErr w:type="spellEnd"/>
      <w:r w:rsidRPr="00104AF1">
        <w:rPr>
          <w:rFonts w:ascii="Garamond" w:hAnsi="Garamond"/>
        </w:rPr>
        <w:t xml:space="preserve"> Research Agenda.” </w:t>
      </w:r>
      <w:r w:rsidRPr="00104AF1">
        <w:rPr>
          <w:rFonts w:ascii="Garamond" w:hAnsi="Garamond"/>
          <w:i/>
          <w:iCs/>
        </w:rPr>
        <w:t>International Organization</w:t>
      </w:r>
      <w:r w:rsidRPr="00104AF1">
        <w:rPr>
          <w:rFonts w:ascii="Garamond" w:hAnsi="Garamond"/>
        </w:rPr>
        <w:t xml:space="preserve"> 65, no. 1 (2011): 169-200.</w:t>
      </w:r>
    </w:p>
    <w:p w14:paraId="11AB4F16" w14:textId="77777777" w:rsidR="000A7366" w:rsidRPr="00104AF1" w:rsidRDefault="000A3233">
      <w:pPr>
        <w:rPr>
          <w:rFonts w:ascii="Garamond" w:hAnsi="Garamond"/>
        </w:rPr>
      </w:pPr>
      <w:proofErr w:type="spellStart"/>
      <w:r w:rsidRPr="00104AF1">
        <w:rPr>
          <w:rFonts w:ascii="Garamond" w:hAnsi="Garamond"/>
        </w:rPr>
        <w:t>Helleiner</w:t>
      </w:r>
      <w:proofErr w:type="spellEnd"/>
      <w:r w:rsidRPr="00104AF1">
        <w:rPr>
          <w:rFonts w:ascii="Garamond" w:hAnsi="Garamond"/>
        </w:rPr>
        <w:t xml:space="preserve">, Eric, and Stefano </w:t>
      </w:r>
      <w:proofErr w:type="spellStart"/>
      <w:r w:rsidRPr="00104AF1">
        <w:rPr>
          <w:rFonts w:ascii="Garamond" w:hAnsi="Garamond"/>
        </w:rPr>
        <w:t>Pagliari</w:t>
      </w:r>
      <w:proofErr w:type="spellEnd"/>
      <w:r w:rsidRPr="00104AF1">
        <w:rPr>
          <w:rFonts w:ascii="Garamond" w:hAnsi="Garamond"/>
        </w:rPr>
        <w:t xml:space="preserve">.  “Between the Storms: Patterns in Global </w:t>
      </w:r>
      <w:r w:rsidR="005A1C30" w:rsidRPr="00104AF1">
        <w:rPr>
          <w:rFonts w:ascii="Garamond" w:hAnsi="Garamond"/>
        </w:rPr>
        <w:tab/>
      </w:r>
      <w:r w:rsidR="005A1C30" w:rsidRPr="00104AF1">
        <w:rPr>
          <w:rFonts w:ascii="Garamond" w:hAnsi="Garamond"/>
        </w:rPr>
        <w:tab/>
      </w:r>
      <w:r w:rsidRPr="00104AF1">
        <w:rPr>
          <w:rFonts w:ascii="Garamond" w:hAnsi="Garamond"/>
        </w:rPr>
        <w:t xml:space="preserve">Financial Governance, 2001-2007,” in Geoffrey R. D. Underhill, Jasper </w:t>
      </w:r>
      <w:proofErr w:type="spellStart"/>
      <w:r w:rsidRPr="00104AF1">
        <w:rPr>
          <w:rFonts w:ascii="Garamond" w:hAnsi="Garamond"/>
        </w:rPr>
        <w:t>Blom</w:t>
      </w:r>
      <w:proofErr w:type="spellEnd"/>
      <w:r w:rsidRPr="00104AF1">
        <w:rPr>
          <w:rFonts w:ascii="Garamond" w:hAnsi="Garamond"/>
        </w:rPr>
        <w:t xml:space="preserve"> </w:t>
      </w:r>
      <w:r w:rsidR="005A1C30" w:rsidRPr="00104AF1">
        <w:rPr>
          <w:rFonts w:ascii="Garamond" w:hAnsi="Garamond"/>
        </w:rPr>
        <w:tab/>
      </w:r>
      <w:r w:rsidRPr="00104AF1">
        <w:rPr>
          <w:rFonts w:ascii="Garamond" w:hAnsi="Garamond"/>
        </w:rPr>
        <w:t xml:space="preserve">and Daniel </w:t>
      </w:r>
      <w:proofErr w:type="spellStart"/>
      <w:r w:rsidRPr="00104AF1">
        <w:rPr>
          <w:rFonts w:ascii="Garamond" w:hAnsi="Garamond"/>
        </w:rPr>
        <w:t>Mügge</w:t>
      </w:r>
      <w:proofErr w:type="spellEnd"/>
      <w:r w:rsidRPr="00104AF1">
        <w:rPr>
          <w:rFonts w:ascii="Garamond" w:hAnsi="Garamond"/>
        </w:rPr>
        <w:t>, eds</w:t>
      </w:r>
      <w:proofErr w:type="gramStart"/>
      <w:r w:rsidRPr="00104AF1">
        <w:rPr>
          <w:rFonts w:ascii="Garamond" w:hAnsi="Garamond"/>
        </w:rPr>
        <w:t>.,</w:t>
      </w:r>
      <w:proofErr w:type="gramEnd"/>
      <w:r w:rsidRPr="00104AF1">
        <w:rPr>
          <w:rFonts w:ascii="Garamond" w:hAnsi="Garamond"/>
        </w:rPr>
        <w:t xml:space="preserve"> </w:t>
      </w:r>
      <w:r w:rsidR="00F947DA" w:rsidRPr="00104AF1">
        <w:rPr>
          <w:rFonts w:ascii="Garamond" w:hAnsi="Garamond"/>
          <w:i/>
        </w:rPr>
        <w:t xml:space="preserve">Global Financial Integration Thirty Years On: From Reform to </w:t>
      </w:r>
      <w:r w:rsidR="00AB6937" w:rsidRPr="00104AF1">
        <w:rPr>
          <w:rFonts w:ascii="Garamond" w:hAnsi="Garamond"/>
          <w:i/>
        </w:rPr>
        <w:tab/>
      </w:r>
      <w:r w:rsidR="00F947DA" w:rsidRPr="00104AF1">
        <w:rPr>
          <w:rFonts w:ascii="Garamond" w:hAnsi="Garamond"/>
          <w:i/>
        </w:rPr>
        <w:t>Crisis</w:t>
      </w:r>
      <w:r w:rsidRPr="00104AF1">
        <w:rPr>
          <w:rFonts w:ascii="Garamond" w:hAnsi="Garamond"/>
        </w:rPr>
        <w:t xml:space="preserve">, eds.,  (Cambridge: Cambridge University Press, 2010), 42-57. </w:t>
      </w:r>
    </w:p>
    <w:p w14:paraId="7405A906" w14:textId="77777777" w:rsidR="00505582" w:rsidRPr="00104AF1" w:rsidRDefault="00505582">
      <w:pPr>
        <w:rPr>
          <w:rFonts w:ascii="Garamond" w:hAnsi="Garamond"/>
        </w:rPr>
      </w:pPr>
      <w:proofErr w:type="spellStart"/>
      <w:r w:rsidRPr="00104AF1">
        <w:rPr>
          <w:rFonts w:ascii="Garamond" w:hAnsi="Garamond"/>
        </w:rPr>
        <w:t>Helleiner</w:t>
      </w:r>
      <w:proofErr w:type="spellEnd"/>
      <w:r w:rsidRPr="00104AF1">
        <w:rPr>
          <w:rFonts w:ascii="Garamond" w:hAnsi="Garamond"/>
        </w:rPr>
        <w:t xml:space="preserve">, Eric, Stefano </w:t>
      </w:r>
      <w:proofErr w:type="spellStart"/>
      <w:r w:rsidRPr="00104AF1">
        <w:rPr>
          <w:rFonts w:ascii="Garamond" w:hAnsi="Garamond"/>
        </w:rPr>
        <w:t>Pagliari</w:t>
      </w:r>
      <w:proofErr w:type="spellEnd"/>
      <w:r w:rsidRPr="00104AF1">
        <w:rPr>
          <w:rFonts w:ascii="Garamond" w:hAnsi="Garamond"/>
        </w:rPr>
        <w:t xml:space="preserve"> and Hubert Zimmerman, eds</w:t>
      </w:r>
      <w:proofErr w:type="gramStart"/>
      <w:r w:rsidRPr="00104AF1">
        <w:rPr>
          <w:rFonts w:ascii="Garamond" w:hAnsi="Garamond"/>
        </w:rPr>
        <w:t>.,</w:t>
      </w:r>
      <w:proofErr w:type="gramEnd"/>
      <w:r w:rsidRPr="00104AF1">
        <w:rPr>
          <w:rFonts w:ascii="Garamond" w:hAnsi="Garamond"/>
        </w:rPr>
        <w:t xml:space="preserve"> Global Finance in Crisis: The </w:t>
      </w:r>
      <w:r w:rsidRPr="00104AF1">
        <w:rPr>
          <w:rFonts w:ascii="Garamond" w:hAnsi="Garamond"/>
        </w:rPr>
        <w:tab/>
        <w:t xml:space="preserve">Politics of International Regulatory Change. London: </w:t>
      </w:r>
      <w:proofErr w:type="spellStart"/>
      <w:r w:rsidRPr="00104AF1">
        <w:rPr>
          <w:rFonts w:ascii="Garamond" w:hAnsi="Garamond"/>
        </w:rPr>
        <w:t>Routledge</w:t>
      </w:r>
      <w:proofErr w:type="spellEnd"/>
      <w:r w:rsidRPr="00104AF1">
        <w:rPr>
          <w:rFonts w:ascii="Garamond" w:hAnsi="Garamond"/>
        </w:rPr>
        <w:t>, 2010.</w:t>
      </w:r>
    </w:p>
    <w:p w14:paraId="18324790" w14:textId="77777777" w:rsidR="00104AF1" w:rsidRDefault="009F14C8" w:rsidP="007603BE">
      <w:pPr>
        <w:rPr>
          <w:rFonts w:ascii="Garamond" w:hAnsi="Garamond"/>
        </w:rPr>
      </w:pPr>
      <w:proofErr w:type="spellStart"/>
      <w:r w:rsidRPr="00D93632">
        <w:rPr>
          <w:rFonts w:ascii="Garamond" w:hAnsi="Garamond"/>
        </w:rPr>
        <w:t>Howarth</w:t>
      </w:r>
      <w:proofErr w:type="spellEnd"/>
      <w:r w:rsidRPr="00D93632">
        <w:rPr>
          <w:rFonts w:ascii="Garamond" w:hAnsi="Garamond"/>
        </w:rPr>
        <w:t xml:space="preserve">, D. and </w:t>
      </w:r>
      <w:proofErr w:type="spellStart"/>
      <w:r w:rsidRPr="00D93632">
        <w:rPr>
          <w:rFonts w:ascii="Garamond" w:hAnsi="Garamond"/>
        </w:rPr>
        <w:t>Quaglia</w:t>
      </w:r>
      <w:proofErr w:type="spellEnd"/>
      <w:r w:rsidRPr="00D93632">
        <w:rPr>
          <w:rFonts w:ascii="Garamond" w:hAnsi="Garamond"/>
        </w:rPr>
        <w:t xml:space="preserve">, L. (2013), ‘Banking on Stability: The political economy of new </w:t>
      </w:r>
    </w:p>
    <w:p w14:paraId="5BF026DE" w14:textId="77777777" w:rsidR="00187E85" w:rsidRDefault="009F14C8" w:rsidP="00D93632">
      <w:pPr>
        <w:ind w:firstLine="720"/>
        <w:rPr>
          <w:rFonts w:ascii="Garamond" w:hAnsi="Garamond"/>
        </w:rPr>
      </w:pPr>
      <w:proofErr w:type="gramStart"/>
      <w:r w:rsidRPr="00D93632">
        <w:rPr>
          <w:rFonts w:ascii="Garamond" w:hAnsi="Garamond"/>
        </w:rPr>
        <w:t>capital</w:t>
      </w:r>
      <w:proofErr w:type="gramEnd"/>
      <w:r w:rsidRPr="00D93632">
        <w:rPr>
          <w:rFonts w:ascii="Garamond" w:hAnsi="Garamond"/>
        </w:rPr>
        <w:t xml:space="preserve"> requirements in the European Union’, </w:t>
      </w:r>
      <w:r w:rsidRPr="00D93632">
        <w:rPr>
          <w:rStyle w:val="Emphasis"/>
          <w:rFonts w:ascii="Garamond" w:hAnsi="Garamond"/>
        </w:rPr>
        <w:t>Journal of European Integration</w:t>
      </w:r>
      <w:r w:rsidRPr="00D93632">
        <w:rPr>
          <w:rFonts w:ascii="Garamond" w:hAnsi="Garamond"/>
        </w:rPr>
        <w:t>, 3, 3: 333-</w:t>
      </w:r>
    </w:p>
    <w:p w14:paraId="270FFE66" w14:textId="77777777" w:rsidR="00187E85" w:rsidRPr="00D93632" w:rsidRDefault="009F14C8" w:rsidP="00D93632">
      <w:pPr>
        <w:ind w:firstLine="720"/>
        <w:rPr>
          <w:rFonts w:ascii="Garamond" w:hAnsi="Garamond"/>
        </w:rPr>
      </w:pPr>
      <w:r w:rsidRPr="00D93632">
        <w:rPr>
          <w:rFonts w:ascii="Garamond" w:hAnsi="Garamond"/>
        </w:rPr>
        <w:t>346.</w:t>
      </w:r>
    </w:p>
    <w:p w14:paraId="2B9F4A2D" w14:textId="77777777" w:rsidR="00187E85" w:rsidRDefault="009F14C8" w:rsidP="00D93632">
      <w:pPr>
        <w:ind w:left="720" w:hanging="720"/>
        <w:rPr>
          <w:rFonts w:ascii="Garamond" w:hAnsi="Garamond"/>
        </w:rPr>
      </w:pPr>
      <w:proofErr w:type="spellStart"/>
      <w:r w:rsidRPr="00D93632">
        <w:rPr>
          <w:rFonts w:ascii="Garamond" w:hAnsi="Garamond"/>
        </w:rPr>
        <w:t>Hussain</w:t>
      </w:r>
      <w:proofErr w:type="spellEnd"/>
      <w:r w:rsidRPr="00D93632">
        <w:rPr>
          <w:rFonts w:ascii="Garamond" w:hAnsi="Garamond"/>
        </w:rPr>
        <w:t xml:space="preserve">, </w:t>
      </w:r>
      <w:proofErr w:type="spellStart"/>
      <w:r w:rsidRPr="00D93632">
        <w:rPr>
          <w:rFonts w:ascii="Garamond" w:hAnsi="Garamond"/>
        </w:rPr>
        <w:t>Asma</w:t>
      </w:r>
      <w:proofErr w:type="spellEnd"/>
      <w:r w:rsidRPr="00D93632">
        <w:rPr>
          <w:rFonts w:ascii="Garamond" w:hAnsi="Garamond"/>
        </w:rPr>
        <w:t xml:space="preserve"> A. and Marc J. </w:t>
      </w:r>
      <w:proofErr w:type="spellStart"/>
      <w:r w:rsidRPr="00D93632">
        <w:rPr>
          <w:rFonts w:ascii="Garamond" w:hAnsi="Garamond"/>
        </w:rPr>
        <w:t>Ventresca</w:t>
      </w:r>
      <w:proofErr w:type="spellEnd"/>
      <w:r w:rsidRPr="00D93632">
        <w:rPr>
          <w:rFonts w:ascii="Garamond" w:hAnsi="Garamond"/>
        </w:rPr>
        <w:t>, “</w:t>
      </w:r>
      <w:r w:rsidR="006318A7" w:rsidRPr="00D93632">
        <w:rPr>
          <w:rFonts w:ascii="Garamond" w:hAnsi="Garamond"/>
        </w:rPr>
        <w:fldChar w:fldCharType="begin"/>
      </w:r>
      <w:r w:rsidRPr="00D93632">
        <w:rPr>
          <w:rFonts w:ascii="Garamond" w:hAnsi="Garamond"/>
        </w:rPr>
        <w:instrText xml:space="preserve"> HYPERLINK "http://sbs.eprints.org/id/eprint/2041" \t "_blank" </w:instrText>
      </w:r>
      <w:r w:rsidR="006318A7" w:rsidRPr="00D93632">
        <w:rPr>
          <w:rFonts w:ascii="Garamond" w:hAnsi="Garamond"/>
        </w:rPr>
        <w:fldChar w:fldCharType="separate"/>
      </w:r>
      <w:r w:rsidRPr="00D93632">
        <w:rPr>
          <w:rStyle w:val="Hyperlink"/>
          <w:rFonts w:ascii="Garamond" w:hAnsi="Garamond"/>
        </w:rPr>
        <w:t>Formal organizing and transnational communities: Evidence from global finance governance associations, 1879–2006</w:t>
      </w:r>
      <w:r w:rsidR="006318A7" w:rsidRPr="00D93632">
        <w:rPr>
          <w:rFonts w:ascii="Garamond" w:hAnsi="Garamond"/>
        </w:rPr>
        <w:fldChar w:fldCharType="end"/>
      </w:r>
      <w:r w:rsidRPr="00D93632">
        <w:rPr>
          <w:rFonts w:ascii="Garamond" w:hAnsi="Garamond"/>
        </w:rPr>
        <w:t xml:space="preserve">,” in </w:t>
      </w:r>
      <w:proofErr w:type="spellStart"/>
      <w:r w:rsidRPr="00D93632">
        <w:rPr>
          <w:rFonts w:ascii="Garamond" w:hAnsi="Garamond"/>
        </w:rPr>
        <w:t>Djelic</w:t>
      </w:r>
      <w:proofErr w:type="spellEnd"/>
      <w:r w:rsidRPr="00D93632">
        <w:rPr>
          <w:rFonts w:ascii="Garamond" w:hAnsi="Garamond"/>
        </w:rPr>
        <w:t>, M L. and Quack, S, eds</w:t>
      </w:r>
      <w:proofErr w:type="gramStart"/>
      <w:r w:rsidRPr="00D93632">
        <w:rPr>
          <w:rFonts w:ascii="Garamond" w:hAnsi="Garamond"/>
        </w:rPr>
        <w:t>.,</w:t>
      </w:r>
      <w:proofErr w:type="gramEnd"/>
      <w:r w:rsidRPr="00D93632">
        <w:rPr>
          <w:rFonts w:ascii="Garamond" w:hAnsi="Garamond"/>
        </w:rPr>
        <w:t xml:space="preserve">  </w:t>
      </w:r>
      <w:r w:rsidRPr="00D93632">
        <w:rPr>
          <w:rStyle w:val="publisher"/>
          <w:rFonts w:ascii="Garamond" w:hAnsi="Garamond"/>
          <w:i/>
        </w:rPr>
        <w:t>Transnational Communities: Shaping Global Economic Governance</w:t>
      </w:r>
      <w:r w:rsidRPr="00D93632">
        <w:rPr>
          <w:rStyle w:val="publisher"/>
          <w:rFonts w:ascii="Garamond" w:hAnsi="Garamond"/>
        </w:rPr>
        <w:t>, Cambridge University Press, pp. 153-173</w:t>
      </w:r>
    </w:p>
    <w:p w14:paraId="18ED5FE4" w14:textId="77777777" w:rsidR="00C369D9" w:rsidRPr="004769FE" w:rsidRDefault="00C369D9" w:rsidP="00104AF1">
      <w:pPr>
        <w:pStyle w:val="Bibliography"/>
        <w:rPr>
          <w:rFonts w:ascii="Garamond" w:hAnsi="Garamond"/>
        </w:rPr>
      </w:pPr>
      <w:proofErr w:type="spellStart"/>
      <w:r w:rsidRPr="00104AF1">
        <w:rPr>
          <w:rFonts w:ascii="Garamond" w:hAnsi="Garamond"/>
        </w:rPr>
        <w:t>Ikenberry</w:t>
      </w:r>
      <w:proofErr w:type="spellEnd"/>
      <w:r w:rsidRPr="00104AF1">
        <w:rPr>
          <w:rFonts w:ascii="Garamond" w:hAnsi="Garamond"/>
        </w:rPr>
        <w:t xml:space="preserve">, G.J. </w:t>
      </w:r>
      <w:r w:rsidRPr="00104AF1">
        <w:rPr>
          <w:rFonts w:ascii="Garamond" w:hAnsi="Garamond"/>
          <w:i/>
          <w:iCs/>
        </w:rPr>
        <w:t>After Victory: Institutions, Strategic Restraint, and the Rebuilding of Order After Major Wars</w:t>
      </w:r>
      <w:r w:rsidRPr="00104AF1">
        <w:rPr>
          <w:rFonts w:ascii="Garamond" w:hAnsi="Garamond"/>
        </w:rPr>
        <w:t xml:space="preserve">. Princeton: </w:t>
      </w:r>
      <w:r w:rsidRPr="004769FE">
        <w:rPr>
          <w:rFonts w:ascii="Garamond" w:hAnsi="Garamond"/>
        </w:rPr>
        <w:t>Princeton, 2001.</w:t>
      </w:r>
    </w:p>
    <w:p w14:paraId="65846280" w14:textId="77777777" w:rsidR="00A94EDD" w:rsidRPr="004769FE" w:rsidRDefault="000E48A6" w:rsidP="004769FE">
      <w:pPr>
        <w:rPr>
          <w:rFonts w:ascii="Garamond" w:hAnsi="Garamond"/>
        </w:rPr>
      </w:pPr>
      <w:r w:rsidRPr="004769FE">
        <w:rPr>
          <w:rFonts w:ascii="Garamond" w:hAnsi="Garamond"/>
        </w:rPr>
        <w:t xml:space="preserve">_________. “The Future of the Liberal World Order.” Foreign Affairs 90, no. 3 (May/June </w:t>
      </w:r>
    </w:p>
    <w:p w14:paraId="22C3BCF1" w14:textId="77777777" w:rsidR="000E48A6" w:rsidRPr="001F48F1" w:rsidRDefault="000E48A6" w:rsidP="001F48F1">
      <w:pPr>
        <w:ind w:firstLine="720"/>
        <w:rPr>
          <w:rFonts w:ascii="Garamond" w:hAnsi="Garamond"/>
        </w:rPr>
      </w:pPr>
      <w:r w:rsidRPr="001F48F1">
        <w:rPr>
          <w:rFonts w:ascii="Garamond" w:hAnsi="Garamond"/>
        </w:rPr>
        <w:t>2011): 56-68.</w:t>
      </w:r>
    </w:p>
    <w:p w14:paraId="4A34275E" w14:textId="77777777" w:rsidR="00C369D9" w:rsidRPr="00104AF1" w:rsidRDefault="00C369D9">
      <w:pPr>
        <w:pStyle w:val="Bibliography"/>
        <w:rPr>
          <w:rFonts w:ascii="Garamond" w:hAnsi="Garamond"/>
        </w:rPr>
      </w:pPr>
      <w:proofErr w:type="gramStart"/>
      <w:r w:rsidRPr="00104AF1">
        <w:rPr>
          <w:rFonts w:ascii="Garamond" w:hAnsi="Garamond"/>
        </w:rPr>
        <w:t>James, S., and D. Lake.</w:t>
      </w:r>
      <w:proofErr w:type="gramEnd"/>
      <w:r w:rsidRPr="00104AF1">
        <w:rPr>
          <w:rFonts w:ascii="Garamond" w:hAnsi="Garamond"/>
        </w:rPr>
        <w:t xml:space="preserve"> “The second face of hegemony: Britain’s repeal of the Corn Laws and the American Walker tariff of 1846.” </w:t>
      </w:r>
      <w:r w:rsidRPr="00104AF1">
        <w:rPr>
          <w:rFonts w:ascii="Garamond" w:hAnsi="Garamond"/>
          <w:i/>
          <w:iCs/>
        </w:rPr>
        <w:t>International Organization</w:t>
      </w:r>
      <w:r w:rsidRPr="00104AF1">
        <w:rPr>
          <w:rFonts w:ascii="Garamond" w:hAnsi="Garamond"/>
        </w:rPr>
        <w:t xml:space="preserve"> 43, no. 1 (Winter 1989): 1-29.</w:t>
      </w:r>
    </w:p>
    <w:p w14:paraId="4DD7155E" w14:textId="77777777" w:rsidR="005C7E4B" w:rsidRPr="00104AF1" w:rsidRDefault="005C7E4B">
      <w:pPr>
        <w:rPr>
          <w:rFonts w:ascii="Garamond" w:hAnsi="Garamond"/>
        </w:rPr>
      </w:pPr>
      <w:proofErr w:type="spellStart"/>
      <w:r w:rsidRPr="00104AF1">
        <w:rPr>
          <w:rFonts w:ascii="Garamond" w:hAnsi="Garamond"/>
        </w:rPr>
        <w:t>Kalinowski</w:t>
      </w:r>
      <w:proofErr w:type="spellEnd"/>
      <w:r w:rsidRPr="00104AF1">
        <w:rPr>
          <w:rFonts w:ascii="Garamond" w:hAnsi="Garamond"/>
        </w:rPr>
        <w:t xml:space="preserve">, Thomas. “Regulating International Finance and the Diversity of </w:t>
      </w:r>
    </w:p>
    <w:p w14:paraId="4F5B9748" w14:textId="77777777" w:rsidR="005C7E4B" w:rsidRPr="00104AF1" w:rsidRDefault="005C7E4B">
      <w:pPr>
        <w:ind w:firstLine="720"/>
        <w:rPr>
          <w:rFonts w:ascii="Garamond" w:hAnsi="Garamond"/>
        </w:rPr>
      </w:pPr>
      <w:r w:rsidRPr="00104AF1">
        <w:rPr>
          <w:rFonts w:ascii="Garamond" w:hAnsi="Garamond"/>
        </w:rPr>
        <w:t xml:space="preserve">Capitalism.” </w:t>
      </w:r>
      <w:r w:rsidRPr="00104AF1">
        <w:rPr>
          <w:rFonts w:ascii="Garamond" w:hAnsi="Garamond"/>
          <w:i/>
        </w:rPr>
        <w:t>Socio-Economic Review</w:t>
      </w:r>
      <w:r w:rsidRPr="00104AF1">
        <w:rPr>
          <w:rFonts w:ascii="Garamond" w:hAnsi="Garamond"/>
        </w:rPr>
        <w:t xml:space="preserve"> 11, no. 3 (2013): 471-496.</w:t>
      </w:r>
    </w:p>
    <w:p w14:paraId="07C780B9" w14:textId="77777777" w:rsidR="00187E85" w:rsidRDefault="009F14C8" w:rsidP="00D93632">
      <w:pPr>
        <w:pStyle w:val="Bibliography"/>
        <w:rPr>
          <w:rFonts w:ascii="Garamond" w:hAnsi="Garamond"/>
        </w:rPr>
      </w:pPr>
      <w:r w:rsidRPr="00D93632">
        <w:rPr>
          <w:rFonts w:ascii="Garamond" w:hAnsi="Garamond"/>
        </w:rPr>
        <w:t xml:space="preserve">Keck, Margaret and Kathryn </w:t>
      </w:r>
      <w:proofErr w:type="spellStart"/>
      <w:r w:rsidRPr="00D93632">
        <w:rPr>
          <w:rFonts w:ascii="Garamond" w:hAnsi="Garamond"/>
        </w:rPr>
        <w:t>Sikkink</w:t>
      </w:r>
      <w:proofErr w:type="spellEnd"/>
      <w:r w:rsidRPr="00D93632">
        <w:rPr>
          <w:rFonts w:ascii="Garamond" w:hAnsi="Garamond"/>
        </w:rPr>
        <w:t xml:space="preserve">. 1998. </w:t>
      </w:r>
      <w:r w:rsidRPr="00D93632">
        <w:rPr>
          <w:rFonts w:ascii="Garamond" w:hAnsi="Garamond"/>
          <w:i/>
          <w:iCs/>
        </w:rPr>
        <w:t>Activists Beyond Borders: Advocacy Networks in International Politics</w:t>
      </w:r>
      <w:r w:rsidRPr="00D93632">
        <w:rPr>
          <w:rFonts w:ascii="Garamond" w:hAnsi="Garamond"/>
        </w:rPr>
        <w:t>. Ithaca: Cornell University Press.</w:t>
      </w:r>
    </w:p>
    <w:p w14:paraId="0BA1EB56" w14:textId="77777777" w:rsidR="00C369D9" w:rsidRPr="00104AF1" w:rsidRDefault="00C369D9" w:rsidP="00104AF1">
      <w:pPr>
        <w:pStyle w:val="Bibliography"/>
        <w:rPr>
          <w:rFonts w:ascii="Garamond" w:hAnsi="Garamond"/>
        </w:rPr>
      </w:pPr>
      <w:proofErr w:type="spellStart"/>
      <w:r w:rsidRPr="00104AF1">
        <w:rPr>
          <w:rFonts w:ascii="Garamond" w:hAnsi="Garamond"/>
        </w:rPr>
        <w:t>Kapstein</w:t>
      </w:r>
      <w:proofErr w:type="spellEnd"/>
      <w:r w:rsidRPr="00104AF1">
        <w:rPr>
          <w:rFonts w:ascii="Garamond" w:hAnsi="Garamond"/>
        </w:rPr>
        <w:t xml:space="preserve">, Ethan B. </w:t>
      </w:r>
      <w:r w:rsidRPr="00104AF1">
        <w:rPr>
          <w:rFonts w:ascii="Garamond" w:hAnsi="Garamond"/>
          <w:i/>
          <w:iCs/>
        </w:rPr>
        <w:t>Governing the global economy: international finance and the state</w:t>
      </w:r>
      <w:r w:rsidRPr="00104AF1">
        <w:rPr>
          <w:rFonts w:ascii="Garamond" w:hAnsi="Garamond"/>
        </w:rPr>
        <w:t xml:space="preserve">. </w:t>
      </w:r>
      <w:proofErr w:type="gramStart"/>
      <w:r w:rsidRPr="00104AF1">
        <w:rPr>
          <w:rFonts w:ascii="Garamond" w:hAnsi="Garamond"/>
        </w:rPr>
        <w:t>Harvard University Press, 1994.</w:t>
      </w:r>
      <w:proofErr w:type="gramEnd"/>
    </w:p>
    <w:p w14:paraId="5DCE0993" w14:textId="77777777" w:rsidR="00C369D9" w:rsidRPr="001F48F1" w:rsidRDefault="00C369D9" w:rsidP="00104AF1">
      <w:pPr>
        <w:pStyle w:val="Bibliography"/>
        <w:rPr>
          <w:rFonts w:ascii="Garamond" w:hAnsi="Garamond"/>
        </w:rPr>
      </w:pPr>
      <w:proofErr w:type="spellStart"/>
      <w:proofErr w:type="gramStart"/>
      <w:r w:rsidRPr="00104AF1">
        <w:rPr>
          <w:rFonts w:ascii="Garamond" w:hAnsi="Garamond"/>
        </w:rPr>
        <w:t>Kerner</w:t>
      </w:r>
      <w:proofErr w:type="spellEnd"/>
      <w:r w:rsidRPr="00104AF1">
        <w:rPr>
          <w:rFonts w:ascii="Garamond" w:hAnsi="Garamond"/>
        </w:rPr>
        <w:t xml:space="preserve">, Andrew, and Jeffrey </w:t>
      </w:r>
      <w:proofErr w:type="spellStart"/>
      <w:r w:rsidRPr="00104AF1">
        <w:rPr>
          <w:rFonts w:ascii="Garamond" w:hAnsi="Garamond"/>
        </w:rPr>
        <w:t>Kucik</w:t>
      </w:r>
      <w:proofErr w:type="spellEnd"/>
      <w:r w:rsidRPr="00104AF1">
        <w:rPr>
          <w:rFonts w:ascii="Garamond" w:hAnsi="Garamond"/>
        </w:rPr>
        <w:t>.</w:t>
      </w:r>
      <w:proofErr w:type="gramEnd"/>
      <w:r w:rsidRPr="00104AF1">
        <w:rPr>
          <w:rFonts w:ascii="Garamond" w:hAnsi="Garamond"/>
        </w:rPr>
        <w:t xml:space="preserve"> “The International and</w:t>
      </w:r>
      <w:r w:rsidRPr="004769FE">
        <w:rPr>
          <w:rFonts w:ascii="Garamond" w:hAnsi="Garamond"/>
        </w:rPr>
        <w:t xml:space="preserve"> Domestic Determinants of Insider Trading Laws.” </w:t>
      </w:r>
      <w:r w:rsidRPr="001F48F1">
        <w:rPr>
          <w:rFonts w:ascii="Garamond" w:hAnsi="Garamond"/>
          <w:i/>
          <w:iCs/>
        </w:rPr>
        <w:t>International Studies Quarterly</w:t>
      </w:r>
      <w:r w:rsidRPr="001F48F1">
        <w:rPr>
          <w:rFonts w:ascii="Garamond" w:hAnsi="Garamond"/>
        </w:rPr>
        <w:t xml:space="preserve"> 54, no. 3 (September 1, 2010): 657-682.</w:t>
      </w:r>
    </w:p>
    <w:p w14:paraId="4452233F" w14:textId="77777777" w:rsidR="005A3218" w:rsidRPr="00104AF1" w:rsidRDefault="005A3218" w:rsidP="004769FE">
      <w:pPr>
        <w:rPr>
          <w:rFonts w:ascii="Garamond" w:hAnsi="Garamond"/>
        </w:rPr>
      </w:pPr>
      <w:proofErr w:type="spellStart"/>
      <w:r w:rsidRPr="00104AF1">
        <w:rPr>
          <w:rFonts w:ascii="Garamond" w:hAnsi="Garamond"/>
        </w:rPr>
        <w:t>Kurzer</w:t>
      </w:r>
      <w:proofErr w:type="spellEnd"/>
      <w:r w:rsidRPr="00104AF1">
        <w:rPr>
          <w:rFonts w:ascii="Garamond" w:hAnsi="Garamond"/>
        </w:rPr>
        <w:t xml:space="preserve">, P. </w:t>
      </w:r>
      <w:r w:rsidRPr="00104AF1">
        <w:rPr>
          <w:rFonts w:ascii="Garamond" w:hAnsi="Garamond"/>
          <w:i/>
        </w:rPr>
        <w:t>Business and Banking: Political Change and Economic Integration in Western Europe</w:t>
      </w:r>
      <w:r w:rsidRPr="00104AF1">
        <w:rPr>
          <w:rFonts w:ascii="Garamond" w:hAnsi="Garamond"/>
        </w:rPr>
        <w:t xml:space="preserve">. </w:t>
      </w:r>
      <w:r w:rsidRPr="00104AF1">
        <w:rPr>
          <w:rFonts w:ascii="Garamond" w:hAnsi="Garamond"/>
        </w:rPr>
        <w:tab/>
        <w:t>Ithaca: Cornell University Press. 1993.</w:t>
      </w:r>
    </w:p>
    <w:p w14:paraId="1E1EEF5F" w14:textId="77777777" w:rsidR="00C369D9" w:rsidRPr="00104AF1" w:rsidRDefault="00C369D9" w:rsidP="001F48F1">
      <w:pPr>
        <w:pStyle w:val="Bibliography"/>
        <w:rPr>
          <w:rFonts w:ascii="Garamond" w:hAnsi="Garamond"/>
        </w:rPr>
      </w:pPr>
      <w:proofErr w:type="spellStart"/>
      <w:r w:rsidRPr="00104AF1">
        <w:rPr>
          <w:rFonts w:ascii="Garamond" w:hAnsi="Garamond"/>
        </w:rPr>
        <w:t>Lall</w:t>
      </w:r>
      <w:proofErr w:type="spellEnd"/>
      <w:r w:rsidRPr="00104AF1">
        <w:rPr>
          <w:rFonts w:ascii="Garamond" w:hAnsi="Garamond"/>
        </w:rPr>
        <w:t xml:space="preserve">, </w:t>
      </w:r>
      <w:proofErr w:type="spellStart"/>
      <w:r w:rsidRPr="00104AF1">
        <w:rPr>
          <w:rFonts w:ascii="Garamond" w:hAnsi="Garamond"/>
        </w:rPr>
        <w:t>Ranjit</w:t>
      </w:r>
      <w:proofErr w:type="spellEnd"/>
      <w:r w:rsidRPr="00104AF1">
        <w:rPr>
          <w:rFonts w:ascii="Garamond" w:hAnsi="Garamond"/>
        </w:rPr>
        <w:t xml:space="preserve">. “From failure to failure: The politics of international banking regulation.” </w:t>
      </w:r>
      <w:r w:rsidRPr="00104AF1">
        <w:rPr>
          <w:rFonts w:ascii="Garamond" w:hAnsi="Garamond"/>
          <w:i/>
          <w:iCs/>
        </w:rPr>
        <w:t>Review of International Political Economy</w:t>
      </w:r>
      <w:r w:rsidRPr="00104AF1">
        <w:rPr>
          <w:rFonts w:ascii="Garamond" w:hAnsi="Garamond"/>
        </w:rPr>
        <w:t xml:space="preserve"> </w:t>
      </w:r>
      <w:r w:rsidR="003617DE" w:rsidRPr="00104AF1">
        <w:rPr>
          <w:rFonts w:ascii="Garamond" w:hAnsi="Garamond"/>
        </w:rPr>
        <w:t>19, no. 4 (2012)</w:t>
      </w:r>
      <w:r w:rsidRPr="00104AF1">
        <w:rPr>
          <w:rFonts w:ascii="Garamond" w:hAnsi="Garamond"/>
        </w:rPr>
        <w:t xml:space="preserve">: </w:t>
      </w:r>
      <w:r w:rsidR="003617DE" w:rsidRPr="00104AF1">
        <w:rPr>
          <w:rFonts w:ascii="Garamond" w:hAnsi="Garamond"/>
        </w:rPr>
        <w:t>609-38</w:t>
      </w:r>
      <w:r w:rsidRPr="00104AF1">
        <w:rPr>
          <w:rFonts w:ascii="Garamond" w:hAnsi="Garamond"/>
        </w:rPr>
        <w:t>.</w:t>
      </w:r>
    </w:p>
    <w:p w14:paraId="23D1CDEE" w14:textId="77777777" w:rsidR="005A3218" w:rsidRPr="00104AF1" w:rsidRDefault="005A3218">
      <w:pPr>
        <w:rPr>
          <w:rFonts w:ascii="Garamond" w:hAnsi="Garamond"/>
        </w:rPr>
      </w:pPr>
      <w:r w:rsidRPr="00104AF1">
        <w:rPr>
          <w:rFonts w:ascii="Garamond" w:hAnsi="Garamond"/>
        </w:rPr>
        <w:t xml:space="preserve">Laurence, H. </w:t>
      </w:r>
      <w:r w:rsidRPr="00104AF1">
        <w:rPr>
          <w:rFonts w:ascii="Garamond" w:hAnsi="Garamond"/>
          <w:i/>
        </w:rPr>
        <w:t>Money Rules: The New Politics of Finance in Britain and Japan</w:t>
      </w:r>
      <w:r w:rsidRPr="00104AF1">
        <w:rPr>
          <w:rFonts w:ascii="Garamond" w:hAnsi="Garamond"/>
        </w:rPr>
        <w:t xml:space="preserve">. Ithaca: Cornell </w:t>
      </w:r>
      <w:r w:rsidRPr="00104AF1">
        <w:rPr>
          <w:rFonts w:ascii="Garamond" w:hAnsi="Garamond"/>
        </w:rPr>
        <w:tab/>
        <w:t>University Press. 2001.</w:t>
      </w:r>
    </w:p>
    <w:p w14:paraId="42D5E2B3" w14:textId="77777777" w:rsidR="0085410D" w:rsidRPr="00104AF1" w:rsidRDefault="0085410D">
      <w:pPr>
        <w:pStyle w:val="Bibliography"/>
        <w:rPr>
          <w:rFonts w:ascii="Garamond" w:hAnsi="Garamond"/>
        </w:rPr>
      </w:pPr>
      <w:proofErr w:type="spellStart"/>
      <w:r w:rsidRPr="00104AF1">
        <w:rPr>
          <w:rFonts w:ascii="Garamond" w:hAnsi="Garamond"/>
        </w:rPr>
        <w:t>Lannoo</w:t>
      </w:r>
      <w:proofErr w:type="spellEnd"/>
      <w:r w:rsidRPr="00104AF1">
        <w:rPr>
          <w:rFonts w:ascii="Garamond" w:hAnsi="Garamond"/>
        </w:rPr>
        <w:t xml:space="preserve">, </w:t>
      </w:r>
      <w:proofErr w:type="spellStart"/>
      <w:r w:rsidRPr="00104AF1">
        <w:rPr>
          <w:rFonts w:ascii="Garamond" w:hAnsi="Garamond"/>
        </w:rPr>
        <w:t>Karel</w:t>
      </w:r>
      <w:proofErr w:type="spellEnd"/>
      <w:r w:rsidRPr="00104AF1">
        <w:rPr>
          <w:rFonts w:ascii="Garamond" w:hAnsi="Garamond"/>
        </w:rPr>
        <w:t xml:space="preserve">. “The EU’s Response to the Financial Crisis: A Mid-Term Review.” CEPS Policy Brief, no. 241, April 2011. </w:t>
      </w:r>
    </w:p>
    <w:p w14:paraId="2266D28F" w14:textId="77777777" w:rsidR="00C369D9" w:rsidRDefault="00C369D9">
      <w:pPr>
        <w:pStyle w:val="Bibliography"/>
        <w:rPr>
          <w:rFonts w:ascii="Garamond" w:hAnsi="Garamond"/>
        </w:rPr>
      </w:pPr>
      <w:r w:rsidRPr="00104AF1">
        <w:rPr>
          <w:rFonts w:ascii="Garamond" w:hAnsi="Garamond"/>
        </w:rPr>
        <w:t>Lavelle, Kathryn</w:t>
      </w:r>
      <w:r w:rsidR="00644526" w:rsidRPr="00104AF1">
        <w:rPr>
          <w:rFonts w:ascii="Garamond" w:hAnsi="Garamond"/>
        </w:rPr>
        <w:t xml:space="preserve"> C</w:t>
      </w:r>
      <w:r w:rsidRPr="00104AF1">
        <w:rPr>
          <w:rFonts w:ascii="Garamond" w:hAnsi="Garamond"/>
        </w:rPr>
        <w:t>.</w:t>
      </w:r>
      <w:r w:rsidR="00644526" w:rsidRPr="00104AF1">
        <w:rPr>
          <w:rFonts w:ascii="Garamond" w:hAnsi="Garamond"/>
        </w:rPr>
        <w:t xml:space="preserve">  </w:t>
      </w:r>
      <w:r w:rsidR="00644526" w:rsidRPr="00104AF1">
        <w:rPr>
          <w:rFonts w:ascii="Garamond" w:hAnsi="Garamond"/>
          <w:i/>
        </w:rPr>
        <w:t>Money and Banks in the American Political System</w:t>
      </w:r>
      <w:r w:rsidR="00644526" w:rsidRPr="00104AF1">
        <w:rPr>
          <w:rFonts w:ascii="Garamond" w:hAnsi="Garamond"/>
        </w:rPr>
        <w:t xml:space="preserve"> (Cambridge, UK: Cambridge University Press, 2013).</w:t>
      </w:r>
      <w:r w:rsidRPr="00104AF1">
        <w:rPr>
          <w:rFonts w:ascii="Garamond" w:hAnsi="Garamond"/>
        </w:rPr>
        <w:t xml:space="preserve"> </w:t>
      </w:r>
    </w:p>
    <w:p w14:paraId="5DA87025" w14:textId="77777777" w:rsidR="001B601B" w:rsidRPr="00D93632" w:rsidRDefault="001B601B" w:rsidP="00A3154C">
      <w:pPr>
        <w:pStyle w:val="Bibliography"/>
        <w:rPr>
          <w:rFonts w:ascii="Garamond" w:hAnsi="Garamond"/>
        </w:rPr>
      </w:pPr>
      <w:r w:rsidRPr="00D93632">
        <w:rPr>
          <w:rFonts w:ascii="Garamond" w:hAnsi="Garamond"/>
        </w:rPr>
        <w:t xml:space="preserve">Levitt, Arthur. “The World According to GAAP,” </w:t>
      </w:r>
      <w:r w:rsidRPr="00D93632">
        <w:rPr>
          <w:rFonts w:ascii="Garamond" w:hAnsi="Garamond"/>
          <w:i/>
        </w:rPr>
        <w:t>Financial Times</w:t>
      </w:r>
      <w:r w:rsidRPr="00D93632">
        <w:rPr>
          <w:rFonts w:ascii="Garamond" w:hAnsi="Garamond"/>
        </w:rPr>
        <w:t>, May 2</w:t>
      </w:r>
      <w:proofErr w:type="gramStart"/>
      <w:r w:rsidRPr="00D93632">
        <w:rPr>
          <w:rFonts w:ascii="Garamond" w:hAnsi="Garamond"/>
        </w:rPr>
        <w:t>,  2001</w:t>
      </w:r>
      <w:proofErr w:type="gramEnd"/>
      <w:r w:rsidRPr="00D93632">
        <w:rPr>
          <w:rFonts w:ascii="Garamond" w:hAnsi="Garamond"/>
        </w:rPr>
        <w:t>, 21.</w:t>
      </w:r>
    </w:p>
    <w:p w14:paraId="21E31E20" w14:textId="77777777" w:rsidR="00420744" w:rsidRPr="00104AF1" w:rsidRDefault="00F11502">
      <w:pPr>
        <w:rPr>
          <w:rFonts w:ascii="Garamond" w:hAnsi="Garamond"/>
        </w:rPr>
      </w:pPr>
      <w:r w:rsidRPr="00104AF1">
        <w:rPr>
          <w:rFonts w:ascii="Garamond" w:hAnsi="Garamond"/>
        </w:rPr>
        <w:t xml:space="preserve">Levy, J. Tocqueville’s Revenge:  </w:t>
      </w:r>
      <w:r w:rsidRPr="00104AF1">
        <w:rPr>
          <w:rFonts w:ascii="Garamond" w:hAnsi="Garamond"/>
          <w:i/>
        </w:rPr>
        <w:t>State, Society and the Economy in Contemporary France</w:t>
      </w:r>
      <w:r w:rsidRPr="00104AF1">
        <w:rPr>
          <w:rFonts w:ascii="Garamond" w:hAnsi="Garamond"/>
        </w:rPr>
        <w:t xml:space="preserve">. </w:t>
      </w:r>
      <w:r w:rsidR="00D7689B" w:rsidRPr="00104AF1">
        <w:rPr>
          <w:rFonts w:ascii="Garamond" w:hAnsi="Garamond"/>
        </w:rPr>
        <w:tab/>
      </w:r>
      <w:r w:rsidRPr="00104AF1">
        <w:rPr>
          <w:rFonts w:ascii="Garamond" w:hAnsi="Garamond"/>
        </w:rPr>
        <w:t>Cambridge: Harvard University Press. 2009.</w:t>
      </w:r>
    </w:p>
    <w:p w14:paraId="21076D92" w14:textId="77777777" w:rsidR="004769FE" w:rsidRDefault="00EA4AE9">
      <w:pPr>
        <w:rPr>
          <w:rFonts w:ascii="Garamond" w:hAnsi="Garamond"/>
          <w:i/>
        </w:rPr>
      </w:pPr>
      <w:r w:rsidRPr="00104AF1">
        <w:rPr>
          <w:rFonts w:ascii="Garamond" w:hAnsi="Garamond"/>
        </w:rPr>
        <w:t xml:space="preserve">Lo, Andrew. “Reading About the Financial Crisis: Twenty-One-Book Review,” </w:t>
      </w:r>
      <w:r w:rsidR="009F14C8" w:rsidRPr="00D93632">
        <w:rPr>
          <w:rFonts w:ascii="Garamond" w:hAnsi="Garamond"/>
          <w:i/>
        </w:rPr>
        <w:t xml:space="preserve">Journal of </w:t>
      </w:r>
    </w:p>
    <w:p w14:paraId="35033981" w14:textId="77777777" w:rsidR="00187E85" w:rsidRDefault="009F14C8" w:rsidP="00D93632">
      <w:pPr>
        <w:ind w:firstLine="720"/>
        <w:rPr>
          <w:rFonts w:ascii="Garamond" w:hAnsi="Garamond"/>
        </w:rPr>
      </w:pPr>
      <w:r w:rsidRPr="00D93632">
        <w:rPr>
          <w:rFonts w:ascii="Garamond" w:hAnsi="Garamond"/>
          <w:i/>
        </w:rPr>
        <w:t xml:space="preserve">Economic Literature </w:t>
      </w:r>
      <w:r w:rsidR="00EA4AE9" w:rsidRPr="00104AF1">
        <w:rPr>
          <w:rFonts w:ascii="Garamond" w:hAnsi="Garamond"/>
        </w:rPr>
        <w:t>50, no. 1 (2012): 151-78.</w:t>
      </w:r>
    </w:p>
    <w:p w14:paraId="57C1DDEF" w14:textId="77777777" w:rsidR="00C369D9" w:rsidRPr="001F48F1" w:rsidRDefault="00C369D9" w:rsidP="004769FE">
      <w:pPr>
        <w:pStyle w:val="Bibliography"/>
        <w:rPr>
          <w:rFonts w:ascii="Garamond" w:hAnsi="Garamond"/>
        </w:rPr>
      </w:pPr>
      <w:r w:rsidRPr="004769FE">
        <w:rPr>
          <w:rFonts w:ascii="Garamond" w:hAnsi="Garamond"/>
        </w:rPr>
        <w:t xml:space="preserve">Lutz, S. “The Revival of the Nation-State? Stock Exchange Regulation in an Eve of Globalized Financial Markets.” </w:t>
      </w:r>
      <w:r w:rsidRPr="001F48F1">
        <w:rPr>
          <w:rFonts w:ascii="Garamond" w:hAnsi="Garamond"/>
          <w:i/>
          <w:iCs/>
        </w:rPr>
        <w:t>Journal of European Public Policy</w:t>
      </w:r>
      <w:r w:rsidRPr="001F48F1">
        <w:rPr>
          <w:rFonts w:ascii="Garamond" w:hAnsi="Garamond"/>
        </w:rPr>
        <w:t xml:space="preserve"> 5, no. 1 (1998): 153-168.</w:t>
      </w:r>
    </w:p>
    <w:p w14:paraId="436BEC05" w14:textId="77777777" w:rsidR="00187E85" w:rsidRDefault="009F14C8" w:rsidP="00D93632">
      <w:pPr>
        <w:rPr>
          <w:rFonts w:ascii="Garamond" w:hAnsi="Garamond"/>
          <w:i/>
        </w:rPr>
      </w:pPr>
      <w:r w:rsidRPr="00D93632">
        <w:rPr>
          <w:rFonts w:ascii="Garamond" w:hAnsi="Garamond"/>
        </w:rPr>
        <w:t xml:space="preserve">Mahoney, James. “Qualitative Methodology and Comparative Politics,” </w:t>
      </w:r>
      <w:r w:rsidRPr="00D93632">
        <w:rPr>
          <w:rFonts w:ascii="Garamond" w:hAnsi="Garamond"/>
          <w:i/>
        </w:rPr>
        <w:t xml:space="preserve">Comparative Political </w:t>
      </w:r>
    </w:p>
    <w:p w14:paraId="1E4A5FA0" w14:textId="77777777" w:rsidR="00187E85" w:rsidRDefault="009F14C8" w:rsidP="00D93632">
      <w:pPr>
        <w:ind w:firstLine="720"/>
        <w:rPr>
          <w:rFonts w:ascii="Garamond" w:hAnsi="Garamond"/>
        </w:rPr>
      </w:pPr>
      <w:r w:rsidRPr="00D93632">
        <w:rPr>
          <w:rFonts w:ascii="Garamond" w:hAnsi="Garamond"/>
          <w:i/>
        </w:rPr>
        <w:t xml:space="preserve">Studies </w:t>
      </w:r>
      <w:r w:rsidRPr="00D93632">
        <w:rPr>
          <w:rFonts w:ascii="Garamond" w:hAnsi="Garamond"/>
        </w:rPr>
        <w:t>40, no. 2 (2007): 122-144.</w:t>
      </w:r>
    </w:p>
    <w:p w14:paraId="26432E81" w14:textId="77777777" w:rsidR="004E7EE8" w:rsidRPr="004769FE" w:rsidRDefault="00B66945" w:rsidP="004769FE">
      <w:pPr>
        <w:rPr>
          <w:rFonts w:ascii="Garamond" w:hAnsi="Garamond"/>
        </w:rPr>
      </w:pPr>
      <w:r w:rsidRPr="00104AF1">
        <w:rPr>
          <w:rFonts w:ascii="Garamond" w:hAnsi="Garamond"/>
        </w:rPr>
        <w:t xml:space="preserve">Mahoney, James and Dietrich </w:t>
      </w:r>
      <w:proofErr w:type="spellStart"/>
      <w:r w:rsidRPr="00104AF1">
        <w:rPr>
          <w:rFonts w:ascii="Garamond" w:hAnsi="Garamond"/>
        </w:rPr>
        <w:t>Reuschemeyer</w:t>
      </w:r>
      <w:proofErr w:type="spellEnd"/>
      <w:r w:rsidRPr="00104AF1">
        <w:rPr>
          <w:rFonts w:ascii="Garamond" w:hAnsi="Garamond"/>
        </w:rPr>
        <w:t xml:space="preserve">. </w:t>
      </w:r>
      <w:proofErr w:type="gramStart"/>
      <w:r w:rsidRPr="00104AF1">
        <w:rPr>
          <w:rFonts w:ascii="Garamond" w:hAnsi="Garamond"/>
          <w:i/>
        </w:rPr>
        <w:t>Comparative Historical Analysis in the Social Sciences</w:t>
      </w:r>
      <w:r w:rsidRPr="004769FE">
        <w:rPr>
          <w:rFonts w:ascii="Garamond" w:hAnsi="Garamond"/>
        </w:rPr>
        <w:t>.</w:t>
      </w:r>
      <w:proofErr w:type="gramEnd"/>
      <w:r w:rsidRPr="004769FE">
        <w:rPr>
          <w:rFonts w:ascii="Garamond" w:hAnsi="Garamond"/>
        </w:rPr>
        <w:t xml:space="preserve"> </w:t>
      </w:r>
    </w:p>
    <w:p w14:paraId="7A5BD93C" w14:textId="77777777" w:rsidR="00B66945" w:rsidRDefault="00B66945" w:rsidP="001F48F1">
      <w:pPr>
        <w:ind w:firstLine="720"/>
        <w:rPr>
          <w:rFonts w:ascii="Garamond" w:hAnsi="Garamond"/>
        </w:rPr>
      </w:pPr>
      <w:proofErr w:type="gramStart"/>
      <w:r w:rsidRPr="001F48F1">
        <w:rPr>
          <w:rFonts w:ascii="Garamond" w:hAnsi="Garamond"/>
        </w:rPr>
        <w:t>Cambridge University Press.</w:t>
      </w:r>
      <w:proofErr w:type="gramEnd"/>
      <w:r w:rsidRPr="001F48F1">
        <w:rPr>
          <w:rFonts w:ascii="Garamond" w:hAnsi="Garamond"/>
        </w:rPr>
        <w:t xml:space="preserve"> 2003.</w:t>
      </w:r>
    </w:p>
    <w:p w14:paraId="30A9D2DA" w14:textId="77777777" w:rsidR="00BF168D" w:rsidRPr="00D93632" w:rsidRDefault="00BF168D" w:rsidP="00D93632">
      <w:pPr>
        <w:pStyle w:val="Bibliography"/>
        <w:rPr>
          <w:rFonts w:ascii="Garamond" w:hAnsi="Garamond"/>
        </w:rPr>
      </w:pPr>
      <w:proofErr w:type="gramStart"/>
      <w:r w:rsidRPr="00D93632">
        <w:rPr>
          <w:rFonts w:ascii="Garamond" w:hAnsi="Garamond"/>
        </w:rPr>
        <w:t>Martinez-Diaz, Leonardo.</w:t>
      </w:r>
      <w:proofErr w:type="gramEnd"/>
      <w:r w:rsidRPr="00D93632">
        <w:rPr>
          <w:rFonts w:ascii="Garamond" w:hAnsi="Garamond"/>
        </w:rPr>
        <w:t xml:space="preserve"> “Strategic Experts and Improvising Regulators: Explaining the IASC’s Rise to Global Influence, 1973-2001,” Business and Politics 7, no. 3</w:t>
      </w:r>
      <w:r w:rsidR="00FC77A6">
        <w:rPr>
          <w:rFonts w:ascii="Garamond" w:hAnsi="Garamond"/>
        </w:rPr>
        <w:t xml:space="preserve"> </w:t>
      </w:r>
      <w:r w:rsidRPr="00D93632">
        <w:rPr>
          <w:rFonts w:ascii="Garamond" w:hAnsi="Garamond"/>
        </w:rPr>
        <w:t>(2005).</w:t>
      </w:r>
    </w:p>
    <w:p w14:paraId="7E0AB901" w14:textId="77777777" w:rsidR="00187E85" w:rsidRDefault="00E86D15" w:rsidP="00D93632">
      <w:pPr>
        <w:rPr>
          <w:rFonts w:ascii="Garamond" w:hAnsi="Garamond"/>
          <w:i/>
        </w:rPr>
      </w:pPr>
      <w:proofErr w:type="spellStart"/>
      <w:r w:rsidRPr="001F48F1">
        <w:rPr>
          <w:rFonts w:ascii="Garamond" w:hAnsi="Garamond"/>
        </w:rPr>
        <w:t>McKeen</w:t>
      </w:r>
      <w:proofErr w:type="spellEnd"/>
      <w:r w:rsidRPr="001F48F1">
        <w:rPr>
          <w:rFonts w:ascii="Garamond" w:hAnsi="Garamond"/>
        </w:rPr>
        <w:t xml:space="preserve">, Heather and Tony Porter. </w:t>
      </w:r>
      <w:r w:rsidR="009F14C8" w:rsidRPr="00D93632">
        <w:rPr>
          <w:rFonts w:ascii="Garamond" w:hAnsi="Garamond"/>
          <w:i/>
        </w:rPr>
        <w:t xml:space="preserve">Transnational Financial Associations and the Governance of </w:t>
      </w:r>
    </w:p>
    <w:p w14:paraId="7C6843F6" w14:textId="77777777" w:rsidR="006E316E" w:rsidRDefault="009F14C8" w:rsidP="004769FE">
      <w:pPr>
        <w:ind w:firstLine="720"/>
        <w:rPr>
          <w:rFonts w:ascii="Garamond" w:hAnsi="Garamond"/>
        </w:rPr>
      </w:pPr>
      <w:r w:rsidRPr="00D93632">
        <w:rPr>
          <w:rFonts w:ascii="Garamond" w:hAnsi="Garamond"/>
          <w:i/>
        </w:rPr>
        <w:t>Global Finance: Assembling Wealth and Power.</w:t>
      </w:r>
      <w:r w:rsidR="00E86D15" w:rsidRPr="00104AF1">
        <w:rPr>
          <w:rFonts w:ascii="Garamond" w:hAnsi="Garamond"/>
        </w:rPr>
        <w:t xml:space="preserve"> New York: </w:t>
      </w:r>
      <w:proofErr w:type="spellStart"/>
      <w:r w:rsidR="00E86D15" w:rsidRPr="00104AF1">
        <w:rPr>
          <w:rFonts w:ascii="Garamond" w:hAnsi="Garamond"/>
        </w:rPr>
        <w:t>Routledge</w:t>
      </w:r>
      <w:proofErr w:type="spellEnd"/>
      <w:r w:rsidR="00E86D15" w:rsidRPr="00104AF1">
        <w:rPr>
          <w:rFonts w:ascii="Garamond" w:hAnsi="Garamond"/>
        </w:rPr>
        <w:t>. 2013.</w:t>
      </w:r>
    </w:p>
    <w:p w14:paraId="47042416" w14:textId="77777777" w:rsidR="00BE7501" w:rsidRDefault="00333D50">
      <w:pPr>
        <w:rPr>
          <w:rFonts w:ascii="Garamond" w:hAnsi="Garamond"/>
          <w:i/>
        </w:rPr>
      </w:pPr>
      <w:r>
        <w:rPr>
          <w:rFonts w:ascii="Garamond" w:hAnsi="Garamond"/>
        </w:rPr>
        <w:t xml:space="preserve">McNamara, Kathleen. “Of Intellectual Monocultures and the Study of IPE,” </w:t>
      </w:r>
      <w:r w:rsidR="006318A7" w:rsidRPr="006318A7">
        <w:rPr>
          <w:rFonts w:ascii="Garamond" w:hAnsi="Garamond"/>
          <w:i/>
        </w:rPr>
        <w:t xml:space="preserve">Review of </w:t>
      </w:r>
    </w:p>
    <w:p w14:paraId="04E9333E" w14:textId="77777777" w:rsidR="00333D50" w:rsidRPr="00104AF1" w:rsidRDefault="006318A7" w:rsidP="00333D50">
      <w:pPr>
        <w:ind w:firstLine="720"/>
        <w:rPr>
          <w:rFonts w:ascii="Garamond" w:hAnsi="Garamond"/>
        </w:rPr>
      </w:pPr>
      <w:r w:rsidRPr="006318A7">
        <w:rPr>
          <w:rFonts w:ascii="Garamond" w:hAnsi="Garamond"/>
          <w:i/>
        </w:rPr>
        <w:t>International Political Economy</w:t>
      </w:r>
      <w:r w:rsidR="00333D50">
        <w:rPr>
          <w:rFonts w:ascii="Garamond" w:hAnsi="Garamond"/>
        </w:rPr>
        <w:t xml:space="preserve"> 16, no. 1: 72-84.</w:t>
      </w:r>
    </w:p>
    <w:p w14:paraId="015F7D70" w14:textId="77777777" w:rsidR="00A94EDD" w:rsidRPr="004769FE" w:rsidRDefault="006C7A46" w:rsidP="00104AF1">
      <w:pPr>
        <w:rPr>
          <w:rFonts w:ascii="Garamond" w:hAnsi="Garamond"/>
          <w:i/>
        </w:rPr>
      </w:pPr>
      <w:proofErr w:type="spellStart"/>
      <w:r w:rsidRPr="00104AF1">
        <w:rPr>
          <w:rFonts w:ascii="Garamond" w:hAnsi="Garamond"/>
        </w:rPr>
        <w:t>Moschella</w:t>
      </w:r>
      <w:proofErr w:type="spellEnd"/>
      <w:r w:rsidRPr="00104AF1">
        <w:rPr>
          <w:rFonts w:ascii="Garamond" w:hAnsi="Garamond"/>
        </w:rPr>
        <w:t xml:space="preserve">, Manuela and </w:t>
      </w:r>
      <w:proofErr w:type="spellStart"/>
      <w:r w:rsidRPr="00104AF1">
        <w:rPr>
          <w:rFonts w:ascii="Garamond" w:hAnsi="Garamond"/>
        </w:rPr>
        <w:t>Eleni</w:t>
      </w:r>
      <w:proofErr w:type="spellEnd"/>
      <w:r w:rsidRPr="00104AF1">
        <w:rPr>
          <w:rFonts w:ascii="Garamond" w:hAnsi="Garamond"/>
        </w:rPr>
        <w:t xml:space="preserve"> </w:t>
      </w:r>
      <w:proofErr w:type="spellStart"/>
      <w:r w:rsidRPr="00104AF1">
        <w:rPr>
          <w:rFonts w:ascii="Garamond" w:hAnsi="Garamond"/>
        </w:rPr>
        <w:t>Tsingou</w:t>
      </w:r>
      <w:proofErr w:type="spellEnd"/>
      <w:r w:rsidRPr="00104AF1">
        <w:rPr>
          <w:rFonts w:ascii="Garamond" w:hAnsi="Garamond"/>
        </w:rPr>
        <w:t xml:space="preserve">. </w:t>
      </w:r>
      <w:r w:rsidRPr="00104AF1">
        <w:rPr>
          <w:rFonts w:ascii="Garamond" w:hAnsi="Garamond"/>
          <w:i/>
        </w:rPr>
        <w:t xml:space="preserve">Great Expectations, Slow Transformations: Incremental </w:t>
      </w:r>
    </w:p>
    <w:p w14:paraId="475BCFBC" w14:textId="77777777" w:rsidR="006C7A46" w:rsidRPr="004769FE" w:rsidRDefault="006C7A46" w:rsidP="004769FE">
      <w:pPr>
        <w:ind w:firstLine="720"/>
        <w:rPr>
          <w:rFonts w:ascii="Garamond" w:hAnsi="Garamond"/>
        </w:rPr>
      </w:pPr>
      <w:proofErr w:type="gramStart"/>
      <w:r w:rsidRPr="004769FE">
        <w:rPr>
          <w:rFonts w:ascii="Garamond" w:hAnsi="Garamond"/>
          <w:i/>
        </w:rPr>
        <w:t>change</w:t>
      </w:r>
      <w:proofErr w:type="gramEnd"/>
      <w:r w:rsidRPr="004769FE">
        <w:rPr>
          <w:rFonts w:ascii="Garamond" w:hAnsi="Garamond"/>
          <w:i/>
        </w:rPr>
        <w:t xml:space="preserve"> in post-crisis regulation</w:t>
      </w:r>
      <w:r w:rsidRPr="004769FE">
        <w:rPr>
          <w:rFonts w:ascii="Garamond" w:hAnsi="Garamond"/>
        </w:rPr>
        <w:t>. Essex: ECPR Press. 2013.</w:t>
      </w:r>
    </w:p>
    <w:p w14:paraId="283D32EB" w14:textId="77777777" w:rsidR="00C369D9" w:rsidRPr="00104AF1" w:rsidRDefault="00C369D9" w:rsidP="001F48F1">
      <w:pPr>
        <w:pStyle w:val="Bibliography"/>
        <w:rPr>
          <w:rFonts w:ascii="Garamond" w:hAnsi="Garamond"/>
        </w:rPr>
      </w:pPr>
      <w:proofErr w:type="spellStart"/>
      <w:r w:rsidRPr="001F48F1">
        <w:rPr>
          <w:rFonts w:ascii="Garamond" w:hAnsi="Garamond"/>
        </w:rPr>
        <w:t>Mügge</w:t>
      </w:r>
      <w:proofErr w:type="spellEnd"/>
      <w:r w:rsidRPr="001F48F1">
        <w:rPr>
          <w:rFonts w:ascii="Garamond" w:hAnsi="Garamond"/>
        </w:rPr>
        <w:t xml:space="preserve">, Daniel. “From Pragmatism to Dogmatism: European Union Governance, Policy Paradigms and Financial Meltdown.” </w:t>
      </w:r>
      <w:r w:rsidRPr="00104AF1">
        <w:rPr>
          <w:rFonts w:ascii="Garamond" w:hAnsi="Garamond"/>
          <w:i/>
          <w:iCs/>
        </w:rPr>
        <w:t>New Political Economy</w:t>
      </w:r>
      <w:r w:rsidRPr="00104AF1">
        <w:rPr>
          <w:rFonts w:ascii="Garamond" w:hAnsi="Garamond"/>
        </w:rPr>
        <w:t xml:space="preserve"> 16 (April 2011</w:t>
      </w:r>
      <w:r w:rsidR="00E14013" w:rsidRPr="00104AF1">
        <w:rPr>
          <w:rFonts w:ascii="Garamond" w:hAnsi="Garamond"/>
        </w:rPr>
        <w:t>a</w:t>
      </w:r>
      <w:r w:rsidRPr="00104AF1">
        <w:rPr>
          <w:rFonts w:ascii="Garamond" w:hAnsi="Garamond"/>
        </w:rPr>
        <w:t>): 185-206.</w:t>
      </w:r>
    </w:p>
    <w:p w14:paraId="4ED73B96" w14:textId="77777777" w:rsidR="00C369D9" w:rsidRPr="00104AF1" w:rsidRDefault="00C369D9">
      <w:pPr>
        <w:pStyle w:val="Bibliography"/>
        <w:rPr>
          <w:rFonts w:ascii="Garamond" w:hAnsi="Garamond"/>
        </w:rPr>
      </w:pPr>
      <w:r w:rsidRPr="00104AF1">
        <w:rPr>
          <w:rFonts w:ascii="Garamond" w:hAnsi="Garamond"/>
        </w:rPr>
        <w:t xml:space="preserve">———. “Limits of legitimacy and the primacy of politics in financial governance.” </w:t>
      </w:r>
      <w:r w:rsidRPr="00104AF1">
        <w:rPr>
          <w:rFonts w:ascii="Garamond" w:hAnsi="Garamond"/>
          <w:i/>
          <w:iCs/>
        </w:rPr>
        <w:t>Review of International Political Economy</w:t>
      </w:r>
      <w:r w:rsidRPr="00104AF1">
        <w:rPr>
          <w:rFonts w:ascii="Garamond" w:hAnsi="Garamond"/>
        </w:rPr>
        <w:t xml:space="preserve"> 18, no. 1 (2011</w:t>
      </w:r>
      <w:r w:rsidR="00E14013" w:rsidRPr="00104AF1">
        <w:rPr>
          <w:rFonts w:ascii="Garamond" w:hAnsi="Garamond"/>
        </w:rPr>
        <w:t>b</w:t>
      </w:r>
      <w:r w:rsidRPr="00104AF1">
        <w:rPr>
          <w:rFonts w:ascii="Garamond" w:hAnsi="Garamond"/>
        </w:rPr>
        <w:t>): 52-74.</w:t>
      </w:r>
    </w:p>
    <w:p w14:paraId="3215B7A5" w14:textId="77777777" w:rsidR="00C369D9" w:rsidRPr="00104AF1" w:rsidRDefault="004500E5">
      <w:pPr>
        <w:pStyle w:val="Bibliography"/>
        <w:rPr>
          <w:rFonts w:ascii="Garamond" w:hAnsi="Garamond"/>
        </w:rPr>
      </w:pPr>
      <w:r w:rsidRPr="00104AF1">
        <w:rPr>
          <w:rFonts w:ascii="Garamond" w:hAnsi="Garamond"/>
        </w:rPr>
        <w:t>______</w:t>
      </w:r>
      <w:r w:rsidR="00C369D9" w:rsidRPr="00104AF1">
        <w:rPr>
          <w:rFonts w:ascii="Garamond" w:hAnsi="Garamond"/>
        </w:rPr>
        <w:t xml:space="preserve"> “The European presence in global financial governance: a principal-agent perspective.” </w:t>
      </w:r>
      <w:r w:rsidR="00C369D9" w:rsidRPr="00104AF1">
        <w:rPr>
          <w:rFonts w:ascii="Garamond" w:hAnsi="Garamond"/>
          <w:i/>
          <w:iCs/>
        </w:rPr>
        <w:t>Journal of European Public Policy</w:t>
      </w:r>
      <w:r w:rsidR="00C369D9" w:rsidRPr="00104AF1">
        <w:rPr>
          <w:rFonts w:ascii="Garamond" w:hAnsi="Garamond"/>
        </w:rPr>
        <w:t xml:space="preserve"> 18, no. 3 (2011</w:t>
      </w:r>
      <w:r w:rsidRPr="00104AF1">
        <w:rPr>
          <w:rFonts w:ascii="Garamond" w:hAnsi="Garamond"/>
        </w:rPr>
        <w:t>c</w:t>
      </w:r>
      <w:r w:rsidR="00C369D9" w:rsidRPr="00104AF1">
        <w:rPr>
          <w:rFonts w:ascii="Garamond" w:hAnsi="Garamond"/>
        </w:rPr>
        <w:t>): 383-402.</w:t>
      </w:r>
    </w:p>
    <w:p w14:paraId="0632F9BB" w14:textId="77777777" w:rsidR="004500E5" w:rsidRPr="00155386" w:rsidRDefault="00C369D9" w:rsidP="00155386">
      <w:pPr>
        <w:pStyle w:val="Bibliography"/>
        <w:rPr>
          <w:rFonts w:ascii="Garamond" w:hAnsi="Garamond"/>
        </w:rPr>
      </w:pPr>
      <w:proofErr w:type="spellStart"/>
      <w:r w:rsidRPr="00104AF1">
        <w:rPr>
          <w:rFonts w:ascii="Garamond" w:hAnsi="Garamond"/>
        </w:rPr>
        <w:t>Mügge</w:t>
      </w:r>
      <w:proofErr w:type="spellEnd"/>
      <w:r w:rsidRPr="00104AF1">
        <w:rPr>
          <w:rFonts w:ascii="Garamond" w:hAnsi="Garamond"/>
        </w:rPr>
        <w:t xml:space="preserve">, Daniel. </w:t>
      </w:r>
      <w:r w:rsidRPr="00104AF1">
        <w:rPr>
          <w:rFonts w:ascii="Garamond" w:hAnsi="Garamond"/>
          <w:i/>
          <w:iCs/>
        </w:rPr>
        <w:t xml:space="preserve">Widen the Market, Narrow the Competition: Banker Interests and the Making of a </w:t>
      </w:r>
      <w:r w:rsidRPr="00155386">
        <w:rPr>
          <w:rFonts w:ascii="Garamond" w:hAnsi="Garamond"/>
          <w:i/>
          <w:iCs/>
        </w:rPr>
        <w:t>European Capital Market</w:t>
      </w:r>
      <w:r w:rsidRPr="00155386">
        <w:rPr>
          <w:rFonts w:ascii="Garamond" w:hAnsi="Garamond"/>
        </w:rPr>
        <w:t xml:space="preserve">. </w:t>
      </w:r>
      <w:proofErr w:type="gramStart"/>
      <w:r w:rsidRPr="00155386">
        <w:rPr>
          <w:rFonts w:ascii="Garamond" w:hAnsi="Garamond"/>
        </w:rPr>
        <w:t>European Consortium for Political Research, 201</w:t>
      </w:r>
      <w:r w:rsidR="00D72FCC" w:rsidRPr="00155386">
        <w:rPr>
          <w:rFonts w:ascii="Garamond" w:hAnsi="Garamond"/>
        </w:rPr>
        <w:t>0</w:t>
      </w:r>
      <w:r w:rsidRPr="00155386">
        <w:rPr>
          <w:rFonts w:ascii="Garamond" w:hAnsi="Garamond"/>
        </w:rPr>
        <w:t>.</w:t>
      </w:r>
      <w:proofErr w:type="gramEnd"/>
    </w:p>
    <w:p w14:paraId="18A3AA28" w14:textId="77777777" w:rsidR="00155386" w:rsidRPr="00155386" w:rsidRDefault="00155386" w:rsidP="00155386">
      <w:pPr>
        <w:rPr>
          <w:rFonts w:ascii="Garamond" w:hAnsi="Garamond"/>
          <w:i/>
        </w:rPr>
      </w:pPr>
      <w:r w:rsidRPr="00155386">
        <w:rPr>
          <w:rFonts w:ascii="Garamond" w:hAnsi="Garamond"/>
        </w:rPr>
        <w:t xml:space="preserve">Newman, Abraham. (2008). </w:t>
      </w:r>
      <w:r w:rsidRPr="00155386">
        <w:rPr>
          <w:rFonts w:ascii="Garamond" w:hAnsi="Garamond"/>
          <w:i/>
        </w:rPr>
        <w:t xml:space="preserve">Protectors of Privacy: regulating personal data in the </w:t>
      </w:r>
    </w:p>
    <w:p w14:paraId="59C3744E" w14:textId="77777777" w:rsidR="00155386" w:rsidRPr="00155386" w:rsidRDefault="00155386" w:rsidP="00155386">
      <w:pPr>
        <w:ind w:firstLine="720"/>
        <w:rPr>
          <w:rFonts w:ascii="Garamond" w:hAnsi="Garamond"/>
        </w:rPr>
      </w:pPr>
      <w:proofErr w:type="gramStart"/>
      <w:r w:rsidRPr="00155386">
        <w:rPr>
          <w:rFonts w:ascii="Garamond" w:hAnsi="Garamond"/>
          <w:i/>
        </w:rPr>
        <w:t>global</w:t>
      </w:r>
      <w:proofErr w:type="gramEnd"/>
      <w:r w:rsidRPr="00155386">
        <w:rPr>
          <w:rFonts w:ascii="Garamond" w:hAnsi="Garamond"/>
          <w:i/>
        </w:rPr>
        <w:t xml:space="preserve"> economy</w:t>
      </w:r>
      <w:r w:rsidRPr="00155386">
        <w:rPr>
          <w:rFonts w:ascii="Garamond" w:hAnsi="Garamond"/>
        </w:rPr>
        <w:t xml:space="preserve">. </w:t>
      </w:r>
      <w:proofErr w:type="gramStart"/>
      <w:r w:rsidRPr="00155386">
        <w:rPr>
          <w:rFonts w:ascii="Garamond" w:hAnsi="Garamond"/>
        </w:rPr>
        <w:t>Cornell University Press.</w:t>
      </w:r>
      <w:proofErr w:type="gramEnd"/>
    </w:p>
    <w:p w14:paraId="6EFDC60C" w14:textId="77777777" w:rsidR="00155386" w:rsidRPr="00155386" w:rsidRDefault="00155386" w:rsidP="00155386">
      <w:pPr>
        <w:rPr>
          <w:rFonts w:ascii="Garamond" w:hAnsi="Garamond"/>
        </w:rPr>
      </w:pPr>
    </w:p>
    <w:p w14:paraId="6CA324AB" w14:textId="77777777" w:rsidR="00C369D9" w:rsidRPr="00104AF1" w:rsidRDefault="00C369D9" w:rsidP="00155386">
      <w:pPr>
        <w:pStyle w:val="Bibliography"/>
        <w:rPr>
          <w:rFonts w:ascii="Garamond" w:hAnsi="Garamond"/>
        </w:rPr>
      </w:pPr>
      <w:proofErr w:type="spellStart"/>
      <w:r w:rsidRPr="00155386">
        <w:rPr>
          <w:rFonts w:ascii="Garamond" w:hAnsi="Garamond"/>
        </w:rPr>
        <w:t>Nölke</w:t>
      </w:r>
      <w:proofErr w:type="spellEnd"/>
      <w:r w:rsidRPr="00155386">
        <w:rPr>
          <w:rFonts w:ascii="Garamond" w:hAnsi="Garamond"/>
        </w:rPr>
        <w:t>, Andreas, and James Perry. “The Power of</w:t>
      </w:r>
      <w:r w:rsidRPr="00104AF1">
        <w:rPr>
          <w:rFonts w:ascii="Garamond" w:hAnsi="Garamond"/>
        </w:rPr>
        <w:t xml:space="preserve"> Transnational Private Governance: </w:t>
      </w:r>
      <w:proofErr w:type="spellStart"/>
      <w:r w:rsidRPr="00104AF1">
        <w:rPr>
          <w:rFonts w:ascii="Garamond" w:hAnsi="Garamond"/>
        </w:rPr>
        <w:t>Financialization</w:t>
      </w:r>
      <w:proofErr w:type="spellEnd"/>
      <w:r w:rsidRPr="00104AF1">
        <w:rPr>
          <w:rFonts w:ascii="Garamond" w:hAnsi="Garamond"/>
        </w:rPr>
        <w:t xml:space="preserve"> and the IASB.” </w:t>
      </w:r>
      <w:proofErr w:type="gramStart"/>
      <w:r w:rsidRPr="00104AF1">
        <w:rPr>
          <w:rFonts w:ascii="Garamond" w:hAnsi="Garamond"/>
          <w:i/>
          <w:iCs/>
        </w:rPr>
        <w:t>Business and Politics</w:t>
      </w:r>
      <w:r w:rsidRPr="00104AF1">
        <w:rPr>
          <w:rFonts w:ascii="Garamond" w:hAnsi="Garamond"/>
        </w:rPr>
        <w:t xml:space="preserve"> 9, no. 3 (2008).</w:t>
      </w:r>
      <w:proofErr w:type="gramEnd"/>
      <w:r w:rsidRPr="00104AF1">
        <w:rPr>
          <w:rFonts w:ascii="Garamond" w:hAnsi="Garamond"/>
        </w:rPr>
        <w:t xml:space="preserve"> </w:t>
      </w:r>
      <w:hyperlink r:id="rId9" w:history="1">
        <w:r w:rsidR="00080B38" w:rsidRPr="00104AF1">
          <w:rPr>
            <w:rStyle w:val="Hyperlink"/>
            <w:rFonts w:ascii="Garamond" w:hAnsi="Garamond"/>
          </w:rPr>
          <w:t>http://www.bepress.com/bap/vol9/iss3/art4</w:t>
        </w:r>
      </w:hyperlink>
      <w:r w:rsidRPr="00104AF1">
        <w:rPr>
          <w:rFonts w:ascii="Garamond" w:hAnsi="Garamond"/>
        </w:rPr>
        <w:t>.</w:t>
      </w:r>
    </w:p>
    <w:p w14:paraId="48CCBC87" w14:textId="625B0C1C" w:rsidR="00187E85" w:rsidRDefault="009F14C8" w:rsidP="000455C5">
      <w:pPr>
        <w:rPr>
          <w:rFonts w:ascii="Garamond" w:hAnsi="Garamond"/>
        </w:rPr>
      </w:pPr>
      <w:r w:rsidRPr="00D93632">
        <w:rPr>
          <w:rFonts w:ascii="Garamond" w:hAnsi="Garamond"/>
        </w:rPr>
        <w:t xml:space="preserve">Nye, Joseph S., and Robert O. </w:t>
      </w:r>
      <w:proofErr w:type="spellStart"/>
      <w:r w:rsidRPr="00D93632">
        <w:rPr>
          <w:rFonts w:ascii="Garamond" w:hAnsi="Garamond"/>
        </w:rPr>
        <w:t>Keohane</w:t>
      </w:r>
      <w:proofErr w:type="spellEnd"/>
      <w:r w:rsidRPr="00D93632">
        <w:rPr>
          <w:rFonts w:ascii="Garamond" w:hAnsi="Garamond"/>
        </w:rPr>
        <w:t xml:space="preserve">. </w:t>
      </w:r>
      <w:r w:rsidRPr="00D93632">
        <w:rPr>
          <w:rFonts w:ascii="Garamond" w:hAnsi="Garamond"/>
          <w:i/>
          <w:iCs/>
        </w:rPr>
        <w:t>International Organization</w:t>
      </w:r>
      <w:r w:rsidRPr="00D93632">
        <w:rPr>
          <w:rFonts w:ascii="Garamond" w:hAnsi="Garamond"/>
        </w:rPr>
        <w:t xml:space="preserve"> 25 no 3. (1971): 329al </w:t>
      </w:r>
      <w:proofErr w:type="gramStart"/>
      <w:r w:rsidRPr="00D93632">
        <w:rPr>
          <w:rFonts w:ascii="Garamond" w:hAnsi="Garamond"/>
        </w:rPr>
        <w:t>Or</w:t>
      </w:r>
      <w:proofErr w:type="gramEnd"/>
    </w:p>
    <w:p w14:paraId="7169714A" w14:textId="77777777" w:rsidR="00E86D15" w:rsidRPr="00104AF1" w:rsidRDefault="00E86D15" w:rsidP="004769FE">
      <w:pPr>
        <w:rPr>
          <w:rFonts w:ascii="Garamond" w:hAnsi="Garamond"/>
        </w:rPr>
      </w:pPr>
      <w:proofErr w:type="spellStart"/>
      <w:r w:rsidRPr="00104AF1">
        <w:rPr>
          <w:rFonts w:ascii="Garamond" w:hAnsi="Garamond"/>
        </w:rPr>
        <w:t>Oatley</w:t>
      </w:r>
      <w:proofErr w:type="spellEnd"/>
      <w:r w:rsidRPr="00104AF1">
        <w:rPr>
          <w:rFonts w:ascii="Garamond" w:hAnsi="Garamond"/>
        </w:rPr>
        <w:t xml:space="preserve">, T and Robert Nabors. “Redistributive Cooperation: Market Failure, Wealth </w:t>
      </w:r>
    </w:p>
    <w:p w14:paraId="752C1373" w14:textId="77777777" w:rsidR="00E86D15" w:rsidRPr="004769FE" w:rsidRDefault="00E86D15" w:rsidP="004769FE">
      <w:pPr>
        <w:ind w:firstLine="720"/>
        <w:rPr>
          <w:rFonts w:ascii="Garamond" w:hAnsi="Garamond"/>
        </w:rPr>
      </w:pPr>
      <w:r w:rsidRPr="004769FE">
        <w:rPr>
          <w:rFonts w:ascii="Garamond" w:hAnsi="Garamond"/>
        </w:rPr>
        <w:t xml:space="preserve">Transfers, and the Basel Accord,” </w:t>
      </w:r>
      <w:r w:rsidRPr="004769FE">
        <w:rPr>
          <w:rFonts w:ascii="Garamond" w:hAnsi="Garamond"/>
          <w:i/>
        </w:rPr>
        <w:t>International Organization</w:t>
      </w:r>
      <w:r w:rsidRPr="004769FE">
        <w:rPr>
          <w:rFonts w:ascii="Garamond" w:hAnsi="Garamond"/>
        </w:rPr>
        <w:t xml:space="preserve"> 52, no. 1 (1998): </w:t>
      </w:r>
    </w:p>
    <w:p w14:paraId="36F30E73" w14:textId="77777777" w:rsidR="00E86D15" w:rsidRPr="001F48F1" w:rsidRDefault="00E86D15" w:rsidP="001F48F1">
      <w:pPr>
        <w:ind w:firstLine="720"/>
        <w:rPr>
          <w:rFonts w:ascii="Garamond" w:hAnsi="Garamond"/>
        </w:rPr>
      </w:pPr>
      <w:r w:rsidRPr="001F48F1">
        <w:rPr>
          <w:rFonts w:ascii="Garamond" w:hAnsi="Garamond"/>
        </w:rPr>
        <w:t>35-54.</w:t>
      </w:r>
    </w:p>
    <w:p w14:paraId="257E2C5E" w14:textId="77777777" w:rsidR="00CF3527" w:rsidRPr="00104AF1" w:rsidRDefault="00080B38">
      <w:pPr>
        <w:pStyle w:val="Bibliography"/>
        <w:rPr>
          <w:rFonts w:ascii="Garamond" w:hAnsi="Garamond"/>
        </w:rPr>
      </w:pPr>
      <w:proofErr w:type="spellStart"/>
      <w:r w:rsidRPr="00104AF1">
        <w:rPr>
          <w:rFonts w:ascii="Garamond" w:hAnsi="Garamond"/>
        </w:rPr>
        <w:t>Pagliari</w:t>
      </w:r>
      <w:proofErr w:type="spellEnd"/>
      <w:r w:rsidRPr="00104AF1">
        <w:rPr>
          <w:rFonts w:ascii="Garamond" w:hAnsi="Garamond"/>
        </w:rPr>
        <w:t xml:space="preserve">, Stefano. </w:t>
      </w:r>
      <w:r w:rsidR="00CF3527" w:rsidRPr="00104AF1">
        <w:rPr>
          <w:rFonts w:ascii="Garamond" w:hAnsi="Garamond"/>
        </w:rPr>
        <w:t xml:space="preserve">“Public Salience and International Financial Regulation: Explaining the International Regulation of OTC Derivatives, Rating Agencies, and Hedge Funds.” </w:t>
      </w:r>
      <w:proofErr w:type="gramStart"/>
      <w:r w:rsidR="00CF3527" w:rsidRPr="00104AF1">
        <w:rPr>
          <w:rFonts w:ascii="Garamond" w:hAnsi="Garamond"/>
        </w:rPr>
        <w:t>Dissertation, University of Waterloo, Canada, 2013.</w:t>
      </w:r>
      <w:proofErr w:type="gramEnd"/>
      <w:r w:rsidR="00D87CE9" w:rsidRPr="00104AF1">
        <w:rPr>
          <w:rFonts w:ascii="Garamond" w:hAnsi="Garamond"/>
        </w:rPr>
        <w:t xml:space="preserve"> </w:t>
      </w:r>
      <w:hyperlink r:id="rId10" w:history="1">
        <w:r w:rsidR="00D87CE9" w:rsidRPr="00104AF1">
          <w:rPr>
            <w:rStyle w:val="Hyperlink"/>
            <w:rFonts w:ascii="Garamond" w:hAnsi="Garamond"/>
          </w:rPr>
          <w:t>http://stefanopagliari.net/phd-thesis.html</w:t>
        </w:r>
      </w:hyperlink>
    </w:p>
    <w:p w14:paraId="7478DCC6" w14:textId="77777777" w:rsidR="00080B38" w:rsidRPr="004769FE" w:rsidRDefault="00CF3527">
      <w:pPr>
        <w:rPr>
          <w:rFonts w:ascii="Garamond" w:hAnsi="Garamond"/>
        </w:rPr>
      </w:pPr>
      <w:r w:rsidRPr="00104AF1">
        <w:rPr>
          <w:rFonts w:ascii="Garamond" w:hAnsi="Garamond"/>
        </w:rPr>
        <w:t xml:space="preserve">_______. “A wall around Europe? The European regulatory response to the global financial </w:t>
      </w:r>
      <w:r w:rsidRPr="00104AF1">
        <w:rPr>
          <w:rFonts w:ascii="Garamond" w:hAnsi="Garamond"/>
        </w:rPr>
        <w:tab/>
        <w:t xml:space="preserve">crisis and the turn in </w:t>
      </w:r>
      <w:proofErr w:type="gramStart"/>
      <w:r w:rsidRPr="00104AF1">
        <w:rPr>
          <w:rFonts w:ascii="Garamond" w:hAnsi="Garamond"/>
        </w:rPr>
        <w:t>Transatlan</w:t>
      </w:r>
      <w:r w:rsidRPr="004769FE">
        <w:rPr>
          <w:rFonts w:ascii="Garamond" w:hAnsi="Garamond"/>
        </w:rPr>
        <w:t>tic</w:t>
      </w:r>
      <w:proofErr w:type="gramEnd"/>
      <w:r w:rsidRPr="004769FE">
        <w:rPr>
          <w:rFonts w:ascii="Garamond" w:hAnsi="Garamond"/>
        </w:rPr>
        <w:t xml:space="preserve"> relations.” Forthcoming.</w:t>
      </w:r>
    </w:p>
    <w:p w14:paraId="5BBA94D5" w14:textId="77777777" w:rsidR="00C369D9" w:rsidRPr="00104AF1" w:rsidRDefault="00C369D9">
      <w:pPr>
        <w:pStyle w:val="Bibliography"/>
        <w:rPr>
          <w:rFonts w:ascii="Garamond" w:hAnsi="Garamond"/>
        </w:rPr>
      </w:pPr>
      <w:r w:rsidRPr="001F48F1">
        <w:rPr>
          <w:rFonts w:ascii="Garamond" w:hAnsi="Garamond"/>
        </w:rPr>
        <w:t xml:space="preserve">Perry, J., and A. </w:t>
      </w:r>
      <w:proofErr w:type="spellStart"/>
      <w:r w:rsidRPr="001F48F1">
        <w:rPr>
          <w:rFonts w:ascii="Garamond" w:hAnsi="Garamond"/>
        </w:rPr>
        <w:t>Nolke</w:t>
      </w:r>
      <w:proofErr w:type="spellEnd"/>
      <w:r w:rsidRPr="001F48F1">
        <w:rPr>
          <w:rFonts w:ascii="Garamond" w:hAnsi="Garamond"/>
        </w:rPr>
        <w:t xml:space="preserve">. “The Political Economy of International Accounting Standards.” </w:t>
      </w:r>
      <w:r w:rsidRPr="00104AF1">
        <w:rPr>
          <w:rFonts w:ascii="Garamond" w:hAnsi="Garamond"/>
          <w:i/>
          <w:iCs/>
        </w:rPr>
        <w:t>Review of International Political Economy</w:t>
      </w:r>
      <w:r w:rsidRPr="00104AF1">
        <w:rPr>
          <w:rFonts w:ascii="Garamond" w:hAnsi="Garamond"/>
        </w:rPr>
        <w:t xml:space="preserve"> 13, no. 4 (2006): 559-586.</w:t>
      </w:r>
    </w:p>
    <w:p w14:paraId="1FECA7CA" w14:textId="77777777" w:rsidR="00C369D9" w:rsidRPr="00104AF1" w:rsidRDefault="00C369D9">
      <w:pPr>
        <w:pStyle w:val="Bibliography"/>
        <w:rPr>
          <w:rFonts w:ascii="Garamond" w:hAnsi="Garamond"/>
        </w:rPr>
      </w:pPr>
      <w:r w:rsidRPr="00104AF1">
        <w:rPr>
          <w:rFonts w:ascii="Garamond" w:hAnsi="Garamond"/>
        </w:rPr>
        <w:t xml:space="preserve">Pierson, P. “Public Policies as Institutions.” In </w:t>
      </w:r>
      <w:r w:rsidRPr="00104AF1">
        <w:rPr>
          <w:rFonts w:ascii="Garamond" w:hAnsi="Garamond"/>
          <w:i/>
          <w:iCs/>
        </w:rPr>
        <w:t>Rethinking Political Institutions</w:t>
      </w:r>
      <w:r w:rsidRPr="00104AF1">
        <w:rPr>
          <w:rFonts w:ascii="Garamond" w:hAnsi="Garamond"/>
        </w:rPr>
        <w:t xml:space="preserve">, edited by I. Shapiro, S. </w:t>
      </w:r>
      <w:proofErr w:type="spellStart"/>
      <w:r w:rsidRPr="00104AF1">
        <w:rPr>
          <w:rFonts w:ascii="Garamond" w:hAnsi="Garamond"/>
        </w:rPr>
        <w:t>Skowronek</w:t>
      </w:r>
      <w:proofErr w:type="spellEnd"/>
      <w:r w:rsidRPr="00104AF1">
        <w:rPr>
          <w:rFonts w:ascii="Garamond" w:hAnsi="Garamond"/>
        </w:rPr>
        <w:t>, and D. Galvin. New York: NYU Press, 2006.</w:t>
      </w:r>
    </w:p>
    <w:p w14:paraId="54EDC640" w14:textId="77777777" w:rsidR="00C369D9" w:rsidRPr="00104AF1" w:rsidRDefault="00C369D9">
      <w:pPr>
        <w:pStyle w:val="Bibliography"/>
        <w:rPr>
          <w:rFonts w:ascii="Garamond" w:hAnsi="Garamond"/>
        </w:rPr>
      </w:pPr>
      <w:r w:rsidRPr="00104AF1">
        <w:rPr>
          <w:rFonts w:ascii="Garamond" w:hAnsi="Garamond"/>
        </w:rPr>
        <w:t xml:space="preserve">———. “When Effect Becomes Cause: Policy Feedback and Political Change.” </w:t>
      </w:r>
      <w:r w:rsidRPr="00104AF1">
        <w:rPr>
          <w:rFonts w:ascii="Garamond" w:hAnsi="Garamond"/>
          <w:i/>
          <w:iCs/>
        </w:rPr>
        <w:t>World Politics</w:t>
      </w:r>
      <w:r w:rsidRPr="00104AF1">
        <w:rPr>
          <w:rFonts w:ascii="Garamond" w:hAnsi="Garamond"/>
        </w:rPr>
        <w:t xml:space="preserve"> 45, no. 4 (1993): 595-628.</w:t>
      </w:r>
    </w:p>
    <w:p w14:paraId="40DB653C" w14:textId="77777777" w:rsidR="00C369D9" w:rsidRPr="00104AF1" w:rsidRDefault="00C369D9">
      <w:pPr>
        <w:pStyle w:val="Bibliography"/>
        <w:rPr>
          <w:rFonts w:ascii="Garamond" w:hAnsi="Garamond"/>
        </w:rPr>
      </w:pPr>
      <w:r w:rsidRPr="00104AF1">
        <w:rPr>
          <w:rFonts w:ascii="Garamond" w:hAnsi="Garamond"/>
        </w:rPr>
        <w:t xml:space="preserve">Pierson, Paul, and Jacob S. Hacker. </w:t>
      </w:r>
      <w:r w:rsidRPr="00104AF1">
        <w:rPr>
          <w:rFonts w:ascii="Garamond" w:hAnsi="Garamond"/>
          <w:i/>
          <w:iCs/>
        </w:rPr>
        <w:t>Winner-Take-All Politics: How Washington Made the Rich Richer--and Turned Its Back on the Middle Class</w:t>
      </w:r>
      <w:r w:rsidRPr="00104AF1">
        <w:rPr>
          <w:rFonts w:ascii="Garamond" w:hAnsi="Garamond"/>
        </w:rPr>
        <w:t xml:space="preserve">. </w:t>
      </w:r>
      <w:proofErr w:type="gramStart"/>
      <w:r w:rsidRPr="00104AF1">
        <w:rPr>
          <w:rFonts w:ascii="Garamond" w:hAnsi="Garamond"/>
        </w:rPr>
        <w:t>Simon &amp; Schuster, 2010.</w:t>
      </w:r>
      <w:proofErr w:type="gramEnd"/>
    </w:p>
    <w:p w14:paraId="3BC77C6C" w14:textId="77777777" w:rsidR="0098420B" w:rsidRPr="00104AF1" w:rsidRDefault="0098420B" w:rsidP="00155386">
      <w:pPr>
        <w:rPr>
          <w:rFonts w:ascii="Garamond" w:hAnsi="Garamond"/>
        </w:rPr>
      </w:pPr>
      <w:proofErr w:type="gramStart"/>
      <w:r w:rsidRPr="00104AF1">
        <w:rPr>
          <w:rFonts w:ascii="Garamond" w:hAnsi="Garamond"/>
        </w:rPr>
        <w:t>Pollack, Mark.</w:t>
      </w:r>
      <w:proofErr w:type="gramEnd"/>
      <w:r w:rsidRPr="00104AF1">
        <w:rPr>
          <w:rFonts w:ascii="Garamond" w:hAnsi="Garamond"/>
        </w:rPr>
        <w:t xml:space="preserve">  </w:t>
      </w:r>
      <w:r w:rsidRPr="00104AF1">
        <w:rPr>
          <w:rFonts w:ascii="Garamond" w:hAnsi="Garamond"/>
          <w:i/>
        </w:rPr>
        <w:t>Engines of European Integration: Delegation, Agency, and Agenda Setting in the EU.</w:t>
      </w:r>
      <w:r w:rsidRPr="00104AF1">
        <w:rPr>
          <w:rFonts w:ascii="Garamond" w:hAnsi="Garamond"/>
        </w:rPr>
        <w:t xml:space="preserve">  </w:t>
      </w:r>
      <w:r w:rsidRPr="00104AF1">
        <w:rPr>
          <w:rFonts w:ascii="Garamond" w:hAnsi="Garamond"/>
        </w:rPr>
        <w:tab/>
        <w:t>Oxford: Oxford University Press, 2002.</w:t>
      </w:r>
    </w:p>
    <w:p w14:paraId="6EFD1BF7" w14:textId="77777777" w:rsidR="002C282D" w:rsidRPr="00104AF1" w:rsidRDefault="002C282D" w:rsidP="00155386">
      <w:pPr>
        <w:rPr>
          <w:rFonts w:ascii="Garamond" w:hAnsi="Garamond"/>
        </w:rPr>
      </w:pPr>
      <w:proofErr w:type="gramStart"/>
      <w:r w:rsidRPr="00104AF1">
        <w:rPr>
          <w:rFonts w:ascii="Garamond" w:hAnsi="Garamond"/>
        </w:rPr>
        <w:t>Pollack, Mark and Greg Shaffer.</w:t>
      </w:r>
      <w:proofErr w:type="gramEnd"/>
      <w:r w:rsidRPr="00104AF1">
        <w:rPr>
          <w:rFonts w:ascii="Garamond" w:hAnsi="Garamond"/>
        </w:rPr>
        <w:t xml:space="preserve"> </w:t>
      </w:r>
      <w:proofErr w:type="gramStart"/>
      <w:r w:rsidRPr="00104AF1">
        <w:rPr>
          <w:rFonts w:ascii="Garamond" w:hAnsi="Garamond"/>
        </w:rPr>
        <w:t>When Cooperation Fails.</w:t>
      </w:r>
      <w:proofErr w:type="gramEnd"/>
      <w:r w:rsidRPr="00104AF1">
        <w:rPr>
          <w:rFonts w:ascii="Garamond" w:hAnsi="Garamond"/>
        </w:rPr>
        <w:t xml:space="preserve"> </w:t>
      </w:r>
      <w:proofErr w:type="gramStart"/>
      <w:r w:rsidRPr="00104AF1">
        <w:rPr>
          <w:rFonts w:ascii="Garamond" w:hAnsi="Garamond"/>
        </w:rPr>
        <w:t>Oxford University Press.</w:t>
      </w:r>
      <w:proofErr w:type="gramEnd"/>
      <w:r w:rsidRPr="00104AF1">
        <w:rPr>
          <w:rFonts w:ascii="Garamond" w:hAnsi="Garamond"/>
        </w:rPr>
        <w:t xml:space="preserve"> 2009.</w:t>
      </w:r>
    </w:p>
    <w:p w14:paraId="7F26BFAC" w14:textId="77777777" w:rsidR="00C369D9" w:rsidRPr="00104AF1" w:rsidRDefault="00C369D9" w:rsidP="00155386">
      <w:pPr>
        <w:pStyle w:val="Bibliography"/>
        <w:rPr>
          <w:rFonts w:ascii="Garamond" w:hAnsi="Garamond"/>
        </w:rPr>
      </w:pPr>
      <w:proofErr w:type="gramStart"/>
      <w:r w:rsidRPr="00104AF1">
        <w:rPr>
          <w:rFonts w:ascii="Garamond" w:hAnsi="Garamond"/>
        </w:rPr>
        <w:t xml:space="preserve">Porter, T. </w:t>
      </w:r>
      <w:r w:rsidRPr="00104AF1">
        <w:rPr>
          <w:rFonts w:ascii="Garamond" w:hAnsi="Garamond"/>
          <w:i/>
          <w:iCs/>
        </w:rPr>
        <w:t>Globalization and Finance</w:t>
      </w:r>
      <w:r w:rsidRPr="00104AF1">
        <w:rPr>
          <w:rFonts w:ascii="Garamond" w:hAnsi="Garamond"/>
        </w:rPr>
        <w:t>.</w:t>
      </w:r>
      <w:proofErr w:type="gramEnd"/>
      <w:r w:rsidRPr="00104AF1">
        <w:rPr>
          <w:rFonts w:ascii="Garamond" w:hAnsi="Garamond"/>
        </w:rPr>
        <w:t xml:space="preserve"> Cambridge: Polity Press, 2005.</w:t>
      </w:r>
    </w:p>
    <w:p w14:paraId="0C942DE3" w14:textId="77777777" w:rsidR="00E86D15" w:rsidRPr="00155386" w:rsidRDefault="00C97016" w:rsidP="00155386">
      <w:pPr>
        <w:rPr>
          <w:rFonts w:ascii="Garamond" w:hAnsi="Garamond"/>
        </w:rPr>
      </w:pPr>
      <w:r w:rsidRPr="00155386">
        <w:rPr>
          <w:rFonts w:ascii="Garamond" w:hAnsi="Garamond"/>
        </w:rPr>
        <w:t>________. “Public and p</w:t>
      </w:r>
      <w:r w:rsidR="006D05D8" w:rsidRPr="00155386">
        <w:rPr>
          <w:rFonts w:ascii="Garamond" w:hAnsi="Garamond"/>
        </w:rPr>
        <w:t xml:space="preserve">rivate authority in the transnational response to the 2008 financial </w:t>
      </w:r>
      <w:r w:rsidRPr="00155386">
        <w:rPr>
          <w:rFonts w:ascii="Garamond" w:hAnsi="Garamond"/>
        </w:rPr>
        <w:tab/>
      </w:r>
      <w:r w:rsidR="006D05D8" w:rsidRPr="00155386">
        <w:rPr>
          <w:rFonts w:ascii="Garamond" w:hAnsi="Garamond"/>
        </w:rPr>
        <w:t>crisis</w:t>
      </w:r>
      <w:r w:rsidRPr="00155386">
        <w:rPr>
          <w:rFonts w:ascii="Garamond" w:hAnsi="Garamond"/>
        </w:rPr>
        <w:t>.” Policy and Society 30 (2011): 175-184</w:t>
      </w:r>
      <w:r w:rsidR="00E86D15" w:rsidRPr="00155386">
        <w:rPr>
          <w:rFonts w:ascii="Garamond" w:hAnsi="Garamond"/>
        </w:rPr>
        <w:t>.</w:t>
      </w:r>
    </w:p>
    <w:p w14:paraId="4000E0BF" w14:textId="77777777" w:rsidR="00155386" w:rsidRPr="00155386" w:rsidRDefault="00155386" w:rsidP="00155386">
      <w:pPr>
        <w:pStyle w:val="Bibliography"/>
        <w:rPr>
          <w:rFonts w:ascii="Garamond" w:hAnsi="Garamond"/>
        </w:rPr>
      </w:pPr>
      <w:r w:rsidRPr="00155386">
        <w:rPr>
          <w:rFonts w:ascii="Garamond" w:hAnsi="Garamond"/>
        </w:rPr>
        <w:t xml:space="preserve">Posner, Elliot. (2009). Making Rules for Global Finance: Transatlantic Regulatory Cooperation at the Turn of the Millennium. </w:t>
      </w:r>
      <w:r w:rsidRPr="00155386">
        <w:rPr>
          <w:rFonts w:ascii="Garamond" w:hAnsi="Garamond"/>
          <w:i/>
          <w:iCs/>
        </w:rPr>
        <w:t>International Organization</w:t>
      </w:r>
      <w:r w:rsidRPr="00155386">
        <w:rPr>
          <w:rFonts w:ascii="Garamond" w:hAnsi="Garamond"/>
        </w:rPr>
        <w:t xml:space="preserve">, </w:t>
      </w:r>
      <w:r w:rsidRPr="00155386">
        <w:rPr>
          <w:rFonts w:ascii="Garamond" w:hAnsi="Garamond"/>
          <w:i/>
          <w:iCs/>
        </w:rPr>
        <w:t>63</w:t>
      </w:r>
      <w:r w:rsidRPr="00155386">
        <w:rPr>
          <w:rFonts w:ascii="Garamond" w:hAnsi="Garamond"/>
        </w:rPr>
        <w:t>(4), 665–699.</w:t>
      </w:r>
    </w:p>
    <w:p w14:paraId="07040357" w14:textId="4A6D48CE" w:rsidR="00155386" w:rsidRPr="00155386" w:rsidRDefault="00155386" w:rsidP="00155386">
      <w:pPr>
        <w:pStyle w:val="Bibliography"/>
        <w:rPr>
          <w:rFonts w:ascii="Garamond" w:hAnsi="Garamond"/>
        </w:rPr>
      </w:pPr>
      <w:r w:rsidRPr="00155386">
        <w:rPr>
          <w:rFonts w:ascii="Garamond" w:hAnsi="Garamond"/>
        </w:rPr>
        <w:t xml:space="preserve">Posner, Elliot, &amp; </w:t>
      </w:r>
      <w:proofErr w:type="spellStart"/>
      <w:r w:rsidRPr="00155386">
        <w:rPr>
          <w:rFonts w:ascii="Garamond" w:hAnsi="Garamond"/>
        </w:rPr>
        <w:t>Véron</w:t>
      </w:r>
      <w:proofErr w:type="spellEnd"/>
      <w:r w:rsidRPr="00155386">
        <w:rPr>
          <w:rFonts w:ascii="Garamond" w:hAnsi="Garamond"/>
        </w:rPr>
        <w:t xml:space="preserve">, Nicolas. (2010). The EU and financial regulation: power without purpose? </w:t>
      </w:r>
      <w:proofErr w:type="gramStart"/>
      <w:r w:rsidRPr="00155386">
        <w:rPr>
          <w:rFonts w:ascii="Garamond" w:hAnsi="Garamond"/>
          <w:i/>
          <w:iCs/>
        </w:rPr>
        <w:t>Journal of European Public Policy</w:t>
      </w:r>
      <w:r w:rsidRPr="00155386">
        <w:rPr>
          <w:rFonts w:ascii="Garamond" w:hAnsi="Garamond"/>
        </w:rPr>
        <w:t xml:space="preserve">, </w:t>
      </w:r>
      <w:r w:rsidRPr="00155386">
        <w:rPr>
          <w:rFonts w:ascii="Garamond" w:hAnsi="Garamond"/>
          <w:i/>
          <w:iCs/>
        </w:rPr>
        <w:t>17</w:t>
      </w:r>
      <w:r w:rsidRPr="00155386">
        <w:rPr>
          <w:rFonts w:ascii="Garamond" w:hAnsi="Garamond"/>
        </w:rPr>
        <w:t>, 400–415.</w:t>
      </w:r>
      <w:proofErr w:type="gramEnd"/>
      <w:r w:rsidRPr="00155386">
        <w:rPr>
          <w:rFonts w:ascii="Garamond" w:hAnsi="Garamond"/>
        </w:rPr>
        <w:t xml:space="preserve"> </w:t>
      </w:r>
    </w:p>
    <w:p w14:paraId="2BB10F72" w14:textId="77777777" w:rsidR="00C369D9" w:rsidRPr="00155386" w:rsidRDefault="00C369D9" w:rsidP="00155386">
      <w:pPr>
        <w:pStyle w:val="Bibliography"/>
        <w:rPr>
          <w:rFonts w:ascii="Garamond" w:hAnsi="Garamond"/>
        </w:rPr>
      </w:pPr>
      <w:proofErr w:type="spellStart"/>
      <w:r w:rsidRPr="00155386">
        <w:rPr>
          <w:rFonts w:ascii="Garamond" w:hAnsi="Garamond"/>
        </w:rPr>
        <w:t>Quaglia</w:t>
      </w:r>
      <w:proofErr w:type="spellEnd"/>
      <w:r w:rsidRPr="00155386">
        <w:rPr>
          <w:rFonts w:ascii="Garamond" w:hAnsi="Garamond"/>
        </w:rPr>
        <w:t xml:space="preserve">, Lucia. </w:t>
      </w:r>
      <w:r w:rsidRPr="00155386">
        <w:rPr>
          <w:rFonts w:ascii="Garamond" w:hAnsi="Garamond"/>
          <w:i/>
          <w:iCs/>
        </w:rPr>
        <w:t>Central banking governance in the European Union: a comparative analysis</w:t>
      </w:r>
      <w:r w:rsidRPr="00155386">
        <w:rPr>
          <w:rFonts w:ascii="Garamond" w:hAnsi="Garamond"/>
        </w:rPr>
        <w:t xml:space="preserve">. </w:t>
      </w:r>
      <w:proofErr w:type="gramStart"/>
      <w:r w:rsidRPr="00155386">
        <w:rPr>
          <w:rFonts w:ascii="Garamond" w:hAnsi="Garamond"/>
        </w:rPr>
        <w:t>Psychology Press, 2008.</w:t>
      </w:r>
      <w:proofErr w:type="gramEnd"/>
    </w:p>
    <w:p w14:paraId="42AA41CF" w14:textId="77777777" w:rsidR="0035734D" w:rsidRPr="00155386" w:rsidRDefault="0035734D" w:rsidP="00155386">
      <w:pPr>
        <w:pStyle w:val="Bibliography"/>
        <w:rPr>
          <w:rFonts w:ascii="Garamond" w:hAnsi="Garamond"/>
        </w:rPr>
      </w:pPr>
      <w:r w:rsidRPr="00155386">
        <w:rPr>
          <w:rFonts w:ascii="Garamond" w:hAnsi="Garamond"/>
        </w:rPr>
        <w:t xml:space="preserve">________. </w:t>
      </w:r>
      <w:r w:rsidRPr="00155386">
        <w:rPr>
          <w:rFonts w:ascii="Garamond" w:hAnsi="Garamond"/>
          <w:i/>
        </w:rPr>
        <w:t>Governing Financial Services in the European Union: Banking, Securities and Post-Trading</w:t>
      </w:r>
      <w:r w:rsidRPr="00155386">
        <w:rPr>
          <w:rFonts w:ascii="Garamond" w:hAnsi="Garamond"/>
        </w:rPr>
        <w:t xml:space="preserve">. </w:t>
      </w:r>
      <w:proofErr w:type="spellStart"/>
      <w:proofErr w:type="gramStart"/>
      <w:r w:rsidRPr="00155386">
        <w:rPr>
          <w:rFonts w:ascii="Garamond" w:hAnsi="Garamond"/>
        </w:rPr>
        <w:t>Routledge</w:t>
      </w:r>
      <w:proofErr w:type="spellEnd"/>
      <w:r w:rsidRPr="00155386">
        <w:rPr>
          <w:rFonts w:ascii="Garamond" w:hAnsi="Garamond"/>
        </w:rPr>
        <w:t>, 2010.</w:t>
      </w:r>
      <w:proofErr w:type="gramEnd"/>
    </w:p>
    <w:p w14:paraId="18AB8149" w14:textId="77777777" w:rsidR="0052382E" w:rsidRPr="00104AF1" w:rsidRDefault="00BC18AB">
      <w:pPr>
        <w:rPr>
          <w:rFonts w:ascii="Garamond" w:hAnsi="Garamond"/>
        </w:rPr>
      </w:pPr>
      <w:r w:rsidRPr="00104AF1">
        <w:rPr>
          <w:rFonts w:ascii="Garamond" w:hAnsi="Garamond"/>
        </w:rPr>
        <w:t xml:space="preserve">-----------. “The Sources of European Union Influence in International Financial Regulatory </w:t>
      </w:r>
    </w:p>
    <w:p w14:paraId="068B9441" w14:textId="77777777" w:rsidR="00BC18AB" w:rsidRPr="00104AF1" w:rsidRDefault="00BC18AB">
      <w:pPr>
        <w:ind w:firstLine="720"/>
        <w:rPr>
          <w:rFonts w:ascii="Garamond" w:hAnsi="Garamond"/>
        </w:rPr>
      </w:pPr>
      <w:proofErr w:type="spellStart"/>
      <w:r w:rsidRPr="00104AF1">
        <w:rPr>
          <w:rFonts w:ascii="Garamond" w:hAnsi="Garamond"/>
        </w:rPr>
        <w:t>Fora</w:t>
      </w:r>
      <w:proofErr w:type="spellEnd"/>
      <w:r w:rsidRPr="00104AF1">
        <w:rPr>
          <w:rFonts w:ascii="Garamond" w:hAnsi="Garamond"/>
        </w:rPr>
        <w:t xml:space="preserve">,” </w:t>
      </w:r>
      <w:r w:rsidRPr="00104AF1">
        <w:rPr>
          <w:rFonts w:ascii="Garamond" w:hAnsi="Garamond"/>
          <w:i/>
        </w:rPr>
        <w:t>Journal of European Public Policy</w:t>
      </w:r>
      <w:r w:rsidR="0052382E" w:rsidRPr="00104AF1">
        <w:rPr>
          <w:rFonts w:ascii="Garamond" w:hAnsi="Garamond"/>
        </w:rPr>
        <w:t xml:space="preserve"> 21(3): 327-45. 2014.</w:t>
      </w:r>
    </w:p>
    <w:p w14:paraId="33C34713" w14:textId="77777777" w:rsidR="00187E85" w:rsidRDefault="009F14C8" w:rsidP="00D93632">
      <w:pPr>
        <w:pStyle w:val="Bibliography"/>
        <w:rPr>
          <w:rFonts w:ascii="Garamond" w:hAnsi="Garamond"/>
        </w:rPr>
      </w:pPr>
      <w:proofErr w:type="spellStart"/>
      <w:proofErr w:type="gramStart"/>
      <w:r w:rsidRPr="00D93632">
        <w:rPr>
          <w:rFonts w:ascii="Garamond" w:hAnsi="Garamond"/>
        </w:rPr>
        <w:t>Risse-Kappen</w:t>
      </w:r>
      <w:proofErr w:type="spellEnd"/>
      <w:r w:rsidRPr="00D93632">
        <w:rPr>
          <w:rFonts w:ascii="Garamond" w:hAnsi="Garamond"/>
        </w:rPr>
        <w:t>, Thomas.</w:t>
      </w:r>
      <w:proofErr w:type="gramEnd"/>
      <w:r w:rsidRPr="00D93632">
        <w:rPr>
          <w:rFonts w:ascii="Garamond" w:hAnsi="Garamond"/>
        </w:rPr>
        <w:t xml:space="preserve"> </w:t>
      </w:r>
      <w:r w:rsidRPr="00D93632">
        <w:rPr>
          <w:rFonts w:ascii="Garamond" w:hAnsi="Garamond"/>
          <w:i/>
          <w:iCs/>
        </w:rPr>
        <w:t>Bringing Transnational Actors Back In.</w:t>
      </w:r>
      <w:r w:rsidRPr="00D93632">
        <w:rPr>
          <w:rFonts w:ascii="Garamond" w:hAnsi="Garamond"/>
        </w:rPr>
        <w:t xml:space="preserve"> Cambridge: Cambridge University Press. 1995.</w:t>
      </w:r>
    </w:p>
    <w:p w14:paraId="658A65FD" w14:textId="77777777" w:rsidR="00BC18AB" w:rsidRPr="00104AF1" w:rsidRDefault="00BC18AB" w:rsidP="00104AF1">
      <w:pPr>
        <w:rPr>
          <w:rFonts w:ascii="Garamond" w:hAnsi="Garamond"/>
        </w:rPr>
      </w:pPr>
      <w:proofErr w:type="spellStart"/>
      <w:r w:rsidRPr="00104AF1">
        <w:rPr>
          <w:rFonts w:ascii="Garamond" w:hAnsi="Garamond"/>
        </w:rPr>
        <w:t>Rodrik</w:t>
      </w:r>
      <w:proofErr w:type="spellEnd"/>
      <w:r w:rsidRPr="00104AF1">
        <w:rPr>
          <w:rFonts w:ascii="Garamond" w:hAnsi="Garamond"/>
        </w:rPr>
        <w:t xml:space="preserve">, </w:t>
      </w:r>
      <w:proofErr w:type="spellStart"/>
      <w:r w:rsidRPr="00104AF1">
        <w:rPr>
          <w:rFonts w:ascii="Garamond" w:hAnsi="Garamond"/>
        </w:rPr>
        <w:t>Dani</w:t>
      </w:r>
      <w:proofErr w:type="spellEnd"/>
      <w:r w:rsidRPr="00104AF1">
        <w:rPr>
          <w:rFonts w:ascii="Garamond" w:hAnsi="Garamond"/>
        </w:rPr>
        <w:t xml:space="preserve">. “A Plan B for Global Finance,” </w:t>
      </w:r>
      <w:r w:rsidRPr="00104AF1">
        <w:rPr>
          <w:rFonts w:ascii="Garamond" w:hAnsi="Garamond"/>
          <w:i/>
        </w:rPr>
        <w:t>The Economist</w:t>
      </w:r>
      <w:r w:rsidRPr="00104AF1">
        <w:rPr>
          <w:rFonts w:ascii="Garamond" w:hAnsi="Garamond"/>
        </w:rPr>
        <w:t>, 12 March 2009.</w:t>
      </w:r>
    </w:p>
    <w:p w14:paraId="09777CB2" w14:textId="77777777" w:rsidR="00C369D9" w:rsidRPr="001F48F1" w:rsidRDefault="00C369D9" w:rsidP="004769FE">
      <w:pPr>
        <w:pStyle w:val="Bibliography"/>
        <w:rPr>
          <w:rFonts w:ascii="Garamond" w:hAnsi="Garamond"/>
        </w:rPr>
      </w:pPr>
      <w:proofErr w:type="spellStart"/>
      <w:r w:rsidRPr="004769FE">
        <w:rPr>
          <w:rFonts w:ascii="Garamond" w:hAnsi="Garamond"/>
        </w:rPr>
        <w:t>Raustiala</w:t>
      </w:r>
      <w:proofErr w:type="spellEnd"/>
      <w:r w:rsidRPr="004769FE">
        <w:rPr>
          <w:rFonts w:ascii="Garamond" w:hAnsi="Garamond"/>
        </w:rPr>
        <w:t xml:space="preserve">, </w:t>
      </w:r>
      <w:proofErr w:type="spellStart"/>
      <w:r w:rsidRPr="004769FE">
        <w:rPr>
          <w:rFonts w:ascii="Garamond" w:hAnsi="Garamond"/>
        </w:rPr>
        <w:t>Kal</w:t>
      </w:r>
      <w:proofErr w:type="spellEnd"/>
      <w:r w:rsidRPr="004769FE">
        <w:rPr>
          <w:rFonts w:ascii="Garamond" w:hAnsi="Garamond"/>
        </w:rPr>
        <w:t xml:space="preserve">. “The Architecture of International Cooperation: </w:t>
      </w:r>
      <w:proofErr w:type="spellStart"/>
      <w:r w:rsidRPr="004769FE">
        <w:rPr>
          <w:rFonts w:ascii="Garamond" w:hAnsi="Garamond"/>
        </w:rPr>
        <w:t>Transgovernmental</w:t>
      </w:r>
      <w:proofErr w:type="spellEnd"/>
      <w:r w:rsidRPr="004769FE">
        <w:rPr>
          <w:rFonts w:ascii="Garamond" w:hAnsi="Garamond"/>
        </w:rPr>
        <w:t xml:space="preserve"> Networks and the Future of International Law.” </w:t>
      </w:r>
      <w:r w:rsidRPr="001F48F1">
        <w:rPr>
          <w:rFonts w:ascii="Garamond" w:hAnsi="Garamond"/>
          <w:i/>
          <w:iCs/>
        </w:rPr>
        <w:t>Virginia Journal of International Law</w:t>
      </w:r>
      <w:r w:rsidRPr="001F48F1">
        <w:rPr>
          <w:rFonts w:ascii="Garamond" w:hAnsi="Garamond"/>
        </w:rPr>
        <w:t xml:space="preserve"> 43 (2002).</w:t>
      </w:r>
    </w:p>
    <w:p w14:paraId="47F76DB7" w14:textId="77777777" w:rsidR="00C369D9" w:rsidRPr="00104AF1" w:rsidRDefault="00C369D9" w:rsidP="001F48F1">
      <w:pPr>
        <w:pStyle w:val="Bibliography"/>
        <w:rPr>
          <w:rFonts w:ascii="Garamond" w:hAnsi="Garamond"/>
        </w:rPr>
      </w:pPr>
      <w:r w:rsidRPr="001F48F1">
        <w:rPr>
          <w:rFonts w:ascii="Garamond" w:hAnsi="Garamond"/>
        </w:rPr>
        <w:t xml:space="preserve">Seligman, Joel. </w:t>
      </w:r>
      <w:r w:rsidRPr="001F48F1">
        <w:rPr>
          <w:rFonts w:ascii="Garamond" w:hAnsi="Garamond"/>
          <w:i/>
          <w:iCs/>
        </w:rPr>
        <w:t>The transformation of Wall Street: a history of the Securities and Exchange Commission and modern corporate finance</w:t>
      </w:r>
      <w:r w:rsidRPr="00104AF1">
        <w:rPr>
          <w:rFonts w:ascii="Garamond" w:hAnsi="Garamond"/>
        </w:rPr>
        <w:t xml:space="preserve">. </w:t>
      </w:r>
      <w:proofErr w:type="gramStart"/>
      <w:r w:rsidRPr="00104AF1">
        <w:rPr>
          <w:rFonts w:ascii="Garamond" w:hAnsi="Garamond"/>
        </w:rPr>
        <w:t>Aspen Publishers, 2003.</w:t>
      </w:r>
      <w:proofErr w:type="gramEnd"/>
    </w:p>
    <w:p w14:paraId="7A38D008" w14:textId="77777777" w:rsidR="00591DB9" w:rsidRPr="00104AF1" w:rsidRDefault="00591DB9">
      <w:pPr>
        <w:rPr>
          <w:rFonts w:ascii="Garamond" w:hAnsi="Garamond"/>
        </w:rPr>
      </w:pPr>
      <w:r w:rsidRPr="00104AF1">
        <w:rPr>
          <w:rFonts w:ascii="Garamond" w:hAnsi="Garamond"/>
        </w:rPr>
        <w:t xml:space="preserve">Shaffer, Greg and </w:t>
      </w:r>
      <w:r w:rsidR="007B6E37" w:rsidRPr="00104AF1">
        <w:rPr>
          <w:rFonts w:ascii="Garamond" w:hAnsi="Garamond"/>
        </w:rPr>
        <w:t>M</w:t>
      </w:r>
      <w:r w:rsidRPr="00104AF1">
        <w:rPr>
          <w:rFonts w:ascii="Garamond" w:hAnsi="Garamond"/>
        </w:rPr>
        <w:t xml:space="preserve">ark Pollack. “Hard </w:t>
      </w:r>
      <w:proofErr w:type="spellStart"/>
      <w:r w:rsidRPr="00104AF1">
        <w:rPr>
          <w:rFonts w:ascii="Garamond" w:hAnsi="Garamond"/>
        </w:rPr>
        <w:t>vs</w:t>
      </w:r>
      <w:proofErr w:type="spellEnd"/>
      <w:r w:rsidRPr="00104AF1">
        <w:rPr>
          <w:rFonts w:ascii="Garamond" w:hAnsi="Garamond"/>
        </w:rPr>
        <w:t xml:space="preserve"> Soft Law: Alternative, Complements and </w:t>
      </w:r>
    </w:p>
    <w:p w14:paraId="7091B8D7" w14:textId="77777777" w:rsidR="00591DB9" w:rsidRPr="00104AF1" w:rsidRDefault="00591DB9">
      <w:pPr>
        <w:ind w:firstLine="720"/>
        <w:rPr>
          <w:rFonts w:ascii="Garamond" w:hAnsi="Garamond"/>
        </w:rPr>
      </w:pPr>
      <w:r w:rsidRPr="00104AF1">
        <w:rPr>
          <w:rFonts w:ascii="Garamond" w:hAnsi="Garamond"/>
        </w:rPr>
        <w:t xml:space="preserve">Antagonists in International Governance,” Minnesota Law Review 94 (2010): </w:t>
      </w:r>
    </w:p>
    <w:p w14:paraId="216D0CB7" w14:textId="77777777" w:rsidR="00591DB9" w:rsidRPr="00104AF1" w:rsidRDefault="00591DB9">
      <w:pPr>
        <w:ind w:left="720"/>
        <w:rPr>
          <w:rFonts w:ascii="Garamond" w:hAnsi="Garamond"/>
        </w:rPr>
      </w:pPr>
      <w:r w:rsidRPr="00104AF1">
        <w:rPr>
          <w:rFonts w:ascii="Garamond" w:hAnsi="Garamond"/>
        </w:rPr>
        <w:t>706-99.</w:t>
      </w:r>
    </w:p>
    <w:p w14:paraId="6F8D7EA7" w14:textId="77777777" w:rsidR="00C369D9" w:rsidRPr="00104AF1" w:rsidRDefault="00C369D9">
      <w:pPr>
        <w:pStyle w:val="Bibliography"/>
        <w:rPr>
          <w:rFonts w:ascii="Garamond" w:hAnsi="Garamond"/>
        </w:rPr>
      </w:pPr>
      <w:r w:rsidRPr="00104AF1">
        <w:rPr>
          <w:rFonts w:ascii="Garamond" w:hAnsi="Garamond"/>
        </w:rPr>
        <w:t xml:space="preserve">Shih. </w:t>
      </w:r>
      <w:r w:rsidRPr="00104AF1">
        <w:rPr>
          <w:rFonts w:ascii="Garamond" w:hAnsi="Garamond"/>
          <w:i/>
          <w:iCs/>
        </w:rPr>
        <w:t>Factions and Finance in China</w:t>
      </w:r>
      <w:r w:rsidRPr="00104AF1">
        <w:rPr>
          <w:rFonts w:ascii="Garamond" w:hAnsi="Garamond"/>
        </w:rPr>
        <w:t>. 1st ed. Cambridge University Press, 2007.</w:t>
      </w:r>
    </w:p>
    <w:p w14:paraId="2240B306" w14:textId="77777777" w:rsidR="00C369D9" w:rsidRPr="00104AF1" w:rsidRDefault="00C369D9">
      <w:pPr>
        <w:pStyle w:val="Bibliography"/>
        <w:rPr>
          <w:rFonts w:ascii="Garamond" w:hAnsi="Garamond"/>
        </w:rPr>
      </w:pPr>
      <w:r w:rsidRPr="00104AF1">
        <w:rPr>
          <w:rFonts w:ascii="Garamond" w:hAnsi="Garamond"/>
        </w:rPr>
        <w:t xml:space="preserve">Simmons, B. “The International Politics of Harmonization: The Case of Capital Market Regulation.” </w:t>
      </w:r>
      <w:r w:rsidRPr="00104AF1">
        <w:rPr>
          <w:rFonts w:ascii="Garamond" w:hAnsi="Garamond"/>
          <w:i/>
          <w:iCs/>
        </w:rPr>
        <w:t>International Organization</w:t>
      </w:r>
      <w:r w:rsidRPr="00104AF1">
        <w:rPr>
          <w:rFonts w:ascii="Garamond" w:hAnsi="Garamond"/>
        </w:rPr>
        <w:t xml:space="preserve"> 55 (2001): 589-620.</w:t>
      </w:r>
    </w:p>
    <w:p w14:paraId="2720A574" w14:textId="77777777" w:rsidR="00C369D9" w:rsidRPr="00104AF1" w:rsidRDefault="00C369D9">
      <w:pPr>
        <w:pStyle w:val="Bibliography"/>
        <w:rPr>
          <w:rFonts w:ascii="Garamond" w:hAnsi="Garamond"/>
        </w:rPr>
      </w:pPr>
      <w:r w:rsidRPr="00104AF1">
        <w:rPr>
          <w:rFonts w:ascii="Garamond" w:hAnsi="Garamond"/>
        </w:rPr>
        <w:t xml:space="preserve">Singer, D.A. </w:t>
      </w:r>
      <w:r w:rsidRPr="00104AF1">
        <w:rPr>
          <w:rFonts w:ascii="Garamond" w:hAnsi="Garamond"/>
          <w:i/>
          <w:iCs/>
        </w:rPr>
        <w:t>Regulating Capital: Setting Standards for the International Financial System</w:t>
      </w:r>
      <w:r w:rsidRPr="00104AF1">
        <w:rPr>
          <w:rFonts w:ascii="Garamond" w:hAnsi="Garamond"/>
        </w:rPr>
        <w:t>. Ithaca: Cornell University Press, 2007.</w:t>
      </w:r>
    </w:p>
    <w:p w14:paraId="2A78166E" w14:textId="77777777" w:rsidR="00C369D9" w:rsidRPr="00104AF1" w:rsidRDefault="00C369D9">
      <w:pPr>
        <w:pStyle w:val="Bibliography"/>
        <w:rPr>
          <w:rFonts w:ascii="Garamond" w:hAnsi="Garamond"/>
        </w:rPr>
      </w:pPr>
      <w:proofErr w:type="spellStart"/>
      <w:r w:rsidRPr="00104AF1">
        <w:rPr>
          <w:rFonts w:ascii="Garamond" w:hAnsi="Garamond"/>
        </w:rPr>
        <w:t>Skocpol</w:t>
      </w:r>
      <w:proofErr w:type="spellEnd"/>
      <w:r w:rsidRPr="00104AF1">
        <w:rPr>
          <w:rFonts w:ascii="Garamond" w:hAnsi="Garamond"/>
        </w:rPr>
        <w:t xml:space="preserve">, T. </w:t>
      </w:r>
      <w:r w:rsidRPr="00104AF1">
        <w:rPr>
          <w:rFonts w:ascii="Garamond" w:hAnsi="Garamond"/>
          <w:i/>
          <w:iCs/>
        </w:rPr>
        <w:t>Protecting Soldiers and Mothers: The Political Origins of Social Policy in the United States</w:t>
      </w:r>
      <w:r w:rsidRPr="00104AF1">
        <w:rPr>
          <w:rFonts w:ascii="Garamond" w:hAnsi="Garamond"/>
        </w:rPr>
        <w:t>. Cambridge: Harvard University Press, 1992.</w:t>
      </w:r>
    </w:p>
    <w:p w14:paraId="5C0131C8" w14:textId="77777777" w:rsidR="00C369D9" w:rsidRPr="00104AF1" w:rsidRDefault="00C369D9">
      <w:pPr>
        <w:pStyle w:val="Bibliography"/>
        <w:rPr>
          <w:rFonts w:ascii="Garamond" w:hAnsi="Garamond"/>
        </w:rPr>
      </w:pPr>
      <w:r w:rsidRPr="00104AF1">
        <w:rPr>
          <w:rFonts w:ascii="Garamond" w:hAnsi="Garamond"/>
        </w:rPr>
        <w:t>Slaughter, A</w:t>
      </w:r>
      <w:proofErr w:type="gramStart"/>
      <w:r w:rsidRPr="00104AF1">
        <w:rPr>
          <w:rFonts w:ascii="Garamond" w:hAnsi="Garamond"/>
        </w:rPr>
        <w:t>.-</w:t>
      </w:r>
      <w:proofErr w:type="gramEnd"/>
      <w:r w:rsidRPr="00104AF1">
        <w:rPr>
          <w:rFonts w:ascii="Garamond" w:hAnsi="Garamond"/>
        </w:rPr>
        <w:t xml:space="preserve">M. </w:t>
      </w:r>
      <w:proofErr w:type="gramStart"/>
      <w:r w:rsidRPr="00104AF1">
        <w:rPr>
          <w:rFonts w:ascii="Garamond" w:hAnsi="Garamond"/>
          <w:i/>
          <w:iCs/>
        </w:rPr>
        <w:t>A New World Order</w:t>
      </w:r>
      <w:r w:rsidRPr="00104AF1">
        <w:rPr>
          <w:rFonts w:ascii="Garamond" w:hAnsi="Garamond"/>
        </w:rPr>
        <w:t>.</w:t>
      </w:r>
      <w:proofErr w:type="gramEnd"/>
      <w:r w:rsidRPr="00104AF1">
        <w:rPr>
          <w:rFonts w:ascii="Garamond" w:hAnsi="Garamond"/>
        </w:rPr>
        <w:t xml:space="preserve"> Princeton: Princeton University Press, 2004.</w:t>
      </w:r>
    </w:p>
    <w:p w14:paraId="34DFABDC" w14:textId="77777777" w:rsidR="004E7EE8" w:rsidRPr="00104AF1" w:rsidRDefault="00B66945">
      <w:pPr>
        <w:rPr>
          <w:rFonts w:ascii="Garamond" w:hAnsi="Garamond"/>
          <w:i/>
        </w:rPr>
      </w:pPr>
      <w:proofErr w:type="spellStart"/>
      <w:r w:rsidRPr="00104AF1">
        <w:rPr>
          <w:rFonts w:ascii="Garamond" w:hAnsi="Garamond"/>
        </w:rPr>
        <w:t>Steinmo</w:t>
      </w:r>
      <w:proofErr w:type="spellEnd"/>
      <w:r w:rsidRPr="00104AF1">
        <w:rPr>
          <w:rFonts w:ascii="Garamond" w:hAnsi="Garamond"/>
        </w:rPr>
        <w:t xml:space="preserve">, Sven and Kathleen </w:t>
      </w:r>
      <w:proofErr w:type="spellStart"/>
      <w:r w:rsidRPr="00104AF1">
        <w:rPr>
          <w:rFonts w:ascii="Garamond" w:hAnsi="Garamond"/>
        </w:rPr>
        <w:t>Thelen</w:t>
      </w:r>
      <w:proofErr w:type="spellEnd"/>
      <w:r w:rsidRPr="00104AF1">
        <w:rPr>
          <w:rFonts w:ascii="Garamond" w:hAnsi="Garamond"/>
        </w:rPr>
        <w:t xml:space="preserve">. </w:t>
      </w:r>
      <w:r w:rsidRPr="00104AF1">
        <w:rPr>
          <w:rFonts w:ascii="Garamond" w:hAnsi="Garamond"/>
          <w:i/>
        </w:rPr>
        <w:t xml:space="preserve">Structuring Politics: Historical institutionalism in comparative </w:t>
      </w:r>
    </w:p>
    <w:p w14:paraId="03D0E779" w14:textId="77777777" w:rsidR="00B66945" w:rsidRPr="00104AF1" w:rsidRDefault="00B66945">
      <w:pPr>
        <w:ind w:firstLine="720"/>
        <w:rPr>
          <w:rFonts w:ascii="Garamond" w:hAnsi="Garamond"/>
        </w:rPr>
      </w:pPr>
      <w:proofErr w:type="gramStart"/>
      <w:r w:rsidRPr="00104AF1">
        <w:rPr>
          <w:rFonts w:ascii="Garamond" w:hAnsi="Garamond"/>
          <w:i/>
        </w:rPr>
        <w:t>analysis</w:t>
      </w:r>
      <w:proofErr w:type="gramEnd"/>
      <w:r w:rsidRPr="00104AF1">
        <w:rPr>
          <w:rFonts w:ascii="Garamond" w:hAnsi="Garamond"/>
        </w:rPr>
        <w:t xml:space="preserve">. </w:t>
      </w:r>
      <w:proofErr w:type="gramStart"/>
      <w:r w:rsidRPr="00104AF1">
        <w:rPr>
          <w:rFonts w:ascii="Garamond" w:hAnsi="Garamond"/>
        </w:rPr>
        <w:t>Cambridge University Press.</w:t>
      </w:r>
      <w:proofErr w:type="gramEnd"/>
      <w:r w:rsidRPr="00104AF1">
        <w:rPr>
          <w:rFonts w:ascii="Garamond" w:hAnsi="Garamond"/>
        </w:rPr>
        <w:t xml:space="preserve"> 1992.</w:t>
      </w:r>
    </w:p>
    <w:p w14:paraId="004CCA8D" w14:textId="77777777" w:rsidR="0067555D" w:rsidRPr="00104AF1" w:rsidRDefault="0067555D">
      <w:pPr>
        <w:rPr>
          <w:rFonts w:ascii="Garamond" w:hAnsi="Garamond"/>
        </w:rPr>
      </w:pPr>
      <w:r w:rsidRPr="00104AF1">
        <w:rPr>
          <w:rFonts w:ascii="Garamond" w:hAnsi="Garamond"/>
        </w:rPr>
        <w:t>Story, Jonathan and Ingo Walter.  P</w:t>
      </w:r>
      <w:r w:rsidRPr="00104AF1">
        <w:rPr>
          <w:rFonts w:ascii="Garamond" w:hAnsi="Garamond"/>
          <w:i/>
        </w:rPr>
        <w:t xml:space="preserve">olitical Economy of Financial Integration in Europe: The Battle of </w:t>
      </w:r>
      <w:r w:rsidRPr="00104AF1">
        <w:rPr>
          <w:rFonts w:ascii="Garamond" w:hAnsi="Garamond"/>
          <w:i/>
        </w:rPr>
        <w:tab/>
        <w:t>the Systems</w:t>
      </w:r>
      <w:r w:rsidRPr="00104AF1">
        <w:rPr>
          <w:rFonts w:ascii="Garamond" w:hAnsi="Garamond"/>
        </w:rPr>
        <w:t>. Cambridge: MIT Press. 1997.</w:t>
      </w:r>
    </w:p>
    <w:p w14:paraId="1D03428A" w14:textId="77777777" w:rsidR="00420744" w:rsidRPr="00104AF1" w:rsidRDefault="00420744">
      <w:pPr>
        <w:pStyle w:val="Default"/>
        <w:rPr>
          <w:rFonts w:ascii="Garamond" w:hAnsi="Garamond"/>
        </w:rPr>
      </w:pPr>
      <w:proofErr w:type="spellStart"/>
      <w:r w:rsidRPr="00104AF1">
        <w:rPr>
          <w:rFonts w:ascii="Garamond" w:hAnsi="Garamond"/>
        </w:rPr>
        <w:t>Tafara</w:t>
      </w:r>
      <w:proofErr w:type="spellEnd"/>
      <w:r w:rsidRPr="00104AF1">
        <w:rPr>
          <w:rFonts w:ascii="Garamond" w:hAnsi="Garamond"/>
        </w:rPr>
        <w:t xml:space="preserve">, </w:t>
      </w:r>
      <w:proofErr w:type="spellStart"/>
      <w:r w:rsidRPr="00104AF1">
        <w:rPr>
          <w:rFonts w:ascii="Garamond" w:hAnsi="Garamond"/>
        </w:rPr>
        <w:t>Ethiopis</w:t>
      </w:r>
      <w:proofErr w:type="spellEnd"/>
      <w:r w:rsidRPr="00104AF1">
        <w:rPr>
          <w:rFonts w:ascii="Garamond" w:hAnsi="Garamond"/>
        </w:rPr>
        <w:t xml:space="preserve">. “Global Markets, National Regulation, and Cooperation.” </w:t>
      </w:r>
      <w:proofErr w:type="gramStart"/>
      <w:r w:rsidRPr="00104AF1">
        <w:rPr>
          <w:rFonts w:ascii="Garamond" w:hAnsi="Garamond"/>
        </w:rPr>
        <w:t xml:space="preserve">Statement before </w:t>
      </w:r>
      <w:r w:rsidRPr="00104AF1">
        <w:rPr>
          <w:rFonts w:ascii="Garamond" w:hAnsi="Garamond"/>
        </w:rPr>
        <w:tab/>
        <w:t>the House Financial Services Committee.</w:t>
      </w:r>
      <w:proofErr w:type="gramEnd"/>
      <w:r w:rsidRPr="00104AF1">
        <w:rPr>
          <w:rFonts w:ascii="Garamond" w:hAnsi="Garamond"/>
        </w:rPr>
        <w:t xml:space="preserve"> May 13, 2004. </w:t>
      </w:r>
    </w:p>
    <w:p w14:paraId="211C6E45" w14:textId="77777777" w:rsidR="00C369D9" w:rsidRPr="00104AF1" w:rsidRDefault="00C369D9">
      <w:pPr>
        <w:pStyle w:val="Bibliography"/>
        <w:rPr>
          <w:rFonts w:ascii="Garamond" w:hAnsi="Garamond"/>
        </w:rPr>
      </w:pPr>
      <w:proofErr w:type="spellStart"/>
      <w:r w:rsidRPr="00104AF1">
        <w:rPr>
          <w:rFonts w:ascii="Garamond" w:hAnsi="Garamond"/>
        </w:rPr>
        <w:t>Thelen</w:t>
      </w:r>
      <w:proofErr w:type="spellEnd"/>
      <w:r w:rsidRPr="00104AF1">
        <w:rPr>
          <w:rFonts w:ascii="Garamond" w:hAnsi="Garamond"/>
        </w:rPr>
        <w:t xml:space="preserve">, K. </w:t>
      </w:r>
      <w:r w:rsidRPr="00104AF1">
        <w:rPr>
          <w:rFonts w:ascii="Garamond" w:hAnsi="Garamond"/>
          <w:i/>
          <w:iCs/>
        </w:rPr>
        <w:t>How Institutions Evolve: The political Economy of skills in Germany, Britain, the United States, and Japan</w:t>
      </w:r>
      <w:r w:rsidRPr="00104AF1">
        <w:rPr>
          <w:rFonts w:ascii="Garamond" w:hAnsi="Garamond"/>
        </w:rPr>
        <w:t>. Cambridge: Cambridge University Press, 2004.</w:t>
      </w:r>
    </w:p>
    <w:p w14:paraId="5ABF0F87" w14:textId="77777777" w:rsidR="004F6B28" w:rsidRPr="00104AF1" w:rsidRDefault="005716EC">
      <w:pPr>
        <w:rPr>
          <w:rFonts w:ascii="Garamond" w:hAnsi="Garamond"/>
        </w:rPr>
      </w:pPr>
      <w:proofErr w:type="spellStart"/>
      <w:r w:rsidRPr="00104AF1">
        <w:rPr>
          <w:rFonts w:ascii="Garamond" w:hAnsi="Garamond"/>
        </w:rPr>
        <w:t>Tsingou</w:t>
      </w:r>
      <w:proofErr w:type="spellEnd"/>
      <w:r w:rsidRPr="00104AF1">
        <w:rPr>
          <w:rFonts w:ascii="Garamond" w:hAnsi="Garamond"/>
        </w:rPr>
        <w:t xml:space="preserve">, E. “Transnational Private Governance and the Basel Process: Banking </w:t>
      </w:r>
    </w:p>
    <w:p w14:paraId="6EC38C4D" w14:textId="77777777" w:rsidR="004F6B28" w:rsidRPr="00104AF1" w:rsidRDefault="005716EC">
      <w:pPr>
        <w:ind w:left="720"/>
        <w:rPr>
          <w:rFonts w:ascii="Garamond" w:hAnsi="Garamond"/>
        </w:rPr>
      </w:pPr>
      <w:r w:rsidRPr="00104AF1">
        <w:rPr>
          <w:rFonts w:ascii="Garamond" w:hAnsi="Garamond"/>
        </w:rPr>
        <w:t xml:space="preserve">Regulation and Supervision, Private Interests and Basel II,” in JC Graz and A. </w:t>
      </w:r>
      <w:proofErr w:type="spellStart"/>
      <w:r w:rsidRPr="00104AF1">
        <w:rPr>
          <w:rFonts w:ascii="Garamond" w:hAnsi="Garamond"/>
        </w:rPr>
        <w:t>Nolke</w:t>
      </w:r>
      <w:proofErr w:type="spellEnd"/>
      <w:r w:rsidRPr="00104AF1">
        <w:rPr>
          <w:rFonts w:ascii="Garamond" w:hAnsi="Garamond"/>
        </w:rPr>
        <w:t xml:space="preserve">, </w:t>
      </w:r>
      <w:proofErr w:type="spellStart"/>
      <w:r w:rsidR="00D757D0" w:rsidRPr="00104AF1">
        <w:rPr>
          <w:rFonts w:ascii="Garamond" w:hAnsi="Garamond"/>
          <w:i/>
        </w:rPr>
        <w:t>Transnatioanl</w:t>
      </w:r>
      <w:proofErr w:type="spellEnd"/>
      <w:r w:rsidR="00D757D0" w:rsidRPr="00104AF1">
        <w:rPr>
          <w:rFonts w:ascii="Garamond" w:hAnsi="Garamond"/>
          <w:i/>
        </w:rPr>
        <w:t xml:space="preserve"> Private Governance and its Limits</w:t>
      </w:r>
      <w:r w:rsidRPr="00104AF1">
        <w:rPr>
          <w:rFonts w:ascii="Garamond" w:hAnsi="Garamond"/>
        </w:rPr>
        <w:t xml:space="preserve">, London: </w:t>
      </w:r>
      <w:proofErr w:type="spellStart"/>
      <w:r w:rsidRPr="00104AF1">
        <w:rPr>
          <w:rFonts w:ascii="Garamond" w:hAnsi="Garamond"/>
        </w:rPr>
        <w:t>Routledge</w:t>
      </w:r>
      <w:proofErr w:type="spellEnd"/>
      <w:r w:rsidRPr="00104AF1">
        <w:rPr>
          <w:rFonts w:ascii="Garamond" w:hAnsi="Garamond"/>
        </w:rPr>
        <w:t>.</w:t>
      </w:r>
    </w:p>
    <w:p w14:paraId="5EEA5324" w14:textId="77777777" w:rsidR="00C369D9" w:rsidRPr="00104AF1" w:rsidRDefault="00C369D9">
      <w:pPr>
        <w:pStyle w:val="Bibliography"/>
        <w:rPr>
          <w:rFonts w:ascii="Garamond" w:hAnsi="Garamond"/>
        </w:rPr>
      </w:pPr>
      <w:r w:rsidRPr="00104AF1">
        <w:rPr>
          <w:rFonts w:ascii="Garamond" w:hAnsi="Garamond"/>
        </w:rPr>
        <w:t>Underhill, G. “Keeping Governments Out of Polit</w:t>
      </w:r>
      <w:r w:rsidR="0067555D" w:rsidRPr="00104AF1">
        <w:rPr>
          <w:rFonts w:ascii="Garamond" w:hAnsi="Garamond"/>
        </w:rPr>
        <w:t>i</w:t>
      </w:r>
      <w:r w:rsidRPr="00104AF1">
        <w:rPr>
          <w:rFonts w:ascii="Garamond" w:hAnsi="Garamond"/>
        </w:rPr>
        <w:t>cs: Transnational Secur</w:t>
      </w:r>
      <w:r w:rsidR="0067555D" w:rsidRPr="00104AF1">
        <w:rPr>
          <w:rFonts w:ascii="Garamond" w:hAnsi="Garamond"/>
        </w:rPr>
        <w:t>i</w:t>
      </w:r>
      <w:r w:rsidRPr="00104AF1">
        <w:rPr>
          <w:rFonts w:ascii="Garamond" w:hAnsi="Garamond"/>
        </w:rPr>
        <w:t xml:space="preserve">ties Markets, Regulatory Cooperation, and Political Legitimacy.” </w:t>
      </w:r>
      <w:r w:rsidRPr="00104AF1">
        <w:rPr>
          <w:rFonts w:ascii="Garamond" w:hAnsi="Garamond"/>
          <w:i/>
          <w:iCs/>
        </w:rPr>
        <w:t>Review of International Studies</w:t>
      </w:r>
      <w:r w:rsidRPr="00104AF1">
        <w:rPr>
          <w:rFonts w:ascii="Garamond" w:hAnsi="Garamond"/>
        </w:rPr>
        <w:t xml:space="preserve"> 21, no. 3 (1995): 251-278.</w:t>
      </w:r>
    </w:p>
    <w:p w14:paraId="5E847EF1" w14:textId="77777777" w:rsidR="00940CFA" w:rsidRPr="00104AF1" w:rsidRDefault="00940CFA">
      <w:pPr>
        <w:pStyle w:val="Bibliography"/>
        <w:rPr>
          <w:rFonts w:ascii="Garamond" w:hAnsi="Garamond"/>
        </w:rPr>
      </w:pPr>
      <w:r w:rsidRPr="00104AF1">
        <w:rPr>
          <w:rFonts w:ascii="Garamond" w:hAnsi="Garamond"/>
        </w:rPr>
        <w:softHyphen/>
      </w:r>
      <w:r w:rsidRPr="00104AF1">
        <w:rPr>
          <w:rFonts w:ascii="Garamond" w:hAnsi="Garamond"/>
        </w:rPr>
        <w:softHyphen/>
      </w:r>
      <w:r w:rsidRPr="00104AF1">
        <w:rPr>
          <w:rFonts w:ascii="Garamond" w:hAnsi="Garamond"/>
        </w:rPr>
        <w:softHyphen/>
      </w:r>
      <w:r w:rsidRPr="00104AF1">
        <w:rPr>
          <w:rFonts w:ascii="Garamond" w:hAnsi="Garamond"/>
        </w:rPr>
        <w:softHyphen/>
      </w:r>
      <w:r w:rsidRPr="00104AF1">
        <w:rPr>
          <w:rFonts w:ascii="Garamond" w:hAnsi="Garamond"/>
        </w:rPr>
        <w:softHyphen/>
        <w:t xml:space="preserve">______. </w:t>
      </w:r>
      <w:proofErr w:type="gramStart"/>
      <w:r w:rsidRPr="00104AF1">
        <w:rPr>
          <w:rFonts w:ascii="Garamond" w:hAnsi="Garamond"/>
        </w:rPr>
        <w:t>ed</w:t>
      </w:r>
      <w:proofErr w:type="gramEnd"/>
      <w:r w:rsidRPr="00104AF1">
        <w:rPr>
          <w:rFonts w:ascii="Garamond" w:hAnsi="Garamond"/>
        </w:rPr>
        <w:t xml:space="preserve">. </w:t>
      </w:r>
      <w:proofErr w:type="gramStart"/>
      <w:r w:rsidRPr="00104AF1">
        <w:rPr>
          <w:rFonts w:ascii="Garamond" w:hAnsi="Garamond"/>
          <w:i/>
        </w:rPr>
        <w:t>The new world order in international finance.</w:t>
      </w:r>
      <w:proofErr w:type="gramEnd"/>
      <w:r w:rsidRPr="00104AF1">
        <w:rPr>
          <w:rFonts w:ascii="Garamond" w:hAnsi="Garamond"/>
        </w:rPr>
        <w:t xml:space="preserve">  New York: Palgrave Macmillan, 1997.</w:t>
      </w:r>
    </w:p>
    <w:p w14:paraId="1C06CEDA" w14:textId="77777777" w:rsidR="00A84880" w:rsidRPr="00104AF1" w:rsidRDefault="00A84880">
      <w:pPr>
        <w:rPr>
          <w:rFonts w:ascii="Garamond" w:hAnsi="Garamond"/>
        </w:rPr>
      </w:pPr>
      <w:r w:rsidRPr="00104AF1">
        <w:rPr>
          <w:rFonts w:ascii="Garamond" w:hAnsi="Garamond"/>
        </w:rPr>
        <w:t xml:space="preserve">Underhill, Geoffrey R. D., Jasper </w:t>
      </w:r>
      <w:proofErr w:type="spellStart"/>
      <w:r w:rsidRPr="00104AF1">
        <w:rPr>
          <w:rFonts w:ascii="Garamond" w:hAnsi="Garamond"/>
        </w:rPr>
        <w:t>Blom</w:t>
      </w:r>
      <w:proofErr w:type="spellEnd"/>
      <w:r w:rsidRPr="00104AF1">
        <w:rPr>
          <w:rFonts w:ascii="Garamond" w:hAnsi="Garamond"/>
        </w:rPr>
        <w:t xml:space="preserve"> and Daniel </w:t>
      </w:r>
      <w:proofErr w:type="spellStart"/>
      <w:r w:rsidRPr="00104AF1">
        <w:rPr>
          <w:rFonts w:ascii="Garamond" w:hAnsi="Garamond"/>
        </w:rPr>
        <w:t>Mügge</w:t>
      </w:r>
      <w:proofErr w:type="spellEnd"/>
      <w:r w:rsidRPr="00104AF1">
        <w:rPr>
          <w:rFonts w:ascii="Garamond" w:hAnsi="Garamond"/>
        </w:rPr>
        <w:t>, eds</w:t>
      </w:r>
      <w:proofErr w:type="gramStart"/>
      <w:r w:rsidRPr="00104AF1">
        <w:rPr>
          <w:rFonts w:ascii="Garamond" w:hAnsi="Garamond"/>
        </w:rPr>
        <w:t>.,</w:t>
      </w:r>
      <w:proofErr w:type="gramEnd"/>
      <w:r w:rsidRPr="00104AF1">
        <w:rPr>
          <w:rFonts w:ascii="Garamond" w:hAnsi="Garamond"/>
        </w:rPr>
        <w:t xml:space="preserve"> </w:t>
      </w:r>
      <w:r w:rsidRPr="00104AF1">
        <w:rPr>
          <w:rFonts w:ascii="Garamond" w:hAnsi="Garamond"/>
          <w:i/>
        </w:rPr>
        <w:t xml:space="preserve">Global Financial Integration </w:t>
      </w:r>
      <w:r w:rsidRPr="00104AF1">
        <w:rPr>
          <w:rFonts w:ascii="Garamond" w:hAnsi="Garamond"/>
          <w:i/>
        </w:rPr>
        <w:tab/>
        <w:t xml:space="preserve">Thirty Years On: From Reform to </w:t>
      </w:r>
      <w:r w:rsidRPr="00104AF1">
        <w:rPr>
          <w:rFonts w:ascii="Garamond" w:hAnsi="Garamond"/>
          <w:i/>
        </w:rPr>
        <w:tab/>
        <w:t>Crisis</w:t>
      </w:r>
      <w:r w:rsidRPr="00104AF1">
        <w:rPr>
          <w:rFonts w:ascii="Garamond" w:hAnsi="Garamond"/>
        </w:rPr>
        <w:t>,  Cambridge: Cambridge University Press, 2010.</w:t>
      </w:r>
    </w:p>
    <w:p w14:paraId="4C3A38DE" w14:textId="77777777" w:rsidR="00C369D9" w:rsidRPr="00104AF1" w:rsidRDefault="00C369D9">
      <w:pPr>
        <w:pStyle w:val="Bibliography"/>
        <w:rPr>
          <w:rFonts w:ascii="Garamond" w:hAnsi="Garamond"/>
        </w:rPr>
      </w:pPr>
      <w:r w:rsidRPr="00104AF1">
        <w:rPr>
          <w:rFonts w:ascii="Garamond" w:hAnsi="Garamond"/>
        </w:rPr>
        <w:t>U</w:t>
      </w:r>
      <w:r w:rsidR="00D32421" w:rsidRPr="00104AF1">
        <w:rPr>
          <w:rFonts w:ascii="Garamond" w:hAnsi="Garamond"/>
        </w:rPr>
        <w:t>nderhill</w:t>
      </w:r>
      <w:r w:rsidRPr="00104AF1">
        <w:rPr>
          <w:rFonts w:ascii="Garamond" w:hAnsi="Garamond"/>
        </w:rPr>
        <w:t>, G</w:t>
      </w:r>
      <w:r w:rsidR="00D32421" w:rsidRPr="00104AF1">
        <w:rPr>
          <w:rFonts w:ascii="Garamond" w:hAnsi="Garamond"/>
        </w:rPr>
        <w:t>eoffrey</w:t>
      </w:r>
      <w:r w:rsidRPr="00104AF1">
        <w:rPr>
          <w:rFonts w:ascii="Garamond" w:hAnsi="Garamond"/>
        </w:rPr>
        <w:t xml:space="preserve"> R. D., and </w:t>
      </w:r>
      <w:proofErr w:type="spellStart"/>
      <w:r w:rsidRPr="00104AF1">
        <w:rPr>
          <w:rFonts w:ascii="Garamond" w:hAnsi="Garamond"/>
        </w:rPr>
        <w:t>X</w:t>
      </w:r>
      <w:r w:rsidR="00D32421" w:rsidRPr="00104AF1">
        <w:rPr>
          <w:rFonts w:ascii="Garamond" w:hAnsi="Garamond"/>
        </w:rPr>
        <w:t>iaoke</w:t>
      </w:r>
      <w:proofErr w:type="spellEnd"/>
      <w:r w:rsidRPr="00104AF1">
        <w:rPr>
          <w:rFonts w:ascii="Garamond" w:hAnsi="Garamond"/>
        </w:rPr>
        <w:t xml:space="preserve"> Z</w:t>
      </w:r>
      <w:r w:rsidR="00D32421" w:rsidRPr="00104AF1">
        <w:rPr>
          <w:rFonts w:ascii="Garamond" w:hAnsi="Garamond"/>
        </w:rPr>
        <w:t>hang</w:t>
      </w:r>
      <w:r w:rsidRPr="00104AF1">
        <w:rPr>
          <w:rFonts w:ascii="Garamond" w:hAnsi="Garamond"/>
        </w:rPr>
        <w:t xml:space="preserve">. “Setting the rules: private power, political underpinnings, and legitimacy in global monetary and financial governance.” </w:t>
      </w:r>
      <w:r w:rsidRPr="00104AF1">
        <w:rPr>
          <w:rFonts w:ascii="Garamond" w:hAnsi="Garamond"/>
          <w:i/>
          <w:iCs/>
        </w:rPr>
        <w:t>International Affairs</w:t>
      </w:r>
      <w:r w:rsidRPr="00104AF1">
        <w:rPr>
          <w:rFonts w:ascii="Garamond" w:hAnsi="Garamond"/>
        </w:rPr>
        <w:t xml:space="preserve"> 84, no. 3 (May</w:t>
      </w:r>
      <w:r w:rsidR="000D3C0A" w:rsidRPr="00104AF1">
        <w:rPr>
          <w:rFonts w:ascii="Garamond" w:hAnsi="Garamond"/>
        </w:rPr>
        <w:t xml:space="preserve"> 2008</w:t>
      </w:r>
      <w:r w:rsidRPr="00104AF1">
        <w:rPr>
          <w:rFonts w:ascii="Garamond" w:hAnsi="Garamond"/>
        </w:rPr>
        <w:t>): 535-554.</w:t>
      </w:r>
    </w:p>
    <w:p w14:paraId="70A474E9" w14:textId="77777777" w:rsidR="00B66945" w:rsidRPr="00104AF1" w:rsidRDefault="00C369D9">
      <w:pPr>
        <w:pStyle w:val="Bibliography"/>
        <w:rPr>
          <w:rFonts w:ascii="Garamond" w:hAnsi="Garamond"/>
        </w:rPr>
      </w:pPr>
      <w:r w:rsidRPr="00104AF1">
        <w:rPr>
          <w:rFonts w:ascii="Garamond" w:hAnsi="Garamond"/>
        </w:rPr>
        <w:t>Vogel, D.</w:t>
      </w:r>
      <w:r w:rsidR="00B66945" w:rsidRPr="00104AF1">
        <w:rPr>
          <w:rFonts w:ascii="Garamond" w:hAnsi="Garamond"/>
        </w:rPr>
        <w:t xml:space="preserve"> </w:t>
      </w:r>
      <w:r w:rsidR="00B66945" w:rsidRPr="00104AF1">
        <w:rPr>
          <w:rFonts w:ascii="Garamond" w:hAnsi="Garamond"/>
          <w:i/>
        </w:rPr>
        <w:t>Fluctuating Fortunes: The political power of business in America</w:t>
      </w:r>
      <w:r w:rsidR="00B66945" w:rsidRPr="00104AF1">
        <w:rPr>
          <w:rFonts w:ascii="Garamond" w:hAnsi="Garamond"/>
        </w:rPr>
        <w:t>. Basic Books. 1989.</w:t>
      </w:r>
      <w:r w:rsidRPr="00104AF1">
        <w:rPr>
          <w:rFonts w:ascii="Garamond" w:hAnsi="Garamond"/>
        </w:rPr>
        <w:t xml:space="preserve"> </w:t>
      </w:r>
    </w:p>
    <w:p w14:paraId="70260DCC" w14:textId="77777777" w:rsidR="00C369D9" w:rsidRPr="00104AF1" w:rsidRDefault="00B66945">
      <w:pPr>
        <w:pStyle w:val="Bibliography"/>
        <w:rPr>
          <w:rFonts w:ascii="Garamond" w:hAnsi="Garamond"/>
        </w:rPr>
      </w:pPr>
      <w:r w:rsidRPr="00104AF1">
        <w:rPr>
          <w:rFonts w:ascii="Garamond" w:hAnsi="Garamond"/>
          <w:i/>
          <w:iCs/>
        </w:rPr>
        <w:t xml:space="preserve">------------. </w:t>
      </w:r>
      <w:r w:rsidR="00C369D9" w:rsidRPr="00104AF1">
        <w:rPr>
          <w:rFonts w:ascii="Garamond" w:hAnsi="Garamond"/>
          <w:i/>
          <w:iCs/>
        </w:rPr>
        <w:t>Trading Up: Consumer and Environmental Regulation in a Global Economy</w:t>
      </w:r>
      <w:r w:rsidR="00C369D9" w:rsidRPr="00104AF1">
        <w:rPr>
          <w:rFonts w:ascii="Garamond" w:hAnsi="Garamond"/>
        </w:rPr>
        <w:t>. Cambridge: Harvard University Press, 1995.</w:t>
      </w:r>
    </w:p>
    <w:p w14:paraId="7EEC2E63" w14:textId="77777777" w:rsidR="004E7EE8" w:rsidRPr="00104AF1" w:rsidRDefault="00C369D9">
      <w:pPr>
        <w:pStyle w:val="Bibliography"/>
        <w:ind w:left="0" w:firstLine="0"/>
        <w:rPr>
          <w:rFonts w:ascii="Garamond" w:hAnsi="Garamond"/>
        </w:rPr>
      </w:pPr>
      <w:r w:rsidRPr="00104AF1">
        <w:rPr>
          <w:rFonts w:ascii="Garamond" w:hAnsi="Garamond"/>
        </w:rPr>
        <w:t>Walter, Andrew.</w:t>
      </w:r>
      <w:r w:rsidR="004E7EE8" w:rsidRPr="00104AF1">
        <w:rPr>
          <w:rFonts w:ascii="Garamond" w:hAnsi="Garamond"/>
        </w:rPr>
        <w:t xml:space="preserve"> </w:t>
      </w:r>
      <w:r w:rsidRPr="00104AF1">
        <w:rPr>
          <w:rFonts w:ascii="Garamond" w:hAnsi="Garamond"/>
          <w:i/>
          <w:iCs/>
        </w:rPr>
        <w:t>Governing financ</w:t>
      </w:r>
      <w:r w:rsidRPr="00104AF1">
        <w:rPr>
          <w:rFonts w:ascii="Garamond" w:hAnsi="Garamond"/>
          <w:iCs/>
        </w:rPr>
        <w:t>e</w:t>
      </w:r>
      <w:r w:rsidR="00505582" w:rsidRPr="00104AF1">
        <w:rPr>
          <w:rFonts w:ascii="Garamond" w:hAnsi="Garamond"/>
        </w:rPr>
        <w:t>: East Asia’s Adoption of International Standards.</w:t>
      </w:r>
      <w:r w:rsidRPr="00104AF1">
        <w:rPr>
          <w:rFonts w:ascii="Garamond" w:hAnsi="Garamond"/>
        </w:rPr>
        <w:t xml:space="preserve"> Cornell </w:t>
      </w:r>
    </w:p>
    <w:p w14:paraId="45BC7FBB" w14:textId="77777777" w:rsidR="00C369D9" w:rsidRPr="00104AF1" w:rsidRDefault="00C369D9">
      <w:pPr>
        <w:pStyle w:val="Bibliography"/>
        <w:ind w:left="0" w:firstLine="720"/>
        <w:rPr>
          <w:rFonts w:ascii="Garamond" w:hAnsi="Garamond"/>
        </w:rPr>
      </w:pPr>
      <w:proofErr w:type="gramStart"/>
      <w:r w:rsidRPr="00104AF1">
        <w:rPr>
          <w:rFonts w:ascii="Garamond" w:hAnsi="Garamond"/>
        </w:rPr>
        <w:t>University Press, 2008.</w:t>
      </w:r>
      <w:proofErr w:type="gramEnd"/>
    </w:p>
    <w:p w14:paraId="6B7CF4D5" w14:textId="77777777" w:rsidR="000F3629" w:rsidRPr="00104AF1" w:rsidRDefault="00505582">
      <w:pPr>
        <w:rPr>
          <w:rFonts w:ascii="Garamond" w:hAnsi="Garamond"/>
        </w:rPr>
      </w:pPr>
      <w:r w:rsidRPr="00104AF1">
        <w:rPr>
          <w:rFonts w:ascii="Garamond" w:hAnsi="Garamond"/>
        </w:rPr>
        <w:softHyphen/>
      </w:r>
      <w:r w:rsidRPr="00104AF1">
        <w:rPr>
          <w:rFonts w:ascii="Garamond" w:hAnsi="Garamond"/>
        </w:rPr>
        <w:softHyphen/>
      </w:r>
      <w:r w:rsidRPr="00104AF1">
        <w:rPr>
          <w:rFonts w:ascii="Garamond" w:hAnsi="Garamond"/>
        </w:rPr>
        <w:softHyphen/>
        <w:t>______. “</w:t>
      </w:r>
      <w:r w:rsidR="00F11502" w:rsidRPr="00104AF1">
        <w:rPr>
          <w:rFonts w:ascii="Garamond" w:hAnsi="Garamond"/>
        </w:rPr>
        <w:t xml:space="preserve">Chinese Attitudes towards Global Financial Regulatory Cooperation: Revisionist </w:t>
      </w:r>
      <w:r w:rsidR="00F11502" w:rsidRPr="00104AF1">
        <w:rPr>
          <w:rFonts w:ascii="Garamond" w:hAnsi="Garamond"/>
        </w:rPr>
        <w:tab/>
        <w:t xml:space="preserve">or Status Quo?” in </w:t>
      </w:r>
      <w:proofErr w:type="spellStart"/>
      <w:r w:rsidR="00F11502" w:rsidRPr="00104AF1">
        <w:rPr>
          <w:rFonts w:ascii="Garamond" w:hAnsi="Garamond"/>
        </w:rPr>
        <w:t>Helleiner</w:t>
      </w:r>
      <w:proofErr w:type="spellEnd"/>
      <w:r w:rsidR="00F11502" w:rsidRPr="00104AF1">
        <w:rPr>
          <w:rFonts w:ascii="Garamond" w:hAnsi="Garamond"/>
        </w:rPr>
        <w:t xml:space="preserve">, Eric, Stefano </w:t>
      </w:r>
      <w:proofErr w:type="spellStart"/>
      <w:r w:rsidR="00F11502" w:rsidRPr="00104AF1">
        <w:rPr>
          <w:rFonts w:ascii="Garamond" w:hAnsi="Garamond"/>
        </w:rPr>
        <w:t>Pagliari</w:t>
      </w:r>
      <w:proofErr w:type="spellEnd"/>
      <w:r w:rsidR="00F11502" w:rsidRPr="00104AF1">
        <w:rPr>
          <w:rFonts w:ascii="Garamond" w:hAnsi="Garamond"/>
        </w:rPr>
        <w:t xml:space="preserve"> and Hubert Zimmerman, eds</w:t>
      </w:r>
      <w:proofErr w:type="gramStart"/>
      <w:r w:rsidR="00F11502" w:rsidRPr="00104AF1">
        <w:rPr>
          <w:rFonts w:ascii="Garamond" w:hAnsi="Garamond"/>
        </w:rPr>
        <w:t>.,</w:t>
      </w:r>
      <w:proofErr w:type="gramEnd"/>
      <w:r w:rsidR="00F11502" w:rsidRPr="00104AF1">
        <w:rPr>
          <w:rFonts w:ascii="Garamond" w:hAnsi="Garamond"/>
        </w:rPr>
        <w:t xml:space="preserve"> </w:t>
      </w:r>
      <w:r w:rsidR="00F11502" w:rsidRPr="00104AF1">
        <w:rPr>
          <w:rFonts w:ascii="Garamond" w:hAnsi="Garamond"/>
        </w:rPr>
        <w:tab/>
        <w:t xml:space="preserve">Global Finance in Crisis: The Politics of International Regulatory Change. London: </w:t>
      </w:r>
      <w:r w:rsidR="00F11502" w:rsidRPr="00104AF1">
        <w:rPr>
          <w:rFonts w:ascii="Garamond" w:hAnsi="Garamond"/>
        </w:rPr>
        <w:tab/>
      </w:r>
      <w:proofErr w:type="spellStart"/>
      <w:r w:rsidR="00F11502" w:rsidRPr="00104AF1">
        <w:rPr>
          <w:rFonts w:ascii="Garamond" w:hAnsi="Garamond"/>
        </w:rPr>
        <w:t>Routledge</w:t>
      </w:r>
      <w:proofErr w:type="spellEnd"/>
      <w:r w:rsidR="00F11502" w:rsidRPr="00104AF1">
        <w:rPr>
          <w:rFonts w:ascii="Garamond" w:hAnsi="Garamond"/>
        </w:rPr>
        <w:t>, 2010, 121-136.</w:t>
      </w:r>
    </w:p>
    <w:p w14:paraId="33C98FA8" w14:textId="77777777" w:rsidR="00C369D9" w:rsidRPr="00104AF1" w:rsidRDefault="00C369D9">
      <w:pPr>
        <w:pStyle w:val="Bibliography"/>
        <w:rPr>
          <w:rFonts w:ascii="Garamond" w:hAnsi="Garamond"/>
        </w:rPr>
      </w:pPr>
      <w:proofErr w:type="gramStart"/>
      <w:r w:rsidRPr="00104AF1">
        <w:rPr>
          <w:rFonts w:ascii="Garamond" w:hAnsi="Garamond"/>
        </w:rPr>
        <w:t xml:space="preserve">Weber, Steven, and Bruce W. </w:t>
      </w:r>
      <w:proofErr w:type="spellStart"/>
      <w:r w:rsidRPr="00104AF1">
        <w:rPr>
          <w:rFonts w:ascii="Garamond" w:hAnsi="Garamond"/>
        </w:rPr>
        <w:t>Jentleson</w:t>
      </w:r>
      <w:proofErr w:type="spellEnd"/>
      <w:r w:rsidRPr="00104AF1">
        <w:rPr>
          <w:rFonts w:ascii="Garamond" w:hAnsi="Garamond"/>
        </w:rPr>
        <w:t>.</w:t>
      </w:r>
      <w:proofErr w:type="gramEnd"/>
      <w:r w:rsidRPr="00104AF1">
        <w:rPr>
          <w:rFonts w:ascii="Garamond" w:hAnsi="Garamond"/>
        </w:rPr>
        <w:t xml:space="preserve"> </w:t>
      </w:r>
      <w:r w:rsidRPr="00104AF1">
        <w:rPr>
          <w:rFonts w:ascii="Garamond" w:hAnsi="Garamond"/>
          <w:i/>
          <w:iCs/>
        </w:rPr>
        <w:t>The end of arrogance: America in the global competition of ideas</w:t>
      </w:r>
      <w:r w:rsidRPr="00104AF1">
        <w:rPr>
          <w:rFonts w:ascii="Garamond" w:hAnsi="Garamond"/>
        </w:rPr>
        <w:t xml:space="preserve">. </w:t>
      </w:r>
      <w:proofErr w:type="gramStart"/>
      <w:r w:rsidRPr="00104AF1">
        <w:rPr>
          <w:rFonts w:ascii="Garamond" w:hAnsi="Garamond"/>
        </w:rPr>
        <w:t>Harvard University Press, 2010.</w:t>
      </w:r>
      <w:proofErr w:type="gramEnd"/>
    </w:p>
    <w:p w14:paraId="5698F8AC" w14:textId="77777777" w:rsidR="008E33A3" w:rsidRPr="00104AF1" w:rsidRDefault="008E33A3">
      <w:pPr>
        <w:rPr>
          <w:rFonts w:ascii="Garamond" w:hAnsi="Garamond"/>
          <w:i/>
        </w:rPr>
      </w:pPr>
      <w:proofErr w:type="spellStart"/>
      <w:r w:rsidRPr="00104AF1">
        <w:rPr>
          <w:rFonts w:ascii="Garamond" w:hAnsi="Garamond"/>
        </w:rPr>
        <w:t>Woll</w:t>
      </w:r>
      <w:proofErr w:type="spellEnd"/>
      <w:r w:rsidRPr="00104AF1">
        <w:rPr>
          <w:rFonts w:ascii="Garamond" w:hAnsi="Garamond"/>
        </w:rPr>
        <w:t xml:space="preserve">, Cornelia. </w:t>
      </w:r>
      <w:r w:rsidRPr="00104AF1">
        <w:rPr>
          <w:rFonts w:ascii="Garamond" w:hAnsi="Garamond"/>
          <w:i/>
        </w:rPr>
        <w:t xml:space="preserve">Firm Interests: How governments shape business lobbying on global </w:t>
      </w:r>
    </w:p>
    <w:p w14:paraId="4588B3C1" w14:textId="77777777" w:rsidR="008E33A3" w:rsidRPr="00104AF1" w:rsidRDefault="008E33A3">
      <w:pPr>
        <w:ind w:firstLine="720"/>
        <w:rPr>
          <w:rFonts w:ascii="Garamond" w:hAnsi="Garamond"/>
        </w:rPr>
      </w:pPr>
      <w:proofErr w:type="gramStart"/>
      <w:r w:rsidRPr="00104AF1">
        <w:rPr>
          <w:rFonts w:ascii="Garamond" w:hAnsi="Garamond"/>
          <w:i/>
        </w:rPr>
        <w:t>trade</w:t>
      </w:r>
      <w:proofErr w:type="gramEnd"/>
      <w:r w:rsidRPr="00104AF1">
        <w:rPr>
          <w:rFonts w:ascii="Garamond" w:hAnsi="Garamond"/>
        </w:rPr>
        <w:t>. Ithaca: Cornell University Press, 2008</w:t>
      </w:r>
      <w:r w:rsidR="006A0E68" w:rsidRPr="00104AF1">
        <w:rPr>
          <w:rFonts w:ascii="Garamond" w:hAnsi="Garamond"/>
        </w:rPr>
        <w:t>.</w:t>
      </w:r>
    </w:p>
    <w:p w14:paraId="2864C1B7" w14:textId="77777777" w:rsidR="006A0E68" w:rsidRPr="00104AF1" w:rsidRDefault="006A0E68">
      <w:pPr>
        <w:rPr>
          <w:rFonts w:ascii="Garamond" w:hAnsi="Garamond"/>
        </w:rPr>
      </w:pPr>
      <w:r w:rsidRPr="00104AF1">
        <w:rPr>
          <w:rFonts w:ascii="Garamond" w:hAnsi="Garamond"/>
        </w:rPr>
        <w:t xml:space="preserve">Wood, D. </w:t>
      </w:r>
      <w:r w:rsidRPr="00104AF1">
        <w:rPr>
          <w:rFonts w:ascii="Garamond" w:hAnsi="Garamond"/>
          <w:i/>
        </w:rPr>
        <w:t xml:space="preserve">Governing Global Banking: The Basel Committee and the Politics of Financial </w:t>
      </w:r>
      <w:proofErr w:type="spellStart"/>
      <w:r w:rsidRPr="00104AF1">
        <w:rPr>
          <w:rFonts w:ascii="Garamond" w:hAnsi="Garamond"/>
          <w:i/>
        </w:rPr>
        <w:t>Globalisation</w:t>
      </w:r>
      <w:proofErr w:type="spellEnd"/>
      <w:r w:rsidRPr="00104AF1">
        <w:rPr>
          <w:rFonts w:ascii="Garamond" w:hAnsi="Garamond"/>
        </w:rPr>
        <w:t xml:space="preserve">. </w:t>
      </w:r>
      <w:r w:rsidRPr="00104AF1">
        <w:rPr>
          <w:rFonts w:ascii="Garamond" w:hAnsi="Garamond"/>
        </w:rPr>
        <w:tab/>
      </w:r>
      <w:proofErr w:type="spellStart"/>
      <w:proofErr w:type="gramStart"/>
      <w:r w:rsidRPr="00104AF1">
        <w:rPr>
          <w:rFonts w:ascii="Garamond" w:hAnsi="Garamond"/>
        </w:rPr>
        <w:t>Ashgate</w:t>
      </w:r>
      <w:proofErr w:type="spellEnd"/>
      <w:r w:rsidRPr="00104AF1">
        <w:rPr>
          <w:rFonts w:ascii="Garamond" w:hAnsi="Garamond"/>
        </w:rPr>
        <w:t>, 2005.</w:t>
      </w:r>
      <w:proofErr w:type="gramEnd"/>
    </w:p>
    <w:p w14:paraId="3C6851B6" w14:textId="77777777" w:rsidR="004F6B28" w:rsidRPr="00104AF1" w:rsidRDefault="00B627D7">
      <w:pPr>
        <w:rPr>
          <w:rFonts w:ascii="Garamond" w:hAnsi="Garamond"/>
        </w:rPr>
      </w:pPr>
      <w:r w:rsidRPr="00104AF1">
        <w:rPr>
          <w:rFonts w:ascii="Garamond" w:hAnsi="Garamond"/>
        </w:rPr>
        <w:t xml:space="preserve">Young, Kevin. “Transnational Regulatory Capture? An Empirical Examination of the </w:t>
      </w:r>
    </w:p>
    <w:p w14:paraId="091390DB" w14:textId="77777777" w:rsidR="004F6B28" w:rsidRPr="00104AF1" w:rsidRDefault="00B627D7">
      <w:pPr>
        <w:ind w:firstLine="720"/>
        <w:rPr>
          <w:rFonts w:ascii="Garamond" w:hAnsi="Garamond"/>
        </w:rPr>
      </w:pPr>
      <w:r w:rsidRPr="00104AF1">
        <w:rPr>
          <w:rFonts w:ascii="Garamond" w:hAnsi="Garamond"/>
        </w:rPr>
        <w:t>Transnational Lobbying of the Basel Committee on Banking Supervision</w:t>
      </w:r>
      <w:r w:rsidR="005716EC" w:rsidRPr="00104AF1">
        <w:rPr>
          <w:rFonts w:ascii="Garamond" w:hAnsi="Garamond"/>
        </w:rPr>
        <w:t xml:space="preserve">,” </w:t>
      </w:r>
    </w:p>
    <w:p w14:paraId="4EA8DDF3" w14:textId="77777777" w:rsidR="004F6B28" w:rsidRPr="00104AF1" w:rsidRDefault="00D757D0">
      <w:pPr>
        <w:ind w:firstLine="720"/>
        <w:rPr>
          <w:rFonts w:ascii="Garamond" w:hAnsi="Garamond"/>
        </w:rPr>
      </w:pPr>
      <w:proofErr w:type="gramStart"/>
      <w:r w:rsidRPr="00104AF1">
        <w:rPr>
          <w:rFonts w:ascii="Garamond" w:hAnsi="Garamond"/>
          <w:i/>
        </w:rPr>
        <w:t>Review of International Political Economy</w:t>
      </w:r>
      <w:r w:rsidR="005716EC" w:rsidRPr="00104AF1">
        <w:rPr>
          <w:rFonts w:ascii="Garamond" w:hAnsi="Garamond"/>
        </w:rPr>
        <w:t>.</w:t>
      </w:r>
      <w:proofErr w:type="gramEnd"/>
      <w:r w:rsidR="005716EC" w:rsidRPr="00104AF1">
        <w:rPr>
          <w:rFonts w:ascii="Garamond" w:hAnsi="Garamond"/>
        </w:rPr>
        <w:t xml:space="preserve"> 2012.</w:t>
      </w:r>
    </w:p>
    <w:p w14:paraId="3F579C8D" w14:textId="77777777" w:rsidR="00C369D9" w:rsidRPr="00104AF1" w:rsidRDefault="00C369D9">
      <w:pPr>
        <w:pStyle w:val="Bibliography"/>
        <w:rPr>
          <w:rFonts w:ascii="Garamond" w:hAnsi="Garamond"/>
        </w:rPr>
      </w:pPr>
      <w:proofErr w:type="spellStart"/>
      <w:r w:rsidRPr="00104AF1">
        <w:rPr>
          <w:rFonts w:ascii="Garamond" w:hAnsi="Garamond"/>
        </w:rPr>
        <w:t>Zaring</w:t>
      </w:r>
      <w:proofErr w:type="spellEnd"/>
      <w:r w:rsidRPr="00104AF1">
        <w:rPr>
          <w:rFonts w:ascii="Garamond" w:hAnsi="Garamond"/>
        </w:rPr>
        <w:t xml:space="preserve">, D. “International Law by Other Means: The Twilight Existence of International Financial Regulatory Organizations.” </w:t>
      </w:r>
      <w:proofErr w:type="gramStart"/>
      <w:r w:rsidRPr="00104AF1">
        <w:rPr>
          <w:rFonts w:ascii="Garamond" w:hAnsi="Garamond"/>
          <w:i/>
          <w:iCs/>
        </w:rPr>
        <w:t>Texas International Law Journal</w:t>
      </w:r>
      <w:r w:rsidRPr="00104AF1">
        <w:rPr>
          <w:rFonts w:ascii="Garamond" w:hAnsi="Garamond"/>
        </w:rPr>
        <w:t xml:space="preserve"> 33, no. 281 (1998).</w:t>
      </w:r>
      <w:proofErr w:type="gramEnd"/>
    </w:p>
    <w:p w14:paraId="1F1DAEEE" w14:textId="77777777" w:rsidR="004F6B28" w:rsidRPr="00104AF1" w:rsidRDefault="00B627D7">
      <w:pPr>
        <w:rPr>
          <w:rFonts w:ascii="Garamond" w:hAnsi="Garamond"/>
        </w:rPr>
      </w:pPr>
      <w:r w:rsidRPr="00104AF1">
        <w:rPr>
          <w:rFonts w:ascii="Garamond" w:hAnsi="Garamond"/>
        </w:rPr>
        <w:t>--------. “Informal Procedure, Hard and Soft, in International Administration,”</w:t>
      </w:r>
    </w:p>
    <w:p w14:paraId="50CCB4E8" w14:textId="77777777" w:rsidR="004F6B28" w:rsidRPr="00104AF1" w:rsidRDefault="00D757D0">
      <w:pPr>
        <w:ind w:left="720"/>
        <w:rPr>
          <w:rFonts w:ascii="Garamond" w:hAnsi="Garamond"/>
        </w:rPr>
      </w:pPr>
      <w:r w:rsidRPr="00104AF1">
        <w:rPr>
          <w:rFonts w:ascii="Garamond" w:hAnsi="Garamond"/>
          <w:i/>
        </w:rPr>
        <w:t>Chicago Journal of International Law</w:t>
      </w:r>
      <w:r w:rsidR="00B627D7" w:rsidRPr="00104AF1">
        <w:rPr>
          <w:rFonts w:ascii="Garamond" w:hAnsi="Garamond"/>
        </w:rPr>
        <w:t xml:space="preserve"> 5(2005): 547</w:t>
      </w:r>
      <w:r w:rsidR="00252CBF" w:rsidRPr="00104AF1">
        <w:rPr>
          <w:rFonts w:ascii="Garamond" w:hAnsi="Garamond"/>
        </w:rPr>
        <w:t>.</w:t>
      </w:r>
    </w:p>
    <w:p w14:paraId="5844F6F4" w14:textId="77777777" w:rsidR="005C7E4B" w:rsidRPr="00104AF1" w:rsidRDefault="005C7E4B">
      <w:pPr>
        <w:rPr>
          <w:rFonts w:ascii="Garamond" w:hAnsi="Garamond"/>
          <w:i/>
        </w:rPr>
      </w:pPr>
      <w:r w:rsidRPr="00104AF1">
        <w:rPr>
          <w:rFonts w:ascii="Garamond" w:hAnsi="Garamond"/>
        </w:rPr>
        <w:t xml:space="preserve">Zimmerman, Hubert. “Varieties of Global Financial Governance?” in </w:t>
      </w:r>
      <w:r w:rsidRPr="00104AF1">
        <w:rPr>
          <w:rFonts w:ascii="Garamond" w:hAnsi="Garamond"/>
          <w:i/>
        </w:rPr>
        <w:t xml:space="preserve">Global Finance in </w:t>
      </w:r>
    </w:p>
    <w:p w14:paraId="68C2E433" w14:textId="77777777" w:rsidR="005C7E4B" w:rsidRPr="00104AF1" w:rsidRDefault="005C7E4B">
      <w:pPr>
        <w:ind w:firstLine="720"/>
        <w:rPr>
          <w:rFonts w:ascii="Garamond" w:hAnsi="Garamond"/>
        </w:rPr>
      </w:pPr>
      <w:r w:rsidRPr="00104AF1">
        <w:rPr>
          <w:rFonts w:ascii="Garamond" w:hAnsi="Garamond"/>
          <w:i/>
        </w:rPr>
        <w:t xml:space="preserve">Crisis </w:t>
      </w:r>
      <w:proofErr w:type="gramStart"/>
      <w:r w:rsidRPr="00104AF1">
        <w:rPr>
          <w:rFonts w:ascii="Garamond" w:hAnsi="Garamond"/>
        </w:rPr>
        <w:t>eds</w:t>
      </w:r>
      <w:proofErr w:type="gramEnd"/>
      <w:r w:rsidRPr="00104AF1">
        <w:rPr>
          <w:rFonts w:ascii="Garamond" w:hAnsi="Garamond"/>
        </w:rPr>
        <w:t xml:space="preserve">. </w:t>
      </w:r>
      <w:proofErr w:type="spellStart"/>
      <w:r w:rsidRPr="00104AF1">
        <w:rPr>
          <w:rFonts w:ascii="Garamond" w:hAnsi="Garamond"/>
        </w:rPr>
        <w:t>Helleiner</w:t>
      </w:r>
      <w:proofErr w:type="spellEnd"/>
      <w:r w:rsidRPr="00104AF1">
        <w:rPr>
          <w:rFonts w:ascii="Garamond" w:hAnsi="Garamond"/>
        </w:rPr>
        <w:t xml:space="preserve">, </w:t>
      </w:r>
      <w:proofErr w:type="spellStart"/>
      <w:r w:rsidRPr="00104AF1">
        <w:rPr>
          <w:rFonts w:ascii="Garamond" w:hAnsi="Garamond"/>
        </w:rPr>
        <w:t>Pagliari</w:t>
      </w:r>
      <w:proofErr w:type="spellEnd"/>
      <w:r w:rsidRPr="00104AF1">
        <w:rPr>
          <w:rFonts w:ascii="Garamond" w:hAnsi="Garamond"/>
        </w:rPr>
        <w:t xml:space="preserve">, and Zimmerman. </w:t>
      </w:r>
      <w:proofErr w:type="spellStart"/>
      <w:r w:rsidRPr="00104AF1">
        <w:rPr>
          <w:rFonts w:ascii="Garamond" w:hAnsi="Garamond"/>
        </w:rPr>
        <w:t>Routledge</w:t>
      </w:r>
      <w:proofErr w:type="spellEnd"/>
      <w:r w:rsidRPr="00104AF1">
        <w:rPr>
          <w:rFonts w:ascii="Garamond" w:hAnsi="Garamond"/>
        </w:rPr>
        <w:t>. 2009.</w:t>
      </w:r>
    </w:p>
    <w:p w14:paraId="17B97882" w14:textId="77777777" w:rsidR="00C369D9" w:rsidRPr="00104AF1" w:rsidRDefault="00C369D9">
      <w:pPr>
        <w:pStyle w:val="Bibliography"/>
        <w:rPr>
          <w:rFonts w:ascii="Garamond" w:hAnsi="Garamond"/>
        </w:rPr>
      </w:pPr>
      <w:proofErr w:type="spellStart"/>
      <w:r w:rsidRPr="00104AF1">
        <w:rPr>
          <w:rFonts w:ascii="Garamond" w:hAnsi="Garamond"/>
        </w:rPr>
        <w:t>Zysman</w:t>
      </w:r>
      <w:proofErr w:type="spellEnd"/>
      <w:r w:rsidRPr="00104AF1">
        <w:rPr>
          <w:rFonts w:ascii="Garamond" w:hAnsi="Garamond"/>
        </w:rPr>
        <w:t xml:space="preserve">, J. </w:t>
      </w:r>
      <w:r w:rsidRPr="00104AF1">
        <w:rPr>
          <w:rFonts w:ascii="Garamond" w:hAnsi="Garamond"/>
          <w:i/>
          <w:iCs/>
        </w:rPr>
        <w:t>Governments, Markets, and Growth: Financial Systems and the Politics of Industrial Change</w:t>
      </w:r>
      <w:r w:rsidRPr="00104AF1">
        <w:rPr>
          <w:rFonts w:ascii="Garamond" w:hAnsi="Garamond"/>
        </w:rPr>
        <w:t>. Ithaca: Cornell University Press, 1983.</w:t>
      </w:r>
    </w:p>
    <w:p w14:paraId="4150CFFE" w14:textId="77777777" w:rsidR="007F32EA" w:rsidRDefault="007F32EA" w:rsidP="00B37BBB">
      <w:pPr>
        <w:spacing w:line="480" w:lineRule="auto"/>
        <w:rPr>
          <w:rFonts w:ascii="Garamond" w:hAnsi="Garamond"/>
        </w:rPr>
      </w:pPr>
    </w:p>
    <w:p w14:paraId="224E4556" w14:textId="77777777" w:rsidR="005D7861" w:rsidRDefault="005D7861" w:rsidP="00B37BBB">
      <w:pPr>
        <w:spacing w:line="480" w:lineRule="auto"/>
        <w:rPr>
          <w:rFonts w:ascii="Garamond" w:hAnsi="Garamond"/>
        </w:rPr>
      </w:pPr>
    </w:p>
    <w:p w14:paraId="2FC6CAA3" w14:textId="7858933F" w:rsidR="005D7861" w:rsidRPr="005D7861" w:rsidRDefault="005D7861" w:rsidP="00B37BBB">
      <w:pPr>
        <w:spacing w:line="480" w:lineRule="auto"/>
        <w:rPr>
          <w:rFonts w:ascii="Garamond" w:hAnsi="Garamond"/>
          <w:b/>
        </w:rPr>
      </w:pPr>
      <w:r w:rsidRPr="005D7861">
        <w:rPr>
          <w:rFonts w:ascii="Garamond" w:hAnsi="Garamond"/>
          <w:b/>
        </w:rPr>
        <w:t>Notes</w:t>
      </w:r>
    </w:p>
    <w:sectPr w:rsidR="005D7861" w:rsidRPr="005D7861" w:rsidSect="007A7B62">
      <w:footerReference w:type="even" r:id="rId11"/>
      <w:footerReference w:type="default" r:id="rId12"/>
      <w:endnotePr>
        <w:numFmt w:val="decimal"/>
      </w:end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0820A" w14:textId="77777777" w:rsidR="00696168" w:rsidRDefault="00696168" w:rsidP="00F70BD5">
      <w:r>
        <w:separator/>
      </w:r>
    </w:p>
  </w:endnote>
  <w:endnote w:type="continuationSeparator" w:id="0">
    <w:p w14:paraId="2C79C8B6" w14:textId="77777777" w:rsidR="00696168" w:rsidRDefault="00696168" w:rsidP="00F70BD5">
      <w:r>
        <w:continuationSeparator/>
      </w:r>
    </w:p>
  </w:endnote>
  <w:endnote w:id="1">
    <w:p w14:paraId="475E058A"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For a general review of the research on transnationalism, see </w:t>
      </w:r>
      <w:proofErr w:type="spellStart"/>
      <w:r w:rsidRPr="007538FF">
        <w:rPr>
          <w:rFonts w:ascii="Garamond" w:hAnsi="Garamond"/>
        </w:rPr>
        <w:t>Djelic</w:t>
      </w:r>
      <w:proofErr w:type="spellEnd"/>
      <w:r w:rsidRPr="007538FF">
        <w:rPr>
          <w:rFonts w:ascii="Garamond" w:hAnsi="Garamond"/>
        </w:rPr>
        <w:t xml:space="preserve"> and Quack 2010. </w:t>
      </w:r>
      <w:proofErr w:type="spellStart"/>
      <w:r w:rsidRPr="007538FF">
        <w:rPr>
          <w:rFonts w:ascii="Garamond" w:hAnsi="Garamond"/>
        </w:rPr>
        <w:t>Cerny</w:t>
      </w:r>
      <w:proofErr w:type="spellEnd"/>
      <w:r w:rsidRPr="007538FF">
        <w:rPr>
          <w:rFonts w:ascii="Garamond" w:hAnsi="Garamond"/>
        </w:rPr>
        <w:t xml:space="preserve"> 2010 is an example of the latest generation of research.  For specific applications to finance, see </w:t>
      </w:r>
      <w:proofErr w:type="spellStart"/>
      <w:r w:rsidRPr="007538FF">
        <w:rPr>
          <w:rFonts w:ascii="Garamond" w:hAnsi="Garamond"/>
        </w:rPr>
        <w:t>McKeen</w:t>
      </w:r>
      <w:proofErr w:type="spellEnd"/>
      <w:r w:rsidRPr="007538FF">
        <w:rPr>
          <w:rFonts w:ascii="Garamond" w:hAnsi="Garamond"/>
        </w:rPr>
        <w:t xml:space="preserve">-Edwards and Porter 2013; </w:t>
      </w:r>
      <w:proofErr w:type="spellStart"/>
      <w:r w:rsidRPr="007538FF">
        <w:rPr>
          <w:rFonts w:ascii="Garamond" w:hAnsi="Garamond"/>
        </w:rPr>
        <w:t>Botsem</w:t>
      </w:r>
      <w:proofErr w:type="spellEnd"/>
      <w:r w:rsidRPr="007538FF">
        <w:rPr>
          <w:rFonts w:ascii="Garamond" w:hAnsi="Garamond"/>
        </w:rPr>
        <w:t xml:space="preserve"> 2012; </w:t>
      </w:r>
      <w:proofErr w:type="spellStart"/>
      <w:r w:rsidRPr="007538FF">
        <w:rPr>
          <w:rFonts w:ascii="Garamond" w:hAnsi="Garamond"/>
        </w:rPr>
        <w:t>Hussain</w:t>
      </w:r>
      <w:proofErr w:type="spellEnd"/>
      <w:r w:rsidRPr="007538FF">
        <w:rPr>
          <w:rFonts w:ascii="Garamond" w:hAnsi="Garamond"/>
        </w:rPr>
        <w:t xml:space="preserve"> and </w:t>
      </w:r>
      <w:proofErr w:type="spellStart"/>
      <w:r w:rsidRPr="007538FF">
        <w:rPr>
          <w:rFonts w:ascii="Garamond" w:hAnsi="Garamond"/>
        </w:rPr>
        <w:t>Ventresca</w:t>
      </w:r>
      <w:proofErr w:type="spellEnd"/>
      <w:r w:rsidRPr="007538FF">
        <w:rPr>
          <w:rFonts w:ascii="Garamond" w:hAnsi="Garamond"/>
        </w:rPr>
        <w:t xml:space="preserve"> 2010; </w:t>
      </w:r>
      <w:proofErr w:type="spellStart"/>
      <w:r w:rsidRPr="007538FF">
        <w:rPr>
          <w:rFonts w:ascii="Garamond" w:hAnsi="Garamond"/>
        </w:rPr>
        <w:t>Nölke</w:t>
      </w:r>
      <w:proofErr w:type="spellEnd"/>
      <w:r w:rsidRPr="007538FF">
        <w:rPr>
          <w:rFonts w:ascii="Garamond" w:hAnsi="Garamond"/>
        </w:rPr>
        <w:t xml:space="preserve"> and Perry 2008; Perry and </w:t>
      </w:r>
      <w:proofErr w:type="spellStart"/>
      <w:r w:rsidRPr="007538FF">
        <w:rPr>
          <w:rFonts w:ascii="Garamond" w:hAnsi="Garamond"/>
        </w:rPr>
        <w:t>Nölke</w:t>
      </w:r>
      <w:proofErr w:type="spellEnd"/>
      <w:r w:rsidRPr="007538FF">
        <w:rPr>
          <w:rFonts w:ascii="Garamond" w:hAnsi="Garamond"/>
        </w:rPr>
        <w:t xml:space="preserve"> 2006.  On the second generation, see </w:t>
      </w:r>
      <w:proofErr w:type="spellStart"/>
      <w:r w:rsidRPr="007538FF">
        <w:rPr>
          <w:rFonts w:ascii="Garamond" w:hAnsi="Garamond"/>
        </w:rPr>
        <w:t>Risse-Kappen</w:t>
      </w:r>
      <w:proofErr w:type="spellEnd"/>
      <w:r w:rsidRPr="007538FF">
        <w:rPr>
          <w:rFonts w:ascii="Garamond" w:hAnsi="Garamond"/>
        </w:rPr>
        <w:t xml:space="preserve"> 1995</w:t>
      </w:r>
      <w:proofErr w:type="gramStart"/>
      <w:r w:rsidRPr="007538FF">
        <w:rPr>
          <w:rFonts w:ascii="Garamond" w:hAnsi="Garamond"/>
        </w:rPr>
        <w:t>;</w:t>
      </w:r>
      <w:proofErr w:type="gramEnd"/>
      <w:r w:rsidRPr="007538FF">
        <w:rPr>
          <w:rFonts w:ascii="Garamond" w:hAnsi="Garamond"/>
        </w:rPr>
        <w:t xml:space="preserve"> Keck and </w:t>
      </w:r>
      <w:proofErr w:type="spellStart"/>
      <w:r w:rsidRPr="007538FF">
        <w:rPr>
          <w:rFonts w:ascii="Garamond" w:hAnsi="Garamond"/>
        </w:rPr>
        <w:t>Sikkink</w:t>
      </w:r>
      <w:proofErr w:type="spellEnd"/>
      <w:r w:rsidRPr="007538FF">
        <w:rPr>
          <w:rFonts w:ascii="Garamond" w:hAnsi="Garamond"/>
        </w:rPr>
        <w:t xml:space="preserve"> 1998 and Slaughter 2004.   On the first generation, see Nye and </w:t>
      </w:r>
      <w:proofErr w:type="spellStart"/>
      <w:r w:rsidRPr="007538FF">
        <w:rPr>
          <w:rFonts w:ascii="Garamond" w:hAnsi="Garamond"/>
        </w:rPr>
        <w:t>Keohane</w:t>
      </w:r>
      <w:proofErr w:type="spellEnd"/>
      <w:r w:rsidRPr="007538FF">
        <w:rPr>
          <w:rFonts w:ascii="Garamond" w:hAnsi="Garamond"/>
        </w:rPr>
        <w:t xml:space="preserve"> 1971.</w:t>
      </w:r>
    </w:p>
  </w:endnote>
  <w:endnote w:id="2">
    <w:p w14:paraId="7D0757C5" w14:textId="77777777" w:rsidR="00696168" w:rsidRPr="007538FF" w:rsidRDefault="00696168" w:rsidP="003A51FF">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For parallel arguments prioritizing the institutional context see (Berger 1981; </w:t>
      </w:r>
      <w:proofErr w:type="spellStart"/>
      <w:r w:rsidRPr="007538FF">
        <w:rPr>
          <w:rFonts w:ascii="Garamond" w:hAnsi="Garamond"/>
        </w:rPr>
        <w:t>Woll</w:t>
      </w:r>
      <w:proofErr w:type="spellEnd"/>
      <w:r w:rsidRPr="007538FF">
        <w:rPr>
          <w:rFonts w:ascii="Garamond" w:hAnsi="Garamond"/>
        </w:rPr>
        <w:t xml:space="preserve"> 2008; </w:t>
      </w:r>
      <w:proofErr w:type="spellStart"/>
      <w:r w:rsidRPr="007538FF">
        <w:rPr>
          <w:rFonts w:ascii="Garamond" w:hAnsi="Garamond"/>
        </w:rPr>
        <w:t>Falleti</w:t>
      </w:r>
      <w:proofErr w:type="spellEnd"/>
      <w:r w:rsidRPr="007538FF">
        <w:rPr>
          <w:rFonts w:ascii="Garamond" w:hAnsi="Garamond"/>
        </w:rPr>
        <w:t xml:space="preserve"> and Lynch 2009.</w:t>
      </w:r>
    </w:p>
  </w:endnote>
  <w:endnote w:id="3">
    <w:p w14:paraId="1DBF1C33" w14:textId="77777777" w:rsidR="00696168" w:rsidRPr="007538FF" w:rsidRDefault="00696168" w:rsidP="00967B52">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The term network is used empirically to describe informal soft law coordination (</w:t>
      </w:r>
      <w:proofErr w:type="spellStart"/>
      <w:r w:rsidRPr="007538FF">
        <w:rPr>
          <w:rFonts w:ascii="Garamond" w:hAnsi="Garamond"/>
        </w:rPr>
        <w:t>Zaring</w:t>
      </w:r>
      <w:proofErr w:type="spellEnd"/>
      <w:r w:rsidRPr="007538FF">
        <w:rPr>
          <w:rFonts w:ascii="Garamond" w:hAnsi="Garamond"/>
        </w:rPr>
        <w:t xml:space="preserve"> 1998; </w:t>
      </w:r>
      <w:proofErr w:type="spellStart"/>
      <w:r w:rsidRPr="007538FF">
        <w:rPr>
          <w:rFonts w:ascii="Garamond" w:hAnsi="Garamond"/>
        </w:rPr>
        <w:t>Raustiala</w:t>
      </w:r>
      <w:proofErr w:type="spellEnd"/>
      <w:r w:rsidRPr="007538FF">
        <w:rPr>
          <w:rFonts w:ascii="Garamond" w:hAnsi="Garamond"/>
        </w:rPr>
        <w:t xml:space="preserve"> 2002).  The literature generally does not use the term to invoke analytic concepts of social network analysis.  We follow the literature.</w:t>
      </w:r>
    </w:p>
  </w:endnote>
  <w:endnote w:id="4">
    <w:p w14:paraId="47A99F47" w14:textId="47E7E8ED" w:rsidR="00696168" w:rsidRPr="007538FF" w:rsidRDefault="00696168" w:rsidP="00E5087F">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On IR’s historical </w:t>
      </w:r>
      <w:proofErr w:type="spellStart"/>
      <w:r w:rsidRPr="007538FF">
        <w:rPr>
          <w:rFonts w:ascii="Garamond" w:hAnsi="Garamond"/>
        </w:rPr>
        <w:t>institutionalist</w:t>
      </w:r>
      <w:proofErr w:type="spellEnd"/>
      <w:r w:rsidRPr="007538FF">
        <w:rPr>
          <w:rFonts w:ascii="Garamond" w:hAnsi="Garamond"/>
        </w:rPr>
        <w:t xml:space="preserve"> turn, </w:t>
      </w:r>
      <w:r>
        <w:rPr>
          <w:rFonts w:ascii="Garamond" w:hAnsi="Garamond"/>
        </w:rPr>
        <w:t xml:space="preserve">see </w:t>
      </w:r>
      <w:proofErr w:type="spellStart"/>
      <w:r>
        <w:rPr>
          <w:rFonts w:ascii="Garamond" w:hAnsi="Garamond"/>
        </w:rPr>
        <w:t>Fioretes</w:t>
      </w:r>
      <w:proofErr w:type="spellEnd"/>
      <w:r>
        <w:rPr>
          <w:rFonts w:ascii="Garamond" w:hAnsi="Garamond"/>
        </w:rPr>
        <w:t xml:space="preserve"> 2011; F</w:t>
      </w:r>
      <w:r w:rsidRPr="007538FF">
        <w:rPr>
          <w:rFonts w:ascii="Garamond" w:hAnsi="Garamond"/>
        </w:rPr>
        <w:t xml:space="preserve">or its application to global finance see </w:t>
      </w:r>
      <w:proofErr w:type="spellStart"/>
      <w:r w:rsidRPr="007538FF">
        <w:rPr>
          <w:rFonts w:ascii="Garamond" w:hAnsi="Garamond"/>
        </w:rPr>
        <w:t>Moschella</w:t>
      </w:r>
      <w:proofErr w:type="spellEnd"/>
      <w:r w:rsidRPr="007538FF">
        <w:rPr>
          <w:rFonts w:ascii="Garamond" w:hAnsi="Garamond"/>
        </w:rPr>
        <w:t xml:space="preserve"> and </w:t>
      </w:r>
      <w:proofErr w:type="spellStart"/>
      <w:r w:rsidRPr="007538FF">
        <w:rPr>
          <w:rFonts w:ascii="Garamond" w:hAnsi="Garamond"/>
        </w:rPr>
        <w:t>Tsingou</w:t>
      </w:r>
      <w:proofErr w:type="spellEnd"/>
      <w:r w:rsidRPr="007538FF">
        <w:rPr>
          <w:rFonts w:ascii="Garamond" w:hAnsi="Garamond"/>
        </w:rPr>
        <w:t xml:space="preserve"> 2013; </w:t>
      </w:r>
      <w:proofErr w:type="spellStart"/>
      <w:r>
        <w:rPr>
          <w:rFonts w:ascii="Garamond" w:hAnsi="Garamond"/>
        </w:rPr>
        <w:t>Lall</w:t>
      </w:r>
      <w:proofErr w:type="spellEnd"/>
      <w:r>
        <w:rPr>
          <w:rFonts w:ascii="Garamond" w:hAnsi="Garamond"/>
        </w:rPr>
        <w:t xml:space="preserve"> 2012; </w:t>
      </w:r>
      <w:proofErr w:type="spellStart"/>
      <w:r w:rsidRPr="007538FF">
        <w:rPr>
          <w:rFonts w:ascii="Garamond" w:hAnsi="Garamond"/>
        </w:rPr>
        <w:t>Helleiner</w:t>
      </w:r>
      <w:proofErr w:type="spellEnd"/>
      <w:r w:rsidRPr="007538FF">
        <w:rPr>
          <w:rFonts w:ascii="Garamond" w:hAnsi="Garamond"/>
        </w:rPr>
        <w:t xml:space="preserve"> forthcoming.</w:t>
      </w:r>
    </w:p>
  </w:endnote>
  <w:endnote w:id="5">
    <w:p w14:paraId="51503CF6" w14:textId="77777777" w:rsidR="00696168" w:rsidRPr="007538FF" w:rsidRDefault="00696168" w:rsidP="00E5087F">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w:t>
      </w:r>
      <w:proofErr w:type="gramStart"/>
      <w:r w:rsidRPr="007538FF">
        <w:rPr>
          <w:rFonts w:ascii="Garamond" w:hAnsi="Garamond"/>
        </w:rPr>
        <w:t>In the domestic setting see (</w:t>
      </w:r>
      <w:r w:rsidRPr="007538FF">
        <w:rPr>
          <w:rFonts w:ascii="Garamond" w:hAnsi="Garamond"/>
          <w:noProof/>
        </w:rPr>
        <w:t>Campbell 2003; Paul Pierson and Hacker 2010; and Thelen 2004, Steinmo and Thelen 1992)</w:t>
      </w:r>
      <w:r w:rsidRPr="007538FF">
        <w:rPr>
          <w:rFonts w:ascii="Garamond" w:hAnsi="Garamond"/>
        </w:rPr>
        <w:t>.</w:t>
      </w:r>
      <w:proofErr w:type="gramEnd"/>
    </w:p>
  </w:endnote>
  <w:endnote w:id="6">
    <w:p w14:paraId="0E3F7EDD"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w:t>
      </w:r>
      <w:proofErr w:type="spellStart"/>
      <w:r w:rsidRPr="007538FF">
        <w:rPr>
          <w:rFonts w:ascii="Garamond" w:hAnsi="Garamond"/>
        </w:rPr>
        <w:t>McKeen</w:t>
      </w:r>
      <w:proofErr w:type="spellEnd"/>
      <w:r w:rsidRPr="007538FF">
        <w:rPr>
          <w:rFonts w:ascii="Garamond" w:hAnsi="Garamond"/>
        </w:rPr>
        <w:t xml:space="preserve">-Edwards and Porter (2013) offer a comprehensive critique of what they call “unified dominance models” (p. 6).  </w:t>
      </w:r>
    </w:p>
  </w:endnote>
  <w:endnote w:id="7">
    <w:p w14:paraId="34F2A16D"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See Article VI of the Articles of Agreement of the International Monetary Fund (www.imf.org/External/Pubs/FT/AA/index.htm#art4).</w:t>
      </w:r>
    </w:p>
  </w:endnote>
  <w:endnote w:id="8">
    <w:p w14:paraId="5B27B4D4"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For basic overviews of the field, see (</w:t>
      </w:r>
      <w:proofErr w:type="spellStart"/>
      <w:r w:rsidRPr="007538FF">
        <w:rPr>
          <w:rFonts w:ascii="Garamond" w:hAnsi="Garamond"/>
        </w:rPr>
        <w:t>Brummer</w:t>
      </w:r>
      <w:proofErr w:type="spellEnd"/>
      <w:r w:rsidRPr="007538FF">
        <w:rPr>
          <w:rFonts w:ascii="Garamond" w:hAnsi="Garamond"/>
        </w:rPr>
        <w:t xml:space="preserve"> 2012; Porter 2005; Davies and Green 2008; </w:t>
      </w:r>
      <w:proofErr w:type="spellStart"/>
      <w:r w:rsidRPr="007538FF">
        <w:rPr>
          <w:rFonts w:ascii="Garamond" w:hAnsi="Garamond"/>
        </w:rPr>
        <w:t>McKeen</w:t>
      </w:r>
      <w:proofErr w:type="spellEnd"/>
      <w:r w:rsidRPr="007538FF">
        <w:rPr>
          <w:rFonts w:ascii="Garamond" w:hAnsi="Garamond"/>
        </w:rPr>
        <w:t>-Edwards and Porter 2013).</w:t>
      </w:r>
    </w:p>
  </w:endnote>
  <w:endnote w:id="9">
    <w:p w14:paraId="1D5107E1"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For other research attentive to temporal effects in the area of financial regulation see contributors to </w:t>
      </w:r>
      <w:proofErr w:type="spellStart"/>
      <w:r w:rsidRPr="007538FF">
        <w:rPr>
          <w:rFonts w:ascii="Garamond" w:hAnsi="Garamond"/>
        </w:rPr>
        <w:t>Moschella</w:t>
      </w:r>
      <w:proofErr w:type="spellEnd"/>
      <w:r w:rsidRPr="007538FF">
        <w:rPr>
          <w:rFonts w:ascii="Garamond" w:hAnsi="Garamond"/>
        </w:rPr>
        <w:t xml:space="preserve"> and </w:t>
      </w:r>
      <w:proofErr w:type="spellStart"/>
      <w:r w:rsidRPr="007538FF">
        <w:rPr>
          <w:rFonts w:ascii="Garamond" w:hAnsi="Garamond"/>
        </w:rPr>
        <w:t>Tsingou</w:t>
      </w:r>
      <w:proofErr w:type="spellEnd"/>
      <w:r w:rsidRPr="007538FF">
        <w:rPr>
          <w:rFonts w:ascii="Garamond" w:hAnsi="Garamond"/>
        </w:rPr>
        <w:t xml:space="preserve"> 2013.</w:t>
      </w:r>
    </w:p>
  </w:endnote>
  <w:endnote w:id="10">
    <w:p w14:paraId="48A7F491" w14:textId="77777777" w:rsidR="00696168" w:rsidRPr="007538FF" w:rsidRDefault="00696168" w:rsidP="001837B3">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See also </w:t>
      </w:r>
      <w:proofErr w:type="spellStart"/>
      <w:r w:rsidRPr="007538FF">
        <w:rPr>
          <w:rFonts w:ascii="Garamond" w:hAnsi="Garamond"/>
        </w:rPr>
        <w:t>Skocpol</w:t>
      </w:r>
      <w:proofErr w:type="spellEnd"/>
      <w:r w:rsidRPr="007538FF">
        <w:rPr>
          <w:rFonts w:ascii="Garamond" w:hAnsi="Garamond"/>
        </w:rPr>
        <w:t xml:space="preserve"> 1992: 58.</w:t>
      </w:r>
    </w:p>
  </w:endnote>
  <w:endnote w:id="11">
    <w:p w14:paraId="6E5E307F"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On the legitimizing effects of transnational norms, see </w:t>
      </w:r>
      <w:proofErr w:type="spellStart"/>
      <w:r w:rsidRPr="007538FF">
        <w:rPr>
          <w:rFonts w:ascii="Garamond" w:hAnsi="Garamond"/>
        </w:rPr>
        <w:t>Risse-Kappen</w:t>
      </w:r>
      <w:proofErr w:type="spellEnd"/>
      <w:r w:rsidRPr="007538FF">
        <w:rPr>
          <w:rFonts w:ascii="Garamond" w:hAnsi="Garamond"/>
        </w:rPr>
        <w:t xml:space="preserve"> (1995).</w:t>
      </w:r>
    </w:p>
  </w:endnote>
  <w:endnote w:id="12">
    <w:p w14:paraId="2E775F77" w14:textId="77777777" w:rsidR="00696168" w:rsidRPr="007538FF" w:rsidRDefault="00696168" w:rsidP="00DB456D">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Former U.S. Treasury official’s correspondence with author, 31 </w:t>
      </w:r>
      <w:proofErr w:type="gramStart"/>
      <w:r w:rsidRPr="007538FF">
        <w:rPr>
          <w:rFonts w:ascii="Garamond" w:hAnsi="Garamond"/>
        </w:rPr>
        <w:t>May,</w:t>
      </w:r>
      <w:proofErr w:type="gramEnd"/>
      <w:r w:rsidRPr="007538FF">
        <w:rPr>
          <w:rFonts w:ascii="Garamond" w:hAnsi="Garamond"/>
        </w:rPr>
        <w:t xml:space="preserve"> 2006.</w:t>
      </w:r>
    </w:p>
  </w:endnote>
  <w:endnote w:id="13">
    <w:p w14:paraId="34961E4A"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Former U.S. Treasury official’s correspondence with author, 31 </w:t>
      </w:r>
      <w:proofErr w:type="gramStart"/>
      <w:r w:rsidRPr="007538FF">
        <w:rPr>
          <w:rFonts w:ascii="Garamond" w:hAnsi="Garamond"/>
        </w:rPr>
        <w:t>May,</w:t>
      </w:r>
      <w:proofErr w:type="gramEnd"/>
      <w:r w:rsidRPr="007538FF">
        <w:rPr>
          <w:rFonts w:ascii="Garamond" w:hAnsi="Garamond"/>
        </w:rPr>
        <w:t xml:space="preserve"> 2006.</w:t>
      </w:r>
    </w:p>
  </w:endnote>
  <w:endnote w:id="14">
    <w:p w14:paraId="7E14D059" w14:textId="77777777" w:rsidR="00696168" w:rsidRPr="007538FF" w:rsidRDefault="00696168" w:rsidP="00DB456D">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Regulation (EC) no. 1606/2002 of the European Council and Parliament, 19 July 2002.</w:t>
      </w:r>
    </w:p>
  </w:endnote>
  <w:endnote w:id="15">
    <w:p w14:paraId="7F89F3DE" w14:textId="77777777" w:rsidR="00696168" w:rsidRPr="007538FF" w:rsidRDefault="00696168" w:rsidP="00DB456D">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The Capital Requirements Directive includes both the Directive 2006/48/EC and Directive 2006/49/EC.  </w:t>
      </w:r>
    </w:p>
  </w:endnote>
  <w:endnote w:id="16">
    <w:p w14:paraId="6A5D907E" w14:textId="77777777" w:rsidR="00696168" w:rsidRPr="007538FF" w:rsidRDefault="00696168" w:rsidP="00DB456D">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Directive on the Supplementary Supervision of Credit Institutions, Insurance Undertakings and Investment Firms in a Financial Conglomerate 2002/87/EC of the EP and the Council of the EU.</w:t>
      </w:r>
    </w:p>
  </w:endnote>
  <w:endnote w:id="17">
    <w:p w14:paraId="227D33ED" w14:textId="6F1880E6" w:rsidR="00696168" w:rsidRPr="007538FF" w:rsidRDefault="00696168" w:rsidP="00DB456D">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The extent to which the FCD can be classified as neoliberal remains an open question depending on one’s interpretation of the fact that non-EU firms choose the national competent authority who determine whether the foreign jurisdiction had equivalent regu</w:t>
      </w:r>
      <w:r>
        <w:rPr>
          <w:rFonts w:ascii="Garamond" w:hAnsi="Garamond"/>
        </w:rPr>
        <w:t>lation</w:t>
      </w:r>
      <w:r w:rsidRPr="007538FF">
        <w:rPr>
          <w:rFonts w:ascii="Garamond" w:hAnsi="Garamond"/>
        </w:rPr>
        <w:t xml:space="preserve">.   </w:t>
      </w:r>
    </w:p>
  </w:endnote>
  <w:endnote w:id="18">
    <w:p w14:paraId="383DD221" w14:textId="77777777" w:rsidR="00696168" w:rsidRPr="007538FF" w:rsidRDefault="00696168" w:rsidP="00DB456D">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Joint Forum of Financial Conglomerates, “Supervision of Financial Conglomerates,” BCBS/IOSCO/IAIS, February 1999.</w:t>
      </w:r>
    </w:p>
  </w:endnote>
  <w:endnote w:id="19">
    <w:p w14:paraId="36B31D52" w14:textId="77777777" w:rsidR="00696168" w:rsidRPr="007538FF" w:rsidRDefault="00696168" w:rsidP="00A23BE3">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w:t>
      </w:r>
      <w:proofErr w:type="gramStart"/>
      <w:r w:rsidRPr="007538FF">
        <w:rPr>
          <w:rStyle w:val="Strong"/>
          <w:rFonts w:ascii="Garamond" w:hAnsi="Garamond"/>
          <w:b w:val="0"/>
        </w:rPr>
        <w:t>Directive 2009/138/EC of the European Parliament and of the Council of 25 November 2009.</w:t>
      </w:r>
      <w:proofErr w:type="gramEnd"/>
    </w:p>
  </w:endnote>
  <w:endnote w:id="20">
    <w:p w14:paraId="1078AAC2"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For example, on exceptions made to accommodate Germany’s dual board system, see </w:t>
      </w:r>
      <w:proofErr w:type="spellStart"/>
      <w:r w:rsidRPr="007538FF">
        <w:rPr>
          <w:rFonts w:ascii="Garamond" w:hAnsi="Garamond"/>
        </w:rPr>
        <w:t>Tafara</w:t>
      </w:r>
      <w:proofErr w:type="spellEnd"/>
      <w:r w:rsidRPr="007538FF">
        <w:rPr>
          <w:rFonts w:ascii="Garamond" w:hAnsi="Garamond"/>
        </w:rPr>
        <w:t xml:space="preserve"> (2004, 8).</w:t>
      </w:r>
    </w:p>
  </w:endnote>
  <w:endnote w:id="21">
    <w:p w14:paraId="003B9166"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w:t>
      </w:r>
      <w:proofErr w:type="gramStart"/>
      <w:r w:rsidRPr="007538FF">
        <w:rPr>
          <w:rFonts w:ascii="Garamond" w:hAnsi="Garamond"/>
        </w:rPr>
        <w:t>IOSCO’s 1998 “Objectives and Principles of Securities Regulation” lacks guidance on the issue.</w:t>
      </w:r>
      <w:proofErr w:type="gramEnd"/>
      <w:r w:rsidRPr="007538FF">
        <w:rPr>
          <w:rFonts w:ascii="Garamond" w:hAnsi="Garamond"/>
        </w:rPr>
        <w:t xml:space="preserve">  See </w:t>
      </w:r>
      <w:proofErr w:type="spellStart"/>
      <w:r w:rsidRPr="007538FF">
        <w:rPr>
          <w:rFonts w:ascii="Garamond" w:hAnsi="Garamond"/>
        </w:rPr>
        <w:t>Mügge</w:t>
      </w:r>
      <w:proofErr w:type="spellEnd"/>
      <w:r w:rsidRPr="007538FF">
        <w:rPr>
          <w:rFonts w:ascii="Garamond" w:hAnsi="Garamond"/>
        </w:rPr>
        <w:t xml:space="preserve"> 2010, p. 66. </w:t>
      </w:r>
    </w:p>
  </w:endnote>
  <w:endnote w:id="22">
    <w:p w14:paraId="08459D05"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European policymakers implemented Basel I rules in the Own Funds Directive [Council Directive 89/299/EEC] and the Solvency Ratio Directive [Council Directive 89/647/EEC].   </w:t>
      </w:r>
    </w:p>
  </w:endnote>
  <w:endnote w:id="23">
    <w:p w14:paraId="71A58DAD"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This was the case in the 1993 Capital Adequacy Directive (93/6/EEC) that accompanied the Investment Services Directive.</w:t>
      </w:r>
    </w:p>
  </w:endnote>
  <w:endnote w:id="24">
    <w:p w14:paraId="77390B4A" w14:textId="77777777" w:rsidR="00696168" w:rsidRPr="007538FF" w:rsidRDefault="00696168">
      <w:pPr>
        <w:pStyle w:val="EndnoteText"/>
        <w:rPr>
          <w:rFonts w:ascii="Garamond" w:hAnsi="Garamond"/>
          <w:b/>
        </w:rPr>
      </w:pPr>
      <w:r w:rsidRPr="007538FF">
        <w:rPr>
          <w:rStyle w:val="EndnoteReference"/>
          <w:rFonts w:ascii="Garamond" w:hAnsi="Garamond"/>
        </w:rPr>
        <w:endnoteRef/>
      </w:r>
      <w:r w:rsidRPr="007538FF">
        <w:rPr>
          <w:rFonts w:ascii="Garamond" w:hAnsi="Garamond"/>
        </w:rPr>
        <w:t xml:space="preserve"> For an example of how EU policymakers framed the directive in terms of international best practice, see Rapporteur Alain </w:t>
      </w:r>
      <w:proofErr w:type="spellStart"/>
      <w:r w:rsidRPr="007538FF">
        <w:rPr>
          <w:rFonts w:ascii="Garamond" w:hAnsi="Garamond"/>
        </w:rPr>
        <w:t>Lipietz’s</w:t>
      </w:r>
      <w:proofErr w:type="spellEnd"/>
      <w:r w:rsidRPr="007538FF">
        <w:rPr>
          <w:rFonts w:ascii="Garamond" w:hAnsi="Garamond"/>
        </w:rPr>
        <w:t xml:space="preserve"> comments in (</w:t>
      </w:r>
      <w:proofErr w:type="gramStart"/>
      <w:r w:rsidRPr="007538FF">
        <w:rPr>
          <w:rFonts w:ascii="Garamond" w:hAnsi="Garamond"/>
        </w:rPr>
        <w:t>COM(</w:t>
      </w:r>
      <w:proofErr w:type="gramEnd"/>
      <w:r w:rsidRPr="007538FF">
        <w:rPr>
          <w:rFonts w:ascii="Garamond" w:hAnsi="Garamond"/>
        </w:rPr>
        <w:t xml:space="preserve">2001) 213. C5-0159/2001. </w:t>
      </w:r>
      <w:proofErr w:type="gramStart"/>
      <w:r w:rsidRPr="007538FF">
        <w:rPr>
          <w:rFonts w:ascii="Garamond" w:hAnsi="Garamond"/>
        </w:rPr>
        <w:t>2001/0095(COD), A5-0060/2002 Final, 27 February 2002, 32-33.</w:t>
      </w:r>
      <w:proofErr w:type="gramEnd"/>
    </w:p>
  </w:endnote>
  <w:endnote w:id="25">
    <w:p w14:paraId="627304B3"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David Green, “A European Regulatory Perspective,” FSA Speech, Annual Washington Conference of the Institute of International Banking, March 4, 2002. http://www.fsa.gov.uk/library/communication/speeches/2002/sp92.shtm.</w:t>
      </w:r>
    </w:p>
  </w:endnote>
  <w:endnote w:id="26">
    <w:p w14:paraId="718839BD"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Tom </w:t>
      </w:r>
      <w:proofErr w:type="spellStart"/>
      <w:r w:rsidRPr="007538FF">
        <w:rPr>
          <w:rFonts w:ascii="Garamond" w:hAnsi="Garamond"/>
        </w:rPr>
        <w:t>Buerkle</w:t>
      </w:r>
      <w:proofErr w:type="spellEnd"/>
      <w:r w:rsidRPr="007538FF">
        <w:rPr>
          <w:rFonts w:ascii="Garamond" w:hAnsi="Garamond"/>
        </w:rPr>
        <w:t xml:space="preserve">, “European Disunion,” </w:t>
      </w:r>
      <w:r w:rsidRPr="007538FF">
        <w:rPr>
          <w:rFonts w:ascii="Garamond" w:hAnsi="Garamond"/>
          <w:i/>
        </w:rPr>
        <w:t>Institutional Investor</w:t>
      </w:r>
      <w:r w:rsidRPr="007538FF">
        <w:rPr>
          <w:rFonts w:ascii="Garamond" w:hAnsi="Garamond"/>
        </w:rPr>
        <w:t>, July 1, 2002.</w:t>
      </w:r>
    </w:p>
  </w:endnote>
  <w:endnote w:id="27">
    <w:p w14:paraId="121C0B63" w14:textId="77777777" w:rsidR="00696168" w:rsidRPr="007538FF" w:rsidRDefault="00696168">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Author’s interview with Nigel Wicks, a member of the Committee of Wise Men on the Regulation of European Securities Markets (2000-2001), Florence, June 18, 2004.).</w:t>
      </w:r>
    </w:p>
  </w:endnote>
  <w:endnote w:id="28">
    <w:p w14:paraId="58ED9507" w14:textId="77777777" w:rsidR="00696168" w:rsidRPr="007538FF" w:rsidRDefault="00696168" w:rsidP="003B6EBF">
      <w:pPr>
        <w:widowControl w:val="0"/>
        <w:autoSpaceDE w:val="0"/>
        <w:autoSpaceDN w:val="0"/>
        <w:adjustRightInd w:val="0"/>
        <w:rPr>
          <w:rFonts w:ascii="Garamond" w:hAnsi="Garamond" w:cs="Times New Roman"/>
          <w:color w:val="231F20"/>
          <w:szCs w:val="16"/>
        </w:rPr>
      </w:pPr>
      <w:r w:rsidRPr="007538FF">
        <w:rPr>
          <w:rStyle w:val="EndnoteReference"/>
          <w:rFonts w:ascii="Garamond" w:hAnsi="Garamond"/>
        </w:rPr>
        <w:endnoteRef/>
      </w:r>
      <w:r w:rsidRPr="007538FF">
        <w:rPr>
          <w:rFonts w:ascii="Garamond" w:hAnsi="Garamond"/>
        </w:rPr>
        <w:t xml:space="preserve"> </w:t>
      </w:r>
      <w:r w:rsidRPr="007538FF">
        <w:rPr>
          <w:rFonts w:ascii="Garamond" w:hAnsi="Garamond" w:cs="Times New Roman"/>
          <w:color w:val="231F20"/>
          <w:szCs w:val="16"/>
        </w:rPr>
        <w:t>Author’s interview with senior staff official, US House of Representatives, 6 May 2004, Washington, DC.</w:t>
      </w:r>
    </w:p>
  </w:endnote>
  <w:endnote w:id="29">
    <w:p w14:paraId="2D7B12FF" w14:textId="77777777" w:rsidR="00696168" w:rsidRPr="007538FF" w:rsidRDefault="00696168" w:rsidP="00E63BB9">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w:t>
      </w:r>
      <w:proofErr w:type="spellStart"/>
      <w:r w:rsidRPr="007538FF">
        <w:rPr>
          <w:rFonts w:ascii="Garamond" w:hAnsi="Garamond"/>
        </w:rPr>
        <w:t>Quaglia</w:t>
      </w:r>
      <w:proofErr w:type="spellEnd"/>
      <w:r w:rsidRPr="007538FF">
        <w:rPr>
          <w:rFonts w:ascii="Garamond" w:hAnsi="Garamond"/>
        </w:rPr>
        <w:t xml:space="preserve"> identifies two main coalitions:  a market-making coalition that more or less corresponds to </w:t>
      </w:r>
      <w:proofErr w:type="spellStart"/>
      <w:r w:rsidRPr="007538FF">
        <w:rPr>
          <w:rFonts w:ascii="Garamond" w:hAnsi="Garamond"/>
        </w:rPr>
        <w:t>Mügge’s</w:t>
      </w:r>
      <w:proofErr w:type="spellEnd"/>
      <w:r w:rsidRPr="007538FF">
        <w:rPr>
          <w:rFonts w:ascii="Garamond" w:hAnsi="Garamond"/>
        </w:rPr>
        <w:t xml:space="preserve"> and a market-shaping coalition (2010).   </w:t>
      </w:r>
    </w:p>
  </w:endnote>
  <w:endnote w:id="30">
    <w:p w14:paraId="6594983A" w14:textId="77777777" w:rsidR="00696168" w:rsidRPr="007538FF" w:rsidRDefault="00696168" w:rsidP="009B6870">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Written correspondence with former SEC Chairman, April 13, 2007.</w:t>
      </w:r>
    </w:p>
  </w:endnote>
  <w:endnote w:id="31">
    <w:p w14:paraId="10A0CFE0" w14:textId="77777777" w:rsidR="00696168" w:rsidRPr="007538FF" w:rsidRDefault="00696168" w:rsidP="009B6870">
      <w:pPr>
        <w:pStyle w:val="EndnoteText"/>
        <w:rPr>
          <w:rFonts w:ascii="Garamond" w:hAnsi="Garamond"/>
        </w:rPr>
      </w:pPr>
      <w:r w:rsidRPr="007538FF">
        <w:rPr>
          <w:rStyle w:val="EndnoteReference"/>
          <w:rFonts w:ascii="Garamond" w:hAnsi="Garamond"/>
        </w:rPr>
        <w:endnoteRef/>
      </w:r>
      <w:r w:rsidRPr="007538FF">
        <w:rPr>
          <w:rFonts w:ascii="Garamond" w:hAnsi="Garamond"/>
        </w:rPr>
        <w:t xml:space="preserve"> Former U.S. Treasury official’s correspondence with author, 31 May 2006.</w:t>
      </w:r>
    </w:p>
  </w:endnote>
  <w:endnote w:id="32">
    <w:p w14:paraId="04537FF2" w14:textId="77777777" w:rsidR="00696168" w:rsidRPr="007538FF" w:rsidRDefault="00696168" w:rsidP="00E258F0">
      <w:pPr>
        <w:pStyle w:val="EndnoteText"/>
        <w:rPr>
          <w:rFonts w:ascii="Garamond" w:hAnsi="Garamond"/>
        </w:rPr>
      </w:pPr>
      <w:r w:rsidRPr="006318A7">
        <w:rPr>
          <w:rStyle w:val="EndnoteReference"/>
          <w:rFonts w:ascii="Garamond" w:hAnsi="Garamond"/>
        </w:rPr>
        <w:endnoteRef/>
      </w:r>
      <w:r w:rsidRPr="006318A7">
        <w:rPr>
          <w:rFonts w:ascii="Garamond" w:hAnsi="Garamond"/>
        </w:rPr>
        <w:t xml:space="preserve"> In contrast to </w:t>
      </w:r>
      <w:proofErr w:type="spellStart"/>
      <w:r w:rsidRPr="006318A7">
        <w:rPr>
          <w:rFonts w:ascii="Garamond" w:hAnsi="Garamond"/>
        </w:rPr>
        <w:t>Ikenberry</w:t>
      </w:r>
      <w:proofErr w:type="spellEnd"/>
      <w:r w:rsidRPr="006318A7">
        <w:rPr>
          <w:rFonts w:ascii="Garamond" w:hAnsi="Garamond"/>
        </w:rPr>
        <w:t xml:space="preserve"> (2001), who emphasizes the role of formal institutions as lock-in mechanisms, we demonstrate how informal institutions can recast the internal political debate within rising powers.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68F47" w14:textId="77777777" w:rsidR="00696168" w:rsidRDefault="00696168" w:rsidP="00653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37D84" w14:textId="77777777" w:rsidR="00696168" w:rsidRDefault="00696168" w:rsidP="00BA54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F9B22" w14:textId="77777777" w:rsidR="00696168" w:rsidRDefault="00696168" w:rsidP="00653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376A">
      <w:rPr>
        <w:rStyle w:val="PageNumber"/>
        <w:noProof/>
      </w:rPr>
      <w:t>37</w:t>
    </w:r>
    <w:r>
      <w:rPr>
        <w:rStyle w:val="PageNumber"/>
      </w:rPr>
      <w:fldChar w:fldCharType="end"/>
    </w:r>
  </w:p>
  <w:p w14:paraId="24BF4B88" w14:textId="77777777" w:rsidR="00696168" w:rsidRDefault="00696168" w:rsidP="00BA545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82906" w14:textId="77777777" w:rsidR="00696168" w:rsidRDefault="00696168" w:rsidP="00F70BD5">
      <w:r>
        <w:separator/>
      </w:r>
    </w:p>
  </w:footnote>
  <w:footnote w:type="continuationSeparator" w:id="0">
    <w:p w14:paraId="07509643" w14:textId="77777777" w:rsidR="00696168" w:rsidRDefault="00696168" w:rsidP="00F70B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861EE3"/>
    <w:multiLevelType w:val="hybridMultilevel"/>
    <w:tmpl w:val="89C0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25D50"/>
    <w:multiLevelType w:val="hybridMultilevel"/>
    <w:tmpl w:val="F8F47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D2F08"/>
    <w:multiLevelType w:val="hybridMultilevel"/>
    <w:tmpl w:val="1C88D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18"/>
    <w:rsid w:val="00000741"/>
    <w:rsid w:val="00000C7F"/>
    <w:rsid w:val="000011F5"/>
    <w:rsid w:val="00002668"/>
    <w:rsid w:val="00002EFE"/>
    <w:rsid w:val="00002FBA"/>
    <w:rsid w:val="00004B70"/>
    <w:rsid w:val="00005242"/>
    <w:rsid w:val="00005524"/>
    <w:rsid w:val="00005A3F"/>
    <w:rsid w:val="00005B82"/>
    <w:rsid w:val="00005B8A"/>
    <w:rsid w:val="00006587"/>
    <w:rsid w:val="00006919"/>
    <w:rsid w:val="000077D7"/>
    <w:rsid w:val="00010CAE"/>
    <w:rsid w:val="00011260"/>
    <w:rsid w:val="00011687"/>
    <w:rsid w:val="000122CD"/>
    <w:rsid w:val="00012FDA"/>
    <w:rsid w:val="0001325D"/>
    <w:rsid w:val="000138A6"/>
    <w:rsid w:val="00013A4C"/>
    <w:rsid w:val="00015BE1"/>
    <w:rsid w:val="000160B7"/>
    <w:rsid w:val="00016230"/>
    <w:rsid w:val="000163AB"/>
    <w:rsid w:val="00016455"/>
    <w:rsid w:val="00016D27"/>
    <w:rsid w:val="00017180"/>
    <w:rsid w:val="0001726B"/>
    <w:rsid w:val="00017401"/>
    <w:rsid w:val="00017C74"/>
    <w:rsid w:val="00017D45"/>
    <w:rsid w:val="000200ED"/>
    <w:rsid w:val="0002041F"/>
    <w:rsid w:val="00020735"/>
    <w:rsid w:val="00020DEA"/>
    <w:rsid w:val="00021A7A"/>
    <w:rsid w:val="00021D8A"/>
    <w:rsid w:val="00022010"/>
    <w:rsid w:val="00022AC1"/>
    <w:rsid w:val="00023064"/>
    <w:rsid w:val="000234FE"/>
    <w:rsid w:val="00024471"/>
    <w:rsid w:val="00024479"/>
    <w:rsid w:val="000252DB"/>
    <w:rsid w:val="00025389"/>
    <w:rsid w:val="0002541B"/>
    <w:rsid w:val="000256F9"/>
    <w:rsid w:val="00025AEF"/>
    <w:rsid w:val="0002665D"/>
    <w:rsid w:val="00026DF0"/>
    <w:rsid w:val="0002710D"/>
    <w:rsid w:val="00027E59"/>
    <w:rsid w:val="0003007D"/>
    <w:rsid w:val="0003026E"/>
    <w:rsid w:val="00030372"/>
    <w:rsid w:val="00031540"/>
    <w:rsid w:val="00031866"/>
    <w:rsid w:val="00031FC4"/>
    <w:rsid w:val="00032403"/>
    <w:rsid w:val="000329ED"/>
    <w:rsid w:val="00033F58"/>
    <w:rsid w:val="00034AA4"/>
    <w:rsid w:val="00034B5E"/>
    <w:rsid w:val="00034C7E"/>
    <w:rsid w:val="0003537A"/>
    <w:rsid w:val="00035557"/>
    <w:rsid w:val="00035D17"/>
    <w:rsid w:val="00035DE9"/>
    <w:rsid w:val="00035E78"/>
    <w:rsid w:val="000361D7"/>
    <w:rsid w:val="0003630E"/>
    <w:rsid w:val="00036CF6"/>
    <w:rsid w:val="00036D9E"/>
    <w:rsid w:val="00037193"/>
    <w:rsid w:val="00037B87"/>
    <w:rsid w:val="00040BBC"/>
    <w:rsid w:val="00041AFD"/>
    <w:rsid w:val="00041E0B"/>
    <w:rsid w:val="0004253A"/>
    <w:rsid w:val="000426D0"/>
    <w:rsid w:val="0004284C"/>
    <w:rsid w:val="00042963"/>
    <w:rsid w:val="00042D19"/>
    <w:rsid w:val="00042DCB"/>
    <w:rsid w:val="00043644"/>
    <w:rsid w:val="00043AB1"/>
    <w:rsid w:val="00043C9D"/>
    <w:rsid w:val="00044AF7"/>
    <w:rsid w:val="00044DE9"/>
    <w:rsid w:val="000453D0"/>
    <w:rsid w:val="00045409"/>
    <w:rsid w:val="000455C5"/>
    <w:rsid w:val="00045762"/>
    <w:rsid w:val="00045EA9"/>
    <w:rsid w:val="00046863"/>
    <w:rsid w:val="00046948"/>
    <w:rsid w:val="00047E77"/>
    <w:rsid w:val="000504FC"/>
    <w:rsid w:val="00050985"/>
    <w:rsid w:val="00050F18"/>
    <w:rsid w:val="00051DDD"/>
    <w:rsid w:val="00052029"/>
    <w:rsid w:val="00052433"/>
    <w:rsid w:val="000535B1"/>
    <w:rsid w:val="000537C8"/>
    <w:rsid w:val="00053AE0"/>
    <w:rsid w:val="0005422F"/>
    <w:rsid w:val="000547DF"/>
    <w:rsid w:val="000558B8"/>
    <w:rsid w:val="00055ACD"/>
    <w:rsid w:val="00055E37"/>
    <w:rsid w:val="00056528"/>
    <w:rsid w:val="00056ACE"/>
    <w:rsid w:val="000570A9"/>
    <w:rsid w:val="000570EB"/>
    <w:rsid w:val="0005719D"/>
    <w:rsid w:val="00060735"/>
    <w:rsid w:val="00060960"/>
    <w:rsid w:val="000609EE"/>
    <w:rsid w:val="00061178"/>
    <w:rsid w:val="000618DC"/>
    <w:rsid w:val="00062366"/>
    <w:rsid w:val="000625AA"/>
    <w:rsid w:val="0006267F"/>
    <w:rsid w:val="00063102"/>
    <w:rsid w:val="00063137"/>
    <w:rsid w:val="000638D8"/>
    <w:rsid w:val="00063C89"/>
    <w:rsid w:val="00063CC7"/>
    <w:rsid w:val="00063DD5"/>
    <w:rsid w:val="00064BDE"/>
    <w:rsid w:val="00064F7B"/>
    <w:rsid w:val="00064FED"/>
    <w:rsid w:val="00065EAA"/>
    <w:rsid w:val="0006653B"/>
    <w:rsid w:val="00066D16"/>
    <w:rsid w:val="00067623"/>
    <w:rsid w:val="00067AD6"/>
    <w:rsid w:val="00067FE1"/>
    <w:rsid w:val="00070479"/>
    <w:rsid w:val="000704FF"/>
    <w:rsid w:val="000706BF"/>
    <w:rsid w:val="00070756"/>
    <w:rsid w:val="00070BA5"/>
    <w:rsid w:val="00070D2F"/>
    <w:rsid w:val="000712AA"/>
    <w:rsid w:val="00071D2C"/>
    <w:rsid w:val="00072327"/>
    <w:rsid w:val="0007284A"/>
    <w:rsid w:val="000737ED"/>
    <w:rsid w:val="00073F60"/>
    <w:rsid w:val="0007403E"/>
    <w:rsid w:val="000743EC"/>
    <w:rsid w:val="00074AB7"/>
    <w:rsid w:val="00074D03"/>
    <w:rsid w:val="00074EB2"/>
    <w:rsid w:val="00075346"/>
    <w:rsid w:val="0007547B"/>
    <w:rsid w:val="00075E2F"/>
    <w:rsid w:val="00076054"/>
    <w:rsid w:val="00076082"/>
    <w:rsid w:val="000763E8"/>
    <w:rsid w:val="00076F1E"/>
    <w:rsid w:val="0007748C"/>
    <w:rsid w:val="0007785B"/>
    <w:rsid w:val="00080744"/>
    <w:rsid w:val="00080B38"/>
    <w:rsid w:val="000810CD"/>
    <w:rsid w:val="00081343"/>
    <w:rsid w:val="00081EF6"/>
    <w:rsid w:val="000823B4"/>
    <w:rsid w:val="0008247D"/>
    <w:rsid w:val="00082D37"/>
    <w:rsid w:val="0008383F"/>
    <w:rsid w:val="00084136"/>
    <w:rsid w:val="00084348"/>
    <w:rsid w:val="00085583"/>
    <w:rsid w:val="00085CE2"/>
    <w:rsid w:val="00085D70"/>
    <w:rsid w:val="00085F08"/>
    <w:rsid w:val="000860E0"/>
    <w:rsid w:val="0008700E"/>
    <w:rsid w:val="00090A7E"/>
    <w:rsid w:val="00090CF6"/>
    <w:rsid w:val="0009141C"/>
    <w:rsid w:val="0009174B"/>
    <w:rsid w:val="0009190F"/>
    <w:rsid w:val="00091AF9"/>
    <w:rsid w:val="00091CB3"/>
    <w:rsid w:val="00092D5A"/>
    <w:rsid w:val="00093894"/>
    <w:rsid w:val="00093945"/>
    <w:rsid w:val="0009399A"/>
    <w:rsid w:val="00093ED7"/>
    <w:rsid w:val="00093F6B"/>
    <w:rsid w:val="00095916"/>
    <w:rsid w:val="000959E2"/>
    <w:rsid w:val="00096903"/>
    <w:rsid w:val="00096AB3"/>
    <w:rsid w:val="00097398"/>
    <w:rsid w:val="0009758F"/>
    <w:rsid w:val="00097FF5"/>
    <w:rsid w:val="000A0548"/>
    <w:rsid w:val="000A1953"/>
    <w:rsid w:val="000A1F1E"/>
    <w:rsid w:val="000A20A9"/>
    <w:rsid w:val="000A2F80"/>
    <w:rsid w:val="000A3233"/>
    <w:rsid w:val="000A4478"/>
    <w:rsid w:val="000A4A92"/>
    <w:rsid w:val="000A5EFD"/>
    <w:rsid w:val="000A72C8"/>
    <w:rsid w:val="000A7366"/>
    <w:rsid w:val="000A737A"/>
    <w:rsid w:val="000A7D47"/>
    <w:rsid w:val="000A7DCD"/>
    <w:rsid w:val="000B1491"/>
    <w:rsid w:val="000B1A74"/>
    <w:rsid w:val="000B20DC"/>
    <w:rsid w:val="000B2120"/>
    <w:rsid w:val="000B3364"/>
    <w:rsid w:val="000B36DC"/>
    <w:rsid w:val="000B395F"/>
    <w:rsid w:val="000B39D7"/>
    <w:rsid w:val="000B41FE"/>
    <w:rsid w:val="000B4480"/>
    <w:rsid w:val="000B4640"/>
    <w:rsid w:val="000B4B15"/>
    <w:rsid w:val="000B50E1"/>
    <w:rsid w:val="000B52FF"/>
    <w:rsid w:val="000B5673"/>
    <w:rsid w:val="000B6162"/>
    <w:rsid w:val="000B643D"/>
    <w:rsid w:val="000B696D"/>
    <w:rsid w:val="000B71EB"/>
    <w:rsid w:val="000B7C10"/>
    <w:rsid w:val="000B7DA4"/>
    <w:rsid w:val="000C0C51"/>
    <w:rsid w:val="000C100C"/>
    <w:rsid w:val="000C10C3"/>
    <w:rsid w:val="000C16D2"/>
    <w:rsid w:val="000C1CD2"/>
    <w:rsid w:val="000C1DD3"/>
    <w:rsid w:val="000C2239"/>
    <w:rsid w:val="000C22A2"/>
    <w:rsid w:val="000C261A"/>
    <w:rsid w:val="000C2D31"/>
    <w:rsid w:val="000C35DE"/>
    <w:rsid w:val="000C3700"/>
    <w:rsid w:val="000C3885"/>
    <w:rsid w:val="000C3943"/>
    <w:rsid w:val="000C590D"/>
    <w:rsid w:val="000C6681"/>
    <w:rsid w:val="000C6D70"/>
    <w:rsid w:val="000C7113"/>
    <w:rsid w:val="000C7A99"/>
    <w:rsid w:val="000C7B3F"/>
    <w:rsid w:val="000D0D24"/>
    <w:rsid w:val="000D0E3F"/>
    <w:rsid w:val="000D135C"/>
    <w:rsid w:val="000D1CAC"/>
    <w:rsid w:val="000D2CC3"/>
    <w:rsid w:val="000D3C0A"/>
    <w:rsid w:val="000D5461"/>
    <w:rsid w:val="000D56A6"/>
    <w:rsid w:val="000D58A1"/>
    <w:rsid w:val="000D652B"/>
    <w:rsid w:val="000D6DF6"/>
    <w:rsid w:val="000E0947"/>
    <w:rsid w:val="000E0C81"/>
    <w:rsid w:val="000E11D0"/>
    <w:rsid w:val="000E16DF"/>
    <w:rsid w:val="000E187E"/>
    <w:rsid w:val="000E20E5"/>
    <w:rsid w:val="000E217F"/>
    <w:rsid w:val="000E3533"/>
    <w:rsid w:val="000E3990"/>
    <w:rsid w:val="000E48A6"/>
    <w:rsid w:val="000E4CAD"/>
    <w:rsid w:val="000E550D"/>
    <w:rsid w:val="000E55C9"/>
    <w:rsid w:val="000E5AC3"/>
    <w:rsid w:val="000E5F91"/>
    <w:rsid w:val="000E7000"/>
    <w:rsid w:val="000E794F"/>
    <w:rsid w:val="000E7EE5"/>
    <w:rsid w:val="000F026B"/>
    <w:rsid w:val="000F034F"/>
    <w:rsid w:val="000F062A"/>
    <w:rsid w:val="000F0741"/>
    <w:rsid w:val="000F0762"/>
    <w:rsid w:val="000F08B6"/>
    <w:rsid w:val="000F19C7"/>
    <w:rsid w:val="000F1E23"/>
    <w:rsid w:val="000F2D69"/>
    <w:rsid w:val="000F2DF8"/>
    <w:rsid w:val="000F34FE"/>
    <w:rsid w:val="000F3629"/>
    <w:rsid w:val="000F3EEF"/>
    <w:rsid w:val="000F3EF6"/>
    <w:rsid w:val="000F4ED0"/>
    <w:rsid w:val="000F50A0"/>
    <w:rsid w:val="000F7100"/>
    <w:rsid w:val="000F7857"/>
    <w:rsid w:val="0010146A"/>
    <w:rsid w:val="00101E00"/>
    <w:rsid w:val="00103260"/>
    <w:rsid w:val="00103A80"/>
    <w:rsid w:val="00103F92"/>
    <w:rsid w:val="00104AAE"/>
    <w:rsid w:val="00104AF1"/>
    <w:rsid w:val="0010581F"/>
    <w:rsid w:val="00105E59"/>
    <w:rsid w:val="00107238"/>
    <w:rsid w:val="00107608"/>
    <w:rsid w:val="001078A9"/>
    <w:rsid w:val="00107C46"/>
    <w:rsid w:val="001100EF"/>
    <w:rsid w:val="00112DC0"/>
    <w:rsid w:val="00113D4D"/>
    <w:rsid w:val="00113EC0"/>
    <w:rsid w:val="00114204"/>
    <w:rsid w:val="00114722"/>
    <w:rsid w:val="00115409"/>
    <w:rsid w:val="001159F9"/>
    <w:rsid w:val="00115A83"/>
    <w:rsid w:val="0011656C"/>
    <w:rsid w:val="00116987"/>
    <w:rsid w:val="00117834"/>
    <w:rsid w:val="00120472"/>
    <w:rsid w:val="00120C2B"/>
    <w:rsid w:val="001213B5"/>
    <w:rsid w:val="00121D8A"/>
    <w:rsid w:val="00122C20"/>
    <w:rsid w:val="001231FF"/>
    <w:rsid w:val="00123CD7"/>
    <w:rsid w:val="0012418D"/>
    <w:rsid w:val="00124377"/>
    <w:rsid w:val="00124677"/>
    <w:rsid w:val="00124E2B"/>
    <w:rsid w:val="00125BB7"/>
    <w:rsid w:val="00125D83"/>
    <w:rsid w:val="00126158"/>
    <w:rsid w:val="001263E1"/>
    <w:rsid w:val="00126516"/>
    <w:rsid w:val="00126F4D"/>
    <w:rsid w:val="00130404"/>
    <w:rsid w:val="0013069A"/>
    <w:rsid w:val="00130F73"/>
    <w:rsid w:val="00131470"/>
    <w:rsid w:val="00131613"/>
    <w:rsid w:val="00132590"/>
    <w:rsid w:val="0013278A"/>
    <w:rsid w:val="00132CA7"/>
    <w:rsid w:val="00133744"/>
    <w:rsid w:val="001340B3"/>
    <w:rsid w:val="001347A3"/>
    <w:rsid w:val="001359C8"/>
    <w:rsid w:val="00135A60"/>
    <w:rsid w:val="00135B2D"/>
    <w:rsid w:val="00135EBB"/>
    <w:rsid w:val="00136FC9"/>
    <w:rsid w:val="001377EF"/>
    <w:rsid w:val="00137B3A"/>
    <w:rsid w:val="001417BE"/>
    <w:rsid w:val="00141DB2"/>
    <w:rsid w:val="00142465"/>
    <w:rsid w:val="001431C1"/>
    <w:rsid w:val="00143A93"/>
    <w:rsid w:val="00143C70"/>
    <w:rsid w:val="00143D4C"/>
    <w:rsid w:val="00143E5E"/>
    <w:rsid w:val="00144D8D"/>
    <w:rsid w:val="00145BFD"/>
    <w:rsid w:val="00145EF8"/>
    <w:rsid w:val="001468EC"/>
    <w:rsid w:val="00146D04"/>
    <w:rsid w:val="00150279"/>
    <w:rsid w:val="00150FCB"/>
    <w:rsid w:val="00151948"/>
    <w:rsid w:val="00151E47"/>
    <w:rsid w:val="001526DB"/>
    <w:rsid w:val="001528CE"/>
    <w:rsid w:val="001534B2"/>
    <w:rsid w:val="00153539"/>
    <w:rsid w:val="00153699"/>
    <w:rsid w:val="001540B9"/>
    <w:rsid w:val="00154A1D"/>
    <w:rsid w:val="00154AB5"/>
    <w:rsid w:val="00155386"/>
    <w:rsid w:val="00156BE0"/>
    <w:rsid w:val="001579AA"/>
    <w:rsid w:val="00157E7D"/>
    <w:rsid w:val="00160D34"/>
    <w:rsid w:val="00161472"/>
    <w:rsid w:val="00161BB5"/>
    <w:rsid w:val="001640FD"/>
    <w:rsid w:val="00165042"/>
    <w:rsid w:val="00165203"/>
    <w:rsid w:val="00165921"/>
    <w:rsid w:val="00166EF7"/>
    <w:rsid w:val="0016787A"/>
    <w:rsid w:val="00167D1C"/>
    <w:rsid w:val="00167ED2"/>
    <w:rsid w:val="00170B72"/>
    <w:rsid w:val="00170CC1"/>
    <w:rsid w:val="00170CCE"/>
    <w:rsid w:val="00170D6F"/>
    <w:rsid w:val="00170E94"/>
    <w:rsid w:val="00171426"/>
    <w:rsid w:val="001714D5"/>
    <w:rsid w:val="0017203B"/>
    <w:rsid w:val="001721CB"/>
    <w:rsid w:val="00172522"/>
    <w:rsid w:val="00173607"/>
    <w:rsid w:val="00173B00"/>
    <w:rsid w:val="00173CD4"/>
    <w:rsid w:val="00173DDD"/>
    <w:rsid w:val="00174007"/>
    <w:rsid w:val="001742A8"/>
    <w:rsid w:val="00174AC8"/>
    <w:rsid w:val="00175890"/>
    <w:rsid w:val="00175A94"/>
    <w:rsid w:val="00175B41"/>
    <w:rsid w:val="0017639A"/>
    <w:rsid w:val="00176827"/>
    <w:rsid w:val="00176896"/>
    <w:rsid w:val="00176DC2"/>
    <w:rsid w:val="00176E1B"/>
    <w:rsid w:val="001779DA"/>
    <w:rsid w:val="00177FD3"/>
    <w:rsid w:val="001800DE"/>
    <w:rsid w:val="0018077C"/>
    <w:rsid w:val="00181795"/>
    <w:rsid w:val="001819F0"/>
    <w:rsid w:val="00181C8E"/>
    <w:rsid w:val="00182C9D"/>
    <w:rsid w:val="001834D5"/>
    <w:rsid w:val="001837B3"/>
    <w:rsid w:val="001838C7"/>
    <w:rsid w:val="001845BD"/>
    <w:rsid w:val="001848AA"/>
    <w:rsid w:val="001851E6"/>
    <w:rsid w:val="001862BD"/>
    <w:rsid w:val="001867F0"/>
    <w:rsid w:val="0018691E"/>
    <w:rsid w:val="00187E85"/>
    <w:rsid w:val="00190825"/>
    <w:rsid w:val="00190CAB"/>
    <w:rsid w:val="00190D2F"/>
    <w:rsid w:val="00191068"/>
    <w:rsid w:val="00191C57"/>
    <w:rsid w:val="00191F8C"/>
    <w:rsid w:val="0019220B"/>
    <w:rsid w:val="0019248C"/>
    <w:rsid w:val="00193970"/>
    <w:rsid w:val="00193D87"/>
    <w:rsid w:val="00194011"/>
    <w:rsid w:val="00194A7E"/>
    <w:rsid w:val="00194AEF"/>
    <w:rsid w:val="00195216"/>
    <w:rsid w:val="00195856"/>
    <w:rsid w:val="00195AE0"/>
    <w:rsid w:val="00195BAD"/>
    <w:rsid w:val="0019604F"/>
    <w:rsid w:val="00196424"/>
    <w:rsid w:val="001964FB"/>
    <w:rsid w:val="00196D0B"/>
    <w:rsid w:val="0019781D"/>
    <w:rsid w:val="0019787E"/>
    <w:rsid w:val="00197919"/>
    <w:rsid w:val="00197E51"/>
    <w:rsid w:val="00197F7C"/>
    <w:rsid w:val="001A054E"/>
    <w:rsid w:val="001A12A0"/>
    <w:rsid w:val="001A1442"/>
    <w:rsid w:val="001A1609"/>
    <w:rsid w:val="001A1D17"/>
    <w:rsid w:val="001A29B6"/>
    <w:rsid w:val="001A2E20"/>
    <w:rsid w:val="001A3C67"/>
    <w:rsid w:val="001A3DA3"/>
    <w:rsid w:val="001A3F1D"/>
    <w:rsid w:val="001A423C"/>
    <w:rsid w:val="001A4A4B"/>
    <w:rsid w:val="001A5008"/>
    <w:rsid w:val="001A6531"/>
    <w:rsid w:val="001A65BA"/>
    <w:rsid w:val="001A6E57"/>
    <w:rsid w:val="001A72E1"/>
    <w:rsid w:val="001A7947"/>
    <w:rsid w:val="001B06DB"/>
    <w:rsid w:val="001B1257"/>
    <w:rsid w:val="001B1DA4"/>
    <w:rsid w:val="001B2240"/>
    <w:rsid w:val="001B2501"/>
    <w:rsid w:val="001B2E68"/>
    <w:rsid w:val="001B363A"/>
    <w:rsid w:val="001B41AC"/>
    <w:rsid w:val="001B477B"/>
    <w:rsid w:val="001B519D"/>
    <w:rsid w:val="001B5AD5"/>
    <w:rsid w:val="001B601B"/>
    <w:rsid w:val="001B6082"/>
    <w:rsid w:val="001B6124"/>
    <w:rsid w:val="001B65EF"/>
    <w:rsid w:val="001B67AC"/>
    <w:rsid w:val="001B6AEF"/>
    <w:rsid w:val="001B7E57"/>
    <w:rsid w:val="001C03BA"/>
    <w:rsid w:val="001C08DC"/>
    <w:rsid w:val="001C1300"/>
    <w:rsid w:val="001C1381"/>
    <w:rsid w:val="001C17CA"/>
    <w:rsid w:val="001C1B94"/>
    <w:rsid w:val="001C1BAA"/>
    <w:rsid w:val="001C20DD"/>
    <w:rsid w:val="001C22F8"/>
    <w:rsid w:val="001C28BA"/>
    <w:rsid w:val="001C2CB1"/>
    <w:rsid w:val="001C32D4"/>
    <w:rsid w:val="001C330D"/>
    <w:rsid w:val="001C4BF6"/>
    <w:rsid w:val="001C6085"/>
    <w:rsid w:val="001C60AC"/>
    <w:rsid w:val="001C6400"/>
    <w:rsid w:val="001C6442"/>
    <w:rsid w:val="001C6F13"/>
    <w:rsid w:val="001D1480"/>
    <w:rsid w:val="001D2979"/>
    <w:rsid w:val="001D387E"/>
    <w:rsid w:val="001D3D3E"/>
    <w:rsid w:val="001D444E"/>
    <w:rsid w:val="001D47A7"/>
    <w:rsid w:val="001D4B10"/>
    <w:rsid w:val="001D4B21"/>
    <w:rsid w:val="001D4FA1"/>
    <w:rsid w:val="001D4FF5"/>
    <w:rsid w:val="001D5DD2"/>
    <w:rsid w:val="001D648B"/>
    <w:rsid w:val="001D659E"/>
    <w:rsid w:val="001D6808"/>
    <w:rsid w:val="001D6FA1"/>
    <w:rsid w:val="001D703D"/>
    <w:rsid w:val="001D75A5"/>
    <w:rsid w:val="001D7A4C"/>
    <w:rsid w:val="001D7ECA"/>
    <w:rsid w:val="001D7ED1"/>
    <w:rsid w:val="001E03A9"/>
    <w:rsid w:val="001E0B56"/>
    <w:rsid w:val="001E0E27"/>
    <w:rsid w:val="001E12AA"/>
    <w:rsid w:val="001E1782"/>
    <w:rsid w:val="001E1C41"/>
    <w:rsid w:val="001E2148"/>
    <w:rsid w:val="001E23F3"/>
    <w:rsid w:val="001E29DB"/>
    <w:rsid w:val="001E2D4E"/>
    <w:rsid w:val="001E3879"/>
    <w:rsid w:val="001E3948"/>
    <w:rsid w:val="001E477B"/>
    <w:rsid w:val="001E5676"/>
    <w:rsid w:val="001E56EF"/>
    <w:rsid w:val="001E6C65"/>
    <w:rsid w:val="001F0D87"/>
    <w:rsid w:val="001F15A8"/>
    <w:rsid w:val="001F1711"/>
    <w:rsid w:val="001F17CE"/>
    <w:rsid w:val="001F1DE6"/>
    <w:rsid w:val="001F2876"/>
    <w:rsid w:val="001F3152"/>
    <w:rsid w:val="001F33D6"/>
    <w:rsid w:val="001F3653"/>
    <w:rsid w:val="001F3D02"/>
    <w:rsid w:val="001F3D28"/>
    <w:rsid w:val="001F48F1"/>
    <w:rsid w:val="001F4B3A"/>
    <w:rsid w:val="001F4B3D"/>
    <w:rsid w:val="001F4EF6"/>
    <w:rsid w:val="001F51DE"/>
    <w:rsid w:val="001F572B"/>
    <w:rsid w:val="001F7210"/>
    <w:rsid w:val="001F79D1"/>
    <w:rsid w:val="00200840"/>
    <w:rsid w:val="00200CF0"/>
    <w:rsid w:val="0020109B"/>
    <w:rsid w:val="002010E0"/>
    <w:rsid w:val="002019B1"/>
    <w:rsid w:val="002019D2"/>
    <w:rsid w:val="00201EFB"/>
    <w:rsid w:val="002025A1"/>
    <w:rsid w:val="00202780"/>
    <w:rsid w:val="0020296B"/>
    <w:rsid w:val="00202C4A"/>
    <w:rsid w:val="002035A7"/>
    <w:rsid w:val="0020369B"/>
    <w:rsid w:val="002040C7"/>
    <w:rsid w:val="00204B91"/>
    <w:rsid w:val="00204C04"/>
    <w:rsid w:val="0020690B"/>
    <w:rsid w:val="00206AF1"/>
    <w:rsid w:val="00206DC0"/>
    <w:rsid w:val="00206F1C"/>
    <w:rsid w:val="0020703B"/>
    <w:rsid w:val="002100E5"/>
    <w:rsid w:val="00210C4A"/>
    <w:rsid w:val="002111E1"/>
    <w:rsid w:val="0021153D"/>
    <w:rsid w:val="00211597"/>
    <w:rsid w:val="00211F3E"/>
    <w:rsid w:val="0021304C"/>
    <w:rsid w:val="002131EB"/>
    <w:rsid w:val="0021320A"/>
    <w:rsid w:val="00213317"/>
    <w:rsid w:val="00213454"/>
    <w:rsid w:val="00213764"/>
    <w:rsid w:val="0021383B"/>
    <w:rsid w:val="002138A7"/>
    <w:rsid w:val="002138BC"/>
    <w:rsid w:val="00213D7A"/>
    <w:rsid w:val="00214148"/>
    <w:rsid w:val="00214F86"/>
    <w:rsid w:val="00215220"/>
    <w:rsid w:val="00215340"/>
    <w:rsid w:val="002153FF"/>
    <w:rsid w:val="00216291"/>
    <w:rsid w:val="002162DD"/>
    <w:rsid w:val="00216B20"/>
    <w:rsid w:val="00220C39"/>
    <w:rsid w:val="00220C3F"/>
    <w:rsid w:val="0022180D"/>
    <w:rsid w:val="002218AC"/>
    <w:rsid w:val="002225F7"/>
    <w:rsid w:val="00222AF3"/>
    <w:rsid w:val="00222CFE"/>
    <w:rsid w:val="00223163"/>
    <w:rsid w:val="00223CB4"/>
    <w:rsid w:val="00224728"/>
    <w:rsid w:val="002247A3"/>
    <w:rsid w:val="0022482C"/>
    <w:rsid w:val="00224AB9"/>
    <w:rsid w:val="00224EE7"/>
    <w:rsid w:val="00227B8A"/>
    <w:rsid w:val="002326A5"/>
    <w:rsid w:val="0023287C"/>
    <w:rsid w:val="00233CC2"/>
    <w:rsid w:val="002346EB"/>
    <w:rsid w:val="00234E1D"/>
    <w:rsid w:val="002352FB"/>
    <w:rsid w:val="0023564B"/>
    <w:rsid w:val="00236211"/>
    <w:rsid w:val="0023670D"/>
    <w:rsid w:val="0023686D"/>
    <w:rsid w:val="00236AD1"/>
    <w:rsid w:val="00236F50"/>
    <w:rsid w:val="0024005A"/>
    <w:rsid w:val="00240647"/>
    <w:rsid w:val="00240F80"/>
    <w:rsid w:val="0024199D"/>
    <w:rsid w:val="00241D98"/>
    <w:rsid w:val="00242355"/>
    <w:rsid w:val="00242B7E"/>
    <w:rsid w:val="002433B1"/>
    <w:rsid w:val="00243BB1"/>
    <w:rsid w:val="00243D17"/>
    <w:rsid w:val="002445AC"/>
    <w:rsid w:val="002448E4"/>
    <w:rsid w:val="00244BDF"/>
    <w:rsid w:val="00244D6D"/>
    <w:rsid w:val="00245212"/>
    <w:rsid w:val="0024556E"/>
    <w:rsid w:val="00245CF3"/>
    <w:rsid w:val="002460E5"/>
    <w:rsid w:val="00246D28"/>
    <w:rsid w:val="00247304"/>
    <w:rsid w:val="00247487"/>
    <w:rsid w:val="00247BD7"/>
    <w:rsid w:val="00250027"/>
    <w:rsid w:val="002500F6"/>
    <w:rsid w:val="00250DD7"/>
    <w:rsid w:val="00250F5F"/>
    <w:rsid w:val="002516DA"/>
    <w:rsid w:val="002516E2"/>
    <w:rsid w:val="00252029"/>
    <w:rsid w:val="00252413"/>
    <w:rsid w:val="002527B7"/>
    <w:rsid w:val="00252CBF"/>
    <w:rsid w:val="00252FFC"/>
    <w:rsid w:val="00253203"/>
    <w:rsid w:val="00253247"/>
    <w:rsid w:val="002535DD"/>
    <w:rsid w:val="00253CBB"/>
    <w:rsid w:val="00253E79"/>
    <w:rsid w:val="00253EAE"/>
    <w:rsid w:val="0025537A"/>
    <w:rsid w:val="0025556B"/>
    <w:rsid w:val="002558D4"/>
    <w:rsid w:val="00255D8E"/>
    <w:rsid w:val="00255DB3"/>
    <w:rsid w:val="00256FDB"/>
    <w:rsid w:val="002570EE"/>
    <w:rsid w:val="00257576"/>
    <w:rsid w:val="0025772D"/>
    <w:rsid w:val="00260B01"/>
    <w:rsid w:val="00260B8F"/>
    <w:rsid w:val="00261805"/>
    <w:rsid w:val="00261992"/>
    <w:rsid w:val="00261DF3"/>
    <w:rsid w:val="00261F5C"/>
    <w:rsid w:val="00262582"/>
    <w:rsid w:val="00263D50"/>
    <w:rsid w:val="00263DDF"/>
    <w:rsid w:val="002644AB"/>
    <w:rsid w:val="00264A65"/>
    <w:rsid w:val="00264C0E"/>
    <w:rsid w:val="002650AD"/>
    <w:rsid w:val="002658D4"/>
    <w:rsid w:val="00266A5B"/>
    <w:rsid w:val="0026717A"/>
    <w:rsid w:val="0026799B"/>
    <w:rsid w:val="00267E4B"/>
    <w:rsid w:val="00270300"/>
    <w:rsid w:val="002706D5"/>
    <w:rsid w:val="00270740"/>
    <w:rsid w:val="002726E3"/>
    <w:rsid w:val="0027324F"/>
    <w:rsid w:val="00274023"/>
    <w:rsid w:val="0027485C"/>
    <w:rsid w:val="00274E28"/>
    <w:rsid w:val="002758A0"/>
    <w:rsid w:val="00276516"/>
    <w:rsid w:val="00276F6D"/>
    <w:rsid w:val="00277CD3"/>
    <w:rsid w:val="00281264"/>
    <w:rsid w:val="00282937"/>
    <w:rsid w:val="00282AB5"/>
    <w:rsid w:val="00283B6A"/>
    <w:rsid w:val="00283E4C"/>
    <w:rsid w:val="002851AD"/>
    <w:rsid w:val="002858EC"/>
    <w:rsid w:val="002858F4"/>
    <w:rsid w:val="00285ABB"/>
    <w:rsid w:val="002865B5"/>
    <w:rsid w:val="002866EB"/>
    <w:rsid w:val="00286754"/>
    <w:rsid w:val="002869D8"/>
    <w:rsid w:val="002871D1"/>
    <w:rsid w:val="002871EA"/>
    <w:rsid w:val="00287242"/>
    <w:rsid w:val="002900DB"/>
    <w:rsid w:val="0029075B"/>
    <w:rsid w:val="00290823"/>
    <w:rsid w:val="00290B12"/>
    <w:rsid w:val="00290C56"/>
    <w:rsid w:val="00291094"/>
    <w:rsid w:val="00291141"/>
    <w:rsid w:val="00291353"/>
    <w:rsid w:val="0029183C"/>
    <w:rsid w:val="002927FC"/>
    <w:rsid w:val="0029307F"/>
    <w:rsid w:val="00294BD7"/>
    <w:rsid w:val="00295D02"/>
    <w:rsid w:val="00295DD4"/>
    <w:rsid w:val="00295EBA"/>
    <w:rsid w:val="0029645A"/>
    <w:rsid w:val="002969F7"/>
    <w:rsid w:val="00297AFD"/>
    <w:rsid w:val="00297C2B"/>
    <w:rsid w:val="002A06C9"/>
    <w:rsid w:val="002A1DDD"/>
    <w:rsid w:val="002A29C0"/>
    <w:rsid w:val="002A2BF3"/>
    <w:rsid w:val="002A3185"/>
    <w:rsid w:val="002A3301"/>
    <w:rsid w:val="002A343B"/>
    <w:rsid w:val="002A3B0B"/>
    <w:rsid w:val="002A403E"/>
    <w:rsid w:val="002A40A3"/>
    <w:rsid w:val="002A5612"/>
    <w:rsid w:val="002A581B"/>
    <w:rsid w:val="002A5980"/>
    <w:rsid w:val="002A5F57"/>
    <w:rsid w:val="002A6525"/>
    <w:rsid w:val="002A672D"/>
    <w:rsid w:val="002A67A9"/>
    <w:rsid w:val="002A69A2"/>
    <w:rsid w:val="002A7652"/>
    <w:rsid w:val="002A7D6D"/>
    <w:rsid w:val="002A7E78"/>
    <w:rsid w:val="002A7F37"/>
    <w:rsid w:val="002B01F4"/>
    <w:rsid w:val="002B02C1"/>
    <w:rsid w:val="002B0573"/>
    <w:rsid w:val="002B13BE"/>
    <w:rsid w:val="002B1A1D"/>
    <w:rsid w:val="002B2700"/>
    <w:rsid w:val="002B3032"/>
    <w:rsid w:val="002B3C87"/>
    <w:rsid w:val="002B3DC8"/>
    <w:rsid w:val="002B4BDD"/>
    <w:rsid w:val="002B53D5"/>
    <w:rsid w:val="002B5480"/>
    <w:rsid w:val="002B623A"/>
    <w:rsid w:val="002B6A38"/>
    <w:rsid w:val="002B7342"/>
    <w:rsid w:val="002B7F59"/>
    <w:rsid w:val="002C0465"/>
    <w:rsid w:val="002C084A"/>
    <w:rsid w:val="002C0B67"/>
    <w:rsid w:val="002C0FA3"/>
    <w:rsid w:val="002C16F2"/>
    <w:rsid w:val="002C16FB"/>
    <w:rsid w:val="002C1B02"/>
    <w:rsid w:val="002C24C1"/>
    <w:rsid w:val="002C282D"/>
    <w:rsid w:val="002C2937"/>
    <w:rsid w:val="002C3E2C"/>
    <w:rsid w:val="002C42C3"/>
    <w:rsid w:val="002C4594"/>
    <w:rsid w:val="002C4E65"/>
    <w:rsid w:val="002C5389"/>
    <w:rsid w:val="002C5CDC"/>
    <w:rsid w:val="002C5DFD"/>
    <w:rsid w:val="002C6A2B"/>
    <w:rsid w:val="002C6C7F"/>
    <w:rsid w:val="002D04B6"/>
    <w:rsid w:val="002D062F"/>
    <w:rsid w:val="002D0A6F"/>
    <w:rsid w:val="002D26C3"/>
    <w:rsid w:val="002D29B7"/>
    <w:rsid w:val="002D35E9"/>
    <w:rsid w:val="002D3E15"/>
    <w:rsid w:val="002D3FC7"/>
    <w:rsid w:val="002D438D"/>
    <w:rsid w:val="002D43AC"/>
    <w:rsid w:val="002D4493"/>
    <w:rsid w:val="002D49D8"/>
    <w:rsid w:val="002D586B"/>
    <w:rsid w:val="002D5878"/>
    <w:rsid w:val="002D58F5"/>
    <w:rsid w:val="002D60A6"/>
    <w:rsid w:val="002E0315"/>
    <w:rsid w:val="002E049F"/>
    <w:rsid w:val="002E11A0"/>
    <w:rsid w:val="002E218F"/>
    <w:rsid w:val="002E258B"/>
    <w:rsid w:val="002E33ED"/>
    <w:rsid w:val="002E3A4D"/>
    <w:rsid w:val="002E3DE2"/>
    <w:rsid w:val="002E491C"/>
    <w:rsid w:val="002E4A5D"/>
    <w:rsid w:val="002E50FA"/>
    <w:rsid w:val="002E57F8"/>
    <w:rsid w:val="002E5A00"/>
    <w:rsid w:val="002E7178"/>
    <w:rsid w:val="002E7FD4"/>
    <w:rsid w:val="002E7FE3"/>
    <w:rsid w:val="002F0564"/>
    <w:rsid w:val="002F07C4"/>
    <w:rsid w:val="002F1CD8"/>
    <w:rsid w:val="002F2256"/>
    <w:rsid w:val="002F281C"/>
    <w:rsid w:val="002F2B77"/>
    <w:rsid w:val="002F4F36"/>
    <w:rsid w:val="002F5AB3"/>
    <w:rsid w:val="002F5BFF"/>
    <w:rsid w:val="002F5EB8"/>
    <w:rsid w:val="002F6146"/>
    <w:rsid w:val="002F62A8"/>
    <w:rsid w:val="002F69A1"/>
    <w:rsid w:val="002F6D70"/>
    <w:rsid w:val="002F6E53"/>
    <w:rsid w:val="002F7411"/>
    <w:rsid w:val="002F76A9"/>
    <w:rsid w:val="003008BB"/>
    <w:rsid w:val="00301357"/>
    <w:rsid w:val="0030136F"/>
    <w:rsid w:val="00301430"/>
    <w:rsid w:val="003016BC"/>
    <w:rsid w:val="003023B1"/>
    <w:rsid w:val="00302A64"/>
    <w:rsid w:val="0030311A"/>
    <w:rsid w:val="00303233"/>
    <w:rsid w:val="0030343A"/>
    <w:rsid w:val="003035DA"/>
    <w:rsid w:val="00304E3A"/>
    <w:rsid w:val="0030501E"/>
    <w:rsid w:val="003063FC"/>
    <w:rsid w:val="003064E5"/>
    <w:rsid w:val="00306B39"/>
    <w:rsid w:val="0030716B"/>
    <w:rsid w:val="0030798B"/>
    <w:rsid w:val="003101F5"/>
    <w:rsid w:val="00310C60"/>
    <w:rsid w:val="00311606"/>
    <w:rsid w:val="00312093"/>
    <w:rsid w:val="003129C0"/>
    <w:rsid w:val="00312EF7"/>
    <w:rsid w:val="00314246"/>
    <w:rsid w:val="003142A1"/>
    <w:rsid w:val="00314C39"/>
    <w:rsid w:val="00315080"/>
    <w:rsid w:val="0031687D"/>
    <w:rsid w:val="0031690B"/>
    <w:rsid w:val="00320339"/>
    <w:rsid w:val="00320744"/>
    <w:rsid w:val="00320A16"/>
    <w:rsid w:val="003216F4"/>
    <w:rsid w:val="0032220E"/>
    <w:rsid w:val="0032262A"/>
    <w:rsid w:val="003233CF"/>
    <w:rsid w:val="00323B91"/>
    <w:rsid w:val="0032407C"/>
    <w:rsid w:val="00325697"/>
    <w:rsid w:val="00325757"/>
    <w:rsid w:val="00325F5B"/>
    <w:rsid w:val="0032674F"/>
    <w:rsid w:val="00327D18"/>
    <w:rsid w:val="0033009D"/>
    <w:rsid w:val="003302E4"/>
    <w:rsid w:val="0033050F"/>
    <w:rsid w:val="003308EF"/>
    <w:rsid w:val="00330B6A"/>
    <w:rsid w:val="00331A05"/>
    <w:rsid w:val="00331F81"/>
    <w:rsid w:val="003325FE"/>
    <w:rsid w:val="00333D50"/>
    <w:rsid w:val="003358CF"/>
    <w:rsid w:val="00335B4F"/>
    <w:rsid w:val="00336B60"/>
    <w:rsid w:val="00336C79"/>
    <w:rsid w:val="00337CA9"/>
    <w:rsid w:val="00337D27"/>
    <w:rsid w:val="003407D4"/>
    <w:rsid w:val="00340CBB"/>
    <w:rsid w:val="00341169"/>
    <w:rsid w:val="0034211A"/>
    <w:rsid w:val="00342B78"/>
    <w:rsid w:val="003442A3"/>
    <w:rsid w:val="0034468A"/>
    <w:rsid w:val="00344ACF"/>
    <w:rsid w:val="00344DDB"/>
    <w:rsid w:val="003453E3"/>
    <w:rsid w:val="0034559C"/>
    <w:rsid w:val="003456FD"/>
    <w:rsid w:val="003459FC"/>
    <w:rsid w:val="00345A4A"/>
    <w:rsid w:val="00346295"/>
    <w:rsid w:val="00347732"/>
    <w:rsid w:val="00347A33"/>
    <w:rsid w:val="003507B6"/>
    <w:rsid w:val="00350BB1"/>
    <w:rsid w:val="00350C31"/>
    <w:rsid w:val="0035185C"/>
    <w:rsid w:val="00351DB4"/>
    <w:rsid w:val="00351FB9"/>
    <w:rsid w:val="00352176"/>
    <w:rsid w:val="00352179"/>
    <w:rsid w:val="00352208"/>
    <w:rsid w:val="00352C60"/>
    <w:rsid w:val="00353063"/>
    <w:rsid w:val="00353189"/>
    <w:rsid w:val="00353273"/>
    <w:rsid w:val="003535A2"/>
    <w:rsid w:val="00353735"/>
    <w:rsid w:val="00353BDB"/>
    <w:rsid w:val="00353F97"/>
    <w:rsid w:val="0035416B"/>
    <w:rsid w:val="00355841"/>
    <w:rsid w:val="00355893"/>
    <w:rsid w:val="00355B1A"/>
    <w:rsid w:val="00356067"/>
    <w:rsid w:val="0035688B"/>
    <w:rsid w:val="00356D81"/>
    <w:rsid w:val="00356E0E"/>
    <w:rsid w:val="0035716F"/>
    <w:rsid w:val="0035734D"/>
    <w:rsid w:val="003576BE"/>
    <w:rsid w:val="00357BFE"/>
    <w:rsid w:val="003617DE"/>
    <w:rsid w:val="0036191B"/>
    <w:rsid w:val="00361DC9"/>
    <w:rsid w:val="003626F6"/>
    <w:rsid w:val="00362A23"/>
    <w:rsid w:val="00362E1E"/>
    <w:rsid w:val="003635B7"/>
    <w:rsid w:val="00363AFD"/>
    <w:rsid w:val="00364021"/>
    <w:rsid w:val="003641FB"/>
    <w:rsid w:val="00364595"/>
    <w:rsid w:val="00364FAC"/>
    <w:rsid w:val="00366252"/>
    <w:rsid w:val="00366A0A"/>
    <w:rsid w:val="00367508"/>
    <w:rsid w:val="00367ED1"/>
    <w:rsid w:val="00370CC9"/>
    <w:rsid w:val="00371620"/>
    <w:rsid w:val="003727AF"/>
    <w:rsid w:val="00372E47"/>
    <w:rsid w:val="00372FE5"/>
    <w:rsid w:val="00373C7B"/>
    <w:rsid w:val="00374F15"/>
    <w:rsid w:val="00375382"/>
    <w:rsid w:val="00375C17"/>
    <w:rsid w:val="003760A6"/>
    <w:rsid w:val="003771A5"/>
    <w:rsid w:val="0037766A"/>
    <w:rsid w:val="003777B2"/>
    <w:rsid w:val="003778FA"/>
    <w:rsid w:val="00380865"/>
    <w:rsid w:val="00380EC3"/>
    <w:rsid w:val="00380FCF"/>
    <w:rsid w:val="0038127D"/>
    <w:rsid w:val="003818AF"/>
    <w:rsid w:val="00381960"/>
    <w:rsid w:val="00383593"/>
    <w:rsid w:val="00383C4C"/>
    <w:rsid w:val="003842B0"/>
    <w:rsid w:val="00384518"/>
    <w:rsid w:val="003849FF"/>
    <w:rsid w:val="00384AC7"/>
    <w:rsid w:val="00384BD0"/>
    <w:rsid w:val="00384FDB"/>
    <w:rsid w:val="00385AC1"/>
    <w:rsid w:val="00385EDE"/>
    <w:rsid w:val="0038694E"/>
    <w:rsid w:val="00386ADD"/>
    <w:rsid w:val="003870F4"/>
    <w:rsid w:val="00387C03"/>
    <w:rsid w:val="0039028B"/>
    <w:rsid w:val="00390692"/>
    <w:rsid w:val="00391346"/>
    <w:rsid w:val="00392151"/>
    <w:rsid w:val="00394A64"/>
    <w:rsid w:val="003951BD"/>
    <w:rsid w:val="00395423"/>
    <w:rsid w:val="00395B21"/>
    <w:rsid w:val="00395E6E"/>
    <w:rsid w:val="0039699B"/>
    <w:rsid w:val="00396A0E"/>
    <w:rsid w:val="00396C90"/>
    <w:rsid w:val="00397275"/>
    <w:rsid w:val="003A007F"/>
    <w:rsid w:val="003A038D"/>
    <w:rsid w:val="003A244A"/>
    <w:rsid w:val="003A29BE"/>
    <w:rsid w:val="003A3033"/>
    <w:rsid w:val="003A30E4"/>
    <w:rsid w:val="003A312D"/>
    <w:rsid w:val="003A33EC"/>
    <w:rsid w:val="003A3C09"/>
    <w:rsid w:val="003A3FF1"/>
    <w:rsid w:val="003A4FD8"/>
    <w:rsid w:val="003A513C"/>
    <w:rsid w:val="003A51FF"/>
    <w:rsid w:val="003A5395"/>
    <w:rsid w:val="003A62E4"/>
    <w:rsid w:val="003A7294"/>
    <w:rsid w:val="003A7951"/>
    <w:rsid w:val="003A7D76"/>
    <w:rsid w:val="003B070E"/>
    <w:rsid w:val="003B185F"/>
    <w:rsid w:val="003B1A73"/>
    <w:rsid w:val="003B2EBA"/>
    <w:rsid w:val="003B432C"/>
    <w:rsid w:val="003B44E4"/>
    <w:rsid w:val="003B4978"/>
    <w:rsid w:val="003B4E1B"/>
    <w:rsid w:val="003B5720"/>
    <w:rsid w:val="003B60EC"/>
    <w:rsid w:val="003B64A9"/>
    <w:rsid w:val="003B695A"/>
    <w:rsid w:val="003B6EBF"/>
    <w:rsid w:val="003B7211"/>
    <w:rsid w:val="003B7EFE"/>
    <w:rsid w:val="003C0E0B"/>
    <w:rsid w:val="003C1032"/>
    <w:rsid w:val="003C125E"/>
    <w:rsid w:val="003C17AE"/>
    <w:rsid w:val="003C17DD"/>
    <w:rsid w:val="003C1A85"/>
    <w:rsid w:val="003C2006"/>
    <w:rsid w:val="003C207D"/>
    <w:rsid w:val="003C23E3"/>
    <w:rsid w:val="003C244B"/>
    <w:rsid w:val="003C244C"/>
    <w:rsid w:val="003C3050"/>
    <w:rsid w:val="003C3473"/>
    <w:rsid w:val="003C3477"/>
    <w:rsid w:val="003C376F"/>
    <w:rsid w:val="003C380C"/>
    <w:rsid w:val="003C3A29"/>
    <w:rsid w:val="003C44B3"/>
    <w:rsid w:val="003C578A"/>
    <w:rsid w:val="003C590E"/>
    <w:rsid w:val="003C5BC8"/>
    <w:rsid w:val="003C5D92"/>
    <w:rsid w:val="003C61AE"/>
    <w:rsid w:val="003C7C01"/>
    <w:rsid w:val="003D12CE"/>
    <w:rsid w:val="003D15FB"/>
    <w:rsid w:val="003D2073"/>
    <w:rsid w:val="003D24B5"/>
    <w:rsid w:val="003D3D89"/>
    <w:rsid w:val="003D5734"/>
    <w:rsid w:val="003D5961"/>
    <w:rsid w:val="003D5B8C"/>
    <w:rsid w:val="003D6643"/>
    <w:rsid w:val="003D6B3A"/>
    <w:rsid w:val="003D7319"/>
    <w:rsid w:val="003D7DD3"/>
    <w:rsid w:val="003D7E51"/>
    <w:rsid w:val="003D7FA6"/>
    <w:rsid w:val="003E0A34"/>
    <w:rsid w:val="003E103A"/>
    <w:rsid w:val="003E127A"/>
    <w:rsid w:val="003E1DBC"/>
    <w:rsid w:val="003E2186"/>
    <w:rsid w:val="003E2E2D"/>
    <w:rsid w:val="003E30FF"/>
    <w:rsid w:val="003E3E41"/>
    <w:rsid w:val="003E46C3"/>
    <w:rsid w:val="003E4777"/>
    <w:rsid w:val="003E47E4"/>
    <w:rsid w:val="003E482E"/>
    <w:rsid w:val="003E585E"/>
    <w:rsid w:val="003E5BE8"/>
    <w:rsid w:val="003E5D27"/>
    <w:rsid w:val="003E60A9"/>
    <w:rsid w:val="003E668B"/>
    <w:rsid w:val="003E69B7"/>
    <w:rsid w:val="003E6B7C"/>
    <w:rsid w:val="003E6C42"/>
    <w:rsid w:val="003E6F0F"/>
    <w:rsid w:val="003E6FAB"/>
    <w:rsid w:val="003F047D"/>
    <w:rsid w:val="003F10BC"/>
    <w:rsid w:val="003F1A8B"/>
    <w:rsid w:val="003F1E3E"/>
    <w:rsid w:val="003F241B"/>
    <w:rsid w:val="003F2C5E"/>
    <w:rsid w:val="003F2C8E"/>
    <w:rsid w:val="003F3ECF"/>
    <w:rsid w:val="003F4160"/>
    <w:rsid w:val="003F4E07"/>
    <w:rsid w:val="003F5796"/>
    <w:rsid w:val="003F628E"/>
    <w:rsid w:val="003F6D95"/>
    <w:rsid w:val="003F73B1"/>
    <w:rsid w:val="004002C3"/>
    <w:rsid w:val="0040043C"/>
    <w:rsid w:val="00400556"/>
    <w:rsid w:val="00400C19"/>
    <w:rsid w:val="00400DBF"/>
    <w:rsid w:val="00401815"/>
    <w:rsid w:val="00401BD1"/>
    <w:rsid w:val="00401BFE"/>
    <w:rsid w:val="00401EB9"/>
    <w:rsid w:val="00402094"/>
    <w:rsid w:val="0040222A"/>
    <w:rsid w:val="0040239D"/>
    <w:rsid w:val="004029AB"/>
    <w:rsid w:val="00402AB8"/>
    <w:rsid w:val="00402E33"/>
    <w:rsid w:val="004040F1"/>
    <w:rsid w:val="004042D2"/>
    <w:rsid w:val="0040468C"/>
    <w:rsid w:val="00404D09"/>
    <w:rsid w:val="0040560B"/>
    <w:rsid w:val="004057D7"/>
    <w:rsid w:val="00405A7A"/>
    <w:rsid w:val="00405D0A"/>
    <w:rsid w:val="00405ED3"/>
    <w:rsid w:val="00405F98"/>
    <w:rsid w:val="004064FB"/>
    <w:rsid w:val="0040683C"/>
    <w:rsid w:val="00406B5A"/>
    <w:rsid w:val="00406EE2"/>
    <w:rsid w:val="00407ADC"/>
    <w:rsid w:val="00407C31"/>
    <w:rsid w:val="00410830"/>
    <w:rsid w:val="00410BB3"/>
    <w:rsid w:val="00410D18"/>
    <w:rsid w:val="00410DF0"/>
    <w:rsid w:val="00411926"/>
    <w:rsid w:val="00412601"/>
    <w:rsid w:val="00414E9C"/>
    <w:rsid w:val="00415296"/>
    <w:rsid w:val="00415561"/>
    <w:rsid w:val="00415BD4"/>
    <w:rsid w:val="00415E33"/>
    <w:rsid w:val="0041625F"/>
    <w:rsid w:val="00416BCF"/>
    <w:rsid w:val="004176B4"/>
    <w:rsid w:val="004177BD"/>
    <w:rsid w:val="00420133"/>
    <w:rsid w:val="00420350"/>
    <w:rsid w:val="0042055D"/>
    <w:rsid w:val="0042072B"/>
    <w:rsid w:val="00420744"/>
    <w:rsid w:val="00420751"/>
    <w:rsid w:val="004208A9"/>
    <w:rsid w:val="00420A3F"/>
    <w:rsid w:val="00420B3F"/>
    <w:rsid w:val="0042191C"/>
    <w:rsid w:val="0042197D"/>
    <w:rsid w:val="00421AE2"/>
    <w:rsid w:val="0042235C"/>
    <w:rsid w:val="004225C2"/>
    <w:rsid w:val="004225DC"/>
    <w:rsid w:val="004228D6"/>
    <w:rsid w:val="00422C89"/>
    <w:rsid w:val="00422DD3"/>
    <w:rsid w:val="004232F3"/>
    <w:rsid w:val="004247A1"/>
    <w:rsid w:val="00424E65"/>
    <w:rsid w:val="00425338"/>
    <w:rsid w:val="0042539E"/>
    <w:rsid w:val="00425634"/>
    <w:rsid w:val="0042797F"/>
    <w:rsid w:val="00427DE5"/>
    <w:rsid w:val="0043002E"/>
    <w:rsid w:val="00430617"/>
    <w:rsid w:val="0043093A"/>
    <w:rsid w:val="00430B88"/>
    <w:rsid w:val="00431677"/>
    <w:rsid w:val="004318BA"/>
    <w:rsid w:val="004323BA"/>
    <w:rsid w:val="00432453"/>
    <w:rsid w:val="00432515"/>
    <w:rsid w:val="004327E7"/>
    <w:rsid w:val="004330E5"/>
    <w:rsid w:val="004347E2"/>
    <w:rsid w:val="004349C7"/>
    <w:rsid w:val="00434A49"/>
    <w:rsid w:val="00434B53"/>
    <w:rsid w:val="00434FAD"/>
    <w:rsid w:val="004362B6"/>
    <w:rsid w:val="00436F7A"/>
    <w:rsid w:val="0043708D"/>
    <w:rsid w:val="00437699"/>
    <w:rsid w:val="00437BBC"/>
    <w:rsid w:val="00437F24"/>
    <w:rsid w:val="00440294"/>
    <w:rsid w:val="004409FC"/>
    <w:rsid w:val="004410EB"/>
    <w:rsid w:val="00441643"/>
    <w:rsid w:val="00441735"/>
    <w:rsid w:val="00442939"/>
    <w:rsid w:val="0044332A"/>
    <w:rsid w:val="0044351D"/>
    <w:rsid w:val="00443BDE"/>
    <w:rsid w:val="00444894"/>
    <w:rsid w:val="00444B9F"/>
    <w:rsid w:val="004451C6"/>
    <w:rsid w:val="00445C92"/>
    <w:rsid w:val="00445E32"/>
    <w:rsid w:val="00446F91"/>
    <w:rsid w:val="00447A22"/>
    <w:rsid w:val="00447B67"/>
    <w:rsid w:val="004500E5"/>
    <w:rsid w:val="004506B3"/>
    <w:rsid w:val="004508BE"/>
    <w:rsid w:val="00451B7E"/>
    <w:rsid w:val="00451C72"/>
    <w:rsid w:val="004524C8"/>
    <w:rsid w:val="0045281D"/>
    <w:rsid w:val="0045342F"/>
    <w:rsid w:val="00453601"/>
    <w:rsid w:val="00453B55"/>
    <w:rsid w:val="00453D26"/>
    <w:rsid w:val="00453D94"/>
    <w:rsid w:val="00453E66"/>
    <w:rsid w:val="00454040"/>
    <w:rsid w:val="0045407B"/>
    <w:rsid w:val="004544CF"/>
    <w:rsid w:val="00454772"/>
    <w:rsid w:val="00454FA9"/>
    <w:rsid w:val="0045552C"/>
    <w:rsid w:val="00455909"/>
    <w:rsid w:val="00455EF5"/>
    <w:rsid w:val="00455FD6"/>
    <w:rsid w:val="00456051"/>
    <w:rsid w:val="004567C7"/>
    <w:rsid w:val="00456F42"/>
    <w:rsid w:val="004600BD"/>
    <w:rsid w:val="004600F1"/>
    <w:rsid w:val="00460350"/>
    <w:rsid w:val="004603EA"/>
    <w:rsid w:val="004606B4"/>
    <w:rsid w:val="00460825"/>
    <w:rsid w:val="00460EE0"/>
    <w:rsid w:val="00460F91"/>
    <w:rsid w:val="0046120D"/>
    <w:rsid w:val="004614A5"/>
    <w:rsid w:val="00461711"/>
    <w:rsid w:val="00461B0D"/>
    <w:rsid w:val="00461B3A"/>
    <w:rsid w:val="00462033"/>
    <w:rsid w:val="004622DF"/>
    <w:rsid w:val="00462C55"/>
    <w:rsid w:val="00463DC0"/>
    <w:rsid w:val="004646CD"/>
    <w:rsid w:val="004647EB"/>
    <w:rsid w:val="00464D3C"/>
    <w:rsid w:val="00464FB5"/>
    <w:rsid w:val="00465032"/>
    <w:rsid w:val="004658B9"/>
    <w:rsid w:val="004669D0"/>
    <w:rsid w:val="00467291"/>
    <w:rsid w:val="004672EB"/>
    <w:rsid w:val="0047005A"/>
    <w:rsid w:val="00470062"/>
    <w:rsid w:val="0047078C"/>
    <w:rsid w:val="00470A85"/>
    <w:rsid w:val="00471043"/>
    <w:rsid w:val="004713D6"/>
    <w:rsid w:val="004716E7"/>
    <w:rsid w:val="00471CF3"/>
    <w:rsid w:val="00472150"/>
    <w:rsid w:val="0047327C"/>
    <w:rsid w:val="004737EA"/>
    <w:rsid w:val="00474FE7"/>
    <w:rsid w:val="0047548A"/>
    <w:rsid w:val="00475CFF"/>
    <w:rsid w:val="00476920"/>
    <w:rsid w:val="004769FE"/>
    <w:rsid w:val="00476B1D"/>
    <w:rsid w:val="00476B8C"/>
    <w:rsid w:val="00476F4C"/>
    <w:rsid w:val="004800F6"/>
    <w:rsid w:val="0048045A"/>
    <w:rsid w:val="00480BE0"/>
    <w:rsid w:val="00481AE7"/>
    <w:rsid w:val="00482341"/>
    <w:rsid w:val="0048260A"/>
    <w:rsid w:val="0048300E"/>
    <w:rsid w:val="00483CC3"/>
    <w:rsid w:val="00483F5A"/>
    <w:rsid w:val="0048421C"/>
    <w:rsid w:val="0048442D"/>
    <w:rsid w:val="004847F5"/>
    <w:rsid w:val="004857C6"/>
    <w:rsid w:val="0048658E"/>
    <w:rsid w:val="004867DD"/>
    <w:rsid w:val="00486A4C"/>
    <w:rsid w:val="004870B0"/>
    <w:rsid w:val="004876E8"/>
    <w:rsid w:val="00490ADD"/>
    <w:rsid w:val="00491438"/>
    <w:rsid w:val="004916E4"/>
    <w:rsid w:val="00492068"/>
    <w:rsid w:val="004923FF"/>
    <w:rsid w:val="00493A5E"/>
    <w:rsid w:val="00493EC3"/>
    <w:rsid w:val="00494C85"/>
    <w:rsid w:val="00495176"/>
    <w:rsid w:val="0049561F"/>
    <w:rsid w:val="00495BE2"/>
    <w:rsid w:val="004966C7"/>
    <w:rsid w:val="00496AF4"/>
    <w:rsid w:val="00496C20"/>
    <w:rsid w:val="004972BE"/>
    <w:rsid w:val="00497FD5"/>
    <w:rsid w:val="004A1E21"/>
    <w:rsid w:val="004A2643"/>
    <w:rsid w:val="004A30C1"/>
    <w:rsid w:val="004A33CF"/>
    <w:rsid w:val="004A55EC"/>
    <w:rsid w:val="004A598B"/>
    <w:rsid w:val="004A5B4C"/>
    <w:rsid w:val="004A668D"/>
    <w:rsid w:val="004A6B24"/>
    <w:rsid w:val="004A7816"/>
    <w:rsid w:val="004A7CFB"/>
    <w:rsid w:val="004B16E6"/>
    <w:rsid w:val="004B1701"/>
    <w:rsid w:val="004B1F4C"/>
    <w:rsid w:val="004B425D"/>
    <w:rsid w:val="004B45FA"/>
    <w:rsid w:val="004B46F2"/>
    <w:rsid w:val="004B5620"/>
    <w:rsid w:val="004B629F"/>
    <w:rsid w:val="004B6DFD"/>
    <w:rsid w:val="004B71DE"/>
    <w:rsid w:val="004B7641"/>
    <w:rsid w:val="004B7A39"/>
    <w:rsid w:val="004B7B78"/>
    <w:rsid w:val="004B7D7A"/>
    <w:rsid w:val="004C025F"/>
    <w:rsid w:val="004C0E3D"/>
    <w:rsid w:val="004C15D2"/>
    <w:rsid w:val="004C2560"/>
    <w:rsid w:val="004C27C5"/>
    <w:rsid w:val="004C28F9"/>
    <w:rsid w:val="004C2EEC"/>
    <w:rsid w:val="004C39B7"/>
    <w:rsid w:val="004C4620"/>
    <w:rsid w:val="004C5068"/>
    <w:rsid w:val="004C527B"/>
    <w:rsid w:val="004C6AB2"/>
    <w:rsid w:val="004C6E8D"/>
    <w:rsid w:val="004C6EEE"/>
    <w:rsid w:val="004C7027"/>
    <w:rsid w:val="004C75BA"/>
    <w:rsid w:val="004D0A1C"/>
    <w:rsid w:val="004D1A59"/>
    <w:rsid w:val="004D1BBC"/>
    <w:rsid w:val="004D1C23"/>
    <w:rsid w:val="004D206B"/>
    <w:rsid w:val="004D37F4"/>
    <w:rsid w:val="004D3DA7"/>
    <w:rsid w:val="004D40A1"/>
    <w:rsid w:val="004D42E8"/>
    <w:rsid w:val="004D480A"/>
    <w:rsid w:val="004D4BAA"/>
    <w:rsid w:val="004D4BDE"/>
    <w:rsid w:val="004D4FA6"/>
    <w:rsid w:val="004D644C"/>
    <w:rsid w:val="004D7C80"/>
    <w:rsid w:val="004E1B7C"/>
    <w:rsid w:val="004E1EE4"/>
    <w:rsid w:val="004E20CB"/>
    <w:rsid w:val="004E20D3"/>
    <w:rsid w:val="004E2293"/>
    <w:rsid w:val="004E2D12"/>
    <w:rsid w:val="004E2EBA"/>
    <w:rsid w:val="004E31A9"/>
    <w:rsid w:val="004E3A2F"/>
    <w:rsid w:val="004E3B9C"/>
    <w:rsid w:val="004E3F6B"/>
    <w:rsid w:val="004E40BB"/>
    <w:rsid w:val="004E4B63"/>
    <w:rsid w:val="004E4F77"/>
    <w:rsid w:val="004E4F7F"/>
    <w:rsid w:val="004E5191"/>
    <w:rsid w:val="004E63C6"/>
    <w:rsid w:val="004E7CAC"/>
    <w:rsid w:val="004E7EE8"/>
    <w:rsid w:val="004F029E"/>
    <w:rsid w:val="004F0471"/>
    <w:rsid w:val="004F0D60"/>
    <w:rsid w:val="004F2020"/>
    <w:rsid w:val="004F2C49"/>
    <w:rsid w:val="004F3551"/>
    <w:rsid w:val="004F3AA0"/>
    <w:rsid w:val="004F3DA8"/>
    <w:rsid w:val="004F3E8D"/>
    <w:rsid w:val="004F4740"/>
    <w:rsid w:val="004F4806"/>
    <w:rsid w:val="004F49F7"/>
    <w:rsid w:val="004F5041"/>
    <w:rsid w:val="004F5322"/>
    <w:rsid w:val="004F54AC"/>
    <w:rsid w:val="004F6B28"/>
    <w:rsid w:val="004F711A"/>
    <w:rsid w:val="004F7E9C"/>
    <w:rsid w:val="0050005D"/>
    <w:rsid w:val="00500313"/>
    <w:rsid w:val="00500DFE"/>
    <w:rsid w:val="00501C5C"/>
    <w:rsid w:val="00502141"/>
    <w:rsid w:val="00503109"/>
    <w:rsid w:val="005038CE"/>
    <w:rsid w:val="0050394C"/>
    <w:rsid w:val="00504247"/>
    <w:rsid w:val="005046C7"/>
    <w:rsid w:val="005049CD"/>
    <w:rsid w:val="00504F09"/>
    <w:rsid w:val="00505582"/>
    <w:rsid w:val="00505BC2"/>
    <w:rsid w:val="00505CDC"/>
    <w:rsid w:val="00505DFE"/>
    <w:rsid w:val="00506821"/>
    <w:rsid w:val="005079E0"/>
    <w:rsid w:val="00507CBD"/>
    <w:rsid w:val="005100D6"/>
    <w:rsid w:val="00510173"/>
    <w:rsid w:val="00510260"/>
    <w:rsid w:val="00510371"/>
    <w:rsid w:val="00511154"/>
    <w:rsid w:val="00511485"/>
    <w:rsid w:val="00511913"/>
    <w:rsid w:val="00511D95"/>
    <w:rsid w:val="00511F01"/>
    <w:rsid w:val="00512E8B"/>
    <w:rsid w:val="00512FF8"/>
    <w:rsid w:val="005134B3"/>
    <w:rsid w:val="00513516"/>
    <w:rsid w:val="00513706"/>
    <w:rsid w:val="00513FE8"/>
    <w:rsid w:val="00514277"/>
    <w:rsid w:val="005147AC"/>
    <w:rsid w:val="00514C30"/>
    <w:rsid w:val="00515FA6"/>
    <w:rsid w:val="00516FF0"/>
    <w:rsid w:val="0051736F"/>
    <w:rsid w:val="005174B8"/>
    <w:rsid w:val="00517B17"/>
    <w:rsid w:val="00517F95"/>
    <w:rsid w:val="00520198"/>
    <w:rsid w:val="00521272"/>
    <w:rsid w:val="00522008"/>
    <w:rsid w:val="0052212C"/>
    <w:rsid w:val="005222DF"/>
    <w:rsid w:val="00522574"/>
    <w:rsid w:val="00522C33"/>
    <w:rsid w:val="0052351F"/>
    <w:rsid w:val="0052362E"/>
    <w:rsid w:val="0052382E"/>
    <w:rsid w:val="00523B1E"/>
    <w:rsid w:val="00524E15"/>
    <w:rsid w:val="00526038"/>
    <w:rsid w:val="0052638F"/>
    <w:rsid w:val="00526A3E"/>
    <w:rsid w:val="005278C3"/>
    <w:rsid w:val="005301CC"/>
    <w:rsid w:val="00530BFB"/>
    <w:rsid w:val="00530E47"/>
    <w:rsid w:val="00530E9E"/>
    <w:rsid w:val="0053175C"/>
    <w:rsid w:val="005317EC"/>
    <w:rsid w:val="00531AC2"/>
    <w:rsid w:val="00531B85"/>
    <w:rsid w:val="00531E4B"/>
    <w:rsid w:val="00531ECF"/>
    <w:rsid w:val="00532481"/>
    <w:rsid w:val="00532842"/>
    <w:rsid w:val="00533363"/>
    <w:rsid w:val="00533B9B"/>
    <w:rsid w:val="00533DAF"/>
    <w:rsid w:val="00533E22"/>
    <w:rsid w:val="00534029"/>
    <w:rsid w:val="0053420D"/>
    <w:rsid w:val="005355BD"/>
    <w:rsid w:val="0053636F"/>
    <w:rsid w:val="005364C2"/>
    <w:rsid w:val="00537060"/>
    <w:rsid w:val="0053735C"/>
    <w:rsid w:val="005375B4"/>
    <w:rsid w:val="0053776E"/>
    <w:rsid w:val="005406F5"/>
    <w:rsid w:val="00540885"/>
    <w:rsid w:val="00540ADB"/>
    <w:rsid w:val="005410A3"/>
    <w:rsid w:val="00541E6B"/>
    <w:rsid w:val="00542BD3"/>
    <w:rsid w:val="00542E5C"/>
    <w:rsid w:val="00543370"/>
    <w:rsid w:val="00543800"/>
    <w:rsid w:val="00543A01"/>
    <w:rsid w:val="00543DD2"/>
    <w:rsid w:val="00544901"/>
    <w:rsid w:val="00544A8B"/>
    <w:rsid w:val="00544CC8"/>
    <w:rsid w:val="00544EE8"/>
    <w:rsid w:val="00544F54"/>
    <w:rsid w:val="00546335"/>
    <w:rsid w:val="00546C4F"/>
    <w:rsid w:val="0054712C"/>
    <w:rsid w:val="005479E3"/>
    <w:rsid w:val="00550152"/>
    <w:rsid w:val="00550281"/>
    <w:rsid w:val="00550423"/>
    <w:rsid w:val="00550DBF"/>
    <w:rsid w:val="00551858"/>
    <w:rsid w:val="00551C43"/>
    <w:rsid w:val="0055450E"/>
    <w:rsid w:val="00554715"/>
    <w:rsid w:val="0055551D"/>
    <w:rsid w:val="00555C79"/>
    <w:rsid w:val="005563A8"/>
    <w:rsid w:val="005565D2"/>
    <w:rsid w:val="00556861"/>
    <w:rsid w:val="00556C7B"/>
    <w:rsid w:val="0055724E"/>
    <w:rsid w:val="00557C35"/>
    <w:rsid w:val="00560672"/>
    <w:rsid w:val="00560A1E"/>
    <w:rsid w:val="00560D08"/>
    <w:rsid w:val="00563193"/>
    <w:rsid w:val="005642B2"/>
    <w:rsid w:val="00564C84"/>
    <w:rsid w:val="00565241"/>
    <w:rsid w:val="00565548"/>
    <w:rsid w:val="00565678"/>
    <w:rsid w:val="0056585E"/>
    <w:rsid w:val="00565E4B"/>
    <w:rsid w:val="00566171"/>
    <w:rsid w:val="00566338"/>
    <w:rsid w:val="005679E2"/>
    <w:rsid w:val="00570B13"/>
    <w:rsid w:val="005716EC"/>
    <w:rsid w:val="005719A3"/>
    <w:rsid w:val="00572466"/>
    <w:rsid w:val="005734EC"/>
    <w:rsid w:val="00574BC9"/>
    <w:rsid w:val="00574CCD"/>
    <w:rsid w:val="005766CB"/>
    <w:rsid w:val="00576C34"/>
    <w:rsid w:val="00577796"/>
    <w:rsid w:val="00577E95"/>
    <w:rsid w:val="00580734"/>
    <w:rsid w:val="00580BE5"/>
    <w:rsid w:val="00580D5A"/>
    <w:rsid w:val="00580F9F"/>
    <w:rsid w:val="00581335"/>
    <w:rsid w:val="00581680"/>
    <w:rsid w:val="00581CF9"/>
    <w:rsid w:val="0058251E"/>
    <w:rsid w:val="00584923"/>
    <w:rsid w:val="00585895"/>
    <w:rsid w:val="00585BFF"/>
    <w:rsid w:val="00585F9A"/>
    <w:rsid w:val="00585FEB"/>
    <w:rsid w:val="00586752"/>
    <w:rsid w:val="00587371"/>
    <w:rsid w:val="00587828"/>
    <w:rsid w:val="00587BF8"/>
    <w:rsid w:val="00587D3D"/>
    <w:rsid w:val="005902BC"/>
    <w:rsid w:val="005908A6"/>
    <w:rsid w:val="00590A8D"/>
    <w:rsid w:val="00590C3F"/>
    <w:rsid w:val="00590D64"/>
    <w:rsid w:val="00590FD1"/>
    <w:rsid w:val="00591645"/>
    <w:rsid w:val="00591DB9"/>
    <w:rsid w:val="005922AF"/>
    <w:rsid w:val="005928DD"/>
    <w:rsid w:val="00592E6C"/>
    <w:rsid w:val="00593887"/>
    <w:rsid w:val="00593CBF"/>
    <w:rsid w:val="005946EE"/>
    <w:rsid w:val="00595002"/>
    <w:rsid w:val="005955CE"/>
    <w:rsid w:val="00595CDE"/>
    <w:rsid w:val="005966FB"/>
    <w:rsid w:val="00596B43"/>
    <w:rsid w:val="00596EB1"/>
    <w:rsid w:val="005979FE"/>
    <w:rsid w:val="005A1801"/>
    <w:rsid w:val="005A1C30"/>
    <w:rsid w:val="005A1C87"/>
    <w:rsid w:val="005A2A6D"/>
    <w:rsid w:val="005A2AEA"/>
    <w:rsid w:val="005A30F0"/>
    <w:rsid w:val="005A3218"/>
    <w:rsid w:val="005A343D"/>
    <w:rsid w:val="005A356D"/>
    <w:rsid w:val="005A35A1"/>
    <w:rsid w:val="005A37D3"/>
    <w:rsid w:val="005A40F4"/>
    <w:rsid w:val="005A5AD5"/>
    <w:rsid w:val="005A60DF"/>
    <w:rsid w:val="005A68B2"/>
    <w:rsid w:val="005A713B"/>
    <w:rsid w:val="005A7C52"/>
    <w:rsid w:val="005B0BC2"/>
    <w:rsid w:val="005B1943"/>
    <w:rsid w:val="005B1945"/>
    <w:rsid w:val="005B2ACD"/>
    <w:rsid w:val="005B30FD"/>
    <w:rsid w:val="005B352B"/>
    <w:rsid w:val="005B37BE"/>
    <w:rsid w:val="005B37F7"/>
    <w:rsid w:val="005B3BD5"/>
    <w:rsid w:val="005B45EC"/>
    <w:rsid w:val="005B4678"/>
    <w:rsid w:val="005B4E63"/>
    <w:rsid w:val="005B515D"/>
    <w:rsid w:val="005B5E54"/>
    <w:rsid w:val="005B67C9"/>
    <w:rsid w:val="005B6D8D"/>
    <w:rsid w:val="005B7442"/>
    <w:rsid w:val="005B7A6B"/>
    <w:rsid w:val="005C0126"/>
    <w:rsid w:val="005C01FA"/>
    <w:rsid w:val="005C05C9"/>
    <w:rsid w:val="005C06AC"/>
    <w:rsid w:val="005C08EA"/>
    <w:rsid w:val="005C11CB"/>
    <w:rsid w:val="005C1679"/>
    <w:rsid w:val="005C1879"/>
    <w:rsid w:val="005C189F"/>
    <w:rsid w:val="005C203F"/>
    <w:rsid w:val="005C29F6"/>
    <w:rsid w:val="005C2C75"/>
    <w:rsid w:val="005C2F67"/>
    <w:rsid w:val="005C4BEE"/>
    <w:rsid w:val="005C4ED9"/>
    <w:rsid w:val="005C53A4"/>
    <w:rsid w:val="005C59DB"/>
    <w:rsid w:val="005C5A97"/>
    <w:rsid w:val="005C6776"/>
    <w:rsid w:val="005C7DB3"/>
    <w:rsid w:val="005C7E4B"/>
    <w:rsid w:val="005D08F4"/>
    <w:rsid w:val="005D1279"/>
    <w:rsid w:val="005D129A"/>
    <w:rsid w:val="005D22AB"/>
    <w:rsid w:val="005D2857"/>
    <w:rsid w:val="005D2A3A"/>
    <w:rsid w:val="005D2ED8"/>
    <w:rsid w:val="005D3134"/>
    <w:rsid w:val="005D350D"/>
    <w:rsid w:val="005D3814"/>
    <w:rsid w:val="005D431B"/>
    <w:rsid w:val="005D4C87"/>
    <w:rsid w:val="005D4EDD"/>
    <w:rsid w:val="005D4EE3"/>
    <w:rsid w:val="005D5786"/>
    <w:rsid w:val="005D6745"/>
    <w:rsid w:val="005D72A2"/>
    <w:rsid w:val="005D7420"/>
    <w:rsid w:val="005D7432"/>
    <w:rsid w:val="005D74D9"/>
    <w:rsid w:val="005D7861"/>
    <w:rsid w:val="005D7BF0"/>
    <w:rsid w:val="005D7DE6"/>
    <w:rsid w:val="005E0CDA"/>
    <w:rsid w:val="005E0D29"/>
    <w:rsid w:val="005E1222"/>
    <w:rsid w:val="005E130F"/>
    <w:rsid w:val="005E1A42"/>
    <w:rsid w:val="005E39D9"/>
    <w:rsid w:val="005E3C3E"/>
    <w:rsid w:val="005E474A"/>
    <w:rsid w:val="005E49F0"/>
    <w:rsid w:val="005E55CF"/>
    <w:rsid w:val="005E613C"/>
    <w:rsid w:val="005E68B0"/>
    <w:rsid w:val="005F1578"/>
    <w:rsid w:val="005F1CC8"/>
    <w:rsid w:val="005F2B78"/>
    <w:rsid w:val="005F347B"/>
    <w:rsid w:val="005F3597"/>
    <w:rsid w:val="005F4E44"/>
    <w:rsid w:val="005F4FC5"/>
    <w:rsid w:val="005F5108"/>
    <w:rsid w:val="005F5775"/>
    <w:rsid w:val="005F5D64"/>
    <w:rsid w:val="005F5D77"/>
    <w:rsid w:val="005F6D8D"/>
    <w:rsid w:val="005F795C"/>
    <w:rsid w:val="00601169"/>
    <w:rsid w:val="00601664"/>
    <w:rsid w:val="006017F0"/>
    <w:rsid w:val="00602CE0"/>
    <w:rsid w:val="006033B0"/>
    <w:rsid w:val="006035E1"/>
    <w:rsid w:val="00604A59"/>
    <w:rsid w:val="00604ACA"/>
    <w:rsid w:val="00604B32"/>
    <w:rsid w:val="00604DCD"/>
    <w:rsid w:val="0060512C"/>
    <w:rsid w:val="00607790"/>
    <w:rsid w:val="00607E67"/>
    <w:rsid w:val="0061074D"/>
    <w:rsid w:val="0061140B"/>
    <w:rsid w:val="00611721"/>
    <w:rsid w:val="006118DF"/>
    <w:rsid w:val="00612CE1"/>
    <w:rsid w:val="0061359A"/>
    <w:rsid w:val="0061375D"/>
    <w:rsid w:val="00613AAA"/>
    <w:rsid w:val="00613F37"/>
    <w:rsid w:val="0061449C"/>
    <w:rsid w:val="00614DAA"/>
    <w:rsid w:val="00616535"/>
    <w:rsid w:val="00617276"/>
    <w:rsid w:val="0062070B"/>
    <w:rsid w:val="00620F4A"/>
    <w:rsid w:val="00621F91"/>
    <w:rsid w:val="0062212F"/>
    <w:rsid w:val="006230CC"/>
    <w:rsid w:val="0062399E"/>
    <w:rsid w:val="00623F26"/>
    <w:rsid w:val="00624312"/>
    <w:rsid w:val="006243C7"/>
    <w:rsid w:val="00624869"/>
    <w:rsid w:val="00625D6F"/>
    <w:rsid w:val="00626EA7"/>
    <w:rsid w:val="00627986"/>
    <w:rsid w:val="00630472"/>
    <w:rsid w:val="00630A32"/>
    <w:rsid w:val="00630AA1"/>
    <w:rsid w:val="006318A7"/>
    <w:rsid w:val="00631A04"/>
    <w:rsid w:val="00632240"/>
    <w:rsid w:val="00632342"/>
    <w:rsid w:val="00632384"/>
    <w:rsid w:val="00632659"/>
    <w:rsid w:val="006326E3"/>
    <w:rsid w:val="00632C5D"/>
    <w:rsid w:val="00634325"/>
    <w:rsid w:val="00634710"/>
    <w:rsid w:val="006357BF"/>
    <w:rsid w:val="00635CF9"/>
    <w:rsid w:val="00635D4E"/>
    <w:rsid w:val="0063679F"/>
    <w:rsid w:val="00636D4A"/>
    <w:rsid w:val="0063737E"/>
    <w:rsid w:val="00637856"/>
    <w:rsid w:val="0064003A"/>
    <w:rsid w:val="00640581"/>
    <w:rsid w:val="00640F08"/>
    <w:rsid w:val="00641017"/>
    <w:rsid w:val="00641E97"/>
    <w:rsid w:val="006420CA"/>
    <w:rsid w:val="00642CBF"/>
    <w:rsid w:val="00642EC8"/>
    <w:rsid w:val="00642ECD"/>
    <w:rsid w:val="006433C8"/>
    <w:rsid w:val="00643842"/>
    <w:rsid w:val="00643A9C"/>
    <w:rsid w:val="00644526"/>
    <w:rsid w:val="00645B7E"/>
    <w:rsid w:val="006461EF"/>
    <w:rsid w:val="0064763E"/>
    <w:rsid w:val="00647804"/>
    <w:rsid w:val="006508E9"/>
    <w:rsid w:val="006512D8"/>
    <w:rsid w:val="00651788"/>
    <w:rsid w:val="00651794"/>
    <w:rsid w:val="0065179F"/>
    <w:rsid w:val="006518D2"/>
    <w:rsid w:val="00651AB8"/>
    <w:rsid w:val="00652C68"/>
    <w:rsid w:val="0065329B"/>
    <w:rsid w:val="00653324"/>
    <w:rsid w:val="006533CE"/>
    <w:rsid w:val="00653B31"/>
    <w:rsid w:val="006549DB"/>
    <w:rsid w:val="0065507C"/>
    <w:rsid w:val="006551D5"/>
    <w:rsid w:val="00655DF6"/>
    <w:rsid w:val="00656A3E"/>
    <w:rsid w:val="00657A6D"/>
    <w:rsid w:val="00657DAD"/>
    <w:rsid w:val="00657E87"/>
    <w:rsid w:val="00657F83"/>
    <w:rsid w:val="0066064D"/>
    <w:rsid w:val="0066073B"/>
    <w:rsid w:val="00660B06"/>
    <w:rsid w:val="00660BEE"/>
    <w:rsid w:val="006613BD"/>
    <w:rsid w:val="00661E6F"/>
    <w:rsid w:val="00662445"/>
    <w:rsid w:val="00663592"/>
    <w:rsid w:val="00663719"/>
    <w:rsid w:val="00663D8E"/>
    <w:rsid w:val="006647E7"/>
    <w:rsid w:val="00664999"/>
    <w:rsid w:val="00665E57"/>
    <w:rsid w:val="00665FBC"/>
    <w:rsid w:val="00665FCF"/>
    <w:rsid w:val="00666F8B"/>
    <w:rsid w:val="006676A3"/>
    <w:rsid w:val="0067054E"/>
    <w:rsid w:val="00670F87"/>
    <w:rsid w:val="00671693"/>
    <w:rsid w:val="006717DB"/>
    <w:rsid w:val="0067182E"/>
    <w:rsid w:val="006719A3"/>
    <w:rsid w:val="00671A9E"/>
    <w:rsid w:val="00671DD0"/>
    <w:rsid w:val="00671EA5"/>
    <w:rsid w:val="00672572"/>
    <w:rsid w:val="00673520"/>
    <w:rsid w:val="00674233"/>
    <w:rsid w:val="0067470C"/>
    <w:rsid w:val="00674B9E"/>
    <w:rsid w:val="00674C4F"/>
    <w:rsid w:val="006754E3"/>
    <w:rsid w:val="0067555D"/>
    <w:rsid w:val="00675603"/>
    <w:rsid w:val="006769E7"/>
    <w:rsid w:val="00676FB2"/>
    <w:rsid w:val="00677A17"/>
    <w:rsid w:val="00677DA5"/>
    <w:rsid w:val="00680413"/>
    <w:rsid w:val="00680B89"/>
    <w:rsid w:val="006810D0"/>
    <w:rsid w:val="006811F3"/>
    <w:rsid w:val="00681732"/>
    <w:rsid w:val="00682799"/>
    <w:rsid w:val="00684662"/>
    <w:rsid w:val="006848CC"/>
    <w:rsid w:val="00685877"/>
    <w:rsid w:val="006862F3"/>
    <w:rsid w:val="0068634A"/>
    <w:rsid w:val="00686387"/>
    <w:rsid w:val="006868D8"/>
    <w:rsid w:val="006875DA"/>
    <w:rsid w:val="00690117"/>
    <w:rsid w:val="006905BC"/>
    <w:rsid w:val="00690974"/>
    <w:rsid w:val="006909FD"/>
    <w:rsid w:val="00690BD3"/>
    <w:rsid w:val="006914D5"/>
    <w:rsid w:val="006915AA"/>
    <w:rsid w:val="00691943"/>
    <w:rsid w:val="006919A7"/>
    <w:rsid w:val="00692289"/>
    <w:rsid w:val="006934DA"/>
    <w:rsid w:val="006936A3"/>
    <w:rsid w:val="00693AFA"/>
    <w:rsid w:val="00694360"/>
    <w:rsid w:val="00694BB2"/>
    <w:rsid w:val="00694FDE"/>
    <w:rsid w:val="006951A2"/>
    <w:rsid w:val="006951D6"/>
    <w:rsid w:val="00695E8A"/>
    <w:rsid w:val="00696168"/>
    <w:rsid w:val="006965C6"/>
    <w:rsid w:val="006968ED"/>
    <w:rsid w:val="00696CE7"/>
    <w:rsid w:val="00697951"/>
    <w:rsid w:val="006A07F7"/>
    <w:rsid w:val="006A0936"/>
    <w:rsid w:val="006A0E68"/>
    <w:rsid w:val="006A1DEA"/>
    <w:rsid w:val="006A281E"/>
    <w:rsid w:val="006A285D"/>
    <w:rsid w:val="006A2E9F"/>
    <w:rsid w:val="006A34CB"/>
    <w:rsid w:val="006A3AB9"/>
    <w:rsid w:val="006A3D1C"/>
    <w:rsid w:val="006A3D6E"/>
    <w:rsid w:val="006A3EB3"/>
    <w:rsid w:val="006A43C0"/>
    <w:rsid w:val="006A5374"/>
    <w:rsid w:val="006A55FC"/>
    <w:rsid w:val="006A591F"/>
    <w:rsid w:val="006A5FF4"/>
    <w:rsid w:val="006A6478"/>
    <w:rsid w:val="006A6A77"/>
    <w:rsid w:val="006A6BA2"/>
    <w:rsid w:val="006A7214"/>
    <w:rsid w:val="006A72CC"/>
    <w:rsid w:val="006A74B2"/>
    <w:rsid w:val="006B0868"/>
    <w:rsid w:val="006B1933"/>
    <w:rsid w:val="006B2144"/>
    <w:rsid w:val="006B2C86"/>
    <w:rsid w:val="006B32D4"/>
    <w:rsid w:val="006B3348"/>
    <w:rsid w:val="006B346B"/>
    <w:rsid w:val="006B3775"/>
    <w:rsid w:val="006B39BB"/>
    <w:rsid w:val="006B3BB5"/>
    <w:rsid w:val="006B3C47"/>
    <w:rsid w:val="006B4026"/>
    <w:rsid w:val="006B428B"/>
    <w:rsid w:val="006B4FFF"/>
    <w:rsid w:val="006B53D4"/>
    <w:rsid w:val="006B53DE"/>
    <w:rsid w:val="006B571F"/>
    <w:rsid w:val="006B57AF"/>
    <w:rsid w:val="006B58AD"/>
    <w:rsid w:val="006B5EFE"/>
    <w:rsid w:val="006B6080"/>
    <w:rsid w:val="006B6626"/>
    <w:rsid w:val="006B71A2"/>
    <w:rsid w:val="006B7E61"/>
    <w:rsid w:val="006C01EF"/>
    <w:rsid w:val="006C0C4D"/>
    <w:rsid w:val="006C1957"/>
    <w:rsid w:val="006C22EE"/>
    <w:rsid w:val="006C2369"/>
    <w:rsid w:val="006C2B12"/>
    <w:rsid w:val="006C3304"/>
    <w:rsid w:val="006C3858"/>
    <w:rsid w:val="006C3BC5"/>
    <w:rsid w:val="006C46EC"/>
    <w:rsid w:val="006C5B6C"/>
    <w:rsid w:val="006C608E"/>
    <w:rsid w:val="006C70D3"/>
    <w:rsid w:val="006C7158"/>
    <w:rsid w:val="006C7A46"/>
    <w:rsid w:val="006D05D8"/>
    <w:rsid w:val="006D0BD2"/>
    <w:rsid w:val="006D14B5"/>
    <w:rsid w:val="006D1D79"/>
    <w:rsid w:val="006D1E84"/>
    <w:rsid w:val="006D2E26"/>
    <w:rsid w:val="006D2E4E"/>
    <w:rsid w:val="006D37D9"/>
    <w:rsid w:val="006D381C"/>
    <w:rsid w:val="006D405B"/>
    <w:rsid w:val="006D469B"/>
    <w:rsid w:val="006D509E"/>
    <w:rsid w:val="006D5E6F"/>
    <w:rsid w:val="006D638E"/>
    <w:rsid w:val="006D64DA"/>
    <w:rsid w:val="006D7221"/>
    <w:rsid w:val="006D782E"/>
    <w:rsid w:val="006E01F0"/>
    <w:rsid w:val="006E02C8"/>
    <w:rsid w:val="006E0505"/>
    <w:rsid w:val="006E05D2"/>
    <w:rsid w:val="006E09D6"/>
    <w:rsid w:val="006E0F22"/>
    <w:rsid w:val="006E1373"/>
    <w:rsid w:val="006E22D9"/>
    <w:rsid w:val="006E2AA6"/>
    <w:rsid w:val="006E2B12"/>
    <w:rsid w:val="006E301E"/>
    <w:rsid w:val="006E30F1"/>
    <w:rsid w:val="006E316E"/>
    <w:rsid w:val="006E3417"/>
    <w:rsid w:val="006E39E3"/>
    <w:rsid w:val="006E3B49"/>
    <w:rsid w:val="006E3BA6"/>
    <w:rsid w:val="006E3D36"/>
    <w:rsid w:val="006E3E3D"/>
    <w:rsid w:val="006E465C"/>
    <w:rsid w:val="006E5039"/>
    <w:rsid w:val="006E516E"/>
    <w:rsid w:val="006E51BF"/>
    <w:rsid w:val="006E55CB"/>
    <w:rsid w:val="006E5A29"/>
    <w:rsid w:val="006E5DC3"/>
    <w:rsid w:val="006E639B"/>
    <w:rsid w:val="006E650A"/>
    <w:rsid w:val="006E6D19"/>
    <w:rsid w:val="006E7C97"/>
    <w:rsid w:val="006E7CF7"/>
    <w:rsid w:val="006E7ECE"/>
    <w:rsid w:val="006F018A"/>
    <w:rsid w:val="006F02C2"/>
    <w:rsid w:val="006F03F7"/>
    <w:rsid w:val="006F0625"/>
    <w:rsid w:val="006F0E28"/>
    <w:rsid w:val="006F22D2"/>
    <w:rsid w:val="006F2EDC"/>
    <w:rsid w:val="006F2F15"/>
    <w:rsid w:val="006F45D0"/>
    <w:rsid w:val="006F496B"/>
    <w:rsid w:val="006F4D6A"/>
    <w:rsid w:val="006F4EA3"/>
    <w:rsid w:val="006F5138"/>
    <w:rsid w:val="006F5BFC"/>
    <w:rsid w:val="006F64A2"/>
    <w:rsid w:val="006F6960"/>
    <w:rsid w:val="006F6AA9"/>
    <w:rsid w:val="006F73B7"/>
    <w:rsid w:val="006F74CC"/>
    <w:rsid w:val="006F75C1"/>
    <w:rsid w:val="006F7970"/>
    <w:rsid w:val="006F7B8C"/>
    <w:rsid w:val="006F7EE3"/>
    <w:rsid w:val="006F7F0F"/>
    <w:rsid w:val="0070096C"/>
    <w:rsid w:val="00700A3C"/>
    <w:rsid w:val="00701E01"/>
    <w:rsid w:val="00702170"/>
    <w:rsid w:val="00702A2E"/>
    <w:rsid w:val="00702BCF"/>
    <w:rsid w:val="0070320E"/>
    <w:rsid w:val="007033D9"/>
    <w:rsid w:val="007036DE"/>
    <w:rsid w:val="007036E5"/>
    <w:rsid w:val="00703B04"/>
    <w:rsid w:val="00705068"/>
    <w:rsid w:val="007050D2"/>
    <w:rsid w:val="0070552A"/>
    <w:rsid w:val="00705A96"/>
    <w:rsid w:val="00705B14"/>
    <w:rsid w:val="007068CA"/>
    <w:rsid w:val="00706D26"/>
    <w:rsid w:val="00710690"/>
    <w:rsid w:val="00711C9A"/>
    <w:rsid w:val="00711CF8"/>
    <w:rsid w:val="00713740"/>
    <w:rsid w:val="00713ABB"/>
    <w:rsid w:val="007148E5"/>
    <w:rsid w:val="00714C53"/>
    <w:rsid w:val="00715B4C"/>
    <w:rsid w:val="007164A1"/>
    <w:rsid w:val="00716B95"/>
    <w:rsid w:val="00716DB0"/>
    <w:rsid w:val="00716FC0"/>
    <w:rsid w:val="00720408"/>
    <w:rsid w:val="00720E25"/>
    <w:rsid w:val="00721375"/>
    <w:rsid w:val="0072139A"/>
    <w:rsid w:val="00721405"/>
    <w:rsid w:val="0072305F"/>
    <w:rsid w:val="00724EC6"/>
    <w:rsid w:val="0072514A"/>
    <w:rsid w:val="00725A49"/>
    <w:rsid w:val="00725EA9"/>
    <w:rsid w:val="007263AB"/>
    <w:rsid w:val="00726A81"/>
    <w:rsid w:val="00730245"/>
    <w:rsid w:val="007304A9"/>
    <w:rsid w:val="007310FC"/>
    <w:rsid w:val="0073137E"/>
    <w:rsid w:val="00731717"/>
    <w:rsid w:val="00731C74"/>
    <w:rsid w:val="0073239B"/>
    <w:rsid w:val="007328D5"/>
    <w:rsid w:val="00732992"/>
    <w:rsid w:val="00733B93"/>
    <w:rsid w:val="00734832"/>
    <w:rsid w:val="007355DC"/>
    <w:rsid w:val="007355EA"/>
    <w:rsid w:val="00735F20"/>
    <w:rsid w:val="00736515"/>
    <w:rsid w:val="0073672E"/>
    <w:rsid w:val="00736FB7"/>
    <w:rsid w:val="00737044"/>
    <w:rsid w:val="0073739A"/>
    <w:rsid w:val="007376EB"/>
    <w:rsid w:val="00740454"/>
    <w:rsid w:val="0074138B"/>
    <w:rsid w:val="0074163D"/>
    <w:rsid w:val="00741872"/>
    <w:rsid w:val="00741D2C"/>
    <w:rsid w:val="00741DB5"/>
    <w:rsid w:val="00742015"/>
    <w:rsid w:val="00742D65"/>
    <w:rsid w:val="00743C2C"/>
    <w:rsid w:val="007443AD"/>
    <w:rsid w:val="00745282"/>
    <w:rsid w:val="007463D5"/>
    <w:rsid w:val="007472DB"/>
    <w:rsid w:val="007479B4"/>
    <w:rsid w:val="00750045"/>
    <w:rsid w:val="0075089B"/>
    <w:rsid w:val="00751551"/>
    <w:rsid w:val="007518A9"/>
    <w:rsid w:val="00751C44"/>
    <w:rsid w:val="00751CED"/>
    <w:rsid w:val="00751D6F"/>
    <w:rsid w:val="00751FAF"/>
    <w:rsid w:val="00751FD2"/>
    <w:rsid w:val="007538FF"/>
    <w:rsid w:val="00753948"/>
    <w:rsid w:val="00753D77"/>
    <w:rsid w:val="0075446E"/>
    <w:rsid w:val="00754606"/>
    <w:rsid w:val="00755109"/>
    <w:rsid w:val="00755F4F"/>
    <w:rsid w:val="00757900"/>
    <w:rsid w:val="00760237"/>
    <w:rsid w:val="007603BE"/>
    <w:rsid w:val="007606AB"/>
    <w:rsid w:val="007628F8"/>
    <w:rsid w:val="00762C91"/>
    <w:rsid w:val="00763175"/>
    <w:rsid w:val="007638A9"/>
    <w:rsid w:val="00763D99"/>
    <w:rsid w:val="00764006"/>
    <w:rsid w:val="00765AB6"/>
    <w:rsid w:val="00765E78"/>
    <w:rsid w:val="00766C92"/>
    <w:rsid w:val="00766DC5"/>
    <w:rsid w:val="00767BA7"/>
    <w:rsid w:val="00767F05"/>
    <w:rsid w:val="0077062F"/>
    <w:rsid w:val="00771730"/>
    <w:rsid w:val="007719E9"/>
    <w:rsid w:val="00771B17"/>
    <w:rsid w:val="007746E1"/>
    <w:rsid w:val="00774D3F"/>
    <w:rsid w:val="00774F57"/>
    <w:rsid w:val="00774F84"/>
    <w:rsid w:val="0077523B"/>
    <w:rsid w:val="007756F3"/>
    <w:rsid w:val="007757CA"/>
    <w:rsid w:val="007760EA"/>
    <w:rsid w:val="007762C5"/>
    <w:rsid w:val="00776457"/>
    <w:rsid w:val="00776724"/>
    <w:rsid w:val="00776FF0"/>
    <w:rsid w:val="00777B94"/>
    <w:rsid w:val="007800C0"/>
    <w:rsid w:val="00780670"/>
    <w:rsid w:val="00780D05"/>
    <w:rsid w:val="00781A10"/>
    <w:rsid w:val="00781BB0"/>
    <w:rsid w:val="00781EDB"/>
    <w:rsid w:val="00781FB2"/>
    <w:rsid w:val="007831DA"/>
    <w:rsid w:val="00783C8C"/>
    <w:rsid w:val="00784384"/>
    <w:rsid w:val="007849CA"/>
    <w:rsid w:val="00784C64"/>
    <w:rsid w:val="0078527E"/>
    <w:rsid w:val="00785972"/>
    <w:rsid w:val="0078721D"/>
    <w:rsid w:val="00787362"/>
    <w:rsid w:val="00787791"/>
    <w:rsid w:val="0078785B"/>
    <w:rsid w:val="007879A1"/>
    <w:rsid w:val="007904ED"/>
    <w:rsid w:val="00790970"/>
    <w:rsid w:val="00790DDC"/>
    <w:rsid w:val="00790E53"/>
    <w:rsid w:val="00791334"/>
    <w:rsid w:val="00791347"/>
    <w:rsid w:val="0079136F"/>
    <w:rsid w:val="00791A0C"/>
    <w:rsid w:val="00791F3B"/>
    <w:rsid w:val="00791FCE"/>
    <w:rsid w:val="007921F1"/>
    <w:rsid w:val="00792507"/>
    <w:rsid w:val="0079257A"/>
    <w:rsid w:val="007933DA"/>
    <w:rsid w:val="0079386C"/>
    <w:rsid w:val="00793DBA"/>
    <w:rsid w:val="007944EE"/>
    <w:rsid w:val="00794725"/>
    <w:rsid w:val="00794E07"/>
    <w:rsid w:val="00795247"/>
    <w:rsid w:val="007952BE"/>
    <w:rsid w:val="007962D7"/>
    <w:rsid w:val="00796D0E"/>
    <w:rsid w:val="0079760B"/>
    <w:rsid w:val="00797873"/>
    <w:rsid w:val="007A03CE"/>
    <w:rsid w:val="007A0BE5"/>
    <w:rsid w:val="007A0DC2"/>
    <w:rsid w:val="007A1E2B"/>
    <w:rsid w:val="007A1FB8"/>
    <w:rsid w:val="007A298B"/>
    <w:rsid w:val="007A2DAB"/>
    <w:rsid w:val="007A3311"/>
    <w:rsid w:val="007A3662"/>
    <w:rsid w:val="007A36C9"/>
    <w:rsid w:val="007A3F03"/>
    <w:rsid w:val="007A47D9"/>
    <w:rsid w:val="007A4849"/>
    <w:rsid w:val="007A49FB"/>
    <w:rsid w:val="007A5AF0"/>
    <w:rsid w:val="007A66BC"/>
    <w:rsid w:val="007A6FA3"/>
    <w:rsid w:val="007A7400"/>
    <w:rsid w:val="007A7B62"/>
    <w:rsid w:val="007B0040"/>
    <w:rsid w:val="007B00A8"/>
    <w:rsid w:val="007B110A"/>
    <w:rsid w:val="007B1608"/>
    <w:rsid w:val="007B1B48"/>
    <w:rsid w:val="007B1E16"/>
    <w:rsid w:val="007B2B24"/>
    <w:rsid w:val="007B3047"/>
    <w:rsid w:val="007B3D20"/>
    <w:rsid w:val="007B4743"/>
    <w:rsid w:val="007B49EA"/>
    <w:rsid w:val="007B4BEF"/>
    <w:rsid w:val="007B555D"/>
    <w:rsid w:val="007B6E37"/>
    <w:rsid w:val="007B7C30"/>
    <w:rsid w:val="007C06D7"/>
    <w:rsid w:val="007C0864"/>
    <w:rsid w:val="007C145C"/>
    <w:rsid w:val="007C1B19"/>
    <w:rsid w:val="007C1CD9"/>
    <w:rsid w:val="007C200A"/>
    <w:rsid w:val="007C238E"/>
    <w:rsid w:val="007C28AB"/>
    <w:rsid w:val="007C2C53"/>
    <w:rsid w:val="007C30B4"/>
    <w:rsid w:val="007C352E"/>
    <w:rsid w:val="007C3ED9"/>
    <w:rsid w:val="007C3F8D"/>
    <w:rsid w:val="007C40B9"/>
    <w:rsid w:val="007C498D"/>
    <w:rsid w:val="007C4A1A"/>
    <w:rsid w:val="007C4AD6"/>
    <w:rsid w:val="007C6CA5"/>
    <w:rsid w:val="007C6CFC"/>
    <w:rsid w:val="007C78D0"/>
    <w:rsid w:val="007C7FB6"/>
    <w:rsid w:val="007D04FD"/>
    <w:rsid w:val="007D0B25"/>
    <w:rsid w:val="007D12DB"/>
    <w:rsid w:val="007D1A42"/>
    <w:rsid w:val="007D1E9E"/>
    <w:rsid w:val="007D24C8"/>
    <w:rsid w:val="007D3209"/>
    <w:rsid w:val="007D3B7F"/>
    <w:rsid w:val="007D3DD0"/>
    <w:rsid w:val="007D45EE"/>
    <w:rsid w:val="007D521E"/>
    <w:rsid w:val="007D54E4"/>
    <w:rsid w:val="007D59BA"/>
    <w:rsid w:val="007D5F0E"/>
    <w:rsid w:val="007D5FF0"/>
    <w:rsid w:val="007D69A0"/>
    <w:rsid w:val="007D6AEA"/>
    <w:rsid w:val="007D6AF8"/>
    <w:rsid w:val="007D6E18"/>
    <w:rsid w:val="007D6FD6"/>
    <w:rsid w:val="007D7922"/>
    <w:rsid w:val="007D7F5C"/>
    <w:rsid w:val="007E0660"/>
    <w:rsid w:val="007E0B23"/>
    <w:rsid w:val="007E1485"/>
    <w:rsid w:val="007E1C26"/>
    <w:rsid w:val="007E221D"/>
    <w:rsid w:val="007E2294"/>
    <w:rsid w:val="007E2B3F"/>
    <w:rsid w:val="007E365C"/>
    <w:rsid w:val="007E3919"/>
    <w:rsid w:val="007E4596"/>
    <w:rsid w:val="007E4A03"/>
    <w:rsid w:val="007E636F"/>
    <w:rsid w:val="007E64B4"/>
    <w:rsid w:val="007E7216"/>
    <w:rsid w:val="007E7CAB"/>
    <w:rsid w:val="007F096B"/>
    <w:rsid w:val="007F0AE4"/>
    <w:rsid w:val="007F209B"/>
    <w:rsid w:val="007F24EC"/>
    <w:rsid w:val="007F3215"/>
    <w:rsid w:val="007F32EA"/>
    <w:rsid w:val="007F3783"/>
    <w:rsid w:val="007F448D"/>
    <w:rsid w:val="007F48C4"/>
    <w:rsid w:val="007F49B2"/>
    <w:rsid w:val="007F4B3D"/>
    <w:rsid w:val="007F4FE8"/>
    <w:rsid w:val="007F50F0"/>
    <w:rsid w:val="007F53DF"/>
    <w:rsid w:val="007F63DF"/>
    <w:rsid w:val="007F63EC"/>
    <w:rsid w:val="007F6710"/>
    <w:rsid w:val="007F67A0"/>
    <w:rsid w:val="007F6A7E"/>
    <w:rsid w:val="007F6C4C"/>
    <w:rsid w:val="007F702A"/>
    <w:rsid w:val="007F7439"/>
    <w:rsid w:val="007F797E"/>
    <w:rsid w:val="007F7CF2"/>
    <w:rsid w:val="007F7DCD"/>
    <w:rsid w:val="0080068D"/>
    <w:rsid w:val="008007A9"/>
    <w:rsid w:val="00800861"/>
    <w:rsid w:val="00800FD6"/>
    <w:rsid w:val="00801628"/>
    <w:rsid w:val="008023CC"/>
    <w:rsid w:val="008024AA"/>
    <w:rsid w:val="00802730"/>
    <w:rsid w:val="00802A5E"/>
    <w:rsid w:val="008032FC"/>
    <w:rsid w:val="008035B3"/>
    <w:rsid w:val="00803771"/>
    <w:rsid w:val="00803C82"/>
    <w:rsid w:val="00803D14"/>
    <w:rsid w:val="00803D9D"/>
    <w:rsid w:val="00804140"/>
    <w:rsid w:val="0080454D"/>
    <w:rsid w:val="00804DC3"/>
    <w:rsid w:val="0080516B"/>
    <w:rsid w:val="00805ABD"/>
    <w:rsid w:val="0080615D"/>
    <w:rsid w:val="00806461"/>
    <w:rsid w:val="008066EE"/>
    <w:rsid w:val="00806AFC"/>
    <w:rsid w:val="00806BEE"/>
    <w:rsid w:val="008071C2"/>
    <w:rsid w:val="00810F28"/>
    <w:rsid w:val="00810F74"/>
    <w:rsid w:val="00811010"/>
    <w:rsid w:val="0081226F"/>
    <w:rsid w:val="00812839"/>
    <w:rsid w:val="008128B0"/>
    <w:rsid w:val="00813FAD"/>
    <w:rsid w:val="008141FE"/>
    <w:rsid w:val="008143AD"/>
    <w:rsid w:val="008148AC"/>
    <w:rsid w:val="0081516C"/>
    <w:rsid w:val="00815F8B"/>
    <w:rsid w:val="00816723"/>
    <w:rsid w:val="00817AF5"/>
    <w:rsid w:val="00817DCD"/>
    <w:rsid w:val="00817E4E"/>
    <w:rsid w:val="008200CA"/>
    <w:rsid w:val="00820951"/>
    <w:rsid w:val="00820FF7"/>
    <w:rsid w:val="008227B8"/>
    <w:rsid w:val="00822C50"/>
    <w:rsid w:val="00822FA5"/>
    <w:rsid w:val="008238ED"/>
    <w:rsid w:val="0082443C"/>
    <w:rsid w:val="00825B15"/>
    <w:rsid w:val="00826053"/>
    <w:rsid w:val="00826576"/>
    <w:rsid w:val="0082722A"/>
    <w:rsid w:val="008278FE"/>
    <w:rsid w:val="0083058E"/>
    <w:rsid w:val="00830908"/>
    <w:rsid w:val="00830FFB"/>
    <w:rsid w:val="0083162E"/>
    <w:rsid w:val="00831F8F"/>
    <w:rsid w:val="00832AD2"/>
    <w:rsid w:val="008332F0"/>
    <w:rsid w:val="00833B17"/>
    <w:rsid w:val="008348FD"/>
    <w:rsid w:val="00834A3B"/>
    <w:rsid w:val="008353DE"/>
    <w:rsid w:val="00835727"/>
    <w:rsid w:val="00835B30"/>
    <w:rsid w:val="0083688D"/>
    <w:rsid w:val="00836AF4"/>
    <w:rsid w:val="00837370"/>
    <w:rsid w:val="008374E9"/>
    <w:rsid w:val="008376C7"/>
    <w:rsid w:val="00840F8C"/>
    <w:rsid w:val="00840FF1"/>
    <w:rsid w:val="008414D3"/>
    <w:rsid w:val="00841747"/>
    <w:rsid w:val="008420BB"/>
    <w:rsid w:val="00842407"/>
    <w:rsid w:val="00842A3E"/>
    <w:rsid w:val="00842C4D"/>
    <w:rsid w:val="00842F93"/>
    <w:rsid w:val="00843671"/>
    <w:rsid w:val="00843706"/>
    <w:rsid w:val="00844758"/>
    <w:rsid w:val="0084500D"/>
    <w:rsid w:val="008453A2"/>
    <w:rsid w:val="00845402"/>
    <w:rsid w:val="008456F7"/>
    <w:rsid w:val="008457AE"/>
    <w:rsid w:val="008461F5"/>
    <w:rsid w:val="008462DE"/>
    <w:rsid w:val="00846A52"/>
    <w:rsid w:val="00847262"/>
    <w:rsid w:val="00847C79"/>
    <w:rsid w:val="008512AD"/>
    <w:rsid w:val="008515AC"/>
    <w:rsid w:val="008516DC"/>
    <w:rsid w:val="00851D38"/>
    <w:rsid w:val="00851EF4"/>
    <w:rsid w:val="00852A20"/>
    <w:rsid w:val="00852EF3"/>
    <w:rsid w:val="008539AC"/>
    <w:rsid w:val="00853A62"/>
    <w:rsid w:val="00854057"/>
    <w:rsid w:val="0085410D"/>
    <w:rsid w:val="00854AAB"/>
    <w:rsid w:val="00854D94"/>
    <w:rsid w:val="008552E8"/>
    <w:rsid w:val="00856A57"/>
    <w:rsid w:val="00856F50"/>
    <w:rsid w:val="00856FC8"/>
    <w:rsid w:val="00857D85"/>
    <w:rsid w:val="00860D0E"/>
    <w:rsid w:val="0086125B"/>
    <w:rsid w:val="00861C39"/>
    <w:rsid w:val="00861EA4"/>
    <w:rsid w:val="0086300C"/>
    <w:rsid w:val="008632EB"/>
    <w:rsid w:val="00863459"/>
    <w:rsid w:val="00863CCA"/>
    <w:rsid w:val="00863E75"/>
    <w:rsid w:val="00864188"/>
    <w:rsid w:val="008642A5"/>
    <w:rsid w:val="00864708"/>
    <w:rsid w:val="00864F00"/>
    <w:rsid w:val="008652A1"/>
    <w:rsid w:val="008653A8"/>
    <w:rsid w:val="008655AE"/>
    <w:rsid w:val="00865725"/>
    <w:rsid w:val="00865E50"/>
    <w:rsid w:val="00866341"/>
    <w:rsid w:val="00866CD3"/>
    <w:rsid w:val="00866CF2"/>
    <w:rsid w:val="00867752"/>
    <w:rsid w:val="0087045A"/>
    <w:rsid w:val="00870BBE"/>
    <w:rsid w:val="00871339"/>
    <w:rsid w:val="00871BA5"/>
    <w:rsid w:val="00872380"/>
    <w:rsid w:val="0087247C"/>
    <w:rsid w:val="0087386E"/>
    <w:rsid w:val="0087395E"/>
    <w:rsid w:val="00873F82"/>
    <w:rsid w:val="0087459B"/>
    <w:rsid w:val="008747A1"/>
    <w:rsid w:val="0087488C"/>
    <w:rsid w:val="00874B8E"/>
    <w:rsid w:val="00874CE3"/>
    <w:rsid w:val="008762B9"/>
    <w:rsid w:val="0087646E"/>
    <w:rsid w:val="00877313"/>
    <w:rsid w:val="008800B5"/>
    <w:rsid w:val="00880570"/>
    <w:rsid w:val="00880669"/>
    <w:rsid w:val="00880AEC"/>
    <w:rsid w:val="00880D3F"/>
    <w:rsid w:val="00881B0E"/>
    <w:rsid w:val="008829C4"/>
    <w:rsid w:val="008830E5"/>
    <w:rsid w:val="00883144"/>
    <w:rsid w:val="00883816"/>
    <w:rsid w:val="00883A82"/>
    <w:rsid w:val="00884457"/>
    <w:rsid w:val="008845EE"/>
    <w:rsid w:val="00884825"/>
    <w:rsid w:val="00884A1F"/>
    <w:rsid w:val="0088510D"/>
    <w:rsid w:val="00885976"/>
    <w:rsid w:val="00885AF9"/>
    <w:rsid w:val="00885CB5"/>
    <w:rsid w:val="0088632C"/>
    <w:rsid w:val="00887571"/>
    <w:rsid w:val="00887835"/>
    <w:rsid w:val="00887E1A"/>
    <w:rsid w:val="00890071"/>
    <w:rsid w:val="0089013B"/>
    <w:rsid w:val="00890172"/>
    <w:rsid w:val="00890331"/>
    <w:rsid w:val="008906BE"/>
    <w:rsid w:val="008920C5"/>
    <w:rsid w:val="008943EE"/>
    <w:rsid w:val="0089461C"/>
    <w:rsid w:val="0089467F"/>
    <w:rsid w:val="0089535D"/>
    <w:rsid w:val="008953D9"/>
    <w:rsid w:val="008953F2"/>
    <w:rsid w:val="00897F50"/>
    <w:rsid w:val="008A0319"/>
    <w:rsid w:val="008A0552"/>
    <w:rsid w:val="008A0623"/>
    <w:rsid w:val="008A1DC5"/>
    <w:rsid w:val="008A256A"/>
    <w:rsid w:val="008A2B13"/>
    <w:rsid w:val="008A3417"/>
    <w:rsid w:val="008A596D"/>
    <w:rsid w:val="008A5C0A"/>
    <w:rsid w:val="008A6C4B"/>
    <w:rsid w:val="008A6DC0"/>
    <w:rsid w:val="008A7455"/>
    <w:rsid w:val="008A780A"/>
    <w:rsid w:val="008A79EB"/>
    <w:rsid w:val="008A7D77"/>
    <w:rsid w:val="008B0218"/>
    <w:rsid w:val="008B099E"/>
    <w:rsid w:val="008B0B87"/>
    <w:rsid w:val="008B0BF0"/>
    <w:rsid w:val="008B0C04"/>
    <w:rsid w:val="008B1390"/>
    <w:rsid w:val="008B14A0"/>
    <w:rsid w:val="008B1B21"/>
    <w:rsid w:val="008B1C0F"/>
    <w:rsid w:val="008B2170"/>
    <w:rsid w:val="008B2E3F"/>
    <w:rsid w:val="008B3618"/>
    <w:rsid w:val="008B39E4"/>
    <w:rsid w:val="008B407C"/>
    <w:rsid w:val="008B43E6"/>
    <w:rsid w:val="008B60A7"/>
    <w:rsid w:val="008B7426"/>
    <w:rsid w:val="008B75D9"/>
    <w:rsid w:val="008B7E5C"/>
    <w:rsid w:val="008C0A9D"/>
    <w:rsid w:val="008C0C26"/>
    <w:rsid w:val="008C11BD"/>
    <w:rsid w:val="008C2137"/>
    <w:rsid w:val="008C232F"/>
    <w:rsid w:val="008C2FFF"/>
    <w:rsid w:val="008C33E5"/>
    <w:rsid w:val="008C3A74"/>
    <w:rsid w:val="008C3A93"/>
    <w:rsid w:val="008C4443"/>
    <w:rsid w:val="008C48DA"/>
    <w:rsid w:val="008C598D"/>
    <w:rsid w:val="008C6516"/>
    <w:rsid w:val="008C666A"/>
    <w:rsid w:val="008C66AF"/>
    <w:rsid w:val="008C7A63"/>
    <w:rsid w:val="008D0818"/>
    <w:rsid w:val="008D0970"/>
    <w:rsid w:val="008D1371"/>
    <w:rsid w:val="008D1924"/>
    <w:rsid w:val="008D1C23"/>
    <w:rsid w:val="008D1D50"/>
    <w:rsid w:val="008D1F97"/>
    <w:rsid w:val="008D3530"/>
    <w:rsid w:val="008D46F5"/>
    <w:rsid w:val="008D47D9"/>
    <w:rsid w:val="008D4C71"/>
    <w:rsid w:val="008D5274"/>
    <w:rsid w:val="008D5D0E"/>
    <w:rsid w:val="008D60CD"/>
    <w:rsid w:val="008D6975"/>
    <w:rsid w:val="008D78C8"/>
    <w:rsid w:val="008D7B3C"/>
    <w:rsid w:val="008E0340"/>
    <w:rsid w:val="008E0529"/>
    <w:rsid w:val="008E0D22"/>
    <w:rsid w:val="008E1555"/>
    <w:rsid w:val="008E1567"/>
    <w:rsid w:val="008E19C8"/>
    <w:rsid w:val="008E1A9E"/>
    <w:rsid w:val="008E1CF3"/>
    <w:rsid w:val="008E22B1"/>
    <w:rsid w:val="008E33A3"/>
    <w:rsid w:val="008E349A"/>
    <w:rsid w:val="008E3AD0"/>
    <w:rsid w:val="008E46F2"/>
    <w:rsid w:val="008E5F0C"/>
    <w:rsid w:val="008E611E"/>
    <w:rsid w:val="008E65FE"/>
    <w:rsid w:val="008E66D1"/>
    <w:rsid w:val="008E7C6B"/>
    <w:rsid w:val="008F0522"/>
    <w:rsid w:val="008F07E6"/>
    <w:rsid w:val="008F0CCA"/>
    <w:rsid w:val="008F1102"/>
    <w:rsid w:val="008F13DA"/>
    <w:rsid w:val="008F210C"/>
    <w:rsid w:val="008F24E3"/>
    <w:rsid w:val="008F25D8"/>
    <w:rsid w:val="008F2CA9"/>
    <w:rsid w:val="008F3F21"/>
    <w:rsid w:val="008F4687"/>
    <w:rsid w:val="008F5001"/>
    <w:rsid w:val="008F514B"/>
    <w:rsid w:val="008F51F5"/>
    <w:rsid w:val="008F5EB7"/>
    <w:rsid w:val="008F6332"/>
    <w:rsid w:val="008F6439"/>
    <w:rsid w:val="008F6821"/>
    <w:rsid w:val="008F6E63"/>
    <w:rsid w:val="00900B5A"/>
    <w:rsid w:val="00900EB2"/>
    <w:rsid w:val="0090161B"/>
    <w:rsid w:val="00901953"/>
    <w:rsid w:val="009031AF"/>
    <w:rsid w:val="00903CC5"/>
    <w:rsid w:val="00903D22"/>
    <w:rsid w:val="0090496D"/>
    <w:rsid w:val="00905502"/>
    <w:rsid w:val="00906A30"/>
    <w:rsid w:val="00906C7E"/>
    <w:rsid w:val="00906E38"/>
    <w:rsid w:val="00907E87"/>
    <w:rsid w:val="0091003B"/>
    <w:rsid w:val="00910557"/>
    <w:rsid w:val="00910B64"/>
    <w:rsid w:val="00910BB5"/>
    <w:rsid w:val="00910D7C"/>
    <w:rsid w:val="009110BE"/>
    <w:rsid w:val="0091168F"/>
    <w:rsid w:val="009119C3"/>
    <w:rsid w:val="00911F47"/>
    <w:rsid w:val="009122B1"/>
    <w:rsid w:val="00912BBC"/>
    <w:rsid w:val="009132C6"/>
    <w:rsid w:val="009136FA"/>
    <w:rsid w:val="0091376A"/>
    <w:rsid w:val="00913827"/>
    <w:rsid w:val="00913DBE"/>
    <w:rsid w:val="009146A0"/>
    <w:rsid w:val="00914D41"/>
    <w:rsid w:val="009151CD"/>
    <w:rsid w:val="00915D54"/>
    <w:rsid w:val="00915FA2"/>
    <w:rsid w:val="00915FF7"/>
    <w:rsid w:val="0091659D"/>
    <w:rsid w:val="00916D84"/>
    <w:rsid w:val="009170A4"/>
    <w:rsid w:val="0091714F"/>
    <w:rsid w:val="00917E3D"/>
    <w:rsid w:val="009202C8"/>
    <w:rsid w:val="009204B0"/>
    <w:rsid w:val="009205E0"/>
    <w:rsid w:val="00921160"/>
    <w:rsid w:val="009211B0"/>
    <w:rsid w:val="009241DB"/>
    <w:rsid w:val="0092479F"/>
    <w:rsid w:val="00924E9F"/>
    <w:rsid w:val="009252BA"/>
    <w:rsid w:val="00925459"/>
    <w:rsid w:val="0092585A"/>
    <w:rsid w:val="00925AA8"/>
    <w:rsid w:val="0092616E"/>
    <w:rsid w:val="00926DEC"/>
    <w:rsid w:val="00926FB5"/>
    <w:rsid w:val="00927464"/>
    <w:rsid w:val="009302BB"/>
    <w:rsid w:val="00930303"/>
    <w:rsid w:val="00930381"/>
    <w:rsid w:val="009315E7"/>
    <w:rsid w:val="0093292C"/>
    <w:rsid w:val="00932A61"/>
    <w:rsid w:val="00932D76"/>
    <w:rsid w:val="0093301C"/>
    <w:rsid w:val="00933A26"/>
    <w:rsid w:val="00933D83"/>
    <w:rsid w:val="009344F4"/>
    <w:rsid w:val="009348AA"/>
    <w:rsid w:val="00935469"/>
    <w:rsid w:val="0093636B"/>
    <w:rsid w:val="009365F3"/>
    <w:rsid w:val="00936882"/>
    <w:rsid w:val="009369E1"/>
    <w:rsid w:val="00940521"/>
    <w:rsid w:val="00940CFA"/>
    <w:rsid w:val="00941E87"/>
    <w:rsid w:val="009423E9"/>
    <w:rsid w:val="009426C4"/>
    <w:rsid w:val="0094280C"/>
    <w:rsid w:val="00943016"/>
    <w:rsid w:val="009430AF"/>
    <w:rsid w:val="00943806"/>
    <w:rsid w:val="00944470"/>
    <w:rsid w:val="00944502"/>
    <w:rsid w:val="009449C1"/>
    <w:rsid w:val="009449F1"/>
    <w:rsid w:val="00944BE1"/>
    <w:rsid w:val="009458C8"/>
    <w:rsid w:val="00946945"/>
    <w:rsid w:val="00950E48"/>
    <w:rsid w:val="009519E9"/>
    <w:rsid w:val="0095219C"/>
    <w:rsid w:val="009530A7"/>
    <w:rsid w:val="009532DE"/>
    <w:rsid w:val="00953968"/>
    <w:rsid w:val="0095426C"/>
    <w:rsid w:val="00955592"/>
    <w:rsid w:val="00955D01"/>
    <w:rsid w:val="0095676D"/>
    <w:rsid w:val="00956991"/>
    <w:rsid w:val="00957380"/>
    <w:rsid w:val="0095747E"/>
    <w:rsid w:val="00957A80"/>
    <w:rsid w:val="00957C12"/>
    <w:rsid w:val="0096056C"/>
    <w:rsid w:val="00960A5B"/>
    <w:rsid w:val="0096101B"/>
    <w:rsid w:val="00961025"/>
    <w:rsid w:val="0096102F"/>
    <w:rsid w:val="0096103F"/>
    <w:rsid w:val="00961071"/>
    <w:rsid w:val="009613AC"/>
    <w:rsid w:val="00961488"/>
    <w:rsid w:val="00961669"/>
    <w:rsid w:val="00964742"/>
    <w:rsid w:val="00964792"/>
    <w:rsid w:val="00964ADA"/>
    <w:rsid w:val="00965994"/>
    <w:rsid w:val="0096622F"/>
    <w:rsid w:val="009663BB"/>
    <w:rsid w:val="009664CF"/>
    <w:rsid w:val="00966571"/>
    <w:rsid w:val="0096681B"/>
    <w:rsid w:val="00966EFD"/>
    <w:rsid w:val="009679E1"/>
    <w:rsid w:val="00967B52"/>
    <w:rsid w:val="00967C2E"/>
    <w:rsid w:val="00967D82"/>
    <w:rsid w:val="00967F06"/>
    <w:rsid w:val="009700B8"/>
    <w:rsid w:val="00970460"/>
    <w:rsid w:val="00970B08"/>
    <w:rsid w:val="00972921"/>
    <w:rsid w:val="00973411"/>
    <w:rsid w:val="0097447B"/>
    <w:rsid w:val="00974664"/>
    <w:rsid w:val="009748E1"/>
    <w:rsid w:val="00974FDA"/>
    <w:rsid w:val="0097512F"/>
    <w:rsid w:val="00975D97"/>
    <w:rsid w:val="009766BD"/>
    <w:rsid w:val="00976A6F"/>
    <w:rsid w:val="0097740D"/>
    <w:rsid w:val="009774F2"/>
    <w:rsid w:val="00977B63"/>
    <w:rsid w:val="0098034D"/>
    <w:rsid w:val="00980998"/>
    <w:rsid w:val="00980D6C"/>
    <w:rsid w:val="0098181D"/>
    <w:rsid w:val="00981A0D"/>
    <w:rsid w:val="00982265"/>
    <w:rsid w:val="00982311"/>
    <w:rsid w:val="009826F0"/>
    <w:rsid w:val="00982BB3"/>
    <w:rsid w:val="00982CCE"/>
    <w:rsid w:val="00982FB9"/>
    <w:rsid w:val="00982FF5"/>
    <w:rsid w:val="0098420B"/>
    <w:rsid w:val="0098521E"/>
    <w:rsid w:val="00985922"/>
    <w:rsid w:val="009864DA"/>
    <w:rsid w:val="009875ED"/>
    <w:rsid w:val="009900B6"/>
    <w:rsid w:val="00990607"/>
    <w:rsid w:val="00991186"/>
    <w:rsid w:val="0099199A"/>
    <w:rsid w:val="009922E7"/>
    <w:rsid w:val="009928A8"/>
    <w:rsid w:val="00992A41"/>
    <w:rsid w:val="00993C03"/>
    <w:rsid w:val="00994E9F"/>
    <w:rsid w:val="00996536"/>
    <w:rsid w:val="00996DDF"/>
    <w:rsid w:val="00996E18"/>
    <w:rsid w:val="009977B0"/>
    <w:rsid w:val="009A0107"/>
    <w:rsid w:val="009A02E4"/>
    <w:rsid w:val="009A080E"/>
    <w:rsid w:val="009A0BC0"/>
    <w:rsid w:val="009A0C43"/>
    <w:rsid w:val="009A17CD"/>
    <w:rsid w:val="009A1F59"/>
    <w:rsid w:val="009A399E"/>
    <w:rsid w:val="009A3D34"/>
    <w:rsid w:val="009A4475"/>
    <w:rsid w:val="009A4797"/>
    <w:rsid w:val="009A4B8B"/>
    <w:rsid w:val="009A50F7"/>
    <w:rsid w:val="009A5107"/>
    <w:rsid w:val="009A5908"/>
    <w:rsid w:val="009A5D7C"/>
    <w:rsid w:val="009A6085"/>
    <w:rsid w:val="009A619B"/>
    <w:rsid w:val="009A6DB2"/>
    <w:rsid w:val="009A764F"/>
    <w:rsid w:val="009B00B1"/>
    <w:rsid w:val="009B0194"/>
    <w:rsid w:val="009B01D0"/>
    <w:rsid w:val="009B0AF1"/>
    <w:rsid w:val="009B0EE1"/>
    <w:rsid w:val="009B124D"/>
    <w:rsid w:val="009B143F"/>
    <w:rsid w:val="009B1B3E"/>
    <w:rsid w:val="009B3372"/>
    <w:rsid w:val="009B33E2"/>
    <w:rsid w:val="009B48A2"/>
    <w:rsid w:val="009B4B4C"/>
    <w:rsid w:val="009B4D7D"/>
    <w:rsid w:val="009B551C"/>
    <w:rsid w:val="009B564D"/>
    <w:rsid w:val="009B5C6D"/>
    <w:rsid w:val="009B6870"/>
    <w:rsid w:val="009B6A3D"/>
    <w:rsid w:val="009B6EB1"/>
    <w:rsid w:val="009B73DC"/>
    <w:rsid w:val="009B76D4"/>
    <w:rsid w:val="009B7763"/>
    <w:rsid w:val="009C0059"/>
    <w:rsid w:val="009C0223"/>
    <w:rsid w:val="009C10C9"/>
    <w:rsid w:val="009C1514"/>
    <w:rsid w:val="009C1812"/>
    <w:rsid w:val="009C2C35"/>
    <w:rsid w:val="009C2F5D"/>
    <w:rsid w:val="009C3862"/>
    <w:rsid w:val="009C38C9"/>
    <w:rsid w:val="009C3F56"/>
    <w:rsid w:val="009C41BD"/>
    <w:rsid w:val="009C41DA"/>
    <w:rsid w:val="009C46E9"/>
    <w:rsid w:val="009C4751"/>
    <w:rsid w:val="009C478E"/>
    <w:rsid w:val="009C547D"/>
    <w:rsid w:val="009C594B"/>
    <w:rsid w:val="009C61C3"/>
    <w:rsid w:val="009C6BB1"/>
    <w:rsid w:val="009C7B9D"/>
    <w:rsid w:val="009D0823"/>
    <w:rsid w:val="009D0EAC"/>
    <w:rsid w:val="009D10BC"/>
    <w:rsid w:val="009D12BC"/>
    <w:rsid w:val="009D1485"/>
    <w:rsid w:val="009D1C97"/>
    <w:rsid w:val="009D1E0D"/>
    <w:rsid w:val="009D29E4"/>
    <w:rsid w:val="009D383D"/>
    <w:rsid w:val="009D4DA8"/>
    <w:rsid w:val="009D4F82"/>
    <w:rsid w:val="009D5071"/>
    <w:rsid w:val="009D5172"/>
    <w:rsid w:val="009D5455"/>
    <w:rsid w:val="009D5498"/>
    <w:rsid w:val="009D5C13"/>
    <w:rsid w:val="009D6861"/>
    <w:rsid w:val="009D6882"/>
    <w:rsid w:val="009D7A0C"/>
    <w:rsid w:val="009D7BD1"/>
    <w:rsid w:val="009D7D48"/>
    <w:rsid w:val="009D7D89"/>
    <w:rsid w:val="009D7EC0"/>
    <w:rsid w:val="009D7FC9"/>
    <w:rsid w:val="009E080C"/>
    <w:rsid w:val="009E0BCF"/>
    <w:rsid w:val="009E0E54"/>
    <w:rsid w:val="009E1336"/>
    <w:rsid w:val="009E2F4D"/>
    <w:rsid w:val="009E2FE1"/>
    <w:rsid w:val="009E34AD"/>
    <w:rsid w:val="009E3F92"/>
    <w:rsid w:val="009E4821"/>
    <w:rsid w:val="009E538A"/>
    <w:rsid w:val="009E560A"/>
    <w:rsid w:val="009E67F7"/>
    <w:rsid w:val="009E689E"/>
    <w:rsid w:val="009E6C96"/>
    <w:rsid w:val="009E7141"/>
    <w:rsid w:val="009E73A6"/>
    <w:rsid w:val="009E775C"/>
    <w:rsid w:val="009E7B12"/>
    <w:rsid w:val="009F00FC"/>
    <w:rsid w:val="009F01C2"/>
    <w:rsid w:val="009F0704"/>
    <w:rsid w:val="009F08FA"/>
    <w:rsid w:val="009F0DA3"/>
    <w:rsid w:val="009F14C8"/>
    <w:rsid w:val="009F1858"/>
    <w:rsid w:val="009F188C"/>
    <w:rsid w:val="009F193C"/>
    <w:rsid w:val="009F1CA6"/>
    <w:rsid w:val="009F1ED9"/>
    <w:rsid w:val="009F2CCE"/>
    <w:rsid w:val="009F3E13"/>
    <w:rsid w:val="009F3E9A"/>
    <w:rsid w:val="009F44F1"/>
    <w:rsid w:val="009F4828"/>
    <w:rsid w:val="009F4D8B"/>
    <w:rsid w:val="009F55C1"/>
    <w:rsid w:val="009F5723"/>
    <w:rsid w:val="009F68DA"/>
    <w:rsid w:val="009F6E6E"/>
    <w:rsid w:val="009F7396"/>
    <w:rsid w:val="009F7402"/>
    <w:rsid w:val="009F7799"/>
    <w:rsid w:val="009F79DD"/>
    <w:rsid w:val="00A0029B"/>
    <w:rsid w:val="00A00FB1"/>
    <w:rsid w:val="00A01352"/>
    <w:rsid w:val="00A0156E"/>
    <w:rsid w:val="00A018B4"/>
    <w:rsid w:val="00A045C5"/>
    <w:rsid w:val="00A04B4C"/>
    <w:rsid w:val="00A04DBD"/>
    <w:rsid w:val="00A04E08"/>
    <w:rsid w:val="00A051E0"/>
    <w:rsid w:val="00A057FF"/>
    <w:rsid w:val="00A05DC0"/>
    <w:rsid w:val="00A06460"/>
    <w:rsid w:val="00A06E82"/>
    <w:rsid w:val="00A06F42"/>
    <w:rsid w:val="00A107D8"/>
    <w:rsid w:val="00A10881"/>
    <w:rsid w:val="00A1149B"/>
    <w:rsid w:val="00A11D53"/>
    <w:rsid w:val="00A12460"/>
    <w:rsid w:val="00A1288B"/>
    <w:rsid w:val="00A12E34"/>
    <w:rsid w:val="00A1300B"/>
    <w:rsid w:val="00A1381D"/>
    <w:rsid w:val="00A13C19"/>
    <w:rsid w:val="00A14CF6"/>
    <w:rsid w:val="00A15A88"/>
    <w:rsid w:val="00A161FC"/>
    <w:rsid w:val="00A163AA"/>
    <w:rsid w:val="00A1735E"/>
    <w:rsid w:val="00A200CC"/>
    <w:rsid w:val="00A20793"/>
    <w:rsid w:val="00A20CEB"/>
    <w:rsid w:val="00A20CF0"/>
    <w:rsid w:val="00A21900"/>
    <w:rsid w:val="00A22B49"/>
    <w:rsid w:val="00A22EDB"/>
    <w:rsid w:val="00A2314A"/>
    <w:rsid w:val="00A2339F"/>
    <w:rsid w:val="00A2364C"/>
    <w:rsid w:val="00A23A87"/>
    <w:rsid w:val="00A23BE3"/>
    <w:rsid w:val="00A2404C"/>
    <w:rsid w:val="00A243EE"/>
    <w:rsid w:val="00A2456A"/>
    <w:rsid w:val="00A245C8"/>
    <w:rsid w:val="00A2494A"/>
    <w:rsid w:val="00A24A60"/>
    <w:rsid w:val="00A255B3"/>
    <w:rsid w:val="00A26611"/>
    <w:rsid w:val="00A2673F"/>
    <w:rsid w:val="00A26823"/>
    <w:rsid w:val="00A26986"/>
    <w:rsid w:val="00A26A55"/>
    <w:rsid w:val="00A30A2F"/>
    <w:rsid w:val="00A30F50"/>
    <w:rsid w:val="00A3154C"/>
    <w:rsid w:val="00A31CD2"/>
    <w:rsid w:val="00A31F96"/>
    <w:rsid w:val="00A32528"/>
    <w:rsid w:val="00A325FB"/>
    <w:rsid w:val="00A33600"/>
    <w:rsid w:val="00A339A0"/>
    <w:rsid w:val="00A33A24"/>
    <w:rsid w:val="00A33F23"/>
    <w:rsid w:val="00A34027"/>
    <w:rsid w:val="00A3488D"/>
    <w:rsid w:val="00A34997"/>
    <w:rsid w:val="00A34B1F"/>
    <w:rsid w:val="00A34BBC"/>
    <w:rsid w:val="00A35310"/>
    <w:rsid w:val="00A35C29"/>
    <w:rsid w:val="00A36994"/>
    <w:rsid w:val="00A3778B"/>
    <w:rsid w:val="00A37C2E"/>
    <w:rsid w:val="00A4151E"/>
    <w:rsid w:val="00A41626"/>
    <w:rsid w:val="00A41B46"/>
    <w:rsid w:val="00A41C79"/>
    <w:rsid w:val="00A420D2"/>
    <w:rsid w:val="00A42F94"/>
    <w:rsid w:val="00A430ED"/>
    <w:rsid w:val="00A434B6"/>
    <w:rsid w:val="00A43E93"/>
    <w:rsid w:val="00A45BC5"/>
    <w:rsid w:val="00A45D1C"/>
    <w:rsid w:val="00A45F21"/>
    <w:rsid w:val="00A4611F"/>
    <w:rsid w:val="00A46817"/>
    <w:rsid w:val="00A4690B"/>
    <w:rsid w:val="00A46A84"/>
    <w:rsid w:val="00A46BA3"/>
    <w:rsid w:val="00A46D7D"/>
    <w:rsid w:val="00A46FA1"/>
    <w:rsid w:val="00A47451"/>
    <w:rsid w:val="00A477E5"/>
    <w:rsid w:val="00A47C37"/>
    <w:rsid w:val="00A5024C"/>
    <w:rsid w:val="00A51AD6"/>
    <w:rsid w:val="00A52223"/>
    <w:rsid w:val="00A52274"/>
    <w:rsid w:val="00A52AED"/>
    <w:rsid w:val="00A52E28"/>
    <w:rsid w:val="00A534AE"/>
    <w:rsid w:val="00A538CE"/>
    <w:rsid w:val="00A53B80"/>
    <w:rsid w:val="00A53CDB"/>
    <w:rsid w:val="00A53FAF"/>
    <w:rsid w:val="00A54F10"/>
    <w:rsid w:val="00A55664"/>
    <w:rsid w:val="00A556B0"/>
    <w:rsid w:val="00A55740"/>
    <w:rsid w:val="00A56561"/>
    <w:rsid w:val="00A56879"/>
    <w:rsid w:val="00A56E91"/>
    <w:rsid w:val="00A57324"/>
    <w:rsid w:val="00A5735D"/>
    <w:rsid w:val="00A573B3"/>
    <w:rsid w:val="00A57930"/>
    <w:rsid w:val="00A60C2A"/>
    <w:rsid w:val="00A61741"/>
    <w:rsid w:val="00A61895"/>
    <w:rsid w:val="00A62B48"/>
    <w:rsid w:val="00A62BC8"/>
    <w:rsid w:val="00A635B9"/>
    <w:rsid w:val="00A64318"/>
    <w:rsid w:val="00A6472F"/>
    <w:rsid w:val="00A64AC2"/>
    <w:rsid w:val="00A65511"/>
    <w:rsid w:val="00A65BB4"/>
    <w:rsid w:val="00A65DDC"/>
    <w:rsid w:val="00A67911"/>
    <w:rsid w:val="00A679BA"/>
    <w:rsid w:val="00A701CF"/>
    <w:rsid w:val="00A70EB5"/>
    <w:rsid w:val="00A713C2"/>
    <w:rsid w:val="00A71703"/>
    <w:rsid w:val="00A71DFD"/>
    <w:rsid w:val="00A725CC"/>
    <w:rsid w:val="00A72A5B"/>
    <w:rsid w:val="00A73AE3"/>
    <w:rsid w:val="00A73AF6"/>
    <w:rsid w:val="00A741C2"/>
    <w:rsid w:val="00A749E0"/>
    <w:rsid w:val="00A74C92"/>
    <w:rsid w:val="00A74CC0"/>
    <w:rsid w:val="00A7516F"/>
    <w:rsid w:val="00A7519B"/>
    <w:rsid w:val="00A755B3"/>
    <w:rsid w:val="00A7571E"/>
    <w:rsid w:val="00A759A3"/>
    <w:rsid w:val="00A75F19"/>
    <w:rsid w:val="00A7633B"/>
    <w:rsid w:val="00A76B5E"/>
    <w:rsid w:val="00A77A2A"/>
    <w:rsid w:val="00A80235"/>
    <w:rsid w:val="00A807B3"/>
    <w:rsid w:val="00A818C7"/>
    <w:rsid w:val="00A82964"/>
    <w:rsid w:val="00A829A1"/>
    <w:rsid w:val="00A833D8"/>
    <w:rsid w:val="00A83B10"/>
    <w:rsid w:val="00A843EE"/>
    <w:rsid w:val="00A84880"/>
    <w:rsid w:val="00A84C2D"/>
    <w:rsid w:val="00A857B9"/>
    <w:rsid w:val="00A85DF7"/>
    <w:rsid w:val="00A85F33"/>
    <w:rsid w:val="00A85F66"/>
    <w:rsid w:val="00A863C6"/>
    <w:rsid w:val="00A86439"/>
    <w:rsid w:val="00A86448"/>
    <w:rsid w:val="00A8714B"/>
    <w:rsid w:val="00A876A8"/>
    <w:rsid w:val="00A901DB"/>
    <w:rsid w:val="00A9055F"/>
    <w:rsid w:val="00A90732"/>
    <w:rsid w:val="00A90928"/>
    <w:rsid w:val="00A90F74"/>
    <w:rsid w:val="00A90FE9"/>
    <w:rsid w:val="00A91877"/>
    <w:rsid w:val="00A920DA"/>
    <w:rsid w:val="00A92140"/>
    <w:rsid w:val="00A921CB"/>
    <w:rsid w:val="00A92AE5"/>
    <w:rsid w:val="00A92C18"/>
    <w:rsid w:val="00A92D13"/>
    <w:rsid w:val="00A92DE0"/>
    <w:rsid w:val="00A93114"/>
    <w:rsid w:val="00A93119"/>
    <w:rsid w:val="00A933E7"/>
    <w:rsid w:val="00A93556"/>
    <w:rsid w:val="00A937F0"/>
    <w:rsid w:val="00A93DBE"/>
    <w:rsid w:val="00A941A8"/>
    <w:rsid w:val="00A9459C"/>
    <w:rsid w:val="00A9481E"/>
    <w:rsid w:val="00A94EDD"/>
    <w:rsid w:val="00A953FD"/>
    <w:rsid w:val="00A9571E"/>
    <w:rsid w:val="00A95899"/>
    <w:rsid w:val="00A96137"/>
    <w:rsid w:val="00A969D4"/>
    <w:rsid w:val="00A96EC6"/>
    <w:rsid w:val="00A97AB9"/>
    <w:rsid w:val="00AA0343"/>
    <w:rsid w:val="00AA0740"/>
    <w:rsid w:val="00AA082C"/>
    <w:rsid w:val="00AA2945"/>
    <w:rsid w:val="00AA42CF"/>
    <w:rsid w:val="00AA5675"/>
    <w:rsid w:val="00AA57AE"/>
    <w:rsid w:val="00AA614E"/>
    <w:rsid w:val="00AA6424"/>
    <w:rsid w:val="00AA649B"/>
    <w:rsid w:val="00AA6AE2"/>
    <w:rsid w:val="00AA725D"/>
    <w:rsid w:val="00AA73DA"/>
    <w:rsid w:val="00AA78D7"/>
    <w:rsid w:val="00AB081F"/>
    <w:rsid w:val="00AB0AC7"/>
    <w:rsid w:val="00AB0BEE"/>
    <w:rsid w:val="00AB1022"/>
    <w:rsid w:val="00AB11B8"/>
    <w:rsid w:val="00AB1B5D"/>
    <w:rsid w:val="00AB3927"/>
    <w:rsid w:val="00AB39FD"/>
    <w:rsid w:val="00AB4282"/>
    <w:rsid w:val="00AB43A8"/>
    <w:rsid w:val="00AB4ED4"/>
    <w:rsid w:val="00AB5723"/>
    <w:rsid w:val="00AB5C89"/>
    <w:rsid w:val="00AB6937"/>
    <w:rsid w:val="00AB6D1F"/>
    <w:rsid w:val="00AB6D3E"/>
    <w:rsid w:val="00AB7127"/>
    <w:rsid w:val="00AB7336"/>
    <w:rsid w:val="00AB7581"/>
    <w:rsid w:val="00AC035C"/>
    <w:rsid w:val="00AC0929"/>
    <w:rsid w:val="00AC09AE"/>
    <w:rsid w:val="00AC1205"/>
    <w:rsid w:val="00AC17F3"/>
    <w:rsid w:val="00AC182C"/>
    <w:rsid w:val="00AC22AB"/>
    <w:rsid w:val="00AC2AD7"/>
    <w:rsid w:val="00AC2CFF"/>
    <w:rsid w:val="00AC359F"/>
    <w:rsid w:val="00AC3625"/>
    <w:rsid w:val="00AC4467"/>
    <w:rsid w:val="00AC4D7E"/>
    <w:rsid w:val="00AC525F"/>
    <w:rsid w:val="00AC5C21"/>
    <w:rsid w:val="00AC6316"/>
    <w:rsid w:val="00AC63B1"/>
    <w:rsid w:val="00AC6436"/>
    <w:rsid w:val="00AC6BF8"/>
    <w:rsid w:val="00AC7634"/>
    <w:rsid w:val="00AC77EF"/>
    <w:rsid w:val="00AC77F1"/>
    <w:rsid w:val="00AC785E"/>
    <w:rsid w:val="00AC79BA"/>
    <w:rsid w:val="00AC7DE0"/>
    <w:rsid w:val="00AD045F"/>
    <w:rsid w:val="00AD0539"/>
    <w:rsid w:val="00AD056F"/>
    <w:rsid w:val="00AD0A0B"/>
    <w:rsid w:val="00AD1232"/>
    <w:rsid w:val="00AD2CB9"/>
    <w:rsid w:val="00AD2FFC"/>
    <w:rsid w:val="00AD3502"/>
    <w:rsid w:val="00AD407B"/>
    <w:rsid w:val="00AD4528"/>
    <w:rsid w:val="00AD49AE"/>
    <w:rsid w:val="00AD5E7F"/>
    <w:rsid w:val="00AD5E9E"/>
    <w:rsid w:val="00AD66A0"/>
    <w:rsid w:val="00AD6904"/>
    <w:rsid w:val="00AD762A"/>
    <w:rsid w:val="00AD7D34"/>
    <w:rsid w:val="00AE00EA"/>
    <w:rsid w:val="00AE0E87"/>
    <w:rsid w:val="00AE13C0"/>
    <w:rsid w:val="00AE22E2"/>
    <w:rsid w:val="00AE265D"/>
    <w:rsid w:val="00AE26FE"/>
    <w:rsid w:val="00AE3418"/>
    <w:rsid w:val="00AE3757"/>
    <w:rsid w:val="00AE44EC"/>
    <w:rsid w:val="00AE4933"/>
    <w:rsid w:val="00AE4F0A"/>
    <w:rsid w:val="00AE4F98"/>
    <w:rsid w:val="00AE5060"/>
    <w:rsid w:val="00AE51F3"/>
    <w:rsid w:val="00AE64CC"/>
    <w:rsid w:val="00AE69EE"/>
    <w:rsid w:val="00AF01C6"/>
    <w:rsid w:val="00AF071B"/>
    <w:rsid w:val="00AF09D6"/>
    <w:rsid w:val="00AF0BFF"/>
    <w:rsid w:val="00AF1026"/>
    <w:rsid w:val="00AF1269"/>
    <w:rsid w:val="00AF1641"/>
    <w:rsid w:val="00AF290D"/>
    <w:rsid w:val="00AF2B84"/>
    <w:rsid w:val="00AF2C7A"/>
    <w:rsid w:val="00AF3429"/>
    <w:rsid w:val="00AF3AEB"/>
    <w:rsid w:val="00AF4015"/>
    <w:rsid w:val="00AF4993"/>
    <w:rsid w:val="00AF4B3B"/>
    <w:rsid w:val="00AF5863"/>
    <w:rsid w:val="00AF5ED9"/>
    <w:rsid w:val="00AF65E0"/>
    <w:rsid w:val="00AF7AC4"/>
    <w:rsid w:val="00B00539"/>
    <w:rsid w:val="00B00AF0"/>
    <w:rsid w:val="00B01609"/>
    <w:rsid w:val="00B01BC8"/>
    <w:rsid w:val="00B0384D"/>
    <w:rsid w:val="00B03F11"/>
    <w:rsid w:val="00B0415D"/>
    <w:rsid w:val="00B05B10"/>
    <w:rsid w:val="00B05B77"/>
    <w:rsid w:val="00B07430"/>
    <w:rsid w:val="00B078BB"/>
    <w:rsid w:val="00B07B90"/>
    <w:rsid w:val="00B1018C"/>
    <w:rsid w:val="00B1035E"/>
    <w:rsid w:val="00B107EF"/>
    <w:rsid w:val="00B10974"/>
    <w:rsid w:val="00B10A3E"/>
    <w:rsid w:val="00B10AA1"/>
    <w:rsid w:val="00B10ECF"/>
    <w:rsid w:val="00B1131B"/>
    <w:rsid w:val="00B134E6"/>
    <w:rsid w:val="00B13537"/>
    <w:rsid w:val="00B138FC"/>
    <w:rsid w:val="00B1394E"/>
    <w:rsid w:val="00B15531"/>
    <w:rsid w:val="00B15ECF"/>
    <w:rsid w:val="00B1603A"/>
    <w:rsid w:val="00B16534"/>
    <w:rsid w:val="00B1704A"/>
    <w:rsid w:val="00B174DA"/>
    <w:rsid w:val="00B17723"/>
    <w:rsid w:val="00B2022E"/>
    <w:rsid w:val="00B212A6"/>
    <w:rsid w:val="00B22254"/>
    <w:rsid w:val="00B2347E"/>
    <w:rsid w:val="00B23636"/>
    <w:rsid w:val="00B2393E"/>
    <w:rsid w:val="00B23A8C"/>
    <w:rsid w:val="00B245E7"/>
    <w:rsid w:val="00B256FF"/>
    <w:rsid w:val="00B268F1"/>
    <w:rsid w:val="00B269EF"/>
    <w:rsid w:val="00B26B97"/>
    <w:rsid w:val="00B27094"/>
    <w:rsid w:val="00B275B5"/>
    <w:rsid w:val="00B277F8"/>
    <w:rsid w:val="00B27B2C"/>
    <w:rsid w:val="00B27E07"/>
    <w:rsid w:val="00B27F6F"/>
    <w:rsid w:val="00B3008E"/>
    <w:rsid w:val="00B308C3"/>
    <w:rsid w:val="00B3093F"/>
    <w:rsid w:val="00B310D4"/>
    <w:rsid w:val="00B31476"/>
    <w:rsid w:val="00B319E7"/>
    <w:rsid w:val="00B31A88"/>
    <w:rsid w:val="00B31AD0"/>
    <w:rsid w:val="00B3223F"/>
    <w:rsid w:val="00B333AC"/>
    <w:rsid w:val="00B33600"/>
    <w:rsid w:val="00B336D0"/>
    <w:rsid w:val="00B337BA"/>
    <w:rsid w:val="00B33AF7"/>
    <w:rsid w:val="00B3470B"/>
    <w:rsid w:val="00B34918"/>
    <w:rsid w:val="00B34EEE"/>
    <w:rsid w:val="00B354ED"/>
    <w:rsid w:val="00B366F2"/>
    <w:rsid w:val="00B37793"/>
    <w:rsid w:val="00B37B77"/>
    <w:rsid w:val="00B37BBB"/>
    <w:rsid w:val="00B37E80"/>
    <w:rsid w:val="00B4065A"/>
    <w:rsid w:val="00B406B6"/>
    <w:rsid w:val="00B41052"/>
    <w:rsid w:val="00B4135D"/>
    <w:rsid w:val="00B4171F"/>
    <w:rsid w:val="00B4209F"/>
    <w:rsid w:val="00B422D3"/>
    <w:rsid w:val="00B428FF"/>
    <w:rsid w:val="00B42B22"/>
    <w:rsid w:val="00B43416"/>
    <w:rsid w:val="00B434AE"/>
    <w:rsid w:val="00B434D4"/>
    <w:rsid w:val="00B43849"/>
    <w:rsid w:val="00B445B8"/>
    <w:rsid w:val="00B44709"/>
    <w:rsid w:val="00B44C49"/>
    <w:rsid w:val="00B44FE5"/>
    <w:rsid w:val="00B450FC"/>
    <w:rsid w:val="00B4539A"/>
    <w:rsid w:val="00B467DB"/>
    <w:rsid w:val="00B4695B"/>
    <w:rsid w:val="00B46B20"/>
    <w:rsid w:val="00B46BE3"/>
    <w:rsid w:val="00B47E9F"/>
    <w:rsid w:val="00B50216"/>
    <w:rsid w:val="00B5157F"/>
    <w:rsid w:val="00B51816"/>
    <w:rsid w:val="00B523F1"/>
    <w:rsid w:val="00B53F78"/>
    <w:rsid w:val="00B54093"/>
    <w:rsid w:val="00B5479C"/>
    <w:rsid w:val="00B55FB0"/>
    <w:rsid w:val="00B569F3"/>
    <w:rsid w:val="00B573BA"/>
    <w:rsid w:val="00B57DEF"/>
    <w:rsid w:val="00B60885"/>
    <w:rsid w:val="00B60CDD"/>
    <w:rsid w:val="00B61C09"/>
    <w:rsid w:val="00B627D7"/>
    <w:rsid w:val="00B63080"/>
    <w:rsid w:val="00B64177"/>
    <w:rsid w:val="00B643DF"/>
    <w:rsid w:val="00B64ADA"/>
    <w:rsid w:val="00B64E0B"/>
    <w:rsid w:val="00B660F6"/>
    <w:rsid w:val="00B66945"/>
    <w:rsid w:val="00B67361"/>
    <w:rsid w:val="00B704EB"/>
    <w:rsid w:val="00B70AA0"/>
    <w:rsid w:val="00B7130A"/>
    <w:rsid w:val="00B71912"/>
    <w:rsid w:val="00B723A4"/>
    <w:rsid w:val="00B73192"/>
    <w:rsid w:val="00B735DB"/>
    <w:rsid w:val="00B737B6"/>
    <w:rsid w:val="00B7391A"/>
    <w:rsid w:val="00B73CDC"/>
    <w:rsid w:val="00B73E67"/>
    <w:rsid w:val="00B74EFB"/>
    <w:rsid w:val="00B76039"/>
    <w:rsid w:val="00B7643A"/>
    <w:rsid w:val="00B76AD0"/>
    <w:rsid w:val="00B7706B"/>
    <w:rsid w:val="00B7708F"/>
    <w:rsid w:val="00B77992"/>
    <w:rsid w:val="00B801DF"/>
    <w:rsid w:val="00B8027E"/>
    <w:rsid w:val="00B802E5"/>
    <w:rsid w:val="00B80314"/>
    <w:rsid w:val="00B809E5"/>
    <w:rsid w:val="00B80A26"/>
    <w:rsid w:val="00B8105D"/>
    <w:rsid w:val="00B811CC"/>
    <w:rsid w:val="00B81467"/>
    <w:rsid w:val="00B81776"/>
    <w:rsid w:val="00B81F67"/>
    <w:rsid w:val="00B8236E"/>
    <w:rsid w:val="00B82B9C"/>
    <w:rsid w:val="00B82E7C"/>
    <w:rsid w:val="00B83543"/>
    <w:rsid w:val="00B83B12"/>
    <w:rsid w:val="00B8413E"/>
    <w:rsid w:val="00B844FC"/>
    <w:rsid w:val="00B84B92"/>
    <w:rsid w:val="00B853E2"/>
    <w:rsid w:val="00B85AA9"/>
    <w:rsid w:val="00B86532"/>
    <w:rsid w:val="00B8680A"/>
    <w:rsid w:val="00B8727C"/>
    <w:rsid w:val="00B91756"/>
    <w:rsid w:val="00B9210D"/>
    <w:rsid w:val="00B923CD"/>
    <w:rsid w:val="00B92860"/>
    <w:rsid w:val="00B947B5"/>
    <w:rsid w:val="00B94E29"/>
    <w:rsid w:val="00B96920"/>
    <w:rsid w:val="00B973A7"/>
    <w:rsid w:val="00B976A8"/>
    <w:rsid w:val="00BA0528"/>
    <w:rsid w:val="00BA2570"/>
    <w:rsid w:val="00BA36C2"/>
    <w:rsid w:val="00BA3ECB"/>
    <w:rsid w:val="00BA5255"/>
    <w:rsid w:val="00BA5450"/>
    <w:rsid w:val="00BA54F7"/>
    <w:rsid w:val="00BA5CD3"/>
    <w:rsid w:val="00BA6915"/>
    <w:rsid w:val="00BA6ECD"/>
    <w:rsid w:val="00BA6F4B"/>
    <w:rsid w:val="00BB0DD7"/>
    <w:rsid w:val="00BB2CBC"/>
    <w:rsid w:val="00BB33B6"/>
    <w:rsid w:val="00BB3444"/>
    <w:rsid w:val="00BB35A2"/>
    <w:rsid w:val="00BB3B52"/>
    <w:rsid w:val="00BB3D05"/>
    <w:rsid w:val="00BB3EA7"/>
    <w:rsid w:val="00BB47DB"/>
    <w:rsid w:val="00BB495D"/>
    <w:rsid w:val="00BB49A3"/>
    <w:rsid w:val="00BB49DC"/>
    <w:rsid w:val="00BB558F"/>
    <w:rsid w:val="00BB55D1"/>
    <w:rsid w:val="00BB5839"/>
    <w:rsid w:val="00BB5C04"/>
    <w:rsid w:val="00BB6331"/>
    <w:rsid w:val="00BB6CC9"/>
    <w:rsid w:val="00BB6FD3"/>
    <w:rsid w:val="00BB735D"/>
    <w:rsid w:val="00BB77A9"/>
    <w:rsid w:val="00BC060F"/>
    <w:rsid w:val="00BC0F8C"/>
    <w:rsid w:val="00BC124D"/>
    <w:rsid w:val="00BC16DA"/>
    <w:rsid w:val="00BC183E"/>
    <w:rsid w:val="00BC18AB"/>
    <w:rsid w:val="00BC1AAF"/>
    <w:rsid w:val="00BC1B9B"/>
    <w:rsid w:val="00BC1C1E"/>
    <w:rsid w:val="00BC1CC6"/>
    <w:rsid w:val="00BC28D4"/>
    <w:rsid w:val="00BC292A"/>
    <w:rsid w:val="00BC2F00"/>
    <w:rsid w:val="00BC33D2"/>
    <w:rsid w:val="00BC3EC8"/>
    <w:rsid w:val="00BC46CB"/>
    <w:rsid w:val="00BC4933"/>
    <w:rsid w:val="00BC49FD"/>
    <w:rsid w:val="00BC5139"/>
    <w:rsid w:val="00BC51DE"/>
    <w:rsid w:val="00BC5FFA"/>
    <w:rsid w:val="00BC61B8"/>
    <w:rsid w:val="00BC61D6"/>
    <w:rsid w:val="00BC677A"/>
    <w:rsid w:val="00BC6B20"/>
    <w:rsid w:val="00BC6B62"/>
    <w:rsid w:val="00BC7723"/>
    <w:rsid w:val="00BC7862"/>
    <w:rsid w:val="00BD02C1"/>
    <w:rsid w:val="00BD1C8B"/>
    <w:rsid w:val="00BD1D8D"/>
    <w:rsid w:val="00BD26C0"/>
    <w:rsid w:val="00BD27A6"/>
    <w:rsid w:val="00BD2D45"/>
    <w:rsid w:val="00BD2F17"/>
    <w:rsid w:val="00BD3148"/>
    <w:rsid w:val="00BD3E78"/>
    <w:rsid w:val="00BD504C"/>
    <w:rsid w:val="00BD586E"/>
    <w:rsid w:val="00BD5D06"/>
    <w:rsid w:val="00BD6002"/>
    <w:rsid w:val="00BD6830"/>
    <w:rsid w:val="00BD698F"/>
    <w:rsid w:val="00BD734E"/>
    <w:rsid w:val="00BE0C56"/>
    <w:rsid w:val="00BE1B80"/>
    <w:rsid w:val="00BE24A7"/>
    <w:rsid w:val="00BE2905"/>
    <w:rsid w:val="00BE29F7"/>
    <w:rsid w:val="00BE3741"/>
    <w:rsid w:val="00BE5301"/>
    <w:rsid w:val="00BE6F77"/>
    <w:rsid w:val="00BE6F98"/>
    <w:rsid w:val="00BE7501"/>
    <w:rsid w:val="00BE7B11"/>
    <w:rsid w:val="00BE7C81"/>
    <w:rsid w:val="00BF0415"/>
    <w:rsid w:val="00BF0B98"/>
    <w:rsid w:val="00BF0F84"/>
    <w:rsid w:val="00BF138B"/>
    <w:rsid w:val="00BF156D"/>
    <w:rsid w:val="00BF168D"/>
    <w:rsid w:val="00BF185A"/>
    <w:rsid w:val="00BF1A7C"/>
    <w:rsid w:val="00BF2101"/>
    <w:rsid w:val="00BF2E76"/>
    <w:rsid w:val="00BF329B"/>
    <w:rsid w:val="00BF3880"/>
    <w:rsid w:val="00BF400D"/>
    <w:rsid w:val="00BF500B"/>
    <w:rsid w:val="00BF51FA"/>
    <w:rsid w:val="00BF52D2"/>
    <w:rsid w:val="00BF657A"/>
    <w:rsid w:val="00BF65A8"/>
    <w:rsid w:val="00BF65E1"/>
    <w:rsid w:val="00BF6835"/>
    <w:rsid w:val="00BF6941"/>
    <w:rsid w:val="00BF7012"/>
    <w:rsid w:val="00BF74D5"/>
    <w:rsid w:val="00BF76AB"/>
    <w:rsid w:val="00BF771B"/>
    <w:rsid w:val="00C00242"/>
    <w:rsid w:val="00C0043A"/>
    <w:rsid w:val="00C00EC3"/>
    <w:rsid w:val="00C00F3D"/>
    <w:rsid w:val="00C01326"/>
    <w:rsid w:val="00C01FC1"/>
    <w:rsid w:val="00C02529"/>
    <w:rsid w:val="00C02D70"/>
    <w:rsid w:val="00C03285"/>
    <w:rsid w:val="00C047D7"/>
    <w:rsid w:val="00C04F9C"/>
    <w:rsid w:val="00C05191"/>
    <w:rsid w:val="00C0522C"/>
    <w:rsid w:val="00C05410"/>
    <w:rsid w:val="00C0589F"/>
    <w:rsid w:val="00C05D5C"/>
    <w:rsid w:val="00C05DCA"/>
    <w:rsid w:val="00C06143"/>
    <w:rsid w:val="00C06580"/>
    <w:rsid w:val="00C066B9"/>
    <w:rsid w:val="00C0675B"/>
    <w:rsid w:val="00C06A90"/>
    <w:rsid w:val="00C06D80"/>
    <w:rsid w:val="00C07207"/>
    <w:rsid w:val="00C073FA"/>
    <w:rsid w:val="00C07686"/>
    <w:rsid w:val="00C07B33"/>
    <w:rsid w:val="00C10D22"/>
    <w:rsid w:val="00C10FBB"/>
    <w:rsid w:val="00C11D4D"/>
    <w:rsid w:val="00C12145"/>
    <w:rsid w:val="00C13982"/>
    <w:rsid w:val="00C14CEB"/>
    <w:rsid w:val="00C14CEC"/>
    <w:rsid w:val="00C14F20"/>
    <w:rsid w:val="00C14F2F"/>
    <w:rsid w:val="00C1546D"/>
    <w:rsid w:val="00C15CFC"/>
    <w:rsid w:val="00C1640F"/>
    <w:rsid w:val="00C16EDC"/>
    <w:rsid w:val="00C16FA1"/>
    <w:rsid w:val="00C179C0"/>
    <w:rsid w:val="00C17A8A"/>
    <w:rsid w:val="00C204B8"/>
    <w:rsid w:val="00C2053E"/>
    <w:rsid w:val="00C2121C"/>
    <w:rsid w:val="00C216E3"/>
    <w:rsid w:val="00C218AC"/>
    <w:rsid w:val="00C21D77"/>
    <w:rsid w:val="00C22037"/>
    <w:rsid w:val="00C222BA"/>
    <w:rsid w:val="00C226F4"/>
    <w:rsid w:val="00C22C69"/>
    <w:rsid w:val="00C230B1"/>
    <w:rsid w:val="00C230B9"/>
    <w:rsid w:val="00C23778"/>
    <w:rsid w:val="00C2392C"/>
    <w:rsid w:val="00C24336"/>
    <w:rsid w:val="00C24385"/>
    <w:rsid w:val="00C248F6"/>
    <w:rsid w:val="00C24A1C"/>
    <w:rsid w:val="00C25194"/>
    <w:rsid w:val="00C2526A"/>
    <w:rsid w:val="00C273D8"/>
    <w:rsid w:val="00C27C64"/>
    <w:rsid w:val="00C31014"/>
    <w:rsid w:val="00C316B1"/>
    <w:rsid w:val="00C31700"/>
    <w:rsid w:val="00C31E5C"/>
    <w:rsid w:val="00C3261F"/>
    <w:rsid w:val="00C32D76"/>
    <w:rsid w:val="00C33060"/>
    <w:rsid w:val="00C33309"/>
    <w:rsid w:val="00C3385C"/>
    <w:rsid w:val="00C33A52"/>
    <w:rsid w:val="00C33B51"/>
    <w:rsid w:val="00C34886"/>
    <w:rsid w:val="00C34E50"/>
    <w:rsid w:val="00C35908"/>
    <w:rsid w:val="00C35B41"/>
    <w:rsid w:val="00C35FA0"/>
    <w:rsid w:val="00C369D9"/>
    <w:rsid w:val="00C36AA1"/>
    <w:rsid w:val="00C36C5A"/>
    <w:rsid w:val="00C37045"/>
    <w:rsid w:val="00C3796F"/>
    <w:rsid w:val="00C4115D"/>
    <w:rsid w:val="00C41275"/>
    <w:rsid w:val="00C43569"/>
    <w:rsid w:val="00C435B3"/>
    <w:rsid w:val="00C43749"/>
    <w:rsid w:val="00C43F35"/>
    <w:rsid w:val="00C43F98"/>
    <w:rsid w:val="00C44546"/>
    <w:rsid w:val="00C44AD7"/>
    <w:rsid w:val="00C44B19"/>
    <w:rsid w:val="00C45292"/>
    <w:rsid w:val="00C46346"/>
    <w:rsid w:val="00C46455"/>
    <w:rsid w:val="00C4684C"/>
    <w:rsid w:val="00C46D5D"/>
    <w:rsid w:val="00C47847"/>
    <w:rsid w:val="00C47F81"/>
    <w:rsid w:val="00C50172"/>
    <w:rsid w:val="00C50476"/>
    <w:rsid w:val="00C50786"/>
    <w:rsid w:val="00C5274A"/>
    <w:rsid w:val="00C52993"/>
    <w:rsid w:val="00C53817"/>
    <w:rsid w:val="00C53D72"/>
    <w:rsid w:val="00C5431B"/>
    <w:rsid w:val="00C54773"/>
    <w:rsid w:val="00C55108"/>
    <w:rsid w:val="00C55599"/>
    <w:rsid w:val="00C5604D"/>
    <w:rsid w:val="00C5619C"/>
    <w:rsid w:val="00C5648F"/>
    <w:rsid w:val="00C566CB"/>
    <w:rsid w:val="00C568BC"/>
    <w:rsid w:val="00C56BC4"/>
    <w:rsid w:val="00C56E01"/>
    <w:rsid w:val="00C5772F"/>
    <w:rsid w:val="00C577DC"/>
    <w:rsid w:val="00C5780F"/>
    <w:rsid w:val="00C57D5B"/>
    <w:rsid w:val="00C60BE2"/>
    <w:rsid w:val="00C60FE7"/>
    <w:rsid w:val="00C61068"/>
    <w:rsid w:val="00C614C5"/>
    <w:rsid w:val="00C62093"/>
    <w:rsid w:val="00C622AB"/>
    <w:rsid w:val="00C62539"/>
    <w:rsid w:val="00C62969"/>
    <w:rsid w:val="00C63520"/>
    <w:rsid w:val="00C63584"/>
    <w:rsid w:val="00C637C8"/>
    <w:rsid w:val="00C639E0"/>
    <w:rsid w:val="00C63ECE"/>
    <w:rsid w:val="00C6453E"/>
    <w:rsid w:val="00C65402"/>
    <w:rsid w:val="00C656FE"/>
    <w:rsid w:val="00C65F0B"/>
    <w:rsid w:val="00C66130"/>
    <w:rsid w:val="00C669B4"/>
    <w:rsid w:val="00C66A53"/>
    <w:rsid w:val="00C676BC"/>
    <w:rsid w:val="00C67D34"/>
    <w:rsid w:val="00C706F2"/>
    <w:rsid w:val="00C7155D"/>
    <w:rsid w:val="00C7172F"/>
    <w:rsid w:val="00C7194F"/>
    <w:rsid w:val="00C7265A"/>
    <w:rsid w:val="00C73423"/>
    <w:rsid w:val="00C736F3"/>
    <w:rsid w:val="00C73E6D"/>
    <w:rsid w:val="00C74514"/>
    <w:rsid w:val="00C7562D"/>
    <w:rsid w:val="00C75B45"/>
    <w:rsid w:val="00C75D26"/>
    <w:rsid w:val="00C76CAA"/>
    <w:rsid w:val="00C76F84"/>
    <w:rsid w:val="00C77076"/>
    <w:rsid w:val="00C77C9F"/>
    <w:rsid w:val="00C77CDD"/>
    <w:rsid w:val="00C803F8"/>
    <w:rsid w:val="00C805E4"/>
    <w:rsid w:val="00C805F7"/>
    <w:rsid w:val="00C80F23"/>
    <w:rsid w:val="00C80F83"/>
    <w:rsid w:val="00C813BB"/>
    <w:rsid w:val="00C81D80"/>
    <w:rsid w:val="00C84222"/>
    <w:rsid w:val="00C84AC0"/>
    <w:rsid w:val="00C84BAC"/>
    <w:rsid w:val="00C84D7C"/>
    <w:rsid w:val="00C852AA"/>
    <w:rsid w:val="00C85641"/>
    <w:rsid w:val="00C86AEE"/>
    <w:rsid w:val="00C8714F"/>
    <w:rsid w:val="00C87199"/>
    <w:rsid w:val="00C90F30"/>
    <w:rsid w:val="00C910B3"/>
    <w:rsid w:val="00C917AC"/>
    <w:rsid w:val="00C923C7"/>
    <w:rsid w:val="00C92B78"/>
    <w:rsid w:val="00C931E1"/>
    <w:rsid w:val="00C93E8B"/>
    <w:rsid w:val="00C94138"/>
    <w:rsid w:val="00C94430"/>
    <w:rsid w:val="00C9483C"/>
    <w:rsid w:val="00C959C5"/>
    <w:rsid w:val="00C96499"/>
    <w:rsid w:val="00C97016"/>
    <w:rsid w:val="00C97924"/>
    <w:rsid w:val="00C97BB7"/>
    <w:rsid w:val="00CA016F"/>
    <w:rsid w:val="00CA21EC"/>
    <w:rsid w:val="00CA269F"/>
    <w:rsid w:val="00CA2926"/>
    <w:rsid w:val="00CA29AA"/>
    <w:rsid w:val="00CA2CD6"/>
    <w:rsid w:val="00CA39BD"/>
    <w:rsid w:val="00CA3CE8"/>
    <w:rsid w:val="00CA4B5B"/>
    <w:rsid w:val="00CA4F7B"/>
    <w:rsid w:val="00CA59A5"/>
    <w:rsid w:val="00CA59F8"/>
    <w:rsid w:val="00CA5F3C"/>
    <w:rsid w:val="00CA6CAB"/>
    <w:rsid w:val="00CA6EF9"/>
    <w:rsid w:val="00CA70A8"/>
    <w:rsid w:val="00CA7139"/>
    <w:rsid w:val="00CA7BC2"/>
    <w:rsid w:val="00CB11C8"/>
    <w:rsid w:val="00CB1346"/>
    <w:rsid w:val="00CB19AF"/>
    <w:rsid w:val="00CB1A48"/>
    <w:rsid w:val="00CB2599"/>
    <w:rsid w:val="00CB2AEB"/>
    <w:rsid w:val="00CB30CF"/>
    <w:rsid w:val="00CB3ACF"/>
    <w:rsid w:val="00CB4106"/>
    <w:rsid w:val="00CB4E84"/>
    <w:rsid w:val="00CB53B1"/>
    <w:rsid w:val="00CB54E6"/>
    <w:rsid w:val="00CB5644"/>
    <w:rsid w:val="00CB5901"/>
    <w:rsid w:val="00CB67C5"/>
    <w:rsid w:val="00CB6C1B"/>
    <w:rsid w:val="00CB6CA0"/>
    <w:rsid w:val="00CB73CC"/>
    <w:rsid w:val="00CB7ABE"/>
    <w:rsid w:val="00CC0795"/>
    <w:rsid w:val="00CC0C06"/>
    <w:rsid w:val="00CC0C22"/>
    <w:rsid w:val="00CC12F5"/>
    <w:rsid w:val="00CC1569"/>
    <w:rsid w:val="00CC189F"/>
    <w:rsid w:val="00CC1E7B"/>
    <w:rsid w:val="00CC1F9F"/>
    <w:rsid w:val="00CC247F"/>
    <w:rsid w:val="00CC2D9E"/>
    <w:rsid w:val="00CC2FD8"/>
    <w:rsid w:val="00CC329C"/>
    <w:rsid w:val="00CC38EC"/>
    <w:rsid w:val="00CC3958"/>
    <w:rsid w:val="00CC3E6C"/>
    <w:rsid w:val="00CC40D6"/>
    <w:rsid w:val="00CC466B"/>
    <w:rsid w:val="00CC50BC"/>
    <w:rsid w:val="00CC5D11"/>
    <w:rsid w:val="00CC5FDD"/>
    <w:rsid w:val="00CC61C2"/>
    <w:rsid w:val="00CC628C"/>
    <w:rsid w:val="00CC6935"/>
    <w:rsid w:val="00CC696A"/>
    <w:rsid w:val="00CC723C"/>
    <w:rsid w:val="00CC75E7"/>
    <w:rsid w:val="00CD0293"/>
    <w:rsid w:val="00CD035D"/>
    <w:rsid w:val="00CD180E"/>
    <w:rsid w:val="00CD1848"/>
    <w:rsid w:val="00CD1DD8"/>
    <w:rsid w:val="00CD2663"/>
    <w:rsid w:val="00CD2BEE"/>
    <w:rsid w:val="00CD405A"/>
    <w:rsid w:val="00CD701E"/>
    <w:rsid w:val="00CD7119"/>
    <w:rsid w:val="00CE0C79"/>
    <w:rsid w:val="00CE1670"/>
    <w:rsid w:val="00CE1D67"/>
    <w:rsid w:val="00CE1D8E"/>
    <w:rsid w:val="00CE20A7"/>
    <w:rsid w:val="00CE28A9"/>
    <w:rsid w:val="00CE2A35"/>
    <w:rsid w:val="00CE3391"/>
    <w:rsid w:val="00CE3A0D"/>
    <w:rsid w:val="00CE3ED9"/>
    <w:rsid w:val="00CE44D2"/>
    <w:rsid w:val="00CE4681"/>
    <w:rsid w:val="00CE46FB"/>
    <w:rsid w:val="00CE4956"/>
    <w:rsid w:val="00CE58FA"/>
    <w:rsid w:val="00CE596C"/>
    <w:rsid w:val="00CE76C2"/>
    <w:rsid w:val="00CF1607"/>
    <w:rsid w:val="00CF1C2C"/>
    <w:rsid w:val="00CF1CEA"/>
    <w:rsid w:val="00CF2382"/>
    <w:rsid w:val="00CF27A6"/>
    <w:rsid w:val="00CF3527"/>
    <w:rsid w:val="00CF39C8"/>
    <w:rsid w:val="00CF3FEF"/>
    <w:rsid w:val="00CF42EF"/>
    <w:rsid w:val="00CF4C8E"/>
    <w:rsid w:val="00CF4EE4"/>
    <w:rsid w:val="00CF5545"/>
    <w:rsid w:val="00CF5D0D"/>
    <w:rsid w:val="00CF5E4C"/>
    <w:rsid w:val="00CF5F54"/>
    <w:rsid w:val="00CF649D"/>
    <w:rsid w:val="00CF67AA"/>
    <w:rsid w:val="00CF6A70"/>
    <w:rsid w:val="00CF70F8"/>
    <w:rsid w:val="00CF77EE"/>
    <w:rsid w:val="00CF7AA2"/>
    <w:rsid w:val="00CF7D88"/>
    <w:rsid w:val="00D001C5"/>
    <w:rsid w:val="00D01759"/>
    <w:rsid w:val="00D01BD1"/>
    <w:rsid w:val="00D01CD9"/>
    <w:rsid w:val="00D02743"/>
    <w:rsid w:val="00D03922"/>
    <w:rsid w:val="00D04FBB"/>
    <w:rsid w:val="00D05018"/>
    <w:rsid w:val="00D062C7"/>
    <w:rsid w:val="00D06AA7"/>
    <w:rsid w:val="00D06AC5"/>
    <w:rsid w:val="00D06D57"/>
    <w:rsid w:val="00D07240"/>
    <w:rsid w:val="00D07483"/>
    <w:rsid w:val="00D074C7"/>
    <w:rsid w:val="00D10BBB"/>
    <w:rsid w:val="00D10E6F"/>
    <w:rsid w:val="00D10E82"/>
    <w:rsid w:val="00D1117E"/>
    <w:rsid w:val="00D11A9E"/>
    <w:rsid w:val="00D11B15"/>
    <w:rsid w:val="00D11FF3"/>
    <w:rsid w:val="00D1352E"/>
    <w:rsid w:val="00D14125"/>
    <w:rsid w:val="00D14B07"/>
    <w:rsid w:val="00D14F07"/>
    <w:rsid w:val="00D15199"/>
    <w:rsid w:val="00D16751"/>
    <w:rsid w:val="00D167C4"/>
    <w:rsid w:val="00D16D62"/>
    <w:rsid w:val="00D16F76"/>
    <w:rsid w:val="00D1717E"/>
    <w:rsid w:val="00D17677"/>
    <w:rsid w:val="00D176E7"/>
    <w:rsid w:val="00D20683"/>
    <w:rsid w:val="00D20DAD"/>
    <w:rsid w:val="00D222CF"/>
    <w:rsid w:val="00D23295"/>
    <w:rsid w:val="00D2345E"/>
    <w:rsid w:val="00D241B7"/>
    <w:rsid w:val="00D24499"/>
    <w:rsid w:val="00D24B00"/>
    <w:rsid w:val="00D24BD5"/>
    <w:rsid w:val="00D253E7"/>
    <w:rsid w:val="00D255CF"/>
    <w:rsid w:val="00D2580D"/>
    <w:rsid w:val="00D262BF"/>
    <w:rsid w:val="00D272CB"/>
    <w:rsid w:val="00D277C1"/>
    <w:rsid w:val="00D3069E"/>
    <w:rsid w:val="00D306A5"/>
    <w:rsid w:val="00D3181B"/>
    <w:rsid w:val="00D31E71"/>
    <w:rsid w:val="00D3241B"/>
    <w:rsid w:val="00D32421"/>
    <w:rsid w:val="00D32E99"/>
    <w:rsid w:val="00D34C36"/>
    <w:rsid w:val="00D350EB"/>
    <w:rsid w:val="00D352C2"/>
    <w:rsid w:val="00D35D6B"/>
    <w:rsid w:val="00D365F6"/>
    <w:rsid w:val="00D36A40"/>
    <w:rsid w:val="00D37269"/>
    <w:rsid w:val="00D37F17"/>
    <w:rsid w:val="00D37F37"/>
    <w:rsid w:val="00D404C0"/>
    <w:rsid w:val="00D408AB"/>
    <w:rsid w:val="00D412F7"/>
    <w:rsid w:val="00D4132F"/>
    <w:rsid w:val="00D41DF4"/>
    <w:rsid w:val="00D41FB7"/>
    <w:rsid w:val="00D42964"/>
    <w:rsid w:val="00D429B3"/>
    <w:rsid w:val="00D42E9A"/>
    <w:rsid w:val="00D43934"/>
    <w:rsid w:val="00D43C80"/>
    <w:rsid w:val="00D44B97"/>
    <w:rsid w:val="00D4566A"/>
    <w:rsid w:val="00D45895"/>
    <w:rsid w:val="00D45EE4"/>
    <w:rsid w:val="00D45EF3"/>
    <w:rsid w:val="00D50CC1"/>
    <w:rsid w:val="00D547BE"/>
    <w:rsid w:val="00D54B09"/>
    <w:rsid w:val="00D54E2A"/>
    <w:rsid w:val="00D54EFF"/>
    <w:rsid w:val="00D550EA"/>
    <w:rsid w:val="00D55589"/>
    <w:rsid w:val="00D55CCD"/>
    <w:rsid w:val="00D55E6A"/>
    <w:rsid w:val="00D56B11"/>
    <w:rsid w:val="00D56F42"/>
    <w:rsid w:val="00D57349"/>
    <w:rsid w:val="00D574D2"/>
    <w:rsid w:val="00D60548"/>
    <w:rsid w:val="00D61BCE"/>
    <w:rsid w:val="00D62195"/>
    <w:rsid w:val="00D62548"/>
    <w:rsid w:val="00D6258E"/>
    <w:rsid w:val="00D62E35"/>
    <w:rsid w:val="00D62F00"/>
    <w:rsid w:val="00D6305E"/>
    <w:rsid w:val="00D630AD"/>
    <w:rsid w:val="00D637E5"/>
    <w:rsid w:val="00D63EDD"/>
    <w:rsid w:val="00D64382"/>
    <w:rsid w:val="00D64431"/>
    <w:rsid w:val="00D65A1E"/>
    <w:rsid w:val="00D65F02"/>
    <w:rsid w:val="00D66375"/>
    <w:rsid w:val="00D66F90"/>
    <w:rsid w:val="00D67C35"/>
    <w:rsid w:val="00D67DAC"/>
    <w:rsid w:val="00D708DB"/>
    <w:rsid w:val="00D70936"/>
    <w:rsid w:val="00D71883"/>
    <w:rsid w:val="00D7278D"/>
    <w:rsid w:val="00D72FCC"/>
    <w:rsid w:val="00D73EA0"/>
    <w:rsid w:val="00D7496E"/>
    <w:rsid w:val="00D757CC"/>
    <w:rsid w:val="00D757D0"/>
    <w:rsid w:val="00D759E2"/>
    <w:rsid w:val="00D75D3D"/>
    <w:rsid w:val="00D76390"/>
    <w:rsid w:val="00D76531"/>
    <w:rsid w:val="00D7662E"/>
    <w:rsid w:val="00D7689B"/>
    <w:rsid w:val="00D76C91"/>
    <w:rsid w:val="00D76DCE"/>
    <w:rsid w:val="00D76E4B"/>
    <w:rsid w:val="00D773AE"/>
    <w:rsid w:val="00D77641"/>
    <w:rsid w:val="00D77A1B"/>
    <w:rsid w:val="00D81041"/>
    <w:rsid w:val="00D816B3"/>
    <w:rsid w:val="00D818AD"/>
    <w:rsid w:val="00D82A63"/>
    <w:rsid w:val="00D83333"/>
    <w:rsid w:val="00D838C6"/>
    <w:rsid w:val="00D83D56"/>
    <w:rsid w:val="00D840F0"/>
    <w:rsid w:val="00D84726"/>
    <w:rsid w:val="00D8528B"/>
    <w:rsid w:val="00D86529"/>
    <w:rsid w:val="00D87C1E"/>
    <w:rsid w:val="00D87CE9"/>
    <w:rsid w:val="00D87E9B"/>
    <w:rsid w:val="00D87ECC"/>
    <w:rsid w:val="00D91B36"/>
    <w:rsid w:val="00D91C27"/>
    <w:rsid w:val="00D91E0E"/>
    <w:rsid w:val="00D9250E"/>
    <w:rsid w:val="00D92819"/>
    <w:rsid w:val="00D9285E"/>
    <w:rsid w:val="00D92EF1"/>
    <w:rsid w:val="00D933FB"/>
    <w:rsid w:val="00D93632"/>
    <w:rsid w:val="00D95183"/>
    <w:rsid w:val="00D951BC"/>
    <w:rsid w:val="00D9533E"/>
    <w:rsid w:val="00D95AD0"/>
    <w:rsid w:val="00D95B14"/>
    <w:rsid w:val="00D95E44"/>
    <w:rsid w:val="00D95F85"/>
    <w:rsid w:val="00D9625F"/>
    <w:rsid w:val="00D964F1"/>
    <w:rsid w:val="00D966DE"/>
    <w:rsid w:val="00D97C4B"/>
    <w:rsid w:val="00DA05F0"/>
    <w:rsid w:val="00DA0C45"/>
    <w:rsid w:val="00DA0FE4"/>
    <w:rsid w:val="00DA109B"/>
    <w:rsid w:val="00DA156A"/>
    <w:rsid w:val="00DA1A1B"/>
    <w:rsid w:val="00DA1C35"/>
    <w:rsid w:val="00DA1E45"/>
    <w:rsid w:val="00DA2458"/>
    <w:rsid w:val="00DA2A6B"/>
    <w:rsid w:val="00DA332C"/>
    <w:rsid w:val="00DA3365"/>
    <w:rsid w:val="00DA33E9"/>
    <w:rsid w:val="00DA3541"/>
    <w:rsid w:val="00DA3653"/>
    <w:rsid w:val="00DA3EDA"/>
    <w:rsid w:val="00DA541E"/>
    <w:rsid w:val="00DA636B"/>
    <w:rsid w:val="00DA636D"/>
    <w:rsid w:val="00DA6AA6"/>
    <w:rsid w:val="00DA717E"/>
    <w:rsid w:val="00DA738E"/>
    <w:rsid w:val="00DA73FD"/>
    <w:rsid w:val="00DA765C"/>
    <w:rsid w:val="00DA7DE0"/>
    <w:rsid w:val="00DB0E78"/>
    <w:rsid w:val="00DB1324"/>
    <w:rsid w:val="00DB1510"/>
    <w:rsid w:val="00DB2068"/>
    <w:rsid w:val="00DB26C1"/>
    <w:rsid w:val="00DB2AAC"/>
    <w:rsid w:val="00DB331D"/>
    <w:rsid w:val="00DB456D"/>
    <w:rsid w:val="00DB480D"/>
    <w:rsid w:val="00DB5071"/>
    <w:rsid w:val="00DB51BF"/>
    <w:rsid w:val="00DB58E5"/>
    <w:rsid w:val="00DB6E15"/>
    <w:rsid w:val="00DB7133"/>
    <w:rsid w:val="00DB755B"/>
    <w:rsid w:val="00DB7998"/>
    <w:rsid w:val="00DB7EA6"/>
    <w:rsid w:val="00DC00CE"/>
    <w:rsid w:val="00DC0F85"/>
    <w:rsid w:val="00DC1684"/>
    <w:rsid w:val="00DC195E"/>
    <w:rsid w:val="00DC2B18"/>
    <w:rsid w:val="00DC415E"/>
    <w:rsid w:val="00DC48D7"/>
    <w:rsid w:val="00DC4B20"/>
    <w:rsid w:val="00DC4C6E"/>
    <w:rsid w:val="00DC53C6"/>
    <w:rsid w:val="00DC5C62"/>
    <w:rsid w:val="00DC6818"/>
    <w:rsid w:val="00DC719E"/>
    <w:rsid w:val="00DC7916"/>
    <w:rsid w:val="00DD037F"/>
    <w:rsid w:val="00DD08D4"/>
    <w:rsid w:val="00DD14B0"/>
    <w:rsid w:val="00DD16BF"/>
    <w:rsid w:val="00DD18CC"/>
    <w:rsid w:val="00DD1F74"/>
    <w:rsid w:val="00DD4CB9"/>
    <w:rsid w:val="00DD5BEB"/>
    <w:rsid w:val="00DD5BF8"/>
    <w:rsid w:val="00DD660A"/>
    <w:rsid w:val="00DD6D0E"/>
    <w:rsid w:val="00DD7702"/>
    <w:rsid w:val="00DE09AC"/>
    <w:rsid w:val="00DE16D4"/>
    <w:rsid w:val="00DE2078"/>
    <w:rsid w:val="00DE234B"/>
    <w:rsid w:val="00DE2371"/>
    <w:rsid w:val="00DE2E1D"/>
    <w:rsid w:val="00DE301F"/>
    <w:rsid w:val="00DE3CA9"/>
    <w:rsid w:val="00DE443F"/>
    <w:rsid w:val="00DE4537"/>
    <w:rsid w:val="00DE460E"/>
    <w:rsid w:val="00DE4B3A"/>
    <w:rsid w:val="00DE535B"/>
    <w:rsid w:val="00DE588C"/>
    <w:rsid w:val="00DE5915"/>
    <w:rsid w:val="00DE6C9D"/>
    <w:rsid w:val="00DE6D32"/>
    <w:rsid w:val="00DF11B7"/>
    <w:rsid w:val="00DF1473"/>
    <w:rsid w:val="00DF15AC"/>
    <w:rsid w:val="00DF24F3"/>
    <w:rsid w:val="00DF2F20"/>
    <w:rsid w:val="00DF3E1D"/>
    <w:rsid w:val="00DF4AD6"/>
    <w:rsid w:val="00DF4BEA"/>
    <w:rsid w:val="00DF58A1"/>
    <w:rsid w:val="00DF5A33"/>
    <w:rsid w:val="00DF6942"/>
    <w:rsid w:val="00DF6A0E"/>
    <w:rsid w:val="00DF6C99"/>
    <w:rsid w:val="00DF78E0"/>
    <w:rsid w:val="00DF7908"/>
    <w:rsid w:val="00DF7EA9"/>
    <w:rsid w:val="00E00B2B"/>
    <w:rsid w:val="00E0126B"/>
    <w:rsid w:val="00E01503"/>
    <w:rsid w:val="00E01504"/>
    <w:rsid w:val="00E01664"/>
    <w:rsid w:val="00E026AE"/>
    <w:rsid w:val="00E03A7D"/>
    <w:rsid w:val="00E03C18"/>
    <w:rsid w:val="00E041B6"/>
    <w:rsid w:val="00E044EC"/>
    <w:rsid w:val="00E04B90"/>
    <w:rsid w:val="00E05336"/>
    <w:rsid w:val="00E05EDD"/>
    <w:rsid w:val="00E0602F"/>
    <w:rsid w:val="00E06121"/>
    <w:rsid w:val="00E062A3"/>
    <w:rsid w:val="00E0653B"/>
    <w:rsid w:val="00E06B9E"/>
    <w:rsid w:val="00E07BF5"/>
    <w:rsid w:val="00E07D85"/>
    <w:rsid w:val="00E07DBD"/>
    <w:rsid w:val="00E115E1"/>
    <w:rsid w:val="00E11A4E"/>
    <w:rsid w:val="00E11BB1"/>
    <w:rsid w:val="00E11C92"/>
    <w:rsid w:val="00E1224B"/>
    <w:rsid w:val="00E126F2"/>
    <w:rsid w:val="00E12C7D"/>
    <w:rsid w:val="00E12E25"/>
    <w:rsid w:val="00E13D0C"/>
    <w:rsid w:val="00E14013"/>
    <w:rsid w:val="00E14273"/>
    <w:rsid w:val="00E145A3"/>
    <w:rsid w:val="00E14848"/>
    <w:rsid w:val="00E149BE"/>
    <w:rsid w:val="00E14BDB"/>
    <w:rsid w:val="00E152C7"/>
    <w:rsid w:val="00E15519"/>
    <w:rsid w:val="00E15E98"/>
    <w:rsid w:val="00E15FEB"/>
    <w:rsid w:val="00E16161"/>
    <w:rsid w:val="00E1618F"/>
    <w:rsid w:val="00E164E5"/>
    <w:rsid w:val="00E16ADC"/>
    <w:rsid w:val="00E16EC6"/>
    <w:rsid w:val="00E17260"/>
    <w:rsid w:val="00E17625"/>
    <w:rsid w:val="00E1791E"/>
    <w:rsid w:val="00E2030A"/>
    <w:rsid w:val="00E207C4"/>
    <w:rsid w:val="00E2083A"/>
    <w:rsid w:val="00E211EA"/>
    <w:rsid w:val="00E219C1"/>
    <w:rsid w:val="00E21B54"/>
    <w:rsid w:val="00E220A3"/>
    <w:rsid w:val="00E223F5"/>
    <w:rsid w:val="00E22855"/>
    <w:rsid w:val="00E22955"/>
    <w:rsid w:val="00E237B3"/>
    <w:rsid w:val="00E24B8A"/>
    <w:rsid w:val="00E258F0"/>
    <w:rsid w:val="00E2596C"/>
    <w:rsid w:val="00E25EB9"/>
    <w:rsid w:val="00E26518"/>
    <w:rsid w:val="00E2658C"/>
    <w:rsid w:val="00E269EC"/>
    <w:rsid w:val="00E313CA"/>
    <w:rsid w:val="00E31C0B"/>
    <w:rsid w:val="00E324A1"/>
    <w:rsid w:val="00E328E3"/>
    <w:rsid w:val="00E3462C"/>
    <w:rsid w:val="00E34F23"/>
    <w:rsid w:val="00E35417"/>
    <w:rsid w:val="00E37474"/>
    <w:rsid w:val="00E403E8"/>
    <w:rsid w:val="00E413BD"/>
    <w:rsid w:val="00E41D08"/>
    <w:rsid w:val="00E4223F"/>
    <w:rsid w:val="00E424B4"/>
    <w:rsid w:val="00E42726"/>
    <w:rsid w:val="00E429EE"/>
    <w:rsid w:val="00E42F51"/>
    <w:rsid w:val="00E437E8"/>
    <w:rsid w:val="00E448B8"/>
    <w:rsid w:val="00E44A4A"/>
    <w:rsid w:val="00E44EA7"/>
    <w:rsid w:val="00E456E2"/>
    <w:rsid w:val="00E4594E"/>
    <w:rsid w:val="00E5086A"/>
    <w:rsid w:val="00E5087F"/>
    <w:rsid w:val="00E50DE7"/>
    <w:rsid w:val="00E52A64"/>
    <w:rsid w:val="00E52BFB"/>
    <w:rsid w:val="00E52FC4"/>
    <w:rsid w:val="00E52FDE"/>
    <w:rsid w:val="00E5305F"/>
    <w:rsid w:val="00E532DC"/>
    <w:rsid w:val="00E533F6"/>
    <w:rsid w:val="00E5347E"/>
    <w:rsid w:val="00E541FC"/>
    <w:rsid w:val="00E546C5"/>
    <w:rsid w:val="00E5477D"/>
    <w:rsid w:val="00E5478F"/>
    <w:rsid w:val="00E5518D"/>
    <w:rsid w:val="00E5536F"/>
    <w:rsid w:val="00E558EC"/>
    <w:rsid w:val="00E55EBA"/>
    <w:rsid w:val="00E55ECD"/>
    <w:rsid w:val="00E56ED9"/>
    <w:rsid w:val="00E5746B"/>
    <w:rsid w:val="00E575A4"/>
    <w:rsid w:val="00E575DF"/>
    <w:rsid w:val="00E57A3D"/>
    <w:rsid w:val="00E610A3"/>
    <w:rsid w:val="00E61408"/>
    <w:rsid w:val="00E6143B"/>
    <w:rsid w:val="00E63BB9"/>
    <w:rsid w:val="00E66326"/>
    <w:rsid w:val="00E67713"/>
    <w:rsid w:val="00E67C0A"/>
    <w:rsid w:val="00E7098B"/>
    <w:rsid w:val="00E70CF2"/>
    <w:rsid w:val="00E71411"/>
    <w:rsid w:val="00E7229A"/>
    <w:rsid w:val="00E73465"/>
    <w:rsid w:val="00E73536"/>
    <w:rsid w:val="00E73C00"/>
    <w:rsid w:val="00E73C68"/>
    <w:rsid w:val="00E73D71"/>
    <w:rsid w:val="00E73FDB"/>
    <w:rsid w:val="00E74305"/>
    <w:rsid w:val="00E743A7"/>
    <w:rsid w:val="00E7481B"/>
    <w:rsid w:val="00E74EA6"/>
    <w:rsid w:val="00E74F01"/>
    <w:rsid w:val="00E74F2E"/>
    <w:rsid w:val="00E753C4"/>
    <w:rsid w:val="00E759FB"/>
    <w:rsid w:val="00E76880"/>
    <w:rsid w:val="00E769C3"/>
    <w:rsid w:val="00E76D11"/>
    <w:rsid w:val="00E76E96"/>
    <w:rsid w:val="00E76F07"/>
    <w:rsid w:val="00E77224"/>
    <w:rsid w:val="00E772D3"/>
    <w:rsid w:val="00E77721"/>
    <w:rsid w:val="00E7779C"/>
    <w:rsid w:val="00E777C2"/>
    <w:rsid w:val="00E77844"/>
    <w:rsid w:val="00E80DA9"/>
    <w:rsid w:val="00E80EF8"/>
    <w:rsid w:val="00E81055"/>
    <w:rsid w:val="00E8176A"/>
    <w:rsid w:val="00E81A7E"/>
    <w:rsid w:val="00E81AF1"/>
    <w:rsid w:val="00E82D87"/>
    <w:rsid w:val="00E834AA"/>
    <w:rsid w:val="00E83934"/>
    <w:rsid w:val="00E83A60"/>
    <w:rsid w:val="00E83E6B"/>
    <w:rsid w:val="00E83E94"/>
    <w:rsid w:val="00E84BF3"/>
    <w:rsid w:val="00E84C48"/>
    <w:rsid w:val="00E850BB"/>
    <w:rsid w:val="00E85588"/>
    <w:rsid w:val="00E855A2"/>
    <w:rsid w:val="00E86068"/>
    <w:rsid w:val="00E8645B"/>
    <w:rsid w:val="00E867C2"/>
    <w:rsid w:val="00E8693A"/>
    <w:rsid w:val="00E86AC2"/>
    <w:rsid w:val="00E86C3E"/>
    <w:rsid w:val="00E86D15"/>
    <w:rsid w:val="00E8702E"/>
    <w:rsid w:val="00E87436"/>
    <w:rsid w:val="00E87499"/>
    <w:rsid w:val="00E903DF"/>
    <w:rsid w:val="00E9099F"/>
    <w:rsid w:val="00E90DB5"/>
    <w:rsid w:val="00E91AD6"/>
    <w:rsid w:val="00E91CFC"/>
    <w:rsid w:val="00E92361"/>
    <w:rsid w:val="00E9261F"/>
    <w:rsid w:val="00E9283B"/>
    <w:rsid w:val="00E93373"/>
    <w:rsid w:val="00E93564"/>
    <w:rsid w:val="00E93E07"/>
    <w:rsid w:val="00E9458B"/>
    <w:rsid w:val="00E94705"/>
    <w:rsid w:val="00E94F07"/>
    <w:rsid w:val="00E95286"/>
    <w:rsid w:val="00E95290"/>
    <w:rsid w:val="00E95656"/>
    <w:rsid w:val="00E95926"/>
    <w:rsid w:val="00E95A04"/>
    <w:rsid w:val="00E95E48"/>
    <w:rsid w:val="00E963D3"/>
    <w:rsid w:val="00E97223"/>
    <w:rsid w:val="00E9739B"/>
    <w:rsid w:val="00E976DE"/>
    <w:rsid w:val="00E977D0"/>
    <w:rsid w:val="00E97DF0"/>
    <w:rsid w:val="00E97E49"/>
    <w:rsid w:val="00EA0894"/>
    <w:rsid w:val="00EA095E"/>
    <w:rsid w:val="00EA1D62"/>
    <w:rsid w:val="00EA2419"/>
    <w:rsid w:val="00EA2986"/>
    <w:rsid w:val="00EA2AB1"/>
    <w:rsid w:val="00EA31A3"/>
    <w:rsid w:val="00EA44E8"/>
    <w:rsid w:val="00EA4AE9"/>
    <w:rsid w:val="00EA4C71"/>
    <w:rsid w:val="00EA6D80"/>
    <w:rsid w:val="00EA712E"/>
    <w:rsid w:val="00EA7DCB"/>
    <w:rsid w:val="00EA7EE9"/>
    <w:rsid w:val="00EB09EB"/>
    <w:rsid w:val="00EB1392"/>
    <w:rsid w:val="00EB13FB"/>
    <w:rsid w:val="00EB1631"/>
    <w:rsid w:val="00EB1FCB"/>
    <w:rsid w:val="00EB2799"/>
    <w:rsid w:val="00EB2860"/>
    <w:rsid w:val="00EB2C97"/>
    <w:rsid w:val="00EB2E54"/>
    <w:rsid w:val="00EB2E5D"/>
    <w:rsid w:val="00EB3C01"/>
    <w:rsid w:val="00EB3E47"/>
    <w:rsid w:val="00EB4807"/>
    <w:rsid w:val="00EB4EF6"/>
    <w:rsid w:val="00EB5C39"/>
    <w:rsid w:val="00EB5E0B"/>
    <w:rsid w:val="00EB67B9"/>
    <w:rsid w:val="00EB6AE9"/>
    <w:rsid w:val="00EB71C5"/>
    <w:rsid w:val="00EB732E"/>
    <w:rsid w:val="00EB78E3"/>
    <w:rsid w:val="00EB7B32"/>
    <w:rsid w:val="00EC07BC"/>
    <w:rsid w:val="00EC0E93"/>
    <w:rsid w:val="00EC1764"/>
    <w:rsid w:val="00EC1830"/>
    <w:rsid w:val="00EC2271"/>
    <w:rsid w:val="00EC2A14"/>
    <w:rsid w:val="00EC2AFE"/>
    <w:rsid w:val="00EC357D"/>
    <w:rsid w:val="00EC4882"/>
    <w:rsid w:val="00EC4BC2"/>
    <w:rsid w:val="00EC6E7C"/>
    <w:rsid w:val="00EC6E8A"/>
    <w:rsid w:val="00EC73EE"/>
    <w:rsid w:val="00EC77EE"/>
    <w:rsid w:val="00EC7E40"/>
    <w:rsid w:val="00ED0BB3"/>
    <w:rsid w:val="00ED0BDB"/>
    <w:rsid w:val="00ED1B40"/>
    <w:rsid w:val="00ED1D60"/>
    <w:rsid w:val="00ED1EA1"/>
    <w:rsid w:val="00ED210E"/>
    <w:rsid w:val="00ED25D5"/>
    <w:rsid w:val="00ED2C97"/>
    <w:rsid w:val="00ED3316"/>
    <w:rsid w:val="00ED3378"/>
    <w:rsid w:val="00ED39EB"/>
    <w:rsid w:val="00ED3C68"/>
    <w:rsid w:val="00ED47A6"/>
    <w:rsid w:val="00ED4BA8"/>
    <w:rsid w:val="00ED4C9E"/>
    <w:rsid w:val="00ED5DA0"/>
    <w:rsid w:val="00ED763A"/>
    <w:rsid w:val="00ED7CF1"/>
    <w:rsid w:val="00EE02F5"/>
    <w:rsid w:val="00EE1DB4"/>
    <w:rsid w:val="00EE2450"/>
    <w:rsid w:val="00EE2AB3"/>
    <w:rsid w:val="00EE2FBF"/>
    <w:rsid w:val="00EE41A5"/>
    <w:rsid w:val="00EE41FB"/>
    <w:rsid w:val="00EE505B"/>
    <w:rsid w:val="00EE56DB"/>
    <w:rsid w:val="00EE58DC"/>
    <w:rsid w:val="00EE5D08"/>
    <w:rsid w:val="00EE6A45"/>
    <w:rsid w:val="00EE6FFF"/>
    <w:rsid w:val="00EE707D"/>
    <w:rsid w:val="00EE744E"/>
    <w:rsid w:val="00EF28FD"/>
    <w:rsid w:val="00EF299B"/>
    <w:rsid w:val="00EF2B80"/>
    <w:rsid w:val="00EF2BFA"/>
    <w:rsid w:val="00EF3025"/>
    <w:rsid w:val="00EF34D3"/>
    <w:rsid w:val="00EF3505"/>
    <w:rsid w:val="00EF4133"/>
    <w:rsid w:val="00EF4583"/>
    <w:rsid w:val="00EF4A72"/>
    <w:rsid w:val="00EF4D15"/>
    <w:rsid w:val="00EF556B"/>
    <w:rsid w:val="00EF56B1"/>
    <w:rsid w:val="00EF5771"/>
    <w:rsid w:val="00EF684C"/>
    <w:rsid w:val="00EF6857"/>
    <w:rsid w:val="00EF73BA"/>
    <w:rsid w:val="00EF7793"/>
    <w:rsid w:val="00F00CE2"/>
    <w:rsid w:val="00F00FF4"/>
    <w:rsid w:val="00F022FF"/>
    <w:rsid w:val="00F0406B"/>
    <w:rsid w:val="00F0596D"/>
    <w:rsid w:val="00F05B01"/>
    <w:rsid w:val="00F05E5A"/>
    <w:rsid w:val="00F06A4A"/>
    <w:rsid w:val="00F06B0D"/>
    <w:rsid w:val="00F0752E"/>
    <w:rsid w:val="00F07D0B"/>
    <w:rsid w:val="00F10A72"/>
    <w:rsid w:val="00F113B7"/>
    <w:rsid w:val="00F11502"/>
    <w:rsid w:val="00F11F57"/>
    <w:rsid w:val="00F1245B"/>
    <w:rsid w:val="00F126DC"/>
    <w:rsid w:val="00F12A09"/>
    <w:rsid w:val="00F12EAB"/>
    <w:rsid w:val="00F13134"/>
    <w:rsid w:val="00F13645"/>
    <w:rsid w:val="00F137FA"/>
    <w:rsid w:val="00F14B44"/>
    <w:rsid w:val="00F14EA1"/>
    <w:rsid w:val="00F15B8F"/>
    <w:rsid w:val="00F15EC9"/>
    <w:rsid w:val="00F167CF"/>
    <w:rsid w:val="00F169CF"/>
    <w:rsid w:val="00F1732B"/>
    <w:rsid w:val="00F200B4"/>
    <w:rsid w:val="00F209E9"/>
    <w:rsid w:val="00F21268"/>
    <w:rsid w:val="00F2376F"/>
    <w:rsid w:val="00F23CD5"/>
    <w:rsid w:val="00F244E3"/>
    <w:rsid w:val="00F247A2"/>
    <w:rsid w:val="00F24E40"/>
    <w:rsid w:val="00F25BA8"/>
    <w:rsid w:val="00F25CF7"/>
    <w:rsid w:val="00F25FE5"/>
    <w:rsid w:val="00F26B52"/>
    <w:rsid w:val="00F27236"/>
    <w:rsid w:val="00F27D52"/>
    <w:rsid w:val="00F27DD3"/>
    <w:rsid w:val="00F3067A"/>
    <w:rsid w:val="00F3105A"/>
    <w:rsid w:val="00F3109F"/>
    <w:rsid w:val="00F312FE"/>
    <w:rsid w:val="00F31B67"/>
    <w:rsid w:val="00F31E28"/>
    <w:rsid w:val="00F32412"/>
    <w:rsid w:val="00F3462B"/>
    <w:rsid w:val="00F346A8"/>
    <w:rsid w:val="00F34A06"/>
    <w:rsid w:val="00F357FF"/>
    <w:rsid w:val="00F35DF3"/>
    <w:rsid w:val="00F36179"/>
    <w:rsid w:val="00F37C21"/>
    <w:rsid w:val="00F40987"/>
    <w:rsid w:val="00F40A27"/>
    <w:rsid w:val="00F42178"/>
    <w:rsid w:val="00F427A4"/>
    <w:rsid w:val="00F42FFF"/>
    <w:rsid w:val="00F43112"/>
    <w:rsid w:val="00F4317F"/>
    <w:rsid w:val="00F431F9"/>
    <w:rsid w:val="00F43705"/>
    <w:rsid w:val="00F439A3"/>
    <w:rsid w:val="00F43C47"/>
    <w:rsid w:val="00F44EA5"/>
    <w:rsid w:val="00F456E4"/>
    <w:rsid w:val="00F456F4"/>
    <w:rsid w:val="00F46541"/>
    <w:rsid w:val="00F47626"/>
    <w:rsid w:val="00F47645"/>
    <w:rsid w:val="00F47ECD"/>
    <w:rsid w:val="00F50AF9"/>
    <w:rsid w:val="00F50FB9"/>
    <w:rsid w:val="00F51BA1"/>
    <w:rsid w:val="00F5269F"/>
    <w:rsid w:val="00F52749"/>
    <w:rsid w:val="00F52E82"/>
    <w:rsid w:val="00F53264"/>
    <w:rsid w:val="00F53AB7"/>
    <w:rsid w:val="00F544D2"/>
    <w:rsid w:val="00F54BC6"/>
    <w:rsid w:val="00F55915"/>
    <w:rsid w:val="00F55AA5"/>
    <w:rsid w:val="00F55C3C"/>
    <w:rsid w:val="00F55DDE"/>
    <w:rsid w:val="00F55EA3"/>
    <w:rsid w:val="00F56085"/>
    <w:rsid w:val="00F560EB"/>
    <w:rsid w:val="00F56690"/>
    <w:rsid w:val="00F569D7"/>
    <w:rsid w:val="00F56F08"/>
    <w:rsid w:val="00F574C3"/>
    <w:rsid w:val="00F57B9C"/>
    <w:rsid w:val="00F57BFD"/>
    <w:rsid w:val="00F57FE4"/>
    <w:rsid w:val="00F610F7"/>
    <w:rsid w:val="00F61761"/>
    <w:rsid w:val="00F61844"/>
    <w:rsid w:val="00F61933"/>
    <w:rsid w:val="00F61D08"/>
    <w:rsid w:val="00F61F3F"/>
    <w:rsid w:val="00F624A2"/>
    <w:rsid w:val="00F62817"/>
    <w:rsid w:val="00F63993"/>
    <w:rsid w:val="00F63F22"/>
    <w:rsid w:val="00F64BBE"/>
    <w:rsid w:val="00F64BDA"/>
    <w:rsid w:val="00F64BF0"/>
    <w:rsid w:val="00F65023"/>
    <w:rsid w:val="00F65589"/>
    <w:rsid w:val="00F6588B"/>
    <w:rsid w:val="00F66D28"/>
    <w:rsid w:val="00F6712E"/>
    <w:rsid w:val="00F679F2"/>
    <w:rsid w:val="00F67ADD"/>
    <w:rsid w:val="00F67C78"/>
    <w:rsid w:val="00F701EC"/>
    <w:rsid w:val="00F706BE"/>
    <w:rsid w:val="00F70BD5"/>
    <w:rsid w:val="00F7259E"/>
    <w:rsid w:val="00F72FCC"/>
    <w:rsid w:val="00F73721"/>
    <w:rsid w:val="00F73A67"/>
    <w:rsid w:val="00F74413"/>
    <w:rsid w:val="00F7461D"/>
    <w:rsid w:val="00F74662"/>
    <w:rsid w:val="00F768C1"/>
    <w:rsid w:val="00F77B66"/>
    <w:rsid w:val="00F77C0B"/>
    <w:rsid w:val="00F8050E"/>
    <w:rsid w:val="00F80B57"/>
    <w:rsid w:val="00F81117"/>
    <w:rsid w:val="00F826E4"/>
    <w:rsid w:val="00F82DCD"/>
    <w:rsid w:val="00F83084"/>
    <w:rsid w:val="00F830AB"/>
    <w:rsid w:val="00F831C1"/>
    <w:rsid w:val="00F8396A"/>
    <w:rsid w:val="00F84447"/>
    <w:rsid w:val="00F84637"/>
    <w:rsid w:val="00F85096"/>
    <w:rsid w:val="00F850C3"/>
    <w:rsid w:val="00F85CE9"/>
    <w:rsid w:val="00F86086"/>
    <w:rsid w:val="00F86783"/>
    <w:rsid w:val="00F86F9B"/>
    <w:rsid w:val="00F87444"/>
    <w:rsid w:val="00F874A8"/>
    <w:rsid w:val="00F879BD"/>
    <w:rsid w:val="00F87DDF"/>
    <w:rsid w:val="00F910A9"/>
    <w:rsid w:val="00F91407"/>
    <w:rsid w:val="00F9155D"/>
    <w:rsid w:val="00F915B3"/>
    <w:rsid w:val="00F91CB8"/>
    <w:rsid w:val="00F91DE3"/>
    <w:rsid w:val="00F91EB7"/>
    <w:rsid w:val="00F91FAA"/>
    <w:rsid w:val="00F91FF0"/>
    <w:rsid w:val="00F921DA"/>
    <w:rsid w:val="00F92514"/>
    <w:rsid w:val="00F940D2"/>
    <w:rsid w:val="00F947DA"/>
    <w:rsid w:val="00F94B4A"/>
    <w:rsid w:val="00F95168"/>
    <w:rsid w:val="00F973CB"/>
    <w:rsid w:val="00F97429"/>
    <w:rsid w:val="00FA0160"/>
    <w:rsid w:val="00FA02C0"/>
    <w:rsid w:val="00FA059C"/>
    <w:rsid w:val="00FA08F5"/>
    <w:rsid w:val="00FA206E"/>
    <w:rsid w:val="00FA2313"/>
    <w:rsid w:val="00FA3A45"/>
    <w:rsid w:val="00FA3A87"/>
    <w:rsid w:val="00FA3AEC"/>
    <w:rsid w:val="00FA4DE2"/>
    <w:rsid w:val="00FA5B61"/>
    <w:rsid w:val="00FA5BC9"/>
    <w:rsid w:val="00FA7EC5"/>
    <w:rsid w:val="00FB05C3"/>
    <w:rsid w:val="00FB0AC9"/>
    <w:rsid w:val="00FB0D4D"/>
    <w:rsid w:val="00FB1BB3"/>
    <w:rsid w:val="00FB23AE"/>
    <w:rsid w:val="00FB23DB"/>
    <w:rsid w:val="00FB2538"/>
    <w:rsid w:val="00FB2E22"/>
    <w:rsid w:val="00FB39DA"/>
    <w:rsid w:val="00FB4423"/>
    <w:rsid w:val="00FB4510"/>
    <w:rsid w:val="00FB4655"/>
    <w:rsid w:val="00FB5534"/>
    <w:rsid w:val="00FB5AD3"/>
    <w:rsid w:val="00FB6482"/>
    <w:rsid w:val="00FB7440"/>
    <w:rsid w:val="00FB768B"/>
    <w:rsid w:val="00FB7815"/>
    <w:rsid w:val="00FB7F1F"/>
    <w:rsid w:val="00FC0135"/>
    <w:rsid w:val="00FC0B30"/>
    <w:rsid w:val="00FC11DC"/>
    <w:rsid w:val="00FC1780"/>
    <w:rsid w:val="00FC2553"/>
    <w:rsid w:val="00FC281E"/>
    <w:rsid w:val="00FC2993"/>
    <w:rsid w:val="00FC3045"/>
    <w:rsid w:val="00FC326C"/>
    <w:rsid w:val="00FC3CA0"/>
    <w:rsid w:val="00FC3E1C"/>
    <w:rsid w:val="00FC3F73"/>
    <w:rsid w:val="00FC456A"/>
    <w:rsid w:val="00FC4A58"/>
    <w:rsid w:val="00FC4AC9"/>
    <w:rsid w:val="00FC5231"/>
    <w:rsid w:val="00FC5401"/>
    <w:rsid w:val="00FC54EE"/>
    <w:rsid w:val="00FC5C0C"/>
    <w:rsid w:val="00FC6B43"/>
    <w:rsid w:val="00FC6C87"/>
    <w:rsid w:val="00FC7553"/>
    <w:rsid w:val="00FC77A6"/>
    <w:rsid w:val="00FC7DA7"/>
    <w:rsid w:val="00FC7EB8"/>
    <w:rsid w:val="00FD0062"/>
    <w:rsid w:val="00FD0AC7"/>
    <w:rsid w:val="00FD0F9C"/>
    <w:rsid w:val="00FD1353"/>
    <w:rsid w:val="00FD1384"/>
    <w:rsid w:val="00FD2077"/>
    <w:rsid w:val="00FD227E"/>
    <w:rsid w:val="00FD25D9"/>
    <w:rsid w:val="00FD2941"/>
    <w:rsid w:val="00FD29C2"/>
    <w:rsid w:val="00FD39B9"/>
    <w:rsid w:val="00FD3DDB"/>
    <w:rsid w:val="00FD477C"/>
    <w:rsid w:val="00FD4A45"/>
    <w:rsid w:val="00FD4B38"/>
    <w:rsid w:val="00FD5690"/>
    <w:rsid w:val="00FD6CAC"/>
    <w:rsid w:val="00FD7879"/>
    <w:rsid w:val="00FD794B"/>
    <w:rsid w:val="00FE08CE"/>
    <w:rsid w:val="00FE0FD8"/>
    <w:rsid w:val="00FE1CD0"/>
    <w:rsid w:val="00FE1D03"/>
    <w:rsid w:val="00FE1D1B"/>
    <w:rsid w:val="00FE1D3F"/>
    <w:rsid w:val="00FE21A3"/>
    <w:rsid w:val="00FE2333"/>
    <w:rsid w:val="00FE27E7"/>
    <w:rsid w:val="00FE2B35"/>
    <w:rsid w:val="00FE33B2"/>
    <w:rsid w:val="00FE3517"/>
    <w:rsid w:val="00FE37A1"/>
    <w:rsid w:val="00FE37DB"/>
    <w:rsid w:val="00FE3B9A"/>
    <w:rsid w:val="00FE491D"/>
    <w:rsid w:val="00FE5788"/>
    <w:rsid w:val="00FE5969"/>
    <w:rsid w:val="00FE5B10"/>
    <w:rsid w:val="00FE5E1A"/>
    <w:rsid w:val="00FE662C"/>
    <w:rsid w:val="00FE7999"/>
    <w:rsid w:val="00FE7E3C"/>
    <w:rsid w:val="00FF09DB"/>
    <w:rsid w:val="00FF0A87"/>
    <w:rsid w:val="00FF119C"/>
    <w:rsid w:val="00FF1600"/>
    <w:rsid w:val="00FF2CA5"/>
    <w:rsid w:val="00FF35EF"/>
    <w:rsid w:val="00FF500D"/>
    <w:rsid w:val="00FF6EBD"/>
    <w:rsid w:val="00FF6EFF"/>
    <w:rsid w:val="00FF76B2"/>
    <w:rsid w:val="00FF7D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50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A3488D"/>
  </w:style>
  <w:style w:type="paragraph" w:styleId="Heading1">
    <w:name w:val="heading 1"/>
    <w:basedOn w:val="Normal"/>
    <w:link w:val="Heading1Char"/>
    <w:uiPriority w:val="9"/>
    <w:rsid w:val="0017639A"/>
    <w:pPr>
      <w:spacing w:beforeLines="1" w:afterLines="1"/>
      <w:outlineLvl w:val="0"/>
    </w:pPr>
    <w:rPr>
      <w:rFonts w:ascii="Times" w:hAnsi="Times"/>
      <w:b/>
      <w:kern w:val="36"/>
      <w:sz w:val="4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10D18"/>
    <w:rPr>
      <w:rFonts w:ascii="Lucida Grande" w:hAnsi="Lucida Grande" w:cs="Lucida Grande"/>
      <w:sz w:val="18"/>
      <w:szCs w:val="18"/>
    </w:rPr>
  </w:style>
  <w:style w:type="character" w:customStyle="1" w:styleId="BalloonTextChar">
    <w:name w:val="Balloon Text Char"/>
    <w:basedOn w:val="DefaultParagraphFont"/>
    <w:uiPriority w:val="99"/>
    <w:semiHidden/>
    <w:rsid w:val="00993F00"/>
    <w:rPr>
      <w:rFonts w:ascii="Lucida Grande" w:hAnsi="Lucida Grande"/>
      <w:sz w:val="18"/>
      <w:szCs w:val="18"/>
    </w:rPr>
  </w:style>
  <w:style w:type="character" w:customStyle="1" w:styleId="BalloonTextChar0">
    <w:name w:val="Balloon Text Char"/>
    <w:basedOn w:val="DefaultParagraphFont"/>
    <w:uiPriority w:val="99"/>
    <w:semiHidden/>
    <w:rsid w:val="00511B58"/>
    <w:rPr>
      <w:rFonts w:ascii="Lucida Grande" w:hAnsi="Lucida Grande" w:cs="Lucida Grande"/>
      <w:sz w:val="18"/>
      <w:szCs w:val="18"/>
    </w:rPr>
  </w:style>
  <w:style w:type="character" w:customStyle="1" w:styleId="BalloonTextChar2">
    <w:name w:val="Balloon Text Char"/>
    <w:basedOn w:val="DefaultParagraphFont"/>
    <w:uiPriority w:val="99"/>
    <w:semiHidden/>
    <w:rsid w:val="00C53A02"/>
    <w:rPr>
      <w:rFonts w:ascii="Lucida Grande" w:hAnsi="Lucida Grande" w:cs="Lucida Grande"/>
      <w:sz w:val="18"/>
      <w:szCs w:val="18"/>
    </w:rPr>
  </w:style>
  <w:style w:type="character" w:customStyle="1" w:styleId="BalloonTextChar3">
    <w:name w:val="Balloon Text Char"/>
    <w:basedOn w:val="DefaultParagraphFont"/>
    <w:uiPriority w:val="99"/>
    <w:semiHidden/>
    <w:rsid w:val="00C53A02"/>
    <w:rPr>
      <w:rFonts w:ascii="Lucida Grande" w:hAnsi="Lucida Grande" w:cs="Lucida Grande"/>
      <w:sz w:val="18"/>
      <w:szCs w:val="18"/>
    </w:rPr>
  </w:style>
  <w:style w:type="character" w:customStyle="1" w:styleId="BalloonTextChar4">
    <w:name w:val="Balloon Text Char"/>
    <w:basedOn w:val="DefaultParagraphFont"/>
    <w:uiPriority w:val="99"/>
    <w:semiHidden/>
    <w:rsid w:val="00185BD0"/>
    <w:rPr>
      <w:rFonts w:ascii="Lucida Grande" w:hAnsi="Lucida Grande"/>
      <w:sz w:val="18"/>
      <w:szCs w:val="18"/>
    </w:rPr>
  </w:style>
  <w:style w:type="character" w:customStyle="1" w:styleId="BalloonTextChar5">
    <w:name w:val="Balloon Text Char"/>
    <w:basedOn w:val="DefaultParagraphFont"/>
    <w:uiPriority w:val="99"/>
    <w:semiHidden/>
    <w:rsid w:val="00C534A9"/>
    <w:rPr>
      <w:rFonts w:ascii="Lucida Grande" w:hAnsi="Lucida Grande"/>
      <w:sz w:val="18"/>
      <w:szCs w:val="18"/>
    </w:rPr>
  </w:style>
  <w:style w:type="character" w:customStyle="1" w:styleId="BalloonTextChar6">
    <w:name w:val="Balloon Text Char"/>
    <w:basedOn w:val="DefaultParagraphFont"/>
    <w:uiPriority w:val="99"/>
    <w:semiHidden/>
    <w:rsid w:val="00C534A9"/>
    <w:rPr>
      <w:rFonts w:ascii="Lucida Grande" w:hAnsi="Lucida Grande"/>
      <w:sz w:val="18"/>
      <w:szCs w:val="18"/>
    </w:rPr>
  </w:style>
  <w:style w:type="character" w:customStyle="1" w:styleId="BalloonTextChar7">
    <w:name w:val="Balloon Text Char"/>
    <w:basedOn w:val="DefaultParagraphFont"/>
    <w:uiPriority w:val="99"/>
    <w:semiHidden/>
    <w:rsid w:val="00C534A9"/>
    <w:rPr>
      <w:rFonts w:ascii="Lucida Grande" w:hAnsi="Lucida Grande"/>
      <w:sz w:val="18"/>
      <w:szCs w:val="18"/>
    </w:rPr>
  </w:style>
  <w:style w:type="character" w:customStyle="1" w:styleId="BalloonTextChar8">
    <w:name w:val="Balloon Text Char"/>
    <w:basedOn w:val="DefaultParagraphFont"/>
    <w:uiPriority w:val="99"/>
    <w:semiHidden/>
    <w:rsid w:val="00C534A9"/>
    <w:rPr>
      <w:rFonts w:ascii="Lucida Grande" w:hAnsi="Lucida Grande"/>
      <w:sz w:val="18"/>
      <w:szCs w:val="18"/>
    </w:rPr>
  </w:style>
  <w:style w:type="character" w:customStyle="1" w:styleId="BalloonTextChar9">
    <w:name w:val="Balloon Text Char"/>
    <w:basedOn w:val="DefaultParagraphFont"/>
    <w:uiPriority w:val="99"/>
    <w:semiHidden/>
    <w:rsid w:val="0065188C"/>
    <w:rPr>
      <w:rFonts w:ascii="Lucida Grande" w:hAnsi="Lucida Grande" w:cs="Lucida Grande"/>
      <w:sz w:val="18"/>
      <w:szCs w:val="18"/>
    </w:rPr>
  </w:style>
  <w:style w:type="character" w:customStyle="1" w:styleId="BalloonTextChara">
    <w:name w:val="Balloon Text Char"/>
    <w:basedOn w:val="DefaultParagraphFont"/>
    <w:uiPriority w:val="99"/>
    <w:semiHidden/>
    <w:rsid w:val="00DA2258"/>
    <w:rPr>
      <w:rFonts w:ascii="Lucida Grande" w:hAnsi="Lucida Grande" w:cs="Lucida Grande"/>
      <w:sz w:val="18"/>
      <w:szCs w:val="18"/>
    </w:rPr>
  </w:style>
  <w:style w:type="character" w:customStyle="1" w:styleId="BalloonTextCharb">
    <w:name w:val="Balloon Text Char"/>
    <w:basedOn w:val="DefaultParagraphFont"/>
    <w:uiPriority w:val="99"/>
    <w:semiHidden/>
    <w:rsid w:val="00DA2258"/>
    <w:rPr>
      <w:rFonts w:ascii="Lucida Grande" w:hAnsi="Lucida Grande" w:cs="Lucida Grande"/>
      <w:sz w:val="18"/>
      <w:szCs w:val="18"/>
    </w:rPr>
  </w:style>
  <w:style w:type="character" w:customStyle="1" w:styleId="BalloonTextCharc">
    <w:name w:val="Balloon Text Char"/>
    <w:basedOn w:val="DefaultParagraphFont"/>
    <w:uiPriority w:val="99"/>
    <w:semiHidden/>
    <w:rsid w:val="002B3FF0"/>
    <w:rPr>
      <w:rFonts w:ascii="Lucida Grande" w:hAnsi="Lucida Grande"/>
      <w:sz w:val="18"/>
      <w:szCs w:val="18"/>
    </w:rPr>
  </w:style>
  <w:style w:type="character" w:customStyle="1" w:styleId="BalloonTextChard">
    <w:name w:val="Balloon Text Char"/>
    <w:basedOn w:val="DefaultParagraphFont"/>
    <w:uiPriority w:val="99"/>
    <w:semiHidden/>
    <w:rsid w:val="006245F1"/>
    <w:rPr>
      <w:rFonts w:ascii="Lucida Grande" w:hAnsi="Lucida Grande" w:cs="Lucida Grande"/>
      <w:sz w:val="18"/>
      <w:szCs w:val="18"/>
    </w:rPr>
  </w:style>
  <w:style w:type="character" w:customStyle="1" w:styleId="BalloonTextChare">
    <w:name w:val="Balloon Text Char"/>
    <w:basedOn w:val="DefaultParagraphFont"/>
    <w:uiPriority w:val="99"/>
    <w:semiHidden/>
    <w:rsid w:val="006245F1"/>
    <w:rPr>
      <w:rFonts w:ascii="Lucida Grande" w:hAnsi="Lucida Grande" w:cs="Lucida Grande"/>
      <w:sz w:val="18"/>
      <w:szCs w:val="18"/>
    </w:rPr>
  </w:style>
  <w:style w:type="character" w:customStyle="1" w:styleId="BalloonTextCharf">
    <w:name w:val="Balloon Text Char"/>
    <w:basedOn w:val="DefaultParagraphFont"/>
    <w:uiPriority w:val="99"/>
    <w:semiHidden/>
    <w:rsid w:val="006245F1"/>
    <w:rPr>
      <w:rFonts w:ascii="Lucida Grande" w:hAnsi="Lucida Grande" w:cs="Lucida Grande"/>
      <w:sz w:val="18"/>
      <w:szCs w:val="18"/>
    </w:rPr>
  </w:style>
  <w:style w:type="character" w:customStyle="1" w:styleId="BalloonTextCharf0">
    <w:name w:val="Balloon Text Char"/>
    <w:basedOn w:val="DefaultParagraphFont"/>
    <w:uiPriority w:val="99"/>
    <w:semiHidden/>
    <w:rsid w:val="006245F1"/>
    <w:rPr>
      <w:rFonts w:ascii="Lucida Grande" w:hAnsi="Lucida Grande" w:cs="Lucida Grande"/>
      <w:sz w:val="18"/>
      <w:szCs w:val="18"/>
    </w:rPr>
  </w:style>
  <w:style w:type="character" w:customStyle="1" w:styleId="BalloonTextCharf1">
    <w:name w:val="Balloon Text Char"/>
    <w:basedOn w:val="DefaultParagraphFont"/>
    <w:uiPriority w:val="99"/>
    <w:semiHidden/>
    <w:rsid w:val="00C07A03"/>
    <w:rPr>
      <w:rFonts w:ascii="Lucida Grande" w:hAnsi="Lucida Grande"/>
      <w:sz w:val="18"/>
      <w:szCs w:val="18"/>
    </w:rPr>
  </w:style>
  <w:style w:type="character" w:customStyle="1" w:styleId="BalloonTextCharf2">
    <w:name w:val="Balloon Text Char"/>
    <w:basedOn w:val="DefaultParagraphFont"/>
    <w:uiPriority w:val="99"/>
    <w:semiHidden/>
    <w:rsid w:val="00C07A03"/>
    <w:rPr>
      <w:rFonts w:ascii="Lucida Grande" w:hAnsi="Lucida Grande"/>
      <w:sz w:val="18"/>
      <w:szCs w:val="18"/>
    </w:rPr>
  </w:style>
  <w:style w:type="character" w:customStyle="1" w:styleId="BalloonTextCharf3">
    <w:name w:val="Balloon Text Char"/>
    <w:basedOn w:val="DefaultParagraphFont"/>
    <w:uiPriority w:val="99"/>
    <w:semiHidden/>
    <w:rsid w:val="001F5D20"/>
    <w:rPr>
      <w:rFonts w:ascii="Lucida Grande" w:hAnsi="Lucida Grande"/>
      <w:sz w:val="18"/>
      <w:szCs w:val="18"/>
    </w:rPr>
  </w:style>
  <w:style w:type="character" w:customStyle="1" w:styleId="BalloonTextCharf4">
    <w:name w:val="Balloon Text Char"/>
    <w:basedOn w:val="DefaultParagraphFont"/>
    <w:uiPriority w:val="99"/>
    <w:semiHidden/>
    <w:rsid w:val="001F5D20"/>
    <w:rPr>
      <w:rFonts w:ascii="Lucida Grande" w:hAnsi="Lucida Grande"/>
      <w:sz w:val="18"/>
      <w:szCs w:val="18"/>
    </w:rPr>
  </w:style>
  <w:style w:type="character" w:customStyle="1" w:styleId="BalloonTextCharf5">
    <w:name w:val="Balloon Text Char"/>
    <w:basedOn w:val="DefaultParagraphFont"/>
    <w:uiPriority w:val="99"/>
    <w:semiHidden/>
    <w:rsid w:val="00FF25DD"/>
    <w:rPr>
      <w:rFonts w:ascii="Lucida Grande" w:hAnsi="Lucida Grande"/>
      <w:sz w:val="18"/>
      <w:szCs w:val="18"/>
    </w:rPr>
  </w:style>
  <w:style w:type="character" w:customStyle="1" w:styleId="BalloonTextCharf6">
    <w:name w:val="Balloon Text Char"/>
    <w:basedOn w:val="DefaultParagraphFont"/>
    <w:uiPriority w:val="99"/>
    <w:semiHidden/>
    <w:rsid w:val="00FF25DD"/>
    <w:rPr>
      <w:rFonts w:ascii="Lucida Grande" w:hAnsi="Lucida Grande"/>
      <w:sz w:val="18"/>
      <w:szCs w:val="18"/>
    </w:rPr>
  </w:style>
  <w:style w:type="character" w:customStyle="1" w:styleId="BalloonTextCharf7">
    <w:name w:val="Balloon Text Char"/>
    <w:basedOn w:val="DefaultParagraphFont"/>
    <w:uiPriority w:val="99"/>
    <w:semiHidden/>
    <w:rsid w:val="00032EC0"/>
    <w:rPr>
      <w:rFonts w:ascii="Lucida Grande" w:hAnsi="Lucida Grande" w:cs="Lucida Grande"/>
      <w:sz w:val="18"/>
      <w:szCs w:val="18"/>
    </w:rPr>
  </w:style>
  <w:style w:type="character" w:customStyle="1" w:styleId="BalloonTextCharf8">
    <w:name w:val="Balloon Text Char"/>
    <w:basedOn w:val="DefaultParagraphFont"/>
    <w:uiPriority w:val="99"/>
    <w:semiHidden/>
    <w:rsid w:val="00032EC0"/>
    <w:rPr>
      <w:rFonts w:ascii="Lucida Grande" w:hAnsi="Lucida Grande" w:cs="Lucida Grande"/>
      <w:sz w:val="18"/>
      <w:szCs w:val="18"/>
    </w:rPr>
  </w:style>
  <w:style w:type="character" w:customStyle="1" w:styleId="BalloonTextCharf9">
    <w:name w:val="Balloon Text Char"/>
    <w:basedOn w:val="DefaultParagraphFont"/>
    <w:uiPriority w:val="99"/>
    <w:semiHidden/>
    <w:rsid w:val="00777272"/>
    <w:rPr>
      <w:rFonts w:ascii="Lucida Grande" w:hAnsi="Lucida Grande" w:cs="Lucida Grande"/>
      <w:sz w:val="18"/>
      <w:szCs w:val="18"/>
    </w:rPr>
  </w:style>
  <w:style w:type="character" w:customStyle="1" w:styleId="BalloonTextCharfa">
    <w:name w:val="Balloon Text Char"/>
    <w:basedOn w:val="DefaultParagraphFont"/>
    <w:uiPriority w:val="99"/>
    <w:semiHidden/>
    <w:rsid w:val="00E30184"/>
    <w:rPr>
      <w:rFonts w:ascii="Lucida Grande" w:hAnsi="Lucida Grande" w:cs="Lucida Grande"/>
      <w:sz w:val="18"/>
      <w:szCs w:val="18"/>
    </w:rPr>
  </w:style>
  <w:style w:type="character" w:customStyle="1" w:styleId="BalloonTextCharfb">
    <w:name w:val="Balloon Text Char"/>
    <w:basedOn w:val="DefaultParagraphFont"/>
    <w:uiPriority w:val="99"/>
    <w:semiHidden/>
    <w:rsid w:val="00E30184"/>
    <w:rPr>
      <w:rFonts w:ascii="Lucida Grande" w:hAnsi="Lucida Grande" w:cs="Lucida Grande"/>
      <w:sz w:val="18"/>
      <w:szCs w:val="18"/>
    </w:rPr>
  </w:style>
  <w:style w:type="character" w:customStyle="1" w:styleId="BalloonTextCharfc">
    <w:name w:val="Balloon Text Char"/>
    <w:basedOn w:val="DefaultParagraphFont"/>
    <w:uiPriority w:val="99"/>
    <w:semiHidden/>
    <w:rsid w:val="00DF04B4"/>
    <w:rPr>
      <w:rFonts w:ascii="Lucida Grande" w:hAnsi="Lucida Grande" w:cs="Lucida Grande"/>
      <w:sz w:val="18"/>
      <w:szCs w:val="18"/>
    </w:rPr>
  </w:style>
  <w:style w:type="character" w:customStyle="1" w:styleId="BalloonTextCharfd">
    <w:name w:val="Balloon Text Char"/>
    <w:basedOn w:val="DefaultParagraphFont"/>
    <w:uiPriority w:val="99"/>
    <w:semiHidden/>
    <w:rsid w:val="008677C4"/>
    <w:rPr>
      <w:rFonts w:ascii="Lucida Grande" w:hAnsi="Lucida Grande"/>
      <w:sz w:val="18"/>
      <w:szCs w:val="18"/>
    </w:rPr>
  </w:style>
  <w:style w:type="character" w:customStyle="1" w:styleId="BalloonTextCharfe">
    <w:name w:val="Balloon Text Char"/>
    <w:basedOn w:val="DefaultParagraphFont"/>
    <w:uiPriority w:val="99"/>
    <w:semiHidden/>
    <w:rsid w:val="008677C4"/>
    <w:rPr>
      <w:rFonts w:ascii="Lucida Grande" w:hAnsi="Lucida Grande"/>
      <w:sz w:val="18"/>
      <w:szCs w:val="18"/>
    </w:rPr>
  </w:style>
  <w:style w:type="character" w:customStyle="1" w:styleId="BalloonTextCharff">
    <w:name w:val="Balloon Text Char"/>
    <w:basedOn w:val="DefaultParagraphFont"/>
    <w:uiPriority w:val="99"/>
    <w:semiHidden/>
    <w:rsid w:val="00990164"/>
    <w:rPr>
      <w:rFonts w:ascii="Lucida Grande" w:hAnsi="Lucida Grande"/>
      <w:sz w:val="18"/>
      <w:szCs w:val="18"/>
    </w:rPr>
  </w:style>
  <w:style w:type="character" w:customStyle="1" w:styleId="BalloonTextCharff0">
    <w:name w:val="Balloon Text Char"/>
    <w:basedOn w:val="DefaultParagraphFont"/>
    <w:uiPriority w:val="99"/>
    <w:semiHidden/>
    <w:rsid w:val="00C1109B"/>
    <w:rPr>
      <w:rFonts w:ascii="Lucida Grande" w:hAnsi="Lucida Grande"/>
      <w:sz w:val="18"/>
      <w:szCs w:val="18"/>
    </w:rPr>
  </w:style>
  <w:style w:type="character" w:customStyle="1" w:styleId="BalloonTextCharff1">
    <w:name w:val="Balloon Text Char"/>
    <w:basedOn w:val="DefaultParagraphFont"/>
    <w:uiPriority w:val="99"/>
    <w:semiHidden/>
    <w:rsid w:val="00D260D6"/>
    <w:rPr>
      <w:rFonts w:ascii="Lucida Grande" w:hAnsi="Lucida Grande"/>
      <w:sz w:val="18"/>
      <w:szCs w:val="18"/>
    </w:rPr>
  </w:style>
  <w:style w:type="character" w:customStyle="1" w:styleId="BalloonTextCharff2">
    <w:name w:val="Balloon Text Char"/>
    <w:basedOn w:val="DefaultParagraphFont"/>
    <w:uiPriority w:val="99"/>
    <w:semiHidden/>
    <w:rsid w:val="00D22192"/>
    <w:rPr>
      <w:rFonts w:ascii="Lucida Grande" w:hAnsi="Lucida Grande"/>
      <w:sz w:val="18"/>
      <w:szCs w:val="18"/>
    </w:rPr>
  </w:style>
  <w:style w:type="character" w:customStyle="1" w:styleId="BalloonTextCharff3">
    <w:name w:val="Balloon Text Char"/>
    <w:basedOn w:val="DefaultParagraphFont"/>
    <w:uiPriority w:val="99"/>
    <w:semiHidden/>
    <w:rsid w:val="005746B3"/>
    <w:rPr>
      <w:rFonts w:ascii="Lucida Grande" w:hAnsi="Lucida Grande"/>
      <w:sz w:val="18"/>
      <w:szCs w:val="18"/>
    </w:rPr>
  </w:style>
  <w:style w:type="character" w:customStyle="1" w:styleId="BalloonTextCharff4">
    <w:name w:val="Balloon Text Char"/>
    <w:basedOn w:val="DefaultParagraphFont"/>
    <w:uiPriority w:val="99"/>
    <w:semiHidden/>
    <w:rsid w:val="005746B3"/>
    <w:rPr>
      <w:rFonts w:ascii="Lucida Grande" w:hAnsi="Lucida Grande"/>
      <w:sz w:val="18"/>
      <w:szCs w:val="18"/>
    </w:rPr>
  </w:style>
  <w:style w:type="character" w:customStyle="1" w:styleId="BalloonTextCharff5">
    <w:name w:val="Balloon Text Char"/>
    <w:basedOn w:val="DefaultParagraphFont"/>
    <w:uiPriority w:val="99"/>
    <w:semiHidden/>
    <w:rsid w:val="000E661A"/>
    <w:rPr>
      <w:rFonts w:ascii="Lucida Grande" w:hAnsi="Lucida Grande"/>
      <w:sz w:val="18"/>
      <w:szCs w:val="18"/>
    </w:rPr>
  </w:style>
  <w:style w:type="character" w:customStyle="1" w:styleId="BalloonTextCharff6">
    <w:name w:val="Balloon Text Char"/>
    <w:basedOn w:val="DefaultParagraphFont"/>
    <w:uiPriority w:val="99"/>
    <w:semiHidden/>
    <w:rsid w:val="00FA72F5"/>
    <w:rPr>
      <w:rFonts w:ascii="Lucida Grande" w:hAnsi="Lucida Grande"/>
      <w:sz w:val="18"/>
      <w:szCs w:val="18"/>
    </w:rPr>
  </w:style>
  <w:style w:type="character" w:customStyle="1" w:styleId="BalloonTextCharff7">
    <w:name w:val="Balloon Text Char"/>
    <w:basedOn w:val="DefaultParagraphFont"/>
    <w:uiPriority w:val="99"/>
    <w:semiHidden/>
    <w:rsid w:val="00FA72F5"/>
    <w:rPr>
      <w:rFonts w:ascii="Lucida Grande" w:hAnsi="Lucida Grande"/>
      <w:sz w:val="18"/>
      <w:szCs w:val="18"/>
    </w:rPr>
  </w:style>
  <w:style w:type="character" w:customStyle="1" w:styleId="BalloonTextCharff8">
    <w:name w:val="Balloon Text Char"/>
    <w:basedOn w:val="DefaultParagraphFont"/>
    <w:uiPriority w:val="99"/>
    <w:semiHidden/>
    <w:rsid w:val="00FA72F5"/>
    <w:rPr>
      <w:rFonts w:ascii="Lucida Grande" w:hAnsi="Lucida Grande"/>
      <w:sz w:val="18"/>
      <w:szCs w:val="18"/>
    </w:rPr>
  </w:style>
  <w:style w:type="character" w:customStyle="1" w:styleId="BalloonTextCharff9">
    <w:name w:val="Balloon Text Char"/>
    <w:basedOn w:val="DefaultParagraphFont"/>
    <w:uiPriority w:val="99"/>
    <w:semiHidden/>
    <w:rsid w:val="00A63146"/>
    <w:rPr>
      <w:rFonts w:ascii="Lucida Grande" w:hAnsi="Lucida Grande"/>
      <w:sz w:val="18"/>
      <w:szCs w:val="18"/>
    </w:rPr>
  </w:style>
  <w:style w:type="character" w:customStyle="1" w:styleId="BalloonTextCharffa">
    <w:name w:val="Balloon Text Char"/>
    <w:basedOn w:val="DefaultParagraphFont"/>
    <w:uiPriority w:val="99"/>
    <w:semiHidden/>
    <w:rsid w:val="00A63146"/>
    <w:rPr>
      <w:rFonts w:ascii="Lucida Grande" w:hAnsi="Lucida Grande"/>
      <w:sz w:val="18"/>
      <w:szCs w:val="18"/>
    </w:rPr>
  </w:style>
  <w:style w:type="character" w:customStyle="1" w:styleId="BalloonTextCharffb">
    <w:name w:val="Balloon Text Char"/>
    <w:basedOn w:val="DefaultParagraphFont"/>
    <w:uiPriority w:val="99"/>
    <w:semiHidden/>
    <w:rsid w:val="00A63146"/>
    <w:rPr>
      <w:rFonts w:ascii="Lucida Grande" w:hAnsi="Lucida Grande"/>
      <w:sz w:val="18"/>
      <w:szCs w:val="18"/>
    </w:rPr>
  </w:style>
  <w:style w:type="character" w:customStyle="1" w:styleId="BalloonTextCharffc">
    <w:name w:val="Balloon Text Char"/>
    <w:basedOn w:val="DefaultParagraphFont"/>
    <w:uiPriority w:val="99"/>
    <w:semiHidden/>
    <w:rsid w:val="00A63146"/>
    <w:rPr>
      <w:rFonts w:ascii="Lucida Grande" w:hAnsi="Lucida Grande"/>
      <w:sz w:val="18"/>
      <w:szCs w:val="18"/>
    </w:rPr>
  </w:style>
  <w:style w:type="character" w:customStyle="1" w:styleId="BalloonTextCharffd">
    <w:name w:val="Balloon Text Char"/>
    <w:basedOn w:val="DefaultParagraphFont"/>
    <w:uiPriority w:val="99"/>
    <w:semiHidden/>
    <w:rsid w:val="00F8213F"/>
    <w:rPr>
      <w:rFonts w:ascii="Lucida Grande" w:hAnsi="Lucida Grande" w:cs="Lucida Grande"/>
      <w:sz w:val="18"/>
      <w:szCs w:val="18"/>
    </w:rPr>
  </w:style>
  <w:style w:type="character" w:customStyle="1" w:styleId="BalloonTextCharffe">
    <w:name w:val="Balloon Text Char"/>
    <w:basedOn w:val="DefaultParagraphFont"/>
    <w:uiPriority w:val="99"/>
    <w:semiHidden/>
    <w:rsid w:val="00490980"/>
    <w:rPr>
      <w:rFonts w:ascii="Lucida Grande" w:hAnsi="Lucida Grande"/>
      <w:sz w:val="18"/>
      <w:szCs w:val="18"/>
    </w:rPr>
  </w:style>
  <w:style w:type="character" w:customStyle="1" w:styleId="BalloonTextCharfff">
    <w:name w:val="Balloon Text Char"/>
    <w:basedOn w:val="DefaultParagraphFont"/>
    <w:uiPriority w:val="99"/>
    <w:semiHidden/>
    <w:rsid w:val="00490980"/>
    <w:rPr>
      <w:rFonts w:ascii="Lucida Grande" w:hAnsi="Lucida Grande"/>
      <w:sz w:val="18"/>
      <w:szCs w:val="18"/>
    </w:rPr>
  </w:style>
  <w:style w:type="character" w:customStyle="1" w:styleId="BalloonTextCharfff0">
    <w:name w:val="Balloon Text Char"/>
    <w:basedOn w:val="DefaultParagraphFont"/>
    <w:uiPriority w:val="99"/>
    <w:semiHidden/>
    <w:rsid w:val="00785C32"/>
    <w:rPr>
      <w:rFonts w:ascii="Lucida Grande" w:hAnsi="Lucida Grande"/>
      <w:sz w:val="18"/>
      <w:szCs w:val="18"/>
    </w:rPr>
  </w:style>
  <w:style w:type="character" w:customStyle="1" w:styleId="BalloonTextCharfff1">
    <w:name w:val="Balloon Text Char"/>
    <w:basedOn w:val="DefaultParagraphFont"/>
    <w:uiPriority w:val="99"/>
    <w:semiHidden/>
    <w:rsid w:val="00785C32"/>
    <w:rPr>
      <w:rFonts w:ascii="Lucida Grande" w:hAnsi="Lucida Grande"/>
      <w:sz w:val="18"/>
      <w:szCs w:val="18"/>
    </w:rPr>
  </w:style>
  <w:style w:type="character" w:customStyle="1" w:styleId="BalloonTextCharfff2">
    <w:name w:val="Balloon Text Char"/>
    <w:basedOn w:val="DefaultParagraphFont"/>
    <w:uiPriority w:val="99"/>
    <w:semiHidden/>
    <w:rsid w:val="008062BF"/>
    <w:rPr>
      <w:rFonts w:ascii="Lucida Grande" w:hAnsi="Lucida Grande"/>
      <w:sz w:val="18"/>
      <w:szCs w:val="18"/>
    </w:rPr>
  </w:style>
  <w:style w:type="character" w:customStyle="1" w:styleId="BalloonTextCharfff3">
    <w:name w:val="Balloon Text Char"/>
    <w:basedOn w:val="DefaultParagraphFont"/>
    <w:uiPriority w:val="99"/>
    <w:semiHidden/>
    <w:rsid w:val="008062BF"/>
    <w:rPr>
      <w:rFonts w:ascii="Lucida Grande" w:hAnsi="Lucida Grande"/>
      <w:sz w:val="18"/>
      <w:szCs w:val="18"/>
    </w:rPr>
  </w:style>
  <w:style w:type="character" w:customStyle="1" w:styleId="BalloonTextCharfff4">
    <w:name w:val="Balloon Text Char"/>
    <w:basedOn w:val="DefaultParagraphFont"/>
    <w:uiPriority w:val="99"/>
    <w:semiHidden/>
    <w:rsid w:val="00E529ED"/>
    <w:rPr>
      <w:rFonts w:ascii="Lucida Grande" w:hAnsi="Lucida Grande"/>
      <w:sz w:val="18"/>
      <w:szCs w:val="18"/>
    </w:rPr>
  </w:style>
  <w:style w:type="character" w:customStyle="1" w:styleId="BalloonTextCharfff5">
    <w:name w:val="Balloon Text Char"/>
    <w:basedOn w:val="DefaultParagraphFont"/>
    <w:uiPriority w:val="99"/>
    <w:semiHidden/>
    <w:rsid w:val="00E529ED"/>
    <w:rPr>
      <w:rFonts w:ascii="Lucida Grande" w:hAnsi="Lucida Grande"/>
      <w:sz w:val="18"/>
      <w:szCs w:val="18"/>
    </w:rPr>
  </w:style>
  <w:style w:type="character" w:customStyle="1" w:styleId="BalloonTextCharfff6">
    <w:name w:val="Balloon Text Char"/>
    <w:basedOn w:val="DefaultParagraphFont"/>
    <w:uiPriority w:val="99"/>
    <w:semiHidden/>
    <w:rsid w:val="00E529ED"/>
    <w:rPr>
      <w:rFonts w:ascii="Lucida Grande" w:hAnsi="Lucida Grande"/>
      <w:sz w:val="18"/>
      <w:szCs w:val="18"/>
    </w:rPr>
  </w:style>
  <w:style w:type="character" w:customStyle="1" w:styleId="BalloonTextCharfff7">
    <w:name w:val="Balloon Text Char"/>
    <w:basedOn w:val="DefaultParagraphFont"/>
    <w:uiPriority w:val="99"/>
    <w:semiHidden/>
    <w:rsid w:val="00E529ED"/>
    <w:rPr>
      <w:rFonts w:ascii="Lucida Grande" w:hAnsi="Lucida Grande"/>
      <w:sz w:val="18"/>
      <w:szCs w:val="18"/>
    </w:rPr>
  </w:style>
  <w:style w:type="character" w:customStyle="1" w:styleId="BalloonTextCharfff8">
    <w:name w:val="Balloon Text Char"/>
    <w:basedOn w:val="DefaultParagraphFont"/>
    <w:uiPriority w:val="99"/>
    <w:semiHidden/>
    <w:rsid w:val="00593747"/>
    <w:rPr>
      <w:rFonts w:ascii="Lucida Grande" w:hAnsi="Lucida Grande"/>
      <w:sz w:val="18"/>
      <w:szCs w:val="18"/>
    </w:rPr>
  </w:style>
  <w:style w:type="character" w:customStyle="1" w:styleId="BalloonTextCharfff9">
    <w:name w:val="Balloon Text Char"/>
    <w:basedOn w:val="DefaultParagraphFont"/>
    <w:uiPriority w:val="99"/>
    <w:semiHidden/>
    <w:rsid w:val="00A46B8C"/>
    <w:rPr>
      <w:rFonts w:ascii="Lucida Grande" w:hAnsi="Lucida Grande"/>
      <w:sz w:val="18"/>
      <w:szCs w:val="18"/>
    </w:rPr>
  </w:style>
  <w:style w:type="character" w:customStyle="1" w:styleId="BalloonTextCharfffa">
    <w:name w:val="Balloon Text Char"/>
    <w:basedOn w:val="DefaultParagraphFont"/>
    <w:uiPriority w:val="99"/>
    <w:semiHidden/>
    <w:rsid w:val="00CA085A"/>
    <w:rPr>
      <w:rFonts w:ascii="Lucida Grande" w:hAnsi="Lucida Grande"/>
      <w:sz w:val="18"/>
      <w:szCs w:val="18"/>
    </w:rPr>
  </w:style>
  <w:style w:type="character" w:customStyle="1" w:styleId="BalloonTextCharfffb">
    <w:name w:val="Balloon Text Char"/>
    <w:basedOn w:val="DefaultParagraphFont"/>
    <w:uiPriority w:val="99"/>
    <w:semiHidden/>
    <w:rsid w:val="00CA085A"/>
    <w:rPr>
      <w:rFonts w:ascii="Lucida Grande" w:hAnsi="Lucida Grande"/>
      <w:sz w:val="18"/>
      <w:szCs w:val="18"/>
    </w:rPr>
  </w:style>
  <w:style w:type="character" w:customStyle="1" w:styleId="BalloonTextCharfffc">
    <w:name w:val="Balloon Text Char"/>
    <w:basedOn w:val="DefaultParagraphFont"/>
    <w:uiPriority w:val="99"/>
    <w:semiHidden/>
    <w:rsid w:val="00CA085A"/>
    <w:rPr>
      <w:rFonts w:ascii="Lucida Grande" w:hAnsi="Lucida Grande"/>
      <w:sz w:val="18"/>
      <w:szCs w:val="18"/>
    </w:rPr>
  </w:style>
  <w:style w:type="character" w:customStyle="1" w:styleId="BalloonTextCharfffd">
    <w:name w:val="Balloon Text Char"/>
    <w:basedOn w:val="DefaultParagraphFont"/>
    <w:uiPriority w:val="99"/>
    <w:semiHidden/>
    <w:rsid w:val="006D5072"/>
    <w:rPr>
      <w:rFonts w:ascii="Lucida Grande" w:hAnsi="Lucida Grande"/>
      <w:sz w:val="18"/>
      <w:szCs w:val="18"/>
    </w:rPr>
  </w:style>
  <w:style w:type="character" w:customStyle="1" w:styleId="BalloonTextCharfffe">
    <w:name w:val="Balloon Text Char"/>
    <w:basedOn w:val="DefaultParagraphFont"/>
    <w:uiPriority w:val="99"/>
    <w:semiHidden/>
    <w:rsid w:val="00516D44"/>
    <w:rPr>
      <w:rFonts w:ascii="Lucida Grande" w:hAnsi="Lucida Grande"/>
      <w:sz w:val="18"/>
      <w:szCs w:val="18"/>
    </w:rPr>
  </w:style>
  <w:style w:type="character" w:customStyle="1" w:styleId="BalloonTextCharffff">
    <w:name w:val="Balloon Text Char"/>
    <w:basedOn w:val="DefaultParagraphFont"/>
    <w:uiPriority w:val="99"/>
    <w:semiHidden/>
    <w:rsid w:val="00516D44"/>
    <w:rPr>
      <w:rFonts w:ascii="Lucida Grande" w:hAnsi="Lucida Grande"/>
      <w:sz w:val="18"/>
      <w:szCs w:val="18"/>
    </w:rPr>
  </w:style>
  <w:style w:type="character" w:customStyle="1" w:styleId="BalloonTextCharffff0">
    <w:name w:val="Balloon Text Char"/>
    <w:basedOn w:val="DefaultParagraphFont"/>
    <w:uiPriority w:val="99"/>
    <w:semiHidden/>
    <w:rsid w:val="00431F33"/>
    <w:rPr>
      <w:rFonts w:ascii="Lucida Grande" w:hAnsi="Lucida Grande"/>
      <w:sz w:val="18"/>
      <w:szCs w:val="18"/>
    </w:rPr>
  </w:style>
  <w:style w:type="character" w:customStyle="1" w:styleId="BalloonTextCharffff1">
    <w:name w:val="Balloon Text Char"/>
    <w:basedOn w:val="DefaultParagraphFont"/>
    <w:uiPriority w:val="99"/>
    <w:semiHidden/>
    <w:rsid w:val="00431F33"/>
    <w:rPr>
      <w:rFonts w:ascii="Lucida Grande" w:hAnsi="Lucida Grande"/>
      <w:sz w:val="18"/>
      <w:szCs w:val="18"/>
    </w:rPr>
  </w:style>
  <w:style w:type="character" w:customStyle="1" w:styleId="BalloonTextCharffff2">
    <w:name w:val="Balloon Text Char"/>
    <w:basedOn w:val="DefaultParagraphFont"/>
    <w:uiPriority w:val="99"/>
    <w:semiHidden/>
    <w:rsid w:val="00431F33"/>
    <w:rPr>
      <w:rFonts w:ascii="Lucida Grande" w:hAnsi="Lucida Grande"/>
      <w:sz w:val="18"/>
      <w:szCs w:val="18"/>
    </w:rPr>
  </w:style>
  <w:style w:type="character" w:customStyle="1" w:styleId="BalloonTextCharffff3">
    <w:name w:val="Balloon Text Char"/>
    <w:basedOn w:val="DefaultParagraphFont"/>
    <w:uiPriority w:val="99"/>
    <w:semiHidden/>
    <w:rsid w:val="00D26892"/>
    <w:rPr>
      <w:rFonts w:ascii="Lucida Grande" w:hAnsi="Lucida Grande"/>
      <w:sz w:val="18"/>
      <w:szCs w:val="18"/>
    </w:rPr>
  </w:style>
  <w:style w:type="character" w:customStyle="1" w:styleId="BalloonTextCharffff4">
    <w:name w:val="Balloon Text Char"/>
    <w:basedOn w:val="DefaultParagraphFont"/>
    <w:uiPriority w:val="99"/>
    <w:semiHidden/>
    <w:rsid w:val="00D26892"/>
    <w:rPr>
      <w:rFonts w:ascii="Lucida Grande" w:hAnsi="Lucida Grande"/>
      <w:sz w:val="18"/>
      <w:szCs w:val="18"/>
    </w:rPr>
  </w:style>
  <w:style w:type="character" w:customStyle="1" w:styleId="BalloonTextCharffff5">
    <w:name w:val="Balloon Text Char"/>
    <w:basedOn w:val="DefaultParagraphFont"/>
    <w:uiPriority w:val="99"/>
    <w:semiHidden/>
    <w:rsid w:val="00B307AF"/>
    <w:rPr>
      <w:rFonts w:ascii="Lucida Grande" w:hAnsi="Lucida Grande"/>
      <w:sz w:val="18"/>
      <w:szCs w:val="18"/>
    </w:rPr>
  </w:style>
  <w:style w:type="character" w:customStyle="1" w:styleId="BalloonTextCharffff6">
    <w:name w:val="Balloon Text Char"/>
    <w:basedOn w:val="DefaultParagraphFont"/>
    <w:uiPriority w:val="99"/>
    <w:semiHidden/>
    <w:rsid w:val="00FA5AD5"/>
    <w:rPr>
      <w:rFonts w:ascii="Lucida Grande" w:hAnsi="Lucida Grande"/>
      <w:sz w:val="18"/>
      <w:szCs w:val="18"/>
    </w:rPr>
  </w:style>
  <w:style w:type="character" w:customStyle="1" w:styleId="BalloonTextCharffff7">
    <w:name w:val="Balloon Text Char"/>
    <w:basedOn w:val="DefaultParagraphFont"/>
    <w:uiPriority w:val="99"/>
    <w:semiHidden/>
    <w:rsid w:val="009E48A9"/>
    <w:rPr>
      <w:rFonts w:ascii="Lucida Grande" w:hAnsi="Lucida Grande"/>
      <w:sz w:val="18"/>
      <w:szCs w:val="18"/>
    </w:rPr>
  </w:style>
  <w:style w:type="character" w:customStyle="1" w:styleId="BalloonTextCharffff8">
    <w:name w:val="Balloon Text Char"/>
    <w:basedOn w:val="DefaultParagraphFont"/>
    <w:uiPriority w:val="99"/>
    <w:semiHidden/>
    <w:rsid w:val="00EF4DDF"/>
    <w:rPr>
      <w:rFonts w:ascii="Lucida Grande" w:hAnsi="Lucida Grande"/>
      <w:sz w:val="18"/>
      <w:szCs w:val="18"/>
    </w:rPr>
  </w:style>
  <w:style w:type="character" w:customStyle="1" w:styleId="BalloonTextCharffff9">
    <w:name w:val="Balloon Text Char"/>
    <w:basedOn w:val="DefaultParagraphFont"/>
    <w:uiPriority w:val="99"/>
    <w:semiHidden/>
    <w:rsid w:val="00C42E7C"/>
    <w:rPr>
      <w:rFonts w:ascii="Lucida Grande" w:hAnsi="Lucida Grande"/>
      <w:sz w:val="18"/>
      <w:szCs w:val="18"/>
    </w:rPr>
  </w:style>
  <w:style w:type="character" w:customStyle="1" w:styleId="BalloonTextCharffffa">
    <w:name w:val="Balloon Text Char"/>
    <w:basedOn w:val="DefaultParagraphFont"/>
    <w:uiPriority w:val="99"/>
    <w:semiHidden/>
    <w:rsid w:val="00C42E7C"/>
    <w:rPr>
      <w:rFonts w:ascii="Lucida Grande" w:hAnsi="Lucida Grande"/>
      <w:sz w:val="18"/>
      <w:szCs w:val="18"/>
    </w:rPr>
  </w:style>
  <w:style w:type="character" w:customStyle="1" w:styleId="BalloonTextCharffffb">
    <w:name w:val="Balloon Text Char"/>
    <w:basedOn w:val="DefaultParagraphFont"/>
    <w:uiPriority w:val="99"/>
    <w:semiHidden/>
    <w:rsid w:val="00C42E7C"/>
    <w:rPr>
      <w:rFonts w:ascii="Lucida Grande" w:hAnsi="Lucida Grande"/>
      <w:sz w:val="18"/>
      <w:szCs w:val="18"/>
    </w:rPr>
  </w:style>
  <w:style w:type="character" w:customStyle="1" w:styleId="BalloonTextCharffffc">
    <w:name w:val="Balloon Text Char"/>
    <w:basedOn w:val="DefaultParagraphFont"/>
    <w:uiPriority w:val="99"/>
    <w:semiHidden/>
    <w:rsid w:val="00952371"/>
    <w:rPr>
      <w:rFonts w:ascii="Lucida Grande" w:hAnsi="Lucida Grande"/>
      <w:sz w:val="18"/>
      <w:szCs w:val="18"/>
    </w:rPr>
  </w:style>
  <w:style w:type="character" w:customStyle="1" w:styleId="BalloonTextCharffffd">
    <w:name w:val="Balloon Text Char"/>
    <w:basedOn w:val="DefaultParagraphFont"/>
    <w:uiPriority w:val="99"/>
    <w:semiHidden/>
    <w:rsid w:val="008C194F"/>
    <w:rPr>
      <w:rFonts w:ascii="Lucida Grande" w:hAnsi="Lucida Grande" w:cs="Lucida Grande"/>
      <w:sz w:val="18"/>
      <w:szCs w:val="18"/>
    </w:rPr>
  </w:style>
  <w:style w:type="character" w:customStyle="1" w:styleId="BalloonTextCharffffe">
    <w:name w:val="Balloon Text Char"/>
    <w:basedOn w:val="DefaultParagraphFont"/>
    <w:uiPriority w:val="99"/>
    <w:semiHidden/>
    <w:rsid w:val="008C194F"/>
    <w:rPr>
      <w:rFonts w:ascii="Lucida Grande" w:hAnsi="Lucida Grande" w:cs="Lucida Grande"/>
      <w:sz w:val="18"/>
      <w:szCs w:val="18"/>
    </w:rPr>
  </w:style>
  <w:style w:type="character" w:customStyle="1" w:styleId="BalloonTextCharfffff">
    <w:name w:val="Balloon Text Char"/>
    <w:basedOn w:val="DefaultParagraphFont"/>
    <w:uiPriority w:val="99"/>
    <w:semiHidden/>
    <w:rsid w:val="008C194F"/>
    <w:rPr>
      <w:rFonts w:ascii="Lucida Grande" w:hAnsi="Lucida Grande" w:cs="Lucida Grande"/>
      <w:sz w:val="18"/>
      <w:szCs w:val="18"/>
    </w:rPr>
  </w:style>
  <w:style w:type="character" w:customStyle="1" w:styleId="BalloonTextCharfffff0">
    <w:name w:val="Balloon Text Char"/>
    <w:basedOn w:val="DefaultParagraphFont"/>
    <w:uiPriority w:val="99"/>
    <w:semiHidden/>
    <w:rsid w:val="00C14059"/>
    <w:rPr>
      <w:rFonts w:ascii="Lucida Grande" w:hAnsi="Lucida Grande"/>
      <w:sz w:val="18"/>
      <w:szCs w:val="18"/>
    </w:rPr>
  </w:style>
  <w:style w:type="character" w:customStyle="1" w:styleId="BalloonTextCharfffff1">
    <w:name w:val="Balloon Text Char"/>
    <w:basedOn w:val="DefaultParagraphFont"/>
    <w:uiPriority w:val="99"/>
    <w:semiHidden/>
    <w:rsid w:val="00C14059"/>
    <w:rPr>
      <w:rFonts w:ascii="Lucida Grande" w:hAnsi="Lucida Grande"/>
      <w:sz w:val="18"/>
      <w:szCs w:val="18"/>
    </w:rPr>
  </w:style>
  <w:style w:type="character" w:customStyle="1" w:styleId="BalloonTextCharfffff2">
    <w:name w:val="Balloon Text Char"/>
    <w:basedOn w:val="DefaultParagraphFont"/>
    <w:uiPriority w:val="99"/>
    <w:semiHidden/>
    <w:rsid w:val="00C14059"/>
    <w:rPr>
      <w:rFonts w:ascii="Lucida Grande" w:hAnsi="Lucida Grande"/>
      <w:sz w:val="18"/>
      <w:szCs w:val="18"/>
    </w:rPr>
  </w:style>
  <w:style w:type="character" w:customStyle="1" w:styleId="BalloonTextCharfffff3">
    <w:name w:val="Balloon Text Char"/>
    <w:basedOn w:val="DefaultParagraphFont"/>
    <w:uiPriority w:val="99"/>
    <w:semiHidden/>
    <w:rsid w:val="00A57E4C"/>
    <w:rPr>
      <w:rFonts w:ascii="Lucida Grande" w:hAnsi="Lucida Grande"/>
      <w:sz w:val="18"/>
      <w:szCs w:val="18"/>
    </w:rPr>
  </w:style>
  <w:style w:type="character" w:customStyle="1" w:styleId="BalloonTextCharfffff4">
    <w:name w:val="Balloon Text Char"/>
    <w:basedOn w:val="DefaultParagraphFont"/>
    <w:uiPriority w:val="99"/>
    <w:semiHidden/>
    <w:rsid w:val="00A57E4C"/>
    <w:rPr>
      <w:rFonts w:ascii="Lucida Grande" w:hAnsi="Lucida Grande"/>
      <w:sz w:val="18"/>
      <w:szCs w:val="18"/>
    </w:rPr>
  </w:style>
  <w:style w:type="character" w:customStyle="1" w:styleId="BalloonTextCharfffff5">
    <w:name w:val="Balloon Text Char"/>
    <w:basedOn w:val="DefaultParagraphFont"/>
    <w:uiPriority w:val="99"/>
    <w:semiHidden/>
    <w:rsid w:val="00A57E4C"/>
    <w:rPr>
      <w:rFonts w:ascii="Lucida Grande" w:hAnsi="Lucida Grande"/>
      <w:sz w:val="18"/>
      <w:szCs w:val="18"/>
    </w:rPr>
  </w:style>
  <w:style w:type="character" w:customStyle="1" w:styleId="BalloonTextCharfffff6">
    <w:name w:val="Balloon Text Char"/>
    <w:basedOn w:val="DefaultParagraphFont"/>
    <w:uiPriority w:val="99"/>
    <w:semiHidden/>
    <w:rsid w:val="00A57E4C"/>
    <w:rPr>
      <w:rFonts w:ascii="Lucida Grande" w:hAnsi="Lucida Grande"/>
      <w:sz w:val="18"/>
      <w:szCs w:val="18"/>
    </w:rPr>
  </w:style>
  <w:style w:type="character" w:customStyle="1" w:styleId="BalloonTextCharfffff7">
    <w:name w:val="Balloon Text Char"/>
    <w:basedOn w:val="DefaultParagraphFont"/>
    <w:uiPriority w:val="99"/>
    <w:semiHidden/>
    <w:rsid w:val="00A57E4C"/>
    <w:rPr>
      <w:rFonts w:ascii="Lucida Grande" w:hAnsi="Lucida Grande"/>
      <w:sz w:val="18"/>
      <w:szCs w:val="18"/>
    </w:rPr>
  </w:style>
  <w:style w:type="character" w:styleId="CommentReference">
    <w:name w:val="annotation reference"/>
    <w:basedOn w:val="DefaultParagraphFont"/>
    <w:uiPriority w:val="99"/>
    <w:semiHidden/>
    <w:unhideWhenUsed/>
    <w:rsid w:val="00410D18"/>
    <w:rPr>
      <w:sz w:val="18"/>
      <w:szCs w:val="18"/>
    </w:rPr>
  </w:style>
  <w:style w:type="paragraph" w:styleId="CommentText">
    <w:name w:val="annotation text"/>
    <w:basedOn w:val="Normal"/>
    <w:link w:val="CommentTextChar"/>
    <w:uiPriority w:val="99"/>
    <w:semiHidden/>
    <w:unhideWhenUsed/>
    <w:rsid w:val="00410D18"/>
  </w:style>
  <w:style w:type="character" w:customStyle="1" w:styleId="CommentTextChar">
    <w:name w:val="Comment Text Char"/>
    <w:basedOn w:val="DefaultParagraphFont"/>
    <w:link w:val="CommentText"/>
    <w:uiPriority w:val="99"/>
    <w:semiHidden/>
    <w:rsid w:val="00410D18"/>
  </w:style>
  <w:style w:type="paragraph" w:styleId="CommentSubject">
    <w:name w:val="annotation subject"/>
    <w:basedOn w:val="CommentText"/>
    <w:next w:val="CommentText"/>
    <w:link w:val="CommentSubjectChar"/>
    <w:uiPriority w:val="99"/>
    <w:semiHidden/>
    <w:unhideWhenUsed/>
    <w:rsid w:val="00410D18"/>
    <w:rPr>
      <w:b/>
      <w:bCs/>
      <w:sz w:val="20"/>
      <w:szCs w:val="20"/>
    </w:rPr>
  </w:style>
  <w:style w:type="character" w:customStyle="1" w:styleId="CommentSubjectChar">
    <w:name w:val="Comment Subject Char"/>
    <w:basedOn w:val="CommentTextChar"/>
    <w:link w:val="CommentSubject"/>
    <w:uiPriority w:val="99"/>
    <w:semiHidden/>
    <w:rsid w:val="00410D18"/>
    <w:rPr>
      <w:b/>
      <w:bCs/>
      <w:sz w:val="20"/>
      <w:szCs w:val="20"/>
    </w:rPr>
  </w:style>
  <w:style w:type="character" w:customStyle="1" w:styleId="BalloonTextChar1">
    <w:name w:val="Balloon Text Char1"/>
    <w:basedOn w:val="DefaultParagraphFont"/>
    <w:link w:val="BalloonText"/>
    <w:uiPriority w:val="99"/>
    <w:semiHidden/>
    <w:rsid w:val="00410D18"/>
    <w:rPr>
      <w:rFonts w:ascii="Lucida Grande" w:hAnsi="Lucida Grande" w:cs="Lucida Grande"/>
      <w:sz w:val="18"/>
      <w:szCs w:val="18"/>
    </w:rPr>
  </w:style>
  <w:style w:type="paragraph" w:styleId="FootnoteText">
    <w:name w:val="footnote text"/>
    <w:basedOn w:val="Normal"/>
    <w:link w:val="FootnoteTextChar"/>
    <w:rsid w:val="00F70BD5"/>
    <w:rPr>
      <w:rFonts w:ascii="Times New Roman" w:eastAsia="Times New Roman" w:hAnsi="Times New Roman" w:cs="Times New Roman"/>
    </w:rPr>
  </w:style>
  <w:style w:type="character" w:customStyle="1" w:styleId="FootnoteTextChar">
    <w:name w:val="Footnote Text Char"/>
    <w:basedOn w:val="DefaultParagraphFont"/>
    <w:link w:val="FootnoteText"/>
    <w:rsid w:val="00F70BD5"/>
    <w:rPr>
      <w:rFonts w:ascii="Times New Roman" w:eastAsia="Times New Roman" w:hAnsi="Times New Roman" w:cs="Times New Roman"/>
    </w:rPr>
  </w:style>
  <w:style w:type="character" w:styleId="FootnoteReference">
    <w:name w:val="footnote reference"/>
    <w:basedOn w:val="DefaultParagraphFont"/>
    <w:rsid w:val="00F70BD5"/>
    <w:rPr>
      <w:vertAlign w:val="superscript"/>
    </w:rPr>
  </w:style>
  <w:style w:type="table" w:styleId="TableGrid">
    <w:name w:val="Table Grid"/>
    <w:basedOn w:val="TableNormal"/>
    <w:uiPriority w:val="59"/>
    <w:rsid w:val="006D381C"/>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A5450"/>
    <w:pPr>
      <w:tabs>
        <w:tab w:val="center" w:pos="4320"/>
        <w:tab w:val="right" w:pos="8640"/>
      </w:tabs>
    </w:pPr>
  </w:style>
  <w:style w:type="character" w:customStyle="1" w:styleId="FooterChar">
    <w:name w:val="Footer Char"/>
    <w:basedOn w:val="DefaultParagraphFont"/>
    <w:link w:val="Footer"/>
    <w:uiPriority w:val="99"/>
    <w:rsid w:val="00BA5450"/>
  </w:style>
  <w:style w:type="character" w:styleId="PageNumber">
    <w:name w:val="page number"/>
    <w:basedOn w:val="DefaultParagraphFont"/>
    <w:uiPriority w:val="99"/>
    <w:semiHidden/>
    <w:unhideWhenUsed/>
    <w:rsid w:val="00BA5450"/>
  </w:style>
  <w:style w:type="paragraph" w:styleId="HTMLPreformatted">
    <w:name w:val="HTML Preformatted"/>
    <w:basedOn w:val="Normal"/>
    <w:link w:val="HTMLPreformattedChar"/>
    <w:uiPriority w:val="99"/>
    <w:unhideWhenUsed/>
    <w:rsid w:val="00872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rsid w:val="0087247C"/>
    <w:rPr>
      <w:rFonts w:ascii="Courier" w:hAnsi="Courier" w:cs="Courier"/>
      <w:sz w:val="20"/>
      <w:szCs w:val="20"/>
      <w:lang w:eastAsia="en-US"/>
    </w:rPr>
  </w:style>
  <w:style w:type="character" w:styleId="Hyperlink">
    <w:name w:val="Hyperlink"/>
    <w:basedOn w:val="DefaultParagraphFont"/>
    <w:uiPriority w:val="99"/>
    <w:unhideWhenUsed/>
    <w:rsid w:val="0087247C"/>
    <w:rPr>
      <w:color w:val="0000FF"/>
      <w:u w:val="single"/>
    </w:rPr>
  </w:style>
  <w:style w:type="character" w:styleId="EndnoteReference">
    <w:name w:val="endnote reference"/>
    <w:basedOn w:val="DefaultParagraphFont"/>
    <w:uiPriority w:val="99"/>
    <w:unhideWhenUsed/>
    <w:rsid w:val="000B41FE"/>
    <w:rPr>
      <w:vertAlign w:val="superscript"/>
    </w:rPr>
  </w:style>
  <w:style w:type="paragraph" w:styleId="Bibliography">
    <w:name w:val="Bibliography"/>
    <w:basedOn w:val="Normal"/>
    <w:next w:val="Normal"/>
    <w:unhideWhenUsed/>
    <w:rsid w:val="00C369D9"/>
    <w:pPr>
      <w:ind w:left="720" w:hanging="720"/>
    </w:pPr>
  </w:style>
  <w:style w:type="paragraph" w:styleId="Revision">
    <w:name w:val="Revision"/>
    <w:hidden/>
    <w:uiPriority w:val="99"/>
    <w:semiHidden/>
    <w:rsid w:val="00F247A2"/>
  </w:style>
  <w:style w:type="character" w:styleId="Emphasis">
    <w:name w:val="Emphasis"/>
    <w:basedOn w:val="DefaultParagraphFont"/>
    <w:uiPriority w:val="20"/>
    <w:rsid w:val="00D72FCC"/>
    <w:rPr>
      <w:i/>
    </w:rPr>
  </w:style>
  <w:style w:type="character" w:styleId="FollowedHyperlink">
    <w:name w:val="FollowedHyperlink"/>
    <w:basedOn w:val="DefaultParagraphFont"/>
    <w:uiPriority w:val="99"/>
    <w:semiHidden/>
    <w:unhideWhenUsed/>
    <w:rsid w:val="00D72FCC"/>
    <w:rPr>
      <w:color w:val="800080" w:themeColor="followedHyperlink"/>
      <w:u w:val="single"/>
    </w:rPr>
  </w:style>
  <w:style w:type="paragraph" w:styleId="ListParagraph">
    <w:name w:val="List Paragraph"/>
    <w:basedOn w:val="Normal"/>
    <w:uiPriority w:val="34"/>
    <w:qFormat/>
    <w:rsid w:val="00803D14"/>
    <w:pPr>
      <w:ind w:left="720"/>
      <w:contextualSpacing/>
    </w:pPr>
  </w:style>
  <w:style w:type="paragraph" w:styleId="EndnoteText">
    <w:name w:val="endnote text"/>
    <w:basedOn w:val="Normal"/>
    <w:link w:val="EndnoteTextChar"/>
    <w:uiPriority w:val="99"/>
    <w:unhideWhenUsed/>
    <w:rsid w:val="008E33A3"/>
  </w:style>
  <w:style w:type="character" w:customStyle="1" w:styleId="EndnoteTextChar">
    <w:name w:val="Endnote Text Char"/>
    <w:basedOn w:val="DefaultParagraphFont"/>
    <w:link w:val="EndnoteText"/>
    <w:uiPriority w:val="99"/>
    <w:rsid w:val="008E33A3"/>
  </w:style>
  <w:style w:type="character" w:customStyle="1" w:styleId="Heading1Char">
    <w:name w:val="Heading 1 Char"/>
    <w:basedOn w:val="DefaultParagraphFont"/>
    <w:link w:val="Heading1"/>
    <w:uiPriority w:val="9"/>
    <w:rsid w:val="0017639A"/>
    <w:rPr>
      <w:rFonts w:ascii="Times" w:hAnsi="Times"/>
      <w:b/>
      <w:kern w:val="36"/>
      <w:sz w:val="48"/>
      <w:szCs w:val="20"/>
      <w:lang w:eastAsia="en-US"/>
    </w:rPr>
  </w:style>
  <w:style w:type="paragraph" w:styleId="NormalWeb">
    <w:name w:val="Normal (Web)"/>
    <w:basedOn w:val="Normal"/>
    <w:uiPriority w:val="99"/>
    <w:rsid w:val="0017639A"/>
    <w:pPr>
      <w:spacing w:beforeLines="1" w:afterLines="1"/>
    </w:pPr>
    <w:rPr>
      <w:rFonts w:ascii="Times" w:hAnsi="Times" w:cs="Times New Roman"/>
      <w:sz w:val="20"/>
      <w:szCs w:val="20"/>
      <w:lang w:eastAsia="en-US"/>
    </w:rPr>
  </w:style>
  <w:style w:type="character" w:customStyle="1" w:styleId="text">
    <w:name w:val="text"/>
    <w:basedOn w:val="DefaultParagraphFont"/>
    <w:rsid w:val="009F0704"/>
  </w:style>
  <w:style w:type="character" w:styleId="Strong">
    <w:name w:val="Strong"/>
    <w:basedOn w:val="DefaultParagraphFont"/>
    <w:uiPriority w:val="22"/>
    <w:rsid w:val="00A23BE3"/>
    <w:rPr>
      <w:b/>
    </w:rPr>
  </w:style>
  <w:style w:type="paragraph" w:customStyle="1" w:styleId="Default">
    <w:name w:val="Default"/>
    <w:rsid w:val="00420744"/>
    <w:pPr>
      <w:widowControl w:val="0"/>
      <w:autoSpaceDE w:val="0"/>
      <w:autoSpaceDN w:val="0"/>
      <w:adjustRightInd w:val="0"/>
    </w:pPr>
    <w:rPr>
      <w:rFonts w:ascii="Times New Roman" w:hAnsi="Times New Roman" w:cs="Times New Roman"/>
      <w:color w:val="000000"/>
    </w:rPr>
  </w:style>
  <w:style w:type="paragraph" w:styleId="Title">
    <w:name w:val="Title"/>
    <w:basedOn w:val="Default"/>
    <w:next w:val="Default"/>
    <w:link w:val="TitleChar"/>
    <w:uiPriority w:val="99"/>
    <w:qFormat/>
    <w:rsid w:val="00420744"/>
    <w:rPr>
      <w:color w:val="auto"/>
    </w:rPr>
  </w:style>
  <w:style w:type="character" w:customStyle="1" w:styleId="TitleChar">
    <w:name w:val="Title Char"/>
    <w:basedOn w:val="DefaultParagraphFont"/>
    <w:link w:val="Title"/>
    <w:uiPriority w:val="99"/>
    <w:rsid w:val="00420744"/>
    <w:rPr>
      <w:rFonts w:ascii="Times New Roman" w:hAnsi="Times New Roman" w:cs="Times New Roman"/>
    </w:rPr>
  </w:style>
  <w:style w:type="character" w:customStyle="1" w:styleId="publisher">
    <w:name w:val="publisher"/>
    <w:basedOn w:val="DefaultParagraphFont"/>
    <w:rsid w:val="00C635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A3488D"/>
  </w:style>
  <w:style w:type="paragraph" w:styleId="Heading1">
    <w:name w:val="heading 1"/>
    <w:basedOn w:val="Normal"/>
    <w:link w:val="Heading1Char"/>
    <w:uiPriority w:val="9"/>
    <w:rsid w:val="0017639A"/>
    <w:pPr>
      <w:spacing w:beforeLines="1" w:afterLines="1"/>
      <w:outlineLvl w:val="0"/>
    </w:pPr>
    <w:rPr>
      <w:rFonts w:ascii="Times" w:hAnsi="Times"/>
      <w:b/>
      <w:kern w:val="36"/>
      <w:sz w:val="4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10D18"/>
    <w:rPr>
      <w:rFonts w:ascii="Lucida Grande" w:hAnsi="Lucida Grande" w:cs="Lucida Grande"/>
      <w:sz w:val="18"/>
      <w:szCs w:val="18"/>
    </w:rPr>
  </w:style>
  <w:style w:type="character" w:customStyle="1" w:styleId="BalloonTextChar">
    <w:name w:val="Balloon Text Char"/>
    <w:basedOn w:val="DefaultParagraphFont"/>
    <w:uiPriority w:val="99"/>
    <w:semiHidden/>
    <w:rsid w:val="00993F00"/>
    <w:rPr>
      <w:rFonts w:ascii="Lucida Grande" w:hAnsi="Lucida Grande"/>
      <w:sz w:val="18"/>
      <w:szCs w:val="18"/>
    </w:rPr>
  </w:style>
  <w:style w:type="character" w:customStyle="1" w:styleId="BalloonTextChar0">
    <w:name w:val="Balloon Text Char"/>
    <w:basedOn w:val="DefaultParagraphFont"/>
    <w:uiPriority w:val="99"/>
    <w:semiHidden/>
    <w:rsid w:val="00511B58"/>
    <w:rPr>
      <w:rFonts w:ascii="Lucida Grande" w:hAnsi="Lucida Grande" w:cs="Lucida Grande"/>
      <w:sz w:val="18"/>
      <w:szCs w:val="18"/>
    </w:rPr>
  </w:style>
  <w:style w:type="character" w:customStyle="1" w:styleId="BalloonTextChar2">
    <w:name w:val="Balloon Text Char"/>
    <w:basedOn w:val="DefaultParagraphFont"/>
    <w:uiPriority w:val="99"/>
    <w:semiHidden/>
    <w:rsid w:val="00C53A02"/>
    <w:rPr>
      <w:rFonts w:ascii="Lucida Grande" w:hAnsi="Lucida Grande" w:cs="Lucida Grande"/>
      <w:sz w:val="18"/>
      <w:szCs w:val="18"/>
    </w:rPr>
  </w:style>
  <w:style w:type="character" w:customStyle="1" w:styleId="BalloonTextChar3">
    <w:name w:val="Balloon Text Char"/>
    <w:basedOn w:val="DefaultParagraphFont"/>
    <w:uiPriority w:val="99"/>
    <w:semiHidden/>
    <w:rsid w:val="00C53A02"/>
    <w:rPr>
      <w:rFonts w:ascii="Lucida Grande" w:hAnsi="Lucida Grande" w:cs="Lucida Grande"/>
      <w:sz w:val="18"/>
      <w:szCs w:val="18"/>
    </w:rPr>
  </w:style>
  <w:style w:type="character" w:customStyle="1" w:styleId="BalloonTextChar4">
    <w:name w:val="Balloon Text Char"/>
    <w:basedOn w:val="DefaultParagraphFont"/>
    <w:uiPriority w:val="99"/>
    <w:semiHidden/>
    <w:rsid w:val="00185BD0"/>
    <w:rPr>
      <w:rFonts w:ascii="Lucida Grande" w:hAnsi="Lucida Grande"/>
      <w:sz w:val="18"/>
      <w:szCs w:val="18"/>
    </w:rPr>
  </w:style>
  <w:style w:type="character" w:customStyle="1" w:styleId="BalloonTextChar5">
    <w:name w:val="Balloon Text Char"/>
    <w:basedOn w:val="DefaultParagraphFont"/>
    <w:uiPriority w:val="99"/>
    <w:semiHidden/>
    <w:rsid w:val="00C534A9"/>
    <w:rPr>
      <w:rFonts w:ascii="Lucida Grande" w:hAnsi="Lucida Grande"/>
      <w:sz w:val="18"/>
      <w:szCs w:val="18"/>
    </w:rPr>
  </w:style>
  <w:style w:type="character" w:customStyle="1" w:styleId="BalloonTextChar6">
    <w:name w:val="Balloon Text Char"/>
    <w:basedOn w:val="DefaultParagraphFont"/>
    <w:uiPriority w:val="99"/>
    <w:semiHidden/>
    <w:rsid w:val="00C534A9"/>
    <w:rPr>
      <w:rFonts w:ascii="Lucida Grande" w:hAnsi="Lucida Grande"/>
      <w:sz w:val="18"/>
      <w:szCs w:val="18"/>
    </w:rPr>
  </w:style>
  <w:style w:type="character" w:customStyle="1" w:styleId="BalloonTextChar7">
    <w:name w:val="Balloon Text Char"/>
    <w:basedOn w:val="DefaultParagraphFont"/>
    <w:uiPriority w:val="99"/>
    <w:semiHidden/>
    <w:rsid w:val="00C534A9"/>
    <w:rPr>
      <w:rFonts w:ascii="Lucida Grande" w:hAnsi="Lucida Grande"/>
      <w:sz w:val="18"/>
      <w:szCs w:val="18"/>
    </w:rPr>
  </w:style>
  <w:style w:type="character" w:customStyle="1" w:styleId="BalloonTextChar8">
    <w:name w:val="Balloon Text Char"/>
    <w:basedOn w:val="DefaultParagraphFont"/>
    <w:uiPriority w:val="99"/>
    <w:semiHidden/>
    <w:rsid w:val="00C534A9"/>
    <w:rPr>
      <w:rFonts w:ascii="Lucida Grande" w:hAnsi="Lucida Grande"/>
      <w:sz w:val="18"/>
      <w:szCs w:val="18"/>
    </w:rPr>
  </w:style>
  <w:style w:type="character" w:customStyle="1" w:styleId="BalloonTextChar9">
    <w:name w:val="Balloon Text Char"/>
    <w:basedOn w:val="DefaultParagraphFont"/>
    <w:uiPriority w:val="99"/>
    <w:semiHidden/>
    <w:rsid w:val="0065188C"/>
    <w:rPr>
      <w:rFonts w:ascii="Lucida Grande" w:hAnsi="Lucida Grande" w:cs="Lucida Grande"/>
      <w:sz w:val="18"/>
      <w:szCs w:val="18"/>
    </w:rPr>
  </w:style>
  <w:style w:type="character" w:customStyle="1" w:styleId="BalloonTextChara">
    <w:name w:val="Balloon Text Char"/>
    <w:basedOn w:val="DefaultParagraphFont"/>
    <w:uiPriority w:val="99"/>
    <w:semiHidden/>
    <w:rsid w:val="00DA2258"/>
    <w:rPr>
      <w:rFonts w:ascii="Lucida Grande" w:hAnsi="Lucida Grande" w:cs="Lucida Grande"/>
      <w:sz w:val="18"/>
      <w:szCs w:val="18"/>
    </w:rPr>
  </w:style>
  <w:style w:type="character" w:customStyle="1" w:styleId="BalloonTextCharb">
    <w:name w:val="Balloon Text Char"/>
    <w:basedOn w:val="DefaultParagraphFont"/>
    <w:uiPriority w:val="99"/>
    <w:semiHidden/>
    <w:rsid w:val="00DA2258"/>
    <w:rPr>
      <w:rFonts w:ascii="Lucida Grande" w:hAnsi="Lucida Grande" w:cs="Lucida Grande"/>
      <w:sz w:val="18"/>
      <w:szCs w:val="18"/>
    </w:rPr>
  </w:style>
  <w:style w:type="character" w:customStyle="1" w:styleId="BalloonTextCharc">
    <w:name w:val="Balloon Text Char"/>
    <w:basedOn w:val="DefaultParagraphFont"/>
    <w:uiPriority w:val="99"/>
    <w:semiHidden/>
    <w:rsid w:val="002B3FF0"/>
    <w:rPr>
      <w:rFonts w:ascii="Lucida Grande" w:hAnsi="Lucida Grande"/>
      <w:sz w:val="18"/>
      <w:szCs w:val="18"/>
    </w:rPr>
  </w:style>
  <w:style w:type="character" w:customStyle="1" w:styleId="BalloonTextChard">
    <w:name w:val="Balloon Text Char"/>
    <w:basedOn w:val="DefaultParagraphFont"/>
    <w:uiPriority w:val="99"/>
    <w:semiHidden/>
    <w:rsid w:val="006245F1"/>
    <w:rPr>
      <w:rFonts w:ascii="Lucida Grande" w:hAnsi="Lucida Grande" w:cs="Lucida Grande"/>
      <w:sz w:val="18"/>
      <w:szCs w:val="18"/>
    </w:rPr>
  </w:style>
  <w:style w:type="character" w:customStyle="1" w:styleId="BalloonTextChare">
    <w:name w:val="Balloon Text Char"/>
    <w:basedOn w:val="DefaultParagraphFont"/>
    <w:uiPriority w:val="99"/>
    <w:semiHidden/>
    <w:rsid w:val="006245F1"/>
    <w:rPr>
      <w:rFonts w:ascii="Lucida Grande" w:hAnsi="Lucida Grande" w:cs="Lucida Grande"/>
      <w:sz w:val="18"/>
      <w:szCs w:val="18"/>
    </w:rPr>
  </w:style>
  <w:style w:type="character" w:customStyle="1" w:styleId="BalloonTextCharf">
    <w:name w:val="Balloon Text Char"/>
    <w:basedOn w:val="DefaultParagraphFont"/>
    <w:uiPriority w:val="99"/>
    <w:semiHidden/>
    <w:rsid w:val="006245F1"/>
    <w:rPr>
      <w:rFonts w:ascii="Lucida Grande" w:hAnsi="Lucida Grande" w:cs="Lucida Grande"/>
      <w:sz w:val="18"/>
      <w:szCs w:val="18"/>
    </w:rPr>
  </w:style>
  <w:style w:type="character" w:customStyle="1" w:styleId="BalloonTextCharf0">
    <w:name w:val="Balloon Text Char"/>
    <w:basedOn w:val="DefaultParagraphFont"/>
    <w:uiPriority w:val="99"/>
    <w:semiHidden/>
    <w:rsid w:val="006245F1"/>
    <w:rPr>
      <w:rFonts w:ascii="Lucida Grande" w:hAnsi="Lucida Grande" w:cs="Lucida Grande"/>
      <w:sz w:val="18"/>
      <w:szCs w:val="18"/>
    </w:rPr>
  </w:style>
  <w:style w:type="character" w:customStyle="1" w:styleId="BalloonTextCharf1">
    <w:name w:val="Balloon Text Char"/>
    <w:basedOn w:val="DefaultParagraphFont"/>
    <w:uiPriority w:val="99"/>
    <w:semiHidden/>
    <w:rsid w:val="00C07A03"/>
    <w:rPr>
      <w:rFonts w:ascii="Lucida Grande" w:hAnsi="Lucida Grande"/>
      <w:sz w:val="18"/>
      <w:szCs w:val="18"/>
    </w:rPr>
  </w:style>
  <w:style w:type="character" w:customStyle="1" w:styleId="BalloonTextCharf2">
    <w:name w:val="Balloon Text Char"/>
    <w:basedOn w:val="DefaultParagraphFont"/>
    <w:uiPriority w:val="99"/>
    <w:semiHidden/>
    <w:rsid w:val="00C07A03"/>
    <w:rPr>
      <w:rFonts w:ascii="Lucida Grande" w:hAnsi="Lucida Grande"/>
      <w:sz w:val="18"/>
      <w:szCs w:val="18"/>
    </w:rPr>
  </w:style>
  <w:style w:type="character" w:customStyle="1" w:styleId="BalloonTextCharf3">
    <w:name w:val="Balloon Text Char"/>
    <w:basedOn w:val="DefaultParagraphFont"/>
    <w:uiPriority w:val="99"/>
    <w:semiHidden/>
    <w:rsid w:val="001F5D20"/>
    <w:rPr>
      <w:rFonts w:ascii="Lucida Grande" w:hAnsi="Lucida Grande"/>
      <w:sz w:val="18"/>
      <w:szCs w:val="18"/>
    </w:rPr>
  </w:style>
  <w:style w:type="character" w:customStyle="1" w:styleId="BalloonTextCharf4">
    <w:name w:val="Balloon Text Char"/>
    <w:basedOn w:val="DefaultParagraphFont"/>
    <w:uiPriority w:val="99"/>
    <w:semiHidden/>
    <w:rsid w:val="001F5D20"/>
    <w:rPr>
      <w:rFonts w:ascii="Lucida Grande" w:hAnsi="Lucida Grande"/>
      <w:sz w:val="18"/>
      <w:szCs w:val="18"/>
    </w:rPr>
  </w:style>
  <w:style w:type="character" w:customStyle="1" w:styleId="BalloonTextCharf5">
    <w:name w:val="Balloon Text Char"/>
    <w:basedOn w:val="DefaultParagraphFont"/>
    <w:uiPriority w:val="99"/>
    <w:semiHidden/>
    <w:rsid w:val="00FF25DD"/>
    <w:rPr>
      <w:rFonts w:ascii="Lucida Grande" w:hAnsi="Lucida Grande"/>
      <w:sz w:val="18"/>
      <w:szCs w:val="18"/>
    </w:rPr>
  </w:style>
  <w:style w:type="character" w:customStyle="1" w:styleId="BalloonTextCharf6">
    <w:name w:val="Balloon Text Char"/>
    <w:basedOn w:val="DefaultParagraphFont"/>
    <w:uiPriority w:val="99"/>
    <w:semiHidden/>
    <w:rsid w:val="00FF25DD"/>
    <w:rPr>
      <w:rFonts w:ascii="Lucida Grande" w:hAnsi="Lucida Grande"/>
      <w:sz w:val="18"/>
      <w:szCs w:val="18"/>
    </w:rPr>
  </w:style>
  <w:style w:type="character" w:customStyle="1" w:styleId="BalloonTextCharf7">
    <w:name w:val="Balloon Text Char"/>
    <w:basedOn w:val="DefaultParagraphFont"/>
    <w:uiPriority w:val="99"/>
    <w:semiHidden/>
    <w:rsid w:val="00032EC0"/>
    <w:rPr>
      <w:rFonts w:ascii="Lucida Grande" w:hAnsi="Lucida Grande" w:cs="Lucida Grande"/>
      <w:sz w:val="18"/>
      <w:szCs w:val="18"/>
    </w:rPr>
  </w:style>
  <w:style w:type="character" w:customStyle="1" w:styleId="BalloonTextCharf8">
    <w:name w:val="Balloon Text Char"/>
    <w:basedOn w:val="DefaultParagraphFont"/>
    <w:uiPriority w:val="99"/>
    <w:semiHidden/>
    <w:rsid w:val="00032EC0"/>
    <w:rPr>
      <w:rFonts w:ascii="Lucida Grande" w:hAnsi="Lucida Grande" w:cs="Lucida Grande"/>
      <w:sz w:val="18"/>
      <w:szCs w:val="18"/>
    </w:rPr>
  </w:style>
  <w:style w:type="character" w:customStyle="1" w:styleId="BalloonTextCharf9">
    <w:name w:val="Balloon Text Char"/>
    <w:basedOn w:val="DefaultParagraphFont"/>
    <w:uiPriority w:val="99"/>
    <w:semiHidden/>
    <w:rsid w:val="00777272"/>
    <w:rPr>
      <w:rFonts w:ascii="Lucida Grande" w:hAnsi="Lucida Grande" w:cs="Lucida Grande"/>
      <w:sz w:val="18"/>
      <w:szCs w:val="18"/>
    </w:rPr>
  </w:style>
  <w:style w:type="character" w:customStyle="1" w:styleId="BalloonTextCharfa">
    <w:name w:val="Balloon Text Char"/>
    <w:basedOn w:val="DefaultParagraphFont"/>
    <w:uiPriority w:val="99"/>
    <w:semiHidden/>
    <w:rsid w:val="00E30184"/>
    <w:rPr>
      <w:rFonts w:ascii="Lucida Grande" w:hAnsi="Lucida Grande" w:cs="Lucida Grande"/>
      <w:sz w:val="18"/>
      <w:szCs w:val="18"/>
    </w:rPr>
  </w:style>
  <w:style w:type="character" w:customStyle="1" w:styleId="BalloonTextCharfb">
    <w:name w:val="Balloon Text Char"/>
    <w:basedOn w:val="DefaultParagraphFont"/>
    <w:uiPriority w:val="99"/>
    <w:semiHidden/>
    <w:rsid w:val="00E30184"/>
    <w:rPr>
      <w:rFonts w:ascii="Lucida Grande" w:hAnsi="Lucida Grande" w:cs="Lucida Grande"/>
      <w:sz w:val="18"/>
      <w:szCs w:val="18"/>
    </w:rPr>
  </w:style>
  <w:style w:type="character" w:customStyle="1" w:styleId="BalloonTextCharfc">
    <w:name w:val="Balloon Text Char"/>
    <w:basedOn w:val="DefaultParagraphFont"/>
    <w:uiPriority w:val="99"/>
    <w:semiHidden/>
    <w:rsid w:val="00DF04B4"/>
    <w:rPr>
      <w:rFonts w:ascii="Lucida Grande" w:hAnsi="Lucida Grande" w:cs="Lucida Grande"/>
      <w:sz w:val="18"/>
      <w:szCs w:val="18"/>
    </w:rPr>
  </w:style>
  <w:style w:type="character" w:customStyle="1" w:styleId="BalloonTextCharfd">
    <w:name w:val="Balloon Text Char"/>
    <w:basedOn w:val="DefaultParagraphFont"/>
    <w:uiPriority w:val="99"/>
    <w:semiHidden/>
    <w:rsid w:val="008677C4"/>
    <w:rPr>
      <w:rFonts w:ascii="Lucida Grande" w:hAnsi="Lucida Grande"/>
      <w:sz w:val="18"/>
      <w:szCs w:val="18"/>
    </w:rPr>
  </w:style>
  <w:style w:type="character" w:customStyle="1" w:styleId="BalloonTextCharfe">
    <w:name w:val="Balloon Text Char"/>
    <w:basedOn w:val="DefaultParagraphFont"/>
    <w:uiPriority w:val="99"/>
    <w:semiHidden/>
    <w:rsid w:val="008677C4"/>
    <w:rPr>
      <w:rFonts w:ascii="Lucida Grande" w:hAnsi="Lucida Grande"/>
      <w:sz w:val="18"/>
      <w:szCs w:val="18"/>
    </w:rPr>
  </w:style>
  <w:style w:type="character" w:customStyle="1" w:styleId="BalloonTextCharff">
    <w:name w:val="Balloon Text Char"/>
    <w:basedOn w:val="DefaultParagraphFont"/>
    <w:uiPriority w:val="99"/>
    <w:semiHidden/>
    <w:rsid w:val="00990164"/>
    <w:rPr>
      <w:rFonts w:ascii="Lucida Grande" w:hAnsi="Lucida Grande"/>
      <w:sz w:val="18"/>
      <w:szCs w:val="18"/>
    </w:rPr>
  </w:style>
  <w:style w:type="character" w:customStyle="1" w:styleId="BalloonTextCharff0">
    <w:name w:val="Balloon Text Char"/>
    <w:basedOn w:val="DefaultParagraphFont"/>
    <w:uiPriority w:val="99"/>
    <w:semiHidden/>
    <w:rsid w:val="00C1109B"/>
    <w:rPr>
      <w:rFonts w:ascii="Lucida Grande" w:hAnsi="Lucida Grande"/>
      <w:sz w:val="18"/>
      <w:szCs w:val="18"/>
    </w:rPr>
  </w:style>
  <w:style w:type="character" w:customStyle="1" w:styleId="BalloonTextCharff1">
    <w:name w:val="Balloon Text Char"/>
    <w:basedOn w:val="DefaultParagraphFont"/>
    <w:uiPriority w:val="99"/>
    <w:semiHidden/>
    <w:rsid w:val="00D260D6"/>
    <w:rPr>
      <w:rFonts w:ascii="Lucida Grande" w:hAnsi="Lucida Grande"/>
      <w:sz w:val="18"/>
      <w:szCs w:val="18"/>
    </w:rPr>
  </w:style>
  <w:style w:type="character" w:customStyle="1" w:styleId="BalloonTextCharff2">
    <w:name w:val="Balloon Text Char"/>
    <w:basedOn w:val="DefaultParagraphFont"/>
    <w:uiPriority w:val="99"/>
    <w:semiHidden/>
    <w:rsid w:val="00D22192"/>
    <w:rPr>
      <w:rFonts w:ascii="Lucida Grande" w:hAnsi="Lucida Grande"/>
      <w:sz w:val="18"/>
      <w:szCs w:val="18"/>
    </w:rPr>
  </w:style>
  <w:style w:type="character" w:customStyle="1" w:styleId="BalloonTextCharff3">
    <w:name w:val="Balloon Text Char"/>
    <w:basedOn w:val="DefaultParagraphFont"/>
    <w:uiPriority w:val="99"/>
    <w:semiHidden/>
    <w:rsid w:val="005746B3"/>
    <w:rPr>
      <w:rFonts w:ascii="Lucida Grande" w:hAnsi="Lucida Grande"/>
      <w:sz w:val="18"/>
      <w:szCs w:val="18"/>
    </w:rPr>
  </w:style>
  <w:style w:type="character" w:customStyle="1" w:styleId="BalloonTextCharff4">
    <w:name w:val="Balloon Text Char"/>
    <w:basedOn w:val="DefaultParagraphFont"/>
    <w:uiPriority w:val="99"/>
    <w:semiHidden/>
    <w:rsid w:val="005746B3"/>
    <w:rPr>
      <w:rFonts w:ascii="Lucida Grande" w:hAnsi="Lucida Grande"/>
      <w:sz w:val="18"/>
      <w:szCs w:val="18"/>
    </w:rPr>
  </w:style>
  <w:style w:type="character" w:customStyle="1" w:styleId="BalloonTextCharff5">
    <w:name w:val="Balloon Text Char"/>
    <w:basedOn w:val="DefaultParagraphFont"/>
    <w:uiPriority w:val="99"/>
    <w:semiHidden/>
    <w:rsid w:val="000E661A"/>
    <w:rPr>
      <w:rFonts w:ascii="Lucida Grande" w:hAnsi="Lucida Grande"/>
      <w:sz w:val="18"/>
      <w:szCs w:val="18"/>
    </w:rPr>
  </w:style>
  <w:style w:type="character" w:customStyle="1" w:styleId="BalloonTextCharff6">
    <w:name w:val="Balloon Text Char"/>
    <w:basedOn w:val="DefaultParagraphFont"/>
    <w:uiPriority w:val="99"/>
    <w:semiHidden/>
    <w:rsid w:val="00FA72F5"/>
    <w:rPr>
      <w:rFonts w:ascii="Lucida Grande" w:hAnsi="Lucida Grande"/>
      <w:sz w:val="18"/>
      <w:szCs w:val="18"/>
    </w:rPr>
  </w:style>
  <w:style w:type="character" w:customStyle="1" w:styleId="BalloonTextCharff7">
    <w:name w:val="Balloon Text Char"/>
    <w:basedOn w:val="DefaultParagraphFont"/>
    <w:uiPriority w:val="99"/>
    <w:semiHidden/>
    <w:rsid w:val="00FA72F5"/>
    <w:rPr>
      <w:rFonts w:ascii="Lucida Grande" w:hAnsi="Lucida Grande"/>
      <w:sz w:val="18"/>
      <w:szCs w:val="18"/>
    </w:rPr>
  </w:style>
  <w:style w:type="character" w:customStyle="1" w:styleId="BalloonTextCharff8">
    <w:name w:val="Balloon Text Char"/>
    <w:basedOn w:val="DefaultParagraphFont"/>
    <w:uiPriority w:val="99"/>
    <w:semiHidden/>
    <w:rsid w:val="00FA72F5"/>
    <w:rPr>
      <w:rFonts w:ascii="Lucida Grande" w:hAnsi="Lucida Grande"/>
      <w:sz w:val="18"/>
      <w:szCs w:val="18"/>
    </w:rPr>
  </w:style>
  <w:style w:type="character" w:customStyle="1" w:styleId="BalloonTextCharff9">
    <w:name w:val="Balloon Text Char"/>
    <w:basedOn w:val="DefaultParagraphFont"/>
    <w:uiPriority w:val="99"/>
    <w:semiHidden/>
    <w:rsid w:val="00A63146"/>
    <w:rPr>
      <w:rFonts w:ascii="Lucida Grande" w:hAnsi="Lucida Grande"/>
      <w:sz w:val="18"/>
      <w:szCs w:val="18"/>
    </w:rPr>
  </w:style>
  <w:style w:type="character" w:customStyle="1" w:styleId="BalloonTextCharffa">
    <w:name w:val="Balloon Text Char"/>
    <w:basedOn w:val="DefaultParagraphFont"/>
    <w:uiPriority w:val="99"/>
    <w:semiHidden/>
    <w:rsid w:val="00A63146"/>
    <w:rPr>
      <w:rFonts w:ascii="Lucida Grande" w:hAnsi="Lucida Grande"/>
      <w:sz w:val="18"/>
      <w:szCs w:val="18"/>
    </w:rPr>
  </w:style>
  <w:style w:type="character" w:customStyle="1" w:styleId="BalloonTextCharffb">
    <w:name w:val="Balloon Text Char"/>
    <w:basedOn w:val="DefaultParagraphFont"/>
    <w:uiPriority w:val="99"/>
    <w:semiHidden/>
    <w:rsid w:val="00A63146"/>
    <w:rPr>
      <w:rFonts w:ascii="Lucida Grande" w:hAnsi="Lucida Grande"/>
      <w:sz w:val="18"/>
      <w:szCs w:val="18"/>
    </w:rPr>
  </w:style>
  <w:style w:type="character" w:customStyle="1" w:styleId="BalloonTextCharffc">
    <w:name w:val="Balloon Text Char"/>
    <w:basedOn w:val="DefaultParagraphFont"/>
    <w:uiPriority w:val="99"/>
    <w:semiHidden/>
    <w:rsid w:val="00A63146"/>
    <w:rPr>
      <w:rFonts w:ascii="Lucida Grande" w:hAnsi="Lucida Grande"/>
      <w:sz w:val="18"/>
      <w:szCs w:val="18"/>
    </w:rPr>
  </w:style>
  <w:style w:type="character" w:customStyle="1" w:styleId="BalloonTextCharffd">
    <w:name w:val="Balloon Text Char"/>
    <w:basedOn w:val="DefaultParagraphFont"/>
    <w:uiPriority w:val="99"/>
    <w:semiHidden/>
    <w:rsid w:val="00F8213F"/>
    <w:rPr>
      <w:rFonts w:ascii="Lucida Grande" w:hAnsi="Lucida Grande" w:cs="Lucida Grande"/>
      <w:sz w:val="18"/>
      <w:szCs w:val="18"/>
    </w:rPr>
  </w:style>
  <w:style w:type="character" w:customStyle="1" w:styleId="BalloonTextCharffe">
    <w:name w:val="Balloon Text Char"/>
    <w:basedOn w:val="DefaultParagraphFont"/>
    <w:uiPriority w:val="99"/>
    <w:semiHidden/>
    <w:rsid w:val="00490980"/>
    <w:rPr>
      <w:rFonts w:ascii="Lucida Grande" w:hAnsi="Lucida Grande"/>
      <w:sz w:val="18"/>
      <w:szCs w:val="18"/>
    </w:rPr>
  </w:style>
  <w:style w:type="character" w:customStyle="1" w:styleId="BalloonTextCharfff">
    <w:name w:val="Balloon Text Char"/>
    <w:basedOn w:val="DefaultParagraphFont"/>
    <w:uiPriority w:val="99"/>
    <w:semiHidden/>
    <w:rsid w:val="00490980"/>
    <w:rPr>
      <w:rFonts w:ascii="Lucida Grande" w:hAnsi="Lucida Grande"/>
      <w:sz w:val="18"/>
      <w:szCs w:val="18"/>
    </w:rPr>
  </w:style>
  <w:style w:type="character" w:customStyle="1" w:styleId="BalloonTextCharfff0">
    <w:name w:val="Balloon Text Char"/>
    <w:basedOn w:val="DefaultParagraphFont"/>
    <w:uiPriority w:val="99"/>
    <w:semiHidden/>
    <w:rsid w:val="00785C32"/>
    <w:rPr>
      <w:rFonts w:ascii="Lucida Grande" w:hAnsi="Lucida Grande"/>
      <w:sz w:val="18"/>
      <w:szCs w:val="18"/>
    </w:rPr>
  </w:style>
  <w:style w:type="character" w:customStyle="1" w:styleId="BalloonTextCharfff1">
    <w:name w:val="Balloon Text Char"/>
    <w:basedOn w:val="DefaultParagraphFont"/>
    <w:uiPriority w:val="99"/>
    <w:semiHidden/>
    <w:rsid w:val="00785C32"/>
    <w:rPr>
      <w:rFonts w:ascii="Lucida Grande" w:hAnsi="Lucida Grande"/>
      <w:sz w:val="18"/>
      <w:szCs w:val="18"/>
    </w:rPr>
  </w:style>
  <w:style w:type="character" w:customStyle="1" w:styleId="BalloonTextCharfff2">
    <w:name w:val="Balloon Text Char"/>
    <w:basedOn w:val="DefaultParagraphFont"/>
    <w:uiPriority w:val="99"/>
    <w:semiHidden/>
    <w:rsid w:val="008062BF"/>
    <w:rPr>
      <w:rFonts w:ascii="Lucida Grande" w:hAnsi="Lucida Grande"/>
      <w:sz w:val="18"/>
      <w:szCs w:val="18"/>
    </w:rPr>
  </w:style>
  <w:style w:type="character" w:customStyle="1" w:styleId="BalloonTextCharfff3">
    <w:name w:val="Balloon Text Char"/>
    <w:basedOn w:val="DefaultParagraphFont"/>
    <w:uiPriority w:val="99"/>
    <w:semiHidden/>
    <w:rsid w:val="008062BF"/>
    <w:rPr>
      <w:rFonts w:ascii="Lucida Grande" w:hAnsi="Lucida Grande"/>
      <w:sz w:val="18"/>
      <w:szCs w:val="18"/>
    </w:rPr>
  </w:style>
  <w:style w:type="character" w:customStyle="1" w:styleId="BalloonTextCharfff4">
    <w:name w:val="Balloon Text Char"/>
    <w:basedOn w:val="DefaultParagraphFont"/>
    <w:uiPriority w:val="99"/>
    <w:semiHidden/>
    <w:rsid w:val="00E529ED"/>
    <w:rPr>
      <w:rFonts w:ascii="Lucida Grande" w:hAnsi="Lucida Grande"/>
      <w:sz w:val="18"/>
      <w:szCs w:val="18"/>
    </w:rPr>
  </w:style>
  <w:style w:type="character" w:customStyle="1" w:styleId="BalloonTextCharfff5">
    <w:name w:val="Balloon Text Char"/>
    <w:basedOn w:val="DefaultParagraphFont"/>
    <w:uiPriority w:val="99"/>
    <w:semiHidden/>
    <w:rsid w:val="00E529ED"/>
    <w:rPr>
      <w:rFonts w:ascii="Lucida Grande" w:hAnsi="Lucida Grande"/>
      <w:sz w:val="18"/>
      <w:szCs w:val="18"/>
    </w:rPr>
  </w:style>
  <w:style w:type="character" w:customStyle="1" w:styleId="BalloonTextCharfff6">
    <w:name w:val="Balloon Text Char"/>
    <w:basedOn w:val="DefaultParagraphFont"/>
    <w:uiPriority w:val="99"/>
    <w:semiHidden/>
    <w:rsid w:val="00E529ED"/>
    <w:rPr>
      <w:rFonts w:ascii="Lucida Grande" w:hAnsi="Lucida Grande"/>
      <w:sz w:val="18"/>
      <w:szCs w:val="18"/>
    </w:rPr>
  </w:style>
  <w:style w:type="character" w:customStyle="1" w:styleId="BalloonTextCharfff7">
    <w:name w:val="Balloon Text Char"/>
    <w:basedOn w:val="DefaultParagraphFont"/>
    <w:uiPriority w:val="99"/>
    <w:semiHidden/>
    <w:rsid w:val="00E529ED"/>
    <w:rPr>
      <w:rFonts w:ascii="Lucida Grande" w:hAnsi="Lucida Grande"/>
      <w:sz w:val="18"/>
      <w:szCs w:val="18"/>
    </w:rPr>
  </w:style>
  <w:style w:type="character" w:customStyle="1" w:styleId="BalloonTextCharfff8">
    <w:name w:val="Balloon Text Char"/>
    <w:basedOn w:val="DefaultParagraphFont"/>
    <w:uiPriority w:val="99"/>
    <w:semiHidden/>
    <w:rsid w:val="00593747"/>
    <w:rPr>
      <w:rFonts w:ascii="Lucida Grande" w:hAnsi="Lucida Grande"/>
      <w:sz w:val="18"/>
      <w:szCs w:val="18"/>
    </w:rPr>
  </w:style>
  <w:style w:type="character" w:customStyle="1" w:styleId="BalloonTextCharfff9">
    <w:name w:val="Balloon Text Char"/>
    <w:basedOn w:val="DefaultParagraphFont"/>
    <w:uiPriority w:val="99"/>
    <w:semiHidden/>
    <w:rsid w:val="00A46B8C"/>
    <w:rPr>
      <w:rFonts w:ascii="Lucida Grande" w:hAnsi="Lucida Grande"/>
      <w:sz w:val="18"/>
      <w:szCs w:val="18"/>
    </w:rPr>
  </w:style>
  <w:style w:type="character" w:customStyle="1" w:styleId="BalloonTextCharfffa">
    <w:name w:val="Balloon Text Char"/>
    <w:basedOn w:val="DefaultParagraphFont"/>
    <w:uiPriority w:val="99"/>
    <w:semiHidden/>
    <w:rsid w:val="00CA085A"/>
    <w:rPr>
      <w:rFonts w:ascii="Lucida Grande" w:hAnsi="Lucida Grande"/>
      <w:sz w:val="18"/>
      <w:szCs w:val="18"/>
    </w:rPr>
  </w:style>
  <w:style w:type="character" w:customStyle="1" w:styleId="BalloonTextCharfffb">
    <w:name w:val="Balloon Text Char"/>
    <w:basedOn w:val="DefaultParagraphFont"/>
    <w:uiPriority w:val="99"/>
    <w:semiHidden/>
    <w:rsid w:val="00CA085A"/>
    <w:rPr>
      <w:rFonts w:ascii="Lucida Grande" w:hAnsi="Lucida Grande"/>
      <w:sz w:val="18"/>
      <w:szCs w:val="18"/>
    </w:rPr>
  </w:style>
  <w:style w:type="character" w:customStyle="1" w:styleId="BalloonTextCharfffc">
    <w:name w:val="Balloon Text Char"/>
    <w:basedOn w:val="DefaultParagraphFont"/>
    <w:uiPriority w:val="99"/>
    <w:semiHidden/>
    <w:rsid w:val="00CA085A"/>
    <w:rPr>
      <w:rFonts w:ascii="Lucida Grande" w:hAnsi="Lucida Grande"/>
      <w:sz w:val="18"/>
      <w:szCs w:val="18"/>
    </w:rPr>
  </w:style>
  <w:style w:type="character" w:customStyle="1" w:styleId="BalloonTextCharfffd">
    <w:name w:val="Balloon Text Char"/>
    <w:basedOn w:val="DefaultParagraphFont"/>
    <w:uiPriority w:val="99"/>
    <w:semiHidden/>
    <w:rsid w:val="006D5072"/>
    <w:rPr>
      <w:rFonts w:ascii="Lucida Grande" w:hAnsi="Lucida Grande"/>
      <w:sz w:val="18"/>
      <w:szCs w:val="18"/>
    </w:rPr>
  </w:style>
  <w:style w:type="character" w:customStyle="1" w:styleId="BalloonTextCharfffe">
    <w:name w:val="Balloon Text Char"/>
    <w:basedOn w:val="DefaultParagraphFont"/>
    <w:uiPriority w:val="99"/>
    <w:semiHidden/>
    <w:rsid w:val="00516D44"/>
    <w:rPr>
      <w:rFonts w:ascii="Lucida Grande" w:hAnsi="Lucida Grande"/>
      <w:sz w:val="18"/>
      <w:szCs w:val="18"/>
    </w:rPr>
  </w:style>
  <w:style w:type="character" w:customStyle="1" w:styleId="BalloonTextCharffff">
    <w:name w:val="Balloon Text Char"/>
    <w:basedOn w:val="DefaultParagraphFont"/>
    <w:uiPriority w:val="99"/>
    <w:semiHidden/>
    <w:rsid w:val="00516D44"/>
    <w:rPr>
      <w:rFonts w:ascii="Lucida Grande" w:hAnsi="Lucida Grande"/>
      <w:sz w:val="18"/>
      <w:szCs w:val="18"/>
    </w:rPr>
  </w:style>
  <w:style w:type="character" w:customStyle="1" w:styleId="BalloonTextCharffff0">
    <w:name w:val="Balloon Text Char"/>
    <w:basedOn w:val="DefaultParagraphFont"/>
    <w:uiPriority w:val="99"/>
    <w:semiHidden/>
    <w:rsid w:val="00431F33"/>
    <w:rPr>
      <w:rFonts w:ascii="Lucida Grande" w:hAnsi="Lucida Grande"/>
      <w:sz w:val="18"/>
      <w:szCs w:val="18"/>
    </w:rPr>
  </w:style>
  <w:style w:type="character" w:customStyle="1" w:styleId="BalloonTextCharffff1">
    <w:name w:val="Balloon Text Char"/>
    <w:basedOn w:val="DefaultParagraphFont"/>
    <w:uiPriority w:val="99"/>
    <w:semiHidden/>
    <w:rsid w:val="00431F33"/>
    <w:rPr>
      <w:rFonts w:ascii="Lucida Grande" w:hAnsi="Lucida Grande"/>
      <w:sz w:val="18"/>
      <w:szCs w:val="18"/>
    </w:rPr>
  </w:style>
  <w:style w:type="character" w:customStyle="1" w:styleId="BalloonTextCharffff2">
    <w:name w:val="Balloon Text Char"/>
    <w:basedOn w:val="DefaultParagraphFont"/>
    <w:uiPriority w:val="99"/>
    <w:semiHidden/>
    <w:rsid w:val="00431F33"/>
    <w:rPr>
      <w:rFonts w:ascii="Lucida Grande" w:hAnsi="Lucida Grande"/>
      <w:sz w:val="18"/>
      <w:szCs w:val="18"/>
    </w:rPr>
  </w:style>
  <w:style w:type="character" w:customStyle="1" w:styleId="BalloonTextCharffff3">
    <w:name w:val="Balloon Text Char"/>
    <w:basedOn w:val="DefaultParagraphFont"/>
    <w:uiPriority w:val="99"/>
    <w:semiHidden/>
    <w:rsid w:val="00D26892"/>
    <w:rPr>
      <w:rFonts w:ascii="Lucida Grande" w:hAnsi="Lucida Grande"/>
      <w:sz w:val="18"/>
      <w:szCs w:val="18"/>
    </w:rPr>
  </w:style>
  <w:style w:type="character" w:customStyle="1" w:styleId="BalloonTextCharffff4">
    <w:name w:val="Balloon Text Char"/>
    <w:basedOn w:val="DefaultParagraphFont"/>
    <w:uiPriority w:val="99"/>
    <w:semiHidden/>
    <w:rsid w:val="00D26892"/>
    <w:rPr>
      <w:rFonts w:ascii="Lucida Grande" w:hAnsi="Lucida Grande"/>
      <w:sz w:val="18"/>
      <w:szCs w:val="18"/>
    </w:rPr>
  </w:style>
  <w:style w:type="character" w:customStyle="1" w:styleId="BalloonTextCharffff5">
    <w:name w:val="Balloon Text Char"/>
    <w:basedOn w:val="DefaultParagraphFont"/>
    <w:uiPriority w:val="99"/>
    <w:semiHidden/>
    <w:rsid w:val="00B307AF"/>
    <w:rPr>
      <w:rFonts w:ascii="Lucida Grande" w:hAnsi="Lucida Grande"/>
      <w:sz w:val="18"/>
      <w:szCs w:val="18"/>
    </w:rPr>
  </w:style>
  <w:style w:type="character" w:customStyle="1" w:styleId="BalloonTextCharffff6">
    <w:name w:val="Balloon Text Char"/>
    <w:basedOn w:val="DefaultParagraphFont"/>
    <w:uiPriority w:val="99"/>
    <w:semiHidden/>
    <w:rsid w:val="00FA5AD5"/>
    <w:rPr>
      <w:rFonts w:ascii="Lucida Grande" w:hAnsi="Lucida Grande"/>
      <w:sz w:val="18"/>
      <w:szCs w:val="18"/>
    </w:rPr>
  </w:style>
  <w:style w:type="character" w:customStyle="1" w:styleId="BalloonTextCharffff7">
    <w:name w:val="Balloon Text Char"/>
    <w:basedOn w:val="DefaultParagraphFont"/>
    <w:uiPriority w:val="99"/>
    <w:semiHidden/>
    <w:rsid w:val="009E48A9"/>
    <w:rPr>
      <w:rFonts w:ascii="Lucida Grande" w:hAnsi="Lucida Grande"/>
      <w:sz w:val="18"/>
      <w:szCs w:val="18"/>
    </w:rPr>
  </w:style>
  <w:style w:type="character" w:customStyle="1" w:styleId="BalloonTextCharffff8">
    <w:name w:val="Balloon Text Char"/>
    <w:basedOn w:val="DefaultParagraphFont"/>
    <w:uiPriority w:val="99"/>
    <w:semiHidden/>
    <w:rsid w:val="00EF4DDF"/>
    <w:rPr>
      <w:rFonts w:ascii="Lucida Grande" w:hAnsi="Lucida Grande"/>
      <w:sz w:val="18"/>
      <w:szCs w:val="18"/>
    </w:rPr>
  </w:style>
  <w:style w:type="character" w:customStyle="1" w:styleId="BalloonTextCharffff9">
    <w:name w:val="Balloon Text Char"/>
    <w:basedOn w:val="DefaultParagraphFont"/>
    <w:uiPriority w:val="99"/>
    <w:semiHidden/>
    <w:rsid w:val="00C42E7C"/>
    <w:rPr>
      <w:rFonts w:ascii="Lucida Grande" w:hAnsi="Lucida Grande"/>
      <w:sz w:val="18"/>
      <w:szCs w:val="18"/>
    </w:rPr>
  </w:style>
  <w:style w:type="character" w:customStyle="1" w:styleId="BalloonTextCharffffa">
    <w:name w:val="Balloon Text Char"/>
    <w:basedOn w:val="DefaultParagraphFont"/>
    <w:uiPriority w:val="99"/>
    <w:semiHidden/>
    <w:rsid w:val="00C42E7C"/>
    <w:rPr>
      <w:rFonts w:ascii="Lucida Grande" w:hAnsi="Lucida Grande"/>
      <w:sz w:val="18"/>
      <w:szCs w:val="18"/>
    </w:rPr>
  </w:style>
  <w:style w:type="character" w:customStyle="1" w:styleId="BalloonTextCharffffb">
    <w:name w:val="Balloon Text Char"/>
    <w:basedOn w:val="DefaultParagraphFont"/>
    <w:uiPriority w:val="99"/>
    <w:semiHidden/>
    <w:rsid w:val="00C42E7C"/>
    <w:rPr>
      <w:rFonts w:ascii="Lucida Grande" w:hAnsi="Lucida Grande"/>
      <w:sz w:val="18"/>
      <w:szCs w:val="18"/>
    </w:rPr>
  </w:style>
  <w:style w:type="character" w:customStyle="1" w:styleId="BalloonTextCharffffc">
    <w:name w:val="Balloon Text Char"/>
    <w:basedOn w:val="DefaultParagraphFont"/>
    <w:uiPriority w:val="99"/>
    <w:semiHidden/>
    <w:rsid w:val="00952371"/>
    <w:rPr>
      <w:rFonts w:ascii="Lucida Grande" w:hAnsi="Lucida Grande"/>
      <w:sz w:val="18"/>
      <w:szCs w:val="18"/>
    </w:rPr>
  </w:style>
  <w:style w:type="character" w:customStyle="1" w:styleId="BalloonTextCharffffd">
    <w:name w:val="Balloon Text Char"/>
    <w:basedOn w:val="DefaultParagraphFont"/>
    <w:uiPriority w:val="99"/>
    <w:semiHidden/>
    <w:rsid w:val="008C194F"/>
    <w:rPr>
      <w:rFonts w:ascii="Lucida Grande" w:hAnsi="Lucida Grande" w:cs="Lucida Grande"/>
      <w:sz w:val="18"/>
      <w:szCs w:val="18"/>
    </w:rPr>
  </w:style>
  <w:style w:type="character" w:customStyle="1" w:styleId="BalloonTextCharffffe">
    <w:name w:val="Balloon Text Char"/>
    <w:basedOn w:val="DefaultParagraphFont"/>
    <w:uiPriority w:val="99"/>
    <w:semiHidden/>
    <w:rsid w:val="008C194F"/>
    <w:rPr>
      <w:rFonts w:ascii="Lucida Grande" w:hAnsi="Lucida Grande" w:cs="Lucida Grande"/>
      <w:sz w:val="18"/>
      <w:szCs w:val="18"/>
    </w:rPr>
  </w:style>
  <w:style w:type="character" w:customStyle="1" w:styleId="BalloonTextCharfffff">
    <w:name w:val="Balloon Text Char"/>
    <w:basedOn w:val="DefaultParagraphFont"/>
    <w:uiPriority w:val="99"/>
    <w:semiHidden/>
    <w:rsid w:val="008C194F"/>
    <w:rPr>
      <w:rFonts w:ascii="Lucida Grande" w:hAnsi="Lucida Grande" w:cs="Lucida Grande"/>
      <w:sz w:val="18"/>
      <w:szCs w:val="18"/>
    </w:rPr>
  </w:style>
  <w:style w:type="character" w:customStyle="1" w:styleId="BalloonTextCharfffff0">
    <w:name w:val="Balloon Text Char"/>
    <w:basedOn w:val="DefaultParagraphFont"/>
    <w:uiPriority w:val="99"/>
    <w:semiHidden/>
    <w:rsid w:val="00C14059"/>
    <w:rPr>
      <w:rFonts w:ascii="Lucida Grande" w:hAnsi="Lucida Grande"/>
      <w:sz w:val="18"/>
      <w:szCs w:val="18"/>
    </w:rPr>
  </w:style>
  <w:style w:type="character" w:customStyle="1" w:styleId="BalloonTextCharfffff1">
    <w:name w:val="Balloon Text Char"/>
    <w:basedOn w:val="DefaultParagraphFont"/>
    <w:uiPriority w:val="99"/>
    <w:semiHidden/>
    <w:rsid w:val="00C14059"/>
    <w:rPr>
      <w:rFonts w:ascii="Lucida Grande" w:hAnsi="Lucida Grande"/>
      <w:sz w:val="18"/>
      <w:szCs w:val="18"/>
    </w:rPr>
  </w:style>
  <w:style w:type="character" w:customStyle="1" w:styleId="BalloonTextCharfffff2">
    <w:name w:val="Balloon Text Char"/>
    <w:basedOn w:val="DefaultParagraphFont"/>
    <w:uiPriority w:val="99"/>
    <w:semiHidden/>
    <w:rsid w:val="00C14059"/>
    <w:rPr>
      <w:rFonts w:ascii="Lucida Grande" w:hAnsi="Lucida Grande"/>
      <w:sz w:val="18"/>
      <w:szCs w:val="18"/>
    </w:rPr>
  </w:style>
  <w:style w:type="character" w:customStyle="1" w:styleId="BalloonTextCharfffff3">
    <w:name w:val="Balloon Text Char"/>
    <w:basedOn w:val="DefaultParagraphFont"/>
    <w:uiPriority w:val="99"/>
    <w:semiHidden/>
    <w:rsid w:val="00A57E4C"/>
    <w:rPr>
      <w:rFonts w:ascii="Lucida Grande" w:hAnsi="Lucida Grande"/>
      <w:sz w:val="18"/>
      <w:szCs w:val="18"/>
    </w:rPr>
  </w:style>
  <w:style w:type="character" w:customStyle="1" w:styleId="BalloonTextCharfffff4">
    <w:name w:val="Balloon Text Char"/>
    <w:basedOn w:val="DefaultParagraphFont"/>
    <w:uiPriority w:val="99"/>
    <w:semiHidden/>
    <w:rsid w:val="00A57E4C"/>
    <w:rPr>
      <w:rFonts w:ascii="Lucida Grande" w:hAnsi="Lucida Grande"/>
      <w:sz w:val="18"/>
      <w:szCs w:val="18"/>
    </w:rPr>
  </w:style>
  <w:style w:type="character" w:customStyle="1" w:styleId="BalloonTextCharfffff5">
    <w:name w:val="Balloon Text Char"/>
    <w:basedOn w:val="DefaultParagraphFont"/>
    <w:uiPriority w:val="99"/>
    <w:semiHidden/>
    <w:rsid w:val="00A57E4C"/>
    <w:rPr>
      <w:rFonts w:ascii="Lucida Grande" w:hAnsi="Lucida Grande"/>
      <w:sz w:val="18"/>
      <w:szCs w:val="18"/>
    </w:rPr>
  </w:style>
  <w:style w:type="character" w:customStyle="1" w:styleId="BalloonTextCharfffff6">
    <w:name w:val="Balloon Text Char"/>
    <w:basedOn w:val="DefaultParagraphFont"/>
    <w:uiPriority w:val="99"/>
    <w:semiHidden/>
    <w:rsid w:val="00A57E4C"/>
    <w:rPr>
      <w:rFonts w:ascii="Lucida Grande" w:hAnsi="Lucida Grande"/>
      <w:sz w:val="18"/>
      <w:szCs w:val="18"/>
    </w:rPr>
  </w:style>
  <w:style w:type="character" w:customStyle="1" w:styleId="BalloonTextCharfffff7">
    <w:name w:val="Balloon Text Char"/>
    <w:basedOn w:val="DefaultParagraphFont"/>
    <w:uiPriority w:val="99"/>
    <w:semiHidden/>
    <w:rsid w:val="00A57E4C"/>
    <w:rPr>
      <w:rFonts w:ascii="Lucida Grande" w:hAnsi="Lucida Grande"/>
      <w:sz w:val="18"/>
      <w:szCs w:val="18"/>
    </w:rPr>
  </w:style>
  <w:style w:type="character" w:styleId="CommentReference">
    <w:name w:val="annotation reference"/>
    <w:basedOn w:val="DefaultParagraphFont"/>
    <w:uiPriority w:val="99"/>
    <w:semiHidden/>
    <w:unhideWhenUsed/>
    <w:rsid w:val="00410D18"/>
    <w:rPr>
      <w:sz w:val="18"/>
      <w:szCs w:val="18"/>
    </w:rPr>
  </w:style>
  <w:style w:type="paragraph" w:styleId="CommentText">
    <w:name w:val="annotation text"/>
    <w:basedOn w:val="Normal"/>
    <w:link w:val="CommentTextChar"/>
    <w:uiPriority w:val="99"/>
    <w:semiHidden/>
    <w:unhideWhenUsed/>
    <w:rsid w:val="00410D18"/>
  </w:style>
  <w:style w:type="character" w:customStyle="1" w:styleId="CommentTextChar">
    <w:name w:val="Comment Text Char"/>
    <w:basedOn w:val="DefaultParagraphFont"/>
    <w:link w:val="CommentText"/>
    <w:uiPriority w:val="99"/>
    <w:semiHidden/>
    <w:rsid w:val="00410D18"/>
  </w:style>
  <w:style w:type="paragraph" w:styleId="CommentSubject">
    <w:name w:val="annotation subject"/>
    <w:basedOn w:val="CommentText"/>
    <w:next w:val="CommentText"/>
    <w:link w:val="CommentSubjectChar"/>
    <w:uiPriority w:val="99"/>
    <w:semiHidden/>
    <w:unhideWhenUsed/>
    <w:rsid w:val="00410D18"/>
    <w:rPr>
      <w:b/>
      <w:bCs/>
      <w:sz w:val="20"/>
      <w:szCs w:val="20"/>
    </w:rPr>
  </w:style>
  <w:style w:type="character" w:customStyle="1" w:styleId="CommentSubjectChar">
    <w:name w:val="Comment Subject Char"/>
    <w:basedOn w:val="CommentTextChar"/>
    <w:link w:val="CommentSubject"/>
    <w:uiPriority w:val="99"/>
    <w:semiHidden/>
    <w:rsid w:val="00410D18"/>
    <w:rPr>
      <w:b/>
      <w:bCs/>
      <w:sz w:val="20"/>
      <w:szCs w:val="20"/>
    </w:rPr>
  </w:style>
  <w:style w:type="character" w:customStyle="1" w:styleId="BalloonTextChar1">
    <w:name w:val="Balloon Text Char1"/>
    <w:basedOn w:val="DefaultParagraphFont"/>
    <w:link w:val="BalloonText"/>
    <w:uiPriority w:val="99"/>
    <w:semiHidden/>
    <w:rsid w:val="00410D18"/>
    <w:rPr>
      <w:rFonts w:ascii="Lucida Grande" w:hAnsi="Lucida Grande" w:cs="Lucida Grande"/>
      <w:sz w:val="18"/>
      <w:szCs w:val="18"/>
    </w:rPr>
  </w:style>
  <w:style w:type="paragraph" w:styleId="FootnoteText">
    <w:name w:val="footnote text"/>
    <w:basedOn w:val="Normal"/>
    <w:link w:val="FootnoteTextChar"/>
    <w:rsid w:val="00F70BD5"/>
    <w:rPr>
      <w:rFonts w:ascii="Times New Roman" w:eastAsia="Times New Roman" w:hAnsi="Times New Roman" w:cs="Times New Roman"/>
    </w:rPr>
  </w:style>
  <w:style w:type="character" w:customStyle="1" w:styleId="FootnoteTextChar">
    <w:name w:val="Footnote Text Char"/>
    <w:basedOn w:val="DefaultParagraphFont"/>
    <w:link w:val="FootnoteText"/>
    <w:rsid w:val="00F70BD5"/>
    <w:rPr>
      <w:rFonts w:ascii="Times New Roman" w:eastAsia="Times New Roman" w:hAnsi="Times New Roman" w:cs="Times New Roman"/>
    </w:rPr>
  </w:style>
  <w:style w:type="character" w:styleId="FootnoteReference">
    <w:name w:val="footnote reference"/>
    <w:basedOn w:val="DefaultParagraphFont"/>
    <w:rsid w:val="00F70BD5"/>
    <w:rPr>
      <w:vertAlign w:val="superscript"/>
    </w:rPr>
  </w:style>
  <w:style w:type="table" w:styleId="TableGrid">
    <w:name w:val="Table Grid"/>
    <w:basedOn w:val="TableNormal"/>
    <w:uiPriority w:val="59"/>
    <w:rsid w:val="006D381C"/>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A5450"/>
    <w:pPr>
      <w:tabs>
        <w:tab w:val="center" w:pos="4320"/>
        <w:tab w:val="right" w:pos="8640"/>
      </w:tabs>
    </w:pPr>
  </w:style>
  <w:style w:type="character" w:customStyle="1" w:styleId="FooterChar">
    <w:name w:val="Footer Char"/>
    <w:basedOn w:val="DefaultParagraphFont"/>
    <w:link w:val="Footer"/>
    <w:uiPriority w:val="99"/>
    <w:rsid w:val="00BA5450"/>
  </w:style>
  <w:style w:type="character" w:styleId="PageNumber">
    <w:name w:val="page number"/>
    <w:basedOn w:val="DefaultParagraphFont"/>
    <w:uiPriority w:val="99"/>
    <w:semiHidden/>
    <w:unhideWhenUsed/>
    <w:rsid w:val="00BA5450"/>
  </w:style>
  <w:style w:type="paragraph" w:styleId="HTMLPreformatted">
    <w:name w:val="HTML Preformatted"/>
    <w:basedOn w:val="Normal"/>
    <w:link w:val="HTMLPreformattedChar"/>
    <w:uiPriority w:val="99"/>
    <w:unhideWhenUsed/>
    <w:rsid w:val="00872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rsid w:val="0087247C"/>
    <w:rPr>
      <w:rFonts w:ascii="Courier" w:hAnsi="Courier" w:cs="Courier"/>
      <w:sz w:val="20"/>
      <w:szCs w:val="20"/>
      <w:lang w:eastAsia="en-US"/>
    </w:rPr>
  </w:style>
  <w:style w:type="character" w:styleId="Hyperlink">
    <w:name w:val="Hyperlink"/>
    <w:basedOn w:val="DefaultParagraphFont"/>
    <w:uiPriority w:val="99"/>
    <w:unhideWhenUsed/>
    <w:rsid w:val="0087247C"/>
    <w:rPr>
      <w:color w:val="0000FF"/>
      <w:u w:val="single"/>
    </w:rPr>
  </w:style>
  <w:style w:type="character" w:styleId="EndnoteReference">
    <w:name w:val="endnote reference"/>
    <w:basedOn w:val="DefaultParagraphFont"/>
    <w:uiPriority w:val="99"/>
    <w:unhideWhenUsed/>
    <w:rsid w:val="000B41FE"/>
    <w:rPr>
      <w:vertAlign w:val="superscript"/>
    </w:rPr>
  </w:style>
  <w:style w:type="paragraph" w:styleId="Bibliography">
    <w:name w:val="Bibliography"/>
    <w:basedOn w:val="Normal"/>
    <w:next w:val="Normal"/>
    <w:unhideWhenUsed/>
    <w:rsid w:val="00C369D9"/>
    <w:pPr>
      <w:ind w:left="720" w:hanging="720"/>
    </w:pPr>
  </w:style>
  <w:style w:type="paragraph" w:styleId="Revision">
    <w:name w:val="Revision"/>
    <w:hidden/>
    <w:uiPriority w:val="99"/>
    <w:semiHidden/>
    <w:rsid w:val="00F247A2"/>
  </w:style>
  <w:style w:type="character" w:styleId="Emphasis">
    <w:name w:val="Emphasis"/>
    <w:basedOn w:val="DefaultParagraphFont"/>
    <w:uiPriority w:val="20"/>
    <w:rsid w:val="00D72FCC"/>
    <w:rPr>
      <w:i/>
    </w:rPr>
  </w:style>
  <w:style w:type="character" w:styleId="FollowedHyperlink">
    <w:name w:val="FollowedHyperlink"/>
    <w:basedOn w:val="DefaultParagraphFont"/>
    <w:uiPriority w:val="99"/>
    <w:semiHidden/>
    <w:unhideWhenUsed/>
    <w:rsid w:val="00D72FCC"/>
    <w:rPr>
      <w:color w:val="800080" w:themeColor="followedHyperlink"/>
      <w:u w:val="single"/>
    </w:rPr>
  </w:style>
  <w:style w:type="paragraph" w:styleId="ListParagraph">
    <w:name w:val="List Paragraph"/>
    <w:basedOn w:val="Normal"/>
    <w:uiPriority w:val="34"/>
    <w:qFormat/>
    <w:rsid w:val="00803D14"/>
    <w:pPr>
      <w:ind w:left="720"/>
      <w:contextualSpacing/>
    </w:pPr>
  </w:style>
  <w:style w:type="paragraph" w:styleId="EndnoteText">
    <w:name w:val="endnote text"/>
    <w:basedOn w:val="Normal"/>
    <w:link w:val="EndnoteTextChar"/>
    <w:uiPriority w:val="99"/>
    <w:unhideWhenUsed/>
    <w:rsid w:val="008E33A3"/>
  </w:style>
  <w:style w:type="character" w:customStyle="1" w:styleId="EndnoteTextChar">
    <w:name w:val="Endnote Text Char"/>
    <w:basedOn w:val="DefaultParagraphFont"/>
    <w:link w:val="EndnoteText"/>
    <w:uiPriority w:val="99"/>
    <w:rsid w:val="008E33A3"/>
  </w:style>
  <w:style w:type="character" w:customStyle="1" w:styleId="Heading1Char">
    <w:name w:val="Heading 1 Char"/>
    <w:basedOn w:val="DefaultParagraphFont"/>
    <w:link w:val="Heading1"/>
    <w:uiPriority w:val="9"/>
    <w:rsid w:val="0017639A"/>
    <w:rPr>
      <w:rFonts w:ascii="Times" w:hAnsi="Times"/>
      <w:b/>
      <w:kern w:val="36"/>
      <w:sz w:val="48"/>
      <w:szCs w:val="20"/>
      <w:lang w:eastAsia="en-US"/>
    </w:rPr>
  </w:style>
  <w:style w:type="paragraph" w:styleId="NormalWeb">
    <w:name w:val="Normal (Web)"/>
    <w:basedOn w:val="Normal"/>
    <w:uiPriority w:val="99"/>
    <w:rsid w:val="0017639A"/>
    <w:pPr>
      <w:spacing w:beforeLines="1" w:afterLines="1"/>
    </w:pPr>
    <w:rPr>
      <w:rFonts w:ascii="Times" w:hAnsi="Times" w:cs="Times New Roman"/>
      <w:sz w:val="20"/>
      <w:szCs w:val="20"/>
      <w:lang w:eastAsia="en-US"/>
    </w:rPr>
  </w:style>
  <w:style w:type="character" w:customStyle="1" w:styleId="text">
    <w:name w:val="text"/>
    <w:basedOn w:val="DefaultParagraphFont"/>
    <w:rsid w:val="009F0704"/>
  </w:style>
  <w:style w:type="character" w:styleId="Strong">
    <w:name w:val="Strong"/>
    <w:basedOn w:val="DefaultParagraphFont"/>
    <w:uiPriority w:val="22"/>
    <w:rsid w:val="00A23BE3"/>
    <w:rPr>
      <w:b/>
    </w:rPr>
  </w:style>
  <w:style w:type="paragraph" w:customStyle="1" w:styleId="Default">
    <w:name w:val="Default"/>
    <w:rsid w:val="00420744"/>
    <w:pPr>
      <w:widowControl w:val="0"/>
      <w:autoSpaceDE w:val="0"/>
      <w:autoSpaceDN w:val="0"/>
      <w:adjustRightInd w:val="0"/>
    </w:pPr>
    <w:rPr>
      <w:rFonts w:ascii="Times New Roman" w:hAnsi="Times New Roman" w:cs="Times New Roman"/>
      <w:color w:val="000000"/>
    </w:rPr>
  </w:style>
  <w:style w:type="paragraph" w:styleId="Title">
    <w:name w:val="Title"/>
    <w:basedOn w:val="Default"/>
    <w:next w:val="Default"/>
    <w:link w:val="TitleChar"/>
    <w:uiPriority w:val="99"/>
    <w:qFormat/>
    <w:rsid w:val="00420744"/>
    <w:rPr>
      <w:color w:val="auto"/>
    </w:rPr>
  </w:style>
  <w:style w:type="character" w:customStyle="1" w:styleId="TitleChar">
    <w:name w:val="Title Char"/>
    <w:basedOn w:val="DefaultParagraphFont"/>
    <w:link w:val="Title"/>
    <w:uiPriority w:val="99"/>
    <w:rsid w:val="00420744"/>
    <w:rPr>
      <w:rFonts w:ascii="Times New Roman" w:hAnsi="Times New Roman" w:cs="Times New Roman"/>
    </w:rPr>
  </w:style>
  <w:style w:type="character" w:customStyle="1" w:styleId="publisher">
    <w:name w:val="publisher"/>
    <w:basedOn w:val="DefaultParagraphFont"/>
    <w:rsid w:val="00C6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6435">
      <w:bodyDiv w:val="1"/>
      <w:marLeft w:val="0"/>
      <w:marRight w:val="0"/>
      <w:marTop w:val="0"/>
      <w:marBottom w:val="0"/>
      <w:divBdr>
        <w:top w:val="none" w:sz="0" w:space="0" w:color="auto"/>
        <w:left w:val="none" w:sz="0" w:space="0" w:color="auto"/>
        <w:bottom w:val="none" w:sz="0" w:space="0" w:color="auto"/>
        <w:right w:val="none" w:sz="0" w:space="0" w:color="auto"/>
      </w:divBdr>
      <w:divsChild>
        <w:div w:id="149029148">
          <w:marLeft w:val="0"/>
          <w:marRight w:val="0"/>
          <w:marTop w:val="0"/>
          <w:marBottom w:val="0"/>
          <w:divBdr>
            <w:top w:val="none" w:sz="0" w:space="0" w:color="auto"/>
            <w:left w:val="none" w:sz="0" w:space="0" w:color="auto"/>
            <w:bottom w:val="none" w:sz="0" w:space="0" w:color="auto"/>
            <w:right w:val="none" w:sz="0" w:space="0" w:color="auto"/>
          </w:divBdr>
          <w:divsChild>
            <w:div w:id="146477171">
              <w:marLeft w:val="0"/>
              <w:marRight w:val="0"/>
              <w:marTop w:val="0"/>
              <w:marBottom w:val="0"/>
              <w:divBdr>
                <w:top w:val="none" w:sz="0" w:space="0" w:color="auto"/>
                <w:left w:val="none" w:sz="0" w:space="0" w:color="auto"/>
                <w:bottom w:val="none" w:sz="0" w:space="0" w:color="auto"/>
                <w:right w:val="none" w:sz="0" w:space="0" w:color="auto"/>
              </w:divBdr>
            </w:div>
          </w:divsChild>
        </w:div>
        <w:div w:id="1569615336">
          <w:marLeft w:val="0"/>
          <w:marRight w:val="0"/>
          <w:marTop w:val="0"/>
          <w:marBottom w:val="0"/>
          <w:divBdr>
            <w:top w:val="none" w:sz="0" w:space="0" w:color="auto"/>
            <w:left w:val="none" w:sz="0" w:space="0" w:color="auto"/>
            <w:bottom w:val="none" w:sz="0" w:space="0" w:color="auto"/>
            <w:right w:val="none" w:sz="0" w:space="0" w:color="auto"/>
          </w:divBdr>
          <w:divsChild>
            <w:div w:id="134030858">
              <w:marLeft w:val="0"/>
              <w:marRight w:val="0"/>
              <w:marTop w:val="0"/>
              <w:marBottom w:val="0"/>
              <w:divBdr>
                <w:top w:val="none" w:sz="0" w:space="0" w:color="auto"/>
                <w:left w:val="none" w:sz="0" w:space="0" w:color="auto"/>
                <w:bottom w:val="none" w:sz="0" w:space="0" w:color="auto"/>
                <w:right w:val="none" w:sz="0" w:space="0" w:color="auto"/>
              </w:divBdr>
            </w:div>
            <w:div w:id="219677289">
              <w:marLeft w:val="0"/>
              <w:marRight w:val="0"/>
              <w:marTop w:val="0"/>
              <w:marBottom w:val="0"/>
              <w:divBdr>
                <w:top w:val="none" w:sz="0" w:space="0" w:color="auto"/>
                <w:left w:val="none" w:sz="0" w:space="0" w:color="auto"/>
                <w:bottom w:val="none" w:sz="0" w:space="0" w:color="auto"/>
                <w:right w:val="none" w:sz="0" w:space="0" w:color="auto"/>
              </w:divBdr>
            </w:div>
            <w:div w:id="406003734">
              <w:marLeft w:val="0"/>
              <w:marRight w:val="0"/>
              <w:marTop w:val="0"/>
              <w:marBottom w:val="0"/>
              <w:divBdr>
                <w:top w:val="none" w:sz="0" w:space="0" w:color="auto"/>
                <w:left w:val="none" w:sz="0" w:space="0" w:color="auto"/>
                <w:bottom w:val="none" w:sz="0" w:space="0" w:color="auto"/>
                <w:right w:val="none" w:sz="0" w:space="0" w:color="auto"/>
              </w:divBdr>
            </w:div>
            <w:div w:id="2123330801">
              <w:marLeft w:val="0"/>
              <w:marRight w:val="0"/>
              <w:marTop w:val="0"/>
              <w:marBottom w:val="0"/>
              <w:divBdr>
                <w:top w:val="none" w:sz="0" w:space="0" w:color="auto"/>
                <w:left w:val="none" w:sz="0" w:space="0" w:color="auto"/>
                <w:bottom w:val="none" w:sz="0" w:space="0" w:color="auto"/>
                <w:right w:val="none" w:sz="0" w:space="0" w:color="auto"/>
              </w:divBdr>
              <w:divsChild>
                <w:div w:id="15812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8290">
      <w:bodyDiv w:val="1"/>
      <w:marLeft w:val="0"/>
      <w:marRight w:val="0"/>
      <w:marTop w:val="0"/>
      <w:marBottom w:val="0"/>
      <w:divBdr>
        <w:top w:val="none" w:sz="0" w:space="0" w:color="auto"/>
        <w:left w:val="none" w:sz="0" w:space="0" w:color="auto"/>
        <w:bottom w:val="none" w:sz="0" w:space="0" w:color="auto"/>
        <w:right w:val="none" w:sz="0" w:space="0" w:color="auto"/>
      </w:divBdr>
    </w:div>
    <w:div w:id="622351342">
      <w:bodyDiv w:val="1"/>
      <w:marLeft w:val="0"/>
      <w:marRight w:val="0"/>
      <w:marTop w:val="0"/>
      <w:marBottom w:val="0"/>
      <w:divBdr>
        <w:top w:val="none" w:sz="0" w:space="0" w:color="auto"/>
        <w:left w:val="none" w:sz="0" w:space="0" w:color="auto"/>
        <w:bottom w:val="none" w:sz="0" w:space="0" w:color="auto"/>
        <w:right w:val="none" w:sz="0" w:space="0" w:color="auto"/>
      </w:divBdr>
    </w:div>
    <w:div w:id="983974388">
      <w:bodyDiv w:val="1"/>
      <w:marLeft w:val="0"/>
      <w:marRight w:val="0"/>
      <w:marTop w:val="0"/>
      <w:marBottom w:val="0"/>
      <w:divBdr>
        <w:top w:val="none" w:sz="0" w:space="0" w:color="auto"/>
        <w:left w:val="none" w:sz="0" w:space="0" w:color="auto"/>
        <w:bottom w:val="none" w:sz="0" w:space="0" w:color="auto"/>
        <w:right w:val="none" w:sz="0" w:space="0" w:color="auto"/>
      </w:divBdr>
    </w:div>
    <w:div w:id="1141195188">
      <w:bodyDiv w:val="1"/>
      <w:marLeft w:val="0"/>
      <w:marRight w:val="0"/>
      <w:marTop w:val="0"/>
      <w:marBottom w:val="0"/>
      <w:divBdr>
        <w:top w:val="none" w:sz="0" w:space="0" w:color="auto"/>
        <w:left w:val="none" w:sz="0" w:space="0" w:color="auto"/>
        <w:bottom w:val="none" w:sz="0" w:space="0" w:color="auto"/>
        <w:right w:val="none" w:sz="0" w:space="0" w:color="auto"/>
      </w:divBdr>
    </w:div>
    <w:div w:id="1267613483">
      <w:bodyDiv w:val="1"/>
      <w:marLeft w:val="0"/>
      <w:marRight w:val="0"/>
      <w:marTop w:val="0"/>
      <w:marBottom w:val="0"/>
      <w:divBdr>
        <w:top w:val="none" w:sz="0" w:space="0" w:color="auto"/>
        <w:left w:val="none" w:sz="0" w:space="0" w:color="auto"/>
        <w:bottom w:val="none" w:sz="0" w:space="0" w:color="auto"/>
        <w:right w:val="none" w:sz="0" w:space="0" w:color="auto"/>
      </w:divBdr>
      <w:divsChild>
        <w:div w:id="2136562784">
          <w:marLeft w:val="0"/>
          <w:marRight w:val="0"/>
          <w:marTop w:val="0"/>
          <w:marBottom w:val="0"/>
          <w:divBdr>
            <w:top w:val="none" w:sz="0" w:space="0" w:color="auto"/>
            <w:left w:val="none" w:sz="0" w:space="0" w:color="auto"/>
            <w:bottom w:val="none" w:sz="0" w:space="0" w:color="auto"/>
            <w:right w:val="none" w:sz="0" w:space="0" w:color="auto"/>
          </w:divBdr>
        </w:div>
        <w:div w:id="2011639326">
          <w:marLeft w:val="0"/>
          <w:marRight w:val="0"/>
          <w:marTop w:val="0"/>
          <w:marBottom w:val="0"/>
          <w:divBdr>
            <w:top w:val="none" w:sz="0" w:space="0" w:color="auto"/>
            <w:left w:val="none" w:sz="0" w:space="0" w:color="auto"/>
            <w:bottom w:val="none" w:sz="0" w:space="0" w:color="auto"/>
            <w:right w:val="none" w:sz="0" w:space="0" w:color="auto"/>
          </w:divBdr>
        </w:div>
      </w:divsChild>
    </w:div>
    <w:div w:id="1291285068">
      <w:bodyDiv w:val="1"/>
      <w:marLeft w:val="0"/>
      <w:marRight w:val="0"/>
      <w:marTop w:val="0"/>
      <w:marBottom w:val="0"/>
      <w:divBdr>
        <w:top w:val="none" w:sz="0" w:space="0" w:color="auto"/>
        <w:left w:val="none" w:sz="0" w:space="0" w:color="auto"/>
        <w:bottom w:val="none" w:sz="0" w:space="0" w:color="auto"/>
        <w:right w:val="none" w:sz="0" w:space="0" w:color="auto"/>
      </w:divBdr>
    </w:div>
    <w:div w:id="1878203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epress.com/bap/vol9/iss3/art4" TargetMode="External"/><Relationship Id="rId10" Type="http://schemas.openxmlformats.org/officeDocument/2006/relationships/hyperlink" Target="http://stefanopagliari.net/phd-the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1CDA-2B24-FA4E-B225-555C8AC0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11109</Words>
  <Characters>67215</Characters>
  <Application>Microsoft Macintosh Word</Application>
  <DocSecurity>0</DocSecurity>
  <Lines>1018</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78011</CharactersWithSpaces>
  <SharedDoc>false</SharedDoc>
  <HLinks>
    <vt:vector size="24" baseType="variant">
      <vt:variant>
        <vt:i4>7733301</vt:i4>
      </vt:variant>
      <vt:variant>
        <vt:i4>3</vt:i4>
      </vt:variant>
      <vt:variant>
        <vt:i4>0</vt:i4>
      </vt:variant>
      <vt:variant>
        <vt:i4>5</vt:i4>
      </vt:variant>
      <vt:variant>
        <vt:lpwstr>http://stefanopagliari.net/phd-thesis.html</vt:lpwstr>
      </vt:variant>
      <vt:variant>
        <vt:lpwstr/>
      </vt:variant>
      <vt:variant>
        <vt:i4>5439537</vt:i4>
      </vt:variant>
      <vt:variant>
        <vt:i4>0</vt:i4>
      </vt:variant>
      <vt:variant>
        <vt:i4>0</vt:i4>
      </vt:variant>
      <vt:variant>
        <vt:i4>5</vt:i4>
      </vt:variant>
      <vt:variant>
        <vt:lpwstr>http://www.bepress.com/bap/vol9/iss3/art4</vt:lpwstr>
      </vt:variant>
      <vt:variant>
        <vt:lpwstr/>
      </vt:variant>
      <vt:variant>
        <vt:i4>2621456</vt:i4>
      </vt:variant>
      <vt:variant>
        <vt:i4>3</vt:i4>
      </vt:variant>
      <vt:variant>
        <vt:i4>0</vt:i4>
      </vt:variant>
      <vt:variant>
        <vt:i4>5</vt:i4>
      </vt:variant>
      <vt:variant>
        <vt:lpwstr>http://www.bis.org/bcbs/cp3comments.htm</vt:lpwstr>
      </vt:variant>
      <vt:variant>
        <vt:lpwstr/>
      </vt:variant>
      <vt:variant>
        <vt:i4>6684796</vt:i4>
      </vt:variant>
      <vt:variant>
        <vt:i4>0</vt:i4>
      </vt:variant>
      <vt:variant>
        <vt:i4>0</vt:i4>
      </vt:variant>
      <vt:variant>
        <vt:i4>5</vt:i4>
      </vt:variant>
      <vt:variant>
        <vt:lpwstr>http://www.bis.org/bcbs/cacomments.htm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Newman</dc:creator>
  <cp:keywords/>
  <dc:description/>
  <cp:lastModifiedBy>Abraham Newman</cp:lastModifiedBy>
  <cp:revision>2</cp:revision>
  <cp:lastPrinted>2014-09-24T17:07:00Z</cp:lastPrinted>
  <dcterms:created xsi:type="dcterms:W3CDTF">2015-02-25T17:44:00Z</dcterms:created>
  <dcterms:modified xsi:type="dcterms:W3CDTF">2015-02-25T17:44:00Z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zotero-version="3.0b2"&gt;&lt;session id="9Ox5WG7Q"/&gt;&lt;style id="http://www.zotero.org/styles/chicago-note-bibliography" hasBibliography="1" bibliographyStyleHasBeenSet="1"/&gt;&lt;prefs&gt;&lt;pref name="fieldType" value="Field"/&gt;&lt;pref name="noteType</vt:lpwstr>
  </property>
  <property fmtid="{D5CDD505-2E9C-101B-9397-08002B2CF9AE}" pid="3" name="ZOTERO_PREF_2">
    <vt:lpwstr>" value="1"/&gt;&lt;pref name="storeReferences" value="false"/&gt;&lt;/prefs&gt;&lt;/data&gt;</vt:lpwstr>
  </property>
</Properties>
</file>