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023" w:rsidRDefault="00563253">
      <w:pPr>
        <w:rPr>
          <w:b/>
          <w:sz w:val="28"/>
          <w:szCs w:val="28"/>
          <w:lang w:val="en-US"/>
        </w:rPr>
      </w:pPr>
      <w:r>
        <w:rPr>
          <w:b/>
          <w:sz w:val="28"/>
          <w:szCs w:val="28"/>
          <w:lang w:val="en-US"/>
        </w:rPr>
        <w:t xml:space="preserve">The </w:t>
      </w:r>
      <w:r w:rsidR="00D01023">
        <w:rPr>
          <w:b/>
          <w:sz w:val="28"/>
          <w:szCs w:val="28"/>
          <w:lang w:val="en-US"/>
        </w:rPr>
        <w:t xml:space="preserve">Role of the </w:t>
      </w:r>
      <w:r>
        <w:rPr>
          <w:b/>
          <w:sz w:val="28"/>
          <w:szCs w:val="28"/>
          <w:lang w:val="en-US"/>
        </w:rPr>
        <w:t xml:space="preserve">European Parliament in the </w:t>
      </w:r>
      <w:r w:rsidR="00D01023">
        <w:rPr>
          <w:b/>
          <w:sz w:val="28"/>
          <w:szCs w:val="28"/>
          <w:lang w:val="en-US"/>
        </w:rPr>
        <w:t xml:space="preserve">Implementation </w:t>
      </w:r>
      <w:r>
        <w:rPr>
          <w:b/>
          <w:sz w:val="28"/>
          <w:szCs w:val="28"/>
          <w:lang w:val="en-US"/>
        </w:rPr>
        <w:t xml:space="preserve">of Trade Agreements: </w:t>
      </w:r>
      <w:r w:rsidR="00D01023">
        <w:rPr>
          <w:b/>
          <w:sz w:val="28"/>
          <w:szCs w:val="28"/>
          <w:lang w:val="en-US"/>
        </w:rPr>
        <w:t>Treaty Bodies and Parliamentary Control</w:t>
      </w:r>
    </w:p>
    <w:p w:rsidR="00563253" w:rsidRPr="00563253" w:rsidRDefault="00563253">
      <w:pPr>
        <w:rPr>
          <w:sz w:val="28"/>
          <w:szCs w:val="28"/>
          <w:lang w:val="en-US"/>
        </w:rPr>
      </w:pPr>
      <w:r w:rsidRPr="00563253">
        <w:rPr>
          <w:sz w:val="28"/>
          <w:szCs w:val="28"/>
          <w:lang w:val="en-US"/>
        </w:rPr>
        <w:t>Wolfgang Weiß</w:t>
      </w:r>
      <w:r w:rsidR="00C20998">
        <w:rPr>
          <w:sz w:val="28"/>
          <w:szCs w:val="28"/>
          <w:lang w:val="en-US"/>
        </w:rPr>
        <w:t>*</w:t>
      </w:r>
    </w:p>
    <w:p w:rsidR="00563253" w:rsidRDefault="00563253" w:rsidP="00563253">
      <w:pPr>
        <w:pStyle w:val="Listenabsatz"/>
        <w:numPr>
          <w:ilvl w:val="0"/>
          <w:numId w:val="1"/>
        </w:numPr>
        <w:rPr>
          <w:lang w:val="en-US"/>
        </w:rPr>
      </w:pPr>
      <w:r>
        <w:rPr>
          <w:lang w:val="en-US"/>
        </w:rPr>
        <w:t>Introduction</w:t>
      </w:r>
    </w:p>
    <w:p w:rsidR="00601FAC" w:rsidRDefault="00805165" w:rsidP="00F87B41">
      <w:pPr>
        <w:rPr>
          <w:lang w:val="en-US"/>
        </w:rPr>
      </w:pPr>
      <w:r w:rsidRPr="00E102BB">
        <w:rPr>
          <w:lang w:val="en-US"/>
        </w:rPr>
        <w:t>The role of the E</w:t>
      </w:r>
      <w:r w:rsidR="00C864C1">
        <w:rPr>
          <w:lang w:val="en-US"/>
        </w:rPr>
        <w:t xml:space="preserve">uropean </w:t>
      </w:r>
      <w:r w:rsidRPr="00E102BB">
        <w:rPr>
          <w:lang w:val="en-US"/>
        </w:rPr>
        <w:t>P</w:t>
      </w:r>
      <w:r w:rsidR="00C864C1">
        <w:rPr>
          <w:lang w:val="en-US"/>
        </w:rPr>
        <w:t>arliament (EP)</w:t>
      </w:r>
      <w:r w:rsidRPr="00E102BB">
        <w:rPr>
          <w:lang w:val="en-US"/>
        </w:rPr>
        <w:t xml:space="preserve"> in </w:t>
      </w:r>
      <w:r w:rsidR="00BA7A87">
        <w:rPr>
          <w:lang w:val="en-US"/>
        </w:rPr>
        <w:t xml:space="preserve">EU </w:t>
      </w:r>
      <w:r w:rsidRPr="00E102BB">
        <w:rPr>
          <w:lang w:val="en-US"/>
        </w:rPr>
        <w:t>legislation and in the conclusion of international agreements has incrementa</w:t>
      </w:r>
      <w:r w:rsidR="0072239F">
        <w:rPr>
          <w:lang w:val="en-US"/>
        </w:rPr>
        <w:t xml:space="preserve">lly expanded in the wave of </w:t>
      </w:r>
      <w:r w:rsidRPr="00E102BB">
        <w:rPr>
          <w:lang w:val="en-US"/>
        </w:rPr>
        <w:t>EU treaty reforms</w:t>
      </w:r>
      <w:r w:rsidR="00D515F0">
        <w:rPr>
          <w:lang w:val="en-US"/>
        </w:rPr>
        <w:t xml:space="preserve">, which </w:t>
      </w:r>
      <w:r w:rsidRPr="00E102BB">
        <w:rPr>
          <w:lang w:val="en-US"/>
        </w:rPr>
        <w:t>consider</w:t>
      </w:r>
      <w:r w:rsidR="00D515F0">
        <w:rPr>
          <w:lang w:val="en-US"/>
        </w:rPr>
        <w:t xml:space="preserve">ed </w:t>
      </w:r>
      <w:r w:rsidRPr="00E102BB">
        <w:rPr>
          <w:lang w:val="en-US"/>
        </w:rPr>
        <w:t>increased parliamentary involvement as a route to strength</w:t>
      </w:r>
      <w:r w:rsidR="000361E8">
        <w:rPr>
          <w:lang w:val="en-US"/>
        </w:rPr>
        <w:t>en</w:t>
      </w:r>
      <w:r w:rsidR="003266E3" w:rsidRPr="00E102BB">
        <w:rPr>
          <w:lang w:val="en-US"/>
        </w:rPr>
        <w:t>ing</w:t>
      </w:r>
      <w:r w:rsidRPr="00E102BB">
        <w:rPr>
          <w:lang w:val="en-US"/>
        </w:rPr>
        <w:t xml:space="preserve"> the democratic legitimacy of EU</w:t>
      </w:r>
      <w:r w:rsidR="0091153F" w:rsidRPr="00E102BB">
        <w:rPr>
          <w:lang w:val="en-US"/>
        </w:rPr>
        <w:t xml:space="preserve"> decision-making</w:t>
      </w:r>
      <w:r w:rsidR="000361E8">
        <w:rPr>
          <w:rStyle w:val="Funotenzeichen"/>
          <w:lang w:val="en-US"/>
        </w:rPr>
        <w:footnoteReference w:id="1"/>
      </w:r>
      <w:r w:rsidRPr="00E102BB">
        <w:rPr>
          <w:lang w:val="en-US"/>
        </w:rPr>
        <w:t xml:space="preserve">, </w:t>
      </w:r>
      <w:r w:rsidR="00D515F0">
        <w:rPr>
          <w:lang w:val="en-US"/>
        </w:rPr>
        <w:t xml:space="preserve">and </w:t>
      </w:r>
      <w:r w:rsidRPr="00E102BB">
        <w:rPr>
          <w:lang w:val="en-US"/>
        </w:rPr>
        <w:t xml:space="preserve">in response to CJEU case law </w:t>
      </w:r>
      <w:r w:rsidR="00D515F0">
        <w:rPr>
          <w:lang w:val="en-US"/>
        </w:rPr>
        <w:t>amending the</w:t>
      </w:r>
      <w:r w:rsidRPr="00E102BB">
        <w:rPr>
          <w:lang w:val="en-US"/>
        </w:rPr>
        <w:t xml:space="preserve"> powers of the EP</w:t>
      </w:r>
      <w:r w:rsidR="006C106B">
        <w:rPr>
          <w:lang w:val="en-US"/>
        </w:rPr>
        <w:t>.</w:t>
      </w:r>
      <w:r w:rsidR="006C106B">
        <w:rPr>
          <w:rStyle w:val="Funotenzeichen"/>
          <w:lang w:val="en-US"/>
        </w:rPr>
        <w:footnoteReference w:id="2"/>
      </w:r>
      <w:r w:rsidR="00C864C1">
        <w:rPr>
          <w:lang w:val="en-US"/>
        </w:rPr>
        <w:t xml:space="preserve"> </w:t>
      </w:r>
      <w:r w:rsidRPr="00E102BB">
        <w:rPr>
          <w:lang w:val="en-US"/>
        </w:rPr>
        <w:t xml:space="preserve">The Lisbon Treaty brought about the equal role of the EP besides the Council in ordinary legislation, and established a requirement of EP consent to the conclusion of </w:t>
      </w:r>
      <w:r w:rsidR="003E3DA4" w:rsidRPr="00E102BB">
        <w:rPr>
          <w:lang w:val="en-US"/>
        </w:rPr>
        <w:t xml:space="preserve">certain international </w:t>
      </w:r>
      <w:r w:rsidRPr="00E102BB">
        <w:rPr>
          <w:lang w:val="en-US"/>
        </w:rPr>
        <w:t>agreements</w:t>
      </w:r>
      <w:r w:rsidR="00D515F0">
        <w:rPr>
          <w:lang w:val="en-US"/>
        </w:rPr>
        <w:t xml:space="preserve">, </w:t>
      </w:r>
      <w:r w:rsidR="003E3DA4" w:rsidRPr="00E102BB">
        <w:rPr>
          <w:lang w:val="en-US"/>
        </w:rPr>
        <w:t>includ</w:t>
      </w:r>
      <w:r w:rsidR="00D515F0">
        <w:rPr>
          <w:lang w:val="en-US"/>
        </w:rPr>
        <w:t>ing</w:t>
      </w:r>
      <w:r w:rsidR="003E3DA4" w:rsidRPr="00E102BB">
        <w:rPr>
          <w:lang w:val="en-US"/>
        </w:rPr>
        <w:t xml:space="preserve"> – and this </w:t>
      </w:r>
      <w:r w:rsidR="00D515F0">
        <w:rPr>
          <w:lang w:val="en-US"/>
        </w:rPr>
        <w:t>wa</w:t>
      </w:r>
      <w:r w:rsidR="003E3DA4" w:rsidRPr="00E102BB">
        <w:rPr>
          <w:lang w:val="en-US"/>
        </w:rPr>
        <w:t xml:space="preserve">s new - international trade agreements (Art. 218 (6) a) v) </w:t>
      </w:r>
      <w:proofErr w:type="spellStart"/>
      <w:r w:rsidR="003E3DA4" w:rsidRPr="00E102BB">
        <w:rPr>
          <w:lang w:val="en-US"/>
        </w:rPr>
        <w:t>i.c.w</w:t>
      </w:r>
      <w:proofErr w:type="spellEnd"/>
      <w:r w:rsidR="003E3DA4" w:rsidRPr="00E102BB">
        <w:rPr>
          <w:lang w:val="en-US"/>
        </w:rPr>
        <w:t>. Art. 207 (2) TFEU)</w:t>
      </w:r>
      <w:r w:rsidR="00F87B41" w:rsidRPr="00E102BB">
        <w:rPr>
          <w:lang w:val="en-US"/>
        </w:rPr>
        <w:t>, in addition to its long-established right of being informed in all stages of the treaty-making procedures (Art. 218 (10)).</w:t>
      </w:r>
      <w:r w:rsidR="0072239F">
        <w:rPr>
          <w:lang w:val="en-US"/>
        </w:rPr>
        <w:t xml:space="preserve"> Augmenting</w:t>
      </w:r>
      <w:r w:rsidR="00B66DE8" w:rsidRPr="00E102BB">
        <w:rPr>
          <w:lang w:val="en-US"/>
        </w:rPr>
        <w:t xml:space="preserve"> the EP</w:t>
      </w:r>
      <w:r w:rsidR="00C864C1">
        <w:rPr>
          <w:lang w:val="en-US"/>
        </w:rPr>
        <w:t>´</w:t>
      </w:r>
      <w:r w:rsidR="00B66DE8" w:rsidRPr="00E102BB">
        <w:rPr>
          <w:lang w:val="en-US"/>
        </w:rPr>
        <w:t xml:space="preserve">s role in the conclusion of trade agreements </w:t>
      </w:r>
      <w:r w:rsidR="00C02DA7" w:rsidRPr="00E102BB">
        <w:rPr>
          <w:lang w:val="en-US"/>
        </w:rPr>
        <w:t xml:space="preserve">is particularly welcome given the proliferation of EU </w:t>
      </w:r>
      <w:r w:rsidR="00C864C1">
        <w:rPr>
          <w:lang w:val="en-US"/>
        </w:rPr>
        <w:t>Free Trade Agreements</w:t>
      </w:r>
      <w:r w:rsidR="00C02DA7" w:rsidRPr="00E102BB">
        <w:rPr>
          <w:lang w:val="en-US"/>
        </w:rPr>
        <w:t xml:space="preserve"> </w:t>
      </w:r>
      <w:r w:rsidR="00601FAC">
        <w:rPr>
          <w:lang w:val="en-US"/>
        </w:rPr>
        <w:t xml:space="preserve">(FTAs) </w:t>
      </w:r>
      <w:proofErr w:type="spellStart"/>
      <w:r w:rsidR="005B3854">
        <w:rPr>
          <w:lang w:val="en-US"/>
        </w:rPr>
        <w:t>F</w:t>
      </w:r>
      <w:r w:rsidR="00C02DA7" w:rsidRPr="00E102BB">
        <w:rPr>
          <w:lang w:val="en-US"/>
        </w:rPr>
        <w:t>since</w:t>
      </w:r>
      <w:proofErr w:type="spellEnd"/>
      <w:r w:rsidR="00C02DA7" w:rsidRPr="00E102BB">
        <w:rPr>
          <w:lang w:val="en-US"/>
        </w:rPr>
        <w:t xml:space="preserve"> the adoption of the Global Europe Strategy of the </w:t>
      </w:r>
      <w:r w:rsidR="00C864C1">
        <w:rPr>
          <w:lang w:val="en-US"/>
        </w:rPr>
        <w:t xml:space="preserve">European </w:t>
      </w:r>
      <w:r w:rsidR="00C02DA7" w:rsidRPr="00E102BB">
        <w:rPr>
          <w:lang w:val="en-US"/>
        </w:rPr>
        <w:t>C</w:t>
      </w:r>
      <w:r w:rsidR="00C864C1">
        <w:rPr>
          <w:lang w:val="en-US"/>
        </w:rPr>
        <w:t xml:space="preserve">ommission (COM) </w:t>
      </w:r>
      <w:r w:rsidR="00C02DA7" w:rsidRPr="00E102BB">
        <w:rPr>
          <w:lang w:val="en-US"/>
        </w:rPr>
        <w:t>in 2006</w:t>
      </w:r>
      <w:r w:rsidR="0072239F">
        <w:rPr>
          <w:lang w:val="en-US"/>
        </w:rPr>
        <w:t>.</w:t>
      </w:r>
      <w:r w:rsidR="00C864C1">
        <w:rPr>
          <w:rStyle w:val="Funotenzeichen"/>
          <w:lang w:val="en-US"/>
        </w:rPr>
        <w:footnoteReference w:id="3"/>
      </w:r>
      <w:r w:rsidR="003266E3" w:rsidRPr="00E102BB">
        <w:rPr>
          <w:lang w:val="en-US"/>
        </w:rPr>
        <w:t xml:space="preserve"> </w:t>
      </w:r>
      <w:r w:rsidR="0072239F">
        <w:rPr>
          <w:lang w:val="en-US"/>
        </w:rPr>
        <w:t xml:space="preserve">Due to its </w:t>
      </w:r>
      <w:r w:rsidR="003266E3" w:rsidRPr="00E102BB">
        <w:rPr>
          <w:lang w:val="en-US"/>
        </w:rPr>
        <w:t xml:space="preserve">enhanced competences in the conclusion of trade agreements, the </w:t>
      </w:r>
      <w:r w:rsidR="0072239F">
        <w:rPr>
          <w:lang w:val="en-US"/>
        </w:rPr>
        <w:t xml:space="preserve">EP made itself become </w:t>
      </w:r>
      <w:r w:rsidR="003266E3" w:rsidRPr="00E102BB">
        <w:rPr>
          <w:lang w:val="en-US"/>
        </w:rPr>
        <w:t>active</w:t>
      </w:r>
      <w:r w:rsidR="0072239F">
        <w:rPr>
          <w:lang w:val="en-US"/>
        </w:rPr>
        <w:t xml:space="preserve">ly </w:t>
      </w:r>
      <w:r w:rsidR="003266E3" w:rsidRPr="00E102BB">
        <w:rPr>
          <w:lang w:val="en-US"/>
        </w:rPr>
        <w:t>involve</w:t>
      </w:r>
      <w:r w:rsidR="0072239F">
        <w:rPr>
          <w:lang w:val="en-US"/>
        </w:rPr>
        <w:t xml:space="preserve">d </w:t>
      </w:r>
      <w:r w:rsidR="003266E3" w:rsidRPr="00E102BB">
        <w:rPr>
          <w:lang w:val="en-US"/>
        </w:rPr>
        <w:t>in the negotiations</w:t>
      </w:r>
      <w:r w:rsidR="0072239F">
        <w:rPr>
          <w:lang w:val="en-US"/>
        </w:rPr>
        <w:t xml:space="preserve">. Thus, </w:t>
      </w:r>
      <w:r w:rsidR="003266E3" w:rsidRPr="00E102BB">
        <w:rPr>
          <w:lang w:val="en-US"/>
        </w:rPr>
        <w:t>the EP bec</w:t>
      </w:r>
      <w:r w:rsidR="0072239F">
        <w:rPr>
          <w:lang w:val="en-US"/>
        </w:rPr>
        <w:t>a</w:t>
      </w:r>
      <w:r w:rsidR="003266E3" w:rsidRPr="00E102BB">
        <w:rPr>
          <w:lang w:val="en-US"/>
        </w:rPr>
        <w:t xml:space="preserve">me an </w:t>
      </w:r>
      <w:r w:rsidR="00601FAC">
        <w:rPr>
          <w:lang w:val="en-US"/>
        </w:rPr>
        <w:t xml:space="preserve">active </w:t>
      </w:r>
      <w:r w:rsidR="003266E3" w:rsidRPr="00E102BB">
        <w:rPr>
          <w:lang w:val="en-US"/>
        </w:rPr>
        <w:t xml:space="preserve">actor in trade policy, besides </w:t>
      </w:r>
      <w:r w:rsidR="00601FAC">
        <w:rPr>
          <w:lang w:val="en-US"/>
        </w:rPr>
        <w:t xml:space="preserve">the executive actors of the EU, i.e. </w:t>
      </w:r>
      <w:r w:rsidR="003266E3" w:rsidRPr="00E102BB">
        <w:rPr>
          <w:lang w:val="en-US"/>
        </w:rPr>
        <w:t xml:space="preserve">Council and the COM. </w:t>
      </w:r>
      <w:r w:rsidR="00601FAC">
        <w:rPr>
          <w:lang w:val="en-US"/>
        </w:rPr>
        <w:t>The Lisbon Treaty</w:t>
      </w:r>
      <w:r w:rsidR="0072239F">
        <w:rPr>
          <w:lang w:val="en-US"/>
        </w:rPr>
        <w:t xml:space="preserve">´s </w:t>
      </w:r>
      <w:r w:rsidR="00601FAC">
        <w:rPr>
          <w:lang w:val="en-US"/>
        </w:rPr>
        <w:t>rearrange</w:t>
      </w:r>
      <w:r w:rsidR="0072239F">
        <w:rPr>
          <w:lang w:val="en-US"/>
        </w:rPr>
        <w:t>ment of</w:t>
      </w:r>
      <w:r w:rsidR="00601FAC">
        <w:rPr>
          <w:lang w:val="en-US"/>
        </w:rPr>
        <w:t xml:space="preserve"> the executive-legislative relationship</w:t>
      </w:r>
      <w:r w:rsidR="0072239F">
        <w:rPr>
          <w:lang w:val="en-US"/>
        </w:rPr>
        <w:t xml:space="preserve"> brought about a rebalancing </w:t>
      </w:r>
      <w:r w:rsidR="00601FAC" w:rsidRPr="00601FAC">
        <w:rPr>
          <w:lang w:val="en-US"/>
        </w:rPr>
        <w:t xml:space="preserve">to the advantage of </w:t>
      </w:r>
      <w:r w:rsidR="00601FAC">
        <w:rPr>
          <w:lang w:val="en-US"/>
        </w:rPr>
        <w:t>the EP</w:t>
      </w:r>
      <w:r w:rsidR="0072239F">
        <w:rPr>
          <w:lang w:val="en-US"/>
        </w:rPr>
        <w:t xml:space="preserve"> in</w:t>
      </w:r>
      <w:r w:rsidR="00601FAC" w:rsidRPr="00601FAC">
        <w:rPr>
          <w:lang w:val="en-US"/>
        </w:rPr>
        <w:t xml:space="preserve"> legislati</w:t>
      </w:r>
      <w:r w:rsidR="0072239F">
        <w:rPr>
          <w:lang w:val="en-US"/>
        </w:rPr>
        <w:t xml:space="preserve">ng </w:t>
      </w:r>
      <w:r w:rsidR="00601FAC" w:rsidRPr="00601FAC">
        <w:rPr>
          <w:lang w:val="en-US"/>
        </w:rPr>
        <w:t xml:space="preserve">and </w:t>
      </w:r>
      <w:r w:rsidR="0072239F">
        <w:rPr>
          <w:lang w:val="en-US"/>
        </w:rPr>
        <w:t>treaty making</w:t>
      </w:r>
      <w:r w:rsidR="00601FAC" w:rsidRPr="00601FAC">
        <w:rPr>
          <w:lang w:val="en-US"/>
        </w:rPr>
        <w:t>.</w:t>
      </w:r>
    </w:p>
    <w:p w:rsidR="0011769F" w:rsidRDefault="003266E3" w:rsidP="0011769F">
      <w:pPr>
        <w:rPr>
          <w:iCs/>
          <w:lang w:val="en-GB"/>
        </w:rPr>
      </w:pPr>
      <w:r w:rsidRPr="00E102BB">
        <w:rPr>
          <w:lang w:val="en-US"/>
        </w:rPr>
        <w:t>In contrast to negotiation and conclusion</w:t>
      </w:r>
      <w:r w:rsidR="00601FAC">
        <w:rPr>
          <w:lang w:val="en-US"/>
        </w:rPr>
        <w:t xml:space="preserve"> of trade agreements</w:t>
      </w:r>
      <w:r w:rsidRPr="00E102BB">
        <w:rPr>
          <w:lang w:val="en-US"/>
        </w:rPr>
        <w:t xml:space="preserve">, the role of the EP in the implementation and operation of </w:t>
      </w:r>
      <w:r w:rsidR="00E91F0D">
        <w:rPr>
          <w:lang w:val="en-US"/>
        </w:rPr>
        <w:t>free trade agreements (</w:t>
      </w:r>
      <w:r w:rsidRPr="00E102BB">
        <w:rPr>
          <w:lang w:val="en-US"/>
        </w:rPr>
        <w:t>FTAs</w:t>
      </w:r>
      <w:r w:rsidR="00E91F0D">
        <w:rPr>
          <w:lang w:val="en-US"/>
        </w:rPr>
        <w:t>)</w:t>
      </w:r>
      <w:r w:rsidRPr="00E102BB">
        <w:rPr>
          <w:lang w:val="en-US"/>
        </w:rPr>
        <w:t xml:space="preserve"> </w:t>
      </w:r>
      <w:r w:rsidR="00601FAC">
        <w:rPr>
          <w:lang w:val="en-US"/>
        </w:rPr>
        <w:t xml:space="preserve">once concluded </w:t>
      </w:r>
      <w:r w:rsidRPr="00E102BB">
        <w:rPr>
          <w:lang w:val="en-US"/>
        </w:rPr>
        <w:t>is</w:t>
      </w:r>
      <w:r w:rsidR="00C53973" w:rsidRPr="00E102BB">
        <w:rPr>
          <w:lang w:val="en-US"/>
        </w:rPr>
        <w:t xml:space="preserve"> </w:t>
      </w:r>
      <w:r w:rsidR="00E91F0D">
        <w:rPr>
          <w:lang w:val="en-US"/>
        </w:rPr>
        <w:t>low</w:t>
      </w:r>
      <w:r w:rsidR="00C53973" w:rsidRPr="00E102BB">
        <w:rPr>
          <w:lang w:val="en-US"/>
        </w:rPr>
        <w:t xml:space="preserve">. Primary law does not provide for a function of the EP insofar, except with regard to adopting the framework for the agreements´ implementation, </w:t>
      </w:r>
      <w:r w:rsidR="00401617" w:rsidRPr="00E102BB">
        <w:rPr>
          <w:lang w:val="en-US"/>
        </w:rPr>
        <w:t xml:space="preserve">which </w:t>
      </w:r>
      <w:r w:rsidR="00782316">
        <w:rPr>
          <w:lang w:val="en-US"/>
        </w:rPr>
        <w:t xml:space="preserve">the EU legislative is capable of adopting </w:t>
      </w:r>
      <w:r w:rsidR="00C53973" w:rsidRPr="00E102BB">
        <w:rPr>
          <w:lang w:val="en-US"/>
        </w:rPr>
        <w:t>in the ordinary legislative procedure (Art. 207 (2) TFEU</w:t>
      </w:r>
      <w:r w:rsidR="00782316">
        <w:rPr>
          <w:lang w:val="en-US"/>
        </w:rPr>
        <w:t>)</w:t>
      </w:r>
      <w:r w:rsidR="00D55F07" w:rsidRPr="00E102BB">
        <w:rPr>
          <w:lang w:val="en-US"/>
        </w:rPr>
        <w:t>.</w:t>
      </w:r>
      <w:r w:rsidR="00C53973" w:rsidRPr="00E102BB">
        <w:rPr>
          <w:lang w:val="en-US"/>
        </w:rPr>
        <w:t xml:space="preserve"> </w:t>
      </w:r>
      <w:r w:rsidR="00F30709">
        <w:rPr>
          <w:lang w:val="en-US"/>
        </w:rPr>
        <w:t>P</w:t>
      </w:r>
      <w:r w:rsidR="00C53973" w:rsidRPr="00E102BB">
        <w:rPr>
          <w:lang w:val="en-US"/>
        </w:rPr>
        <w:t>articular</w:t>
      </w:r>
      <w:r w:rsidR="00F30709">
        <w:rPr>
          <w:lang w:val="en-US"/>
        </w:rPr>
        <w:t>ly</w:t>
      </w:r>
      <w:r w:rsidR="00C53973" w:rsidRPr="00E102BB">
        <w:rPr>
          <w:lang w:val="en-US"/>
        </w:rPr>
        <w:t xml:space="preserve"> with regard to </w:t>
      </w:r>
      <w:r w:rsidR="00401617" w:rsidRPr="00E102BB">
        <w:rPr>
          <w:lang w:val="en-US"/>
        </w:rPr>
        <w:t xml:space="preserve">the </w:t>
      </w:r>
      <w:r w:rsidR="00C53973" w:rsidRPr="00E102BB">
        <w:rPr>
          <w:lang w:val="en-US"/>
        </w:rPr>
        <w:t xml:space="preserve">institutions established by </w:t>
      </w:r>
      <w:r w:rsidR="00D55F07" w:rsidRPr="00E102BB">
        <w:rPr>
          <w:lang w:val="en-US"/>
        </w:rPr>
        <w:t xml:space="preserve">FTAs </w:t>
      </w:r>
      <w:r w:rsidR="00C53973" w:rsidRPr="00E102BB">
        <w:rPr>
          <w:lang w:val="en-US"/>
        </w:rPr>
        <w:t xml:space="preserve">for their operation and implementation, the EP is not involved. FTAs entail the </w:t>
      </w:r>
      <w:r w:rsidR="00C53973" w:rsidRPr="00E102BB">
        <w:rPr>
          <w:rFonts w:cs="Times New Roman"/>
          <w:lang w:val="en-GB"/>
        </w:rPr>
        <w:t xml:space="preserve">establishment of common bodies, usually joint committees that </w:t>
      </w:r>
      <w:proofErr w:type="gramStart"/>
      <w:r w:rsidR="00C53973" w:rsidRPr="00E102BB">
        <w:rPr>
          <w:rFonts w:cs="Times New Roman"/>
          <w:lang w:val="en-GB"/>
        </w:rPr>
        <w:t>are entrusted</w:t>
      </w:r>
      <w:proofErr w:type="gramEnd"/>
      <w:r w:rsidR="00C53973" w:rsidRPr="00E102BB">
        <w:rPr>
          <w:rFonts w:cs="Times New Roman"/>
          <w:lang w:val="en-GB"/>
        </w:rPr>
        <w:t xml:space="preserve"> with certain tasks</w:t>
      </w:r>
      <w:r w:rsidR="00782316">
        <w:rPr>
          <w:rFonts w:cs="Times New Roman"/>
          <w:lang w:val="en-GB"/>
        </w:rPr>
        <w:t xml:space="preserve"> in order to amend, implement and adjourn the agreement. </w:t>
      </w:r>
      <w:r w:rsidR="0007210B">
        <w:rPr>
          <w:rFonts w:cs="Times New Roman"/>
          <w:lang w:val="en-GB"/>
        </w:rPr>
        <w:t>D</w:t>
      </w:r>
      <w:r w:rsidR="00C53973" w:rsidRPr="00E102BB">
        <w:rPr>
          <w:rFonts w:cs="Times New Roman"/>
          <w:lang w:val="en-GB"/>
        </w:rPr>
        <w:t xml:space="preserve">ecision-making powers </w:t>
      </w:r>
      <w:r w:rsidR="00782316">
        <w:rPr>
          <w:rFonts w:cs="Times New Roman"/>
          <w:lang w:val="en-GB"/>
        </w:rPr>
        <w:t xml:space="preserve">transferred to common bodies </w:t>
      </w:r>
      <w:r w:rsidR="00C53973" w:rsidRPr="00E102BB">
        <w:rPr>
          <w:rFonts w:cs="Times New Roman"/>
          <w:lang w:val="en-GB"/>
        </w:rPr>
        <w:t>facilitate the agreement´s implementation and</w:t>
      </w:r>
      <w:r w:rsidR="006122A6">
        <w:rPr>
          <w:rFonts w:cs="Times New Roman"/>
          <w:lang w:val="en-GB"/>
        </w:rPr>
        <w:t xml:space="preserve"> application</w:t>
      </w:r>
      <w:r w:rsidR="00C53973" w:rsidRPr="00E102BB">
        <w:rPr>
          <w:rFonts w:cs="Times New Roman"/>
          <w:lang w:val="en-GB"/>
        </w:rPr>
        <w:t>.</w:t>
      </w:r>
      <w:r w:rsidR="000B4B07">
        <w:rPr>
          <w:rStyle w:val="Funotenzeichen"/>
          <w:rFonts w:cs="Times New Roman"/>
          <w:lang w:val="en-GB"/>
        </w:rPr>
        <w:footnoteReference w:id="4"/>
      </w:r>
      <w:r w:rsidR="00C53973" w:rsidRPr="00E102BB">
        <w:rPr>
          <w:rFonts w:cs="Times New Roman"/>
          <w:lang w:val="en-GB"/>
        </w:rPr>
        <w:t xml:space="preserve"> The</w:t>
      </w:r>
      <w:r w:rsidR="00F960C5" w:rsidRPr="00E102BB">
        <w:rPr>
          <w:rFonts w:cs="Times New Roman"/>
          <w:lang w:val="en-GB"/>
        </w:rPr>
        <w:t>se</w:t>
      </w:r>
      <w:r w:rsidR="00C53973" w:rsidRPr="00E102BB">
        <w:rPr>
          <w:rFonts w:cs="Times New Roman"/>
          <w:lang w:val="en-GB"/>
        </w:rPr>
        <w:t xml:space="preserve"> powers, however, go beyond mere executive implementation</w:t>
      </w:r>
      <w:r w:rsidR="007B284E">
        <w:rPr>
          <w:rFonts w:cs="Times New Roman"/>
          <w:lang w:val="en-GB"/>
        </w:rPr>
        <w:t xml:space="preserve">. They become </w:t>
      </w:r>
      <w:r w:rsidR="00C53973" w:rsidRPr="00E102BB">
        <w:rPr>
          <w:rFonts w:cs="Times New Roman"/>
          <w:lang w:val="en-GB"/>
        </w:rPr>
        <w:t xml:space="preserve">increasingly </w:t>
      </w:r>
      <w:r w:rsidR="00401617" w:rsidRPr="00E102BB">
        <w:rPr>
          <w:rFonts w:cs="Times New Roman"/>
          <w:lang w:val="en-GB"/>
        </w:rPr>
        <w:t xml:space="preserve">comprehensive and </w:t>
      </w:r>
      <w:r w:rsidR="00C53973" w:rsidRPr="00E102BB">
        <w:rPr>
          <w:rFonts w:cs="Times New Roman"/>
          <w:lang w:val="en-GB"/>
        </w:rPr>
        <w:t>include decision-making on significant issues and even rule-making</w:t>
      </w:r>
      <w:r w:rsidR="00782316">
        <w:rPr>
          <w:rFonts w:cs="Times New Roman"/>
          <w:lang w:val="en-GB"/>
        </w:rPr>
        <w:t xml:space="preserve"> and treaty changes</w:t>
      </w:r>
      <w:r w:rsidR="00C53973" w:rsidRPr="00E102BB">
        <w:rPr>
          <w:rFonts w:cs="Times New Roman"/>
          <w:lang w:val="en-GB"/>
        </w:rPr>
        <w:t>.</w:t>
      </w:r>
      <w:r w:rsidR="00401617" w:rsidRPr="00E102BB">
        <w:rPr>
          <w:rFonts w:cs="Times New Roman"/>
          <w:lang w:val="en-GB"/>
        </w:rPr>
        <w:t xml:space="preserve"> Nevertheless, the EP has no say in the decision-making process of the</w:t>
      </w:r>
      <w:r w:rsidR="007B284E">
        <w:rPr>
          <w:rFonts w:cs="Times New Roman"/>
          <w:lang w:val="en-GB"/>
        </w:rPr>
        <w:t>se</w:t>
      </w:r>
      <w:r w:rsidR="00401617" w:rsidRPr="00E102BB">
        <w:rPr>
          <w:rFonts w:cs="Times New Roman"/>
          <w:lang w:val="en-GB"/>
        </w:rPr>
        <w:t xml:space="preserve"> bodies, nor is it represented there</w:t>
      </w:r>
      <w:r w:rsidR="00782316">
        <w:rPr>
          <w:rFonts w:cs="Times New Roman"/>
          <w:lang w:val="en-GB"/>
        </w:rPr>
        <w:t>, nor does it have meaningful, specific powers of scrutiny</w:t>
      </w:r>
      <w:r w:rsidR="00401617" w:rsidRPr="00E102BB">
        <w:rPr>
          <w:rFonts w:cs="Times New Roman"/>
          <w:lang w:val="en-GB"/>
        </w:rPr>
        <w:t xml:space="preserve">. The Union´s position to be represented on the EU´s behalf in the treaty bodies is adopted by the Council only </w:t>
      </w:r>
      <w:r w:rsidR="0000052A">
        <w:rPr>
          <w:rFonts w:cs="Times New Roman"/>
          <w:lang w:val="en-GB"/>
        </w:rPr>
        <w:t xml:space="preserve">(see </w:t>
      </w:r>
      <w:r w:rsidR="00401617" w:rsidRPr="00E102BB">
        <w:rPr>
          <w:rFonts w:cs="Times New Roman"/>
          <w:lang w:val="en-GB"/>
        </w:rPr>
        <w:t>Art. 218 (9) TFEU</w:t>
      </w:r>
      <w:r w:rsidR="0000052A">
        <w:rPr>
          <w:rFonts w:cs="Times New Roman"/>
          <w:lang w:val="en-GB"/>
        </w:rPr>
        <w:t>)</w:t>
      </w:r>
      <w:r w:rsidR="00401617" w:rsidRPr="00E102BB">
        <w:rPr>
          <w:rFonts w:cs="Times New Roman"/>
          <w:lang w:val="en-GB"/>
        </w:rPr>
        <w:t xml:space="preserve">. </w:t>
      </w:r>
      <w:r w:rsidR="00E102BB" w:rsidRPr="00E102BB">
        <w:rPr>
          <w:rFonts w:cs="Times New Roman"/>
          <w:lang w:val="en-GB"/>
        </w:rPr>
        <w:t xml:space="preserve">This imbalance </w:t>
      </w:r>
      <w:r w:rsidR="0000052A">
        <w:rPr>
          <w:rFonts w:cs="Times New Roman"/>
          <w:lang w:val="en-GB"/>
        </w:rPr>
        <w:t xml:space="preserve">between </w:t>
      </w:r>
      <w:r w:rsidR="00E102BB" w:rsidRPr="00E102BB">
        <w:rPr>
          <w:rFonts w:cs="Times New Roman"/>
          <w:lang w:val="en-GB"/>
        </w:rPr>
        <w:t xml:space="preserve">a strong position </w:t>
      </w:r>
      <w:r w:rsidR="0000052A">
        <w:rPr>
          <w:rFonts w:cs="Times New Roman"/>
          <w:lang w:val="en-GB"/>
        </w:rPr>
        <w:t xml:space="preserve">of the EP </w:t>
      </w:r>
      <w:r w:rsidR="00E102BB" w:rsidRPr="00E102BB">
        <w:rPr>
          <w:rFonts w:cs="Times New Roman"/>
          <w:lang w:val="en-GB"/>
        </w:rPr>
        <w:t>in legislati</w:t>
      </w:r>
      <w:r w:rsidR="0000052A">
        <w:rPr>
          <w:rFonts w:cs="Times New Roman"/>
          <w:lang w:val="en-GB"/>
        </w:rPr>
        <w:t>ng and treaty-making</w:t>
      </w:r>
      <w:r w:rsidR="00E102BB" w:rsidRPr="00E102BB">
        <w:rPr>
          <w:rFonts w:cs="Times New Roman"/>
          <w:lang w:val="en-GB"/>
        </w:rPr>
        <w:t xml:space="preserve"> and its weak position with regard to </w:t>
      </w:r>
      <w:r w:rsidR="00E102BB" w:rsidRPr="00E102BB">
        <w:rPr>
          <w:rFonts w:cs="Times New Roman"/>
          <w:lang w:val="en-GB"/>
        </w:rPr>
        <w:lastRenderedPageBreak/>
        <w:t xml:space="preserve">significant decisions adopted by treaty bodies raises concerns </w:t>
      </w:r>
      <w:r w:rsidR="00B83750">
        <w:rPr>
          <w:rFonts w:cs="Times New Roman"/>
          <w:lang w:val="en-GB"/>
        </w:rPr>
        <w:t xml:space="preserve">as to the </w:t>
      </w:r>
      <w:r w:rsidR="00E102BB" w:rsidRPr="00E102BB">
        <w:rPr>
          <w:iCs/>
          <w:lang w:val="en-GB"/>
        </w:rPr>
        <w:t xml:space="preserve">democratic legitimacy of such decision-making and the respect of </w:t>
      </w:r>
      <w:r w:rsidR="00782316">
        <w:rPr>
          <w:iCs/>
          <w:lang w:val="en-GB"/>
        </w:rPr>
        <w:t xml:space="preserve">the </w:t>
      </w:r>
      <w:r w:rsidR="00E102BB" w:rsidRPr="00E102BB">
        <w:rPr>
          <w:iCs/>
          <w:lang w:val="en-GB"/>
        </w:rPr>
        <w:t xml:space="preserve">institutional balance </w:t>
      </w:r>
      <w:r w:rsidR="00782316">
        <w:rPr>
          <w:iCs/>
          <w:lang w:val="en-GB"/>
        </w:rPr>
        <w:t xml:space="preserve">between the executive and the legislative </w:t>
      </w:r>
      <w:r w:rsidR="00E102BB" w:rsidRPr="00E102BB">
        <w:rPr>
          <w:iCs/>
          <w:lang w:val="en-GB"/>
        </w:rPr>
        <w:t>in the EU.</w:t>
      </w:r>
      <w:r w:rsidR="00080DB5">
        <w:rPr>
          <w:iCs/>
          <w:lang w:val="en-GB"/>
        </w:rPr>
        <w:t xml:space="preserve"> In most cases, </w:t>
      </w:r>
      <w:r w:rsidR="00B83750">
        <w:rPr>
          <w:iCs/>
          <w:lang w:val="en-GB"/>
        </w:rPr>
        <w:t>the Commission represents the EU in these bodies, and the</w:t>
      </w:r>
      <w:r w:rsidR="00CB0A90">
        <w:rPr>
          <w:iCs/>
          <w:lang w:val="en-GB"/>
        </w:rPr>
        <w:t xml:space="preserve"> bodies´</w:t>
      </w:r>
      <w:r w:rsidR="00B83750">
        <w:rPr>
          <w:iCs/>
          <w:lang w:val="en-GB"/>
        </w:rPr>
        <w:t xml:space="preserve"> decision-making is only steered by the </w:t>
      </w:r>
      <w:r w:rsidR="00CB0A90">
        <w:rPr>
          <w:iCs/>
          <w:lang w:val="en-GB"/>
        </w:rPr>
        <w:t xml:space="preserve">position adopted </w:t>
      </w:r>
      <w:r w:rsidR="001247E4">
        <w:rPr>
          <w:iCs/>
          <w:lang w:val="en-GB"/>
        </w:rPr>
        <w:t>by the</w:t>
      </w:r>
      <w:r w:rsidR="00CB0A90">
        <w:rPr>
          <w:iCs/>
          <w:lang w:val="en-GB"/>
        </w:rPr>
        <w:t xml:space="preserve"> </w:t>
      </w:r>
      <w:r w:rsidR="00B83750">
        <w:rPr>
          <w:iCs/>
          <w:lang w:val="en-GB"/>
        </w:rPr>
        <w:t>Council on behalf of the EU</w:t>
      </w:r>
      <w:r w:rsidR="0000052A">
        <w:rPr>
          <w:iCs/>
          <w:lang w:val="en-GB"/>
        </w:rPr>
        <w:t>.</w:t>
      </w:r>
      <w:r w:rsidR="00CB0A90">
        <w:rPr>
          <w:iCs/>
          <w:lang w:val="en-GB"/>
        </w:rPr>
        <w:t xml:space="preserve"> </w:t>
      </w:r>
    </w:p>
    <w:p w:rsidR="0011769F" w:rsidRPr="0011769F" w:rsidRDefault="0011769F" w:rsidP="0011769F">
      <w:pPr>
        <w:rPr>
          <w:iCs/>
          <w:lang w:val="en-GB"/>
        </w:rPr>
      </w:pPr>
      <w:r>
        <w:rPr>
          <w:iCs/>
          <w:lang w:val="en-GB"/>
        </w:rPr>
        <w:t xml:space="preserve">The EP´s </w:t>
      </w:r>
      <w:r w:rsidRPr="0011769F">
        <w:rPr>
          <w:iCs/>
          <w:lang w:val="en-GB"/>
        </w:rPr>
        <w:t xml:space="preserve">limited role in the decision-making of </w:t>
      </w:r>
      <w:r>
        <w:rPr>
          <w:iCs/>
          <w:lang w:val="en-GB"/>
        </w:rPr>
        <w:t xml:space="preserve">such </w:t>
      </w:r>
      <w:r w:rsidRPr="0011769F">
        <w:rPr>
          <w:iCs/>
          <w:lang w:val="en-GB"/>
        </w:rPr>
        <w:t xml:space="preserve">executive institutions is in tension with </w:t>
      </w:r>
      <w:r>
        <w:rPr>
          <w:iCs/>
          <w:lang w:val="en-GB"/>
        </w:rPr>
        <w:t>its</w:t>
      </w:r>
      <w:r w:rsidRPr="0011769F">
        <w:rPr>
          <w:iCs/>
          <w:lang w:val="en-GB"/>
        </w:rPr>
        <w:t xml:space="preserve"> otherwise strong position in the negotiation and conclusion of </w:t>
      </w:r>
      <w:r>
        <w:rPr>
          <w:iCs/>
          <w:lang w:val="en-GB"/>
        </w:rPr>
        <w:t xml:space="preserve">trade </w:t>
      </w:r>
      <w:r w:rsidRPr="0011769F">
        <w:rPr>
          <w:iCs/>
          <w:lang w:val="en-GB"/>
        </w:rPr>
        <w:t>agreements. In view of the fact that the</w:t>
      </w:r>
      <w:r>
        <w:rPr>
          <w:iCs/>
          <w:lang w:val="en-GB"/>
        </w:rPr>
        <w:t>se</w:t>
      </w:r>
      <w:r w:rsidRPr="0011769F">
        <w:rPr>
          <w:iCs/>
          <w:lang w:val="en-GB"/>
        </w:rPr>
        <w:t xml:space="preserve"> executive treaty </w:t>
      </w:r>
      <w:r>
        <w:rPr>
          <w:iCs/>
          <w:lang w:val="en-GB"/>
        </w:rPr>
        <w:t>bodies</w:t>
      </w:r>
      <w:r w:rsidRPr="0011769F">
        <w:rPr>
          <w:iCs/>
          <w:lang w:val="en-GB"/>
        </w:rPr>
        <w:t xml:space="preserve"> are becoming increasingly important in the implementation of free trade agreements, the balance between the executive and legislative branches in trade policy is shifting back in favour of the executive branch. This chapter will therefore </w:t>
      </w:r>
      <w:r>
        <w:rPr>
          <w:iCs/>
          <w:lang w:val="en-GB"/>
        </w:rPr>
        <w:t>explore</w:t>
      </w:r>
      <w:r w:rsidRPr="0011769F">
        <w:rPr>
          <w:iCs/>
          <w:lang w:val="en-GB"/>
        </w:rPr>
        <w:t xml:space="preserve"> this change in the balance between the executive and the E</w:t>
      </w:r>
      <w:r>
        <w:rPr>
          <w:iCs/>
          <w:lang w:val="en-GB"/>
        </w:rPr>
        <w:t>P</w:t>
      </w:r>
      <w:r w:rsidRPr="0011769F">
        <w:rPr>
          <w:iCs/>
          <w:lang w:val="en-GB"/>
        </w:rPr>
        <w:t xml:space="preserve"> in more detail and </w:t>
      </w:r>
      <w:r>
        <w:rPr>
          <w:iCs/>
          <w:lang w:val="en-GB"/>
        </w:rPr>
        <w:t>develop</w:t>
      </w:r>
      <w:r w:rsidRPr="0011769F">
        <w:rPr>
          <w:iCs/>
          <w:lang w:val="en-GB"/>
        </w:rPr>
        <w:t xml:space="preserve"> ways in which the role of the </w:t>
      </w:r>
      <w:r>
        <w:rPr>
          <w:iCs/>
          <w:lang w:val="en-GB"/>
        </w:rPr>
        <w:t>E</w:t>
      </w:r>
      <w:r w:rsidRPr="0011769F">
        <w:rPr>
          <w:iCs/>
          <w:lang w:val="en-GB"/>
        </w:rPr>
        <w:t xml:space="preserve">P in the implementation of </w:t>
      </w:r>
      <w:r>
        <w:rPr>
          <w:iCs/>
          <w:lang w:val="en-GB"/>
        </w:rPr>
        <w:t xml:space="preserve">trade </w:t>
      </w:r>
      <w:r w:rsidRPr="0011769F">
        <w:rPr>
          <w:iCs/>
          <w:lang w:val="en-GB"/>
        </w:rPr>
        <w:t>agreements c</w:t>
      </w:r>
      <w:r w:rsidR="00463959">
        <w:rPr>
          <w:iCs/>
          <w:lang w:val="en-GB"/>
        </w:rPr>
        <w:t>ould</w:t>
      </w:r>
      <w:r w:rsidRPr="0011769F">
        <w:rPr>
          <w:iCs/>
          <w:lang w:val="en-GB"/>
        </w:rPr>
        <w:t xml:space="preserve"> be strengthened </w:t>
      </w:r>
      <w:r>
        <w:rPr>
          <w:iCs/>
          <w:lang w:val="en-GB"/>
        </w:rPr>
        <w:t xml:space="preserve">also </w:t>
      </w:r>
      <w:r w:rsidRPr="0011769F">
        <w:rPr>
          <w:iCs/>
          <w:lang w:val="en-GB"/>
        </w:rPr>
        <w:t>in</w:t>
      </w:r>
      <w:r w:rsidR="00463959">
        <w:rPr>
          <w:iCs/>
          <w:lang w:val="en-GB"/>
        </w:rPr>
        <w:t xml:space="preserve">sofar, </w:t>
      </w:r>
      <w:r w:rsidRPr="0011769F">
        <w:rPr>
          <w:iCs/>
          <w:lang w:val="en-GB"/>
        </w:rPr>
        <w:t xml:space="preserve">in accordance with its power </w:t>
      </w:r>
      <w:r>
        <w:rPr>
          <w:iCs/>
          <w:lang w:val="en-GB"/>
        </w:rPr>
        <w:t xml:space="preserve">in </w:t>
      </w:r>
      <w:proofErr w:type="gramStart"/>
      <w:r w:rsidR="00463959">
        <w:rPr>
          <w:iCs/>
          <w:lang w:val="en-GB"/>
        </w:rPr>
        <w:t>treaty</w:t>
      </w:r>
      <w:r w:rsidR="00080DB5">
        <w:rPr>
          <w:iCs/>
          <w:lang w:val="en-GB"/>
        </w:rPr>
        <w:t>-</w:t>
      </w:r>
      <w:r w:rsidR="00463959">
        <w:rPr>
          <w:iCs/>
          <w:lang w:val="en-GB"/>
        </w:rPr>
        <w:t>making</w:t>
      </w:r>
      <w:proofErr w:type="gramEnd"/>
      <w:r w:rsidR="00463959">
        <w:rPr>
          <w:iCs/>
          <w:lang w:val="en-GB"/>
        </w:rPr>
        <w:t xml:space="preserve"> </w:t>
      </w:r>
      <w:r w:rsidRPr="0011769F">
        <w:rPr>
          <w:iCs/>
          <w:lang w:val="en-GB"/>
        </w:rPr>
        <w:t>and as legislator.</w:t>
      </w:r>
    </w:p>
    <w:p w:rsidR="001247E4" w:rsidRPr="007C6EF2" w:rsidRDefault="001247E4" w:rsidP="00F87B41">
      <w:pPr>
        <w:rPr>
          <w:lang w:val="en-US"/>
        </w:rPr>
      </w:pPr>
      <w:r>
        <w:rPr>
          <w:iCs/>
          <w:lang w:val="en-GB"/>
        </w:rPr>
        <w:t>Th</w:t>
      </w:r>
      <w:r w:rsidR="00CE3D1A">
        <w:rPr>
          <w:iCs/>
          <w:lang w:val="en-GB"/>
        </w:rPr>
        <w:t>is</w:t>
      </w:r>
      <w:r>
        <w:rPr>
          <w:iCs/>
          <w:lang w:val="en-GB"/>
        </w:rPr>
        <w:t xml:space="preserve"> chapter therefore analyses </w:t>
      </w:r>
      <w:r w:rsidR="00B13284">
        <w:rPr>
          <w:iCs/>
          <w:lang w:val="en-GB"/>
        </w:rPr>
        <w:t xml:space="preserve">and compares </w:t>
      </w:r>
      <w:r w:rsidR="00E54BBF">
        <w:rPr>
          <w:iCs/>
          <w:lang w:val="en-GB"/>
        </w:rPr>
        <w:t xml:space="preserve">the </w:t>
      </w:r>
      <w:r w:rsidR="00823C1B">
        <w:rPr>
          <w:iCs/>
          <w:lang w:val="en-GB"/>
        </w:rPr>
        <w:t xml:space="preserve">functions </w:t>
      </w:r>
      <w:r w:rsidR="00E54BBF">
        <w:rPr>
          <w:iCs/>
          <w:lang w:val="en-GB"/>
        </w:rPr>
        <w:t xml:space="preserve">of the EP </w:t>
      </w:r>
      <w:r>
        <w:rPr>
          <w:iCs/>
          <w:lang w:val="en-GB"/>
        </w:rPr>
        <w:t xml:space="preserve">in the negotiation and </w:t>
      </w:r>
      <w:r w:rsidR="00E54BBF">
        <w:rPr>
          <w:iCs/>
          <w:lang w:val="en-GB"/>
        </w:rPr>
        <w:t xml:space="preserve">conclusion </w:t>
      </w:r>
      <w:r w:rsidR="00080DB5">
        <w:rPr>
          <w:iCs/>
          <w:lang w:val="en-GB"/>
        </w:rPr>
        <w:t xml:space="preserve">of FTAs to those </w:t>
      </w:r>
      <w:r w:rsidRPr="007C6EF2">
        <w:rPr>
          <w:iCs/>
          <w:lang w:val="en-GB"/>
        </w:rPr>
        <w:t>in the</w:t>
      </w:r>
      <w:r w:rsidR="00080DB5">
        <w:rPr>
          <w:iCs/>
          <w:lang w:val="en-GB"/>
        </w:rPr>
        <w:t>ir</w:t>
      </w:r>
      <w:r w:rsidRPr="007C6EF2">
        <w:rPr>
          <w:iCs/>
          <w:lang w:val="en-GB"/>
        </w:rPr>
        <w:t xml:space="preserve"> implementation and operation (II.). To demonstrate the strong executive dimension of treaty bodies</w:t>
      </w:r>
      <w:r w:rsidR="00B13284" w:rsidRPr="007C6EF2">
        <w:rPr>
          <w:iCs/>
          <w:lang w:val="en-GB"/>
        </w:rPr>
        <w:t xml:space="preserve"> and the power shift to the benefit of the executive implied with them</w:t>
      </w:r>
      <w:r w:rsidRPr="007C6EF2">
        <w:rPr>
          <w:iCs/>
          <w:lang w:val="en-GB"/>
        </w:rPr>
        <w:t xml:space="preserve">, </w:t>
      </w:r>
      <w:r w:rsidR="00B13284" w:rsidRPr="007C6EF2">
        <w:rPr>
          <w:iCs/>
          <w:lang w:val="en-GB"/>
        </w:rPr>
        <w:t>the chapter then</w:t>
      </w:r>
      <w:r w:rsidRPr="007C6EF2">
        <w:rPr>
          <w:iCs/>
          <w:lang w:val="en-GB"/>
        </w:rPr>
        <w:t xml:space="preserve"> </w:t>
      </w:r>
      <w:r w:rsidR="002E6F0A" w:rsidRPr="007C6EF2">
        <w:rPr>
          <w:lang w:val="en-US"/>
        </w:rPr>
        <w:t>explores the role and decision-making powers of treaty bodies under the perspective of delegation (III.) as the exercise of public powers by treaty</w:t>
      </w:r>
      <w:r w:rsidR="00040306">
        <w:rPr>
          <w:lang w:val="en-US"/>
        </w:rPr>
        <w:t xml:space="preserve"> </w:t>
      </w:r>
      <w:proofErr w:type="gramStart"/>
      <w:r w:rsidR="002E6F0A" w:rsidRPr="007C6EF2">
        <w:rPr>
          <w:lang w:val="en-US"/>
        </w:rPr>
        <w:t>bodies</w:t>
      </w:r>
      <w:proofErr w:type="gramEnd"/>
      <w:r w:rsidR="002E6F0A" w:rsidRPr="007C6EF2">
        <w:rPr>
          <w:lang w:val="en-US"/>
        </w:rPr>
        <w:t xml:space="preserve"> </w:t>
      </w:r>
      <w:r w:rsidR="00476084" w:rsidRPr="007C6EF2">
        <w:rPr>
          <w:lang w:val="en-US"/>
        </w:rPr>
        <w:t xml:space="preserve">results from </w:t>
      </w:r>
      <w:r w:rsidR="002E6F0A" w:rsidRPr="007C6EF2">
        <w:rPr>
          <w:lang w:val="en-US"/>
        </w:rPr>
        <w:t>a delegation of public powers to them.</w:t>
      </w:r>
      <w:r w:rsidR="002E6F0A" w:rsidRPr="007C6EF2">
        <w:rPr>
          <w:rStyle w:val="Funotenzeichen"/>
          <w:lang w:val="en-US"/>
        </w:rPr>
        <w:footnoteReference w:id="5"/>
      </w:r>
      <w:r w:rsidR="002E6F0A" w:rsidRPr="007C6EF2">
        <w:rPr>
          <w:lang w:val="en-US"/>
        </w:rPr>
        <w:t xml:space="preserve"> It </w:t>
      </w:r>
      <w:proofErr w:type="gramStart"/>
      <w:r w:rsidR="002E6F0A" w:rsidRPr="007C6EF2">
        <w:rPr>
          <w:lang w:val="en-US"/>
        </w:rPr>
        <w:t>will be shown</w:t>
      </w:r>
      <w:proofErr w:type="gramEnd"/>
      <w:r w:rsidR="002E6F0A" w:rsidRPr="007C6EF2">
        <w:rPr>
          <w:lang w:val="en-US"/>
        </w:rPr>
        <w:t xml:space="preserve"> that treaty bodies exercise significant public powers that have been conferred </w:t>
      </w:r>
      <w:r w:rsidR="007C6EF2">
        <w:rPr>
          <w:lang w:val="en-US"/>
        </w:rPr>
        <w:t>on</w:t>
      </w:r>
      <w:r w:rsidR="002E6F0A" w:rsidRPr="007C6EF2">
        <w:rPr>
          <w:lang w:val="en-US"/>
        </w:rPr>
        <w:t xml:space="preserve"> them by </w:t>
      </w:r>
      <w:r w:rsidR="00F140FB" w:rsidRPr="007C6EF2">
        <w:rPr>
          <w:lang w:val="en-US"/>
        </w:rPr>
        <w:t xml:space="preserve">broad </w:t>
      </w:r>
      <w:r w:rsidR="002E6F0A" w:rsidRPr="007C6EF2">
        <w:rPr>
          <w:lang w:val="en-US"/>
        </w:rPr>
        <w:t xml:space="preserve">mandates </w:t>
      </w:r>
      <w:r w:rsidR="007C6EF2">
        <w:rPr>
          <w:lang w:val="en-US"/>
        </w:rPr>
        <w:t xml:space="preserve">enshrined </w:t>
      </w:r>
      <w:r w:rsidR="002E6F0A" w:rsidRPr="007C6EF2">
        <w:rPr>
          <w:lang w:val="en-US"/>
        </w:rPr>
        <w:t>in trade agreements</w:t>
      </w:r>
      <w:r w:rsidR="007C6EF2">
        <w:rPr>
          <w:lang w:val="en-US"/>
        </w:rPr>
        <w:t>. T</w:t>
      </w:r>
      <w:r w:rsidR="00FA59E3" w:rsidRPr="007C6EF2">
        <w:rPr>
          <w:lang w:val="en-US"/>
        </w:rPr>
        <w:t>heir increasing use</w:t>
      </w:r>
      <w:r w:rsidR="00476084" w:rsidRPr="007C6EF2">
        <w:rPr>
          <w:lang w:val="en-US"/>
        </w:rPr>
        <w:t xml:space="preserve"> strengthens</w:t>
      </w:r>
      <w:r w:rsidR="00FA59E3" w:rsidRPr="007C6EF2">
        <w:rPr>
          <w:lang w:val="en-US"/>
        </w:rPr>
        <w:t xml:space="preserve"> the role of the executive to the detriment of the power</w:t>
      </w:r>
      <w:r w:rsidR="007C6EF2">
        <w:rPr>
          <w:lang w:val="en-US"/>
        </w:rPr>
        <w:t>s</w:t>
      </w:r>
      <w:r w:rsidR="00FA59E3" w:rsidRPr="007C6EF2">
        <w:rPr>
          <w:lang w:val="en-US"/>
        </w:rPr>
        <w:t xml:space="preserve"> of the EP, as this use has repercussions </w:t>
      </w:r>
      <w:r w:rsidR="007C6EF2">
        <w:rPr>
          <w:lang w:val="en-US"/>
        </w:rPr>
        <w:t>t</w:t>
      </w:r>
      <w:r w:rsidR="00FA59E3" w:rsidRPr="007C6EF2">
        <w:rPr>
          <w:lang w:val="en-US"/>
        </w:rPr>
        <w:t xml:space="preserve">o the EP's powers to amend treaties and </w:t>
      </w:r>
      <w:r w:rsidR="007C6EF2">
        <w:rPr>
          <w:lang w:val="en-US"/>
        </w:rPr>
        <w:t xml:space="preserve">to </w:t>
      </w:r>
      <w:r w:rsidR="00FA59E3" w:rsidRPr="007C6EF2">
        <w:rPr>
          <w:lang w:val="en-US"/>
        </w:rPr>
        <w:t>legislate</w:t>
      </w:r>
      <w:r w:rsidR="002E6F0A" w:rsidRPr="007C6EF2">
        <w:rPr>
          <w:lang w:val="en-US"/>
        </w:rPr>
        <w:t xml:space="preserve">. </w:t>
      </w:r>
      <w:r w:rsidR="00B13284" w:rsidRPr="007C6EF2">
        <w:rPr>
          <w:lang w:val="en-US"/>
        </w:rPr>
        <w:t xml:space="preserve">The </w:t>
      </w:r>
      <w:r w:rsidR="007C6EF2">
        <w:rPr>
          <w:lang w:val="en-US"/>
        </w:rPr>
        <w:t xml:space="preserve">final </w:t>
      </w:r>
      <w:r w:rsidR="00B13284" w:rsidRPr="007C6EF2">
        <w:rPr>
          <w:lang w:val="en-US"/>
        </w:rPr>
        <w:t>sections determine ways of protecting the prerogatives of the EP</w:t>
      </w:r>
      <w:r w:rsidR="0042524B">
        <w:rPr>
          <w:lang w:val="en-US"/>
        </w:rPr>
        <w:t xml:space="preserve"> and recalibrating </w:t>
      </w:r>
      <w:r w:rsidR="0042524B" w:rsidRPr="007C6EF2">
        <w:rPr>
          <w:lang w:val="en-US"/>
        </w:rPr>
        <w:t>the balance between the executive and the legislative in the EU again</w:t>
      </w:r>
      <w:r w:rsidR="00B13284" w:rsidRPr="007C6EF2">
        <w:rPr>
          <w:lang w:val="en-US"/>
        </w:rPr>
        <w:t xml:space="preserve">: One is to constrain the use of delegation of powers to treaty bodies. </w:t>
      </w:r>
      <w:r w:rsidR="0042524B">
        <w:rPr>
          <w:lang w:val="en-US"/>
        </w:rPr>
        <w:t>T</w:t>
      </w:r>
      <w:r w:rsidR="00B13284" w:rsidRPr="007C6EF2">
        <w:rPr>
          <w:lang w:val="en-US"/>
        </w:rPr>
        <w:t xml:space="preserve">he </w:t>
      </w:r>
      <w:r w:rsidR="002E6F0A" w:rsidRPr="007C6EF2">
        <w:rPr>
          <w:lang w:val="en-US"/>
        </w:rPr>
        <w:t xml:space="preserve">constitutional boundaries to delegation of powers in light of democratic legitimacy and institutional balance in the EU </w:t>
      </w:r>
      <w:r w:rsidR="0042524B">
        <w:rPr>
          <w:lang w:val="en-US"/>
        </w:rPr>
        <w:t xml:space="preserve">therefore be explored </w:t>
      </w:r>
      <w:r w:rsidR="002E6F0A" w:rsidRPr="007C6EF2">
        <w:rPr>
          <w:lang w:val="en-US"/>
        </w:rPr>
        <w:t xml:space="preserve">(IV.).  </w:t>
      </w:r>
      <w:r w:rsidR="00B13284" w:rsidRPr="007C6EF2">
        <w:rPr>
          <w:lang w:val="en-US"/>
        </w:rPr>
        <w:t xml:space="preserve">The other way </w:t>
      </w:r>
      <w:r w:rsidR="0042524B">
        <w:rPr>
          <w:lang w:val="en-US"/>
        </w:rPr>
        <w:t xml:space="preserve">is to introduce </w:t>
      </w:r>
      <w:r w:rsidR="00823C1B" w:rsidRPr="007C6EF2">
        <w:rPr>
          <w:lang w:val="en-US"/>
        </w:rPr>
        <w:t xml:space="preserve">mechanisms </w:t>
      </w:r>
      <w:r w:rsidR="0042524B">
        <w:rPr>
          <w:lang w:val="en-US"/>
        </w:rPr>
        <w:t>that</w:t>
      </w:r>
      <w:r w:rsidR="00B13284" w:rsidRPr="007C6EF2">
        <w:rPr>
          <w:lang w:val="en-US"/>
        </w:rPr>
        <w:t xml:space="preserve"> </w:t>
      </w:r>
      <w:r w:rsidR="00823C1B" w:rsidRPr="007C6EF2">
        <w:rPr>
          <w:lang w:val="en-US"/>
        </w:rPr>
        <w:t>safeguard the necessary parliamentary control</w:t>
      </w:r>
      <w:r w:rsidR="0042524B">
        <w:rPr>
          <w:lang w:val="en-US"/>
        </w:rPr>
        <w:t>, in order to offset the shift in balance</w:t>
      </w:r>
      <w:r w:rsidR="002E6F0A" w:rsidRPr="007C6EF2">
        <w:rPr>
          <w:lang w:val="en-US"/>
        </w:rPr>
        <w:t xml:space="preserve"> </w:t>
      </w:r>
      <w:r w:rsidR="00D54E17" w:rsidRPr="007C6EF2">
        <w:rPr>
          <w:lang w:val="en-US"/>
        </w:rPr>
        <w:t>(V.)</w:t>
      </w:r>
      <w:r w:rsidR="0087181A" w:rsidRPr="007C6EF2">
        <w:rPr>
          <w:lang w:val="en-US"/>
        </w:rPr>
        <w:t xml:space="preserve">. </w:t>
      </w:r>
    </w:p>
    <w:p w:rsidR="00563253" w:rsidRPr="00B13284" w:rsidRDefault="00563253" w:rsidP="00563253">
      <w:pPr>
        <w:ind w:left="360"/>
        <w:rPr>
          <w:lang w:val="en-US"/>
        </w:rPr>
      </w:pPr>
    </w:p>
    <w:p w:rsidR="00563253" w:rsidRDefault="00563253" w:rsidP="00563253">
      <w:pPr>
        <w:pStyle w:val="Listenabsatz"/>
        <w:numPr>
          <w:ilvl w:val="0"/>
          <w:numId w:val="1"/>
        </w:numPr>
        <w:rPr>
          <w:lang w:val="en-US"/>
        </w:rPr>
      </w:pPr>
      <w:r>
        <w:rPr>
          <w:lang w:val="en-US"/>
        </w:rPr>
        <w:t>European Parliament</w:t>
      </w:r>
      <w:r w:rsidR="00F61140">
        <w:rPr>
          <w:lang w:val="en-US"/>
        </w:rPr>
        <w:t>´</w:t>
      </w:r>
      <w:r>
        <w:rPr>
          <w:lang w:val="en-US"/>
        </w:rPr>
        <w:t>s Role in</w:t>
      </w:r>
      <w:r w:rsidR="00723772">
        <w:rPr>
          <w:lang w:val="en-US"/>
        </w:rPr>
        <w:t xml:space="preserve"> the Birth and Life of</w:t>
      </w:r>
      <w:r>
        <w:rPr>
          <w:lang w:val="en-US"/>
        </w:rPr>
        <w:t xml:space="preserve"> Trade Agreements</w:t>
      </w:r>
    </w:p>
    <w:p w:rsidR="00563253" w:rsidRPr="00563253" w:rsidRDefault="00563253" w:rsidP="00563253">
      <w:pPr>
        <w:pStyle w:val="Listenabsatz"/>
        <w:rPr>
          <w:lang w:val="en-US"/>
        </w:rPr>
      </w:pPr>
    </w:p>
    <w:p w:rsidR="00563253" w:rsidRDefault="003D6139" w:rsidP="00563253">
      <w:pPr>
        <w:pStyle w:val="Listenabsatz"/>
        <w:numPr>
          <w:ilvl w:val="0"/>
          <w:numId w:val="2"/>
        </w:numPr>
        <w:rPr>
          <w:lang w:val="en-US"/>
        </w:rPr>
      </w:pPr>
      <w:r>
        <w:rPr>
          <w:lang w:val="en-US"/>
        </w:rPr>
        <w:t xml:space="preserve">Preparation, </w:t>
      </w:r>
      <w:r w:rsidR="00563253">
        <w:rPr>
          <w:lang w:val="en-US"/>
        </w:rPr>
        <w:t>Negotiation and Conclusion</w:t>
      </w:r>
    </w:p>
    <w:p w:rsidR="00CF2674" w:rsidRPr="003D6139" w:rsidRDefault="00053E2A" w:rsidP="00F87B41">
      <w:pPr>
        <w:rPr>
          <w:lang w:val="en-US"/>
        </w:rPr>
      </w:pPr>
      <w:r>
        <w:rPr>
          <w:lang w:val="en-US"/>
        </w:rPr>
        <w:t>T</w:t>
      </w:r>
      <w:r w:rsidR="00CF2674" w:rsidRPr="00C40C32">
        <w:rPr>
          <w:lang w:val="en-US"/>
        </w:rPr>
        <w:t xml:space="preserve">he EP </w:t>
      </w:r>
      <w:r>
        <w:rPr>
          <w:lang w:val="en-US"/>
        </w:rPr>
        <w:t xml:space="preserve">has substantially gained significance </w:t>
      </w:r>
      <w:r w:rsidR="00CF2674" w:rsidRPr="00C40C32">
        <w:rPr>
          <w:lang w:val="en-US"/>
        </w:rPr>
        <w:t xml:space="preserve">in </w:t>
      </w:r>
      <w:r w:rsidR="003B342E" w:rsidRPr="00C40C32">
        <w:rPr>
          <w:lang w:val="en-US"/>
        </w:rPr>
        <w:t xml:space="preserve">the </w:t>
      </w:r>
      <w:r w:rsidR="00CF2674" w:rsidRPr="00C40C32">
        <w:rPr>
          <w:lang w:val="en-US"/>
        </w:rPr>
        <w:t>conclusion of international agreements</w:t>
      </w:r>
      <w:r w:rsidRPr="00053E2A">
        <w:rPr>
          <w:lang w:val="en-US"/>
        </w:rPr>
        <w:t xml:space="preserve"> </w:t>
      </w:r>
      <w:r w:rsidR="007B2AEA">
        <w:rPr>
          <w:lang w:val="en-US"/>
        </w:rPr>
        <w:t xml:space="preserve">through </w:t>
      </w:r>
      <w:r>
        <w:rPr>
          <w:lang w:val="en-US"/>
        </w:rPr>
        <w:t>Lisbon</w:t>
      </w:r>
      <w:r w:rsidR="00CF2674" w:rsidRPr="00C40C32">
        <w:rPr>
          <w:lang w:val="en-US"/>
        </w:rPr>
        <w:t xml:space="preserve">, even though there still are areas </w:t>
      </w:r>
      <w:r>
        <w:rPr>
          <w:lang w:val="en-US"/>
        </w:rPr>
        <w:t>of mere consultation</w:t>
      </w:r>
      <w:r w:rsidR="00CF2674" w:rsidRPr="00C40C32">
        <w:rPr>
          <w:lang w:val="en-US"/>
        </w:rPr>
        <w:t xml:space="preserve">. The distinction between a consent </w:t>
      </w:r>
      <w:proofErr w:type="gramStart"/>
      <w:r w:rsidR="00CF2674" w:rsidRPr="00C40C32">
        <w:rPr>
          <w:lang w:val="en-US"/>
        </w:rPr>
        <w:t>or</w:t>
      </w:r>
      <w:proofErr w:type="gramEnd"/>
      <w:r w:rsidR="00CF2674" w:rsidRPr="00C40C32">
        <w:rPr>
          <w:lang w:val="en-US"/>
        </w:rPr>
        <w:t xml:space="preserve"> a mere consultation requirement </w:t>
      </w:r>
      <w:r>
        <w:rPr>
          <w:lang w:val="en-US"/>
        </w:rPr>
        <w:t xml:space="preserve">under </w:t>
      </w:r>
      <w:r w:rsidR="003B342E" w:rsidRPr="00C40C32">
        <w:rPr>
          <w:lang w:val="en-US"/>
        </w:rPr>
        <w:t xml:space="preserve">Art 218 (6) </w:t>
      </w:r>
      <w:r>
        <w:rPr>
          <w:lang w:val="en-US"/>
        </w:rPr>
        <w:t xml:space="preserve">TFEU mirrors </w:t>
      </w:r>
      <w:r w:rsidR="00CF2674" w:rsidRPr="00C40C32">
        <w:rPr>
          <w:lang w:val="en-US"/>
        </w:rPr>
        <w:t xml:space="preserve">the powers the EP has with regard to internal </w:t>
      </w:r>
      <w:r w:rsidR="007B2AEA">
        <w:rPr>
          <w:lang w:val="en-US"/>
        </w:rPr>
        <w:t xml:space="preserve">(legislative) </w:t>
      </w:r>
      <w:r w:rsidR="00CF2674" w:rsidRPr="00C40C32">
        <w:rPr>
          <w:lang w:val="en-US"/>
        </w:rPr>
        <w:t>decision-</w:t>
      </w:r>
      <w:r w:rsidR="00CF2674" w:rsidRPr="003D6139">
        <w:rPr>
          <w:lang w:val="en-US"/>
        </w:rPr>
        <w:t xml:space="preserve">making. </w:t>
      </w:r>
      <w:r w:rsidRPr="003D6139">
        <w:rPr>
          <w:lang w:val="en-US"/>
        </w:rPr>
        <w:t xml:space="preserve">Accordingly, </w:t>
      </w:r>
      <w:r w:rsidR="003C208A" w:rsidRPr="003D6139">
        <w:rPr>
          <w:lang w:val="en-US"/>
        </w:rPr>
        <w:t xml:space="preserve">Art. 218 (6) a) v) TFEU stipulates a </w:t>
      </w:r>
      <w:r w:rsidRPr="003D6139">
        <w:rPr>
          <w:lang w:val="en-US"/>
        </w:rPr>
        <w:t xml:space="preserve">need for </w:t>
      </w:r>
      <w:r w:rsidR="003C208A" w:rsidRPr="003D6139">
        <w:rPr>
          <w:lang w:val="en-US"/>
        </w:rPr>
        <w:t xml:space="preserve">consent </w:t>
      </w:r>
      <w:r w:rsidR="003C208A" w:rsidRPr="003D6139">
        <w:rPr>
          <w:shd w:val="clear" w:color="auto" w:fill="FFFFFF"/>
          <w:lang w:val="en-US"/>
        </w:rPr>
        <w:t xml:space="preserve">in case of agreements covering fields to which the ordinary legislative procedure </w:t>
      </w:r>
      <w:r w:rsidRPr="003D6139">
        <w:rPr>
          <w:shd w:val="clear" w:color="auto" w:fill="FFFFFF"/>
          <w:lang w:val="en-US"/>
        </w:rPr>
        <w:t>(</w:t>
      </w:r>
      <w:r w:rsidR="003C208A" w:rsidRPr="003D6139">
        <w:rPr>
          <w:shd w:val="clear" w:color="auto" w:fill="FFFFFF"/>
          <w:lang w:val="en-US"/>
        </w:rPr>
        <w:t>Article 294 TFEU</w:t>
      </w:r>
      <w:r w:rsidRPr="003D6139">
        <w:rPr>
          <w:shd w:val="clear" w:color="auto" w:fill="FFFFFF"/>
          <w:lang w:val="en-US"/>
        </w:rPr>
        <w:t>)</w:t>
      </w:r>
      <w:r w:rsidR="003C208A" w:rsidRPr="003D6139">
        <w:rPr>
          <w:shd w:val="clear" w:color="auto" w:fill="FFFFFF"/>
          <w:lang w:val="en-US"/>
        </w:rPr>
        <w:t xml:space="preserve"> </w:t>
      </w:r>
      <w:r w:rsidRPr="003D6139">
        <w:rPr>
          <w:shd w:val="clear" w:color="auto" w:fill="FFFFFF"/>
          <w:lang w:val="en-US"/>
        </w:rPr>
        <w:t xml:space="preserve">applies, </w:t>
      </w:r>
      <w:r w:rsidR="003C208A" w:rsidRPr="003D6139">
        <w:rPr>
          <w:shd w:val="clear" w:color="auto" w:fill="FFFFFF"/>
          <w:lang w:val="en-US"/>
        </w:rPr>
        <w:t>or the special legislative procedure where th</w:t>
      </w:r>
      <w:r w:rsidRPr="003D6139">
        <w:rPr>
          <w:shd w:val="clear" w:color="auto" w:fill="FFFFFF"/>
          <w:lang w:val="en-US"/>
        </w:rPr>
        <w:t xml:space="preserve">e latter </w:t>
      </w:r>
      <w:r w:rsidR="003C208A" w:rsidRPr="003D6139">
        <w:rPr>
          <w:shd w:val="clear" w:color="auto" w:fill="FFFFFF"/>
          <w:lang w:val="en-US"/>
        </w:rPr>
        <w:t xml:space="preserve">requires consent of the EP. Additionally, Art. </w:t>
      </w:r>
      <w:proofErr w:type="gramStart"/>
      <w:r w:rsidR="003C208A" w:rsidRPr="003D6139">
        <w:rPr>
          <w:shd w:val="clear" w:color="auto" w:fill="FFFFFF"/>
          <w:lang w:val="en-US"/>
        </w:rPr>
        <w:t>218</w:t>
      </w:r>
      <w:proofErr w:type="gramEnd"/>
      <w:r w:rsidR="003C208A" w:rsidRPr="003D6139">
        <w:rPr>
          <w:shd w:val="clear" w:color="auto" w:fill="FFFFFF"/>
          <w:lang w:val="en-US"/>
        </w:rPr>
        <w:t xml:space="preserve"> (6) precludes the EP from participating in the conclusion of agreements relating exclusively to the C</w:t>
      </w:r>
      <w:r w:rsidRPr="003D6139">
        <w:rPr>
          <w:shd w:val="clear" w:color="auto" w:fill="FFFFFF"/>
          <w:lang w:val="en-US"/>
        </w:rPr>
        <w:t xml:space="preserve">ommon </w:t>
      </w:r>
      <w:r w:rsidR="003C208A" w:rsidRPr="003D6139">
        <w:rPr>
          <w:shd w:val="clear" w:color="auto" w:fill="FFFFFF"/>
          <w:lang w:val="en-US"/>
        </w:rPr>
        <w:t>F</w:t>
      </w:r>
      <w:r w:rsidRPr="003D6139">
        <w:rPr>
          <w:shd w:val="clear" w:color="auto" w:fill="FFFFFF"/>
          <w:lang w:val="en-US"/>
        </w:rPr>
        <w:t xml:space="preserve">oreign and </w:t>
      </w:r>
      <w:r w:rsidR="003C208A" w:rsidRPr="003D6139">
        <w:rPr>
          <w:shd w:val="clear" w:color="auto" w:fill="FFFFFF"/>
          <w:lang w:val="en-US"/>
        </w:rPr>
        <w:t>S</w:t>
      </w:r>
      <w:r w:rsidRPr="003D6139">
        <w:rPr>
          <w:shd w:val="clear" w:color="auto" w:fill="FFFFFF"/>
          <w:lang w:val="en-US"/>
        </w:rPr>
        <w:t xml:space="preserve">ecurity </w:t>
      </w:r>
      <w:r w:rsidR="003C208A" w:rsidRPr="003D6139">
        <w:rPr>
          <w:shd w:val="clear" w:color="auto" w:fill="FFFFFF"/>
          <w:lang w:val="en-US"/>
        </w:rPr>
        <w:t>P</w:t>
      </w:r>
      <w:r w:rsidRPr="003D6139">
        <w:rPr>
          <w:shd w:val="clear" w:color="auto" w:fill="FFFFFF"/>
          <w:lang w:val="en-US"/>
        </w:rPr>
        <w:t>olicy</w:t>
      </w:r>
      <w:r w:rsidR="003C208A" w:rsidRPr="003D6139">
        <w:rPr>
          <w:shd w:val="clear" w:color="auto" w:fill="FFFFFF"/>
          <w:lang w:val="en-US"/>
        </w:rPr>
        <w:t xml:space="preserve">. </w:t>
      </w:r>
      <w:r w:rsidR="00CF2674" w:rsidRPr="003D6139">
        <w:rPr>
          <w:lang w:val="en-US"/>
        </w:rPr>
        <w:t>Hence, Article 218 (6) reflects</w:t>
      </w:r>
      <w:r w:rsidR="003C208A" w:rsidRPr="003D6139">
        <w:rPr>
          <w:lang w:val="en-US"/>
        </w:rPr>
        <w:t xml:space="preserve"> the internal division of powers between Council and EP </w:t>
      </w:r>
      <w:r w:rsidR="00F6453D" w:rsidRPr="003D6139">
        <w:rPr>
          <w:lang w:val="en-US"/>
        </w:rPr>
        <w:t xml:space="preserve">(in legislating) </w:t>
      </w:r>
      <w:r w:rsidR="003C208A" w:rsidRPr="003D6139">
        <w:rPr>
          <w:lang w:val="en-US"/>
        </w:rPr>
        <w:t xml:space="preserve">and transfers it to the </w:t>
      </w:r>
      <w:r w:rsidRPr="003D6139">
        <w:rPr>
          <w:lang w:val="en-US"/>
        </w:rPr>
        <w:t xml:space="preserve">treaty making in </w:t>
      </w:r>
      <w:r w:rsidR="003C208A" w:rsidRPr="003D6139">
        <w:rPr>
          <w:lang w:val="en-US"/>
        </w:rPr>
        <w:t xml:space="preserve">external </w:t>
      </w:r>
      <w:r w:rsidRPr="003D6139">
        <w:rPr>
          <w:lang w:val="en-US"/>
        </w:rPr>
        <w:t>affairs. Thus</w:t>
      </w:r>
      <w:r w:rsidR="00DB2C79" w:rsidRPr="003D6139">
        <w:rPr>
          <w:lang w:val="en-US"/>
        </w:rPr>
        <w:t xml:space="preserve">, the EP and the Council have symmetrical powers in legislating and treaty </w:t>
      </w:r>
      <w:r w:rsidR="00DB2C79" w:rsidRPr="003D6139">
        <w:rPr>
          <w:lang w:val="en-US"/>
        </w:rPr>
        <w:lastRenderedPageBreak/>
        <w:t>making</w:t>
      </w:r>
      <w:r w:rsidRPr="003D6139">
        <w:rPr>
          <w:lang w:val="en-US"/>
        </w:rPr>
        <w:t xml:space="preserve">; </w:t>
      </w:r>
      <w:r w:rsidR="00DB2C79" w:rsidRPr="003D6139">
        <w:rPr>
          <w:lang w:val="en-US"/>
        </w:rPr>
        <w:t>they “</w:t>
      </w:r>
      <w:r w:rsidR="00DB2C79" w:rsidRPr="003D6139">
        <w:rPr>
          <w:rFonts w:cs="Times New Roman"/>
          <w:lang w:val="en-GB"/>
        </w:rPr>
        <w:t>enjoy the same powers in relation to a given field, in compliance with the institutional balance provided for by the Treaties”.</w:t>
      </w:r>
      <w:r w:rsidR="00DB2C79" w:rsidRPr="003D6139">
        <w:rPr>
          <w:rStyle w:val="Funotenzeichen"/>
          <w:rFonts w:cs="Times New Roman"/>
          <w:lang w:val="en-GB"/>
        </w:rPr>
        <w:footnoteReference w:id="6"/>
      </w:r>
      <w:r w:rsidR="00DB2C79" w:rsidRPr="003D6139">
        <w:rPr>
          <w:rFonts w:cs="Times New Roman"/>
          <w:lang w:val="en-GB"/>
        </w:rPr>
        <w:t xml:space="preserve"> </w:t>
      </w:r>
      <w:r w:rsidR="00DB2C79" w:rsidRPr="003D6139">
        <w:rPr>
          <w:lang w:val="en-US"/>
        </w:rPr>
        <w:t xml:space="preserve">  </w:t>
      </w:r>
    </w:p>
    <w:p w:rsidR="00B67DFB" w:rsidRPr="0033079F" w:rsidRDefault="00053E2A" w:rsidP="00F87B41">
      <w:pPr>
        <w:rPr>
          <w:rFonts w:cs="Times New Roman"/>
          <w:lang w:val="en-GB"/>
        </w:rPr>
      </w:pPr>
      <w:r>
        <w:rPr>
          <w:color w:val="000000" w:themeColor="text1"/>
          <w:lang w:val="en-US"/>
        </w:rPr>
        <w:t>Specifically, t</w:t>
      </w:r>
      <w:r w:rsidR="00F87B41" w:rsidRPr="00110828">
        <w:rPr>
          <w:color w:val="000000" w:themeColor="text1"/>
          <w:lang w:val="en-US"/>
        </w:rPr>
        <w:t>h</w:t>
      </w:r>
      <w:r w:rsidR="00AC16A4" w:rsidRPr="00110828">
        <w:rPr>
          <w:color w:val="000000" w:themeColor="text1"/>
          <w:lang w:val="en-US"/>
        </w:rPr>
        <w:t xml:space="preserve">e EP enjoys </w:t>
      </w:r>
      <w:r>
        <w:rPr>
          <w:color w:val="000000" w:themeColor="text1"/>
          <w:lang w:val="en-US"/>
        </w:rPr>
        <w:t xml:space="preserve">two types of powers </w:t>
      </w:r>
      <w:r w:rsidR="00AC16A4" w:rsidRPr="00110828">
        <w:rPr>
          <w:color w:val="000000" w:themeColor="text1"/>
          <w:lang w:val="en-US"/>
        </w:rPr>
        <w:t xml:space="preserve">in treaty making: the right to be informed (Art 218 (10) TFEU) and the right to </w:t>
      </w:r>
      <w:r w:rsidR="00F87B41" w:rsidRPr="00110828">
        <w:rPr>
          <w:color w:val="000000" w:themeColor="text1"/>
          <w:lang w:val="en-US"/>
        </w:rPr>
        <w:t>give or deny consent</w:t>
      </w:r>
      <w:r w:rsidR="00AC16A4" w:rsidRPr="00110828">
        <w:rPr>
          <w:color w:val="000000" w:themeColor="text1"/>
          <w:lang w:val="en-US"/>
        </w:rPr>
        <w:t>. The</w:t>
      </w:r>
      <w:r w:rsidR="00044757" w:rsidRPr="00110828">
        <w:rPr>
          <w:color w:val="000000" w:themeColor="text1"/>
          <w:lang w:val="en-US"/>
        </w:rPr>
        <w:t xml:space="preserve"> details of the information </w:t>
      </w:r>
      <w:r w:rsidR="00AC16A4" w:rsidRPr="00110828">
        <w:rPr>
          <w:color w:val="000000" w:themeColor="text1"/>
          <w:lang w:val="en-US"/>
        </w:rPr>
        <w:t>rights</w:t>
      </w:r>
      <w:r w:rsidR="00AB429B" w:rsidRPr="00110828">
        <w:rPr>
          <w:color w:val="000000" w:themeColor="text1"/>
          <w:lang w:val="en-US"/>
        </w:rPr>
        <w:t xml:space="preserve"> have been hammered out in </w:t>
      </w:r>
      <w:r w:rsidR="00FC7707" w:rsidRPr="00110828">
        <w:rPr>
          <w:color w:val="000000" w:themeColor="text1"/>
          <w:lang w:val="en-US"/>
        </w:rPr>
        <w:t>the i</w:t>
      </w:r>
      <w:r w:rsidR="00AB429B" w:rsidRPr="00110828">
        <w:rPr>
          <w:color w:val="000000" w:themeColor="text1"/>
          <w:lang w:val="en-US"/>
        </w:rPr>
        <w:t xml:space="preserve">nterinstitutional Framework Agreement </w:t>
      </w:r>
      <w:r w:rsidR="00044757" w:rsidRPr="00110828">
        <w:rPr>
          <w:rFonts w:cs="Segoe UI"/>
          <w:color w:val="000000" w:themeColor="text1"/>
          <w:lang w:val="en-US"/>
        </w:rPr>
        <w:t xml:space="preserve">on relations between the European </w:t>
      </w:r>
      <w:r w:rsidR="00044757" w:rsidRPr="0033079F">
        <w:rPr>
          <w:rFonts w:cs="Segoe UI"/>
          <w:lang w:val="en-US"/>
        </w:rPr>
        <w:t>Parliament and the European Commission of 20 October 2010</w:t>
      </w:r>
      <w:r w:rsidR="00044757" w:rsidRPr="0033079F">
        <w:rPr>
          <w:rStyle w:val="Funotenzeichen"/>
          <w:rFonts w:cs="Segoe UI"/>
          <w:lang w:val="en-US"/>
        </w:rPr>
        <w:footnoteReference w:id="7"/>
      </w:r>
      <w:r w:rsidR="00FC7707" w:rsidRPr="0033079F">
        <w:rPr>
          <w:rFonts w:cs="Segoe UI"/>
          <w:lang w:val="en-US"/>
        </w:rPr>
        <w:t xml:space="preserve"> (</w:t>
      </w:r>
      <w:r w:rsidR="00044757" w:rsidRPr="0033079F">
        <w:rPr>
          <w:rFonts w:cs="Segoe UI"/>
          <w:lang w:val="en-US"/>
        </w:rPr>
        <w:t>hereinafter Framework Agreement)</w:t>
      </w:r>
      <w:r w:rsidR="00B471CB" w:rsidRPr="0033079F">
        <w:rPr>
          <w:rFonts w:cs="Segoe UI"/>
          <w:lang w:val="en-US"/>
        </w:rPr>
        <w:t xml:space="preserve"> with a view to accomplish equality between Council and EP regarding access to information</w:t>
      </w:r>
      <w:r w:rsidR="00044757" w:rsidRPr="0033079F">
        <w:rPr>
          <w:rFonts w:cs="Segoe UI"/>
          <w:lang w:val="en-US"/>
        </w:rPr>
        <w:t>.</w:t>
      </w:r>
      <w:r w:rsidR="00B471CB" w:rsidRPr="0033079F">
        <w:rPr>
          <w:rStyle w:val="Funotenzeichen"/>
          <w:rFonts w:cs="Segoe UI"/>
          <w:lang w:val="en-US"/>
        </w:rPr>
        <w:footnoteReference w:id="8"/>
      </w:r>
      <w:r w:rsidR="00C26861" w:rsidRPr="0033079F">
        <w:rPr>
          <w:rFonts w:cs="Segoe UI"/>
          <w:lang w:val="en-US"/>
        </w:rPr>
        <w:t xml:space="preserve"> The right to be informed under Art 218 (10) “</w:t>
      </w:r>
      <w:r w:rsidR="00C26861" w:rsidRPr="0033079F">
        <w:rPr>
          <w:shd w:val="clear" w:color="auto" w:fill="FFFFFF"/>
          <w:lang w:val="en-US"/>
        </w:rPr>
        <w:t>is prescribed in order to ensure that the Parliament is in a position to exercise democratic scrutiny of the European Union’s external action and, more particularly, to verify that its powers are respected specifically as a result of the choice of legal basis for a decision.”</w:t>
      </w:r>
      <w:r w:rsidR="00C26861" w:rsidRPr="0033079F">
        <w:rPr>
          <w:rStyle w:val="Funotenzeichen"/>
          <w:shd w:val="clear" w:color="auto" w:fill="FFFFFF"/>
          <w:lang w:val="en-US"/>
        </w:rPr>
        <w:footnoteReference w:id="9"/>
      </w:r>
      <w:r w:rsidR="00C26861" w:rsidRPr="0033079F">
        <w:rPr>
          <w:shd w:val="clear" w:color="auto" w:fill="FFFFFF"/>
          <w:lang w:val="en-US"/>
        </w:rPr>
        <w:t> </w:t>
      </w:r>
      <w:r w:rsidR="00044757" w:rsidRPr="0033079F">
        <w:rPr>
          <w:rFonts w:cs="Segoe UI"/>
          <w:lang w:val="en-US"/>
        </w:rPr>
        <w:t>These rights</w:t>
      </w:r>
      <w:r w:rsidR="00AB429B" w:rsidRPr="0033079F">
        <w:rPr>
          <w:lang w:val="en-US"/>
        </w:rPr>
        <w:t xml:space="preserve"> </w:t>
      </w:r>
      <w:r w:rsidR="00F87B41" w:rsidRPr="0033079F">
        <w:rPr>
          <w:lang w:val="en-US"/>
        </w:rPr>
        <w:t xml:space="preserve">enable the </w:t>
      </w:r>
      <w:r w:rsidR="00F87B41" w:rsidRPr="0033079F">
        <w:rPr>
          <w:rFonts w:cs="Times New Roman"/>
          <w:lang w:val="en-GB"/>
        </w:rPr>
        <w:t xml:space="preserve">EP to exercise not only </w:t>
      </w:r>
      <w:r w:rsidR="00B67DFB" w:rsidRPr="0033079F">
        <w:rPr>
          <w:rFonts w:cs="Times New Roman"/>
          <w:lang w:val="en-GB"/>
        </w:rPr>
        <w:t xml:space="preserve">ex post </w:t>
      </w:r>
      <w:r w:rsidR="00F87B41" w:rsidRPr="0033079F">
        <w:rPr>
          <w:rFonts w:cs="Times New Roman"/>
          <w:lang w:val="en-GB"/>
        </w:rPr>
        <w:t>control functions, but also to play a s</w:t>
      </w:r>
      <w:r w:rsidR="00B67DFB" w:rsidRPr="0033079F">
        <w:rPr>
          <w:rFonts w:cs="Times New Roman"/>
          <w:lang w:val="en-GB"/>
        </w:rPr>
        <w:t>ignificant</w:t>
      </w:r>
      <w:r w:rsidR="00F87B41" w:rsidRPr="0033079F">
        <w:rPr>
          <w:rFonts w:cs="Times New Roman"/>
          <w:lang w:val="en-GB"/>
        </w:rPr>
        <w:t xml:space="preserve"> political role</w:t>
      </w:r>
      <w:r w:rsidR="00B67DFB" w:rsidRPr="0033079F">
        <w:rPr>
          <w:rFonts w:cs="Times New Roman"/>
          <w:lang w:val="en-GB"/>
        </w:rPr>
        <w:t xml:space="preserve"> from the very beginning of the negotiation process</w:t>
      </w:r>
      <w:r w:rsidR="00214772" w:rsidRPr="0033079F">
        <w:rPr>
          <w:rFonts w:cs="Times New Roman"/>
          <w:lang w:val="en-GB"/>
        </w:rPr>
        <w:t>.</w:t>
      </w:r>
      <w:r w:rsidR="00214772" w:rsidRPr="0033079F">
        <w:rPr>
          <w:rStyle w:val="Funotenzeichen"/>
          <w:rFonts w:cs="Times New Roman"/>
          <w:lang w:val="en-GB"/>
        </w:rPr>
        <w:footnoteReference w:id="10"/>
      </w:r>
      <w:r w:rsidR="00214772" w:rsidRPr="0033079F">
        <w:rPr>
          <w:rFonts w:cs="Times New Roman"/>
          <w:lang w:val="en-GB"/>
        </w:rPr>
        <w:t xml:space="preserve"> The EP </w:t>
      </w:r>
      <w:proofErr w:type="gramStart"/>
      <w:r w:rsidR="00214772" w:rsidRPr="0033079F">
        <w:rPr>
          <w:rFonts w:cs="Times New Roman"/>
          <w:lang w:val="en-GB"/>
        </w:rPr>
        <w:t>is given</w:t>
      </w:r>
      <w:proofErr w:type="gramEnd"/>
      <w:r w:rsidR="00214772" w:rsidRPr="0033079F">
        <w:rPr>
          <w:rFonts w:cs="Times New Roman"/>
          <w:lang w:val="en-GB"/>
        </w:rPr>
        <w:t xml:space="preserve"> opportunity to respond even to the </w:t>
      </w:r>
      <w:r w:rsidR="00AC16A4" w:rsidRPr="0033079F">
        <w:rPr>
          <w:rFonts w:cs="Times New Roman"/>
          <w:lang w:val="en-GB"/>
        </w:rPr>
        <w:t xml:space="preserve">Commission´s or </w:t>
      </w:r>
      <w:r w:rsidR="00DA5709" w:rsidRPr="0033079F">
        <w:rPr>
          <w:rFonts w:cs="Times New Roman"/>
          <w:lang w:val="en-GB"/>
        </w:rPr>
        <w:t>the</w:t>
      </w:r>
      <w:r w:rsidR="00AC16A4" w:rsidRPr="0033079F">
        <w:rPr>
          <w:rFonts w:cs="Times New Roman"/>
          <w:lang w:val="en-GB"/>
        </w:rPr>
        <w:t xml:space="preserve"> High Representative´s </w:t>
      </w:r>
      <w:r w:rsidR="00214772" w:rsidRPr="0033079F">
        <w:rPr>
          <w:rFonts w:cs="Times New Roman"/>
          <w:lang w:val="en-GB"/>
        </w:rPr>
        <w:t xml:space="preserve">draft of negotiating </w:t>
      </w:r>
      <w:r w:rsidR="00BA6A76" w:rsidRPr="0033079F">
        <w:rPr>
          <w:rFonts w:cs="Times New Roman"/>
          <w:lang w:val="en-GB"/>
        </w:rPr>
        <w:t xml:space="preserve">authorization or </w:t>
      </w:r>
      <w:r w:rsidR="00214772" w:rsidRPr="0033079F">
        <w:rPr>
          <w:rFonts w:cs="Times New Roman"/>
          <w:lang w:val="en-GB"/>
        </w:rPr>
        <w:t>directives</w:t>
      </w:r>
      <w:r w:rsidR="00214772" w:rsidRPr="0033079F">
        <w:rPr>
          <w:rStyle w:val="Funotenzeichen"/>
          <w:rFonts w:cs="Times New Roman"/>
          <w:lang w:val="en-GB"/>
        </w:rPr>
        <w:footnoteReference w:id="11"/>
      </w:r>
      <w:r w:rsidR="003D6139">
        <w:rPr>
          <w:rFonts w:cs="Times New Roman"/>
          <w:lang w:val="en-GB"/>
        </w:rPr>
        <w:t>,</w:t>
      </w:r>
      <w:r w:rsidR="00BC4E62" w:rsidRPr="0033079F">
        <w:rPr>
          <w:rFonts w:cs="Times New Roman"/>
          <w:lang w:val="en-GB"/>
        </w:rPr>
        <w:t xml:space="preserve"> which requires the EP to have access to </w:t>
      </w:r>
      <w:r w:rsidR="00BA6A76" w:rsidRPr="0033079F">
        <w:rPr>
          <w:rFonts w:cs="Times New Roman"/>
          <w:lang w:val="en-GB"/>
        </w:rPr>
        <w:t>them</w:t>
      </w:r>
      <w:r w:rsidR="00BC4E62" w:rsidRPr="0033079F">
        <w:rPr>
          <w:rFonts w:cs="Times New Roman"/>
          <w:lang w:val="en-GB"/>
        </w:rPr>
        <w:t>, as stressed by the Court</w:t>
      </w:r>
      <w:r w:rsidR="00BA6A76" w:rsidRPr="0033079F">
        <w:rPr>
          <w:rStyle w:val="Funotenzeichen"/>
          <w:rFonts w:cs="Times New Roman"/>
          <w:lang w:val="en-GB"/>
        </w:rPr>
        <w:footnoteReference w:id="12"/>
      </w:r>
      <w:r w:rsidR="00BA6A76" w:rsidRPr="0033079F">
        <w:rPr>
          <w:rFonts w:cs="Times New Roman"/>
          <w:lang w:val="en-GB"/>
        </w:rPr>
        <w:t>.</w:t>
      </w:r>
      <w:r w:rsidR="00BC4E62" w:rsidRPr="0033079F">
        <w:rPr>
          <w:rFonts w:cs="Times New Roman"/>
          <w:lang w:val="en-GB"/>
        </w:rPr>
        <w:t xml:space="preserve"> </w:t>
      </w:r>
      <w:r w:rsidR="00B67DFB" w:rsidRPr="0033079F">
        <w:rPr>
          <w:rFonts w:cs="Times New Roman"/>
          <w:lang w:val="en-GB"/>
        </w:rPr>
        <w:t xml:space="preserve"> </w:t>
      </w:r>
      <w:proofErr w:type="gramStart"/>
      <w:r w:rsidR="00E501A4" w:rsidRPr="0033079F">
        <w:rPr>
          <w:rFonts w:cs="Times New Roman"/>
          <w:lang w:val="en-GB"/>
        </w:rPr>
        <w:t>The EP</w:t>
      </w:r>
      <w:r w:rsidR="0008020B">
        <w:rPr>
          <w:rFonts w:cs="Times New Roman"/>
          <w:lang w:val="en-GB"/>
        </w:rPr>
        <w:t>,</w:t>
      </w:r>
      <w:r w:rsidR="00E501A4" w:rsidRPr="0033079F">
        <w:rPr>
          <w:rFonts w:cs="Times New Roman"/>
          <w:lang w:val="en-GB"/>
        </w:rPr>
        <w:t xml:space="preserve"> when assessing the functioning of the Lisbon Treaty, call</w:t>
      </w:r>
      <w:r w:rsidR="009A72AA">
        <w:rPr>
          <w:rFonts w:cs="Times New Roman"/>
          <w:lang w:val="en-GB"/>
        </w:rPr>
        <w:t>ed</w:t>
      </w:r>
      <w:r w:rsidR="00E501A4" w:rsidRPr="0033079F">
        <w:rPr>
          <w:rFonts w:cs="Times New Roman"/>
          <w:lang w:val="en-GB"/>
        </w:rPr>
        <w:t xml:space="preserve"> for a sincere and active implementation of the right to be informed under Art 218 (10)</w:t>
      </w:r>
      <w:r w:rsidR="009A72AA">
        <w:rPr>
          <w:rFonts w:cs="Times New Roman"/>
          <w:lang w:val="en-GB"/>
        </w:rPr>
        <w:t>,</w:t>
      </w:r>
      <w:r w:rsidR="00E501A4" w:rsidRPr="0033079F">
        <w:rPr>
          <w:rFonts w:cs="Times New Roman"/>
          <w:lang w:val="en-GB"/>
        </w:rPr>
        <w:t xml:space="preserve"> to the effect </w:t>
      </w:r>
      <w:r w:rsidR="00E501A4" w:rsidRPr="0033079F">
        <w:rPr>
          <w:rFonts w:cs="TTE186E110t00"/>
          <w:lang w:val="en-US"/>
        </w:rPr>
        <w:t>“that Parliament be immediately, fully and accurately informed at all stages of the procedures for concluding international agreements, including agreements concluded in the area of CFSP, and be given access to the Union’s negotiation texts</w:t>
      </w:r>
      <w:r w:rsidR="0008020B">
        <w:rPr>
          <w:rFonts w:cs="TTE186E110t00"/>
          <w:lang w:val="en-US"/>
        </w:rPr>
        <w:t>,</w:t>
      </w:r>
      <w:r w:rsidR="00E501A4" w:rsidRPr="0033079F">
        <w:rPr>
          <w:rFonts w:cs="TTE186E110t00"/>
          <w:lang w:val="en-US"/>
        </w:rPr>
        <w:t xml:space="preserve"> subject to the appropriate procedures and conditions, so as to ensure that Parliament can take its final decision with an exhaustive knowledge of the subject matter</w:t>
      </w:r>
      <w:r w:rsidR="009A72AA">
        <w:rPr>
          <w:rFonts w:cs="TTE186E110t00"/>
          <w:lang w:val="en-US"/>
        </w:rPr>
        <w:t>”.</w:t>
      </w:r>
      <w:proofErr w:type="gramEnd"/>
      <w:r w:rsidR="009A72AA">
        <w:rPr>
          <w:rFonts w:cs="TTE186E110t00"/>
          <w:lang w:val="en-US"/>
        </w:rPr>
        <w:t xml:space="preserve"> It also </w:t>
      </w:r>
      <w:proofErr w:type="gramStart"/>
      <w:r w:rsidR="00E501A4" w:rsidRPr="0033079F">
        <w:rPr>
          <w:rFonts w:cs="TTE186E110t00"/>
          <w:lang w:val="en-US"/>
        </w:rPr>
        <w:t>emphasi</w:t>
      </w:r>
      <w:r w:rsidR="0008020B">
        <w:rPr>
          <w:rFonts w:cs="TTE186E110t00"/>
          <w:lang w:val="en-US"/>
        </w:rPr>
        <w:t>z</w:t>
      </w:r>
      <w:r w:rsidR="00E501A4" w:rsidRPr="0033079F">
        <w:rPr>
          <w:rFonts w:cs="TTE186E110t00"/>
          <w:lang w:val="en-US"/>
        </w:rPr>
        <w:t>e</w:t>
      </w:r>
      <w:r w:rsidR="009A72AA">
        <w:rPr>
          <w:rFonts w:cs="TTE186E110t00"/>
          <w:lang w:val="en-US"/>
        </w:rPr>
        <w:t>d</w:t>
      </w:r>
      <w:proofErr w:type="gramEnd"/>
      <w:r w:rsidR="00E501A4" w:rsidRPr="0033079F">
        <w:rPr>
          <w:rFonts w:cs="TTE186E110t00"/>
          <w:lang w:val="en-US"/>
        </w:rPr>
        <w:t xml:space="preserve"> </w:t>
      </w:r>
      <w:r w:rsidR="009A72AA">
        <w:rPr>
          <w:rFonts w:cs="TTE186E110t00"/>
          <w:lang w:val="en-US"/>
        </w:rPr>
        <w:t>“</w:t>
      </w:r>
      <w:r w:rsidR="00E501A4" w:rsidRPr="0033079F">
        <w:rPr>
          <w:rFonts w:cs="TTE186E110t00"/>
          <w:lang w:val="en-US"/>
        </w:rPr>
        <w:t>that for this provision to be meaningful, the committee members concerned should have access to negotiation mandates and other relevant negotiating documents“.</w:t>
      </w:r>
      <w:r w:rsidR="00E501A4" w:rsidRPr="0033079F">
        <w:rPr>
          <w:rStyle w:val="Funotenzeichen"/>
          <w:rFonts w:cs="TTE186E110t00"/>
          <w:lang w:val="en-US"/>
        </w:rPr>
        <w:footnoteReference w:id="13"/>
      </w:r>
      <w:r w:rsidR="00E501A4" w:rsidRPr="0033079F">
        <w:rPr>
          <w:rFonts w:cs="TTE186E110t00"/>
          <w:lang w:val="en-US"/>
        </w:rPr>
        <w:t xml:space="preserve"> </w:t>
      </w:r>
      <w:r w:rsidR="00B67DFB" w:rsidRPr="0033079F">
        <w:rPr>
          <w:rFonts w:cs="Times New Roman"/>
          <w:lang w:val="en-GB"/>
        </w:rPr>
        <w:t xml:space="preserve">As expected from the </w:t>
      </w:r>
      <w:r w:rsidR="00996FFA" w:rsidRPr="0033079F">
        <w:rPr>
          <w:rFonts w:cs="Times New Roman"/>
          <w:lang w:val="en-GB"/>
        </w:rPr>
        <w:t>beginning</w:t>
      </w:r>
      <w:r w:rsidR="003B342E" w:rsidRPr="0033079F">
        <w:rPr>
          <w:rStyle w:val="Funotenzeichen"/>
          <w:rFonts w:cs="Times New Roman"/>
          <w:lang w:val="en-GB"/>
        </w:rPr>
        <w:footnoteReference w:id="14"/>
      </w:r>
      <w:r w:rsidR="00B67DFB" w:rsidRPr="0033079F">
        <w:rPr>
          <w:rFonts w:cs="Times New Roman"/>
          <w:lang w:val="en-GB"/>
        </w:rPr>
        <w:t>, t</w:t>
      </w:r>
      <w:r w:rsidR="004A6370" w:rsidRPr="0033079F">
        <w:rPr>
          <w:rFonts w:cs="Times New Roman"/>
          <w:lang w:val="en-GB"/>
        </w:rPr>
        <w:t>he EP uses its</w:t>
      </w:r>
      <w:r w:rsidR="00B67DFB" w:rsidRPr="0033079F">
        <w:rPr>
          <w:rFonts w:cs="Times New Roman"/>
          <w:lang w:val="en-GB"/>
        </w:rPr>
        <w:t xml:space="preserve"> position as a veto player and its information rights effectively to enter into a constant dialogue</w:t>
      </w:r>
      <w:r w:rsidR="0001607F" w:rsidRPr="0033079F">
        <w:rPr>
          <w:rFonts w:cs="Times New Roman"/>
          <w:lang w:val="en-GB"/>
        </w:rPr>
        <w:t xml:space="preserve"> with the Commission</w:t>
      </w:r>
      <w:r w:rsidR="00B67DFB" w:rsidRPr="0033079F">
        <w:rPr>
          <w:rFonts w:cs="Times New Roman"/>
          <w:lang w:val="en-GB"/>
        </w:rPr>
        <w:t xml:space="preserve">, in particular via its </w:t>
      </w:r>
      <w:r w:rsidR="0001607F" w:rsidRPr="0033079F">
        <w:rPr>
          <w:rFonts w:cs="Times New Roman"/>
          <w:lang w:val="en-GB"/>
        </w:rPr>
        <w:t>Committee on International Trade (</w:t>
      </w:r>
      <w:r w:rsidR="00B67DFB" w:rsidRPr="0033079F">
        <w:rPr>
          <w:rFonts w:cs="Times New Roman"/>
          <w:lang w:val="en-GB"/>
        </w:rPr>
        <w:t>INTA committee</w:t>
      </w:r>
      <w:r w:rsidR="0001607F" w:rsidRPr="0033079F">
        <w:rPr>
          <w:rFonts w:cs="Times New Roman"/>
          <w:lang w:val="en-GB"/>
        </w:rPr>
        <w:t>)</w:t>
      </w:r>
      <w:r w:rsidR="00B67DFB" w:rsidRPr="0033079F">
        <w:rPr>
          <w:rFonts w:cs="Times New Roman"/>
          <w:lang w:val="en-GB"/>
        </w:rPr>
        <w:t>, and to express its political preferences and ideas by resolutions</w:t>
      </w:r>
      <w:r w:rsidR="00EC270F">
        <w:rPr>
          <w:rFonts w:cs="Times New Roman"/>
          <w:lang w:val="en-GB"/>
        </w:rPr>
        <w:t xml:space="preserve"> from the start</w:t>
      </w:r>
      <w:r w:rsidR="00B67DFB" w:rsidRPr="0033079F">
        <w:rPr>
          <w:rFonts w:cs="Times New Roman"/>
          <w:lang w:val="en-GB"/>
        </w:rPr>
        <w:t>.</w:t>
      </w:r>
      <w:r w:rsidR="00214772" w:rsidRPr="0033079F">
        <w:rPr>
          <w:rFonts w:cs="Times New Roman"/>
          <w:lang w:val="en-GB"/>
        </w:rPr>
        <w:t xml:space="preserve"> Accordingly, the EP enjoys the right to</w:t>
      </w:r>
      <w:r w:rsidR="00B67DFB" w:rsidRPr="0033079F">
        <w:rPr>
          <w:rFonts w:cs="Times New Roman"/>
          <w:lang w:val="en-GB"/>
        </w:rPr>
        <w:t xml:space="preserve"> </w:t>
      </w:r>
      <w:r w:rsidR="00214772" w:rsidRPr="0033079F">
        <w:rPr>
          <w:rFonts w:cs="Times New Roman"/>
          <w:lang w:val="en-GB"/>
        </w:rPr>
        <w:t>“</w:t>
      </w:r>
      <w:r w:rsidR="00214772" w:rsidRPr="0033079F">
        <w:rPr>
          <w:rFonts w:cs="EUAlbertina"/>
          <w:lang w:val="en-US"/>
        </w:rPr>
        <w:t>express its point of view”, and the COM is challenged to “take Parliament’s views as far as possible into account”</w:t>
      </w:r>
      <w:r w:rsidR="00BC4E62" w:rsidRPr="0033079F">
        <w:rPr>
          <w:rFonts w:cs="EUAlbertina"/>
          <w:lang w:val="en-US"/>
        </w:rPr>
        <w:t>.</w:t>
      </w:r>
      <w:r w:rsidR="00214772" w:rsidRPr="0033079F">
        <w:rPr>
          <w:rStyle w:val="Funotenzeichen"/>
          <w:rFonts w:cs="EUAlbertina"/>
          <w:lang w:val="en-US"/>
        </w:rPr>
        <w:footnoteReference w:id="15"/>
      </w:r>
      <w:r w:rsidR="003A4A0E" w:rsidRPr="0033079F">
        <w:rPr>
          <w:rFonts w:cs="EUAlbertina"/>
          <w:lang w:val="en-US"/>
        </w:rPr>
        <w:t xml:space="preserve"> The Commission </w:t>
      </w:r>
      <w:r w:rsidR="00365C4A">
        <w:rPr>
          <w:rFonts w:cs="EUAlbertina"/>
          <w:lang w:val="en-US"/>
        </w:rPr>
        <w:t>must</w:t>
      </w:r>
      <w:r w:rsidR="003A4A0E" w:rsidRPr="0033079F">
        <w:rPr>
          <w:rFonts w:cs="EUAlbertina"/>
          <w:lang w:val="en-US"/>
        </w:rPr>
        <w:t xml:space="preserve"> keep Parliament regularly and promptly informed </w:t>
      </w:r>
      <w:r w:rsidR="00365C4A">
        <w:rPr>
          <w:rFonts w:cs="EUAlbertina"/>
          <w:lang w:val="en-US"/>
        </w:rPr>
        <w:t>of</w:t>
      </w:r>
      <w:r w:rsidR="003A4A0E" w:rsidRPr="0033079F">
        <w:rPr>
          <w:rFonts w:cs="EUAlbertina"/>
          <w:lang w:val="en-US"/>
        </w:rPr>
        <w:t xml:space="preserve"> the negotiations</w:t>
      </w:r>
      <w:r w:rsidR="00BC4E62" w:rsidRPr="0033079F">
        <w:rPr>
          <w:rFonts w:cs="EUAlbertina"/>
          <w:lang w:val="en-US"/>
        </w:rPr>
        <w:t xml:space="preserve"> </w:t>
      </w:r>
      <w:r w:rsidR="00365C4A" w:rsidRPr="0033079F">
        <w:rPr>
          <w:rFonts w:cs="EUAlbertina"/>
          <w:lang w:val="en-US"/>
        </w:rPr>
        <w:t xml:space="preserve">until the agreement is initialed </w:t>
      </w:r>
      <w:r w:rsidR="00BC4E62" w:rsidRPr="0033079F">
        <w:rPr>
          <w:rFonts w:cs="EUAlbertina"/>
          <w:lang w:val="en-US"/>
        </w:rPr>
        <w:t>(usually done by way of regular meetings with the ad hoc groups in the INTA Committee whose majority views the COM takes into account</w:t>
      </w:r>
      <w:r w:rsidR="00BC4E62" w:rsidRPr="0033079F">
        <w:rPr>
          <w:rStyle w:val="Funotenzeichen"/>
          <w:rFonts w:cs="EUAlbertina"/>
          <w:lang w:val="en-US"/>
        </w:rPr>
        <w:footnoteReference w:id="16"/>
      </w:r>
      <w:r w:rsidR="00BC4E62" w:rsidRPr="0033079F">
        <w:rPr>
          <w:rFonts w:cs="EUAlbertina"/>
          <w:lang w:val="en-US"/>
        </w:rPr>
        <w:t>)</w:t>
      </w:r>
      <w:r w:rsidR="003A4A0E" w:rsidRPr="0033079F">
        <w:rPr>
          <w:rFonts w:cs="EUAlbertina"/>
          <w:lang w:val="en-US"/>
        </w:rPr>
        <w:t xml:space="preserve">, and </w:t>
      </w:r>
      <w:r w:rsidR="00365C4A">
        <w:rPr>
          <w:rFonts w:cs="EUAlbertina"/>
          <w:lang w:val="en-US"/>
        </w:rPr>
        <w:t xml:space="preserve">must </w:t>
      </w:r>
      <w:r w:rsidR="003A4A0E" w:rsidRPr="0033079F">
        <w:rPr>
          <w:rFonts w:cs="EUAlbertina"/>
          <w:lang w:val="en-US"/>
        </w:rPr>
        <w:t>explain whether and how the views and comments were incorporated in the texts and if not why.</w:t>
      </w:r>
      <w:r w:rsidR="003A4A0E" w:rsidRPr="0033079F">
        <w:rPr>
          <w:rStyle w:val="Funotenzeichen"/>
          <w:rFonts w:cs="EUAlbertina"/>
          <w:lang w:val="en-US"/>
        </w:rPr>
        <w:footnoteReference w:id="17"/>
      </w:r>
      <w:r w:rsidR="003A4A0E" w:rsidRPr="0033079F">
        <w:rPr>
          <w:rFonts w:cs="EUAlbertina"/>
          <w:lang w:val="en-US"/>
        </w:rPr>
        <w:t xml:space="preserve"> </w:t>
      </w:r>
      <w:r w:rsidR="00B67DFB" w:rsidRPr="0033079F">
        <w:rPr>
          <w:rFonts w:cs="Times New Roman"/>
          <w:lang w:val="en-GB"/>
        </w:rPr>
        <w:t>As a result, the EP contributes to policy formation also in informal ways and influence</w:t>
      </w:r>
      <w:r w:rsidR="00365C4A">
        <w:rPr>
          <w:rFonts w:cs="Times New Roman"/>
          <w:lang w:val="en-GB"/>
        </w:rPr>
        <w:t>s</w:t>
      </w:r>
      <w:r w:rsidR="00B67DFB" w:rsidRPr="0033079F">
        <w:rPr>
          <w:rFonts w:cs="Times New Roman"/>
          <w:lang w:val="en-GB"/>
        </w:rPr>
        <w:t xml:space="preserve"> the content of </w:t>
      </w:r>
      <w:r w:rsidR="003A4A0E" w:rsidRPr="0033079F">
        <w:rPr>
          <w:rFonts w:cs="Times New Roman"/>
          <w:lang w:val="en-GB"/>
        </w:rPr>
        <w:t xml:space="preserve">a </w:t>
      </w:r>
      <w:r w:rsidR="00B67DFB" w:rsidRPr="0033079F">
        <w:rPr>
          <w:rFonts w:cs="Times New Roman"/>
          <w:lang w:val="en-GB"/>
        </w:rPr>
        <w:t>treaty under negotiation</w:t>
      </w:r>
      <w:r w:rsidR="009C5B86">
        <w:rPr>
          <w:rFonts w:cs="Times New Roman"/>
          <w:lang w:val="en-GB"/>
        </w:rPr>
        <w:t xml:space="preserve">, in particular with regard to linkage of trade with social, labour, sustainability and </w:t>
      </w:r>
      <w:r w:rsidR="009C5B86">
        <w:rPr>
          <w:rFonts w:cs="Times New Roman"/>
          <w:lang w:val="en-GB"/>
        </w:rPr>
        <w:lastRenderedPageBreak/>
        <w:t>environmental issues</w:t>
      </w:r>
      <w:r w:rsidR="00B67DFB" w:rsidRPr="0033079F">
        <w:rPr>
          <w:rFonts w:cs="Times New Roman"/>
          <w:lang w:val="en-GB"/>
        </w:rPr>
        <w:t>.</w:t>
      </w:r>
      <w:r w:rsidR="00B67DFB" w:rsidRPr="0033079F">
        <w:rPr>
          <w:rStyle w:val="Funotenzeichen"/>
          <w:rFonts w:cs="Times New Roman"/>
          <w:lang w:val="en-GB"/>
        </w:rPr>
        <w:footnoteReference w:id="18"/>
      </w:r>
      <w:r w:rsidR="002070C2" w:rsidRPr="0033079F">
        <w:rPr>
          <w:rFonts w:cs="Times New Roman"/>
          <w:lang w:val="en-GB"/>
        </w:rPr>
        <w:t xml:space="preserve"> The EP has on several occasions </w:t>
      </w:r>
      <w:r w:rsidR="0001607F" w:rsidRPr="0033079F">
        <w:rPr>
          <w:rFonts w:cs="Times New Roman"/>
          <w:lang w:val="en-GB"/>
        </w:rPr>
        <w:t xml:space="preserve">already </w:t>
      </w:r>
      <w:r w:rsidR="002070C2" w:rsidRPr="0033079F">
        <w:rPr>
          <w:rFonts w:cs="Times New Roman"/>
          <w:lang w:val="en-GB"/>
        </w:rPr>
        <w:t>denied to give its consent to international treaties.</w:t>
      </w:r>
      <w:r w:rsidR="002070C2" w:rsidRPr="0033079F">
        <w:rPr>
          <w:rStyle w:val="Funotenzeichen"/>
          <w:rFonts w:cs="Times New Roman"/>
          <w:lang w:val="en-GB"/>
        </w:rPr>
        <w:footnoteReference w:id="19"/>
      </w:r>
      <w:r w:rsidR="002070C2" w:rsidRPr="0033079F">
        <w:rPr>
          <w:rFonts w:cs="Times New Roman"/>
          <w:lang w:val="en-GB"/>
        </w:rPr>
        <w:t xml:space="preserve"> Since the EP has the capacity to influence the substance of agreements, its willingness to deny consent might, however, be reduced</w:t>
      </w:r>
      <w:r w:rsidR="00C40C32" w:rsidRPr="0033079F">
        <w:rPr>
          <w:rFonts w:cs="Times New Roman"/>
          <w:lang w:val="en-GB"/>
        </w:rPr>
        <w:t xml:space="preserve">, considering the political costs of a veto for the EU ´s external credibility after </w:t>
      </w:r>
      <w:proofErr w:type="gramStart"/>
      <w:r w:rsidR="00C40C32" w:rsidRPr="0033079F">
        <w:rPr>
          <w:rFonts w:cs="Times New Roman"/>
          <w:lang w:val="en-GB"/>
        </w:rPr>
        <w:t>sometimes protracted</w:t>
      </w:r>
      <w:proofErr w:type="gramEnd"/>
      <w:r w:rsidR="00C40C32" w:rsidRPr="0033079F">
        <w:rPr>
          <w:rFonts w:cs="Times New Roman"/>
          <w:lang w:val="en-GB"/>
        </w:rPr>
        <w:t xml:space="preserve"> negotiations</w:t>
      </w:r>
      <w:r w:rsidR="002070C2" w:rsidRPr="0033079F">
        <w:rPr>
          <w:rFonts w:cs="Times New Roman"/>
          <w:lang w:val="en-GB"/>
        </w:rPr>
        <w:t>.</w:t>
      </w:r>
      <w:r w:rsidR="002070C2" w:rsidRPr="0033079F">
        <w:rPr>
          <w:rStyle w:val="Funotenzeichen"/>
          <w:rFonts w:cs="Times New Roman"/>
          <w:lang w:val="en-GB"/>
        </w:rPr>
        <w:footnoteReference w:id="20"/>
      </w:r>
    </w:p>
    <w:p w:rsidR="00F87B41" w:rsidRPr="00EC270F" w:rsidRDefault="00F87B41" w:rsidP="00F87B41">
      <w:pPr>
        <w:rPr>
          <w:lang w:val="en-US"/>
        </w:rPr>
      </w:pPr>
      <w:r w:rsidRPr="00EC270F">
        <w:rPr>
          <w:rFonts w:cs="Times New Roman"/>
          <w:lang w:val="en-GB"/>
        </w:rPr>
        <w:t xml:space="preserve">Thus, at least in </w:t>
      </w:r>
      <w:r w:rsidR="00EC270F" w:rsidRPr="00EC270F">
        <w:rPr>
          <w:rFonts w:cs="Times New Roman"/>
          <w:lang w:val="en-GB"/>
        </w:rPr>
        <w:t xml:space="preserve">preparing and </w:t>
      </w:r>
      <w:r w:rsidR="0008020B" w:rsidRPr="00EC270F">
        <w:rPr>
          <w:rFonts w:cs="Times New Roman"/>
          <w:lang w:val="en-GB"/>
        </w:rPr>
        <w:t>concluding trade agreements</w:t>
      </w:r>
      <w:r w:rsidRPr="00EC270F">
        <w:rPr>
          <w:rFonts w:cs="Times New Roman"/>
          <w:lang w:val="en-GB"/>
        </w:rPr>
        <w:t xml:space="preserve">, the EP has a considerable political function </w:t>
      </w:r>
      <w:r w:rsidR="0008020B" w:rsidRPr="00EC270F">
        <w:rPr>
          <w:rFonts w:cs="Times New Roman"/>
          <w:lang w:val="en-GB"/>
        </w:rPr>
        <w:t xml:space="preserve">almost </w:t>
      </w:r>
      <w:r w:rsidRPr="00EC270F">
        <w:rPr>
          <w:rFonts w:cs="Times New Roman"/>
          <w:lang w:val="en-GB"/>
        </w:rPr>
        <w:t>equivalent to the Council</w:t>
      </w:r>
      <w:r w:rsidR="00C40C32" w:rsidRPr="00EC270F">
        <w:rPr>
          <w:rFonts w:cs="Times New Roman"/>
          <w:lang w:val="en-GB"/>
        </w:rPr>
        <w:t>.</w:t>
      </w:r>
      <w:r w:rsidRPr="00EC270F">
        <w:rPr>
          <w:rFonts w:cs="Times New Roman"/>
          <w:lang w:val="en-GB"/>
        </w:rPr>
        <w:t xml:space="preserve"> </w:t>
      </w:r>
      <w:r w:rsidR="003B6521" w:rsidRPr="00EC270F">
        <w:rPr>
          <w:rFonts w:cs="Times New Roman"/>
          <w:lang w:val="en-GB"/>
        </w:rPr>
        <w:t>This applies also to the decision-making on the provisional application of a treaty. Even though Art 218 (5) attributes the decision to the Council only, it is political practice nowadays that the Council will only activate a provisional entry into force of an agreement if the EP previously has consented also to this.</w:t>
      </w:r>
      <w:r w:rsidR="007E7E01" w:rsidRPr="00EC270F">
        <w:rPr>
          <w:rStyle w:val="Funotenzeichen"/>
          <w:rFonts w:cs="Times New Roman"/>
          <w:lang w:val="en-GB"/>
        </w:rPr>
        <w:footnoteReference w:id="21"/>
      </w:r>
    </w:p>
    <w:p w:rsidR="00563253" w:rsidRDefault="00563253" w:rsidP="00563253">
      <w:pPr>
        <w:pStyle w:val="Listenabsatz"/>
        <w:numPr>
          <w:ilvl w:val="0"/>
          <w:numId w:val="2"/>
        </w:numPr>
        <w:rPr>
          <w:lang w:val="en-US"/>
        </w:rPr>
      </w:pPr>
      <w:r>
        <w:rPr>
          <w:lang w:val="en-US"/>
        </w:rPr>
        <w:t>Operation and Implementation</w:t>
      </w:r>
      <w:r w:rsidR="00325436">
        <w:rPr>
          <w:lang w:val="en-US"/>
        </w:rPr>
        <w:t xml:space="preserve"> on International Level</w:t>
      </w:r>
    </w:p>
    <w:p w:rsidR="00455F55" w:rsidRDefault="003B6521" w:rsidP="003B6521">
      <w:pPr>
        <w:rPr>
          <w:lang w:val="en-US"/>
        </w:rPr>
      </w:pPr>
      <w:proofErr w:type="gramStart"/>
      <w:r>
        <w:rPr>
          <w:lang w:val="en-US"/>
        </w:rPr>
        <w:t xml:space="preserve">In stark contrast to this decisive political and legal function of the EP in </w:t>
      </w:r>
      <w:r w:rsidR="002F0A16">
        <w:rPr>
          <w:lang w:val="en-US"/>
        </w:rPr>
        <w:t xml:space="preserve">negotiating and concluding </w:t>
      </w:r>
      <w:r>
        <w:rPr>
          <w:lang w:val="en-US"/>
        </w:rPr>
        <w:t xml:space="preserve">trade </w:t>
      </w:r>
      <w:r w:rsidR="002F0A16">
        <w:rPr>
          <w:lang w:val="en-US"/>
        </w:rPr>
        <w:t>agreements</w:t>
      </w:r>
      <w:r>
        <w:rPr>
          <w:lang w:val="en-US"/>
        </w:rPr>
        <w:t xml:space="preserve">, its part in the operational phase of </w:t>
      </w:r>
      <w:r w:rsidR="002F0A16">
        <w:rPr>
          <w:lang w:val="en-US"/>
        </w:rPr>
        <w:t xml:space="preserve">such </w:t>
      </w:r>
      <w:r>
        <w:rPr>
          <w:lang w:val="en-US"/>
        </w:rPr>
        <w:t>agreements once (provisionally) enter</w:t>
      </w:r>
      <w:r w:rsidR="00455F55">
        <w:rPr>
          <w:lang w:val="en-US"/>
        </w:rPr>
        <w:t>ed</w:t>
      </w:r>
      <w:r>
        <w:rPr>
          <w:lang w:val="en-US"/>
        </w:rPr>
        <w:t xml:space="preserve"> into force is </w:t>
      </w:r>
      <w:r w:rsidR="00455F55">
        <w:rPr>
          <w:lang w:val="en-US"/>
        </w:rPr>
        <w:t>very low</w:t>
      </w:r>
      <w:r w:rsidR="00E501A4">
        <w:rPr>
          <w:lang w:val="en-US"/>
        </w:rPr>
        <w:t xml:space="preserve"> and has hitherto not been the object of further demands by the EP</w:t>
      </w:r>
      <w:r w:rsidR="002F0A16">
        <w:rPr>
          <w:lang w:val="en-US"/>
        </w:rPr>
        <w:t>, even though</w:t>
      </w:r>
      <w:r w:rsidR="00455F55">
        <w:rPr>
          <w:lang w:val="en-US"/>
        </w:rPr>
        <w:t>, as far as the</w:t>
      </w:r>
      <w:r w:rsidR="002F0A16">
        <w:rPr>
          <w:lang w:val="en-US"/>
        </w:rPr>
        <w:t xml:space="preserve"> </w:t>
      </w:r>
      <w:r w:rsidR="00455F55">
        <w:rPr>
          <w:lang w:val="en-US"/>
        </w:rPr>
        <w:t xml:space="preserve">internal implementation of </w:t>
      </w:r>
      <w:r w:rsidR="002F0A16">
        <w:rPr>
          <w:lang w:val="en-US"/>
        </w:rPr>
        <w:t xml:space="preserve">international </w:t>
      </w:r>
      <w:r w:rsidR="00455F55">
        <w:rPr>
          <w:lang w:val="en-US"/>
        </w:rPr>
        <w:t xml:space="preserve">obligations </w:t>
      </w:r>
      <w:r w:rsidR="002F0A16">
        <w:rPr>
          <w:lang w:val="en-US"/>
        </w:rPr>
        <w:t xml:space="preserve">resulting from such agreements </w:t>
      </w:r>
      <w:r w:rsidR="00455F55">
        <w:rPr>
          <w:lang w:val="en-US"/>
        </w:rPr>
        <w:t xml:space="preserve">is concerned, the EP </w:t>
      </w:r>
      <w:r w:rsidR="002F0A16">
        <w:rPr>
          <w:lang w:val="en-US"/>
        </w:rPr>
        <w:t xml:space="preserve">is </w:t>
      </w:r>
      <w:r w:rsidR="00455F55">
        <w:rPr>
          <w:lang w:val="en-US"/>
        </w:rPr>
        <w:t>responsible</w:t>
      </w:r>
      <w:r w:rsidR="00723772">
        <w:rPr>
          <w:lang w:val="en-US"/>
        </w:rPr>
        <w:t xml:space="preserve"> in case</w:t>
      </w:r>
      <w:r w:rsidR="00455F55">
        <w:rPr>
          <w:lang w:val="en-US"/>
        </w:rPr>
        <w:t xml:space="preserve"> </w:t>
      </w:r>
      <w:r w:rsidR="002F0A16">
        <w:rPr>
          <w:lang w:val="en-US"/>
        </w:rPr>
        <w:t xml:space="preserve">their </w:t>
      </w:r>
      <w:r w:rsidR="00455F55">
        <w:rPr>
          <w:lang w:val="en-US"/>
        </w:rPr>
        <w:t>implementation requires change</w:t>
      </w:r>
      <w:r w:rsidR="00CA4A87">
        <w:rPr>
          <w:lang w:val="en-US"/>
        </w:rPr>
        <w:t xml:space="preserve"> or adoption</w:t>
      </w:r>
      <w:r w:rsidR="00455F55">
        <w:rPr>
          <w:lang w:val="en-US"/>
        </w:rPr>
        <w:t xml:space="preserve"> of secondary EU law.</w:t>
      </w:r>
      <w:proofErr w:type="gramEnd"/>
      <w:r w:rsidR="00455F55">
        <w:rPr>
          <w:lang w:val="en-US"/>
        </w:rPr>
        <w:t xml:space="preserve"> </w:t>
      </w:r>
      <w:proofErr w:type="gramStart"/>
      <w:r w:rsidR="00455F55">
        <w:rPr>
          <w:lang w:val="en-US"/>
        </w:rPr>
        <w:t>But</w:t>
      </w:r>
      <w:proofErr w:type="gramEnd"/>
      <w:r w:rsidR="00455F55">
        <w:rPr>
          <w:lang w:val="en-US"/>
        </w:rPr>
        <w:t xml:space="preserve"> on international level, the EP hardly participates in the daily life application and implementation of a trade agreement. </w:t>
      </w:r>
      <w:proofErr w:type="gramStart"/>
      <w:r w:rsidR="00CA4A87">
        <w:rPr>
          <w:lang w:val="en-US"/>
        </w:rPr>
        <w:t>Basically,</w:t>
      </w:r>
      <w:r w:rsidR="00455F55">
        <w:rPr>
          <w:lang w:val="en-US"/>
        </w:rPr>
        <w:t xml:space="preserve"> of</w:t>
      </w:r>
      <w:proofErr w:type="gramEnd"/>
      <w:r w:rsidR="00455F55">
        <w:rPr>
          <w:lang w:val="en-US"/>
        </w:rPr>
        <w:t xml:space="preserve"> course, this is not to cause concern as the EP is not an executive or administrative institution. Applying and implementing rules is not the work of a parliament</w:t>
      </w:r>
      <w:r w:rsidR="00B24255">
        <w:rPr>
          <w:lang w:val="en-US"/>
        </w:rPr>
        <w:t>, neither on EU level nor on domestic level</w:t>
      </w:r>
      <w:r w:rsidR="00455F55">
        <w:rPr>
          <w:lang w:val="en-US"/>
        </w:rPr>
        <w:t xml:space="preserve">. </w:t>
      </w:r>
      <w:r w:rsidR="00CA4A87">
        <w:rPr>
          <w:lang w:val="en-US"/>
        </w:rPr>
        <w:t>P</w:t>
      </w:r>
      <w:r w:rsidR="00455F55">
        <w:rPr>
          <w:lang w:val="en-US"/>
        </w:rPr>
        <w:t>arliamentary function</w:t>
      </w:r>
      <w:r w:rsidR="00A023F0">
        <w:rPr>
          <w:lang w:val="en-US"/>
        </w:rPr>
        <w:t xml:space="preserve">, however, pertains </w:t>
      </w:r>
      <w:r w:rsidR="00455F55">
        <w:rPr>
          <w:lang w:val="en-US"/>
        </w:rPr>
        <w:t>to control</w:t>
      </w:r>
      <w:r w:rsidR="00A023F0">
        <w:rPr>
          <w:lang w:val="en-US"/>
        </w:rPr>
        <w:t xml:space="preserve">ling </w:t>
      </w:r>
      <w:r w:rsidR="00455F55">
        <w:rPr>
          <w:lang w:val="en-US"/>
        </w:rPr>
        <w:t xml:space="preserve">executive institutions </w:t>
      </w:r>
      <w:r w:rsidR="00CA4A87">
        <w:rPr>
          <w:lang w:val="en-US"/>
        </w:rPr>
        <w:t>also in their implementation of agreements</w:t>
      </w:r>
      <w:r w:rsidR="006460EA">
        <w:rPr>
          <w:lang w:val="en-US"/>
        </w:rPr>
        <w:t xml:space="preserve"> as legislatures want to ensure that the executive does not exceed its powers and that policies obtain their objectives</w:t>
      </w:r>
      <w:r w:rsidR="00131706">
        <w:rPr>
          <w:lang w:val="en-US"/>
        </w:rPr>
        <w:t xml:space="preserve"> and meet citizen´s expectations</w:t>
      </w:r>
      <w:r w:rsidR="006460EA">
        <w:rPr>
          <w:lang w:val="en-US"/>
        </w:rPr>
        <w:t>.</w:t>
      </w:r>
      <w:r w:rsidR="006460EA">
        <w:rPr>
          <w:rStyle w:val="Funotenzeichen"/>
          <w:lang w:val="en-US"/>
        </w:rPr>
        <w:footnoteReference w:id="22"/>
      </w:r>
    </w:p>
    <w:p w:rsidR="00CA4A87" w:rsidRDefault="00455F55" w:rsidP="00455F55">
      <w:pPr>
        <w:rPr>
          <w:rFonts w:cs="Times New Roman"/>
          <w:color w:val="222222"/>
          <w:lang w:val="en-GB"/>
        </w:rPr>
      </w:pPr>
      <w:r w:rsidRPr="00F95919">
        <w:rPr>
          <w:lang w:val="en-US"/>
        </w:rPr>
        <w:t xml:space="preserve">The </w:t>
      </w:r>
      <w:r w:rsidR="008C4DBD">
        <w:rPr>
          <w:lang w:val="en-US"/>
        </w:rPr>
        <w:t xml:space="preserve">effective </w:t>
      </w:r>
      <w:r w:rsidRPr="00F95919">
        <w:rPr>
          <w:lang w:val="en-US"/>
        </w:rPr>
        <w:t xml:space="preserve">control the EP may exercise </w:t>
      </w:r>
      <w:proofErr w:type="gramStart"/>
      <w:r w:rsidRPr="00F95919">
        <w:rPr>
          <w:lang w:val="en-US"/>
        </w:rPr>
        <w:t>with regards to</w:t>
      </w:r>
      <w:proofErr w:type="gramEnd"/>
      <w:r w:rsidRPr="00F95919">
        <w:rPr>
          <w:lang w:val="en-US"/>
        </w:rPr>
        <w:t xml:space="preserve"> the operation of trade agreements</w:t>
      </w:r>
      <w:r w:rsidR="00B01579">
        <w:rPr>
          <w:lang w:val="en-US"/>
        </w:rPr>
        <w:t xml:space="preserve"> is limited. The information requirement in Article 218 (10) does not apply in the implementation phase</w:t>
      </w:r>
      <w:r w:rsidR="00521E12">
        <w:rPr>
          <w:lang w:val="en-US"/>
        </w:rPr>
        <w:t xml:space="preserve"> (with one exception)</w:t>
      </w:r>
      <w:r w:rsidR="00B01579">
        <w:rPr>
          <w:lang w:val="en-US"/>
        </w:rPr>
        <w:t>. There are, of course, informal channels of information about the implementation of FTAs (like exchange with stakeholders, delegations, in-house research and workshops)</w:t>
      </w:r>
      <w:r w:rsidR="00B01579">
        <w:rPr>
          <w:rStyle w:val="Funotenzeichen"/>
          <w:lang w:val="en-US"/>
        </w:rPr>
        <w:footnoteReference w:id="23"/>
      </w:r>
      <w:r w:rsidR="00B01579">
        <w:rPr>
          <w:lang w:val="en-US"/>
        </w:rPr>
        <w:t xml:space="preserve">, </w:t>
      </w:r>
      <w:r w:rsidR="00521E12">
        <w:rPr>
          <w:lang w:val="en-US"/>
        </w:rPr>
        <w:t xml:space="preserve">and the EP </w:t>
      </w:r>
      <w:r w:rsidR="008C4DBD">
        <w:rPr>
          <w:lang w:val="en-US"/>
        </w:rPr>
        <w:t xml:space="preserve">expanded the task of the </w:t>
      </w:r>
      <w:r w:rsidR="00521E12">
        <w:rPr>
          <w:lang w:val="en-US"/>
        </w:rPr>
        <w:t>specific monitoring groups for the new, post Lisbon FTAs a</w:t>
      </w:r>
      <w:r w:rsidR="008C4DBD">
        <w:rPr>
          <w:lang w:val="en-US"/>
        </w:rPr>
        <w:t>lso to be</w:t>
      </w:r>
      <w:r w:rsidR="00521E12">
        <w:rPr>
          <w:lang w:val="en-US"/>
        </w:rPr>
        <w:t xml:space="preserve"> </w:t>
      </w:r>
      <w:r w:rsidR="008C4DBD">
        <w:rPr>
          <w:lang w:val="en-US"/>
        </w:rPr>
        <w:t xml:space="preserve">important fora for </w:t>
      </w:r>
      <w:r w:rsidR="00521E12">
        <w:rPr>
          <w:lang w:val="en-US"/>
        </w:rPr>
        <w:t>discussin</w:t>
      </w:r>
      <w:r w:rsidR="008C4DBD">
        <w:rPr>
          <w:lang w:val="en-US"/>
        </w:rPr>
        <w:t>g FTA implementation</w:t>
      </w:r>
      <w:r w:rsidR="008C4DBD">
        <w:rPr>
          <w:rStyle w:val="Funotenzeichen"/>
          <w:lang w:val="en-US"/>
        </w:rPr>
        <w:footnoteReference w:id="24"/>
      </w:r>
      <w:r w:rsidR="00521E12">
        <w:rPr>
          <w:lang w:val="en-US"/>
        </w:rPr>
        <w:t xml:space="preserve">, but these instruments of monitoring </w:t>
      </w:r>
      <w:r w:rsidR="00371C20">
        <w:rPr>
          <w:lang w:val="en-US"/>
        </w:rPr>
        <w:t>merely</w:t>
      </w:r>
      <w:r w:rsidR="00B01579">
        <w:rPr>
          <w:lang w:val="en-US"/>
        </w:rPr>
        <w:t xml:space="preserve"> enable ex post control. A formal influence </w:t>
      </w:r>
      <w:r w:rsidR="00371C20">
        <w:rPr>
          <w:lang w:val="en-US"/>
        </w:rPr>
        <w:t xml:space="preserve">of the EP in the course of implementation, comparable to its position during the negotiation phase, </w:t>
      </w:r>
      <w:proofErr w:type="gramStart"/>
      <w:r w:rsidR="00371C20">
        <w:rPr>
          <w:lang w:val="en-US"/>
        </w:rPr>
        <w:t>is not foreseen</w:t>
      </w:r>
      <w:proofErr w:type="gramEnd"/>
      <w:r w:rsidR="00371C20">
        <w:rPr>
          <w:lang w:val="en-US"/>
        </w:rPr>
        <w:t>. A</w:t>
      </w:r>
      <w:r w:rsidR="00B01579">
        <w:rPr>
          <w:lang w:val="en-US"/>
        </w:rPr>
        <w:t xml:space="preserve">n extremely limited control capacity of the EP exists in particular </w:t>
      </w:r>
      <w:r w:rsidRPr="00F95919">
        <w:rPr>
          <w:lang w:val="en-US"/>
        </w:rPr>
        <w:t xml:space="preserve">with regard to the decision-making by treaty bodies established by trade agreements. According to </w:t>
      </w:r>
      <w:r w:rsidRPr="00F95919">
        <w:rPr>
          <w:rFonts w:cs="Times New Roman"/>
          <w:color w:val="222222"/>
          <w:lang w:val="en-GB"/>
        </w:rPr>
        <w:t xml:space="preserve">Article 218 (9) TFEU, the decision that </w:t>
      </w:r>
      <w:r w:rsidRPr="00F95919">
        <w:rPr>
          <w:rFonts w:cs="Times New Roman"/>
          <w:color w:val="222222"/>
          <w:lang w:val="en-GB"/>
        </w:rPr>
        <w:lastRenderedPageBreak/>
        <w:t xml:space="preserve">sets the EU position in the decision-making of </w:t>
      </w:r>
      <w:r w:rsidR="00A302AA">
        <w:rPr>
          <w:rFonts w:cs="Times New Roman"/>
          <w:color w:val="222222"/>
          <w:lang w:val="en-GB"/>
        </w:rPr>
        <w:t>treaty bodies</w:t>
      </w:r>
      <w:r w:rsidRPr="00F95919">
        <w:rPr>
          <w:rFonts w:cs="Times New Roman"/>
          <w:color w:val="222222"/>
          <w:lang w:val="en-GB"/>
        </w:rPr>
        <w:t xml:space="preserve"> is adopted by the Council only. The European Parliament is not involved, nor does it participate in the decision-making of the</w:t>
      </w:r>
      <w:r w:rsidR="00CA4A87">
        <w:rPr>
          <w:rFonts w:cs="Times New Roman"/>
          <w:color w:val="222222"/>
          <w:lang w:val="en-GB"/>
        </w:rPr>
        <w:t xml:space="preserve"> treaty</w:t>
      </w:r>
      <w:r w:rsidR="00F66EDF">
        <w:rPr>
          <w:rFonts w:cs="Times New Roman"/>
          <w:color w:val="222222"/>
          <w:lang w:val="en-GB"/>
        </w:rPr>
        <w:t xml:space="preserve"> </w:t>
      </w:r>
      <w:r w:rsidR="00A302AA">
        <w:rPr>
          <w:rFonts w:cs="Times New Roman"/>
          <w:color w:val="222222"/>
          <w:lang w:val="en-GB"/>
        </w:rPr>
        <w:t>bodies</w:t>
      </w:r>
      <w:r w:rsidRPr="00F95919">
        <w:rPr>
          <w:rFonts w:cs="Times New Roman"/>
          <w:color w:val="222222"/>
          <w:lang w:val="en-GB"/>
        </w:rPr>
        <w:t xml:space="preserve">. It is only informed of the </w:t>
      </w:r>
      <w:r w:rsidR="00CA4A87">
        <w:rPr>
          <w:rFonts w:cs="Times New Roman"/>
          <w:color w:val="222222"/>
          <w:lang w:val="en-GB"/>
        </w:rPr>
        <w:t xml:space="preserve">Council </w:t>
      </w:r>
      <w:r w:rsidRPr="00F95919">
        <w:rPr>
          <w:rFonts w:cs="Times New Roman"/>
          <w:color w:val="222222"/>
          <w:lang w:val="en-GB"/>
        </w:rPr>
        <w:t xml:space="preserve">positions under Article 218 (10) TFEU. This rule </w:t>
      </w:r>
      <w:r w:rsidRPr="00F95919">
        <w:rPr>
          <w:rFonts w:eastAsia="Times New Roman" w:cs="Times New Roman"/>
          <w:color w:val="222222"/>
          <w:lang w:val="en-GB" w:eastAsia="de-DE"/>
        </w:rPr>
        <w:t>provides for information “at all stages of the procedure”, which includes information on the positions taken by the Council in preparation for a decision of a treaty body</w:t>
      </w:r>
      <w:r w:rsidR="007A5E69">
        <w:rPr>
          <w:rFonts w:eastAsia="Times New Roman" w:cs="Times New Roman"/>
          <w:color w:val="222222"/>
          <w:lang w:val="en-GB" w:eastAsia="de-DE"/>
        </w:rPr>
        <w:t xml:space="preserve">, </w:t>
      </w:r>
      <w:r w:rsidR="00F64925" w:rsidRPr="001A57EC">
        <w:rPr>
          <w:rFonts w:eastAsia="Times New Roman" w:cs="Times New Roman"/>
          <w:color w:val="222222"/>
          <w:lang w:val="en-GB" w:eastAsia="de-DE"/>
        </w:rPr>
        <w:t xml:space="preserve">but </w:t>
      </w:r>
      <w:r w:rsidR="007A5E69">
        <w:rPr>
          <w:rFonts w:eastAsia="Times New Roman" w:cs="Times New Roman"/>
          <w:color w:val="222222"/>
          <w:lang w:val="en-GB" w:eastAsia="de-DE"/>
        </w:rPr>
        <w:t xml:space="preserve">may also include information </w:t>
      </w:r>
      <w:r w:rsidR="00F64925" w:rsidRPr="001A57EC">
        <w:rPr>
          <w:rFonts w:eastAsia="Times New Roman" w:cs="Times New Roman"/>
          <w:color w:val="222222"/>
          <w:lang w:val="en-GB" w:eastAsia="de-DE"/>
        </w:rPr>
        <w:t>on the Commission draft</w:t>
      </w:r>
      <w:r w:rsidR="00F64925">
        <w:rPr>
          <w:rFonts w:eastAsia="Times New Roman" w:cs="Times New Roman"/>
          <w:b/>
          <w:color w:val="222222"/>
          <w:lang w:val="en-GB" w:eastAsia="de-DE"/>
        </w:rPr>
        <w:t>.</w:t>
      </w:r>
      <w:r w:rsidRPr="00F95919">
        <w:rPr>
          <w:rFonts w:eastAsia="Times New Roman" w:cs="Times New Roman"/>
          <w:color w:val="222222"/>
          <w:lang w:val="en-GB" w:eastAsia="de-DE"/>
        </w:rPr>
        <w:t xml:space="preserve"> In the past, the immediate disclosure of the Council´s common position to the EP </w:t>
      </w:r>
      <w:proofErr w:type="gramStart"/>
      <w:r w:rsidRPr="00F95919">
        <w:rPr>
          <w:rFonts w:eastAsia="Times New Roman" w:cs="Times New Roman"/>
          <w:color w:val="222222"/>
          <w:lang w:val="en-GB" w:eastAsia="de-DE"/>
        </w:rPr>
        <w:t>was provided</w:t>
      </w:r>
      <w:proofErr w:type="gramEnd"/>
      <w:r w:rsidRPr="00F95919">
        <w:rPr>
          <w:rFonts w:eastAsia="Times New Roman" w:cs="Times New Roman"/>
          <w:color w:val="222222"/>
          <w:lang w:val="en-GB" w:eastAsia="de-DE"/>
        </w:rPr>
        <w:t xml:space="preserve"> explicitly in Article 300 (2) ECT Amsterdam/Nice.</w:t>
      </w:r>
      <w:r w:rsidRPr="00F95919">
        <w:rPr>
          <w:rStyle w:val="Funotenzeichen"/>
          <w:rFonts w:eastAsia="Times New Roman" w:cs="Times New Roman"/>
          <w:color w:val="222222"/>
          <w:lang w:val="en-GB" w:eastAsia="de-DE"/>
        </w:rPr>
        <w:footnoteReference w:id="25"/>
      </w:r>
      <w:r w:rsidR="007A5E69">
        <w:rPr>
          <w:rFonts w:eastAsia="Times New Roman" w:cs="Times New Roman"/>
          <w:color w:val="222222"/>
          <w:lang w:val="en-GB" w:eastAsia="de-DE"/>
        </w:rPr>
        <w:t xml:space="preserve"> Accordingly, the practice was to inform the EP about the Council decision </w:t>
      </w:r>
      <w:r w:rsidR="007A5E69" w:rsidRPr="00F95919">
        <w:rPr>
          <w:rFonts w:eastAsia="Times New Roman" w:cs="Times New Roman"/>
          <w:color w:val="222222"/>
          <w:lang w:val="en-GB" w:eastAsia="de-DE"/>
        </w:rPr>
        <w:t xml:space="preserve">mainly </w:t>
      </w:r>
      <w:r w:rsidR="007A5E69" w:rsidRPr="002B5B80">
        <w:rPr>
          <w:rFonts w:eastAsia="Times New Roman" w:cs="Times New Roman"/>
          <w:color w:val="222222"/>
          <w:lang w:val="en-GB" w:eastAsia="de-DE"/>
        </w:rPr>
        <w:t>ex post facto</w:t>
      </w:r>
      <w:r w:rsidR="007A5E69">
        <w:rPr>
          <w:rFonts w:eastAsia="Times New Roman" w:cs="Times New Roman"/>
          <w:b/>
          <w:color w:val="222222"/>
          <w:lang w:val="en-GB" w:eastAsia="de-DE"/>
        </w:rPr>
        <w:t>.</w:t>
      </w:r>
      <w:r w:rsidR="007A5E69" w:rsidRPr="00F95919">
        <w:rPr>
          <w:rStyle w:val="Funotenzeichen"/>
          <w:rFonts w:eastAsia="Times New Roman" w:cs="Times New Roman"/>
          <w:color w:val="222222"/>
          <w:lang w:val="en-GB" w:eastAsia="de-DE"/>
        </w:rPr>
        <w:footnoteReference w:id="26"/>
      </w:r>
      <w:r w:rsidR="007A5E69" w:rsidRPr="001A57EC">
        <w:rPr>
          <w:rFonts w:eastAsia="Times New Roman" w:cs="Times New Roman"/>
          <w:color w:val="222222"/>
          <w:lang w:val="en-GB" w:eastAsia="de-DE"/>
        </w:rPr>
        <w:t xml:space="preserve"> </w:t>
      </w:r>
      <w:r w:rsidRPr="00F95919">
        <w:rPr>
          <w:rFonts w:eastAsia="Times New Roman" w:cs="Times New Roman"/>
          <w:color w:val="222222"/>
          <w:lang w:val="en-GB" w:eastAsia="de-DE"/>
        </w:rPr>
        <w:t xml:space="preserve"> </w:t>
      </w:r>
      <w:r w:rsidR="009E6694">
        <w:rPr>
          <w:rFonts w:eastAsia="Times New Roman" w:cs="Times New Roman"/>
          <w:color w:val="222222"/>
          <w:lang w:val="en-GB" w:eastAsia="de-DE"/>
        </w:rPr>
        <w:t>Even though t</w:t>
      </w:r>
      <w:r w:rsidRPr="00F95919">
        <w:rPr>
          <w:rFonts w:eastAsia="Times New Roman" w:cs="Times New Roman"/>
          <w:color w:val="222222"/>
          <w:lang w:val="en-GB" w:eastAsia="de-DE"/>
        </w:rPr>
        <w:t xml:space="preserve">he </w:t>
      </w:r>
      <w:r w:rsidR="007A5E69">
        <w:rPr>
          <w:rFonts w:eastAsia="Times New Roman" w:cs="Times New Roman"/>
          <w:color w:val="222222"/>
          <w:lang w:val="en-GB" w:eastAsia="de-DE"/>
        </w:rPr>
        <w:t xml:space="preserve">Lisbon Treaty no longer explicitly mentions the </w:t>
      </w:r>
      <w:r w:rsidRPr="00F95919">
        <w:rPr>
          <w:rFonts w:eastAsia="Times New Roman" w:cs="Times New Roman"/>
          <w:color w:val="222222"/>
          <w:lang w:val="en-GB" w:eastAsia="de-DE"/>
        </w:rPr>
        <w:t xml:space="preserve">provision of information </w:t>
      </w:r>
      <w:r w:rsidR="009E6694">
        <w:rPr>
          <w:rFonts w:eastAsia="Times New Roman" w:cs="Times New Roman"/>
          <w:color w:val="222222"/>
          <w:lang w:val="en-GB" w:eastAsia="de-DE"/>
        </w:rPr>
        <w:t xml:space="preserve">on </w:t>
      </w:r>
      <w:r w:rsidR="007A5E69">
        <w:rPr>
          <w:rFonts w:eastAsia="Times New Roman" w:cs="Times New Roman"/>
          <w:color w:val="222222"/>
          <w:lang w:val="en-GB" w:eastAsia="de-DE"/>
        </w:rPr>
        <w:t xml:space="preserve">decisions under Art 218(9), </w:t>
      </w:r>
      <w:r w:rsidR="00CA4A87">
        <w:rPr>
          <w:rFonts w:cs="Times New Roman"/>
          <w:color w:val="222222"/>
          <w:lang w:val="en-GB"/>
        </w:rPr>
        <w:t>the level of information the EP gets about Council positions is the same as prior to Lisbon.</w:t>
      </w:r>
      <w:r w:rsidR="009E6694">
        <w:rPr>
          <w:rFonts w:cs="Times New Roman"/>
          <w:color w:val="222222"/>
          <w:lang w:val="en-GB"/>
        </w:rPr>
        <w:t xml:space="preserve"> The </w:t>
      </w:r>
      <w:r w:rsidR="009E6694" w:rsidRPr="00F95919">
        <w:rPr>
          <w:rFonts w:eastAsia="Times New Roman" w:cs="Times New Roman"/>
          <w:color w:val="222222"/>
          <w:lang w:val="en-GB" w:eastAsia="de-DE"/>
        </w:rPr>
        <w:t>general information rule in Article 218 (10) TFEU aim</w:t>
      </w:r>
      <w:r w:rsidR="009E6694">
        <w:rPr>
          <w:rFonts w:eastAsia="Times New Roman" w:cs="Times New Roman"/>
          <w:color w:val="222222"/>
          <w:lang w:val="en-GB" w:eastAsia="de-DE"/>
        </w:rPr>
        <w:t>ed</w:t>
      </w:r>
      <w:r w:rsidR="009E6694" w:rsidRPr="00F95919">
        <w:rPr>
          <w:rFonts w:eastAsia="Times New Roman" w:cs="Times New Roman"/>
          <w:color w:val="222222"/>
          <w:lang w:val="en-GB" w:eastAsia="de-DE"/>
        </w:rPr>
        <w:t xml:space="preserve"> at increasing the information given to the EP</w:t>
      </w:r>
      <w:r w:rsidR="009E6694">
        <w:rPr>
          <w:rFonts w:eastAsia="Times New Roman" w:cs="Times New Roman"/>
          <w:color w:val="222222"/>
          <w:lang w:val="en-GB" w:eastAsia="de-DE"/>
        </w:rPr>
        <w:t xml:space="preserve">, not at reducing it. </w:t>
      </w:r>
    </w:p>
    <w:p w:rsidR="00C91BB7" w:rsidRDefault="00F64925" w:rsidP="00455F55">
      <w:pPr>
        <w:rPr>
          <w:rFonts w:cs="Times New Roman"/>
          <w:color w:val="222222"/>
          <w:lang w:val="en-GB"/>
        </w:rPr>
      </w:pPr>
      <w:r w:rsidRPr="00F64925">
        <w:rPr>
          <w:rFonts w:cs="Times New Roman"/>
          <w:color w:val="222222"/>
          <w:lang w:val="en-GB"/>
        </w:rPr>
        <w:t xml:space="preserve">In any case, </w:t>
      </w:r>
      <w:r>
        <w:rPr>
          <w:rFonts w:cs="Times New Roman"/>
          <w:color w:val="222222"/>
          <w:lang w:val="en-GB"/>
        </w:rPr>
        <w:t>the EP</w:t>
      </w:r>
      <w:r w:rsidRPr="00F64925">
        <w:rPr>
          <w:rFonts w:cs="Times New Roman"/>
          <w:color w:val="222222"/>
          <w:lang w:val="en-GB"/>
        </w:rPr>
        <w:t xml:space="preserve"> assigns itself a right to information </w:t>
      </w:r>
      <w:r w:rsidR="00121E58">
        <w:rPr>
          <w:rFonts w:cs="Times New Roman"/>
          <w:color w:val="222222"/>
          <w:lang w:val="en-GB"/>
        </w:rPr>
        <w:t xml:space="preserve">already </w:t>
      </w:r>
      <w:r w:rsidRPr="00F64925">
        <w:rPr>
          <w:rFonts w:cs="Times New Roman"/>
          <w:color w:val="222222"/>
          <w:lang w:val="en-GB"/>
        </w:rPr>
        <w:t>on a draft</w:t>
      </w:r>
      <w:r>
        <w:rPr>
          <w:rFonts w:cs="Times New Roman"/>
          <w:color w:val="222222"/>
          <w:lang w:val="en-GB"/>
        </w:rPr>
        <w:t xml:space="preserve"> </w:t>
      </w:r>
      <w:r w:rsidR="009E6694">
        <w:rPr>
          <w:rFonts w:cs="Times New Roman"/>
          <w:color w:val="222222"/>
          <w:lang w:val="en-GB"/>
        </w:rPr>
        <w:t xml:space="preserve">Council </w:t>
      </w:r>
      <w:r>
        <w:rPr>
          <w:rFonts w:cs="Times New Roman"/>
          <w:color w:val="222222"/>
          <w:lang w:val="en-GB"/>
        </w:rPr>
        <w:t xml:space="preserve">decision </w:t>
      </w:r>
      <w:r w:rsidR="009E6694">
        <w:rPr>
          <w:rFonts w:cs="Times New Roman"/>
          <w:color w:val="222222"/>
          <w:lang w:val="en-GB"/>
        </w:rPr>
        <w:t>under Article 218 (9)</w:t>
      </w:r>
      <w:r w:rsidR="00121E58">
        <w:rPr>
          <w:rFonts w:cs="Times New Roman"/>
          <w:color w:val="222222"/>
          <w:lang w:val="en-GB"/>
        </w:rPr>
        <w:t>. In</w:t>
      </w:r>
      <w:r w:rsidR="00C91BB7">
        <w:rPr>
          <w:rFonts w:cs="Times New Roman"/>
          <w:color w:val="222222"/>
          <w:lang w:val="en-GB"/>
        </w:rPr>
        <w:t xml:space="preserve"> </w:t>
      </w:r>
      <w:r w:rsidR="00455F55" w:rsidRPr="00F95919">
        <w:rPr>
          <w:rFonts w:cs="Times New Roman"/>
          <w:color w:val="222222"/>
          <w:lang w:val="en-GB"/>
        </w:rPr>
        <w:t xml:space="preserve">Article 109 of </w:t>
      </w:r>
      <w:r w:rsidR="009E6694">
        <w:rPr>
          <w:rFonts w:cs="Times New Roman"/>
          <w:color w:val="222222"/>
          <w:lang w:val="en-GB"/>
        </w:rPr>
        <w:t xml:space="preserve">its </w:t>
      </w:r>
      <w:r w:rsidR="00D243F3" w:rsidRPr="00F95919">
        <w:rPr>
          <w:rFonts w:cs="Times New Roman"/>
          <w:color w:val="222222"/>
          <w:lang w:val="en-GB"/>
        </w:rPr>
        <w:t>R</w:t>
      </w:r>
      <w:r w:rsidR="00455F55" w:rsidRPr="00F95919">
        <w:rPr>
          <w:rFonts w:cs="Times New Roman"/>
          <w:color w:val="222222"/>
          <w:lang w:val="en-GB"/>
        </w:rPr>
        <w:t xml:space="preserve">ules of </w:t>
      </w:r>
      <w:r w:rsidR="00D243F3" w:rsidRPr="00F95919">
        <w:rPr>
          <w:rFonts w:cs="Times New Roman"/>
          <w:color w:val="222222"/>
          <w:lang w:val="en-GB"/>
        </w:rPr>
        <w:t>P</w:t>
      </w:r>
      <w:r w:rsidR="00455F55" w:rsidRPr="00F95919">
        <w:rPr>
          <w:rFonts w:cs="Times New Roman"/>
          <w:color w:val="222222"/>
          <w:lang w:val="en-GB"/>
        </w:rPr>
        <w:t>rocedure</w:t>
      </w:r>
      <w:r>
        <w:rPr>
          <w:rFonts w:cs="Times New Roman"/>
          <w:color w:val="222222"/>
          <w:lang w:val="en-GB"/>
        </w:rPr>
        <w:t xml:space="preserve">, </w:t>
      </w:r>
      <w:r w:rsidR="00121E58">
        <w:rPr>
          <w:rFonts w:cs="Times New Roman"/>
          <w:color w:val="222222"/>
          <w:lang w:val="en-GB"/>
        </w:rPr>
        <w:t xml:space="preserve">it gave itself </w:t>
      </w:r>
      <w:r w:rsidR="00455F55" w:rsidRPr="00F95919">
        <w:rPr>
          <w:rFonts w:cs="Times New Roman"/>
          <w:color w:val="222222"/>
          <w:lang w:val="en-GB"/>
        </w:rPr>
        <w:t xml:space="preserve">the </w:t>
      </w:r>
      <w:r w:rsidR="00C91BB7">
        <w:rPr>
          <w:rFonts w:cs="Times New Roman"/>
          <w:color w:val="222222"/>
          <w:lang w:val="en-GB"/>
        </w:rPr>
        <w:t>right</w:t>
      </w:r>
      <w:r w:rsidR="00455F55" w:rsidRPr="00F95919">
        <w:rPr>
          <w:rFonts w:cs="Times New Roman"/>
          <w:color w:val="222222"/>
          <w:lang w:val="en-GB"/>
        </w:rPr>
        <w:t xml:space="preserve"> to have a debate and to issue recommendations </w:t>
      </w:r>
      <w:r w:rsidR="00121E58">
        <w:rPr>
          <w:rFonts w:cs="Times New Roman"/>
          <w:color w:val="222222"/>
          <w:lang w:val="en-GB"/>
        </w:rPr>
        <w:t>once</w:t>
      </w:r>
      <w:r w:rsidR="00455F55" w:rsidRPr="00F95919">
        <w:rPr>
          <w:rFonts w:cs="Times New Roman"/>
          <w:color w:val="222222"/>
          <w:lang w:val="en-GB"/>
        </w:rPr>
        <w:t xml:space="preserve"> the Commission proposes a </w:t>
      </w:r>
      <w:r w:rsidR="009E6694">
        <w:rPr>
          <w:rFonts w:cs="Times New Roman"/>
          <w:color w:val="222222"/>
          <w:lang w:val="en-GB"/>
        </w:rPr>
        <w:t xml:space="preserve">draft </w:t>
      </w:r>
      <w:r w:rsidR="00A302AA">
        <w:rPr>
          <w:rFonts w:cs="Times New Roman"/>
          <w:color w:val="222222"/>
          <w:lang w:val="en-GB"/>
        </w:rPr>
        <w:t xml:space="preserve">Council </w:t>
      </w:r>
      <w:r w:rsidR="009E6694">
        <w:rPr>
          <w:rFonts w:cs="Times New Roman"/>
          <w:color w:val="222222"/>
          <w:lang w:val="en-GB"/>
        </w:rPr>
        <w:t>decision</w:t>
      </w:r>
      <w:r w:rsidR="00C91BB7">
        <w:rPr>
          <w:rFonts w:cs="Times New Roman"/>
          <w:color w:val="222222"/>
          <w:lang w:val="en-GB"/>
        </w:rPr>
        <w:t xml:space="preserve">. This appears to be the EP´s response to the fact that the </w:t>
      </w:r>
      <w:r w:rsidR="00D243F3" w:rsidRPr="00F95919">
        <w:rPr>
          <w:rFonts w:cs="Times New Roman"/>
          <w:color w:val="222222"/>
          <w:lang w:val="en-GB"/>
        </w:rPr>
        <w:t>EP</w:t>
      </w:r>
      <w:r w:rsidR="00455F55" w:rsidRPr="00F95919">
        <w:rPr>
          <w:rFonts w:cs="Times New Roman"/>
          <w:color w:val="222222"/>
          <w:lang w:val="en-GB"/>
        </w:rPr>
        <w:t xml:space="preserve"> does not have a formal say in </w:t>
      </w:r>
      <w:r w:rsidR="00C91BB7">
        <w:rPr>
          <w:rFonts w:cs="Times New Roman"/>
          <w:color w:val="222222"/>
          <w:lang w:val="en-GB"/>
        </w:rPr>
        <w:t xml:space="preserve">the adoption of such </w:t>
      </w:r>
      <w:r w:rsidR="00231976" w:rsidRPr="00F95919">
        <w:rPr>
          <w:rFonts w:cs="Times New Roman"/>
          <w:color w:val="222222"/>
          <w:lang w:val="en-GB"/>
        </w:rPr>
        <w:t xml:space="preserve">Council </w:t>
      </w:r>
      <w:r w:rsidR="00C91BB7">
        <w:rPr>
          <w:rFonts w:cs="Times New Roman"/>
          <w:color w:val="222222"/>
          <w:lang w:val="en-GB"/>
        </w:rPr>
        <w:t>position</w:t>
      </w:r>
      <w:r w:rsidR="0008020B">
        <w:rPr>
          <w:rFonts w:cs="Times New Roman"/>
          <w:color w:val="222222"/>
          <w:lang w:val="en-GB"/>
        </w:rPr>
        <w:t>,</w:t>
      </w:r>
      <w:r w:rsidR="00C91BB7">
        <w:rPr>
          <w:rFonts w:cs="Times New Roman"/>
          <w:color w:val="222222"/>
          <w:lang w:val="en-GB"/>
        </w:rPr>
        <w:t xml:space="preserve"> as the Council </w:t>
      </w:r>
      <w:r w:rsidR="00231976" w:rsidRPr="00F95919">
        <w:rPr>
          <w:rFonts w:cs="Times New Roman"/>
          <w:color w:val="222222"/>
          <w:lang w:val="en-GB"/>
        </w:rPr>
        <w:t>decides without participation of the EP</w:t>
      </w:r>
      <w:r w:rsidR="0008020B">
        <w:rPr>
          <w:rFonts w:cs="Times New Roman"/>
          <w:color w:val="222222"/>
          <w:lang w:val="en-GB"/>
        </w:rPr>
        <w:t>,</w:t>
      </w:r>
      <w:r w:rsidR="00723772" w:rsidRPr="00F95919">
        <w:rPr>
          <w:rFonts w:cs="Times New Roman"/>
          <w:color w:val="222222"/>
          <w:lang w:val="en-GB"/>
        </w:rPr>
        <w:t xml:space="preserve"> </w:t>
      </w:r>
      <w:r w:rsidR="00231976" w:rsidRPr="00F95919">
        <w:rPr>
          <w:rFonts w:cs="Times New Roman"/>
          <w:color w:val="222222"/>
          <w:lang w:val="en-GB"/>
        </w:rPr>
        <w:t xml:space="preserve">and as the EP is not present on international level when the treaty bodies subsequently adopt their decisions. </w:t>
      </w:r>
      <w:r w:rsidR="00325436" w:rsidRPr="00F95919">
        <w:rPr>
          <w:rFonts w:cs="Times New Roman"/>
          <w:color w:val="222222"/>
          <w:lang w:val="en-GB"/>
        </w:rPr>
        <w:t>Treaty bodies consist of representatives of the parties.</w:t>
      </w:r>
      <w:r w:rsidR="000E59B7">
        <w:rPr>
          <w:rStyle w:val="Funotenzeichen"/>
          <w:rFonts w:cs="Times New Roman"/>
          <w:color w:val="222222"/>
          <w:lang w:val="en-GB"/>
        </w:rPr>
        <w:footnoteReference w:id="27"/>
      </w:r>
      <w:r w:rsidR="00325436" w:rsidRPr="00F95919">
        <w:rPr>
          <w:rFonts w:cs="Times New Roman"/>
          <w:color w:val="222222"/>
          <w:lang w:val="en-GB"/>
        </w:rPr>
        <w:t xml:space="preserve"> </w:t>
      </w:r>
      <w:r w:rsidR="00C60493">
        <w:rPr>
          <w:rFonts w:cs="Times New Roman"/>
          <w:color w:val="222222"/>
          <w:lang w:val="en-GB"/>
        </w:rPr>
        <w:t xml:space="preserve">Members of the EP are not present, nor do they have an observer status. </w:t>
      </w:r>
      <w:r w:rsidR="00CE2B85">
        <w:rPr>
          <w:rFonts w:cs="Times New Roman"/>
          <w:color w:val="222222"/>
          <w:lang w:val="en-GB"/>
        </w:rPr>
        <w:t>The Framework Agreement foresees EP members as observers at international conferences, as part of the EU delegation</w:t>
      </w:r>
      <w:r w:rsidR="00CE2B85">
        <w:rPr>
          <w:rStyle w:val="Funotenzeichen"/>
          <w:rFonts w:cs="Times New Roman"/>
          <w:color w:val="222222"/>
          <w:lang w:val="en-GB"/>
        </w:rPr>
        <w:footnoteReference w:id="28"/>
      </w:r>
      <w:r w:rsidR="00CE2B85">
        <w:rPr>
          <w:rFonts w:cs="Times New Roman"/>
          <w:color w:val="222222"/>
          <w:lang w:val="en-GB"/>
        </w:rPr>
        <w:t>, but not in bilateral negotiations, nor within treaty bodies.</w:t>
      </w:r>
      <w:r w:rsidR="0077463A">
        <w:rPr>
          <w:rFonts w:cs="Times New Roman"/>
          <w:color w:val="222222"/>
          <w:lang w:val="en-GB"/>
        </w:rPr>
        <w:t xml:space="preserve"> Furthermore, </w:t>
      </w:r>
      <w:r w:rsidR="00C91BB7">
        <w:rPr>
          <w:rFonts w:cs="Times New Roman"/>
          <w:color w:val="222222"/>
          <w:lang w:val="en-GB"/>
        </w:rPr>
        <w:t xml:space="preserve">even if the EP adopts a resolution giving recommendations to the Council, there is not agreement between Council, Commission of EP </w:t>
      </w:r>
      <w:proofErr w:type="gramStart"/>
      <w:r w:rsidR="00C91BB7">
        <w:rPr>
          <w:rFonts w:cs="Times New Roman"/>
          <w:color w:val="222222"/>
          <w:lang w:val="en-GB"/>
        </w:rPr>
        <w:t>which</w:t>
      </w:r>
      <w:proofErr w:type="gramEnd"/>
      <w:r w:rsidR="00C91BB7">
        <w:rPr>
          <w:rFonts w:cs="Times New Roman"/>
          <w:color w:val="222222"/>
          <w:lang w:val="en-GB"/>
        </w:rPr>
        <w:t xml:space="preserve"> could guarantee that the recommendations are taken into account. The rule provided in Article 109 of the Rules of Procedures is onl</w:t>
      </w:r>
      <w:r w:rsidR="00C91BB7">
        <w:rPr>
          <w:lang w:val="en-GB"/>
        </w:rPr>
        <w:t>y binding for the EP; it is a unilateral act.</w:t>
      </w:r>
      <w:r w:rsidR="00C91BB7">
        <w:rPr>
          <w:rFonts w:cs="Times New Roman"/>
          <w:color w:val="222222"/>
          <w:lang w:val="en-GB"/>
        </w:rPr>
        <w:t xml:space="preserve"> T</w:t>
      </w:r>
      <w:r w:rsidR="0077463A">
        <w:rPr>
          <w:rFonts w:cs="Times New Roman"/>
          <w:color w:val="222222"/>
          <w:lang w:val="en-GB"/>
        </w:rPr>
        <w:t xml:space="preserve">he Framework Agreement </w:t>
      </w:r>
      <w:r w:rsidR="00C91BB7">
        <w:rPr>
          <w:rFonts w:cs="Times New Roman"/>
          <w:color w:val="222222"/>
          <w:lang w:val="en-GB"/>
        </w:rPr>
        <w:t xml:space="preserve">entered into between the Commission and the EP </w:t>
      </w:r>
      <w:r w:rsidR="0077463A">
        <w:rPr>
          <w:rFonts w:cs="Times New Roman"/>
          <w:color w:val="222222"/>
          <w:lang w:val="en-GB"/>
        </w:rPr>
        <w:t>does not provide for a right of the EP to follow up on its recommendations with regard to Commission´s drafts to a Council position under Article 218 (9) TFEU. The Framework Agreement only provides such a right with regard to the recommendations of the EP during the negotiating phase of an agreement.</w:t>
      </w:r>
      <w:r w:rsidR="0077463A">
        <w:rPr>
          <w:rStyle w:val="Funotenzeichen"/>
          <w:rFonts w:cs="Times New Roman"/>
          <w:color w:val="222222"/>
          <w:lang w:val="en-GB"/>
        </w:rPr>
        <w:footnoteReference w:id="29"/>
      </w:r>
      <w:r w:rsidR="00466E24">
        <w:rPr>
          <w:rFonts w:cs="Times New Roman"/>
          <w:color w:val="222222"/>
          <w:lang w:val="en-GB"/>
        </w:rPr>
        <w:t xml:space="preserve"> </w:t>
      </w:r>
    </w:p>
    <w:p w:rsidR="00231976" w:rsidRDefault="00231976" w:rsidP="00455F55">
      <w:pPr>
        <w:rPr>
          <w:rFonts w:cs="EUAlbertina"/>
          <w:color w:val="000000"/>
          <w:lang w:val="en-US"/>
        </w:rPr>
      </w:pPr>
      <w:r w:rsidRPr="00F95919">
        <w:rPr>
          <w:rFonts w:cs="EUAlbertina"/>
          <w:color w:val="000000"/>
          <w:lang w:val="en-US"/>
        </w:rPr>
        <w:t>The COM and the EP agreed in the</w:t>
      </w:r>
      <w:r w:rsidR="00B46746">
        <w:rPr>
          <w:rFonts w:cs="EUAlbertina"/>
          <w:color w:val="000000"/>
          <w:lang w:val="en-US"/>
        </w:rPr>
        <w:t>ir</w:t>
      </w:r>
      <w:r w:rsidRPr="00F95919">
        <w:rPr>
          <w:rFonts w:cs="EUAlbertina"/>
          <w:color w:val="000000"/>
          <w:lang w:val="en-US"/>
        </w:rPr>
        <w:t xml:space="preserve"> Framework Agreement that the Commission keeps the EP systematically informed about meetings of treaty bodies set up by “multilateral international agreements involving the Union”; and the COM will “facilitate access as observers for Members of the EP” as part of EU delegations to meetings of such bodies. But both participatory rights are limited to multilateral as opposed to bilateral agreements and </w:t>
      </w:r>
      <w:r w:rsidR="000E59B7">
        <w:rPr>
          <w:rFonts w:cs="EUAlbertina"/>
          <w:color w:val="000000"/>
          <w:lang w:val="en-US"/>
        </w:rPr>
        <w:t xml:space="preserve">only apply if </w:t>
      </w:r>
      <w:r w:rsidRPr="00F95919">
        <w:rPr>
          <w:rFonts w:cs="EUAlbertina"/>
          <w:color w:val="000000"/>
          <w:lang w:val="en-US"/>
        </w:rPr>
        <w:t xml:space="preserve">the treaty bodies “are called upon to take decisions which require the consent of the EP or the implementation of which may </w:t>
      </w:r>
      <w:r w:rsidRPr="00F95919">
        <w:rPr>
          <w:rFonts w:cs="EUAlbertina"/>
          <w:color w:val="000000"/>
          <w:lang w:val="en-US"/>
        </w:rPr>
        <w:lastRenderedPageBreak/>
        <w:t>require the adoption of legal acts in accordance with the ordinary legislative procedure.”</w:t>
      </w:r>
      <w:r w:rsidRPr="00F95919">
        <w:rPr>
          <w:rStyle w:val="Funotenzeichen"/>
          <w:rFonts w:cs="EUAlbertina"/>
          <w:color w:val="000000"/>
          <w:lang w:val="en-US"/>
        </w:rPr>
        <w:footnoteReference w:id="30"/>
      </w:r>
      <w:r w:rsidRPr="00F95919">
        <w:rPr>
          <w:rFonts w:cs="EUAlbertina"/>
          <w:color w:val="000000"/>
          <w:lang w:val="en-US"/>
        </w:rPr>
        <w:t xml:space="preserve"> Hence, these procedures do not apply to treaty bodies established in bilateral FTAs</w:t>
      </w:r>
      <w:r w:rsidR="001F1274">
        <w:rPr>
          <w:rStyle w:val="Funotenzeichen"/>
          <w:rFonts w:cs="EUAlbertina"/>
          <w:color w:val="000000"/>
          <w:lang w:val="en-US"/>
        </w:rPr>
        <w:footnoteReference w:id="31"/>
      </w:r>
      <w:r w:rsidRPr="00F95919">
        <w:rPr>
          <w:rFonts w:cs="EUAlbertina"/>
          <w:color w:val="000000"/>
          <w:lang w:val="en-US"/>
        </w:rPr>
        <w:t>, and even if</w:t>
      </w:r>
      <w:r w:rsidR="001760DD">
        <w:rPr>
          <w:rFonts w:cs="EUAlbertina"/>
          <w:color w:val="000000"/>
          <w:lang w:val="en-US"/>
        </w:rPr>
        <w:t xml:space="preserve"> they did</w:t>
      </w:r>
      <w:r w:rsidRPr="00F95919">
        <w:rPr>
          <w:rFonts w:cs="EUAlbertina"/>
          <w:color w:val="000000"/>
          <w:lang w:val="en-US"/>
        </w:rPr>
        <w:t>,</w:t>
      </w:r>
      <w:r w:rsidR="001760DD">
        <w:rPr>
          <w:rFonts w:cs="EUAlbertina"/>
          <w:color w:val="000000"/>
          <w:lang w:val="en-US"/>
        </w:rPr>
        <w:t xml:space="preserve"> due to their restricted ambit,</w:t>
      </w:r>
      <w:r w:rsidRPr="00F95919">
        <w:rPr>
          <w:rFonts w:cs="EUAlbertina"/>
          <w:color w:val="000000"/>
          <w:lang w:val="en-US"/>
        </w:rPr>
        <w:t xml:space="preserve"> they would not provide a general participation of the EP in the decision-making of treaty bodies</w:t>
      </w:r>
      <w:r w:rsidR="00B46746">
        <w:rPr>
          <w:rFonts w:cs="EUAlbertina"/>
          <w:color w:val="000000"/>
          <w:lang w:val="en-US"/>
        </w:rPr>
        <w:t xml:space="preserve"> established in bilateral Trade Agreements</w:t>
      </w:r>
      <w:r w:rsidRPr="00F95919">
        <w:rPr>
          <w:rFonts w:cs="EUAlbertina"/>
          <w:color w:val="000000"/>
          <w:lang w:val="en-US"/>
        </w:rPr>
        <w:t>.</w:t>
      </w:r>
    </w:p>
    <w:p w:rsidR="00F66EDF" w:rsidRPr="00C25449" w:rsidRDefault="00F66EDF" w:rsidP="00455F55">
      <w:pPr>
        <w:rPr>
          <w:rFonts w:cs="Times New Roman"/>
          <w:color w:val="222222"/>
          <w:lang w:val="en-US"/>
        </w:rPr>
      </w:pPr>
      <w:r w:rsidRPr="00C25449">
        <w:rPr>
          <w:rFonts w:cs="Times New Roman"/>
          <w:color w:val="222222"/>
          <w:lang w:val="en-US"/>
        </w:rPr>
        <w:t xml:space="preserve">Another simplified procedure of entering into international obligations </w:t>
      </w:r>
      <w:r w:rsidR="00143557" w:rsidRPr="00C25449">
        <w:rPr>
          <w:rFonts w:cs="Times New Roman"/>
          <w:color w:val="222222"/>
          <w:lang w:val="en-US"/>
        </w:rPr>
        <w:t xml:space="preserve">inherited from pre-Lisbon times </w:t>
      </w:r>
      <w:r w:rsidRPr="00C25449">
        <w:rPr>
          <w:rFonts w:cs="Times New Roman"/>
          <w:color w:val="222222"/>
          <w:lang w:val="en-US"/>
        </w:rPr>
        <w:t>is provided in Article 218 (7) TFEU.</w:t>
      </w:r>
      <w:r w:rsidRPr="00C25449">
        <w:rPr>
          <w:rStyle w:val="Funotenzeichen"/>
          <w:rFonts w:cs="Times New Roman"/>
          <w:color w:val="222222"/>
          <w:lang w:val="en-GB"/>
        </w:rPr>
        <w:t xml:space="preserve"> </w:t>
      </w:r>
      <w:r w:rsidRPr="00C25449">
        <w:rPr>
          <w:rStyle w:val="Funotenzeichen"/>
          <w:rFonts w:cs="Times New Roman"/>
          <w:color w:val="222222"/>
          <w:lang w:val="en-GB"/>
        </w:rPr>
        <w:footnoteReference w:id="32"/>
      </w:r>
      <w:r w:rsidRPr="00C25449">
        <w:rPr>
          <w:rFonts w:cs="Times New Roman"/>
          <w:color w:val="222222"/>
          <w:lang w:val="en-GB"/>
        </w:rPr>
        <w:t xml:space="preserve"> </w:t>
      </w:r>
      <w:r w:rsidRPr="00C25449">
        <w:rPr>
          <w:rFonts w:cs="Times New Roman"/>
          <w:color w:val="222222"/>
          <w:lang w:val="en-US"/>
        </w:rPr>
        <w:t>Un</w:t>
      </w:r>
      <w:r w:rsidR="00143557" w:rsidRPr="00C25449">
        <w:rPr>
          <w:rFonts w:cs="Times New Roman"/>
          <w:color w:val="222222"/>
          <w:lang w:val="en-US"/>
        </w:rPr>
        <w:t>d</w:t>
      </w:r>
      <w:r w:rsidRPr="00C25449">
        <w:rPr>
          <w:rFonts w:cs="Times New Roman"/>
          <w:color w:val="222222"/>
          <w:lang w:val="en-US"/>
        </w:rPr>
        <w:t>er Art 218 (</w:t>
      </w:r>
      <w:proofErr w:type="gramStart"/>
      <w:r w:rsidRPr="00C25449">
        <w:rPr>
          <w:rFonts w:cs="Times New Roman"/>
          <w:color w:val="222222"/>
          <w:lang w:val="en-US"/>
        </w:rPr>
        <w:t>7)</w:t>
      </w:r>
      <w:proofErr w:type="gramEnd"/>
      <w:r w:rsidRPr="00C25449">
        <w:rPr>
          <w:rFonts w:cs="Times New Roman"/>
          <w:color w:val="222222"/>
          <w:lang w:val="en-US"/>
        </w:rPr>
        <w:t xml:space="preserve"> the Council may authorize the Commission to approve on the EU´s behalf amendments to an agreement where it provides for their adoption in a treaty body.</w:t>
      </w:r>
      <w:r w:rsidRPr="00C25449">
        <w:rPr>
          <w:rStyle w:val="Funotenzeichen"/>
          <w:rFonts w:cs="Times New Roman"/>
          <w:color w:val="222222"/>
          <w:lang w:val="en-US"/>
        </w:rPr>
        <w:footnoteReference w:id="33"/>
      </w:r>
      <w:r w:rsidRPr="00C25449">
        <w:rPr>
          <w:rFonts w:cs="Times New Roman"/>
          <w:color w:val="222222"/>
          <w:lang w:val="en-US"/>
        </w:rPr>
        <w:t xml:space="preserve"> Again, the EP is not involved in the Council ´s decision-making even though it concerns the change of an agreement that was subject to the EP´s approval.</w:t>
      </w:r>
      <w:r w:rsidR="00E101A3" w:rsidRPr="00C25449">
        <w:rPr>
          <w:rFonts w:cs="Times New Roman"/>
          <w:color w:val="222222"/>
          <w:lang w:val="en-US"/>
        </w:rPr>
        <w:t xml:space="preserve"> The </w:t>
      </w:r>
      <w:proofErr w:type="gramStart"/>
      <w:r w:rsidR="00E101A3" w:rsidRPr="00C25449">
        <w:rPr>
          <w:rFonts w:cs="Times New Roman"/>
          <w:color w:val="222222"/>
          <w:lang w:val="en-US"/>
        </w:rPr>
        <w:t>EP is only informed by the Commission</w:t>
      </w:r>
      <w:proofErr w:type="gramEnd"/>
      <w:r w:rsidR="00E101A3" w:rsidRPr="00C25449">
        <w:rPr>
          <w:rFonts w:cs="Times New Roman"/>
          <w:color w:val="222222"/>
          <w:lang w:val="en-US"/>
        </w:rPr>
        <w:t xml:space="preserve"> </w:t>
      </w:r>
      <w:r w:rsidR="00E101A3" w:rsidRPr="00C25449">
        <w:rPr>
          <w:lang w:val="en-US"/>
        </w:rPr>
        <w:t xml:space="preserve">before </w:t>
      </w:r>
      <w:r w:rsidR="00143557" w:rsidRPr="00C25449">
        <w:rPr>
          <w:lang w:val="en-US"/>
        </w:rPr>
        <w:t xml:space="preserve">the latter approves </w:t>
      </w:r>
      <w:r w:rsidR="00E101A3" w:rsidRPr="00C25449">
        <w:rPr>
          <w:lang w:val="en-US"/>
        </w:rPr>
        <w:t>modifications to agreements.</w:t>
      </w:r>
      <w:r w:rsidR="00E101A3" w:rsidRPr="00C25449">
        <w:rPr>
          <w:rStyle w:val="Funotenzeichen"/>
          <w:lang w:val="en-US"/>
        </w:rPr>
        <w:footnoteReference w:id="34"/>
      </w:r>
    </w:p>
    <w:p w:rsidR="00F277EA" w:rsidRPr="00C25449" w:rsidRDefault="00C91BB7" w:rsidP="00455F55">
      <w:pPr>
        <w:rPr>
          <w:rFonts w:cs="Times New Roman"/>
          <w:color w:val="222222"/>
          <w:lang w:val="en-GB"/>
        </w:rPr>
      </w:pPr>
      <w:r w:rsidRPr="00C25449">
        <w:rPr>
          <w:rFonts w:cs="Times New Roman"/>
          <w:color w:val="222222"/>
          <w:lang w:val="en-GB"/>
        </w:rPr>
        <w:t xml:space="preserve">In </w:t>
      </w:r>
      <w:proofErr w:type="gramStart"/>
      <w:r w:rsidRPr="00C25449">
        <w:rPr>
          <w:rFonts w:cs="Times New Roman"/>
          <w:color w:val="222222"/>
          <w:lang w:val="en-GB"/>
        </w:rPr>
        <w:t>conclusion</w:t>
      </w:r>
      <w:proofErr w:type="gramEnd"/>
      <w:r w:rsidRPr="00C25449">
        <w:rPr>
          <w:rFonts w:cs="Times New Roman"/>
          <w:color w:val="222222"/>
          <w:lang w:val="en-GB"/>
        </w:rPr>
        <w:t xml:space="preserve"> one can summarize that, when it comes to the EP´s control of the implementation of a trade agreement, there are no formal </w:t>
      </w:r>
      <w:r w:rsidRPr="00EE21A5">
        <w:rPr>
          <w:rFonts w:cs="Times New Roman"/>
          <w:lang w:val="en-GB"/>
        </w:rPr>
        <w:t>mechanisms which could ensure effective ex ante control by the EP</w:t>
      </w:r>
      <w:r w:rsidR="00EE21A5">
        <w:rPr>
          <w:rFonts w:cs="Times New Roman"/>
          <w:lang w:val="en-GB"/>
        </w:rPr>
        <w:t xml:space="preserve">. In international relations, ex ante control is particularly </w:t>
      </w:r>
      <w:proofErr w:type="gramStart"/>
      <w:r w:rsidR="00EE21A5">
        <w:rPr>
          <w:rFonts w:cs="Times New Roman"/>
          <w:lang w:val="en-GB"/>
        </w:rPr>
        <w:t>important</w:t>
      </w:r>
      <w:proofErr w:type="gramEnd"/>
      <w:r w:rsidR="00EE21A5">
        <w:rPr>
          <w:rFonts w:cs="Times New Roman"/>
          <w:lang w:val="en-GB"/>
        </w:rPr>
        <w:t xml:space="preserve"> as rules agreed with a third party cannot be changed unilaterally</w:t>
      </w:r>
      <w:r w:rsidRPr="00EE21A5">
        <w:rPr>
          <w:rFonts w:cs="Times New Roman"/>
          <w:lang w:val="en-GB"/>
        </w:rPr>
        <w:t xml:space="preserve">.  </w:t>
      </w:r>
      <w:r w:rsidRPr="00C25449">
        <w:rPr>
          <w:rFonts w:cs="Times New Roman"/>
          <w:color w:val="222222"/>
          <w:lang w:val="en-GB"/>
        </w:rPr>
        <w:t>T</w:t>
      </w:r>
      <w:r w:rsidR="00325436" w:rsidRPr="00C25449">
        <w:rPr>
          <w:rFonts w:cs="Times New Roman"/>
          <w:color w:val="222222"/>
          <w:lang w:val="en-GB"/>
        </w:rPr>
        <w:t>he EP´s position in the operation of trade agreements, in particular as regards the</w:t>
      </w:r>
      <w:r w:rsidR="00F95919" w:rsidRPr="00C25449">
        <w:rPr>
          <w:rFonts w:cs="Times New Roman"/>
          <w:color w:val="222222"/>
          <w:lang w:val="en-GB"/>
        </w:rPr>
        <w:t xml:space="preserve"> decision-making of the treaty bodies does not allow the EP to have any meaningful influence on the substance of their decision. Effective control </w:t>
      </w:r>
      <w:r w:rsidR="00466E24" w:rsidRPr="00C25449">
        <w:rPr>
          <w:rFonts w:cs="Times New Roman"/>
          <w:color w:val="222222"/>
          <w:lang w:val="en-GB"/>
        </w:rPr>
        <w:t xml:space="preserve">of the EU executive by the EP </w:t>
      </w:r>
      <w:r w:rsidR="00F95919" w:rsidRPr="00C25449">
        <w:rPr>
          <w:rFonts w:cs="Times New Roman"/>
          <w:color w:val="222222"/>
          <w:lang w:val="en-GB"/>
        </w:rPr>
        <w:t xml:space="preserve">even ex post </w:t>
      </w:r>
      <w:proofErr w:type="gramStart"/>
      <w:r w:rsidR="00F95919" w:rsidRPr="00C25449">
        <w:rPr>
          <w:rFonts w:cs="Times New Roman"/>
          <w:color w:val="222222"/>
          <w:lang w:val="en-GB"/>
        </w:rPr>
        <w:t>is not ensured</w:t>
      </w:r>
      <w:proofErr w:type="gramEnd"/>
      <w:r w:rsidR="00F95919" w:rsidRPr="00C25449">
        <w:rPr>
          <w:rFonts w:cs="Times New Roman"/>
          <w:color w:val="222222"/>
          <w:lang w:val="en-GB"/>
        </w:rPr>
        <w:t>.</w:t>
      </w:r>
      <w:r w:rsidR="002E1DCF" w:rsidRPr="00C25449">
        <w:rPr>
          <w:rFonts w:cs="Times New Roman"/>
          <w:color w:val="222222"/>
          <w:lang w:val="en-GB"/>
        </w:rPr>
        <w:t xml:space="preserve"> </w:t>
      </w:r>
      <w:r w:rsidR="00F277EA" w:rsidRPr="00C25449">
        <w:rPr>
          <w:rFonts w:cs="Times New Roman"/>
          <w:color w:val="222222"/>
          <w:lang w:val="en-GB"/>
        </w:rPr>
        <w:t xml:space="preserve">Whereas in the preparation and conclusion of a FTA the EP is fully involved and may </w:t>
      </w:r>
      <w:r w:rsidR="003B1966" w:rsidRPr="00C25449">
        <w:rPr>
          <w:rFonts w:cs="Times New Roman"/>
          <w:color w:val="222222"/>
          <w:lang w:val="en-GB"/>
        </w:rPr>
        <w:t xml:space="preserve">be able to </w:t>
      </w:r>
      <w:r w:rsidR="00F277EA" w:rsidRPr="00C25449">
        <w:rPr>
          <w:rFonts w:cs="Times New Roman"/>
          <w:color w:val="222222"/>
          <w:lang w:val="en-GB"/>
        </w:rPr>
        <w:t>enforce its i</w:t>
      </w:r>
      <w:r w:rsidR="003B1966" w:rsidRPr="00C25449">
        <w:rPr>
          <w:rFonts w:cs="Times New Roman"/>
          <w:color w:val="222222"/>
          <w:lang w:val="en-GB"/>
        </w:rPr>
        <w:t>deas and preferences</w:t>
      </w:r>
      <w:r w:rsidRPr="00C25449">
        <w:rPr>
          <w:rFonts w:cs="Times New Roman"/>
          <w:color w:val="222222"/>
          <w:lang w:val="en-GB"/>
        </w:rPr>
        <w:t xml:space="preserve"> (not least by threatening to deny consent to the agreement)</w:t>
      </w:r>
      <w:r w:rsidR="003B1966" w:rsidRPr="00C25449">
        <w:rPr>
          <w:rFonts w:cs="Times New Roman"/>
          <w:color w:val="222222"/>
          <w:lang w:val="en-GB"/>
        </w:rPr>
        <w:t xml:space="preserve">, once the </w:t>
      </w:r>
      <w:r w:rsidR="00F277EA" w:rsidRPr="00C25449">
        <w:rPr>
          <w:rFonts w:cs="Times New Roman"/>
          <w:color w:val="222222"/>
          <w:lang w:val="en-GB"/>
        </w:rPr>
        <w:t>F</w:t>
      </w:r>
      <w:r w:rsidR="003B1966" w:rsidRPr="00C25449">
        <w:rPr>
          <w:rFonts w:cs="Times New Roman"/>
          <w:color w:val="222222"/>
          <w:lang w:val="en-GB"/>
        </w:rPr>
        <w:t>T</w:t>
      </w:r>
      <w:r w:rsidR="00F277EA" w:rsidRPr="00C25449">
        <w:rPr>
          <w:rFonts w:cs="Times New Roman"/>
          <w:color w:val="222222"/>
          <w:lang w:val="en-GB"/>
        </w:rPr>
        <w:t>A enter</w:t>
      </w:r>
      <w:r w:rsidRPr="00C25449">
        <w:rPr>
          <w:rFonts w:cs="Times New Roman"/>
          <w:color w:val="222222"/>
          <w:lang w:val="en-GB"/>
        </w:rPr>
        <w:t>ed</w:t>
      </w:r>
      <w:r w:rsidR="00F277EA" w:rsidRPr="00C25449">
        <w:rPr>
          <w:rFonts w:cs="Times New Roman"/>
          <w:color w:val="222222"/>
          <w:lang w:val="en-GB"/>
        </w:rPr>
        <w:t xml:space="preserve"> into force, </w:t>
      </w:r>
      <w:r w:rsidR="00B46746" w:rsidRPr="00C25449">
        <w:rPr>
          <w:rFonts w:cs="Times New Roman"/>
          <w:color w:val="222222"/>
          <w:lang w:val="en-GB"/>
        </w:rPr>
        <w:t>its</w:t>
      </w:r>
      <w:r w:rsidR="00F277EA" w:rsidRPr="00C25449">
        <w:rPr>
          <w:rFonts w:cs="Times New Roman"/>
          <w:color w:val="222222"/>
          <w:lang w:val="en-GB"/>
        </w:rPr>
        <w:t xml:space="preserve"> operation hardly can be accompanied in a </w:t>
      </w:r>
      <w:r w:rsidR="00B46746" w:rsidRPr="00C25449">
        <w:rPr>
          <w:rFonts w:cs="Times New Roman"/>
          <w:color w:val="222222"/>
          <w:lang w:val="en-GB"/>
        </w:rPr>
        <w:t>meaningful, decisive</w:t>
      </w:r>
      <w:r w:rsidR="00F277EA" w:rsidRPr="00C25449">
        <w:rPr>
          <w:rFonts w:cs="Times New Roman"/>
          <w:color w:val="222222"/>
          <w:lang w:val="en-GB"/>
        </w:rPr>
        <w:t xml:space="preserve"> way by the EP</w:t>
      </w:r>
      <w:r w:rsidR="003B1966" w:rsidRPr="00C25449">
        <w:rPr>
          <w:rFonts w:cs="Times New Roman"/>
          <w:color w:val="222222"/>
          <w:lang w:val="en-GB"/>
        </w:rPr>
        <w:t>.</w:t>
      </w:r>
      <w:r w:rsidRPr="00C25449">
        <w:rPr>
          <w:rFonts w:cs="Times New Roman"/>
          <w:color w:val="222222"/>
          <w:lang w:val="en-GB"/>
        </w:rPr>
        <w:t xml:space="preserve"> The EP can raise concerns as to the implementation of an agreement only ex post and </w:t>
      </w:r>
      <w:r w:rsidR="002B23E5" w:rsidRPr="00C25449">
        <w:rPr>
          <w:rFonts w:cs="Times New Roman"/>
          <w:color w:val="222222"/>
          <w:lang w:val="en-GB"/>
        </w:rPr>
        <w:t xml:space="preserve">can take sanctions insofar </w:t>
      </w:r>
      <w:r w:rsidRPr="00C25449">
        <w:rPr>
          <w:rFonts w:cs="Times New Roman"/>
          <w:color w:val="222222"/>
          <w:lang w:val="en-GB"/>
        </w:rPr>
        <w:t>within its general accountability mechanisms (</w:t>
      </w:r>
      <w:r w:rsidR="002B23E5" w:rsidRPr="00C25449">
        <w:rPr>
          <w:rFonts w:cs="Times New Roman"/>
          <w:color w:val="222222"/>
          <w:lang w:val="en-GB"/>
        </w:rPr>
        <w:t xml:space="preserve">e.g. </w:t>
      </w:r>
      <w:r w:rsidRPr="00C25449">
        <w:rPr>
          <w:rFonts w:cs="Times New Roman"/>
          <w:color w:val="222222"/>
          <w:lang w:val="en-GB"/>
        </w:rPr>
        <w:t>inquiries</w:t>
      </w:r>
      <w:r w:rsidR="00735C3F" w:rsidRPr="00C25449">
        <w:rPr>
          <w:rFonts w:cs="Times New Roman"/>
          <w:color w:val="222222"/>
          <w:lang w:val="en-GB"/>
        </w:rPr>
        <w:t xml:space="preserve">, Art. </w:t>
      </w:r>
      <w:r w:rsidR="00735C3F" w:rsidRPr="00C25449">
        <w:rPr>
          <w:lang w:val="en-US"/>
        </w:rPr>
        <w:t xml:space="preserve">230 (2) TFEU, or the ultima ratio of a motion of censure, Art. 17 (8) TEU </w:t>
      </w:r>
      <w:proofErr w:type="spellStart"/>
      <w:r w:rsidR="00735C3F" w:rsidRPr="00C25449">
        <w:rPr>
          <w:lang w:val="en-US"/>
        </w:rPr>
        <w:t>i.c.w</w:t>
      </w:r>
      <w:proofErr w:type="spellEnd"/>
      <w:r w:rsidR="00735C3F" w:rsidRPr="00C25449">
        <w:rPr>
          <w:lang w:val="en-US"/>
        </w:rPr>
        <w:t xml:space="preserve"> Art. 234 TFEU).</w:t>
      </w:r>
      <w:r w:rsidRPr="00C25449">
        <w:rPr>
          <w:rFonts w:cs="Times New Roman"/>
          <w:color w:val="222222"/>
          <w:lang w:val="en-GB"/>
        </w:rPr>
        <w:t xml:space="preserve"> </w:t>
      </w:r>
    </w:p>
    <w:p w:rsidR="00D243F3" w:rsidRPr="00C25449" w:rsidRDefault="00D12B65" w:rsidP="00455F55">
      <w:pPr>
        <w:rPr>
          <w:rFonts w:cs="Times New Roman"/>
          <w:color w:val="222222"/>
          <w:lang w:val="en-GB"/>
        </w:rPr>
      </w:pPr>
      <w:r w:rsidRPr="00C25449">
        <w:rPr>
          <w:rFonts w:cs="Times New Roman"/>
          <w:color w:val="222222"/>
          <w:lang w:val="en-GB"/>
        </w:rPr>
        <w:t xml:space="preserve">This </w:t>
      </w:r>
      <w:r w:rsidR="00BD2F7C" w:rsidRPr="00C25449">
        <w:rPr>
          <w:rFonts w:cs="Times New Roman"/>
          <w:color w:val="222222"/>
          <w:lang w:val="en-GB"/>
        </w:rPr>
        <w:t xml:space="preserve">does not cause concerns </w:t>
      </w:r>
      <w:r w:rsidRPr="00C25449">
        <w:rPr>
          <w:rFonts w:cs="Times New Roman"/>
          <w:color w:val="222222"/>
          <w:lang w:val="en-GB"/>
        </w:rPr>
        <w:t xml:space="preserve">as long as the powers of the treaty bodies only relate to executive implementation. </w:t>
      </w:r>
      <w:r w:rsidR="00466E24" w:rsidRPr="00C25449">
        <w:rPr>
          <w:rFonts w:cs="Times New Roman"/>
          <w:color w:val="222222"/>
          <w:lang w:val="en-GB"/>
        </w:rPr>
        <w:t xml:space="preserve">Treaty bodies, however, </w:t>
      </w:r>
      <w:proofErr w:type="gramStart"/>
      <w:r w:rsidRPr="00C25449">
        <w:rPr>
          <w:rFonts w:cs="Times New Roman"/>
          <w:color w:val="222222"/>
          <w:lang w:val="en-GB"/>
        </w:rPr>
        <w:t xml:space="preserve">are </w:t>
      </w:r>
      <w:r w:rsidR="00466E24" w:rsidRPr="00C25449">
        <w:rPr>
          <w:rFonts w:cs="Times New Roman"/>
          <w:color w:val="222222"/>
          <w:lang w:val="en-GB"/>
        </w:rPr>
        <w:t xml:space="preserve">increasingly </w:t>
      </w:r>
      <w:r w:rsidR="00C25449">
        <w:rPr>
          <w:rFonts w:cs="Times New Roman"/>
          <w:color w:val="222222"/>
          <w:lang w:val="en-GB"/>
        </w:rPr>
        <w:t>entrusted</w:t>
      </w:r>
      <w:proofErr w:type="gramEnd"/>
      <w:r w:rsidRPr="00C25449">
        <w:rPr>
          <w:rFonts w:cs="Times New Roman"/>
          <w:color w:val="222222"/>
          <w:lang w:val="en-GB"/>
        </w:rPr>
        <w:t xml:space="preserve"> with rather political functions of discretionary rulemaking</w:t>
      </w:r>
      <w:r w:rsidR="00466E24" w:rsidRPr="00C25449">
        <w:rPr>
          <w:rFonts w:cs="Times New Roman"/>
          <w:color w:val="222222"/>
          <w:lang w:val="en-GB"/>
        </w:rPr>
        <w:t>, treaty amendment</w:t>
      </w:r>
      <w:r w:rsidRPr="00C25449">
        <w:rPr>
          <w:rFonts w:cs="Times New Roman"/>
          <w:color w:val="222222"/>
          <w:lang w:val="en-GB"/>
        </w:rPr>
        <w:t xml:space="preserve"> and decision-making on </w:t>
      </w:r>
      <w:r w:rsidR="00466E24" w:rsidRPr="00C25449">
        <w:rPr>
          <w:rFonts w:cs="Times New Roman"/>
          <w:color w:val="222222"/>
          <w:lang w:val="en-GB"/>
        </w:rPr>
        <w:t xml:space="preserve">quite </w:t>
      </w:r>
      <w:r w:rsidRPr="00C25449">
        <w:rPr>
          <w:rFonts w:cs="Times New Roman"/>
          <w:color w:val="222222"/>
          <w:lang w:val="en-GB"/>
        </w:rPr>
        <w:t>substantial, essential issues</w:t>
      </w:r>
      <w:r w:rsidR="00466E24" w:rsidRPr="00C25449">
        <w:rPr>
          <w:rFonts w:cs="Times New Roman"/>
          <w:color w:val="222222"/>
          <w:lang w:val="en-GB"/>
        </w:rPr>
        <w:t xml:space="preserve">. Their use insofar has </w:t>
      </w:r>
      <w:r w:rsidR="00654FA8" w:rsidRPr="00C25449">
        <w:rPr>
          <w:rFonts w:cs="Times New Roman"/>
          <w:color w:val="222222"/>
          <w:lang w:val="en-GB"/>
        </w:rPr>
        <w:t>expanded considerably with the new generation type of comprehensive Free trade Agreements since the EU-South Korea Agreement. Thus, one can perceive a strengthened position of the executive in the implementation of trade agreements, against which t</w:t>
      </w:r>
      <w:r w:rsidRPr="00C25449">
        <w:rPr>
          <w:rFonts w:cs="Times New Roman"/>
          <w:color w:val="222222"/>
          <w:lang w:val="en-GB"/>
        </w:rPr>
        <w:t xml:space="preserve">he lack of </w:t>
      </w:r>
      <w:r w:rsidR="00654FA8" w:rsidRPr="00C25449">
        <w:rPr>
          <w:rFonts w:cs="Times New Roman"/>
          <w:color w:val="222222"/>
          <w:lang w:val="en-GB"/>
        </w:rPr>
        <w:t xml:space="preserve">effective </w:t>
      </w:r>
      <w:r w:rsidRPr="00C25449">
        <w:rPr>
          <w:rFonts w:cs="Times New Roman"/>
          <w:color w:val="222222"/>
          <w:lang w:val="en-GB"/>
        </w:rPr>
        <w:t xml:space="preserve">control powers of the EP </w:t>
      </w:r>
      <w:r w:rsidR="00654FA8" w:rsidRPr="00C25449">
        <w:rPr>
          <w:rFonts w:cs="Times New Roman"/>
          <w:color w:val="222222"/>
          <w:lang w:val="en-GB"/>
        </w:rPr>
        <w:t xml:space="preserve">insofar </w:t>
      </w:r>
      <w:r w:rsidRPr="00C25449">
        <w:rPr>
          <w:rFonts w:cs="Times New Roman"/>
          <w:color w:val="222222"/>
          <w:lang w:val="en-GB"/>
        </w:rPr>
        <w:t>prove</w:t>
      </w:r>
      <w:r w:rsidR="00654FA8" w:rsidRPr="00C25449">
        <w:rPr>
          <w:rFonts w:cs="Times New Roman"/>
          <w:color w:val="222222"/>
          <w:lang w:val="en-GB"/>
        </w:rPr>
        <w:t>s</w:t>
      </w:r>
      <w:r w:rsidRPr="00C25449">
        <w:rPr>
          <w:rFonts w:cs="Times New Roman"/>
          <w:color w:val="222222"/>
          <w:lang w:val="en-GB"/>
        </w:rPr>
        <w:t xml:space="preserve"> problematic.</w:t>
      </w:r>
      <w:r w:rsidR="00654FA8" w:rsidRPr="00C25449">
        <w:rPr>
          <w:rFonts w:cs="Times New Roman"/>
          <w:color w:val="222222"/>
          <w:lang w:val="en-GB"/>
        </w:rPr>
        <w:t xml:space="preserve"> An increase of executive powers, in particular by empowering </w:t>
      </w:r>
      <w:proofErr w:type="gramStart"/>
      <w:r w:rsidR="00654FA8" w:rsidRPr="00C25449">
        <w:rPr>
          <w:rFonts w:cs="Times New Roman"/>
          <w:color w:val="222222"/>
          <w:lang w:val="en-GB"/>
        </w:rPr>
        <w:t>with more important powers</w:t>
      </w:r>
      <w:r w:rsidR="00C25449">
        <w:rPr>
          <w:rFonts w:cs="Times New Roman"/>
          <w:color w:val="222222"/>
          <w:lang w:val="en-GB"/>
        </w:rPr>
        <w:t>,</w:t>
      </w:r>
      <w:r w:rsidR="00654FA8" w:rsidRPr="00C25449">
        <w:rPr>
          <w:rFonts w:cs="Times New Roman"/>
          <w:color w:val="222222"/>
          <w:lang w:val="en-GB"/>
        </w:rPr>
        <w:t xml:space="preserve"> like general rule</w:t>
      </w:r>
      <w:r w:rsidR="00C25449">
        <w:rPr>
          <w:rFonts w:cs="Times New Roman"/>
          <w:color w:val="222222"/>
          <w:lang w:val="en-GB"/>
        </w:rPr>
        <w:t>making or treaty amendment,</w:t>
      </w:r>
      <w:proofErr w:type="gramEnd"/>
      <w:r w:rsidR="00C25449">
        <w:rPr>
          <w:rFonts w:cs="Times New Roman"/>
          <w:color w:val="222222"/>
          <w:lang w:val="en-GB"/>
        </w:rPr>
        <w:t xml:space="preserve"> </w:t>
      </w:r>
      <w:r w:rsidR="00654FA8" w:rsidRPr="00C25449">
        <w:rPr>
          <w:rFonts w:cs="Times New Roman"/>
          <w:color w:val="222222"/>
          <w:lang w:val="en-GB"/>
        </w:rPr>
        <w:t xml:space="preserve">raises </w:t>
      </w:r>
      <w:r w:rsidR="004A1E92" w:rsidRPr="00C25449">
        <w:rPr>
          <w:rFonts w:cs="Times New Roman"/>
          <w:color w:val="222222"/>
          <w:lang w:val="en-GB"/>
        </w:rPr>
        <w:t xml:space="preserve">the level of democratic legitimacy required </w:t>
      </w:r>
      <w:r w:rsidR="00654FA8" w:rsidRPr="00C25449">
        <w:rPr>
          <w:rFonts w:cs="Times New Roman"/>
          <w:color w:val="222222"/>
          <w:lang w:val="en-GB"/>
        </w:rPr>
        <w:t xml:space="preserve">as the necessary level of democratic legitimacy of exercise of public powers </w:t>
      </w:r>
      <w:r w:rsidR="004A1E92" w:rsidRPr="00C25449">
        <w:rPr>
          <w:rFonts w:cs="Times New Roman"/>
          <w:color w:val="222222"/>
          <w:lang w:val="en-GB"/>
        </w:rPr>
        <w:t xml:space="preserve">depends on the importance, relevance and legal effects of the specific tasks, functions and powers transferred to an </w:t>
      </w:r>
      <w:r w:rsidR="00654FA8" w:rsidRPr="00C25449">
        <w:rPr>
          <w:rFonts w:cs="Times New Roman"/>
          <w:color w:val="222222"/>
          <w:lang w:val="en-GB"/>
        </w:rPr>
        <w:t xml:space="preserve">executive </w:t>
      </w:r>
      <w:r w:rsidR="004A1E92" w:rsidRPr="00C25449">
        <w:rPr>
          <w:rFonts w:cs="Times New Roman"/>
          <w:color w:val="222222"/>
          <w:lang w:val="en-GB"/>
        </w:rPr>
        <w:t>institution.</w:t>
      </w:r>
      <w:r w:rsidR="004A1E92" w:rsidRPr="00C25449">
        <w:rPr>
          <w:rStyle w:val="Funotenzeichen"/>
          <w:rFonts w:cs="Times New Roman"/>
          <w:color w:val="222222"/>
          <w:lang w:val="en-GB"/>
        </w:rPr>
        <w:footnoteReference w:id="35"/>
      </w:r>
    </w:p>
    <w:p w:rsidR="00826F0F" w:rsidRDefault="007A2B72" w:rsidP="003B6521">
      <w:pPr>
        <w:rPr>
          <w:lang w:val="en-GB"/>
        </w:rPr>
      </w:pPr>
      <w:r>
        <w:rPr>
          <w:lang w:val="en-GB"/>
        </w:rPr>
        <w:t>Therefore, the next section</w:t>
      </w:r>
      <w:r w:rsidR="00654FA8">
        <w:rPr>
          <w:lang w:val="en-GB"/>
        </w:rPr>
        <w:t xml:space="preserve"> will explore the </w:t>
      </w:r>
      <w:r w:rsidR="00176ECA">
        <w:rPr>
          <w:lang w:val="en-GB"/>
        </w:rPr>
        <w:t>considerabl</w:t>
      </w:r>
      <w:r w:rsidR="00A06BBD">
        <w:rPr>
          <w:lang w:val="en-GB"/>
        </w:rPr>
        <w:t>y</w:t>
      </w:r>
      <w:r w:rsidR="00176ECA">
        <w:rPr>
          <w:lang w:val="en-GB"/>
        </w:rPr>
        <w:t xml:space="preserve"> </w:t>
      </w:r>
      <w:r w:rsidR="00654FA8">
        <w:rPr>
          <w:lang w:val="en-GB"/>
        </w:rPr>
        <w:t>strengthen</w:t>
      </w:r>
      <w:r w:rsidR="00176ECA">
        <w:rPr>
          <w:lang w:val="en-GB"/>
        </w:rPr>
        <w:t xml:space="preserve">ed power of </w:t>
      </w:r>
      <w:r w:rsidR="00654FA8">
        <w:rPr>
          <w:lang w:val="en-GB"/>
        </w:rPr>
        <w:t xml:space="preserve">executive institutions in the implementation of trade agreements </w:t>
      </w:r>
      <w:r w:rsidR="00176ECA">
        <w:rPr>
          <w:lang w:val="en-GB"/>
        </w:rPr>
        <w:t>with the advent of the new generation of EU-</w:t>
      </w:r>
      <w:r w:rsidR="00176ECA">
        <w:rPr>
          <w:lang w:val="en-GB"/>
        </w:rPr>
        <w:lastRenderedPageBreak/>
        <w:t xml:space="preserve">FTAs </w:t>
      </w:r>
      <w:r>
        <w:rPr>
          <w:lang w:val="en-GB"/>
        </w:rPr>
        <w:t>in more detail</w:t>
      </w:r>
      <w:r w:rsidR="00176ECA">
        <w:rPr>
          <w:lang w:val="en-GB"/>
        </w:rPr>
        <w:t>, the cornerstone of which is the empowerment of treaty bodies</w:t>
      </w:r>
      <w:r w:rsidR="00C25449">
        <w:rPr>
          <w:lang w:val="en-GB"/>
        </w:rPr>
        <w:t>,</w:t>
      </w:r>
      <w:r w:rsidR="00176ECA">
        <w:rPr>
          <w:lang w:val="en-GB"/>
        </w:rPr>
        <w:t xml:space="preserve"> which </w:t>
      </w:r>
      <w:proofErr w:type="gramStart"/>
      <w:r w:rsidR="00176ECA">
        <w:rPr>
          <w:lang w:val="en-GB"/>
        </w:rPr>
        <w:t>has been expanded</w:t>
      </w:r>
      <w:proofErr w:type="gramEnd"/>
      <w:r w:rsidR="00176ECA">
        <w:rPr>
          <w:lang w:val="en-GB"/>
        </w:rPr>
        <w:t xml:space="preserve"> in scope and reach</w:t>
      </w:r>
      <w:r>
        <w:rPr>
          <w:lang w:val="en-GB"/>
        </w:rPr>
        <w:t>.</w:t>
      </w:r>
    </w:p>
    <w:p w:rsidR="000361E8" w:rsidRPr="00F95919" w:rsidRDefault="000361E8" w:rsidP="003B6521">
      <w:pPr>
        <w:rPr>
          <w:lang w:val="en-GB"/>
        </w:rPr>
      </w:pPr>
    </w:p>
    <w:p w:rsidR="00563253" w:rsidRDefault="00476084" w:rsidP="00563253">
      <w:pPr>
        <w:pStyle w:val="Listenabsatz"/>
        <w:numPr>
          <w:ilvl w:val="0"/>
          <w:numId w:val="1"/>
        </w:numPr>
        <w:rPr>
          <w:lang w:val="en-US"/>
        </w:rPr>
      </w:pPr>
      <w:r>
        <w:rPr>
          <w:lang w:val="en-US"/>
        </w:rPr>
        <w:t xml:space="preserve">Strengthening </w:t>
      </w:r>
      <w:r w:rsidR="00C05EAF">
        <w:rPr>
          <w:lang w:val="en-US"/>
        </w:rPr>
        <w:t xml:space="preserve">the </w:t>
      </w:r>
      <w:r>
        <w:rPr>
          <w:lang w:val="en-US"/>
        </w:rPr>
        <w:t>executive by delegatin</w:t>
      </w:r>
      <w:r w:rsidR="00C76FC3">
        <w:rPr>
          <w:lang w:val="en-US"/>
        </w:rPr>
        <w:t xml:space="preserve">g </w:t>
      </w:r>
      <w:r>
        <w:rPr>
          <w:lang w:val="en-US"/>
        </w:rPr>
        <w:t>powers to t</w:t>
      </w:r>
      <w:r w:rsidR="00563253">
        <w:rPr>
          <w:lang w:val="en-US"/>
        </w:rPr>
        <w:t xml:space="preserve">reaty </w:t>
      </w:r>
      <w:r>
        <w:rPr>
          <w:lang w:val="en-US"/>
        </w:rPr>
        <w:t>b</w:t>
      </w:r>
      <w:r w:rsidR="0087181A">
        <w:rPr>
          <w:lang w:val="en-US"/>
        </w:rPr>
        <w:t>odies</w:t>
      </w:r>
      <w:r w:rsidR="00563253">
        <w:rPr>
          <w:lang w:val="en-US"/>
        </w:rPr>
        <w:t xml:space="preserve"> </w:t>
      </w:r>
    </w:p>
    <w:p w:rsidR="003F3CF7" w:rsidRPr="00326A96" w:rsidRDefault="003F3CF7" w:rsidP="003F3CF7">
      <w:pPr>
        <w:pStyle w:val="Listenabsatz"/>
        <w:ind w:left="1080"/>
        <w:rPr>
          <w:color w:val="000000" w:themeColor="text1"/>
          <w:lang w:val="en-US"/>
        </w:rPr>
      </w:pPr>
    </w:p>
    <w:p w:rsidR="003F3CF7" w:rsidRPr="003F20AA" w:rsidRDefault="00A06BBD" w:rsidP="00F61140">
      <w:pPr>
        <w:pStyle w:val="Listenabsatz"/>
        <w:numPr>
          <w:ilvl w:val="0"/>
          <w:numId w:val="6"/>
        </w:numPr>
        <w:rPr>
          <w:lang w:val="en-US"/>
        </w:rPr>
      </w:pPr>
      <w:r w:rsidRPr="003F20AA">
        <w:rPr>
          <w:lang w:val="en-US"/>
        </w:rPr>
        <w:t xml:space="preserve">Treaty Bodies </w:t>
      </w:r>
      <w:r w:rsidR="003F3CF7" w:rsidRPr="003F20AA">
        <w:rPr>
          <w:lang w:val="en-US"/>
        </w:rPr>
        <w:t>Implementation</w:t>
      </w:r>
      <w:r w:rsidRPr="003F20AA">
        <w:rPr>
          <w:lang w:val="en-US"/>
        </w:rPr>
        <w:t xml:space="preserve"> Powers</w:t>
      </w:r>
      <w:r w:rsidR="003F3CF7" w:rsidRPr="003F20AA">
        <w:rPr>
          <w:lang w:val="en-US"/>
        </w:rPr>
        <w:t xml:space="preserve">: </w:t>
      </w:r>
      <w:r w:rsidRPr="003F20AA">
        <w:rPr>
          <w:lang w:val="en-US"/>
        </w:rPr>
        <w:t xml:space="preserve">Amending and </w:t>
      </w:r>
      <w:r w:rsidR="003F3CF7" w:rsidRPr="003F20AA">
        <w:rPr>
          <w:lang w:val="en-US"/>
        </w:rPr>
        <w:t>Expanding FTAs´ Regulat</w:t>
      </w:r>
      <w:r w:rsidR="00BD2F7C" w:rsidRPr="003F20AA">
        <w:rPr>
          <w:lang w:val="en-US"/>
        </w:rPr>
        <w:t>ory Frame</w:t>
      </w:r>
    </w:p>
    <w:p w:rsidR="000361E8" w:rsidRPr="003F20AA" w:rsidRDefault="00A06BBD" w:rsidP="00325436">
      <w:pPr>
        <w:rPr>
          <w:rFonts w:cs="Times New Roman"/>
          <w:lang w:val="en-GB"/>
        </w:rPr>
      </w:pPr>
      <w:r w:rsidRPr="003F20AA">
        <w:rPr>
          <w:rFonts w:cs="Times New Roman"/>
          <w:lang w:val="en-GB"/>
        </w:rPr>
        <w:t xml:space="preserve">Treaty bodies are executive institutions established in EU trade agreements, but also in association agreements and the like. </w:t>
      </w:r>
      <w:r w:rsidR="0036404A">
        <w:rPr>
          <w:rFonts w:cs="Times New Roman"/>
          <w:lang w:val="en-GB"/>
        </w:rPr>
        <w:t>O</w:t>
      </w:r>
      <w:r w:rsidR="00AA13A8" w:rsidRPr="003F20AA">
        <w:rPr>
          <w:rFonts w:cs="Times New Roman"/>
          <w:lang w:val="en-GB"/>
        </w:rPr>
        <w:t xml:space="preserve">ne of the earliest </w:t>
      </w:r>
      <w:r w:rsidR="0036404A">
        <w:rPr>
          <w:rFonts w:cs="Times New Roman"/>
          <w:lang w:val="en-GB"/>
        </w:rPr>
        <w:t xml:space="preserve">and best-known </w:t>
      </w:r>
      <w:r w:rsidR="000361E8" w:rsidRPr="003F20AA">
        <w:rPr>
          <w:rFonts w:cs="Times New Roman"/>
          <w:lang w:val="en-GB"/>
        </w:rPr>
        <w:t>treaty bod</w:t>
      </w:r>
      <w:r w:rsidR="00AA13A8" w:rsidRPr="003F20AA">
        <w:rPr>
          <w:rFonts w:cs="Times New Roman"/>
          <w:lang w:val="en-GB"/>
        </w:rPr>
        <w:t xml:space="preserve">ies </w:t>
      </w:r>
      <w:r w:rsidR="000361E8" w:rsidRPr="003F20AA">
        <w:rPr>
          <w:rFonts w:cs="Times New Roman"/>
          <w:lang w:val="en-GB"/>
        </w:rPr>
        <w:t>is the Association Council in the Association Agreement with Turkey</w:t>
      </w:r>
      <w:r w:rsidRPr="003F20AA">
        <w:rPr>
          <w:rFonts w:cs="Times New Roman"/>
          <w:lang w:val="en-GB"/>
        </w:rPr>
        <w:t xml:space="preserve"> </w:t>
      </w:r>
      <w:r w:rsidR="0062548C" w:rsidRPr="003F20AA">
        <w:rPr>
          <w:rFonts w:cs="Times New Roman"/>
          <w:lang w:val="en-GB"/>
        </w:rPr>
        <w:t>that</w:t>
      </w:r>
      <w:r w:rsidRPr="003F20AA">
        <w:rPr>
          <w:rFonts w:cs="Times New Roman"/>
          <w:lang w:val="en-GB"/>
        </w:rPr>
        <w:t xml:space="preserve"> - based on an explicit mandate in the Additional Protocol of 1970</w:t>
      </w:r>
      <w:r w:rsidRPr="003F20AA">
        <w:rPr>
          <w:rStyle w:val="Funotenzeichen"/>
          <w:rFonts w:cs="Times New Roman"/>
          <w:lang w:val="en-GB"/>
        </w:rPr>
        <w:footnoteReference w:id="36"/>
      </w:r>
      <w:r w:rsidRPr="003F20AA">
        <w:rPr>
          <w:rFonts w:cs="Times New Roman"/>
          <w:lang w:val="en-GB"/>
        </w:rPr>
        <w:t xml:space="preserve"> - lays down binding rules for </w:t>
      </w:r>
      <w:r w:rsidR="000361E8" w:rsidRPr="003F20AA">
        <w:rPr>
          <w:rFonts w:cs="Times New Roman"/>
          <w:lang w:val="en-GB"/>
        </w:rPr>
        <w:t xml:space="preserve">the labour market access of Turkish nationals in the EU. The </w:t>
      </w:r>
      <w:r w:rsidR="00593312">
        <w:rPr>
          <w:rFonts w:cs="Times New Roman"/>
          <w:lang w:val="en-GB"/>
        </w:rPr>
        <w:t xml:space="preserve">EU </w:t>
      </w:r>
      <w:r w:rsidR="000361E8" w:rsidRPr="003F20AA">
        <w:rPr>
          <w:rFonts w:cs="Times New Roman"/>
          <w:lang w:val="en-GB"/>
        </w:rPr>
        <w:t>FTAs provide similar treaty bodies</w:t>
      </w:r>
      <w:r w:rsidRPr="003F20AA">
        <w:rPr>
          <w:rFonts w:cs="Times New Roman"/>
          <w:lang w:val="en-GB"/>
        </w:rPr>
        <w:t xml:space="preserve">. Their use and the scope and breadth of their </w:t>
      </w:r>
      <w:r w:rsidR="000361E8" w:rsidRPr="003F20AA">
        <w:rPr>
          <w:rFonts w:cs="Times New Roman"/>
          <w:lang w:val="en-GB"/>
        </w:rPr>
        <w:t>competences</w:t>
      </w:r>
      <w:r w:rsidRPr="003F20AA">
        <w:rPr>
          <w:rFonts w:cs="Times New Roman"/>
          <w:lang w:val="en-GB"/>
        </w:rPr>
        <w:t xml:space="preserve"> </w:t>
      </w:r>
      <w:proofErr w:type="gramStart"/>
      <w:r w:rsidRPr="003F20AA">
        <w:rPr>
          <w:rFonts w:cs="Times New Roman"/>
          <w:lang w:val="en-GB"/>
        </w:rPr>
        <w:t>has been increased</w:t>
      </w:r>
      <w:proofErr w:type="gramEnd"/>
      <w:r w:rsidRPr="003F20AA">
        <w:rPr>
          <w:rFonts w:cs="Times New Roman"/>
          <w:lang w:val="en-GB"/>
        </w:rPr>
        <w:t xml:space="preserve"> particularly with the EU FTA</w:t>
      </w:r>
      <w:r w:rsidR="00593312">
        <w:rPr>
          <w:rFonts w:cs="Times New Roman"/>
          <w:lang w:val="en-GB"/>
        </w:rPr>
        <w:t>s</w:t>
      </w:r>
      <w:r w:rsidRPr="003F20AA">
        <w:rPr>
          <w:rFonts w:cs="Times New Roman"/>
          <w:lang w:val="en-GB"/>
        </w:rPr>
        <w:t xml:space="preserve"> of the new generation</w:t>
      </w:r>
      <w:r w:rsidR="000361E8" w:rsidRPr="003F20AA">
        <w:rPr>
          <w:rFonts w:cs="Times New Roman"/>
          <w:lang w:val="en-GB"/>
        </w:rPr>
        <w:t xml:space="preserve">. </w:t>
      </w:r>
      <w:r w:rsidRPr="003F20AA">
        <w:rPr>
          <w:rFonts w:cs="Times New Roman"/>
          <w:lang w:val="en-GB"/>
        </w:rPr>
        <w:t xml:space="preserve">The </w:t>
      </w:r>
      <w:r w:rsidR="000361E8" w:rsidRPr="003F20AA">
        <w:rPr>
          <w:rFonts w:cs="Times New Roman"/>
          <w:lang w:val="en-GB"/>
        </w:rPr>
        <w:t xml:space="preserve">EU FTAs </w:t>
      </w:r>
      <w:r w:rsidRPr="003F20AA">
        <w:rPr>
          <w:rFonts w:cs="Times New Roman"/>
          <w:lang w:val="en-GB"/>
        </w:rPr>
        <w:t xml:space="preserve">establish </w:t>
      </w:r>
      <w:r w:rsidR="000361E8" w:rsidRPr="003F20AA">
        <w:rPr>
          <w:rFonts w:cs="Times New Roman"/>
          <w:lang w:val="en-GB"/>
        </w:rPr>
        <w:t xml:space="preserve">such bodies </w:t>
      </w:r>
      <w:r w:rsidR="00B55CD5" w:rsidRPr="003F20AA">
        <w:rPr>
          <w:rFonts w:cs="Times New Roman"/>
          <w:lang w:val="en-GB"/>
        </w:rPr>
        <w:t xml:space="preserve">ever </w:t>
      </w:r>
      <w:r w:rsidR="000361E8" w:rsidRPr="003F20AA">
        <w:rPr>
          <w:rFonts w:cs="Times New Roman"/>
          <w:lang w:val="en-GB"/>
        </w:rPr>
        <w:t>more frequently, in reflection of the international move towards delegation of authority to international actors.</w:t>
      </w:r>
      <w:r w:rsidR="000361E8" w:rsidRPr="003F20AA">
        <w:rPr>
          <w:rStyle w:val="Funotenzeichen"/>
          <w:rFonts w:cs="Times New Roman"/>
          <w:lang w:val="en-GB"/>
        </w:rPr>
        <w:footnoteReference w:id="37"/>
      </w:r>
      <w:r w:rsidR="000361E8" w:rsidRPr="003F20AA">
        <w:rPr>
          <w:rFonts w:cs="Times New Roman"/>
          <w:lang w:val="en-GB"/>
        </w:rPr>
        <w:t xml:space="preserve"> A trade committee </w:t>
      </w:r>
      <w:proofErr w:type="gramStart"/>
      <w:r w:rsidR="000361E8" w:rsidRPr="003F20AA">
        <w:rPr>
          <w:rFonts w:cs="Times New Roman"/>
          <w:lang w:val="en-GB"/>
        </w:rPr>
        <w:t>has been set up</w:t>
      </w:r>
      <w:proofErr w:type="gramEnd"/>
      <w:r w:rsidR="000361E8" w:rsidRPr="003F20AA">
        <w:rPr>
          <w:rFonts w:cs="Times New Roman"/>
          <w:lang w:val="en-GB"/>
        </w:rPr>
        <w:t xml:space="preserve"> in the FTA with Korea</w:t>
      </w:r>
      <w:r w:rsidR="000361E8" w:rsidRPr="003F20AA">
        <w:rPr>
          <w:rStyle w:val="Funotenzeichen"/>
          <w:rFonts w:cs="Times New Roman"/>
          <w:lang w:val="en-GB"/>
        </w:rPr>
        <w:footnoteReference w:id="38"/>
      </w:r>
      <w:r w:rsidR="00B55CD5" w:rsidRPr="003F20AA">
        <w:rPr>
          <w:rFonts w:cs="Times New Roman"/>
          <w:lang w:val="en-GB"/>
        </w:rPr>
        <w:t xml:space="preserve"> whose </w:t>
      </w:r>
      <w:r w:rsidR="000361E8" w:rsidRPr="003F20AA">
        <w:rPr>
          <w:rFonts w:cs="Times New Roman"/>
          <w:lang w:val="en-GB"/>
        </w:rPr>
        <w:t xml:space="preserve">binding decisions </w:t>
      </w:r>
      <w:r w:rsidR="00B55CD5" w:rsidRPr="003F20AA">
        <w:rPr>
          <w:rFonts w:cs="Times New Roman"/>
          <w:lang w:val="en-GB"/>
        </w:rPr>
        <w:t>concern</w:t>
      </w:r>
      <w:r w:rsidR="000361E8" w:rsidRPr="003F20AA">
        <w:rPr>
          <w:rFonts w:cs="Times New Roman"/>
          <w:lang w:val="en-GB"/>
        </w:rPr>
        <w:t xml:space="preserve"> customs duties</w:t>
      </w:r>
      <w:r w:rsidR="000361E8" w:rsidRPr="003F20AA">
        <w:rPr>
          <w:rStyle w:val="Funotenzeichen"/>
          <w:rFonts w:cs="Times New Roman"/>
          <w:lang w:val="en-GB"/>
        </w:rPr>
        <w:footnoteReference w:id="39"/>
      </w:r>
      <w:r w:rsidR="00B55CD5" w:rsidRPr="003F20AA">
        <w:rPr>
          <w:rFonts w:cs="Times New Roman"/>
          <w:lang w:val="en-GB"/>
        </w:rPr>
        <w:t>,</w:t>
      </w:r>
      <w:r w:rsidR="000361E8" w:rsidRPr="003F20AA">
        <w:rPr>
          <w:rFonts w:cs="Times New Roman"/>
          <w:lang w:val="en-GB"/>
        </w:rPr>
        <w:t xml:space="preserve"> but </w:t>
      </w:r>
      <w:r w:rsidR="00B55CD5" w:rsidRPr="003F20AA">
        <w:rPr>
          <w:rFonts w:cs="Times New Roman"/>
          <w:lang w:val="en-GB"/>
        </w:rPr>
        <w:t xml:space="preserve">may </w:t>
      </w:r>
      <w:r w:rsidR="000361E8" w:rsidRPr="003F20AA">
        <w:rPr>
          <w:rFonts w:cs="Times New Roman"/>
          <w:lang w:val="en-GB"/>
        </w:rPr>
        <w:t xml:space="preserve">also </w:t>
      </w:r>
      <w:r w:rsidR="00B55CD5" w:rsidRPr="003F20AA">
        <w:rPr>
          <w:rFonts w:cs="Times New Roman"/>
          <w:lang w:val="en-GB"/>
        </w:rPr>
        <w:t xml:space="preserve">provide for </w:t>
      </w:r>
      <w:r w:rsidR="000361E8" w:rsidRPr="003F20AA">
        <w:rPr>
          <w:rFonts w:cs="Times New Roman"/>
          <w:lang w:val="en-GB"/>
        </w:rPr>
        <w:t>treaty amendments and authoritative interpretations.</w:t>
      </w:r>
      <w:r w:rsidR="000361E8" w:rsidRPr="003F20AA">
        <w:rPr>
          <w:rStyle w:val="Funotenzeichen"/>
          <w:rFonts w:cs="Times New Roman"/>
          <w:lang w:val="en-GB"/>
        </w:rPr>
        <w:footnoteReference w:id="40"/>
      </w:r>
      <w:r w:rsidR="000361E8" w:rsidRPr="003F20AA">
        <w:rPr>
          <w:rFonts w:cs="Times New Roman"/>
          <w:lang w:val="en-GB"/>
        </w:rPr>
        <w:t xml:space="preserve"> </w:t>
      </w:r>
      <w:r w:rsidR="00326A96" w:rsidRPr="003F20AA">
        <w:rPr>
          <w:rFonts w:cs="Times New Roman"/>
          <w:lang w:val="en-GB"/>
        </w:rPr>
        <w:t>T</w:t>
      </w:r>
      <w:r w:rsidR="00B55CD5" w:rsidRPr="003F20AA">
        <w:rPr>
          <w:rFonts w:cs="Times New Roman"/>
          <w:lang w:val="en-GB"/>
        </w:rPr>
        <w:t xml:space="preserve">he </w:t>
      </w:r>
      <w:r w:rsidR="000361E8" w:rsidRPr="003F20AA">
        <w:rPr>
          <w:rFonts w:cs="Times New Roman"/>
          <w:lang w:val="en-GB"/>
        </w:rPr>
        <w:t>FTA with Canada (CETA</w:t>
      </w:r>
      <w:proofErr w:type="gramStart"/>
      <w:r w:rsidR="000361E8" w:rsidRPr="003F20AA">
        <w:rPr>
          <w:rFonts w:cs="Times New Roman"/>
          <w:lang w:val="en-GB"/>
        </w:rPr>
        <w:t>)</w:t>
      </w:r>
      <w:r w:rsidR="00B55CD5" w:rsidRPr="003F20AA">
        <w:rPr>
          <w:rFonts w:cs="Times New Roman"/>
          <w:lang w:val="en-GB"/>
        </w:rPr>
        <w:t>,</w:t>
      </w:r>
      <w:proofErr w:type="gramEnd"/>
      <w:r w:rsidR="00B55CD5" w:rsidRPr="003F20AA">
        <w:rPr>
          <w:rFonts w:cs="Times New Roman"/>
          <w:lang w:val="en-GB"/>
        </w:rPr>
        <w:t xml:space="preserve"> </w:t>
      </w:r>
      <w:r w:rsidR="000361E8" w:rsidRPr="003F20AA">
        <w:rPr>
          <w:rFonts w:cs="Times New Roman"/>
          <w:lang w:val="en-GB"/>
        </w:rPr>
        <w:t>provide</w:t>
      </w:r>
      <w:r w:rsidR="00326A96" w:rsidRPr="003F20AA">
        <w:rPr>
          <w:rFonts w:cs="Times New Roman"/>
          <w:lang w:val="en-GB"/>
        </w:rPr>
        <w:t>s</w:t>
      </w:r>
      <w:r w:rsidR="000361E8" w:rsidRPr="003F20AA">
        <w:rPr>
          <w:rFonts w:cs="Times New Roman"/>
          <w:lang w:val="en-GB"/>
        </w:rPr>
        <w:t xml:space="preserve"> for a Joint CETA Committee and a </w:t>
      </w:r>
      <w:r w:rsidR="00326A96" w:rsidRPr="003F20AA">
        <w:rPr>
          <w:rFonts w:cs="Times New Roman"/>
          <w:lang w:val="en-GB"/>
        </w:rPr>
        <w:t xml:space="preserve">system </w:t>
      </w:r>
      <w:r w:rsidR="000361E8" w:rsidRPr="003F20AA">
        <w:rPr>
          <w:rFonts w:cs="Times New Roman"/>
          <w:lang w:val="en-GB"/>
        </w:rPr>
        <w:t xml:space="preserve">of specialised Committees </w:t>
      </w:r>
      <w:r w:rsidR="009E543A" w:rsidRPr="003F20AA">
        <w:rPr>
          <w:rFonts w:cs="Times New Roman"/>
          <w:lang w:val="en-GB"/>
        </w:rPr>
        <w:t xml:space="preserve">to </w:t>
      </w:r>
      <w:r w:rsidR="00B55CD5" w:rsidRPr="003F20AA">
        <w:rPr>
          <w:rFonts w:cs="Times New Roman"/>
          <w:lang w:val="en-GB"/>
        </w:rPr>
        <w:t>which are granted</w:t>
      </w:r>
      <w:r w:rsidR="000361E8" w:rsidRPr="003F20AA">
        <w:rPr>
          <w:rFonts w:cs="Times New Roman"/>
          <w:lang w:val="en-GB"/>
        </w:rPr>
        <w:t xml:space="preserve"> many functions. </w:t>
      </w:r>
      <w:r w:rsidR="00326A96" w:rsidRPr="003F20AA">
        <w:rPr>
          <w:rFonts w:cs="Times New Roman"/>
          <w:lang w:val="en-GB"/>
        </w:rPr>
        <w:t>The same applies to the FTA with Singapore or Japan.</w:t>
      </w:r>
      <w:r w:rsidR="00326A96" w:rsidRPr="003F20AA">
        <w:rPr>
          <w:rStyle w:val="Funotenzeichen"/>
          <w:rFonts w:cs="Times New Roman"/>
          <w:lang w:val="en-GB"/>
        </w:rPr>
        <w:footnoteReference w:id="41"/>
      </w:r>
      <w:r w:rsidR="00326A96" w:rsidRPr="003F20AA">
        <w:rPr>
          <w:rFonts w:cs="Times New Roman"/>
          <w:lang w:val="en-GB"/>
        </w:rPr>
        <w:t xml:space="preserve"> </w:t>
      </w:r>
      <w:r w:rsidR="00B55CD5" w:rsidRPr="003F20AA">
        <w:rPr>
          <w:rFonts w:cs="Times New Roman"/>
          <w:lang w:val="en-GB"/>
        </w:rPr>
        <w:t>The</w:t>
      </w:r>
      <w:r w:rsidR="00326A96" w:rsidRPr="003F20AA">
        <w:rPr>
          <w:rFonts w:cs="Times New Roman"/>
          <w:lang w:val="en-GB"/>
        </w:rPr>
        <w:t xml:space="preserve">se </w:t>
      </w:r>
      <w:r w:rsidR="00B55CD5" w:rsidRPr="003F20AA">
        <w:rPr>
          <w:rFonts w:cs="Times New Roman"/>
          <w:lang w:val="en-GB"/>
        </w:rPr>
        <w:t>treaty</w:t>
      </w:r>
      <w:r w:rsidR="000361E8" w:rsidRPr="003F20AA">
        <w:rPr>
          <w:rFonts w:cs="Times New Roman"/>
          <w:lang w:val="en-GB"/>
        </w:rPr>
        <w:t xml:space="preserve"> bodies </w:t>
      </w:r>
      <w:proofErr w:type="gramStart"/>
      <w:r w:rsidR="000361E8" w:rsidRPr="003F20AA">
        <w:rPr>
          <w:rFonts w:cs="Times New Roman"/>
          <w:lang w:val="en-GB"/>
        </w:rPr>
        <w:t>are authorized</w:t>
      </w:r>
      <w:proofErr w:type="gramEnd"/>
      <w:r w:rsidR="000361E8" w:rsidRPr="003F20AA">
        <w:rPr>
          <w:rFonts w:cs="Times New Roman"/>
          <w:lang w:val="en-GB"/>
        </w:rPr>
        <w:t xml:space="preserve"> to make binding decisions on very diverse, even </w:t>
      </w:r>
      <w:r w:rsidR="00326A96" w:rsidRPr="003F20AA">
        <w:rPr>
          <w:rFonts w:cs="Times New Roman"/>
          <w:lang w:val="en-GB"/>
        </w:rPr>
        <w:t xml:space="preserve">on </w:t>
      </w:r>
      <w:r w:rsidR="000361E8" w:rsidRPr="003F20AA">
        <w:rPr>
          <w:rFonts w:cs="Times New Roman"/>
          <w:lang w:val="en-GB"/>
        </w:rPr>
        <w:t>rather fundamental issues</w:t>
      </w:r>
      <w:r w:rsidR="00326A96" w:rsidRPr="003F20AA">
        <w:rPr>
          <w:rFonts w:cs="Times New Roman"/>
          <w:lang w:val="en-GB"/>
        </w:rPr>
        <w:t>.</w:t>
      </w:r>
      <w:r w:rsidR="009E543A" w:rsidRPr="003F20AA">
        <w:rPr>
          <w:rFonts w:cs="Times New Roman"/>
          <w:lang w:val="en-GB"/>
        </w:rPr>
        <w:t xml:space="preserve"> The</w:t>
      </w:r>
      <w:r w:rsidR="00326A96" w:rsidRPr="003F20AA">
        <w:rPr>
          <w:rFonts w:cs="Times New Roman"/>
          <w:lang w:val="en-GB"/>
        </w:rPr>
        <w:t>ir</w:t>
      </w:r>
      <w:r w:rsidR="009E543A" w:rsidRPr="003F20AA">
        <w:rPr>
          <w:rFonts w:cs="Times New Roman"/>
          <w:lang w:val="en-GB"/>
        </w:rPr>
        <w:t xml:space="preserve"> decision-making powers cover merely technical-administrative </w:t>
      </w:r>
      <w:r w:rsidR="008B6E75" w:rsidRPr="003F20AA">
        <w:rPr>
          <w:rFonts w:cs="Times New Roman"/>
          <w:lang w:val="en-GB"/>
        </w:rPr>
        <w:t xml:space="preserve">implementation of obligations already enshrined in </w:t>
      </w:r>
      <w:r w:rsidR="00326A96" w:rsidRPr="003F20AA">
        <w:rPr>
          <w:rFonts w:cs="Times New Roman"/>
          <w:lang w:val="en-GB"/>
        </w:rPr>
        <w:t xml:space="preserve">the FTA, </w:t>
      </w:r>
      <w:r w:rsidR="009E543A" w:rsidRPr="003F20AA">
        <w:rPr>
          <w:rFonts w:cs="Times New Roman"/>
          <w:lang w:val="en-GB"/>
        </w:rPr>
        <w:t xml:space="preserve">but </w:t>
      </w:r>
      <w:r w:rsidR="00326A96" w:rsidRPr="003F20AA">
        <w:rPr>
          <w:rFonts w:cs="Times New Roman"/>
          <w:lang w:val="en-GB"/>
        </w:rPr>
        <w:t xml:space="preserve">they may also decide rather </w:t>
      </w:r>
      <w:r w:rsidR="009E543A" w:rsidRPr="003F20AA">
        <w:rPr>
          <w:rFonts w:cs="Times New Roman"/>
          <w:lang w:val="en-GB"/>
        </w:rPr>
        <w:t xml:space="preserve">fundamental </w:t>
      </w:r>
      <w:r w:rsidR="00326A96" w:rsidRPr="003F20AA">
        <w:rPr>
          <w:rFonts w:cs="Times New Roman"/>
          <w:lang w:val="en-GB"/>
        </w:rPr>
        <w:t xml:space="preserve">issues or issues </w:t>
      </w:r>
      <w:r w:rsidR="009E543A" w:rsidRPr="003F20AA">
        <w:rPr>
          <w:rFonts w:cs="Times New Roman"/>
          <w:lang w:val="en-GB"/>
        </w:rPr>
        <w:t xml:space="preserve">of far-reaching significance, which may include </w:t>
      </w:r>
      <w:r w:rsidR="00326A96" w:rsidRPr="003F20AA">
        <w:rPr>
          <w:rFonts w:cs="Times New Roman"/>
          <w:lang w:val="en-GB"/>
        </w:rPr>
        <w:t xml:space="preserve">adopting general </w:t>
      </w:r>
      <w:r w:rsidR="009E543A" w:rsidRPr="003F20AA">
        <w:rPr>
          <w:rFonts w:cs="Times New Roman"/>
          <w:lang w:val="en-GB"/>
        </w:rPr>
        <w:t>rule</w:t>
      </w:r>
      <w:r w:rsidR="00326A96" w:rsidRPr="003F20AA">
        <w:rPr>
          <w:rFonts w:cs="Times New Roman"/>
          <w:lang w:val="en-GB"/>
        </w:rPr>
        <w:t>s that may interfere with fundamental rights of traders.</w:t>
      </w:r>
      <w:r w:rsidR="009307D4" w:rsidRPr="003F20AA">
        <w:rPr>
          <w:rStyle w:val="Funotenzeichen"/>
          <w:rFonts w:cs="Times New Roman"/>
          <w:lang w:val="en-GB"/>
        </w:rPr>
        <w:footnoteReference w:id="42"/>
      </w:r>
      <w:r w:rsidR="009E543A" w:rsidRPr="003F20AA">
        <w:rPr>
          <w:rFonts w:cs="Times New Roman"/>
          <w:lang w:val="en-GB"/>
        </w:rPr>
        <w:t xml:space="preserve"> </w:t>
      </w:r>
      <w:r w:rsidR="009307D4" w:rsidRPr="003F20AA">
        <w:rPr>
          <w:rFonts w:cs="Times New Roman"/>
          <w:lang w:val="en-GB"/>
        </w:rPr>
        <w:t xml:space="preserve">Thus, treaty bodies may exercise regulatory and even legislative powers (i.e. powers to adopt general rules). </w:t>
      </w:r>
      <w:proofErr w:type="gramStart"/>
      <w:r w:rsidR="009307D4" w:rsidRPr="003F20AA">
        <w:rPr>
          <w:rFonts w:cs="Times New Roman"/>
          <w:lang w:val="en-GB"/>
        </w:rPr>
        <w:t xml:space="preserve">Rule-making is implied </w:t>
      </w:r>
      <w:r w:rsidR="008E5CDE" w:rsidRPr="003F20AA">
        <w:rPr>
          <w:rFonts w:cs="Times New Roman"/>
          <w:lang w:val="en-GB"/>
        </w:rPr>
        <w:t xml:space="preserve">e.g. </w:t>
      </w:r>
      <w:r w:rsidR="009307D4" w:rsidRPr="003F20AA">
        <w:rPr>
          <w:rFonts w:cs="Times New Roman"/>
          <w:lang w:val="en-GB"/>
        </w:rPr>
        <w:t xml:space="preserve">in </w:t>
      </w:r>
      <w:r w:rsidR="008E5CDE" w:rsidRPr="003F20AA">
        <w:rPr>
          <w:rFonts w:cs="Times New Roman"/>
          <w:lang w:val="en-GB"/>
        </w:rPr>
        <w:t xml:space="preserve">the </w:t>
      </w:r>
      <w:r w:rsidR="009E543A" w:rsidRPr="003F20AA">
        <w:rPr>
          <w:rFonts w:cs="Times New Roman"/>
          <w:lang w:val="en-GB"/>
        </w:rPr>
        <w:t>CETA Joint Committee</w:t>
      </w:r>
      <w:r w:rsidR="008E5CDE" w:rsidRPr="003F20AA">
        <w:rPr>
          <w:rFonts w:cs="Times New Roman"/>
          <w:lang w:val="en-GB"/>
        </w:rPr>
        <w:t xml:space="preserve">´s mandate to </w:t>
      </w:r>
      <w:r w:rsidR="009E543A" w:rsidRPr="003F20AA">
        <w:rPr>
          <w:rFonts w:cs="Times New Roman"/>
          <w:lang w:val="en-GB"/>
        </w:rPr>
        <w:t>set out administrative and organisational aspects of the functioning of the Appellate Tribunal, including procedural issues</w:t>
      </w:r>
      <w:r w:rsidR="008E5CDE" w:rsidRPr="003F20AA">
        <w:rPr>
          <w:rStyle w:val="Funotenzeichen"/>
          <w:rFonts w:cs="Times New Roman"/>
          <w:lang w:val="en-GB"/>
        </w:rPr>
        <w:footnoteReference w:id="43"/>
      </w:r>
      <w:r w:rsidR="008E5CDE" w:rsidRPr="003F20AA">
        <w:rPr>
          <w:rFonts w:cs="Times New Roman"/>
          <w:lang w:val="en-GB"/>
        </w:rPr>
        <w:t xml:space="preserve">, or the Committee on Services and Investment´s mandate to establish </w:t>
      </w:r>
      <w:r w:rsidR="009E543A" w:rsidRPr="003F20AA">
        <w:rPr>
          <w:rFonts w:cs="Times New Roman"/>
          <w:lang w:val="en-GB"/>
        </w:rPr>
        <w:t>a code of conduct for the investment Tribunal members that may address issues of disclosure, confidentiality, impartiality and independence, and procedural and transparency rules.</w:t>
      </w:r>
      <w:r w:rsidR="009E543A" w:rsidRPr="003F20AA">
        <w:rPr>
          <w:rStyle w:val="Funotenzeichen"/>
          <w:rFonts w:cs="Times New Roman"/>
          <w:lang w:val="en-GB"/>
        </w:rPr>
        <w:footnoteReference w:id="44"/>
      </w:r>
      <w:proofErr w:type="gramEnd"/>
      <w:r w:rsidR="009E543A" w:rsidRPr="003F20AA">
        <w:rPr>
          <w:rFonts w:cs="Times New Roman"/>
          <w:lang w:val="en-GB"/>
        </w:rPr>
        <w:t xml:space="preserve"> The </w:t>
      </w:r>
      <w:r w:rsidR="006E6E2C" w:rsidRPr="003F20AA">
        <w:rPr>
          <w:rFonts w:cs="Times New Roman"/>
          <w:lang w:val="en-GB"/>
        </w:rPr>
        <w:t xml:space="preserve">treaty bodies may also </w:t>
      </w:r>
      <w:r w:rsidR="009E543A" w:rsidRPr="003F20AA">
        <w:rPr>
          <w:rFonts w:cs="Times New Roman"/>
          <w:lang w:val="en-GB"/>
        </w:rPr>
        <w:t>modif</w:t>
      </w:r>
      <w:r w:rsidR="006E6E2C" w:rsidRPr="003F20AA">
        <w:rPr>
          <w:rFonts w:cs="Times New Roman"/>
          <w:lang w:val="en-GB"/>
        </w:rPr>
        <w:t xml:space="preserve">y or amend the FTAs texts </w:t>
      </w:r>
      <w:r w:rsidR="009E543A" w:rsidRPr="003F20AA">
        <w:rPr>
          <w:rFonts w:cs="Times New Roman"/>
          <w:lang w:val="en-GB"/>
        </w:rPr>
        <w:t xml:space="preserve">and </w:t>
      </w:r>
      <w:r w:rsidR="006E6E2C" w:rsidRPr="003F20AA">
        <w:rPr>
          <w:rFonts w:cs="Times New Roman"/>
          <w:lang w:val="en-GB"/>
        </w:rPr>
        <w:t>their</w:t>
      </w:r>
      <w:r w:rsidR="009E543A" w:rsidRPr="003F20AA">
        <w:rPr>
          <w:rFonts w:cs="Times New Roman"/>
          <w:lang w:val="en-GB"/>
        </w:rPr>
        <w:t xml:space="preserve"> annexes</w:t>
      </w:r>
      <w:r w:rsidR="009E543A" w:rsidRPr="003F20AA">
        <w:rPr>
          <w:rStyle w:val="Funotenzeichen"/>
          <w:rFonts w:cs="Times New Roman"/>
          <w:lang w:val="en-GB"/>
        </w:rPr>
        <w:footnoteReference w:id="45"/>
      </w:r>
      <w:r w:rsidR="006E6E2C" w:rsidRPr="003F20AA">
        <w:rPr>
          <w:rFonts w:cs="Times New Roman"/>
          <w:lang w:val="en-GB"/>
        </w:rPr>
        <w:t xml:space="preserve"> and issue </w:t>
      </w:r>
      <w:r w:rsidR="009E543A" w:rsidRPr="003F20AA">
        <w:rPr>
          <w:rFonts w:cs="Times New Roman"/>
          <w:lang w:val="en-GB"/>
        </w:rPr>
        <w:t>binding interpretations</w:t>
      </w:r>
      <w:r w:rsidR="006E6E2C" w:rsidRPr="003F20AA">
        <w:rPr>
          <w:rFonts w:cs="Times New Roman"/>
          <w:lang w:val="en-GB"/>
        </w:rPr>
        <w:t xml:space="preserve"> of the FTAs.</w:t>
      </w:r>
      <w:r w:rsidR="006E6E2C" w:rsidRPr="003F20AA">
        <w:rPr>
          <w:rStyle w:val="Funotenzeichen"/>
          <w:rFonts w:cs="Times New Roman"/>
          <w:lang w:val="en-GB"/>
        </w:rPr>
        <w:footnoteReference w:id="46"/>
      </w:r>
      <w:r w:rsidR="002017CA" w:rsidRPr="003F20AA">
        <w:rPr>
          <w:rFonts w:cs="Times New Roman"/>
          <w:lang w:val="en-GB"/>
        </w:rPr>
        <w:t xml:space="preserve"> Finally, the </w:t>
      </w:r>
      <w:r w:rsidR="006E6E2C" w:rsidRPr="003F20AA">
        <w:rPr>
          <w:rFonts w:cs="Times New Roman"/>
          <w:lang w:val="en-GB"/>
        </w:rPr>
        <w:t xml:space="preserve">treaty bodies </w:t>
      </w:r>
      <w:r w:rsidR="002017CA" w:rsidRPr="003F20AA">
        <w:rPr>
          <w:rFonts w:cs="Times New Roman"/>
          <w:lang w:val="en-GB"/>
        </w:rPr>
        <w:t xml:space="preserve">may also change the institutional architecture of </w:t>
      </w:r>
      <w:r w:rsidR="006E6E2C" w:rsidRPr="003F20AA">
        <w:rPr>
          <w:rFonts w:cs="Times New Roman"/>
          <w:lang w:val="en-GB"/>
        </w:rPr>
        <w:t xml:space="preserve">the FTAs by </w:t>
      </w:r>
      <w:r w:rsidR="002017CA" w:rsidRPr="003F20AA">
        <w:rPr>
          <w:rFonts w:cs="Times New Roman"/>
          <w:lang w:val="en-GB"/>
        </w:rPr>
        <w:t>dissolv</w:t>
      </w:r>
      <w:r w:rsidR="006E6E2C" w:rsidRPr="003F20AA">
        <w:rPr>
          <w:rFonts w:cs="Times New Roman"/>
          <w:lang w:val="en-GB"/>
        </w:rPr>
        <w:t>ing</w:t>
      </w:r>
      <w:r w:rsidR="002017CA" w:rsidRPr="003F20AA">
        <w:rPr>
          <w:rFonts w:cs="Times New Roman"/>
          <w:lang w:val="en-GB"/>
        </w:rPr>
        <w:t xml:space="preserve"> or establish</w:t>
      </w:r>
      <w:r w:rsidR="006E6E2C" w:rsidRPr="003F20AA">
        <w:rPr>
          <w:rFonts w:cs="Times New Roman"/>
          <w:lang w:val="en-GB"/>
        </w:rPr>
        <w:t>ing</w:t>
      </w:r>
      <w:r w:rsidR="002017CA" w:rsidRPr="003F20AA">
        <w:rPr>
          <w:rFonts w:cs="Times New Roman"/>
          <w:lang w:val="en-GB"/>
        </w:rPr>
        <w:t xml:space="preserve"> </w:t>
      </w:r>
      <w:r w:rsidR="006E6E2C" w:rsidRPr="003F20AA">
        <w:rPr>
          <w:rFonts w:cs="Times New Roman"/>
          <w:lang w:val="en-GB"/>
        </w:rPr>
        <w:t xml:space="preserve">further </w:t>
      </w:r>
      <w:r w:rsidR="002017CA" w:rsidRPr="003F20AA">
        <w:rPr>
          <w:rFonts w:cs="Times New Roman"/>
          <w:lang w:val="en-GB"/>
        </w:rPr>
        <w:t xml:space="preserve">special committees that alter or take over the powers of the special committees already </w:t>
      </w:r>
      <w:r w:rsidR="002017CA" w:rsidRPr="003F20AA">
        <w:rPr>
          <w:rFonts w:cs="Times New Roman"/>
          <w:lang w:val="en-GB"/>
        </w:rPr>
        <w:lastRenderedPageBreak/>
        <w:t xml:space="preserve">provided in </w:t>
      </w:r>
      <w:r w:rsidR="006E6E2C" w:rsidRPr="003F20AA">
        <w:rPr>
          <w:rFonts w:cs="Times New Roman"/>
          <w:lang w:val="en-GB"/>
        </w:rPr>
        <w:t>the FTAs.</w:t>
      </w:r>
      <w:r w:rsidR="006E6E2C" w:rsidRPr="003F20AA">
        <w:rPr>
          <w:rStyle w:val="Funotenzeichen"/>
          <w:rFonts w:cs="Times New Roman"/>
          <w:lang w:val="en-GB"/>
        </w:rPr>
        <w:footnoteReference w:id="47"/>
      </w:r>
      <w:r w:rsidR="006E6E2C" w:rsidRPr="003F20AA">
        <w:rPr>
          <w:rFonts w:cs="Times New Roman"/>
          <w:lang w:val="en-GB"/>
        </w:rPr>
        <w:t xml:space="preserve"> </w:t>
      </w:r>
      <w:r w:rsidR="008B6E75" w:rsidRPr="003F20AA">
        <w:rPr>
          <w:rFonts w:cs="Times New Roman"/>
          <w:lang w:val="en-GB"/>
        </w:rPr>
        <w:t xml:space="preserve">This overview of the decision-making competences </w:t>
      </w:r>
      <w:r w:rsidR="009D223A" w:rsidRPr="003F20AA">
        <w:rPr>
          <w:rFonts w:cs="Times New Roman"/>
          <w:lang w:val="en-GB"/>
        </w:rPr>
        <w:t xml:space="preserve">of FTA treaty bodies </w:t>
      </w:r>
      <w:r w:rsidR="008B6E75" w:rsidRPr="003F20AA">
        <w:rPr>
          <w:rFonts w:cs="Times New Roman"/>
          <w:lang w:val="en-GB"/>
        </w:rPr>
        <w:t>demonstrates the</w:t>
      </w:r>
      <w:r w:rsidR="009D223A" w:rsidRPr="003F20AA">
        <w:rPr>
          <w:rFonts w:cs="Times New Roman"/>
          <w:lang w:val="en-GB"/>
        </w:rPr>
        <w:t>ir</w:t>
      </w:r>
      <w:r w:rsidR="008B6E75" w:rsidRPr="003F20AA">
        <w:rPr>
          <w:rFonts w:cs="Times New Roman"/>
          <w:lang w:val="en-GB"/>
        </w:rPr>
        <w:t xml:space="preserve"> rather diverse </w:t>
      </w:r>
      <w:r w:rsidR="009D223A" w:rsidRPr="003F20AA">
        <w:rPr>
          <w:rFonts w:cs="Times New Roman"/>
          <w:lang w:val="en-GB"/>
        </w:rPr>
        <w:t>functions, from mere administrative implementation</w:t>
      </w:r>
      <w:r w:rsidR="00880073" w:rsidRPr="003F20AA">
        <w:rPr>
          <w:rFonts w:cs="Times New Roman"/>
          <w:lang w:val="en-GB"/>
        </w:rPr>
        <w:t>, to adjudication</w:t>
      </w:r>
      <w:r w:rsidR="00880073" w:rsidRPr="003F20AA">
        <w:rPr>
          <w:rStyle w:val="Funotenzeichen"/>
          <w:rFonts w:cs="Times New Roman"/>
          <w:lang w:val="en-GB"/>
        </w:rPr>
        <w:footnoteReference w:id="48"/>
      </w:r>
      <w:r w:rsidR="00880073" w:rsidRPr="003F20AA">
        <w:rPr>
          <w:rFonts w:cs="Times New Roman"/>
          <w:lang w:val="en-GB"/>
        </w:rPr>
        <w:t xml:space="preserve"> and to </w:t>
      </w:r>
      <w:r w:rsidR="008B6E75" w:rsidRPr="003F20AA">
        <w:rPr>
          <w:rFonts w:cs="Times New Roman"/>
          <w:lang w:val="en-GB"/>
        </w:rPr>
        <w:t>decision-making on fundamental issues</w:t>
      </w:r>
      <w:r w:rsidR="009D223A" w:rsidRPr="003F20AA">
        <w:rPr>
          <w:rFonts w:cs="Times New Roman"/>
          <w:lang w:val="en-GB"/>
        </w:rPr>
        <w:t xml:space="preserve">, and </w:t>
      </w:r>
      <w:proofErr w:type="gramStart"/>
      <w:r w:rsidR="008B6E75" w:rsidRPr="003F20AA">
        <w:rPr>
          <w:rFonts w:cs="Times New Roman"/>
          <w:lang w:val="en-GB"/>
        </w:rPr>
        <w:t>rule-making</w:t>
      </w:r>
      <w:proofErr w:type="gramEnd"/>
      <w:r w:rsidR="008B6E75" w:rsidRPr="003F20AA">
        <w:rPr>
          <w:rFonts w:cs="Times New Roman"/>
          <w:lang w:val="en-GB"/>
        </w:rPr>
        <w:t xml:space="preserve"> by generating norms and treaty amendments.</w:t>
      </w:r>
    </w:p>
    <w:p w:rsidR="008B6E75" w:rsidRPr="003F20AA" w:rsidRDefault="008B6E75" w:rsidP="00325436">
      <w:pPr>
        <w:rPr>
          <w:rFonts w:cs="Times New Roman"/>
          <w:lang w:val="en-GB"/>
        </w:rPr>
      </w:pPr>
    </w:p>
    <w:p w:rsidR="00F61140" w:rsidRPr="003F20AA" w:rsidRDefault="00C05EAF" w:rsidP="00F61140">
      <w:pPr>
        <w:pStyle w:val="Listenabsatz"/>
        <w:numPr>
          <w:ilvl w:val="0"/>
          <w:numId w:val="6"/>
        </w:numPr>
        <w:rPr>
          <w:lang w:val="en-US"/>
        </w:rPr>
      </w:pPr>
      <w:r w:rsidRPr="003F20AA">
        <w:rPr>
          <w:rFonts w:cs="Times New Roman"/>
          <w:lang w:val="en-GB"/>
        </w:rPr>
        <w:t xml:space="preserve">The executive nature of </w:t>
      </w:r>
      <w:r w:rsidR="00886DEB" w:rsidRPr="003F20AA">
        <w:rPr>
          <w:rFonts w:cs="Times New Roman"/>
          <w:lang w:val="en-GB"/>
        </w:rPr>
        <w:t>t</w:t>
      </w:r>
      <w:r w:rsidR="00F61140" w:rsidRPr="003F20AA">
        <w:rPr>
          <w:rFonts w:cs="Times New Roman"/>
          <w:lang w:val="en-GB"/>
        </w:rPr>
        <w:t xml:space="preserve">reaty </w:t>
      </w:r>
      <w:r w:rsidR="00886DEB" w:rsidRPr="003F20AA">
        <w:rPr>
          <w:rFonts w:cs="Times New Roman"/>
          <w:lang w:val="en-GB"/>
        </w:rPr>
        <w:t>b</w:t>
      </w:r>
      <w:r w:rsidR="00F61140" w:rsidRPr="003F20AA">
        <w:rPr>
          <w:rFonts w:cs="Times New Roman"/>
          <w:lang w:val="en-GB"/>
        </w:rPr>
        <w:t xml:space="preserve">odies </w:t>
      </w:r>
    </w:p>
    <w:p w:rsidR="00D5399E" w:rsidRPr="003F20AA" w:rsidRDefault="00C05EAF" w:rsidP="00D5399E">
      <w:pPr>
        <w:autoSpaceDE w:val="0"/>
        <w:autoSpaceDN w:val="0"/>
        <w:adjustRightInd w:val="0"/>
        <w:spacing w:after="0" w:line="240" w:lineRule="auto"/>
        <w:rPr>
          <w:rFonts w:cs="Times New Roman"/>
          <w:lang w:val="en-GB"/>
        </w:rPr>
      </w:pPr>
      <w:r w:rsidRPr="003F20AA">
        <w:rPr>
          <w:rFonts w:cs="Times New Roman"/>
          <w:lang w:val="en-GB"/>
        </w:rPr>
        <w:t xml:space="preserve">The treaty bodies </w:t>
      </w:r>
      <w:r w:rsidR="006A1807" w:rsidRPr="003F20AA">
        <w:rPr>
          <w:rFonts w:cs="Times New Roman"/>
          <w:lang w:val="en-GB"/>
        </w:rPr>
        <w:t xml:space="preserve">consist of representatives of </w:t>
      </w:r>
      <w:r w:rsidRPr="003F20AA">
        <w:rPr>
          <w:rFonts w:cs="Times New Roman"/>
          <w:lang w:val="en-GB"/>
        </w:rPr>
        <w:t xml:space="preserve">the parties to the FTAs. For the EU, it usually is </w:t>
      </w:r>
      <w:r w:rsidR="006A1807" w:rsidRPr="003F20AA">
        <w:rPr>
          <w:rFonts w:cs="Times New Roman"/>
          <w:lang w:val="en-GB"/>
        </w:rPr>
        <w:t>the Commissioner responsible for trade</w:t>
      </w:r>
      <w:r w:rsidRPr="003F20AA">
        <w:rPr>
          <w:rFonts w:cs="Times New Roman"/>
          <w:lang w:val="en-GB"/>
        </w:rPr>
        <w:t>.</w:t>
      </w:r>
      <w:r w:rsidRPr="003F20AA">
        <w:rPr>
          <w:rStyle w:val="Funotenzeichen"/>
          <w:rFonts w:cs="Times New Roman"/>
          <w:lang w:val="en-GB"/>
        </w:rPr>
        <w:footnoteReference w:id="49"/>
      </w:r>
      <w:r w:rsidR="006A1807" w:rsidRPr="003F20AA">
        <w:rPr>
          <w:rFonts w:cs="Times New Roman"/>
          <w:lang w:val="en-GB"/>
        </w:rPr>
        <w:t xml:space="preserve"> Consequently, the </w:t>
      </w:r>
      <w:r w:rsidRPr="003F20AA">
        <w:rPr>
          <w:rFonts w:cs="Times New Roman"/>
          <w:lang w:val="en-GB"/>
        </w:rPr>
        <w:t xml:space="preserve">treaty bodies </w:t>
      </w:r>
      <w:r w:rsidR="006A1807" w:rsidRPr="003F20AA">
        <w:rPr>
          <w:rFonts w:cs="Times New Roman"/>
          <w:lang w:val="en-GB"/>
        </w:rPr>
        <w:t xml:space="preserve">are not </w:t>
      </w:r>
      <w:proofErr w:type="gramStart"/>
      <w:r w:rsidR="006A1807" w:rsidRPr="003F20AA">
        <w:rPr>
          <w:rFonts w:cs="Times New Roman"/>
          <w:lang w:val="en-GB"/>
        </w:rPr>
        <w:t xml:space="preserve">actors </w:t>
      </w:r>
      <w:r w:rsidRPr="003F20AA">
        <w:rPr>
          <w:rFonts w:cs="Times New Roman"/>
          <w:lang w:val="en-GB"/>
        </w:rPr>
        <w:t xml:space="preserve">which are </w:t>
      </w:r>
      <w:r w:rsidR="006A1807" w:rsidRPr="003F20AA">
        <w:rPr>
          <w:rFonts w:cs="Times New Roman"/>
          <w:lang w:val="en-GB"/>
        </w:rPr>
        <w:t>independent from the parties´</w:t>
      </w:r>
      <w:proofErr w:type="gramEnd"/>
      <w:r w:rsidR="006A1807" w:rsidRPr="003F20AA">
        <w:rPr>
          <w:rFonts w:cs="Times New Roman"/>
          <w:lang w:val="en-GB"/>
        </w:rPr>
        <w:t xml:space="preserve"> will</w:t>
      </w:r>
      <w:r w:rsidRPr="003F20AA">
        <w:rPr>
          <w:rFonts w:cs="Times New Roman"/>
          <w:lang w:val="en-GB"/>
        </w:rPr>
        <w:t>, but they exercise their powers</w:t>
      </w:r>
      <w:r w:rsidR="006A1807" w:rsidRPr="003F20AA">
        <w:rPr>
          <w:rFonts w:cs="Times New Roman"/>
          <w:lang w:val="en-GB"/>
        </w:rPr>
        <w:t xml:space="preserve"> autonomous</w:t>
      </w:r>
      <w:r w:rsidRPr="003F20AA">
        <w:rPr>
          <w:rFonts w:cs="Times New Roman"/>
          <w:lang w:val="en-GB"/>
        </w:rPr>
        <w:t>ly</w:t>
      </w:r>
      <w:r w:rsidR="006A1807" w:rsidRPr="003F20AA">
        <w:rPr>
          <w:rFonts w:cs="Times New Roman"/>
          <w:lang w:val="en-GB"/>
        </w:rPr>
        <w:t>, as their decisions are binding</w:t>
      </w:r>
      <w:r w:rsidR="00C639C1" w:rsidRPr="003F20AA">
        <w:rPr>
          <w:rFonts w:cs="Times New Roman"/>
          <w:lang w:val="en-GB"/>
        </w:rPr>
        <w:t xml:space="preserve"> on the </w:t>
      </w:r>
      <w:r w:rsidRPr="003F20AA">
        <w:rPr>
          <w:rFonts w:cs="Times New Roman"/>
          <w:lang w:val="en-GB"/>
        </w:rPr>
        <w:t xml:space="preserve">FTA </w:t>
      </w:r>
      <w:r w:rsidR="00C639C1" w:rsidRPr="003F20AA">
        <w:rPr>
          <w:rFonts w:cs="Times New Roman"/>
          <w:lang w:val="en-GB"/>
        </w:rPr>
        <w:t xml:space="preserve">Parties. </w:t>
      </w:r>
      <w:r w:rsidRPr="003F20AA">
        <w:rPr>
          <w:rFonts w:cs="Times New Roman"/>
          <w:lang w:val="en-GB"/>
        </w:rPr>
        <w:t>D</w:t>
      </w:r>
      <w:proofErr w:type="spellStart"/>
      <w:r w:rsidRPr="003F20AA">
        <w:rPr>
          <w:rFonts w:cs="AdvOT635f2c37"/>
          <w:lang w:val="en-US"/>
        </w:rPr>
        <w:t>ecisions</w:t>
      </w:r>
      <w:proofErr w:type="spellEnd"/>
      <w:r w:rsidRPr="003F20AA">
        <w:rPr>
          <w:rFonts w:cs="AdvOT635f2c37"/>
          <w:lang w:val="en-US"/>
        </w:rPr>
        <w:t xml:space="preserve"> taken by the FTA committees immediately become binding on the Parties under international law and must be implemented by them.</w:t>
      </w:r>
      <w:r w:rsidR="008B57A2" w:rsidRPr="003F20AA">
        <w:rPr>
          <w:rFonts w:cs="AdvOT635f2c37"/>
          <w:lang w:val="en-US"/>
        </w:rPr>
        <w:t xml:space="preserve"> Only in very few cases, due to special arrangements in the FTAs explicitly indicated there, treaty bodies´ decisions must be </w:t>
      </w:r>
      <w:r w:rsidR="008B57A2" w:rsidRPr="003F20AA">
        <w:rPr>
          <w:rFonts w:cs="Times New Roman"/>
          <w:lang w:val="en-GB"/>
        </w:rPr>
        <w:t>ratified or otherwise</w:t>
      </w:r>
      <w:r w:rsidR="00D5399E" w:rsidRPr="003F20AA">
        <w:rPr>
          <w:rFonts w:cs="Times New Roman"/>
          <w:lang w:val="en-GB"/>
        </w:rPr>
        <w:t xml:space="preserve"> subsequently</w:t>
      </w:r>
      <w:r w:rsidR="008B57A2" w:rsidRPr="003F20AA">
        <w:rPr>
          <w:rFonts w:cs="Times New Roman"/>
          <w:lang w:val="en-GB"/>
        </w:rPr>
        <w:t xml:space="preserve"> accepted</w:t>
      </w:r>
      <w:r w:rsidR="00D5399E" w:rsidRPr="003F20AA">
        <w:rPr>
          <w:rFonts w:cs="Times New Roman"/>
          <w:lang w:val="en-GB"/>
        </w:rPr>
        <w:t xml:space="preserve"> or approved</w:t>
      </w:r>
      <w:r w:rsidR="008B57A2" w:rsidRPr="003F20AA">
        <w:rPr>
          <w:rFonts w:cs="Times New Roman"/>
          <w:lang w:val="en-GB"/>
        </w:rPr>
        <w:t xml:space="preserve"> by the Parties in order to become binding </w:t>
      </w:r>
      <w:r w:rsidR="00D5399E" w:rsidRPr="003F20AA">
        <w:rPr>
          <w:rFonts w:cs="Times New Roman"/>
          <w:lang w:val="en-GB"/>
        </w:rPr>
        <w:t>on</w:t>
      </w:r>
      <w:r w:rsidR="008B57A2" w:rsidRPr="003F20AA">
        <w:rPr>
          <w:rFonts w:cs="Times New Roman"/>
          <w:lang w:val="en-GB"/>
        </w:rPr>
        <w:t xml:space="preserve"> them</w:t>
      </w:r>
      <w:r w:rsidR="00D5399E" w:rsidRPr="003F20AA">
        <w:rPr>
          <w:rFonts w:cs="Times New Roman"/>
          <w:lang w:val="en-GB"/>
        </w:rPr>
        <w:t>.</w:t>
      </w:r>
      <w:r w:rsidR="00C639C1" w:rsidRPr="003F20AA">
        <w:rPr>
          <w:rStyle w:val="Funotenzeichen"/>
          <w:rFonts w:cs="Times New Roman"/>
          <w:lang w:val="en-GB"/>
        </w:rPr>
        <w:footnoteReference w:id="50"/>
      </w:r>
      <w:r w:rsidR="00FE0F9D" w:rsidRPr="003F20AA">
        <w:rPr>
          <w:rFonts w:cs="Times New Roman"/>
          <w:lang w:val="en-GB"/>
        </w:rPr>
        <w:t xml:space="preserve"> </w:t>
      </w:r>
    </w:p>
    <w:p w:rsidR="000426EA" w:rsidRPr="003F20AA" w:rsidRDefault="005C7587" w:rsidP="0089368D">
      <w:pPr>
        <w:rPr>
          <w:rFonts w:cs="Times New Roman"/>
          <w:lang w:val="en-GB"/>
        </w:rPr>
      </w:pPr>
      <w:r w:rsidRPr="003F20AA">
        <w:rPr>
          <w:rFonts w:cs="Times New Roman"/>
          <w:lang w:val="en-GB"/>
        </w:rPr>
        <w:t xml:space="preserve">The rules </w:t>
      </w:r>
      <w:r w:rsidR="003B2E10" w:rsidRPr="003F20AA">
        <w:rPr>
          <w:rFonts w:cs="Times New Roman"/>
          <w:lang w:val="en-GB"/>
        </w:rPr>
        <w:t xml:space="preserve">relevant </w:t>
      </w:r>
      <w:r w:rsidRPr="003F20AA">
        <w:rPr>
          <w:rFonts w:cs="Times New Roman"/>
          <w:lang w:val="en-GB"/>
        </w:rPr>
        <w:t xml:space="preserve">for the preparation of this autonomous decision-making of the treaty bodies </w:t>
      </w:r>
      <w:r w:rsidR="003B2E10" w:rsidRPr="003F20AA">
        <w:rPr>
          <w:rFonts w:cs="Times New Roman"/>
          <w:lang w:val="en-GB"/>
        </w:rPr>
        <w:t xml:space="preserve">within the EU </w:t>
      </w:r>
      <w:r w:rsidRPr="003F20AA">
        <w:rPr>
          <w:rFonts w:cs="Times New Roman"/>
          <w:lang w:val="en-GB"/>
        </w:rPr>
        <w:t>are Art 218 (7) and (9) TFEU.</w:t>
      </w:r>
      <w:r w:rsidR="003B2E10" w:rsidRPr="003F20AA">
        <w:rPr>
          <w:rFonts w:cs="Times New Roman"/>
          <w:lang w:val="en-GB"/>
        </w:rPr>
        <w:t xml:space="preserve"> These rules again empower executive institutions, i.e. the Commission and the Council with the preparation and adoption of the EU decisions preparing the decision-making of treaty bodies on international level. As already shown, the EP is not involved. Hence, the </w:t>
      </w:r>
      <w:r w:rsidR="00D0073F" w:rsidRPr="003F20AA">
        <w:rPr>
          <w:rFonts w:cs="Times New Roman"/>
          <w:lang w:val="en-GB"/>
        </w:rPr>
        <w:t xml:space="preserve">decision-making competences of the treaty bodies constitute public powers transferred to the Committees by the EU </w:t>
      </w:r>
      <w:r w:rsidR="00D8779F" w:rsidRPr="003F20AA">
        <w:rPr>
          <w:rFonts w:cs="Times New Roman"/>
          <w:lang w:val="en-GB"/>
        </w:rPr>
        <w:t xml:space="preserve">(and, in case of mixed agreements, by the Member States) </w:t>
      </w:r>
      <w:r w:rsidR="00D0073F" w:rsidRPr="003F20AA">
        <w:rPr>
          <w:rFonts w:cs="Times New Roman"/>
          <w:lang w:val="en-GB"/>
        </w:rPr>
        <w:t xml:space="preserve">with the (provisional) entry into force of </w:t>
      </w:r>
      <w:r w:rsidR="00D8779F" w:rsidRPr="003F20AA">
        <w:rPr>
          <w:rFonts w:cs="Times New Roman"/>
          <w:lang w:val="en-GB"/>
        </w:rPr>
        <w:t xml:space="preserve">trade </w:t>
      </w:r>
      <w:r w:rsidR="00D0073F" w:rsidRPr="003F20AA">
        <w:rPr>
          <w:rFonts w:cs="Times New Roman"/>
          <w:lang w:val="en-GB"/>
        </w:rPr>
        <w:t>agreement</w:t>
      </w:r>
      <w:r w:rsidR="00D8779F" w:rsidRPr="003F20AA">
        <w:rPr>
          <w:rFonts w:cs="Times New Roman"/>
          <w:lang w:val="en-GB"/>
        </w:rPr>
        <w:t>s.</w:t>
      </w:r>
      <w:r w:rsidR="00D0073F" w:rsidRPr="003F20AA">
        <w:rPr>
          <w:rFonts w:cs="Times New Roman"/>
          <w:lang w:val="en-GB"/>
        </w:rPr>
        <w:t xml:space="preserve"> </w:t>
      </w:r>
      <w:r w:rsidR="00C910B0" w:rsidRPr="003F20AA">
        <w:rPr>
          <w:rFonts w:cs="Times New Roman"/>
          <w:lang w:val="en-GB"/>
        </w:rPr>
        <w:t xml:space="preserve">These powers are </w:t>
      </w:r>
      <w:r w:rsidR="00D8779F" w:rsidRPr="003F20AA">
        <w:rPr>
          <w:rFonts w:cs="Times New Roman"/>
          <w:lang w:val="en-GB"/>
        </w:rPr>
        <w:t xml:space="preserve">the </w:t>
      </w:r>
      <w:r w:rsidR="00C910B0" w:rsidRPr="003F20AA">
        <w:rPr>
          <w:rFonts w:cs="Times New Roman"/>
          <w:lang w:val="en-GB"/>
        </w:rPr>
        <w:t xml:space="preserve">object of delegation from the Parties </w:t>
      </w:r>
      <w:r w:rsidR="009828E9" w:rsidRPr="003F20AA">
        <w:rPr>
          <w:rFonts w:cs="Times New Roman"/>
          <w:lang w:val="en-GB"/>
        </w:rPr>
        <w:t xml:space="preserve">to an international treaty </w:t>
      </w:r>
      <w:r w:rsidR="00C910B0" w:rsidRPr="003F20AA">
        <w:rPr>
          <w:rFonts w:cs="Times New Roman"/>
          <w:lang w:val="en-GB"/>
        </w:rPr>
        <w:t xml:space="preserve">to </w:t>
      </w:r>
      <w:r w:rsidR="00D8779F" w:rsidRPr="003F20AA">
        <w:rPr>
          <w:rFonts w:cs="Times New Roman"/>
          <w:lang w:val="en-GB"/>
        </w:rPr>
        <w:t xml:space="preserve">international institutions (i.e. FTA </w:t>
      </w:r>
      <w:r w:rsidR="00C910B0" w:rsidRPr="003F20AA">
        <w:rPr>
          <w:rFonts w:cs="Times New Roman"/>
          <w:lang w:val="en-GB"/>
        </w:rPr>
        <w:t>treaty bodies</w:t>
      </w:r>
      <w:r w:rsidR="00D8779F" w:rsidRPr="003F20AA">
        <w:rPr>
          <w:rFonts w:cs="Times New Roman"/>
          <w:lang w:val="en-GB"/>
        </w:rPr>
        <w:t>)</w:t>
      </w:r>
      <w:r w:rsidR="00C910B0" w:rsidRPr="003F20AA">
        <w:rPr>
          <w:rFonts w:cs="Times New Roman"/>
          <w:lang w:val="en-GB"/>
        </w:rPr>
        <w:t xml:space="preserve"> as the</w:t>
      </w:r>
      <w:r w:rsidR="00D8779F" w:rsidRPr="003F20AA">
        <w:rPr>
          <w:rFonts w:cs="Times New Roman"/>
          <w:lang w:val="en-GB"/>
        </w:rPr>
        <w:t>y</w:t>
      </w:r>
      <w:r w:rsidR="00C910B0" w:rsidRPr="003F20AA">
        <w:rPr>
          <w:rFonts w:cs="Times New Roman"/>
          <w:lang w:val="en-GB"/>
        </w:rPr>
        <w:t xml:space="preserve"> </w:t>
      </w:r>
      <w:proofErr w:type="gramStart"/>
      <w:r w:rsidR="00C910B0" w:rsidRPr="003F20AA">
        <w:rPr>
          <w:rFonts w:cs="Times New Roman"/>
          <w:lang w:val="en-GB"/>
        </w:rPr>
        <w:t>are bestowed</w:t>
      </w:r>
      <w:proofErr w:type="gramEnd"/>
      <w:r w:rsidR="00C910B0" w:rsidRPr="003F20AA">
        <w:rPr>
          <w:rFonts w:cs="Times New Roman"/>
          <w:lang w:val="en-GB"/>
        </w:rPr>
        <w:t xml:space="preserve"> with powers of amending and implementing </w:t>
      </w:r>
      <w:r w:rsidR="00D8779F" w:rsidRPr="003F20AA">
        <w:rPr>
          <w:rFonts w:cs="Times New Roman"/>
          <w:lang w:val="en-GB"/>
        </w:rPr>
        <w:t xml:space="preserve">the </w:t>
      </w:r>
      <w:r w:rsidR="00C910B0" w:rsidRPr="003F20AA">
        <w:rPr>
          <w:rFonts w:cs="Times New Roman"/>
          <w:lang w:val="en-GB"/>
        </w:rPr>
        <w:t>international treaty</w:t>
      </w:r>
      <w:r w:rsidR="00D8779F" w:rsidRPr="003F20AA">
        <w:rPr>
          <w:rFonts w:cs="Times New Roman"/>
          <w:lang w:val="en-GB"/>
        </w:rPr>
        <w:t xml:space="preserve"> </w:t>
      </w:r>
      <w:r w:rsidR="00C910B0" w:rsidRPr="003F20AA">
        <w:rPr>
          <w:rFonts w:cs="Times New Roman"/>
          <w:lang w:val="en-GB"/>
        </w:rPr>
        <w:t xml:space="preserve">that otherwise would have been the competence of domestic </w:t>
      </w:r>
      <w:r w:rsidR="00D8779F" w:rsidRPr="003F20AA">
        <w:rPr>
          <w:rFonts w:cs="Times New Roman"/>
          <w:lang w:val="en-GB"/>
        </w:rPr>
        <w:t xml:space="preserve">institutions </w:t>
      </w:r>
      <w:r w:rsidR="00C910B0" w:rsidRPr="003F20AA">
        <w:rPr>
          <w:rFonts w:cs="Times New Roman"/>
          <w:lang w:val="en-GB"/>
        </w:rPr>
        <w:t>of the Parties</w:t>
      </w:r>
      <w:r w:rsidR="00716C20" w:rsidRPr="003F20AA">
        <w:rPr>
          <w:rFonts w:cs="Times New Roman"/>
          <w:lang w:val="en-GB"/>
        </w:rPr>
        <w:t xml:space="preserve">. </w:t>
      </w:r>
      <w:proofErr w:type="gramStart"/>
      <w:r w:rsidR="0089368D" w:rsidRPr="003F20AA">
        <w:rPr>
          <w:rFonts w:cs="Times New Roman"/>
          <w:lang w:val="en-GB"/>
        </w:rPr>
        <w:t xml:space="preserve">The deliberate inclusion of rules for decision-making in treaty bodies in </w:t>
      </w:r>
      <w:r w:rsidR="00D8779F" w:rsidRPr="003F20AA">
        <w:rPr>
          <w:rFonts w:cs="Times New Roman"/>
          <w:lang w:val="en-GB"/>
        </w:rPr>
        <w:t>Article 218 (9) TFEU</w:t>
      </w:r>
      <w:r w:rsidR="0089368D" w:rsidRPr="003F20AA">
        <w:rPr>
          <w:rFonts w:cs="Times New Roman"/>
          <w:lang w:val="en-GB"/>
        </w:rPr>
        <w:t xml:space="preserve">, the binding effect of their decisions simply by virtue of their adoption </w:t>
      </w:r>
      <w:r w:rsidR="00D8779F" w:rsidRPr="003F20AA">
        <w:rPr>
          <w:rFonts w:cs="Times New Roman"/>
          <w:lang w:val="en-GB"/>
        </w:rPr>
        <w:t>by the treaty bodies</w:t>
      </w:r>
      <w:r w:rsidR="0089368D" w:rsidRPr="003F20AA">
        <w:rPr>
          <w:rFonts w:cs="Times New Roman"/>
          <w:lang w:val="en-GB"/>
        </w:rPr>
        <w:t>, and finally the wording in Article 218 (9) TFEU, according to which the</w:t>
      </w:r>
      <w:r w:rsidR="00D8779F" w:rsidRPr="003F20AA">
        <w:rPr>
          <w:rFonts w:cs="Times New Roman"/>
          <w:lang w:val="en-GB"/>
        </w:rPr>
        <w:t>se</w:t>
      </w:r>
      <w:r w:rsidR="0089368D" w:rsidRPr="003F20AA">
        <w:rPr>
          <w:rFonts w:cs="Times New Roman"/>
          <w:lang w:val="en-GB"/>
        </w:rPr>
        <w:t xml:space="preserve"> bodies are responsible for the adoption of </w:t>
      </w:r>
      <w:r w:rsidR="00D0309E" w:rsidRPr="003F20AA">
        <w:rPr>
          <w:rFonts w:cs="Times New Roman"/>
          <w:lang w:val="en-GB"/>
        </w:rPr>
        <w:t>“</w:t>
      </w:r>
      <w:r w:rsidR="0089368D" w:rsidRPr="003F20AA">
        <w:rPr>
          <w:rFonts w:cs="Times New Roman"/>
          <w:lang w:val="en-GB"/>
        </w:rPr>
        <w:t>acts having legal effects</w:t>
      </w:r>
      <w:r w:rsidR="00D0309E" w:rsidRPr="003F20AA">
        <w:rPr>
          <w:rFonts w:cs="Times New Roman"/>
          <w:lang w:val="en-GB"/>
        </w:rPr>
        <w:t>”</w:t>
      </w:r>
      <w:r w:rsidR="0089368D" w:rsidRPr="003F20AA">
        <w:rPr>
          <w:rFonts w:cs="Times New Roman"/>
          <w:lang w:val="en-GB"/>
        </w:rPr>
        <w:t xml:space="preserve"> (and not for the acceptance of an EU treaty offer), argue in favour of the adoption of legal acts as an ex</w:t>
      </w:r>
      <w:r w:rsidR="00D0309E" w:rsidRPr="003F20AA">
        <w:rPr>
          <w:rFonts w:cs="Times New Roman"/>
          <w:lang w:val="en-GB"/>
        </w:rPr>
        <w:t xml:space="preserve">pression of a </w:t>
      </w:r>
      <w:r w:rsidR="0089368D" w:rsidRPr="003F20AA">
        <w:rPr>
          <w:rFonts w:cs="Times New Roman"/>
          <w:lang w:val="en-GB"/>
        </w:rPr>
        <w:t xml:space="preserve">genuine </w:t>
      </w:r>
      <w:r w:rsidR="00D0309E" w:rsidRPr="003F20AA">
        <w:rPr>
          <w:rFonts w:cs="Times New Roman"/>
          <w:lang w:val="en-GB"/>
        </w:rPr>
        <w:t xml:space="preserve">transfer of </w:t>
      </w:r>
      <w:r w:rsidR="0089368D" w:rsidRPr="003F20AA">
        <w:rPr>
          <w:rFonts w:cs="Times New Roman"/>
          <w:lang w:val="en-GB"/>
        </w:rPr>
        <w:t>public powers to the treaty bodies</w:t>
      </w:r>
      <w:r w:rsidR="00D0309E" w:rsidRPr="003F20AA">
        <w:rPr>
          <w:rFonts w:cs="Times New Roman"/>
          <w:lang w:val="en-GB"/>
        </w:rPr>
        <w:t xml:space="preserve"> by virtue of a delegation</w:t>
      </w:r>
      <w:r w:rsidR="0089368D" w:rsidRPr="003F20AA">
        <w:rPr>
          <w:rFonts w:cs="Times New Roman"/>
          <w:lang w:val="en-GB"/>
        </w:rPr>
        <w:t>.</w:t>
      </w:r>
      <w:proofErr w:type="gramEnd"/>
      <w:r w:rsidR="009828E9" w:rsidRPr="003F20AA">
        <w:rPr>
          <w:rFonts w:cs="Times New Roman"/>
          <w:lang w:val="en-GB"/>
        </w:rPr>
        <w:t xml:space="preserve"> Delegation in this context is understood as a transfer of decision-making powers to institutions </w:t>
      </w:r>
      <w:proofErr w:type="gramStart"/>
      <w:r w:rsidR="009828E9" w:rsidRPr="003F20AA">
        <w:rPr>
          <w:rFonts w:cs="Times New Roman"/>
          <w:lang w:val="en-GB"/>
        </w:rPr>
        <w:t>on the basis of</w:t>
      </w:r>
      <w:proofErr w:type="gramEnd"/>
      <w:r w:rsidR="009828E9" w:rsidRPr="003F20AA">
        <w:rPr>
          <w:rFonts w:cs="Times New Roman"/>
          <w:lang w:val="en-GB"/>
        </w:rPr>
        <w:t xml:space="preserve"> a legal act</w:t>
      </w:r>
      <w:r w:rsidR="00F75873" w:rsidRPr="003F20AA">
        <w:rPr>
          <w:rFonts w:cs="Times New Roman"/>
          <w:lang w:val="en-GB"/>
        </w:rPr>
        <w:t xml:space="preserve"> that forms its legal basis</w:t>
      </w:r>
      <w:r w:rsidR="009828E9" w:rsidRPr="003F20AA">
        <w:rPr>
          <w:rFonts w:cs="Times New Roman"/>
          <w:lang w:val="en-GB"/>
        </w:rPr>
        <w:t>.</w:t>
      </w:r>
      <w:r w:rsidR="0089368D" w:rsidRPr="003F20AA">
        <w:rPr>
          <w:rFonts w:cs="Times New Roman"/>
          <w:lang w:val="en-GB"/>
        </w:rPr>
        <w:t xml:space="preserve"> </w:t>
      </w:r>
      <w:r w:rsidR="00D0309E" w:rsidRPr="003F20AA">
        <w:rPr>
          <w:rFonts w:cs="Times New Roman"/>
          <w:lang w:val="en-GB"/>
        </w:rPr>
        <w:t xml:space="preserve">The wording of Article 218 (9) </w:t>
      </w:r>
      <w:r w:rsidR="00D0309E" w:rsidRPr="003F20AA">
        <w:rPr>
          <w:rFonts w:cs="Times New Roman"/>
          <w:lang w:val="en-US"/>
        </w:rPr>
        <w:t xml:space="preserve">entails a very broad notion of the type of powers that </w:t>
      </w:r>
      <w:proofErr w:type="gramStart"/>
      <w:r w:rsidR="00D0309E" w:rsidRPr="003F20AA">
        <w:rPr>
          <w:rFonts w:cs="Times New Roman"/>
          <w:lang w:val="en-US"/>
        </w:rPr>
        <w:t>can be delegated</w:t>
      </w:r>
      <w:proofErr w:type="gramEnd"/>
      <w:r w:rsidR="00D0309E" w:rsidRPr="003F20AA">
        <w:rPr>
          <w:rFonts w:cs="Times New Roman"/>
          <w:lang w:val="en-US"/>
        </w:rPr>
        <w:t xml:space="preserve"> to treaty bodies</w:t>
      </w:r>
      <w:r w:rsidR="00D8779F" w:rsidRPr="003F20AA">
        <w:rPr>
          <w:rFonts w:cs="Times New Roman"/>
          <w:lang w:val="en-US"/>
        </w:rPr>
        <w:t xml:space="preserve">. </w:t>
      </w:r>
      <w:r w:rsidR="0089368D" w:rsidRPr="003F20AA">
        <w:rPr>
          <w:rFonts w:cs="Times New Roman"/>
          <w:lang w:val="en-GB"/>
        </w:rPr>
        <w:t xml:space="preserve">Hence, Article 218 (9) and Article 218 (7) constitute special regimes for the </w:t>
      </w:r>
      <w:r w:rsidR="000426EA" w:rsidRPr="003F20AA">
        <w:rPr>
          <w:rFonts w:cs="Times New Roman"/>
          <w:lang w:val="en-GB"/>
        </w:rPr>
        <w:t xml:space="preserve">EU internal </w:t>
      </w:r>
      <w:r w:rsidR="0089368D" w:rsidRPr="003F20AA">
        <w:rPr>
          <w:rFonts w:cs="Times New Roman"/>
          <w:lang w:val="en-GB"/>
        </w:rPr>
        <w:t xml:space="preserve">adoption of secondary law </w:t>
      </w:r>
      <w:r w:rsidR="000426EA" w:rsidRPr="003F20AA">
        <w:rPr>
          <w:rFonts w:cs="Times New Roman"/>
          <w:lang w:val="en-GB"/>
        </w:rPr>
        <w:t xml:space="preserve">from </w:t>
      </w:r>
      <w:r w:rsidR="0089368D" w:rsidRPr="003F20AA">
        <w:rPr>
          <w:rFonts w:cs="Times New Roman"/>
          <w:lang w:val="en-GB"/>
        </w:rPr>
        <w:t>international organisations or treaty bodies</w:t>
      </w:r>
      <w:r w:rsidR="000426EA" w:rsidRPr="003F20AA">
        <w:rPr>
          <w:rFonts w:cs="Times New Roman"/>
          <w:lang w:val="en-GB"/>
        </w:rPr>
        <w:t>.</w:t>
      </w:r>
      <w:r w:rsidR="0089368D" w:rsidRPr="003F20AA">
        <w:rPr>
          <w:rStyle w:val="Funotenzeichen"/>
          <w:rFonts w:cs="Times New Roman"/>
          <w:lang w:val="en-GB"/>
        </w:rPr>
        <w:footnoteReference w:id="51"/>
      </w:r>
      <w:r w:rsidR="000426EA" w:rsidRPr="003F20AA">
        <w:rPr>
          <w:rFonts w:cs="Times New Roman"/>
          <w:lang w:val="en-GB"/>
        </w:rPr>
        <w:t xml:space="preserve"> </w:t>
      </w:r>
    </w:p>
    <w:p w:rsidR="00886DEB" w:rsidRPr="003F20AA" w:rsidRDefault="00886DEB" w:rsidP="00886DEB">
      <w:pPr>
        <w:pStyle w:val="Listenabsatz"/>
        <w:numPr>
          <w:ilvl w:val="0"/>
          <w:numId w:val="6"/>
        </w:numPr>
        <w:autoSpaceDE w:val="0"/>
        <w:autoSpaceDN w:val="0"/>
        <w:adjustRightInd w:val="0"/>
        <w:spacing w:after="0" w:line="240" w:lineRule="auto"/>
        <w:rPr>
          <w:rFonts w:cs="Times New Roman"/>
          <w:lang w:val="en-GB"/>
        </w:rPr>
      </w:pPr>
      <w:r w:rsidRPr="003F20AA">
        <w:rPr>
          <w:rFonts w:cs="Times New Roman"/>
          <w:lang w:val="en-GB"/>
        </w:rPr>
        <w:t>Shifting the balance towards the executive</w:t>
      </w:r>
      <w:r w:rsidR="00D5574F" w:rsidRPr="003F20AA">
        <w:rPr>
          <w:rFonts w:cs="Times New Roman"/>
          <w:lang w:val="en-GB"/>
        </w:rPr>
        <w:t>, and back again</w:t>
      </w:r>
      <w:r w:rsidRPr="003F20AA">
        <w:rPr>
          <w:rFonts w:cs="Times New Roman"/>
          <w:lang w:val="en-GB"/>
        </w:rPr>
        <w:t xml:space="preserve"> </w:t>
      </w:r>
    </w:p>
    <w:p w:rsidR="00886DEB" w:rsidRPr="003F20AA" w:rsidRDefault="00886DEB" w:rsidP="00886DEB">
      <w:pPr>
        <w:autoSpaceDE w:val="0"/>
        <w:autoSpaceDN w:val="0"/>
        <w:adjustRightInd w:val="0"/>
        <w:spacing w:after="0" w:line="240" w:lineRule="auto"/>
        <w:rPr>
          <w:rFonts w:cs="Times New Roman"/>
          <w:lang w:val="en-GB"/>
        </w:rPr>
      </w:pPr>
    </w:p>
    <w:p w:rsidR="00342480" w:rsidRPr="003F20AA" w:rsidRDefault="000426EA" w:rsidP="00886DEB">
      <w:pPr>
        <w:autoSpaceDE w:val="0"/>
        <w:autoSpaceDN w:val="0"/>
        <w:adjustRightInd w:val="0"/>
        <w:spacing w:after="0" w:line="240" w:lineRule="auto"/>
        <w:rPr>
          <w:rFonts w:cs="Times New Roman"/>
          <w:lang w:val="en-GB"/>
        </w:rPr>
      </w:pPr>
      <w:r w:rsidRPr="003F20AA">
        <w:rPr>
          <w:rFonts w:cs="Times New Roman"/>
          <w:lang w:val="en-GB"/>
        </w:rPr>
        <w:lastRenderedPageBreak/>
        <w:t xml:space="preserve">Transferring decision-making powers to treaty bodies conforms to the delegation of public powers from the legislative to executive institutions. This </w:t>
      </w:r>
      <w:proofErr w:type="gramStart"/>
      <w:r w:rsidRPr="003F20AA">
        <w:rPr>
          <w:rFonts w:cs="Times New Roman"/>
          <w:lang w:val="en-GB"/>
        </w:rPr>
        <w:t>is confirmed</w:t>
      </w:r>
      <w:proofErr w:type="gramEnd"/>
      <w:r w:rsidRPr="003F20AA">
        <w:rPr>
          <w:rFonts w:cs="Times New Roman"/>
          <w:lang w:val="en-GB"/>
        </w:rPr>
        <w:t xml:space="preserve"> when analysing their legal effects: Treaty bodies´ decisions may, not least</w:t>
      </w:r>
      <w:r w:rsidRPr="003F20AA">
        <w:rPr>
          <w:rFonts w:cs="AdvOT635f2c37"/>
          <w:lang w:val="en-US"/>
        </w:rPr>
        <w:t xml:space="preserve"> in the view of the European Court of Justice, in</w:t>
      </w:r>
      <w:r w:rsidRPr="003F20AA">
        <w:rPr>
          <w:rFonts w:cs="AdvOT635f2c37+fb"/>
          <w:lang w:val="en-US"/>
        </w:rPr>
        <w:t>fl</w:t>
      </w:r>
      <w:r w:rsidRPr="003F20AA">
        <w:rPr>
          <w:rFonts w:cs="AdvOT635f2c37"/>
          <w:lang w:val="en-US"/>
        </w:rPr>
        <w:t>uence the content of EU legislation</w:t>
      </w:r>
      <w:r w:rsidRPr="003F20AA">
        <w:rPr>
          <w:rStyle w:val="Funotenzeichen"/>
          <w:rFonts w:cs="AdvOT635f2c37"/>
          <w:lang w:val="en-US"/>
        </w:rPr>
        <w:footnoteReference w:id="52"/>
      </w:r>
      <w:r w:rsidRPr="003F20AA">
        <w:rPr>
          <w:rFonts w:cs="AdvOT635f2c37"/>
          <w:sz w:val="15"/>
          <w:szCs w:val="15"/>
          <w:lang w:val="en-US"/>
        </w:rPr>
        <w:t xml:space="preserve"> </w:t>
      </w:r>
      <w:r w:rsidRPr="003F20AA">
        <w:rPr>
          <w:rFonts w:cs="AdvOT635f2c37"/>
          <w:lang w:val="en-US"/>
        </w:rPr>
        <w:t>and form an integral part of the EU legal system.</w:t>
      </w:r>
      <w:r w:rsidR="004C7BFF" w:rsidRPr="003F20AA">
        <w:rPr>
          <w:rStyle w:val="Funotenzeichen"/>
          <w:rFonts w:cs="AdvOT635f2c37"/>
          <w:lang w:val="en-US"/>
        </w:rPr>
        <w:footnoteReference w:id="53"/>
      </w:r>
      <w:r w:rsidR="00886DEB" w:rsidRPr="003F20AA">
        <w:rPr>
          <w:rFonts w:cs="AdvOT635f2c37"/>
          <w:lang w:val="en-US"/>
        </w:rPr>
        <w:t xml:space="preserve"> Hence, one must conclude </w:t>
      </w:r>
      <w:r w:rsidR="002056D6" w:rsidRPr="003F20AA">
        <w:rPr>
          <w:rFonts w:cs="Times New Roman"/>
          <w:lang w:val="en-GB"/>
        </w:rPr>
        <w:t xml:space="preserve">that the treaty bodies </w:t>
      </w:r>
      <w:r w:rsidR="00AC0E39" w:rsidRPr="003F20AA">
        <w:rPr>
          <w:rFonts w:cs="Times New Roman"/>
          <w:lang w:val="en-GB"/>
        </w:rPr>
        <w:t xml:space="preserve">when issuing binding decisions </w:t>
      </w:r>
      <w:r w:rsidR="002056D6" w:rsidRPr="003F20AA">
        <w:rPr>
          <w:rFonts w:cs="Times New Roman"/>
          <w:lang w:val="en-GB"/>
        </w:rPr>
        <w:t>exercise</w:t>
      </w:r>
      <w:r w:rsidR="00DF65FC" w:rsidRPr="003F20AA">
        <w:rPr>
          <w:rFonts w:cs="Times New Roman"/>
          <w:lang w:val="en-GB"/>
        </w:rPr>
        <w:t xml:space="preserve"> domestically relevant </w:t>
      </w:r>
      <w:r w:rsidR="002056D6" w:rsidRPr="003F20AA">
        <w:rPr>
          <w:rFonts w:cs="Times New Roman"/>
          <w:lang w:val="en-GB"/>
        </w:rPr>
        <w:t xml:space="preserve">public </w:t>
      </w:r>
      <w:proofErr w:type="gramStart"/>
      <w:r w:rsidR="002056D6" w:rsidRPr="003F20AA">
        <w:rPr>
          <w:rFonts w:cs="Times New Roman"/>
          <w:lang w:val="en-GB"/>
        </w:rPr>
        <w:t xml:space="preserve">powers </w:t>
      </w:r>
      <w:r w:rsidR="00AC0E39" w:rsidRPr="003F20AA">
        <w:rPr>
          <w:rFonts w:cs="Times New Roman"/>
          <w:lang w:val="en-GB"/>
        </w:rPr>
        <w:t>which</w:t>
      </w:r>
      <w:proofErr w:type="gramEnd"/>
      <w:r w:rsidR="00AC0E39" w:rsidRPr="003F20AA">
        <w:rPr>
          <w:rFonts w:cs="Times New Roman"/>
          <w:lang w:val="en-GB"/>
        </w:rPr>
        <w:t xml:space="preserve"> have been </w:t>
      </w:r>
      <w:r w:rsidR="002056D6" w:rsidRPr="003F20AA">
        <w:rPr>
          <w:rFonts w:cs="Times New Roman"/>
          <w:lang w:val="en-GB"/>
        </w:rPr>
        <w:t>delegated to them by the EU by way of establishing their competences in agreements</w:t>
      </w:r>
      <w:r w:rsidR="005E53A9" w:rsidRPr="003F20AA">
        <w:rPr>
          <w:rFonts w:cs="Times New Roman"/>
          <w:lang w:val="en-GB"/>
        </w:rPr>
        <w:t xml:space="preserve">. Their powers have been transferred on them by way of treaty making which </w:t>
      </w:r>
      <w:proofErr w:type="gramStart"/>
      <w:r w:rsidR="005E53A9" w:rsidRPr="003F20AA">
        <w:rPr>
          <w:rFonts w:cs="Times New Roman"/>
          <w:lang w:val="en-GB"/>
        </w:rPr>
        <w:t>is done by the EU legislative, as shown above</w:t>
      </w:r>
      <w:proofErr w:type="gramEnd"/>
      <w:r w:rsidR="00E621F5" w:rsidRPr="003F20AA">
        <w:rPr>
          <w:rFonts w:cs="Times New Roman"/>
          <w:lang w:val="en-GB"/>
        </w:rPr>
        <w:t>.</w:t>
      </w:r>
      <w:r w:rsidR="00886DEB" w:rsidRPr="003F20AA">
        <w:rPr>
          <w:rFonts w:cs="Times New Roman"/>
          <w:lang w:val="en-GB"/>
        </w:rPr>
        <w:t xml:space="preserve"> The EP therefore delegates part of its powers of legislating and </w:t>
      </w:r>
      <w:proofErr w:type="gramStart"/>
      <w:r w:rsidR="00886DEB" w:rsidRPr="003F20AA">
        <w:rPr>
          <w:rFonts w:cs="Times New Roman"/>
          <w:lang w:val="en-GB"/>
        </w:rPr>
        <w:t>treaty-making</w:t>
      </w:r>
      <w:proofErr w:type="gramEnd"/>
      <w:r w:rsidR="00886DEB" w:rsidRPr="003F20AA">
        <w:rPr>
          <w:rFonts w:cs="Times New Roman"/>
          <w:lang w:val="en-GB"/>
        </w:rPr>
        <w:t xml:space="preserve"> to treaty bodies by </w:t>
      </w:r>
      <w:r w:rsidR="00F74988" w:rsidRPr="003F20AA">
        <w:rPr>
          <w:rFonts w:cs="Times New Roman"/>
          <w:lang w:val="en-GB"/>
        </w:rPr>
        <w:t xml:space="preserve">consenting to </w:t>
      </w:r>
      <w:r w:rsidR="00886DEB" w:rsidRPr="003F20AA">
        <w:rPr>
          <w:rFonts w:cs="Times New Roman"/>
          <w:lang w:val="en-GB"/>
        </w:rPr>
        <w:t xml:space="preserve">rule-making and treaty amendment </w:t>
      </w:r>
      <w:r w:rsidR="00F74988" w:rsidRPr="003F20AA">
        <w:rPr>
          <w:rFonts w:cs="Times New Roman"/>
          <w:lang w:val="en-GB"/>
        </w:rPr>
        <w:t xml:space="preserve">mandates for </w:t>
      </w:r>
      <w:r w:rsidR="00886DEB" w:rsidRPr="003F20AA">
        <w:rPr>
          <w:rFonts w:cs="Times New Roman"/>
          <w:lang w:val="en-GB"/>
        </w:rPr>
        <w:t>them by its consent to EU trade agreements</w:t>
      </w:r>
      <w:r w:rsidR="00F74988" w:rsidRPr="003F20AA">
        <w:rPr>
          <w:rFonts w:cs="Times New Roman"/>
          <w:lang w:val="en-GB"/>
        </w:rPr>
        <w:t xml:space="preserve">. </w:t>
      </w:r>
    </w:p>
    <w:p w:rsidR="00F74988" w:rsidRPr="003F20AA" w:rsidRDefault="00F74988" w:rsidP="00886DEB">
      <w:pPr>
        <w:autoSpaceDE w:val="0"/>
        <w:autoSpaceDN w:val="0"/>
        <w:adjustRightInd w:val="0"/>
        <w:spacing w:after="0" w:line="240" w:lineRule="auto"/>
        <w:rPr>
          <w:rFonts w:cs="Times New Roman"/>
          <w:lang w:val="en-GB"/>
        </w:rPr>
      </w:pPr>
      <w:r w:rsidRPr="003F20AA">
        <w:rPr>
          <w:rFonts w:cs="Times New Roman"/>
          <w:lang w:val="en-GB"/>
        </w:rPr>
        <w:t>The new generation of EU FTAs have expanded their scope and reach. They do not only deal with tariffs and border issues of goods and services</w:t>
      </w:r>
      <w:r w:rsidR="001616E1" w:rsidRPr="003F20AA">
        <w:rPr>
          <w:rFonts w:cs="Times New Roman"/>
          <w:lang w:val="en-GB"/>
        </w:rPr>
        <w:t>´</w:t>
      </w:r>
      <w:r w:rsidRPr="003F20AA">
        <w:rPr>
          <w:rFonts w:cs="Times New Roman"/>
          <w:lang w:val="en-GB"/>
        </w:rPr>
        <w:t xml:space="preserve"> market access to the EU, </w:t>
      </w:r>
      <w:proofErr w:type="gramStart"/>
      <w:r w:rsidRPr="003F20AA">
        <w:rPr>
          <w:rFonts w:cs="Times New Roman"/>
          <w:lang w:val="en-GB"/>
        </w:rPr>
        <w:t>but</w:t>
      </w:r>
      <w:proofErr w:type="gramEnd"/>
      <w:r w:rsidRPr="003F20AA">
        <w:rPr>
          <w:rFonts w:cs="Times New Roman"/>
          <w:lang w:val="en-GB"/>
        </w:rPr>
        <w:t xml:space="preserve"> expand their legal obligations to regulating behind the border issues like professional qualifications, service provision, manufacturing practices etc. Therefore, their contents have an impact also on domestic regulation. As the new FTAs place some of the implementation, but also amendment and rule-making powers insofar in the hands of treaty bodies, the executive gains influence insofar, whereas the EP´s influence is lost. The EP does not take part in the treaty bodies´ </w:t>
      </w:r>
      <w:proofErr w:type="gramStart"/>
      <w:r w:rsidRPr="003F20AA">
        <w:rPr>
          <w:rFonts w:cs="Times New Roman"/>
          <w:lang w:val="en-GB"/>
        </w:rPr>
        <w:t>rule-making</w:t>
      </w:r>
      <w:proofErr w:type="gramEnd"/>
      <w:r w:rsidRPr="003F20AA">
        <w:rPr>
          <w:rFonts w:cs="Times New Roman"/>
          <w:lang w:val="en-GB"/>
        </w:rPr>
        <w:t xml:space="preserve"> and treaty amending, nor does it have effective control powers</w:t>
      </w:r>
      <w:r w:rsidR="001616E1" w:rsidRPr="003F20AA">
        <w:rPr>
          <w:rFonts w:cs="Times New Roman"/>
          <w:lang w:val="en-GB"/>
        </w:rPr>
        <w:t xml:space="preserve"> insofar</w:t>
      </w:r>
      <w:r w:rsidRPr="003F20AA">
        <w:rPr>
          <w:rFonts w:cs="Times New Roman"/>
          <w:lang w:val="en-GB"/>
        </w:rPr>
        <w:t xml:space="preserve">, as shown above. </w:t>
      </w:r>
      <w:r w:rsidR="00F8409E" w:rsidRPr="003F20AA">
        <w:rPr>
          <w:rFonts w:cs="Times New Roman"/>
          <w:lang w:val="en-GB"/>
        </w:rPr>
        <w:t>In contrast, Commission and Council are directly involved in the</w:t>
      </w:r>
      <w:r w:rsidR="001616E1" w:rsidRPr="003F20AA">
        <w:rPr>
          <w:rFonts w:cs="Times New Roman"/>
          <w:lang w:val="en-GB"/>
        </w:rPr>
        <w:t xml:space="preserve"> treaty bodies´</w:t>
      </w:r>
      <w:r w:rsidR="00F8409E" w:rsidRPr="003F20AA">
        <w:rPr>
          <w:rFonts w:cs="Times New Roman"/>
          <w:lang w:val="en-GB"/>
        </w:rPr>
        <w:t xml:space="preserve"> decision-making and have decisive influence. This shift of power to the benefit of executive institutions</w:t>
      </w:r>
      <w:r w:rsidR="001616E1" w:rsidRPr="003F20AA">
        <w:rPr>
          <w:rFonts w:cs="Times New Roman"/>
          <w:lang w:val="en-GB"/>
        </w:rPr>
        <w:t xml:space="preserve"> has gained momentum with the proliferation of treaty bodies in new generation FTAs, both </w:t>
      </w:r>
      <w:proofErr w:type="gramStart"/>
      <w:r w:rsidR="001616E1" w:rsidRPr="003F20AA">
        <w:rPr>
          <w:rFonts w:cs="Times New Roman"/>
          <w:lang w:val="en-GB"/>
        </w:rPr>
        <w:t>with regards to</w:t>
      </w:r>
      <w:proofErr w:type="gramEnd"/>
      <w:r w:rsidR="001616E1" w:rsidRPr="003F20AA">
        <w:rPr>
          <w:rFonts w:cs="Times New Roman"/>
          <w:lang w:val="en-GB"/>
        </w:rPr>
        <w:t xml:space="preserve"> their sheer numbers, but also with regards to their ever comprehensive powers, based on quite broad mandates. The EP´s control powers over FTA treaty bodies </w:t>
      </w:r>
      <w:proofErr w:type="gramStart"/>
      <w:r w:rsidR="001616E1" w:rsidRPr="003F20AA">
        <w:rPr>
          <w:rFonts w:cs="Times New Roman"/>
          <w:lang w:val="en-GB"/>
        </w:rPr>
        <w:t>have not been expanded</w:t>
      </w:r>
      <w:proofErr w:type="gramEnd"/>
      <w:r w:rsidR="001616E1" w:rsidRPr="003F20AA">
        <w:rPr>
          <w:rFonts w:cs="Times New Roman"/>
          <w:lang w:val="en-GB"/>
        </w:rPr>
        <w:t xml:space="preserve"> along with the proliferation of EU FTA treaty bodies. Thus, the establishment of a sophisticated treaty body system in EU FTAs is capable of evaporating the EP´s legislative and treaty making powers. This calls for a rebalancing of the EP control powers. Its powers have to be strengthened again to catch up with increased use of delegation of </w:t>
      </w:r>
      <w:proofErr w:type="gramStart"/>
      <w:r w:rsidR="001616E1" w:rsidRPr="003F20AA">
        <w:rPr>
          <w:rFonts w:cs="Times New Roman"/>
          <w:lang w:val="en-GB"/>
        </w:rPr>
        <w:t>rule-making</w:t>
      </w:r>
      <w:proofErr w:type="gramEnd"/>
      <w:r w:rsidR="001616E1" w:rsidRPr="003F20AA">
        <w:rPr>
          <w:rFonts w:cs="Times New Roman"/>
          <w:lang w:val="en-GB"/>
        </w:rPr>
        <w:t xml:space="preserve"> and treaty amendment powers to the executive.</w:t>
      </w:r>
      <w:r w:rsidR="006C70FB" w:rsidRPr="003F20AA">
        <w:rPr>
          <w:rFonts w:cs="Times New Roman"/>
          <w:lang w:val="en-GB"/>
        </w:rPr>
        <w:t xml:space="preserve"> Another way of rebalancing the power shift implied in comprehensive power delegation to treaty bodies would be limiting the scope of delegation. The latter will be analysed in the </w:t>
      </w:r>
      <w:r w:rsidR="00DF606F">
        <w:rPr>
          <w:rFonts w:cs="Times New Roman"/>
          <w:lang w:val="en-GB"/>
        </w:rPr>
        <w:t>following</w:t>
      </w:r>
      <w:r w:rsidR="006C70FB" w:rsidRPr="003F20AA">
        <w:rPr>
          <w:rFonts w:cs="Times New Roman"/>
          <w:lang w:val="en-GB"/>
        </w:rPr>
        <w:t xml:space="preserve"> section, before the last section will present proposals for increased EP involvement in the treaty body decision-making.</w:t>
      </w:r>
    </w:p>
    <w:p w:rsidR="00E621F5" w:rsidRDefault="00E621F5" w:rsidP="00CE5610">
      <w:pPr>
        <w:rPr>
          <w:rFonts w:ascii="Times New Roman" w:hAnsi="Times New Roman" w:cs="Times New Roman"/>
          <w:lang w:val="en-GB"/>
        </w:rPr>
      </w:pPr>
    </w:p>
    <w:p w:rsidR="00563253" w:rsidRDefault="00CB7816" w:rsidP="00563253">
      <w:pPr>
        <w:pStyle w:val="Listenabsatz"/>
        <w:numPr>
          <w:ilvl w:val="0"/>
          <w:numId w:val="1"/>
        </w:numPr>
        <w:rPr>
          <w:lang w:val="en-US"/>
        </w:rPr>
      </w:pPr>
      <w:r>
        <w:rPr>
          <w:lang w:val="en-US"/>
        </w:rPr>
        <w:t xml:space="preserve">Constraining </w:t>
      </w:r>
      <w:r w:rsidR="006C70FB">
        <w:rPr>
          <w:lang w:val="en-US"/>
        </w:rPr>
        <w:t xml:space="preserve">delegation to treaty bodies </w:t>
      </w:r>
    </w:p>
    <w:p w:rsidR="006C70FB" w:rsidRPr="002D102E" w:rsidRDefault="006C70FB" w:rsidP="006C70FB">
      <w:pPr>
        <w:rPr>
          <w:rFonts w:cs="Times New Roman"/>
          <w:lang w:val="en-GB"/>
        </w:rPr>
      </w:pPr>
      <w:r w:rsidRPr="002D102E">
        <w:rPr>
          <w:rFonts w:cs="Times New Roman"/>
          <w:lang w:val="en-GB"/>
        </w:rPr>
        <w:t xml:space="preserve">The results of this chapter so far have shown that the EP´s powers </w:t>
      </w:r>
      <w:proofErr w:type="gramStart"/>
      <w:r w:rsidRPr="002D102E">
        <w:rPr>
          <w:rFonts w:cs="Times New Roman"/>
          <w:lang w:val="en-GB"/>
        </w:rPr>
        <w:t>may be endangered</w:t>
      </w:r>
      <w:proofErr w:type="gramEnd"/>
      <w:r w:rsidRPr="002D102E">
        <w:rPr>
          <w:rFonts w:cs="Times New Roman"/>
          <w:lang w:val="en-GB"/>
        </w:rPr>
        <w:t xml:space="preserve"> by delegation of comprehensive powers to treaty bodies. As EP´s powers and its accompanying prerogatives serve its democratic functions</w:t>
      </w:r>
      <w:r w:rsidR="001A57EC" w:rsidRPr="002D102E">
        <w:rPr>
          <w:rStyle w:val="Funotenzeichen"/>
          <w:rFonts w:cs="Times New Roman"/>
          <w:lang w:val="en-GB"/>
        </w:rPr>
        <w:footnoteReference w:id="54"/>
      </w:r>
      <w:r w:rsidRPr="002D102E">
        <w:rPr>
          <w:rFonts w:cs="Times New Roman"/>
          <w:lang w:val="en-GB"/>
        </w:rPr>
        <w:t xml:space="preserve">, comprehensive decision-making powers of treaty bodies that go beyond mere executive implementation may violate democracy and institutional balance requirements of the EU Treaties. Therefore, these </w:t>
      </w:r>
      <w:r w:rsidR="001A57EC" w:rsidRPr="002D102E">
        <w:rPr>
          <w:rFonts w:cs="Times New Roman"/>
          <w:lang w:val="en-GB"/>
        </w:rPr>
        <w:t>constitutional</w:t>
      </w:r>
      <w:r w:rsidRPr="002D102E">
        <w:rPr>
          <w:rFonts w:cs="Times New Roman"/>
          <w:lang w:val="en-GB"/>
        </w:rPr>
        <w:t xml:space="preserve"> requirements necessarily limit the scope of delegation available to treaty bodies. Their use must be constrained. This section will explor</w:t>
      </w:r>
      <w:r w:rsidR="001A57EC" w:rsidRPr="002D102E">
        <w:rPr>
          <w:rFonts w:cs="Times New Roman"/>
          <w:lang w:val="en-GB"/>
        </w:rPr>
        <w:t>e</w:t>
      </w:r>
      <w:r w:rsidRPr="002D102E">
        <w:rPr>
          <w:rFonts w:cs="Times New Roman"/>
          <w:lang w:val="en-GB"/>
        </w:rPr>
        <w:t xml:space="preserve"> the constraints to delegation to the executive and apply them to transfer of powers to treaty bodies. </w:t>
      </w:r>
    </w:p>
    <w:p w:rsidR="008D5257" w:rsidRPr="002D102E" w:rsidRDefault="007C08A2" w:rsidP="008D5257">
      <w:pPr>
        <w:pStyle w:val="Listenabsatz"/>
        <w:numPr>
          <w:ilvl w:val="0"/>
          <w:numId w:val="8"/>
        </w:numPr>
        <w:rPr>
          <w:rFonts w:cs="Times New Roman"/>
          <w:color w:val="000000" w:themeColor="text1"/>
          <w:lang w:val="en-GB"/>
        </w:rPr>
      </w:pPr>
      <w:r w:rsidRPr="002D102E">
        <w:rPr>
          <w:rFonts w:cs="Times New Roman"/>
          <w:color w:val="000000" w:themeColor="text1"/>
          <w:lang w:val="en-GB"/>
        </w:rPr>
        <w:t xml:space="preserve">Constraints to </w:t>
      </w:r>
      <w:r w:rsidR="008D5257" w:rsidRPr="002D102E">
        <w:rPr>
          <w:rFonts w:cs="Times New Roman"/>
          <w:color w:val="000000" w:themeColor="text1"/>
          <w:lang w:val="en-GB"/>
        </w:rPr>
        <w:t>Delegation to the executive in EU law</w:t>
      </w:r>
    </w:p>
    <w:p w:rsidR="008D5257" w:rsidRPr="002D102E" w:rsidRDefault="00A118B0" w:rsidP="00D243F3">
      <w:pPr>
        <w:rPr>
          <w:rFonts w:cs="Times New Roman"/>
          <w:color w:val="000000" w:themeColor="text1"/>
          <w:lang w:val="en-GB"/>
        </w:rPr>
      </w:pPr>
      <w:r w:rsidRPr="002D102E">
        <w:rPr>
          <w:rFonts w:cs="Times New Roman"/>
          <w:color w:val="000000" w:themeColor="text1"/>
          <w:lang w:val="en-GB"/>
        </w:rPr>
        <w:lastRenderedPageBreak/>
        <w:t xml:space="preserve">Delegation of </w:t>
      </w:r>
      <w:proofErr w:type="gramStart"/>
      <w:r w:rsidRPr="002D102E">
        <w:rPr>
          <w:rFonts w:cs="Times New Roman"/>
          <w:color w:val="000000" w:themeColor="text1"/>
          <w:lang w:val="en-GB"/>
        </w:rPr>
        <w:t>rule</w:t>
      </w:r>
      <w:r w:rsidR="007C08A2" w:rsidRPr="002D102E">
        <w:rPr>
          <w:rFonts w:cs="Times New Roman"/>
          <w:color w:val="000000" w:themeColor="text1"/>
          <w:lang w:val="en-GB"/>
        </w:rPr>
        <w:t>-</w:t>
      </w:r>
      <w:r w:rsidRPr="002D102E">
        <w:rPr>
          <w:rFonts w:cs="Times New Roman"/>
          <w:color w:val="000000" w:themeColor="text1"/>
          <w:lang w:val="en-GB"/>
        </w:rPr>
        <w:t>making</w:t>
      </w:r>
      <w:proofErr w:type="gramEnd"/>
      <w:r w:rsidRPr="002D102E">
        <w:rPr>
          <w:rFonts w:cs="Times New Roman"/>
          <w:color w:val="000000" w:themeColor="text1"/>
          <w:lang w:val="en-GB"/>
        </w:rPr>
        <w:t xml:space="preserve"> to executive actors </w:t>
      </w:r>
      <w:r w:rsidR="00441066" w:rsidRPr="002D102E">
        <w:rPr>
          <w:rFonts w:cs="Times New Roman"/>
          <w:color w:val="000000" w:themeColor="text1"/>
          <w:lang w:val="en-GB"/>
        </w:rPr>
        <w:t xml:space="preserve">on the basis of enabling acts </w:t>
      </w:r>
      <w:r w:rsidR="00F33C8E" w:rsidRPr="002D102E">
        <w:rPr>
          <w:rFonts w:cs="Times New Roman"/>
          <w:color w:val="000000" w:themeColor="text1"/>
          <w:lang w:val="en-GB"/>
        </w:rPr>
        <w:t>is</w:t>
      </w:r>
      <w:r w:rsidRPr="002D102E">
        <w:rPr>
          <w:rFonts w:cs="Times New Roman"/>
          <w:color w:val="000000" w:themeColor="text1"/>
          <w:lang w:val="en-GB"/>
        </w:rPr>
        <w:t xml:space="preserve"> explicitly provided for since Lisbon in Article 290 and 291 TFEU, and in both cases it is (mainly) the Commission which is the delegate. Under Article 290, legislative acts may bestow the Commission with the authority to adopt delegated acts of general application</w:t>
      </w:r>
      <w:r w:rsidR="00A17655" w:rsidRPr="002D102E">
        <w:rPr>
          <w:rFonts w:cs="Times New Roman"/>
          <w:color w:val="000000" w:themeColor="text1"/>
          <w:lang w:val="en-GB"/>
        </w:rPr>
        <w:t xml:space="preserve"> that amend legislative acts (hence </w:t>
      </w:r>
      <w:r w:rsidR="007C08A2" w:rsidRPr="002D102E">
        <w:rPr>
          <w:rFonts w:cs="Times New Roman"/>
          <w:color w:val="000000" w:themeColor="text1"/>
          <w:lang w:val="en-GB"/>
        </w:rPr>
        <w:t>are</w:t>
      </w:r>
      <w:r w:rsidR="00A17655" w:rsidRPr="002D102E">
        <w:rPr>
          <w:rFonts w:cs="Times New Roman"/>
          <w:color w:val="000000" w:themeColor="text1"/>
          <w:lang w:val="en-GB"/>
        </w:rPr>
        <w:t xml:space="preserve"> quasi-legislative</w:t>
      </w:r>
      <w:r w:rsidR="00A17655" w:rsidRPr="002D102E">
        <w:rPr>
          <w:rStyle w:val="Funotenzeichen"/>
          <w:rFonts w:cs="Times New Roman"/>
          <w:color w:val="000000" w:themeColor="text1"/>
          <w:lang w:val="en-GB"/>
        </w:rPr>
        <w:footnoteReference w:id="55"/>
      </w:r>
      <w:r w:rsidR="00A17655" w:rsidRPr="002D102E">
        <w:rPr>
          <w:rFonts w:cs="Times New Roman"/>
          <w:color w:val="000000" w:themeColor="text1"/>
          <w:lang w:val="en-GB"/>
        </w:rPr>
        <w:t>)</w:t>
      </w:r>
      <w:proofErr w:type="gramStart"/>
      <w:r w:rsidRPr="002D102E">
        <w:rPr>
          <w:rFonts w:cs="Times New Roman"/>
          <w:color w:val="000000" w:themeColor="text1"/>
          <w:lang w:val="en-GB"/>
        </w:rPr>
        <w:t>,</w:t>
      </w:r>
      <w:proofErr w:type="gramEnd"/>
      <w:r w:rsidRPr="002D102E">
        <w:rPr>
          <w:rFonts w:cs="Times New Roman"/>
          <w:color w:val="000000" w:themeColor="text1"/>
          <w:lang w:val="en-GB"/>
        </w:rPr>
        <w:t xml:space="preserve"> whereas under Article 291 (2) the Commission may be entrusted with the power to adopt (individual or general) implementing acts</w:t>
      </w:r>
      <w:r w:rsidR="00664C46" w:rsidRPr="002D102E">
        <w:rPr>
          <w:rFonts w:cs="Times New Roman"/>
          <w:color w:val="000000" w:themeColor="text1"/>
          <w:lang w:val="en-GB"/>
        </w:rPr>
        <w:t>, in continuation of the long established Comitology system</w:t>
      </w:r>
      <w:r w:rsidRPr="002D102E">
        <w:rPr>
          <w:rFonts w:cs="Times New Roman"/>
          <w:color w:val="000000" w:themeColor="text1"/>
          <w:lang w:val="en-GB"/>
        </w:rPr>
        <w:t>.</w:t>
      </w:r>
      <w:r w:rsidR="00664C46" w:rsidRPr="002D102E">
        <w:rPr>
          <w:rStyle w:val="Funotenzeichen"/>
          <w:rFonts w:cs="Times New Roman"/>
          <w:color w:val="000000" w:themeColor="text1"/>
          <w:lang w:val="en-GB"/>
        </w:rPr>
        <w:footnoteReference w:id="56"/>
      </w:r>
      <w:r w:rsidRPr="002D102E">
        <w:rPr>
          <w:rFonts w:cs="Times New Roman"/>
          <w:color w:val="000000" w:themeColor="text1"/>
          <w:lang w:val="en-GB"/>
        </w:rPr>
        <w:t xml:space="preserve"> Besides</w:t>
      </w:r>
      <w:r w:rsidR="007C08A2" w:rsidRPr="002D102E">
        <w:rPr>
          <w:rFonts w:cs="Times New Roman"/>
          <w:color w:val="000000" w:themeColor="text1"/>
          <w:lang w:val="en-GB"/>
        </w:rPr>
        <w:t>,</w:t>
      </w:r>
      <w:r w:rsidRPr="002D102E">
        <w:rPr>
          <w:rFonts w:cs="Times New Roman"/>
          <w:color w:val="000000" w:themeColor="text1"/>
          <w:lang w:val="en-GB"/>
        </w:rPr>
        <w:t xml:space="preserve"> there exist other forms of delegation </w:t>
      </w:r>
      <w:r w:rsidR="00AC2D46" w:rsidRPr="002D102E">
        <w:rPr>
          <w:rFonts w:cs="Times New Roman"/>
          <w:color w:val="000000" w:themeColor="text1"/>
          <w:lang w:val="en-GB"/>
        </w:rPr>
        <w:t>to adopt individual decisions or general rules</w:t>
      </w:r>
      <w:r w:rsidRPr="002D102E">
        <w:rPr>
          <w:rFonts w:cs="Times New Roman"/>
          <w:color w:val="000000" w:themeColor="text1"/>
          <w:lang w:val="en-GB"/>
        </w:rPr>
        <w:t xml:space="preserve">, in particular </w:t>
      </w:r>
      <w:r w:rsidR="007C08A2" w:rsidRPr="002D102E">
        <w:rPr>
          <w:rFonts w:cs="Times New Roman"/>
          <w:color w:val="000000" w:themeColor="text1"/>
          <w:lang w:val="en-GB"/>
        </w:rPr>
        <w:t>to</w:t>
      </w:r>
      <w:r w:rsidRPr="002D102E">
        <w:rPr>
          <w:rFonts w:cs="Times New Roman"/>
          <w:color w:val="000000" w:themeColor="text1"/>
          <w:lang w:val="en-GB"/>
        </w:rPr>
        <w:t xml:space="preserve"> EU agencies.</w:t>
      </w:r>
      <w:r w:rsidR="00AC2D46" w:rsidRPr="002D102E">
        <w:rPr>
          <w:rStyle w:val="Funotenzeichen"/>
          <w:rFonts w:cs="Times New Roman"/>
          <w:color w:val="000000" w:themeColor="text1"/>
          <w:lang w:val="en-GB"/>
        </w:rPr>
        <w:footnoteReference w:id="57"/>
      </w:r>
      <w:r w:rsidR="00AC2D46" w:rsidRPr="002D102E">
        <w:rPr>
          <w:rFonts w:cs="Times New Roman"/>
          <w:color w:val="000000" w:themeColor="text1"/>
          <w:lang w:val="en-GB"/>
        </w:rPr>
        <w:t xml:space="preserve"> Common to these variations of </w:t>
      </w:r>
      <w:r w:rsidR="00E33C2D" w:rsidRPr="002D102E">
        <w:rPr>
          <w:rFonts w:cs="Times New Roman"/>
          <w:color w:val="000000" w:themeColor="text1"/>
          <w:lang w:val="en-GB"/>
        </w:rPr>
        <w:t xml:space="preserve">internal </w:t>
      </w:r>
      <w:r w:rsidR="00AC2D46" w:rsidRPr="002D102E">
        <w:rPr>
          <w:rFonts w:cs="Times New Roman"/>
          <w:color w:val="000000" w:themeColor="text1"/>
          <w:lang w:val="en-GB"/>
        </w:rPr>
        <w:t xml:space="preserve">delegation is the requirement of a basic </w:t>
      </w:r>
      <w:r w:rsidR="00F33C8E" w:rsidRPr="002D102E">
        <w:rPr>
          <w:rFonts w:cs="Times New Roman"/>
          <w:color w:val="000000" w:themeColor="text1"/>
          <w:lang w:val="en-GB"/>
        </w:rPr>
        <w:t xml:space="preserve">enabling legal </w:t>
      </w:r>
      <w:r w:rsidR="00AC2D46" w:rsidRPr="002D102E">
        <w:rPr>
          <w:rFonts w:cs="Times New Roman"/>
          <w:color w:val="000000" w:themeColor="text1"/>
          <w:lang w:val="en-GB"/>
        </w:rPr>
        <w:t xml:space="preserve">act </w:t>
      </w:r>
      <w:r w:rsidR="00F33C8E" w:rsidRPr="002D102E">
        <w:rPr>
          <w:rFonts w:cs="Times New Roman"/>
          <w:color w:val="000000" w:themeColor="text1"/>
          <w:lang w:val="en-GB"/>
        </w:rPr>
        <w:t>that</w:t>
      </w:r>
      <w:r w:rsidR="00AC2D46" w:rsidRPr="002D102E">
        <w:rPr>
          <w:rFonts w:cs="Times New Roman"/>
          <w:color w:val="000000" w:themeColor="text1"/>
          <w:lang w:val="en-GB"/>
        </w:rPr>
        <w:t xml:space="preserve"> establishes the mandate of the delegate.</w:t>
      </w:r>
      <w:r w:rsidR="000D4F38" w:rsidRPr="002D102E">
        <w:rPr>
          <w:rFonts w:cs="Times New Roman"/>
          <w:color w:val="000000" w:themeColor="text1"/>
          <w:lang w:val="en-GB"/>
        </w:rPr>
        <w:t xml:space="preserve"> The object of delegation is rather broad: the delegate may supplement or even amend the enabling </w:t>
      </w:r>
      <w:r w:rsidR="00942C9E" w:rsidRPr="002D102E">
        <w:rPr>
          <w:rFonts w:cs="Times New Roman"/>
          <w:color w:val="000000" w:themeColor="text1"/>
          <w:lang w:val="en-GB"/>
        </w:rPr>
        <w:t>ac</w:t>
      </w:r>
      <w:r w:rsidR="000D4F38" w:rsidRPr="002D102E">
        <w:rPr>
          <w:rFonts w:cs="Times New Roman"/>
          <w:color w:val="000000" w:themeColor="text1"/>
          <w:lang w:val="en-GB"/>
        </w:rPr>
        <w:t>t</w:t>
      </w:r>
      <w:r w:rsidR="002F0A99" w:rsidRPr="002D102E">
        <w:rPr>
          <w:rFonts w:cs="Times New Roman"/>
          <w:color w:val="000000" w:themeColor="text1"/>
          <w:lang w:val="en-GB"/>
        </w:rPr>
        <w:t xml:space="preserve"> in its substance</w:t>
      </w:r>
      <w:r w:rsidR="00431D65" w:rsidRPr="002D102E">
        <w:rPr>
          <w:rFonts w:cs="Times New Roman"/>
          <w:color w:val="000000" w:themeColor="text1"/>
          <w:lang w:val="en-GB"/>
        </w:rPr>
        <w:t>, or</w:t>
      </w:r>
      <w:r w:rsidR="000D4F38" w:rsidRPr="002D102E">
        <w:rPr>
          <w:rFonts w:cs="Times New Roman"/>
          <w:color w:val="000000" w:themeColor="text1"/>
          <w:lang w:val="en-GB"/>
        </w:rPr>
        <w:t xml:space="preserve"> implement it by applying it to individual cases or by ad</w:t>
      </w:r>
      <w:r w:rsidR="002F0A99" w:rsidRPr="002D102E">
        <w:rPr>
          <w:rFonts w:cs="Times New Roman"/>
          <w:color w:val="000000" w:themeColor="text1"/>
          <w:lang w:val="en-GB"/>
        </w:rPr>
        <w:t xml:space="preserve">opting general rules that add </w:t>
      </w:r>
      <w:r w:rsidR="000D4F38" w:rsidRPr="002D102E">
        <w:rPr>
          <w:rFonts w:cs="Times New Roman"/>
          <w:color w:val="000000" w:themeColor="text1"/>
          <w:lang w:val="en-GB"/>
        </w:rPr>
        <w:t>more detail</w:t>
      </w:r>
      <w:r w:rsidR="002F0A99" w:rsidRPr="002D102E">
        <w:rPr>
          <w:rFonts w:cs="Times New Roman"/>
          <w:color w:val="000000" w:themeColor="text1"/>
          <w:lang w:val="en-GB"/>
        </w:rPr>
        <w:t xml:space="preserve"> in order to make general stipulations of the basic act applicable</w:t>
      </w:r>
      <w:r w:rsidR="000D4F38" w:rsidRPr="002D102E">
        <w:rPr>
          <w:rFonts w:cs="Times New Roman"/>
          <w:color w:val="000000" w:themeColor="text1"/>
          <w:lang w:val="en-GB"/>
        </w:rPr>
        <w:t xml:space="preserve">. </w:t>
      </w:r>
    </w:p>
    <w:p w:rsidR="00D54E17" w:rsidRPr="002D102E" w:rsidRDefault="00E33C2D" w:rsidP="00D243F3">
      <w:pPr>
        <w:rPr>
          <w:color w:val="000000" w:themeColor="text1"/>
          <w:lang w:val="en-GB"/>
        </w:rPr>
      </w:pPr>
      <w:r w:rsidRPr="002D102E">
        <w:rPr>
          <w:rFonts w:cs="Times New Roman"/>
          <w:color w:val="000000" w:themeColor="text1"/>
          <w:lang w:val="en-GB"/>
        </w:rPr>
        <w:t xml:space="preserve">The delegation of decision-making </w:t>
      </w:r>
      <w:r w:rsidR="005F61E0" w:rsidRPr="002D102E">
        <w:rPr>
          <w:rFonts w:cs="Times New Roman"/>
          <w:color w:val="000000" w:themeColor="text1"/>
          <w:lang w:val="en-GB"/>
        </w:rPr>
        <w:t xml:space="preserve">powers </w:t>
      </w:r>
      <w:r w:rsidRPr="002D102E">
        <w:rPr>
          <w:rFonts w:cs="Times New Roman"/>
          <w:color w:val="000000" w:themeColor="text1"/>
          <w:lang w:val="en-GB"/>
        </w:rPr>
        <w:t xml:space="preserve">to the treaty bodies </w:t>
      </w:r>
      <w:r w:rsidR="00D871E9" w:rsidRPr="002D102E">
        <w:rPr>
          <w:rFonts w:cs="Times New Roman"/>
          <w:color w:val="000000" w:themeColor="text1"/>
          <w:lang w:val="en-GB"/>
        </w:rPr>
        <w:t xml:space="preserve">fits to </w:t>
      </w:r>
      <w:r w:rsidRPr="002D102E">
        <w:rPr>
          <w:rFonts w:cs="Times New Roman"/>
          <w:color w:val="000000" w:themeColor="text1"/>
          <w:lang w:val="en-GB"/>
        </w:rPr>
        <w:t xml:space="preserve">the </w:t>
      </w:r>
      <w:r w:rsidR="005F61E0" w:rsidRPr="002D102E">
        <w:rPr>
          <w:rFonts w:cs="Times New Roman"/>
          <w:color w:val="000000" w:themeColor="text1"/>
          <w:lang w:val="en-GB"/>
        </w:rPr>
        <w:t xml:space="preserve">basic </w:t>
      </w:r>
      <w:r w:rsidRPr="002D102E">
        <w:rPr>
          <w:rFonts w:cs="Times New Roman"/>
          <w:color w:val="000000" w:themeColor="text1"/>
          <w:lang w:val="en-GB"/>
        </w:rPr>
        <w:t>structures of the</w:t>
      </w:r>
      <w:r w:rsidR="005F61E0" w:rsidRPr="002D102E">
        <w:rPr>
          <w:rFonts w:cs="Times New Roman"/>
          <w:color w:val="000000" w:themeColor="text1"/>
          <w:lang w:val="en-GB"/>
        </w:rPr>
        <w:t xml:space="preserve"> </w:t>
      </w:r>
      <w:r w:rsidRPr="002D102E">
        <w:rPr>
          <w:rFonts w:cs="Times New Roman"/>
          <w:color w:val="000000" w:themeColor="text1"/>
          <w:lang w:val="en-GB"/>
        </w:rPr>
        <w:t>internal types of delegation: Treaty bodies adopt binding acts</w:t>
      </w:r>
      <w:r w:rsidR="005F61E0" w:rsidRPr="002D102E">
        <w:rPr>
          <w:rFonts w:cs="Times New Roman"/>
          <w:color w:val="000000" w:themeColor="text1"/>
          <w:lang w:val="en-GB"/>
        </w:rPr>
        <w:t xml:space="preserve"> also of general application</w:t>
      </w:r>
      <w:r w:rsidR="000D4F38" w:rsidRPr="002D102E">
        <w:rPr>
          <w:rFonts w:cs="Times New Roman"/>
          <w:color w:val="000000" w:themeColor="text1"/>
          <w:lang w:val="en-GB"/>
        </w:rPr>
        <w:t xml:space="preserve"> to implement </w:t>
      </w:r>
      <w:r w:rsidR="007C08A2" w:rsidRPr="002D102E">
        <w:rPr>
          <w:rFonts w:cs="Times New Roman"/>
          <w:color w:val="000000" w:themeColor="text1"/>
          <w:lang w:val="en-GB"/>
        </w:rPr>
        <w:t>an</w:t>
      </w:r>
      <w:r w:rsidR="000D4F38" w:rsidRPr="002D102E">
        <w:rPr>
          <w:rFonts w:cs="Times New Roman"/>
          <w:color w:val="000000" w:themeColor="text1"/>
          <w:lang w:val="en-GB"/>
        </w:rPr>
        <w:t xml:space="preserve"> agreement by specifying details or by amending its text</w:t>
      </w:r>
      <w:r w:rsidRPr="002D102E">
        <w:rPr>
          <w:rFonts w:cs="Times New Roman"/>
          <w:color w:val="000000" w:themeColor="text1"/>
          <w:lang w:val="en-GB"/>
        </w:rPr>
        <w:t xml:space="preserve">; </w:t>
      </w:r>
      <w:r w:rsidR="005F61E0" w:rsidRPr="002D102E">
        <w:rPr>
          <w:rFonts w:cs="Times New Roman"/>
          <w:color w:val="000000" w:themeColor="text1"/>
          <w:lang w:val="en-GB"/>
        </w:rPr>
        <w:t>the</w:t>
      </w:r>
      <w:r w:rsidRPr="002D102E">
        <w:rPr>
          <w:rFonts w:cs="Times New Roman"/>
          <w:color w:val="000000" w:themeColor="text1"/>
          <w:lang w:val="en-GB"/>
        </w:rPr>
        <w:t xml:space="preserve"> competence</w:t>
      </w:r>
      <w:r w:rsidR="005F61E0" w:rsidRPr="002D102E">
        <w:rPr>
          <w:rFonts w:cs="Times New Roman"/>
          <w:color w:val="000000" w:themeColor="text1"/>
          <w:lang w:val="en-GB"/>
        </w:rPr>
        <w:t>s for doing so</w:t>
      </w:r>
      <w:r w:rsidRPr="002D102E">
        <w:rPr>
          <w:rFonts w:cs="Times New Roman"/>
          <w:color w:val="000000" w:themeColor="text1"/>
          <w:lang w:val="en-GB"/>
        </w:rPr>
        <w:t xml:space="preserve"> must be provided for in the agreement entered into by the EU</w:t>
      </w:r>
      <w:r w:rsidR="007C08A2" w:rsidRPr="002D102E">
        <w:rPr>
          <w:rFonts w:cs="Times New Roman"/>
          <w:color w:val="000000" w:themeColor="text1"/>
          <w:lang w:val="en-GB"/>
        </w:rPr>
        <w:t>.</w:t>
      </w:r>
      <w:r w:rsidR="002F0A99" w:rsidRPr="002D102E">
        <w:rPr>
          <w:rFonts w:cs="Times New Roman"/>
          <w:color w:val="000000" w:themeColor="text1"/>
          <w:lang w:val="en-GB"/>
        </w:rPr>
        <w:t xml:space="preserve"> </w:t>
      </w:r>
      <w:r w:rsidR="00D243F3" w:rsidRPr="002D102E">
        <w:rPr>
          <w:rFonts w:cs="Times New Roman"/>
          <w:color w:val="000000" w:themeColor="text1"/>
          <w:lang w:val="en-GB"/>
        </w:rPr>
        <w:t>In a democratic order</w:t>
      </w:r>
      <w:r w:rsidR="005F61E0" w:rsidRPr="002D102E">
        <w:rPr>
          <w:rFonts w:cs="Times New Roman"/>
          <w:color w:val="000000" w:themeColor="text1"/>
          <w:lang w:val="en-GB"/>
        </w:rPr>
        <w:t xml:space="preserve"> such as the EU (Article 10 TEU)</w:t>
      </w:r>
      <w:r w:rsidR="00D243F3" w:rsidRPr="002D102E">
        <w:rPr>
          <w:rFonts w:cs="Times New Roman"/>
          <w:color w:val="000000" w:themeColor="text1"/>
          <w:lang w:val="en-GB"/>
        </w:rPr>
        <w:t xml:space="preserve">, the exercise of public powers </w:t>
      </w:r>
      <w:r w:rsidR="005F61E0" w:rsidRPr="002D102E">
        <w:rPr>
          <w:rFonts w:cs="Times New Roman"/>
          <w:color w:val="000000" w:themeColor="text1"/>
          <w:lang w:val="en-GB"/>
        </w:rPr>
        <w:t xml:space="preserve">by executive institutions </w:t>
      </w:r>
      <w:r w:rsidR="00D243F3" w:rsidRPr="002D102E">
        <w:rPr>
          <w:rFonts w:cs="Times New Roman"/>
          <w:color w:val="000000" w:themeColor="text1"/>
          <w:lang w:val="en-GB"/>
        </w:rPr>
        <w:t xml:space="preserve">is legitimate only if their establishment </w:t>
      </w:r>
      <w:r w:rsidR="005F61E0" w:rsidRPr="002D102E">
        <w:rPr>
          <w:rFonts w:cs="Times New Roman"/>
          <w:color w:val="000000" w:themeColor="text1"/>
          <w:lang w:val="en-GB"/>
        </w:rPr>
        <w:t xml:space="preserve">is </w:t>
      </w:r>
      <w:r w:rsidR="00D243F3" w:rsidRPr="002D102E">
        <w:rPr>
          <w:rFonts w:cs="Times New Roman"/>
          <w:color w:val="000000" w:themeColor="text1"/>
          <w:lang w:val="en-GB"/>
        </w:rPr>
        <w:t>subject to a parliamentary decision</w:t>
      </w:r>
      <w:r w:rsidR="005314C2" w:rsidRPr="002D102E">
        <w:rPr>
          <w:rFonts w:cs="Times New Roman"/>
          <w:color w:val="000000" w:themeColor="text1"/>
          <w:lang w:val="en-GB"/>
        </w:rPr>
        <w:t>, at least a parliamentary participation (see Article 289 (2) TFEU)</w:t>
      </w:r>
      <w:r w:rsidR="00D243F3" w:rsidRPr="002D102E">
        <w:rPr>
          <w:rFonts w:cs="Times New Roman"/>
          <w:color w:val="000000" w:themeColor="text1"/>
          <w:lang w:val="en-GB"/>
        </w:rPr>
        <w:t xml:space="preserve">. </w:t>
      </w:r>
      <w:proofErr w:type="gramStart"/>
      <w:r w:rsidR="003E444E" w:rsidRPr="002D102E">
        <w:rPr>
          <w:rFonts w:cs="Times New Roman"/>
          <w:color w:val="000000" w:themeColor="text1"/>
          <w:lang w:val="en-GB"/>
        </w:rPr>
        <w:t>This requirement is confirmed by Article 290</w:t>
      </w:r>
      <w:proofErr w:type="gramEnd"/>
      <w:r w:rsidR="003E444E" w:rsidRPr="002D102E">
        <w:rPr>
          <w:rFonts w:cs="Times New Roman"/>
          <w:color w:val="000000" w:themeColor="text1"/>
          <w:lang w:val="en-GB"/>
        </w:rPr>
        <w:t>, as the delegation requires a legislative basic act</w:t>
      </w:r>
      <w:r w:rsidR="007C08A2" w:rsidRPr="002D102E">
        <w:rPr>
          <w:rFonts w:cs="Times New Roman"/>
          <w:color w:val="000000" w:themeColor="text1"/>
          <w:lang w:val="en-GB"/>
        </w:rPr>
        <w:t xml:space="preserve">. </w:t>
      </w:r>
      <w:proofErr w:type="gramStart"/>
      <w:r w:rsidR="007C08A2" w:rsidRPr="002D102E">
        <w:rPr>
          <w:rFonts w:cs="Times New Roman"/>
          <w:color w:val="000000" w:themeColor="text1"/>
          <w:lang w:val="en-GB"/>
        </w:rPr>
        <w:t>Also</w:t>
      </w:r>
      <w:proofErr w:type="gramEnd"/>
      <w:r w:rsidR="007C08A2" w:rsidRPr="002D102E">
        <w:rPr>
          <w:rFonts w:cs="Times New Roman"/>
          <w:color w:val="000000" w:themeColor="text1"/>
          <w:lang w:val="en-GB"/>
        </w:rPr>
        <w:t xml:space="preserve"> </w:t>
      </w:r>
      <w:r w:rsidR="003E444E" w:rsidRPr="002D102E">
        <w:rPr>
          <w:rFonts w:cs="Times New Roman"/>
          <w:color w:val="000000" w:themeColor="text1"/>
          <w:lang w:val="en-GB"/>
        </w:rPr>
        <w:t>the delegation to agencies</w:t>
      </w:r>
      <w:r w:rsidR="005B7E40" w:rsidRPr="002D102E">
        <w:rPr>
          <w:rFonts w:cs="Times New Roman"/>
          <w:color w:val="000000" w:themeColor="text1"/>
          <w:lang w:val="en-GB"/>
        </w:rPr>
        <w:t xml:space="preserve"> </w:t>
      </w:r>
      <w:r w:rsidR="00F33C8E" w:rsidRPr="002D102E">
        <w:rPr>
          <w:rFonts w:cs="Times New Roman"/>
          <w:color w:val="000000" w:themeColor="text1"/>
          <w:lang w:val="en-GB"/>
        </w:rPr>
        <w:t>presupposes</w:t>
      </w:r>
      <w:r w:rsidR="003E444E" w:rsidRPr="002D102E">
        <w:rPr>
          <w:rFonts w:cs="Times New Roman"/>
          <w:color w:val="000000" w:themeColor="text1"/>
          <w:lang w:val="en-GB"/>
        </w:rPr>
        <w:t xml:space="preserve"> </w:t>
      </w:r>
      <w:r w:rsidR="00F33C8E" w:rsidRPr="002D102E">
        <w:rPr>
          <w:rFonts w:cs="Times New Roman"/>
          <w:color w:val="000000" w:themeColor="text1"/>
          <w:lang w:val="en-GB"/>
        </w:rPr>
        <w:t xml:space="preserve">the adoption of </w:t>
      </w:r>
      <w:r w:rsidR="003E444E" w:rsidRPr="002D102E">
        <w:rPr>
          <w:rFonts w:cs="Times New Roman"/>
          <w:color w:val="000000" w:themeColor="text1"/>
          <w:lang w:val="en-GB"/>
        </w:rPr>
        <w:t>a legislative act.</w:t>
      </w:r>
      <w:r w:rsidR="005B7E40" w:rsidRPr="002D102E">
        <w:rPr>
          <w:rStyle w:val="Funotenzeichen"/>
          <w:rFonts w:cs="Times New Roman"/>
          <w:color w:val="000000" w:themeColor="text1"/>
          <w:lang w:val="en-GB"/>
        </w:rPr>
        <w:footnoteReference w:id="58"/>
      </w:r>
      <w:r w:rsidR="003E444E" w:rsidRPr="002D102E">
        <w:rPr>
          <w:rFonts w:cs="Times New Roman"/>
          <w:color w:val="000000" w:themeColor="text1"/>
          <w:lang w:val="en-GB"/>
        </w:rPr>
        <w:t xml:space="preserve"> </w:t>
      </w:r>
      <w:r w:rsidR="007C08A2" w:rsidRPr="002D102E">
        <w:rPr>
          <w:rFonts w:cs="Times New Roman"/>
          <w:color w:val="000000" w:themeColor="text1"/>
          <w:lang w:val="en-GB"/>
        </w:rPr>
        <w:t>U</w:t>
      </w:r>
      <w:r w:rsidR="003E444E" w:rsidRPr="002D102E">
        <w:rPr>
          <w:rFonts w:cs="Times New Roman"/>
          <w:color w:val="000000" w:themeColor="text1"/>
          <w:lang w:val="en-GB"/>
        </w:rPr>
        <w:t xml:space="preserve">nder Article 291 TFEU, transferring implementing powers to the Commission involves the legislative by way of </w:t>
      </w:r>
      <w:r w:rsidR="00F33C8E" w:rsidRPr="002D102E">
        <w:rPr>
          <w:rFonts w:cs="Times New Roman"/>
          <w:color w:val="000000" w:themeColor="text1"/>
          <w:lang w:val="en-GB"/>
        </w:rPr>
        <w:t xml:space="preserve">enacting </w:t>
      </w:r>
      <w:r w:rsidR="003E444E" w:rsidRPr="002D102E">
        <w:rPr>
          <w:rFonts w:cs="Times New Roman"/>
          <w:color w:val="000000" w:themeColor="text1"/>
          <w:lang w:val="en-GB"/>
        </w:rPr>
        <w:t xml:space="preserve">the control mechanisms </w:t>
      </w:r>
      <w:r w:rsidR="00F33C8E" w:rsidRPr="002D102E">
        <w:rPr>
          <w:rFonts w:cs="Times New Roman"/>
          <w:color w:val="000000" w:themeColor="text1"/>
          <w:lang w:val="en-GB"/>
        </w:rPr>
        <w:t xml:space="preserve">in a legislative act </w:t>
      </w:r>
      <w:r w:rsidR="003E444E" w:rsidRPr="002D102E">
        <w:rPr>
          <w:rFonts w:cs="Times New Roman"/>
          <w:color w:val="000000" w:themeColor="text1"/>
          <w:lang w:val="en-GB"/>
        </w:rPr>
        <w:t>(</w:t>
      </w:r>
      <w:r w:rsidR="00F33C8E" w:rsidRPr="002D102E">
        <w:rPr>
          <w:rFonts w:cs="Times New Roman"/>
          <w:color w:val="000000" w:themeColor="text1"/>
          <w:lang w:val="en-GB"/>
        </w:rPr>
        <w:t>A</w:t>
      </w:r>
      <w:r w:rsidR="003E444E" w:rsidRPr="002D102E">
        <w:rPr>
          <w:rFonts w:cs="Times New Roman"/>
          <w:color w:val="000000" w:themeColor="text1"/>
          <w:lang w:val="en-GB"/>
        </w:rPr>
        <w:t xml:space="preserve">rt 291 (3) TFEU). </w:t>
      </w:r>
      <w:r w:rsidR="007C08A2" w:rsidRPr="002D102E">
        <w:rPr>
          <w:rFonts w:cs="Times New Roman"/>
          <w:color w:val="000000" w:themeColor="text1"/>
          <w:lang w:val="en-GB"/>
        </w:rPr>
        <w:t>Indeed</w:t>
      </w:r>
      <w:r w:rsidR="00F33C8E" w:rsidRPr="002D102E">
        <w:rPr>
          <w:rFonts w:cs="Times New Roman"/>
          <w:color w:val="000000" w:themeColor="text1"/>
          <w:lang w:val="en-GB"/>
        </w:rPr>
        <w:t>, t</w:t>
      </w:r>
      <w:r w:rsidR="007809DA" w:rsidRPr="002D102E">
        <w:rPr>
          <w:rFonts w:cs="Times New Roman"/>
          <w:color w:val="000000" w:themeColor="text1"/>
          <w:lang w:val="en-GB"/>
        </w:rPr>
        <w:t xml:space="preserve">he EP – besides the Council - is involved in the delegation of powers to treaty bodies </w:t>
      </w:r>
      <w:r w:rsidR="003E444E" w:rsidRPr="002D102E">
        <w:rPr>
          <w:rFonts w:cs="Times New Roman"/>
          <w:color w:val="000000" w:themeColor="text1"/>
          <w:lang w:val="en-GB"/>
        </w:rPr>
        <w:t xml:space="preserve">as it gives </w:t>
      </w:r>
      <w:r w:rsidR="00D243F3" w:rsidRPr="002D102E">
        <w:rPr>
          <w:rFonts w:cs="Times New Roman"/>
          <w:color w:val="000000" w:themeColor="text1"/>
          <w:lang w:val="en-GB"/>
        </w:rPr>
        <w:t xml:space="preserve">consent to the empowering </w:t>
      </w:r>
      <w:r w:rsidR="005F61E0" w:rsidRPr="002D102E">
        <w:rPr>
          <w:rFonts w:cs="Times New Roman"/>
          <w:color w:val="000000" w:themeColor="text1"/>
          <w:lang w:val="en-GB"/>
        </w:rPr>
        <w:t>international agreements</w:t>
      </w:r>
      <w:r w:rsidR="007C08A2" w:rsidRPr="002D102E">
        <w:rPr>
          <w:rFonts w:cs="Times New Roman"/>
          <w:color w:val="000000" w:themeColor="text1"/>
          <w:lang w:val="en-GB"/>
        </w:rPr>
        <w:t>.</w:t>
      </w:r>
    </w:p>
    <w:p w:rsidR="00A452D7" w:rsidRPr="002D102E" w:rsidRDefault="00421FC9" w:rsidP="00421FC9">
      <w:pPr>
        <w:rPr>
          <w:rFonts w:cs="Times New Roman"/>
          <w:lang w:val="en-GB"/>
        </w:rPr>
      </w:pPr>
      <w:r w:rsidRPr="002D102E">
        <w:rPr>
          <w:rFonts w:cs="Times New Roman"/>
          <w:lang w:val="en-GB"/>
        </w:rPr>
        <w:t>Delegation</w:t>
      </w:r>
      <w:r w:rsidR="007C08A2" w:rsidRPr="002D102E">
        <w:rPr>
          <w:rFonts w:cs="Times New Roman"/>
          <w:lang w:val="en-GB"/>
        </w:rPr>
        <w:t>, however,</w:t>
      </w:r>
      <w:r w:rsidRPr="002D102E">
        <w:rPr>
          <w:rFonts w:cs="Times New Roman"/>
          <w:lang w:val="en-GB"/>
        </w:rPr>
        <w:t xml:space="preserve"> </w:t>
      </w:r>
      <w:proofErr w:type="gramStart"/>
      <w:r w:rsidRPr="002D102E">
        <w:rPr>
          <w:rFonts w:cs="Times New Roman"/>
          <w:lang w:val="en-GB"/>
        </w:rPr>
        <w:t>never is unlimited</w:t>
      </w:r>
      <w:proofErr w:type="gramEnd"/>
      <w:r w:rsidRPr="002D102E">
        <w:rPr>
          <w:rFonts w:cs="Times New Roman"/>
          <w:lang w:val="en-GB"/>
        </w:rPr>
        <w:t xml:space="preserve">. This insight </w:t>
      </w:r>
      <w:proofErr w:type="gramStart"/>
      <w:r w:rsidRPr="002D102E">
        <w:rPr>
          <w:rFonts w:cs="Times New Roman"/>
          <w:lang w:val="en-GB"/>
        </w:rPr>
        <w:t>can be learned</w:t>
      </w:r>
      <w:proofErr w:type="gramEnd"/>
      <w:r w:rsidRPr="002D102E">
        <w:rPr>
          <w:rFonts w:cs="Times New Roman"/>
          <w:lang w:val="en-GB"/>
        </w:rPr>
        <w:t xml:space="preserve"> from comparative constitutionalism, as well as from principal agent theory. Comparative constitutional analyses demonstrate that the delegation of powers from the legislator to the executive is subject to constraints. Domestic legal orders such as US constitutional law know a non-delegation </w:t>
      </w:r>
      <w:proofErr w:type="gramStart"/>
      <w:r w:rsidRPr="002D102E">
        <w:rPr>
          <w:rFonts w:cs="Times New Roman"/>
          <w:lang w:val="en-GB"/>
        </w:rPr>
        <w:t>doctrine which</w:t>
      </w:r>
      <w:proofErr w:type="gramEnd"/>
      <w:r w:rsidRPr="002D102E">
        <w:rPr>
          <w:rFonts w:cs="Times New Roman"/>
          <w:lang w:val="en-GB"/>
        </w:rPr>
        <w:t xml:space="preserve"> draws red lines.</w:t>
      </w:r>
      <w:r w:rsidR="00FD588B" w:rsidRPr="002D102E">
        <w:rPr>
          <w:rStyle w:val="Funotenzeichen"/>
          <w:rFonts w:cs="Times New Roman"/>
          <w:lang w:val="en-GB"/>
        </w:rPr>
        <w:footnoteReference w:id="59"/>
      </w:r>
      <w:r w:rsidRPr="002D102E">
        <w:rPr>
          <w:rFonts w:cs="Times New Roman"/>
          <w:lang w:val="en-GB"/>
        </w:rPr>
        <w:t xml:space="preserve"> Functionally similar, the delegation of legislative powers to the executive is limited by the stipulations of Article 80 Basic Law in Germany, and by the doctrine that the legislator itself must regulate the essential aspects of a legal act.</w:t>
      </w:r>
    </w:p>
    <w:p w:rsidR="0050661D" w:rsidRPr="002D102E" w:rsidRDefault="00421FC9" w:rsidP="0050661D">
      <w:pPr>
        <w:rPr>
          <w:rFonts w:cs="Times New Roman"/>
          <w:b/>
          <w:lang w:val="en-GB"/>
        </w:rPr>
      </w:pPr>
      <w:r w:rsidRPr="002D102E">
        <w:rPr>
          <w:rFonts w:cs="Times New Roman"/>
          <w:lang w:val="en-GB"/>
        </w:rPr>
        <w:t>S</w:t>
      </w:r>
      <w:r w:rsidR="004B186F" w:rsidRPr="002D102E">
        <w:rPr>
          <w:rFonts w:cs="Times New Roman"/>
          <w:lang w:val="en-GB"/>
        </w:rPr>
        <w:t xml:space="preserve">imilar </w:t>
      </w:r>
      <w:r w:rsidR="00ED1A31" w:rsidRPr="002D102E">
        <w:rPr>
          <w:rFonts w:cs="Times New Roman"/>
          <w:lang w:val="en-GB"/>
        </w:rPr>
        <w:t xml:space="preserve">specific </w:t>
      </w:r>
      <w:r w:rsidRPr="002D102E">
        <w:rPr>
          <w:rFonts w:cs="Times New Roman"/>
          <w:lang w:val="en-GB"/>
        </w:rPr>
        <w:t xml:space="preserve">limits to </w:t>
      </w:r>
      <w:r w:rsidR="002C6335" w:rsidRPr="002D102E">
        <w:rPr>
          <w:rFonts w:cs="Times New Roman"/>
          <w:lang w:val="en-GB"/>
        </w:rPr>
        <w:t xml:space="preserve">(internal) </w:t>
      </w:r>
      <w:r w:rsidRPr="002D102E">
        <w:rPr>
          <w:rFonts w:cs="Times New Roman"/>
          <w:lang w:val="en-GB"/>
        </w:rPr>
        <w:t xml:space="preserve">delegation of </w:t>
      </w:r>
      <w:proofErr w:type="gramStart"/>
      <w:r w:rsidRPr="002D102E">
        <w:rPr>
          <w:rFonts w:cs="Times New Roman"/>
          <w:lang w:val="en-GB"/>
        </w:rPr>
        <w:t>rule-making</w:t>
      </w:r>
      <w:proofErr w:type="gramEnd"/>
      <w:r w:rsidRPr="002D102E">
        <w:rPr>
          <w:rFonts w:cs="Times New Roman"/>
          <w:lang w:val="en-GB"/>
        </w:rPr>
        <w:t xml:space="preserve"> to the EU executive </w:t>
      </w:r>
      <w:r w:rsidR="00A452D7" w:rsidRPr="002D102E">
        <w:rPr>
          <w:rFonts w:cs="Times New Roman"/>
          <w:lang w:val="en-GB"/>
        </w:rPr>
        <w:t xml:space="preserve">do exist under </w:t>
      </w:r>
      <w:r w:rsidRPr="002D102E">
        <w:rPr>
          <w:rFonts w:cs="Times New Roman"/>
          <w:lang w:val="en-GB"/>
        </w:rPr>
        <w:t xml:space="preserve">EU </w:t>
      </w:r>
      <w:r w:rsidR="00A452D7" w:rsidRPr="002D102E">
        <w:rPr>
          <w:rFonts w:cs="Times New Roman"/>
          <w:lang w:val="en-GB"/>
        </w:rPr>
        <w:t>law</w:t>
      </w:r>
      <w:r w:rsidRPr="002D102E">
        <w:rPr>
          <w:rFonts w:cs="Times New Roman"/>
          <w:lang w:val="en-GB"/>
        </w:rPr>
        <w:t>: Article 290</w:t>
      </w:r>
      <w:r w:rsidR="00DA271D" w:rsidRPr="002D102E">
        <w:rPr>
          <w:rFonts w:cs="Times New Roman"/>
          <w:lang w:val="en-GB"/>
        </w:rPr>
        <w:t xml:space="preserve"> (1) TFEU provides that the </w:t>
      </w:r>
      <w:r w:rsidR="00DA271D" w:rsidRPr="002D102E">
        <w:rPr>
          <w:rFonts w:cs="Times New Roman"/>
          <w:color w:val="000000"/>
          <w:lang w:val="en-US"/>
        </w:rPr>
        <w:t>essential elements of an area shall be reserved for the legislative</w:t>
      </w:r>
      <w:r w:rsidR="004B186F" w:rsidRPr="002D102E">
        <w:rPr>
          <w:rFonts w:cs="Times New Roman"/>
          <w:color w:val="000000"/>
          <w:lang w:val="en-US"/>
        </w:rPr>
        <w:t xml:space="preserve">; they </w:t>
      </w:r>
      <w:r w:rsidR="00DA271D" w:rsidRPr="002D102E">
        <w:rPr>
          <w:rFonts w:cs="Times New Roman"/>
          <w:color w:val="000000"/>
          <w:lang w:val="en-US"/>
        </w:rPr>
        <w:t xml:space="preserve">shall not be </w:t>
      </w:r>
      <w:r w:rsidR="004B186F" w:rsidRPr="002D102E">
        <w:rPr>
          <w:rFonts w:cs="Times New Roman"/>
          <w:color w:val="000000"/>
          <w:lang w:val="en-US"/>
        </w:rPr>
        <w:t xml:space="preserve">the </w:t>
      </w:r>
      <w:r w:rsidR="00DA271D" w:rsidRPr="002D102E">
        <w:rPr>
          <w:rFonts w:cs="Times New Roman"/>
          <w:color w:val="000000"/>
          <w:lang w:val="en-US"/>
        </w:rPr>
        <w:t xml:space="preserve">subject of a delegation. </w:t>
      </w:r>
      <w:r w:rsidR="004B186F" w:rsidRPr="002D102E">
        <w:rPr>
          <w:rFonts w:cs="Times New Roman"/>
          <w:color w:val="000000"/>
          <w:lang w:val="en-US"/>
        </w:rPr>
        <w:t xml:space="preserve">Thus, </w:t>
      </w:r>
      <w:r w:rsidR="00DA271D" w:rsidRPr="002D102E">
        <w:rPr>
          <w:rFonts w:cs="Times New Roman"/>
          <w:color w:val="000000"/>
          <w:lang w:val="en-US"/>
        </w:rPr>
        <w:t xml:space="preserve">transferring </w:t>
      </w:r>
      <w:proofErr w:type="gramStart"/>
      <w:r w:rsidR="00F4080D" w:rsidRPr="002D102E">
        <w:rPr>
          <w:rFonts w:cs="Times New Roman"/>
          <w:color w:val="000000"/>
          <w:lang w:val="en-US"/>
        </w:rPr>
        <w:t>rule-making</w:t>
      </w:r>
      <w:proofErr w:type="gramEnd"/>
      <w:r w:rsidR="00F4080D" w:rsidRPr="002D102E">
        <w:rPr>
          <w:rFonts w:cs="Times New Roman"/>
          <w:color w:val="000000"/>
          <w:lang w:val="en-US"/>
        </w:rPr>
        <w:t xml:space="preserve"> on </w:t>
      </w:r>
      <w:r w:rsidR="00DA271D" w:rsidRPr="002D102E">
        <w:rPr>
          <w:rFonts w:cs="Times New Roman"/>
          <w:color w:val="000000"/>
          <w:lang w:val="en-US"/>
        </w:rPr>
        <w:t>fundamental issues</w:t>
      </w:r>
      <w:r w:rsidR="00D0373B" w:rsidRPr="002D102E">
        <w:rPr>
          <w:rFonts w:cs="Times New Roman"/>
          <w:color w:val="000000"/>
          <w:lang w:val="en-US"/>
        </w:rPr>
        <w:t xml:space="preserve">, </w:t>
      </w:r>
      <w:r w:rsidR="00F4080D" w:rsidRPr="002D102E">
        <w:rPr>
          <w:rFonts w:cs="Times New Roman"/>
          <w:color w:val="000000"/>
          <w:lang w:val="en-US"/>
        </w:rPr>
        <w:t xml:space="preserve">i.e. </w:t>
      </w:r>
      <w:r w:rsidR="00D0373B" w:rsidRPr="002D102E">
        <w:rPr>
          <w:rFonts w:cs="Times New Roman"/>
          <w:color w:val="000000"/>
          <w:lang w:val="en-US"/>
        </w:rPr>
        <w:t>the basic elements of a matter</w:t>
      </w:r>
      <w:r w:rsidR="00F4080D" w:rsidRPr="002D102E">
        <w:rPr>
          <w:rFonts w:cs="Times New Roman"/>
          <w:color w:val="000000"/>
          <w:lang w:val="en-US"/>
        </w:rPr>
        <w:t xml:space="preserve">, </w:t>
      </w:r>
      <w:r w:rsidR="00DA271D" w:rsidRPr="002D102E">
        <w:rPr>
          <w:rFonts w:cs="Times New Roman"/>
          <w:color w:val="000000"/>
          <w:lang w:val="en-US"/>
        </w:rPr>
        <w:t xml:space="preserve">to </w:t>
      </w:r>
      <w:r w:rsidR="004B186F" w:rsidRPr="002D102E">
        <w:rPr>
          <w:rFonts w:cs="Times New Roman"/>
          <w:color w:val="000000"/>
          <w:lang w:val="en-US"/>
        </w:rPr>
        <w:t xml:space="preserve">the executive </w:t>
      </w:r>
      <w:r w:rsidR="00DA271D" w:rsidRPr="002D102E">
        <w:rPr>
          <w:rFonts w:cs="Times New Roman"/>
          <w:color w:val="000000"/>
          <w:lang w:val="en-US"/>
        </w:rPr>
        <w:t xml:space="preserve">is unconstitutional. </w:t>
      </w:r>
      <w:r w:rsidR="004B186F" w:rsidRPr="002D102E">
        <w:rPr>
          <w:rFonts w:cs="Times New Roman"/>
          <w:color w:val="222222"/>
          <w:lang w:val="en-GB"/>
        </w:rPr>
        <w:t>The</w:t>
      </w:r>
      <w:r w:rsidR="00F4080D" w:rsidRPr="002D102E">
        <w:rPr>
          <w:rFonts w:cs="Times New Roman"/>
          <w:color w:val="222222"/>
          <w:lang w:val="en-GB"/>
        </w:rPr>
        <w:t xml:space="preserve">y must be reserved to the legislature because of their political nature as they comprise political or strategic decisions on the fundamental orientation of </w:t>
      </w:r>
      <w:proofErr w:type="gramStart"/>
      <w:r w:rsidR="00F4080D" w:rsidRPr="002D102E">
        <w:rPr>
          <w:rFonts w:cs="Times New Roman"/>
          <w:color w:val="222222"/>
          <w:lang w:val="en-GB"/>
        </w:rPr>
        <w:t>a</w:t>
      </w:r>
      <w:proofErr w:type="gramEnd"/>
      <w:r w:rsidR="00F4080D" w:rsidRPr="002D102E">
        <w:rPr>
          <w:rFonts w:cs="Times New Roman"/>
          <w:color w:val="222222"/>
          <w:lang w:val="en-GB"/>
        </w:rPr>
        <w:t xml:space="preserve"> </w:t>
      </w:r>
      <w:r w:rsidR="004B186F" w:rsidRPr="002D102E">
        <w:rPr>
          <w:rFonts w:cs="Times New Roman"/>
          <w:color w:val="222222"/>
          <w:lang w:val="en-GB"/>
        </w:rPr>
        <w:t>E</w:t>
      </w:r>
      <w:r w:rsidR="00F4080D" w:rsidRPr="002D102E">
        <w:rPr>
          <w:rFonts w:cs="Times New Roman"/>
          <w:color w:val="222222"/>
          <w:lang w:val="en-GB"/>
        </w:rPr>
        <w:t xml:space="preserve">U policy. Such decisions require immediate democratic legitimation as they imply wide discretion, in particular the need for political choices that </w:t>
      </w:r>
      <w:r w:rsidR="00F4080D" w:rsidRPr="002D102E">
        <w:rPr>
          <w:rFonts w:cs="Times New Roman"/>
          <w:color w:val="222222"/>
          <w:lang w:val="en-GB"/>
        </w:rPr>
        <w:lastRenderedPageBreak/>
        <w:t>weigh conflicting policy aims and interests.</w:t>
      </w:r>
      <w:r w:rsidR="00F4080D" w:rsidRPr="002D102E">
        <w:rPr>
          <w:rStyle w:val="Funotenzeichen"/>
          <w:rFonts w:cs="Times New Roman"/>
          <w:color w:val="000000"/>
          <w:lang w:val="en-US"/>
        </w:rPr>
        <w:t xml:space="preserve"> </w:t>
      </w:r>
      <w:r w:rsidR="00F4080D" w:rsidRPr="002D102E">
        <w:rPr>
          <w:rStyle w:val="Funotenzeichen"/>
          <w:rFonts w:cs="Times New Roman"/>
          <w:color w:val="000000"/>
          <w:lang w:val="en-US"/>
        </w:rPr>
        <w:footnoteReference w:id="60"/>
      </w:r>
      <w:r w:rsidR="00F4080D" w:rsidRPr="002D102E">
        <w:rPr>
          <w:rStyle w:val="Funotenzeichen"/>
          <w:rFonts w:cs="Times New Roman"/>
          <w:color w:val="000000"/>
          <w:lang w:val="en-US"/>
        </w:rPr>
        <w:t xml:space="preserve"> </w:t>
      </w:r>
      <w:r w:rsidR="00F4080D" w:rsidRPr="002D102E">
        <w:rPr>
          <w:rFonts w:cs="Times New Roman"/>
          <w:color w:val="000000"/>
          <w:lang w:val="en-US"/>
        </w:rPr>
        <w:t>Likewise</w:t>
      </w:r>
      <w:r w:rsidR="00DA271D" w:rsidRPr="002D102E">
        <w:rPr>
          <w:rFonts w:cs="Times New Roman"/>
          <w:color w:val="000000"/>
          <w:lang w:val="en-US"/>
        </w:rPr>
        <w:t>, the objectives, content, scope and duration of the delegation shall be explicitly defined in the legislative act</w:t>
      </w:r>
      <w:r w:rsidR="004B186F" w:rsidRPr="002D102E">
        <w:rPr>
          <w:rFonts w:cs="Times New Roman"/>
          <w:color w:val="000000"/>
          <w:lang w:val="en-US"/>
        </w:rPr>
        <w:t xml:space="preserve">; </w:t>
      </w:r>
      <w:proofErr w:type="gramStart"/>
      <w:r w:rsidR="004B186F" w:rsidRPr="002D102E">
        <w:rPr>
          <w:rFonts w:cs="Times New Roman"/>
          <w:color w:val="000000"/>
          <w:lang w:val="en-US"/>
        </w:rPr>
        <w:t>hence</w:t>
      </w:r>
      <w:proofErr w:type="gramEnd"/>
      <w:r w:rsidR="004B186F" w:rsidRPr="002D102E">
        <w:rPr>
          <w:rFonts w:cs="Times New Roman"/>
          <w:color w:val="000000"/>
          <w:lang w:val="en-US"/>
        </w:rPr>
        <w:t xml:space="preserve"> </w:t>
      </w:r>
      <w:r w:rsidR="00DA271D" w:rsidRPr="002D102E">
        <w:rPr>
          <w:rFonts w:cs="Times New Roman"/>
          <w:color w:val="000000"/>
          <w:lang w:val="en-US"/>
        </w:rPr>
        <w:t>delegation m</w:t>
      </w:r>
      <w:r w:rsidR="004B186F" w:rsidRPr="002D102E">
        <w:rPr>
          <w:rFonts w:cs="Times New Roman"/>
          <w:color w:val="000000"/>
          <w:lang w:val="en-US"/>
        </w:rPr>
        <w:t>ust</w:t>
      </w:r>
      <w:r w:rsidR="00DA271D" w:rsidRPr="002D102E">
        <w:rPr>
          <w:rFonts w:cs="Times New Roman"/>
          <w:color w:val="000000"/>
          <w:lang w:val="en-US"/>
        </w:rPr>
        <w:t xml:space="preserve"> not be unspecified</w:t>
      </w:r>
      <w:r w:rsidR="00973B20" w:rsidRPr="002D102E">
        <w:rPr>
          <w:rFonts w:cs="Times New Roman"/>
          <w:color w:val="000000"/>
          <w:lang w:val="en-US"/>
        </w:rPr>
        <w:t xml:space="preserve"> but </w:t>
      </w:r>
      <w:r w:rsidR="00973B20" w:rsidRPr="002D102E">
        <w:rPr>
          <w:color w:val="333333"/>
          <w:shd w:val="clear" w:color="auto" w:fill="FFFFFF"/>
          <w:lang w:val="en-US"/>
        </w:rPr>
        <w:t>determine and circumscribe precisely the powers </w:t>
      </w:r>
      <w:r w:rsidR="004B186F" w:rsidRPr="002D102E">
        <w:rPr>
          <w:color w:val="333333"/>
          <w:shd w:val="clear" w:color="auto" w:fill="FFFFFF"/>
          <w:lang w:val="en-US"/>
        </w:rPr>
        <w:t>transferred</w:t>
      </w:r>
      <w:r w:rsidR="00DA271D" w:rsidRPr="002D102E">
        <w:rPr>
          <w:rFonts w:cs="Times New Roman"/>
          <w:color w:val="000000"/>
          <w:lang w:val="en-US"/>
        </w:rPr>
        <w:t>.</w:t>
      </w:r>
      <w:r w:rsidR="00FD588B" w:rsidRPr="002D102E">
        <w:rPr>
          <w:rStyle w:val="Funotenzeichen"/>
          <w:rFonts w:cs="Times New Roman"/>
          <w:color w:val="000000"/>
          <w:lang w:val="en-US"/>
        </w:rPr>
        <w:footnoteReference w:id="61"/>
      </w:r>
      <w:r w:rsidR="00152BC2" w:rsidRPr="002D102E">
        <w:rPr>
          <w:rFonts w:cs="Times New Roman"/>
          <w:color w:val="000000"/>
          <w:lang w:val="en-US"/>
        </w:rPr>
        <w:t xml:space="preserve"> Besides, </w:t>
      </w:r>
      <w:r w:rsidR="00152BC2" w:rsidRPr="002D102E">
        <w:rPr>
          <w:rFonts w:cs="Times New Roman"/>
          <w:lang w:val="en-GB"/>
        </w:rPr>
        <w:t xml:space="preserve">delegation </w:t>
      </w:r>
      <w:proofErr w:type="gramStart"/>
      <w:r w:rsidR="00152BC2" w:rsidRPr="002D102E">
        <w:rPr>
          <w:rFonts w:cs="Times New Roman"/>
          <w:lang w:val="en-GB"/>
        </w:rPr>
        <w:t>must be accompanied</w:t>
      </w:r>
      <w:proofErr w:type="gramEnd"/>
      <w:r w:rsidR="00152BC2" w:rsidRPr="002D102E">
        <w:rPr>
          <w:rFonts w:cs="Times New Roman"/>
          <w:lang w:val="en-GB"/>
        </w:rPr>
        <w:t xml:space="preserve"> by control mechanisms. </w:t>
      </w:r>
      <w:r w:rsidR="004B186F" w:rsidRPr="002D102E">
        <w:rPr>
          <w:rFonts w:cs="Times New Roman"/>
          <w:lang w:val="en-GB"/>
        </w:rPr>
        <w:t xml:space="preserve">EP </w:t>
      </w:r>
      <w:r w:rsidR="00152BC2" w:rsidRPr="002D102E">
        <w:rPr>
          <w:rFonts w:cs="Times New Roman"/>
          <w:lang w:val="en-GB"/>
        </w:rPr>
        <w:t>– like the Council - is entitled to revoke the delegation or reserve a veto so that it can review the exercise of delegated powers and of any discretion transferred insofar, Article 290 (2) TFEU. Such mechanisms counterbalance the derogation from the principle of separation of powers inherent in the delegation of rule-making powers to the executive, and thus ensure observance to the requirements of democratic legitimacy.</w:t>
      </w:r>
      <w:r w:rsidR="00152BC2" w:rsidRPr="002D102E">
        <w:rPr>
          <w:rStyle w:val="Funotenzeichen"/>
          <w:rFonts w:cs="Times New Roman"/>
          <w:lang w:val="en-GB"/>
        </w:rPr>
        <w:footnoteReference w:id="62"/>
      </w:r>
      <w:r w:rsidR="007D3A9B" w:rsidRPr="002D102E">
        <w:rPr>
          <w:rFonts w:cs="Times New Roman"/>
          <w:lang w:val="en-GB"/>
        </w:rPr>
        <w:t xml:space="preserve"> Also the delegation of implementing powers </w:t>
      </w:r>
      <w:r w:rsidR="004B186F" w:rsidRPr="002D102E">
        <w:rPr>
          <w:rFonts w:cs="Times New Roman"/>
          <w:lang w:val="en-GB"/>
        </w:rPr>
        <w:t xml:space="preserve">under </w:t>
      </w:r>
      <w:r w:rsidR="007D3A9B" w:rsidRPr="002D102E">
        <w:rPr>
          <w:rFonts w:cs="Times New Roman"/>
          <w:lang w:val="en-GB"/>
        </w:rPr>
        <w:t xml:space="preserve">Article 291 (2), (3) and Regulation 182/2011 is subject to constraints: </w:t>
      </w:r>
      <w:r w:rsidR="002E392E" w:rsidRPr="002D102E">
        <w:rPr>
          <w:rFonts w:cs="Times New Roman"/>
          <w:lang w:val="en-GB"/>
        </w:rPr>
        <w:t>The adoption of i</w:t>
      </w:r>
      <w:r w:rsidR="007D3A9B" w:rsidRPr="002D102E">
        <w:rPr>
          <w:rFonts w:cs="Times New Roman"/>
          <w:lang w:val="en-GB"/>
        </w:rPr>
        <w:t xml:space="preserve">mplementing acts </w:t>
      </w:r>
      <w:r w:rsidR="002E392E" w:rsidRPr="002D102E">
        <w:rPr>
          <w:rFonts w:cs="Times New Roman"/>
          <w:lang w:val="en-GB"/>
        </w:rPr>
        <w:t>underlies</w:t>
      </w:r>
      <w:r w:rsidR="007D3A9B" w:rsidRPr="002D102E">
        <w:rPr>
          <w:rFonts w:cs="Times New Roman"/>
          <w:lang w:val="en-GB"/>
        </w:rPr>
        <w:t xml:space="preserve"> control </w:t>
      </w:r>
      <w:proofErr w:type="gramStart"/>
      <w:r w:rsidR="007D3A9B" w:rsidRPr="002D102E">
        <w:rPr>
          <w:rFonts w:cs="Times New Roman"/>
          <w:lang w:val="en-GB"/>
        </w:rPr>
        <w:t>mechanisms which</w:t>
      </w:r>
      <w:proofErr w:type="gramEnd"/>
      <w:r w:rsidR="007D3A9B" w:rsidRPr="002D102E">
        <w:rPr>
          <w:rFonts w:cs="Times New Roman"/>
          <w:lang w:val="en-GB"/>
        </w:rPr>
        <w:t xml:space="preserve"> ensure scrutiny by the Member States according to the legislative rules adopted by the EP and the Council in said Regulation. </w:t>
      </w:r>
      <w:proofErr w:type="gramStart"/>
      <w:r w:rsidR="007D3A9B" w:rsidRPr="002D102E">
        <w:rPr>
          <w:rFonts w:cs="Times New Roman"/>
          <w:lang w:val="en-GB"/>
        </w:rPr>
        <w:t>And also</w:t>
      </w:r>
      <w:proofErr w:type="gramEnd"/>
      <w:r w:rsidR="007D3A9B" w:rsidRPr="002D102E">
        <w:rPr>
          <w:rFonts w:cs="Times New Roman"/>
          <w:lang w:val="en-GB"/>
        </w:rPr>
        <w:t xml:space="preserve"> the conferral of implementing tasks requires some precision as regards the scope of the powers and the provision of specific criteria </w:t>
      </w:r>
      <w:r w:rsidR="007D3A9B" w:rsidRPr="002D102E">
        <w:rPr>
          <w:rFonts w:cs="Times New Roman"/>
          <w:color w:val="222222"/>
          <w:lang w:val="en-GB"/>
        </w:rPr>
        <w:t xml:space="preserve">to be followed. The scope of the powers and the criteria for their exercise must be set out in the enabling act with a certain degree of specificity; they must be </w:t>
      </w:r>
      <w:r w:rsidR="009E6B30" w:rsidRPr="002D102E">
        <w:rPr>
          <w:rFonts w:cs="Times New Roman"/>
          <w:color w:val="222222"/>
          <w:lang w:val="en-GB"/>
        </w:rPr>
        <w:t>“clearly defined”</w:t>
      </w:r>
      <w:r w:rsidR="007D3A9B" w:rsidRPr="002D102E">
        <w:rPr>
          <w:rFonts w:cs="Times New Roman"/>
          <w:color w:val="222222"/>
          <w:lang w:val="en-GB"/>
        </w:rPr>
        <w:t>.</w:t>
      </w:r>
      <w:r w:rsidR="007D3A9B" w:rsidRPr="002D102E">
        <w:rPr>
          <w:rStyle w:val="Funotenzeichen"/>
          <w:rFonts w:cs="Times New Roman"/>
          <w:color w:val="222222"/>
          <w:lang w:val="en-GB"/>
        </w:rPr>
        <w:footnoteReference w:id="63"/>
      </w:r>
      <w:r w:rsidR="00641911" w:rsidRPr="002D102E">
        <w:rPr>
          <w:rFonts w:cs="Times New Roman"/>
          <w:color w:val="222222"/>
          <w:lang w:val="en-GB"/>
        </w:rPr>
        <w:t xml:space="preserve"> </w:t>
      </w:r>
      <w:r w:rsidR="00152BC2" w:rsidRPr="002D102E">
        <w:rPr>
          <w:rFonts w:cs="Times New Roman"/>
          <w:lang w:val="en-US"/>
        </w:rPr>
        <w:t>These limitations ensure democratic legitimacy of delegated rulemaking and parliamentary control</w:t>
      </w:r>
      <w:r w:rsidR="004B186F" w:rsidRPr="002D102E">
        <w:rPr>
          <w:rFonts w:cs="Times New Roman"/>
          <w:lang w:val="en-US"/>
        </w:rPr>
        <w:t xml:space="preserve"> and </w:t>
      </w:r>
      <w:proofErr w:type="gramStart"/>
      <w:r w:rsidR="004B186F" w:rsidRPr="002D102E">
        <w:rPr>
          <w:rFonts w:cs="Times New Roman"/>
          <w:lang w:val="en-US"/>
        </w:rPr>
        <w:t>are also</w:t>
      </w:r>
      <w:proofErr w:type="gramEnd"/>
      <w:r w:rsidR="004B186F" w:rsidRPr="002D102E">
        <w:rPr>
          <w:rFonts w:cs="Times New Roman"/>
          <w:lang w:val="en-US"/>
        </w:rPr>
        <w:t xml:space="preserve"> </w:t>
      </w:r>
      <w:r w:rsidR="0050661D" w:rsidRPr="002D102E">
        <w:rPr>
          <w:rFonts w:cs="Times New Roman"/>
          <w:lang w:val="en-GB"/>
        </w:rPr>
        <w:t xml:space="preserve">founded in </w:t>
      </w:r>
      <w:r w:rsidR="004B186F" w:rsidRPr="002D102E">
        <w:rPr>
          <w:rFonts w:cs="Times New Roman"/>
          <w:lang w:val="en-GB"/>
        </w:rPr>
        <w:t xml:space="preserve">the </w:t>
      </w:r>
      <w:r w:rsidR="0050661D" w:rsidRPr="002D102E">
        <w:rPr>
          <w:rFonts w:cs="Times New Roman"/>
          <w:lang w:val="en-GB"/>
        </w:rPr>
        <w:t>constitutional principles</w:t>
      </w:r>
      <w:r w:rsidR="004B186F" w:rsidRPr="002D102E">
        <w:rPr>
          <w:rFonts w:cs="Times New Roman"/>
          <w:lang w:val="en-GB"/>
        </w:rPr>
        <w:t xml:space="preserve"> of</w:t>
      </w:r>
      <w:r w:rsidR="0050661D" w:rsidRPr="002D102E">
        <w:rPr>
          <w:rFonts w:cs="Times New Roman"/>
          <w:lang w:val="en-GB"/>
        </w:rPr>
        <w:t xml:space="preserve"> institutional balance of EU organs. </w:t>
      </w:r>
    </w:p>
    <w:p w:rsidR="00152BC2" w:rsidRPr="002D102E" w:rsidRDefault="005D7DEF" w:rsidP="00421FC9">
      <w:pPr>
        <w:rPr>
          <w:rFonts w:cs="Times New Roman"/>
          <w:color w:val="000000"/>
          <w:lang w:val="en-GB"/>
        </w:rPr>
      </w:pPr>
      <w:r w:rsidRPr="002D102E">
        <w:rPr>
          <w:rFonts w:cs="Times New Roman"/>
          <w:color w:val="000000"/>
          <w:lang w:val="en-GB"/>
        </w:rPr>
        <w:t xml:space="preserve">Constraints to delegation </w:t>
      </w:r>
      <w:r w:rsidRPr="002D102E">
        <w:rPr>
          <w:rFonts w:cs="Times New Roman"/>
          <w:color w:val="222222"/>
          <w:lang w:val="en-GB"/>
        </w:rPr>
        <w:t>that result from democracy requirements and the institutional balance in the EU</w:t>
      </w:r>
      <w:r w:rsidRPr="002D102E">
        <w:rPr>
          <w:rFonts w:cs="Times New Roman"/>
          <w:color w:val="000000"/>
          <w:lang w:val="en-GB"/>
        </w:rPr>
        <w:t xml:space="preserve"> </w:t>
      </w:r>
      <w:r w:rsidRPr="002D102E">
        <w:rPr>
          <w:rFonts w:cs="Times New Roman"/>
          <w:color w:val="222222"/>
          <w:lang w:val="en-GB"/>
        </w:rPr>
        <w:t xml:space="preserve">(initially termed "balance of power") </w:t>
      </w:r>
      <w:r w:rsidR="00A12997" w:rsidRPr="002D102E">
        <w:rPr>
          <w:rFonts w:cs="Times New Roman"/>
          <w:color w:val="222222"/>
          <w:lang w:val="en-GB"/>
        </w:rPr>
        <w:t>are</w:t>
      </w:r>
      <w:r w:rsidRPr="002D102E">
        <w:rPr>
          <w:rFonts w:cs="Times New Roman"/>
          <w:color w:val="000000"/>
          <w:lang w:val="en-GB"/>
        </w:rPr>
        <w:t xml:space="preserve"> also </w:t>
      </w:r>
      <w:r w:rsidR="00A12997" w:rsidRPr="002D102E">
        <w:rPr>
          <w:rFonts w:cs="Times New Roman"/>
          <w:color w:val="000000"/>
          <w:lang w:val="en-GB"/>
        </w:rPr>
        <w:t xml:space="preserve">enshrined in </w:t>
      </w:r>
      <w:r w:rsidRPr="002D102E">
        <w:rPr>
          <w:rFonts w:cs="Times New Roman"/>
          <w:color w:val="000000"/>
          <w:lang w:val="en-GB"/>
        </w:rPr>
        <w:t xml:space="preserve">the </w:t>
      </w:r>
      <w:proofErr w:type="spellStart"/>
      <w:r w:rsidRPr="002D102E">
        <w:rPr>
          <w:rFonts w:cs="Times New Roman"/>
          <w:color w:val="000000"/>
          <w:lang w:val="en-GB"/>
        </w:rPr>
        <w:t>Meroni</w:t>
      </w:r>
      <w:proofErr w:type="spellEnd"/>
      <w:r w:rsidRPr="002D102E">
        <w:rPr>
          <w:rFonts w:cs="Times New Roman"/>
          <w:color w:val="000000"/>
          <w:lang w:val="en-GB"/>
        </w:rPr>
        <w:t xml:space="preserve"> </w:t>
      </w:r>
      <w:proofErr w:type="gramStart"/>
      <w:r w:rsidRPr="002D102E">
        <w:rPr>
          <w:rFonts w:cs="Times New Roman"/>
          <w:color w:val="000000"/>
          <w:lang w:val="en-GB"/>
        </w:rPr>
        <w:t>case-law</w:t>
      </w:r>
      <w:proofErr w:type="gramEnd"/>
      <w:r w:rsidRPr="002D102E">
        <w:rPr>
          <w:rFonts w:cs="Times New Roman"/>
          <w:color w:val="222222"/>
          <w:lang w:val="en-GB"/>
        </w:rPr>
        <w:t xml:space="preserve"> that restrain</w:t>
      </w:r>
      <w:r w:rsidR="004E26C2" w:rsidRPr="002D102E">
        <w:rPr>
          <w:rFonts w:cs="Times New Roman"/>
          <w:color w:val="222222"/>
          <w:lang w:val="en-GB"/>
        </w:rPr>
        <w:t>s</w:t>
      </w:r>
      <w:r w:rsidRPr="002D102E">
        <w:rPr>
          <w:rFonts w:cs="Times New Roman"/>
          <w:color w:val="222222"/>
          <w:lang w:val="en-GB"/>
        </w:rPr>
        <w:t xml:space="preserve"> the delegat</w:t>
      </w:r>
      <w:r w:rsidR="00F71982" w:rsidRPr="002D102E">
        <w:rPr>
          <w:rFonts w:cs="Times New Roman"/>
          <w:color w:val="222222"/>
          <w:lang w:val="en-GB"/>
        </w:rPr>
        <w:t>ion of</w:t>
      </w:r>
      <w:r w:rsidRPr="002D102E">
        <w:rPr>
          <w:rFonts w:cs="Times New Roman"/>
          <w:color w:val="222222"/>
          <w:lang w:val="en-GB"/>
        </w:rPr>
        <w:t xml:space="preserve"> discretionary powers.</w:t>
      </w:r>
      <w:r w:rsidRPr="002D102E">
        <w:rPr>
          <w:rStyle w:val="Funotenzeichen"/>
          <w:rFonts w:cs="Times New Roman"/>
          <w:color w:val="222222"/>
          <w:lang w:val="en-GB"/>
        </w:rPr>
        <w:footnoteReference w:id="64"/>
      </w:r>
      <w:r w:rsidRPr="002D102E">
        <w:rPr>
          <w:rFonts w:cs="Times New Roman"/>
          <w:color w:val="222222"/>
          <w:lang w:val="en-GB"/>
        </w:rPr>
        <w:t xml:space="preserve"> The guiding principles of </w:t>
      </w:r>
      <w:proofErr w:type="spellStart"/>
      <w:r w:rsidRPr="002D102E">
        <w:rPr>
          <w:rFonts w:cs="Times New Roman"/>
          <w:color w:val="222222"/>
          <w:lang w:val="en-GB"/>
        </w:rPr>
        <w:t>Meroni</w:t>
      </w:r>
      <w:proofErr w:type="spellEnd"/>
      <w:r w:rsidRPr="002D102E">
        <w:rPr>
          <w:rFonts w:cs="Times New Roman"/>
          <w:color w:val="222222"/>
          <w:lang w:val="en-GB"/>
        </w:rPr>
        <w:t xml:space="preserve"> still are pertinent</w:t>
      </w:r>
      <w:r w:rsidR="00F71982" w:rsidRPr="002D102E">
        <w:rPr>
          <w:rFonts w:cs="Times New Roman"/>
          <w:color w:val="222222"/>
          <w:lang w:val="en-GB"/>
        </w:rPr>
        <w:t>.</w:t>
      </w:r>
      <w:r w:rsidRPr="002D102E">
        <w:rPr>
          <w:rStyle w:val="Funotenzeichen"/>
          <w:rFonts w:cs="Times New Roman"/>
          <w:color w:val="222222"/>
          <w:lang w:val="en-GB"/>
        </w:rPr>
        <w:footnoteReference w:id="65"/>
      </w:r>
      <w:r w:rsidR="00751648" w:rsidRPr="002D102E">
        <w:rPr>
          <w:rFonts w:cs="Times New Roman"/>
          <w:color w:val="222222"/>
          <w:lang w:val="en-GB"/>
        </w:rPr>
        <w:t xml:space="preserve"> </w:t>
      </w:r>
      <w:proofErr w:type="spellStart"/>
      <w:r w:rsidR="00751648" w:rsidRPr="002D102E">
        <w:rPr>
          <w:rFonts w:cs="Times New Roman"/>
          <w:color w:val="222222"/>
          <w:lang w:val="en-GB"/>
        </w:rPr>
        <w:t>Meroni</w:t>
      </w:r>
      <w:proofErr w:type="spellEnd"/>
      <w:r w:rsidR="00751648" w:rsidRPr="002D102E">
        <w:rPr>
          <w:rFonts w:cs="Times New Roman"/>
          <w:color w:val="222222"/>
          <w:lang w:val="en-GB"/>
        </w:rPr>
        <w:t xml:space="preserve"> requires </w:t>
      </w:r>
      <w:r w:rsidR="004E26C2" w:rsidRPr="002D102E">
        <w:rPr>
          <w:rFonts w:cs="Times New Roman"/>
          <w:color w:val="222222"/>
          <w:lang w:val="en-GB"/>
        </w:rPr>
        <w:t>the</w:t>
      </w:r>
      <w:r w:rsidR="00751648" w:rsidRPr="002D102E">
        <w:rPr>
          <w:rFonts w:cs="Times New Roman"/>
          <w:color w:val="222222"/>
          <w:lang w:val="en-GB"/>
        </w:rPr>
        <w:t xml:space="preserve"> transfer of power to be limited to "clearly defined executive powers"</w:t>
      </w:r>
      <w:r w:rsidR="00751648" w:rsidRPr="002D102E">
        <w:rPr>
          <w:rStyle w:val="Funotenzeichen"/>
          <w:rFonts w:cs="Times New Roman"/>
          <w:color w:val="222222"/>
          <w:lang w:val="en-GB"/>
        </w:rPr>
        <w:footnoteReference w:id="66"/>
      </w:r>
      <w:r w:rsidR="004E26C2" w:rsidRPr="002D102E">
        <w:rPr>
          <w:rFonts w:cs="Times New Roman"/>
          <w:color w:val="222222"/>
          <w:lang w:val="en-GB"/>
        </w:rPr>
        <w:t xml:space="preserve">. </w:t>
      </w:r>
      <w:r w:rsidR="00F71982" w:rsidRPr="002D102E">
        <w:rPr>
          <w:rFonts w:cs="Times New Roman"/>
          <w:color w:val="222222"/>
          <w:lang w:val="en-GB"/>
        </w:rPr>
        <w:t xml:space="preserve">The powers transferred must be set </w:t>
      </w:r>
      <w:r w:rsidR="004E26C2" w:rsidRPr="002D102E">
        <w:rPr>
          <w:rFonts w:cs="Times New Roman"/>
          <w:color w:val="222222"/>
          <w:lang w:val="en-GB"/>
        </w:rPr>
        <w:t>out in precise terms</w:t>
      </w:r>
      <w:r w:rsidR="00751648" w:rsidRPr="002D102E">
        <w:rPr>
          <w:rFonts w:cs="Times New Roman"/>
          <w:color w:val="222222"/>
          <w:lang w:val="en-GB"/>
        </w:rPr>
        <w:t xml:space="preserve">, </w:t>
      </w:r>
      <w:r w:rsidR="00F71982" w:rsidRPr="002D102E">
        <w:rPr>
          <w:rFonts w:cs="Times New Roman"/>
          <w:color w:val="222222"/>
          <w:lang w:val="en-GB"/>
        </w:rPr>
        <w:t xml:space="preserve">and their </w:t>
      </w:r>
      <w:r w:rsidR="00751648" w:rsidRPr="002D102E">
        <w:rPr>
          <w:rFonts w:cs="Times New Roman"/>
          <w:color w:val="222222"/>
          <w:lang w:val="en-GB"/>
        </w:rPr>
        <w:t xml:space="preserve">exercise </w:t>
      </w:r>
      <w:proofErr w:type="gramStart"/>
      <w:r w:rsidR="00751648" w:rsidRPr="002D102E">
        <w:rPr>
          <w:rFonts w:cs="Times New Roman"/>
          <w:color w:val="222222"/>
          <w:lang w:val="en-GB"/>
        </w:rPr>
        <w:t>must be carried out</w:t>
      </w:r>
      <w:proofErr w:type="gramEnd"/>
      <w:r w:rsidR="00751648" w:rsidRPr="002D102E">
        <w:rPr>
          <w:rFonts w:cs="Times New Roman"/>
          <w:color w:val="222222"/>
          <w:lang w:val="en-GB"/>
        </w:rPr>
        <w:t xml:space="preserve"> under strict observance of objective criteria determined by the delegat</w:t>
      </w:r>
      <w:r w:rsidR="004E26C2" w:rsidRPr="002D102E">
        <w:rPr>
          <w:rFonts w:cs="Times New Roman"/>
          <w:color w:val="222222"/>
          <w:lang w:val="en-GB"/>
        </w:rPr>
        <w:t>or</w:t>
      </w:r>
      <w:r w:rsidR="00751648" w:rsidRPr="002D102E">
        <w:rPr>
          <w:rFonts w:cs="Times New Roman"/>
          <w:color w:val="222222"/>
          <w:lang w:val="en-GB"/>
        </w:rPr>
        <w:t>, without granting a wide margin of discretion.</w:t>
      </w:r>
      <w:r w:rsidR="00751648" w:rsidRPr="002D102E">
        <w:rPr>
          <w:rStyle w:val="Funotenzeichen"/>
          <w:rFonts w:cs="Times New Roman"/>
          <w:color w:val="222222"/>
          <w:lang w:val="en-GB"/>
        </w:rPr>
        <w:footnoteReference w:id="67"/>
      </w:r>
      <w:r w:rsidR="00751648" w:rsidRPr="002D102E">
        <w:rPr>
          <w:rFonts w:cs="Times New Roman"/>
          <w:color w:val="222222"/>
          <w:lang w:val="en-GB"/>
        </w:rPr>
        <w:t xml:space="preserve"> The use of the powers has to </w:t>
      </w:r>
      <w:proofErr w:type="gramStart"/>
      <w:r w:rsidR="00751648" w:rsidRPr="002D102E">
        <w:rPr>
          <w:rFonts w:cs="Times New Roman"/>
          <w:color w:val="222222"/>
          <w:lang w:val="en-GB"/>
        </w:rPr>
        <w:t>be supervised</w:t>
      </w:r>
      <w:proofErr w:type="gramEnd"/>
      <w:r w:rsidR="00751648" w:rsidRPr="002D102E">
        <w:rPr>
          <w:rFonts w:cs="Times New Roman"/>
          <w:color w:val="222222"/>
          <w:lang w:val="en-GB"/>
        </w:rPr>
        <w:t xml:space="preserve"> by the delegating authority (cf. the parallelism with Article 290). </w:t>
      </w:r>
      <w:proofErr w:type="spellStart"/>
      <w:r w:rsidR="004E26C2" w:rsidRPr="002D102E">
        <w:rPr>
          <w:rFonts w:cs="Times New Roman"/>
          <w:color w:val="222222"/>
          <w:lang w:val="en-GB"/>
        </w:rPr>
        <w:t>Meroni</w:t>
      </w:r>
      <w:proofErr w:type="spellEnd"/>
      <w:r w:rsidR="004E26C2" w:rsidRPr="002D102E">
        <w:rPr>
          <w:rFonts w:cs="Times New Roman"/>
          <w:color w:val="222222"/>
          <w:lang w:val="en-GB"/>
        </w:rPr>
        <w:t xml:space="preserve"> </w:t>
      </w:r>
      <w:r w:rsidR="00F71982" w:rsidRPr="002D102E">
        <w:rPr>
          <w:rFonts w:cs="Times New Roman"/>
          <w:color w:val="222222"/>
          <w:lang w:val="en-GB"/>
        </w:rPr>
        <w:t xml:space="preserve">furthermore </w:t>
      </w:r>
      <w:r w:rsidR="004E26C2" w:rsidRPr="002D102E">
        <w:rPr>
          <w:rFonts w:cs="Times New Roman"/>
          <w:color w:val="222222"/>
          <w:lang w:val="en-GB"/>
        </w:rPr>
        <w:t xml:space="preserve">prohibits </w:t>
      </w:r>
      <w:r w:rsidR="00751648" w:rsidRPr="002D102E">
        <w:rPr>
          <w:rFonts w:cs="Times New Roman"/>
          <w:color w:val="222222"/>
          <w:lang w:val="en-GB"/>
        </w:rPr>
        <w:t>“an actual transfer of responsibility”</w:t>
      </w:r>
      <w:r w:rsidR="004E26C2" w:rsidRPr="002D102E">
        <w:rPr>
          <w:rFonts w:cs="Times New Roman"/>
          <w:color w:val="222222"/>
          <w:lang w:val="en-GB"/>
        </w:rPr>
        <w:t xml:space="preserve"> by way of delegation</w:t>
      </w:r>
      <w:r w:rsidR="00751648" w:rsidRPr="002D102E">
        <w:rPr>
          <w:rFonts w:cs="Times New Roman"/>
          <w:color w:val="222222"/>
          <w:lang w:val="en-GB"/>
        </w:rPr>
        <w:t xml:space="preserve">, which would be the case if the delegate enjoyed a degree of latitude so that it actually exercised the political function that the EU Treaties allocate to an EU organ. Hence, </w:t>
      </w:r>
      <w:r w:rsidR="00F71982" w:rsidRPr="002D102E">
        <w:rPr>
          <w:rFonts w:cs="Times New Roman"/>
          <w:color w:val="222222"/>
          <w:lang w:val="en-GB"/>
        </w:rPr>
        <w:t xml:space="preserve">delegation </w:t>
      </w:r>
      <w:r w:rsidR="00751648" w:rsidRPr="002D102E">
        <w:rPr>
          <w:rFonts w:cs="Times New Roman"/>
          <w:color w:val="222222"/>
          <w:lang w:val="en-GB"/>
        </w:rPr>
        <w:t>must not conflict with the division of powers provided for in EU Primary Law.</w:t>
      </w:r>
      <w:r w:rsidR="004E26C2" w:rsidRPr="002D102E">
        <w:rPr>
          <w:rFonts w:cs="Times New Roman"/>
          <w:color w:val="222222"/>
          <w:lang w:val="en-GB"/>
        </w:rPr>
        <w:t xml:space="preserve"> </w:t>
      </w:r>
      <w:r w:rsidR="00F71982" w:rsidRPr="002D102E">
        <w:rPr>
          <w:rFonts w:cs="Times New Roman"/>
          <w:color w:val="222222"/>
          <w:lang w:val="en-GB"/>
        </w:rPr>
        <w:t xml:space="preserve">The </w:t>
      </w:r>
      <w:r w:rsidR="004E26C2" w:rsidRPr="002D102E">
        <w:rPr>
          <w:rFonts w:cs="Times New Roman"/>
          <w:color w:val="222222"/>
          <w:lang w:val="en-GB"/>
        </w:rPr>
        <w:t>allocation of responsibilities in EU Primary law</w:t>
      </w:r>
      <w:r w:rsidR="00F71982" w:rsidRPr="002D102E">
        <w:rPr>
          <w:rFonts w:cs="Times New Roman"/>
          <w:color w:val="222222"/>
          <w:lang w:val="en-GB"/>
        </w:rPr>
        <w:t xml:space="preserve"> </w:t>
      </w:r>
      <w:proofErr w:type="gramStart"/>
      <w:r w:rsidR="00F71982" w:rsidRPr="002D102E">
        <w:rPr>
          <w:rFonts w:cs="Times New Roman"/>
          <w:color w:val="222222"/>
          <w:lang w:val="en-GB"/>
        </w:rPr>
        <w:t>must be respected</w:t>
      </w:r>
      <w:proofErr w:type="gramEnd"/>
      <w:r w:rsidR="00F71982" w:rsidRPr="002D102E">
        <w:rPr>
          <w:rFonts w:cs="Times New Roman"/>
          <w:color w:val="222222"/>
          <w:lang w:val="en-GB"/>
        </w:rPr>
        <w:t>.</w:t>
      </w:r>
    </w:p>
    <w:p w:rsidR="009D312E" w:rsidRPr="002D102E" w:rsidRDefault="00F71982" w:rsidP="009D312E">
      <w:pPr>
        <w:rPr>
          <w:rFonts w:cs="Times New Roman"/>
          <w:color w:val="000000"/>
          <w:lang w:val="en-US"/>
        </w:rPr>
      </w:pPr>
      <w:r w:rsidRPr="002D102E">
        <w:rPr>
          <w:rFonts w:cs="Times New Roman"/>
          <w:color w:val="000000"/>
          <w:lang w:val="en-US"/>
        </w:rPr>
        <w:t>Article 218 (9) confirms t</w:t>
      </w:r>
      <w:r w:rsidR="0034504E" w:rsidRPr="002D102E">
        <w:rPr>
          <w:rFonts w:cs="Times New Roman"/>
          <w:color w:val="000000"/>
          <w:lang w:val="en-US"/>
        </w:rPr>
        <w:t xml:space="preserve">hat constraints to delegation are not limited to internal </w:t>
      </w:r>
      <w:proofErr w:type="gramStart"/>
      <w:r w:rsidR="0034504E" w:rsidRPr="002D102E">
        <w:rPr>
          <w:rFonts w:cs="Times New Roman"/>
          <w:color w:val="000000"/>
          <w:lang w:val="en-US"/>
        </w:rPr>
        <w:t>rule-making</w:t>
      </w:r>
      <w:proofErr w:type="gramEnd"/>
      <w:r w:rsidR="0034504E" w:rsidRPr="002D102E">
        <w:rPr>
          <w:rFonts w:cs="Times New Roman"/>
          <w:color w:val="000000"/>
          <w:lang w:val="en-US"/>
        </w:rPr>
        <w:t xml:space="preserve"> but</w:t>
      </w:r>
      <w:r w:rsidR="00BD3D8A" w:rsidRPr="002D102E">
        <w:rPr>
          <w:rFonts w:cs="Times New Roman"/>
          <w:color w:val="000000"/>
          <w:lang w:val="en-US"/>
        </w:rPr>
        <w:t xml:space="preserve"> do</w:t>
      </w:r>
      <w:r w:rsidR="0034504E" w:rsidRPr="002D102E">
        <w:rPr>
          <w:rFonts w:cs="Times New Roman"/>
          <w:color w:val="000000"/>
          <w:lang w:val="en-US"/>
        </w:rPr>
        <w:t xml:space="preserve"> exist with regard to external action</w:t>
      </w:r>
      <w:r w:rsidR="00BD3D8A" w:rsidRPr="002D102E">
        <w:rPr>
          <w:rFonts w:cs="Times New Roman"/>
          <w:color w:val="000000"/>
          <w:lang w:val="en-US"/>
        </w:rPr>
        <w:t>, too</w:t>
      </w:r>
      <w:r w:rsidRPr="002D102E">
        <w:rPr>
          <w:rFonts w:cs="Times New Roman"/>
          <w:color w:val="000000"/>
          <w:lang w:val="en-US"/>
        </w:rPr>
        <w:t xml:space="preserve">. It </w:t>
      </w:r>
      <w:r w:rsidR="009D312E" w:rsidRPr="002D102E">
        <w:rPr>
          <w:rFonts w:cs="Times New Roman"/>
          <w:color w:val="000000"/>
          <w:lang w:val="en-US"/>
        </w:rPr>
        <w:t>explicitly excludes</w:t>
      </w:r>
      <w:r w:rsidR="009D312E" w:rsidRPr="002D102E">
        <w:rPr>
          <w:rFonts w:cs="Times New Roman"/>
          <w:color w:val="222222"/>
          <w:lang w:val="en-GB"/>
        </w:rPr>
        <w:t xml:space="preserve"> changes to the institutional framework of an agreement from its application. Consequently, such </w:t>
      </w:r>
      <w:r w:rsidR="00F4080D" w:rsidRPr="002D102E">
        <w:rPr>
          <w:rFonts w:cs="Times New Roman"/>
          <w:color w:val="222222"/>
          <w:lang w:val="en-GB"/>
        </w:rPr>
        <w:t xml:space="preserve">changes to </w:t>
      </w:r>
      <w:r w:rsidR="009D312E" w:rsidRPr="002D102E">
        <w:rPr>
          <w:rFonts w:cs="Times New Roman"/>
          <w:color w:val="222222"/>
          <w:lang w:val="en-GB"/>
        </w:rPr>
        <w:t xml:space="preserve">agreements </w:t>
      </w:r>
      <w:proofErr w:type="gramStart"/>
      <w:r w:rsidR="009D312E" w:rsidRPr="002D102E">
        <w:rPr>
          <w:rFonts w:cs="Times New Roman"/>
          <w:color w:val="222222"/>
          <w:lang w:val="en-GB"/>
        </w:rPr>
        <w:t xml:space="preserve">must be entered </w:t>
      </w:r>
      <w:r w:rsidR="009D312E" w:rsidRPr="002D102E">
        <w:rPr>
          <w:rFonts w:cs="Times New Roman"/>
          <w:color w:val="222222"/>
          <w:lang w:val="en-GB"/>
        </w:rPr>
        <w:lastRenderedPageBreak/>
        <w:t>into</w:t>
      </w:r>
      <w:proofErr w:type="gramEnd"/>
      <w:r w:rsidR="009D312E" w:rsidRPr="002D102E">
        <w:rPr>
          <w:rFonts w:cs="Times New Roman"/>
          <w:color w:val="222222"/>
          <w:lang w:val="en-GB"/>
        </w:rPr>
        <w:t xml:space="preserve"> by using the normal treaty making procedure, requiring consent of the EP.</w:t>
      </w:r>
      <w:r w:rsidR="00AB2A26" w:rsidRPr="002D102E">
        <w:rPr>
          <w:rStyle w:val="Funotenzeichen"/>
          <w:rFonts w:cs="Times New Roman"/>
          <w:color w:val="222222"/>
          <w:lang w:val="en-GB"/>
        </w:rPr>
        <w:footnoteReference w:id="68"/>
      </w:r>
      <w:r w:rsidR="003B021E" w:rsidRPr="002D102E">
        <w:rPr>
          <w:rFonts w:cs="Times New Roman"/>
          <w:color w:val="222222"/>
          <w:lang w:val="en-GB"/>
        </w:rPr>
        <w:t xml:space="preserve"> “</w:t>
      </w:r>
      <w:r w:rsidRPr="002D102E">
        <w:rPr>
          <w:rFonts w:cs="Times New Roman"/>
          <w:color w:val="222222"/>
          <w:lang w:val="en-GB"/>
        </w:rPr>
        <w:t>P</w:t>
      </w:r>
      <w:r w:rsidR="003B021E" w:rsidRPr="002D102E">
        <w:rPr>
          <w:rFonts w:cs="Times New Roman"/>
          <w:color w:val="222222"/>
          <w:lang w:val="en-GB"/>
        </w:rPr>
        <w:t xml:space="preserve">articularly important decisions” - such as institutional changes - </w:t>
      </w:r>
      <w:proofErr w:type="gramStart"/>
      <w:r w:rsidR="003B021E" w:rsidRPr="002D102E">
        <w:rPr>
          <w:rFonts w:cs="Times New Roman"/>
          <w:color w:val="222222"/>
          <w:lang w:val="en-GB"/>
        </w:rPr>
        <w:t>were not intended</w:t>
      </w:r>
      <w:proofErr w:type="gramEnd"/>
      <w:r w:rsidR="003B021E" w:rsidRPr="002D102E">
        <w:rPr>
          <w:rFonts w:cs="Times New Roman"/>
          <w:color w:val="222222"/>
          <w:lang w:val="en-GB"/>
        </w:rPr>
        <w:t xml:space="preserve"> to be subject</w:t>
      </w:r>
      <w:r w:rsidRPr="002D102E">
        <w:rPr>
          <w:rFonts w:cs="Times New Roman"/>
          <w:color w:val="222222"/>
          <w:lang w:val="en-GB"/>
        </w:rPr>
        <w:t xml:space="preserve"> to the simplified procedure</w:t>
      </w:r>
      <w:r w:rsidR="003B021E" w:rsidRPr="002D102E">
        <w:rPr>
          <w:rFonts w:cs="Times New Roman"/>
          <w:color w:val="222222"/>
          <w:lang w:val="en-GB"/>
        </w:rPr>
        <w:t>, but only “</w:t>
      </w:r>
      <w:r w:rsidR="003B021E" w:rsidRPr="002D102E">
        <w:rPr>
          <w:rFonts w:cs="Times New Roman"/>
          <w:lang w:val="en-GB"/>
        </w:rPr>
        <w:t>minor and quite technical amendments”</w:t>
      </w:r>
      <w:r w:rsidR="003B021E" w:rsidRPr="002D102E">
        <w:rPr>
          <w:rStyle w:val="Funotenzeichen"/>
          <w:rFonts w:cs="Times New Roman"/>
          <w:lang w:val="en-GB"/>
        </w:rPr>
        <w:footnoteReference w:id="69"/>
      </w:r>
      <w:r w:rsidR="003B021E" w:rsidRPr="002D102E">
        <w:rPr>
          <w:rFonts w:cs="Times New Roman"/>
          <w:color w:val="222222"/>
          <w:lang w:val="en-GB"/>
        </w:rPr>
        <w:t xml:space="preserve">. Consequently, “particularly important decisions” </w:t>
      </w:r>
      <w:proofErr w:type="gramStart"/>
      <w:r w:rsidR="003B021E" w:rsidRPr="002D102E">
        <w:rPr>
          <w:rFonts w:cs="Times New Roman"/>
          <w:color w:val="222222"/>
          <w:lang w:val="en-GB"/>
        </w:rPr>
        <w:t>cannot be transferred</w:t>
      </w:r>
      <w:proofErr w:type="gramEnd"/>
      <w:r w:rsidR="003B021E" w:rsidRPr="002D102E">
        <w:rPr>
          <w:rFonts w:cs="Times New Roman"/>
          <w:color w:val="222222"/>
          <w:lang w:val="en-GB"/>
        </w:rPr>
        <w:t xml:space="preserve"> to treaty bodies.</w:t>
      </w:r>
      <w:r w:rsidR="003B021E" w:rsidRPr="002D102E">
        <w:rPr>
          <w:rStyle w:val="Funotenzeichen"/>
          <w:rFonts w:cs="Times New Roman"/>
          <w:color w:val="222222"/>
          <w:lang w:val="en-GB"/>
        </w:rPr>
        <w:footnoteReference w:id="70"/>
      </w:r>
      <w:r w:rsidR="003B021E" w:rsidRPr="002D102E">
        <w:rPr>
          <w:rFonts w:cs="Times New Roman"/>
          <w:color w:val="222222"/>
          <w:lang w:val="en-GB"/>
        </w:rPr>
        <w:t xml:space="preserve"> Th</w:t>
      </w:r>
      <w:r w:rsidRPr="002D102E">
        <w:rPr>
          <w:rFonts w:cs="Times New Roman"/>
          <w:color w:val="222222"/>
          <w:lang w:val="en-GB"/>
        </w:rPr>
        <w:t xml:space="preserve">is </w:t>
      </w:r>
      <w:r w:rsidR="003B021E" w:rsidRPr="002D102E">
        <w:rPr>
          <w:rFonts w:cs="Times New Roman"/>
          <w:color w:val="222222"/>
          <w:lang w:val="en-GB"/>
        </w:rPr>
        <w:t>limitation ensures the competences of the EP and thus the institutional balance.</w:t>
      </w:r>
      <w:r w:rsidR="003B021E" w:rsidRPr="002D102E">
        <w:rPr>
          <w:rStyle w:val="Funotenzeichen"/>
          <w:rFonts w:cs="Times New Roman"/>
          <w:color w:val="222222"/>
          <w:lang w:val="en-GB"/>
        </w:rPr>
        <w:footnoteReference w:id="71"/>
      </w:r>
      <w:r w:rsidR="003B021E" w:rsidRPr="002D102E">
        <w:rPr>
          <w:rFonts w:cs="Times New Roman"/>
          <w:color w:val="222222"/>
          <w:lang w:val="en-GB"/>
        </w:rPr>
        <w:t xml:space="preserve"> </w:t>
      </w:r>
    </w:p>
    <w:p w:rsidR="006E6600" w:rsidRPr="002D102E" w:rsidRDefault="00F71982" w:rsidP="002E392E">
      <w:pPr>
        <w:rPr>
          <w:rFonts w:cs="Times New Roman"/>
          <w:lang w:val="en-GB"/>
        </w:rPr>
      </w:pPr>
      <w:r w:rsidRPr="002D102E">
        <w:rPr>
          <w:rFonts w:cs="Times New Roman"/>
          <w:lang w:val="en-GB"/>
        </w:rPr>
        <w:t xml:space="preserve">From the above one must infer </w:t>
      </w:r>
      <w:r w:rsidR="00A12997" w:rsidRPr="002D102E">
        <w:rPr>
          <w:rFonts w:cs="Times New Roman"/>
          <w:lang w:val="en-GB"/>
        </w:rPr>
        <w:t>clear constraints to delegation: First, there is a</w:t>
      </w:r>
      <w:r w:rsidRPr="002D102E">
        <w:rPr>
          <w:rFonts w:cs="Times New Roman"/>
          <w:lang w:val="en-GB"/>
        </w:rPr>
        <w:t>n EU</w:t>
      </w:r>
      <w:r w:rsidR="00A12997" w:rsidRPr="002D102E">
        <w:rPr>
          <w:rFonts w:cs="Times New Roman"/>
          <w:lang w:val="en-GB"/>
        </w:rPr>
        <w:t xml:space="preserve"> non-delegation doctrine. The provision of </w:t>
      </w:r>
      <w:r w:rsidRPr="002D102E">
        <w:rPr>
          <w:rFonts w:cs="Times New Roman"/>
          <w:lang w:val="en-GB"/>
        </w:rPr>
        <w:t xml:space="preserve">the </w:t>
      </w:r>
      <w:r w:rsidR="00A12997" w:rsidRPr="002D102E">
        <w:rPr>
          <w:rFonts w:cs="Times New Roman"/>
          <w:lang w:val="en-GB"/>
        </w:rPr>
        <w:t xml:space="preserve">essential </w:t>
      </w:r>
      <w:proofErr w:type="gramStart"/>
      <w:r w:rsidR="00A12997" w:rsidRPr="002D102E">
        <w:rPr>
          <w:rFonts w:cs="Times New Roman"/>
          <w:lang w:val="en-GB"/>
        </w:rPr>
        <w:t>must not be delegated</w:t>
      </w:r>
      <w:proofErr w:type="gramEnd"/>
      <w:r w:rsidR="00A12997" w:rsidRPr="002D102E">
        <w:rPr>
          <w:rFonts w:cs="Times New Roman"/>
          <w:lang w:val="en-GB"/>
        </w:rPr>
        <w:t xml:space="preserve"> to executive institutions</w:t>
      </w:r>
      <w:r w:rsidR="002E392E" w:rsidRPr="002D102E">
        <w:rPr>
          <w:rFonts w:cs="Times New Roman"/>
          <w:lang w:val="en-GB"/>
        </w:rPr>
        <w:t xml:space="preserve">. Second, </w:t>
      </w:r>
      <w:r w:rsidR="005C7E34" w:rsidRPr="002D102E">
        <w:rPr>
          <w:rFonts w:cs="Times New Roman"/>
          <w:lang w:val="en-GB"/>
        </w:rPr>
        <w:t xml:space="preserve">delegation presupposes </w:t>
      </w:r>
      <w:r w:rsidR="001B0B05" w:rsidRPr="002D102E">
        <w:rPr>
          <w:rFonts w:cs="Times New Roman"/>
          <w:lang w:val="en-GB"/>
        </w:rPr>
        <w:t xml:space="preserve">control mechanisms. </w:t>
      </w:r>
      <w:r w:rsidR="005C7E34" w:rsidRPr="002D102E">
        <w:rPr>
          <w:rFonts w:cs="Times New Roman"/>
          <w:lang w:val="en-GB"/>
        </w:rPr>
        <w:t xml:space="preserve">One can distinguish </w:t>
      </w:r>
      <w:r w:rsidR="001B0B05" w:rsidRPr="002D102E">
        <w:rPr>
          <w:rFonts w:cs="Times New Roman"/>
          <w:lang w:val="en-GB"/>
        </w:rPr>
        <w:t xml:space="preserve">mechanisms of ex ante and of ex post control: </w:t>
      </w:r>
      <w:r w:rsidR="00695776" w:rsidRPr="002D102E">
        <w:rPr>
          <w:rFonts w:cs="Times New Roman"/>
          <w:lang w:val="en-GB"/>
        </w:rPr>
        <w:t>E</w:t>
      </w:r>
      <w:r w:rsidR="001B0B05" w:rsidRPr="002D102E">
        <w:rPr>
          <w:rFonts w:cs="Times New Roman"/>
          <w:lang w:val="en-GB"/>
        </w:rPr>
        <w:t xml:space="preserve">x ante, the transferred powers </w:t>
      </w:r>
      <w:r w:rsidR="00695776" w:rsidRPr="002D102E">
        <w:rPr>
          <w:rFonts w:cs="Times New Roman"/>
          <w:lang w:val="en-GB"/>
        </w:rPr>
        <w:t xml:space="preserve">must </w:t>
      </w:r>
      <w:r w:rsidR="001B0B05" w:rsidRPr="002D102E">
        <w:rPr>
          <w:rFonts w:cs="Times New Roman"/>
          <w:lang w:val="en-GB"/>
        </w:rPr>
        <w:t>be determined with some precision</w:t>
      </w:r>
      <w:r w:rsidR="00695776" w:rsidRPr="002D102E">
        <w:rPr>
          <w:rFonts w:cs="Times New Roman"/>
          <w:lang w:val="en-GB"/>
        </w:rPr>
        <w:t>.</w:t>
      </w:r>
      <w:r w:rsidR="001B0B05" w:rsidRPr="002D102E">
        <w:rPr>
          <w:rFonts w:cs="Times New Roman"/>
          <w:lang w:val="en-GB"/>
        </w:rPr>
        <w:t xml:space="preserve"> </w:t>
      </w:r>
      <w:r w:rsidR="00CE7F52" w:rsidRPr="002D102E">
        <w:rPr>
          <w:rFonts w:cs="Times New Roman"/>
          <w:lang w:val="en-GB"/>
        </w:rPr>
        <w:t>T</w:t>
      </w:r>
      <w:r w:rsidR="00695776" w:rsidRPr="002D102E">
        <w:rPr>
          <w:rFonts w:cs="Times New Roman"/>
          <w:lang w:val="en-GB"/>
        </w:rPr>
        <w:t xml:space="preserve">ransfer of powers requires the provision of specific criteria to </w:t>
      </w:r>
      <w:proofErr w:type="gramStart"/>
      <w:r w:rsidR="00695776" w:rsidRPr="002D102E">
        <w:rPr>
          <w:rFonts w:cs="Times New Roman"/>
          <w:lang w:val="en-GB"/>
        </w:rPr>
        <w:t>be followed</w:t>
      </w:r>
      <w:proofErr w:type="gramEnd"/>
      <w:r w:rsidR="00695776" w:rsidRPr="002D102E">
        <w:rPr>
          <w:rFonts w:cs="Times New Roman"/>
          <w:lang w:val="en-GB"/>
        </w:rPr>
        <w:t xml:space="preserve"> by the delegate. The</w:t>
      </w:r>
      <w:r w:rsidR="00CE7F52" w:rsidRPr="002D102E">
        <w:rPr>
          <w:rFonts w:cs="Times New Roman"/>
          <w:lang w:val="en-GB"/>
        </w:rPr>
        <w:t>se</w:t>
      </w:r>
      <w:r w:rsidR="00695776" w:rsidRPr="002D102E">
        <w:rPr>
          <w:rFonts w:cs="Times New Roman"/>
          <w:lang w:val="en-GB"/>
        </w:rPr>
        <w:t xml:space="preserve"> criteria must be set out in the enabling </w:t>
      </w:r>
      <w:r w:rsidR="00CE7F52" w:rsidRPr="002D102E">
        <w:rPr>
          <w:rFonts w:cs="Times New Roman"/>
          <w:lang w:val="en-GB"/>
        </w:rPr>
        <w:t>act</w:t>
      </w:r>
      <w:r w:rsidR="00695776" w:rsidRPr="002D102E">
        <w:rPr>
          <w:rFonts w:cs="Times New Roman"/>
          <w:lang w:val="en-GB"/>
        </w:rPr>
        <w:t xml:space="preserve"> with certain specificity. E</w:t>
      </w:r>
      <w:r w:rsidR="001B0B05" w:rsidRPr="002D102E">
        <w:rPr>
          <w:rFonts w:cs="Times New Roman"/>
          <w:lang w:val="en-GB"/>
        </w:rPr>
        <w:t xml:space="preserve">x </w:t>
      </w:r>
      <w:proofErr w:type="gramStart"/>
      <w:r w:rsidR="001B0B05" w:rsidRPr="002D102E">
        <w:rPr>
          <w:rFonts w:cs="Times New Roman"/>
          <w:lang w:val="en-GB"/>
        </w:rPr>
        <w:t>post</w:t>
      </w:r>
      <w:proofErr w:type="gramEnd"/>
      <w:r w:rsidR="001B0B05" w:rsidRPr="002D102E">
        <w:rPr>
          <w:rFonts w:cs="Times New Roman"/>
          <w:lang w:val="en-GB"/>
        </w:rPr>
        <w:t xml:space="preserve"> </w:t>
      </w:r>
      <w:r w:rsidR="00005B3E" w:rsidRPr="002D102E">
        <w:rPr>
          <w:rFonts w:cs="Times New Roman"/>
          <w:lang w:val="en-GB"/>
        </w:rPr>
        <w:t>oversight</w:t>
      </w:r>
      <w:r w:rsidR="006E6600" w:rsidRPr="002D102E">
        <w:rPr>
          <w:rFonts w:cs="Times New Roman"/>
          <w:lang w:val="en-GB"/>
        </w:rPr>
        <w:t xml:space="preserve"> is implemented </w:t>
      </w:r>
      <w:r w:rsidR="001B0B05" w:rsidRPr="002D102E">
        <w:rPr>
          <w:rFonts w:cs="Times New Roman"/>
          <w:lang w:val="en-GB"/>
        </w:rPr>
        <w:t xml:space="preserve">by </w:t>
      </w:r>
      <w:r w:rsidR="00005B3E" w:rsidRPr="002D102E">
        <w:rPr>
          <w:rFonts w:cs="Times New Roman"/>
          <w:lang w:val="en-GB"/>
        </w:rPr>
        <w:t xml:space="preserve">monitoring and </w:t>
      </w:r>
      <w:r w:rsidR="00695776" w:rsidRPr="002D102E">
        <w:rPr>
          <w:rFonts w:cs="Times New Roman"/>
          <w:lang w:val="en-GB"/>
        </w:rPr>
        <w:t>sanction</w:t>
      </w:r>
      <w:r w:rsidR="00005B3E" w:rsidRPr="002D102E">
        <w:rPr>
          <w:rFonts w:cs="Times New Roman"/>
          <w:lang w:val="en-GB"/>
        </w:rPr>
        <w:t xml:space="preserve">ing </w:t>
      </w:r>
      <w:r w:rsidR="006E6600" w:rsidRPr="002D102E">
        <w:rPr>
          <w:rFonts w:cs="Times New Roman"/>
          <w:lang w:val="en-GB"/>
        </w:rPr>
        <w:t>powers of the delegator</w:t>
      </w:r>
      <w:r w:rsidR="00CE7F52" w:rsidRPr="002D102E">
        <w:rPr>
          <w:rFonts w:cs="Times New Roman"/>
          <w:lang w:val="en-GB"/>
        </w:rPr>
        <w:t xml:space="preserve">, like </w:t>
      </w:r>
      <w:r w:rsidR="00695776" w:rsidRPr="002D102E">
        <w:rPr>
          <w:rFonts w:cs="Times New Roman"/>
          <w:lang w:val="en-GB"/>
        </w:rPr>
        <w:t xml:space="preserve">vetoes, </w:t>
      </w:r>
      <w:r w:rsidR="006E6600" w:rsidRPr="002D102E">
        <w:rPr>
          <w:rFonts w:cs="Times New Roman"/>
          <w:lang w:val="en-GB"/>
        </w:rPr>
        <w:t xml:space="preserve">or </w:t>
      </w:r>
      <w:r w:rsidR="00695776" w:rsidRPr="002D102E">
        <w:rPr>
          <w:rFonts w:cs="Times New Roman"/>
          <w:lang w:val="en-GB"/>
        </w:rPr>
        <w:t xml:space="preserve">withdrawal of </w:t>
      </w:r>
      <w:r w:rsidR="005C7E34" w:rsidRPr="002D102E">
        <w:rPr>
          <w:rFonts w:cs="Times New Roman"/>
          <w:lang w:val="en-GB"/>
        </w:rPr>
        <w:t>delegation</w:t>
      </w:r>
      <w:r w:rsidR="006E6600" w:rsidRPr="002D102E">
        <w:rPr>
          <w:rFonts w:cs="Times New Roman"/>
          <w:lang w:val="en-GB"/>
        </w:rPr>
        <w:t xml:space="preserve">. Delegation that allows for </w:t>
      </w:r>
      <w:r w:rsidR="00D613D5" w:rsidRPr="002D102E">
        <w:rPr>
          <w:rFonts w:cs="Times New Roman"/>
          <w:lang w:val="en-GB"/>
        </w:rPr>
        <w:t>amend</w:t>
      </w:r>
      <w:r w:rsidR="006E6600" w:rsidRPr="002D102E">
        <w:rPr>
          <w:rFonts w:cs="Times New Roman"/>
          <w:lang w:val="en-GB"/>
        </w:rPr>
        <w:t xml:space="preserve">ing </w:t>
      </w:r>
      <w:r w:rsidR="00D613D5" w:rsidRPr="002D102E">
        <w:rPr>
          <w:rFonts w:cs="Times New Roman"/>
          <w:lang w:val="en-GB"/>
        </w:rPr>
        <w:t xml:space="preserve">legislative acts must be subject to </w:t>
      </w:r>
      <w:r w:rsidR="004F331F" w:rsidRPr="002D102E">
        <w:rPr>
          <w:rFonts w:cs="Times New Roman"/>
          <w:lang w:val="en-GB"/>
        </w:rPr>
        <w:t>stricter</w:t>
      </w:r>
      <w:r w:rsidR="00D613D5" w:rsidRPr="002D102E">
        <w:rPr>
          <w:rFonts w:cs="Times New Roman"/>
          <w:lang w:val="en-GB"/>
        </w:rPr>
        <w:t xml:space="preserve"> control by the EU legislat</w:t>
      </w:r>
      <w:r w:rsidR="006E6600" w:rsidRPr="002D102E">
        <w:rPr>
          <w:rFonts w:cs="Times New Roman"/>
          <w:lang w:val="en-GB"/>
        </w:rPr>
        <w:t>ive</w:t>
      </w:r>
      <w:r w:rsidR="00D613D5" w:rsidRPr="002D102E">
        <w:rPr>
          <w:rFonts w:cs="Times New Roman"/>
          <w:lang w:val="en-GB"/>
        </w:rPr>
        <w:t xml:space="preserve"> </w:t>
      </w:r>
      <w:r w:rsidR="006E6600" w:rsidRPr="002D102E">
        <w:rPr>
          <w:rFonts w:cs="Times New Roman"/>
          <w:lang w:val="en-GB"/>
        </w:rPr>
        <w:t xml:space="preserve">than transferral of mere implementing powers that do not alter the substance of legislation or treaties, </w:t>
      </w:r>
      <w:r w:rsidR="004F331F" w:rsidRPr="002D102E">
        <w:rPr>
          <w:rFonts w:cs="Times New Roman"/>
          <w:lang w:val="en-GB"/>
        </w:rPr>
        <w:t>for reasons of balance of power</w:t>
      </w:r>
      <w:r w:rsidR="00D613D5" w:rsidRPr="002D102E">
        <w:rPr>
          <w:rFonts w:cs="Times New Roman"/>
          <w:lang w:val="en-GB"/>
        </w:rPr>
        <w:t>.</w:t>
      </w:r>
      <w:r w:rsidR="0092364A" w:rsidRPr="002D102E">
        <w:rPr>
          <w:rFonts w:cs="Times New Roman"/>
          <w:lang w:val="en-GB"/>
        </w:rPr>
        <w:t xml:space="preserve"> </w:t>
      </w:r>
      <w:r w:rsidR="004F331F" w:rsidRPr="002D102E">
        <w:rPr>
          <w:rFonts w:cs="Times New Roman"/>
          <w:lang w:val="en-GB"/>
        </w:rPr>
        <w:t>Requiring specificity and control mechanisms does not indicate clear, absolute limitations to delegation</w:t>
      </w:r>
      <w:r w:rsidR="006E6600" w:rsidRPr="002D102E">
        <w:rPr>
          <w:rFonts w:cs="Times New Roman"/>
          <w:lang w:val="en-GB"/>
        </w:rPr>
        <w:t xml:space="preserve">, but these constraints are </w:t>
      </w:r>
      <w:r w:rsidR="004F331F" w:rsidRPr="002D102E">
        <w:rPr>
          <w:rFonts w:cs="Times New Roman"/>
          <w:lang w:val="en-GB"/>
        </w:rPr>
        <w:t>interrelated: The less specific a mandate is drafted,</w:t>
      </w:r>
      <w:r w:rsidR="006E6600" w:rsidRPr="002D102E">
        <w:rPr>
          <w:rFonts w:cs="Times New Roman"/>
          <w:lang w:val="en-GB"/>
        </w:rPr>
        <w:t xml:space="preserve"> or the more important decisions by a delegate are for the lives of people,</w:t>
      </w:r>
      <w:r w:rsidR="004F331F" w:rsidRPr="002D102E">
        <w:rPr>
          <w:rFonts w:cs="Times New Roman"/>
          <w:lang w:val="en-GB"/>
        </w:rPr>
        <w:t xml:space="preserve"> the more control powers the delegator must have</w:t>
      </w:r>
      <w:r w:rsidR="006E6600" w:rsidRPr="002D102E">
        <w:rPr>
          <w:rFonts w:cs="Times New Roman"/>
          <w:lang w:val="en-GB"/>
        </w:rPr>
        <w:t>.</w:t>
      </w:r>
    </w:p>
    <w:p w:rsidR="001D7E96" w:rsidRPr="002D102E" w:rsidRDefault="002E392E" w:rsidP="002E392E">
      <w:pPr>
        <w:rPr>
          <w:rFonts w:cs="Times New Roman"/>
          <w:b/>
          <w:lang w:val="en-GB"/>
        </w:rPr>
      </w:pPr>
      <w:r w:rsidRPr="002D102E">
        <w:rPr>
          <w:rFonts w:cs="Times New Roman"/>
          <w:lang w:val="en-GB"/>
        </w:rPr>
        <w:t xml:space="preserve">As these constraints to delegation </w:t>
      </w:r>
      <w:proofErr w:type="gramStart"/>
      <w:r w:rsidRPr="002D102E">
        <w:rPr>
          <w:rFonts w:cs="Times New Roman"/>
          <w:lang w:val="en-GB"/>
        </w:rPr>
        <w:t>are anchored</w:t>
      </w:r>
      <w:proofErr w:type="gramEnd"/>
      <w:r w:rsidRPr="002D102E">
        <w:rPr>
          <w:rFonts w:cs="Times New Roman"/>
          <w:lang w:val="en-GB"/>
        </w:rPr>
        <w:t xml:space="preserve"> in constitutional principles of EU law, i.e. democratic legitimacy and institutional balance, the</w:t>
      </w:r>
      <w:r w:rsidR="005C7E34" w:rsidRPr="002D102E">
        <w:rPr>
          <w:rFonts w:cs="Times New Roman"/>
          <w:lang w:val="en-GB"/>
        </w:rPr>
        <w:t>y</w:t>
      </w:r>
      <w:r w:rsidRPr="002D102E">
        <w:rPr>
          <w:rFonts w:cs="Times New Roman"/>
          <w:lang w:val="en-GB"/>
        </w:rPr>
        <w:t xml:space="preserve"> </w:t>
      </w:r>
      <w:r w:rsidR="006E6600" w:rsidRPr="002D102E">
        <w:rPr>
          <w:rFonts w:cs="Times New Roman"/>
          <w:lang w:val="en-GB"/>
        </w:rPr>
        <w:t xml:space="preserve">must also be </w:t>
      </w:r>
      <w:r w:rsidRPr="002D102E">
        <w:rPr>
          <w:rFonts w:cs="Times New Roman"/>
          <w:lang w:val="en-GB"/>
        </w:rPr>
        <w:t xml:space="preserve">respected </w:t>
      </w:r>
      <w:r w:rsidR="007B22F9" w:rsidRPr="002D102E">
        <w:rPr>
          <w:rFonts w:cs="Times New Roman"/>
          <w:lang w:val="en-GB"/>
        </w:rPr>
        <w:t xml:space="preserve">with regard to </w:t>
      </w:r>
      <w:r w:rsidRPr="002D102E">
        <w:rPr>
          <w:rFonts w:cs="Times New Roman"/>
          <w:lang w:val="en-GB"/>
        </w:rPr>
        <w:t xml:space="preserve">external delegation </w:t>
      </w:r>
      <w:r w:rsidR="007B22F9" w:rsidRPr="002D102E">
        <w:rPr>
          <w:rFonts w:cs="Times New Roman"/>
          <w:lang w:val="en-GB"/>
        </w:rPr>
        <w:t xml:space="preserve">of decision-making on </w:t>
      </w:r>
      <w:r w:rsidR="00CD6F56" w:rsidRPr="002D102E">
        <w:rPr>
          <w:rFonts w:cs="Times New Roman"/>
          <w:lang w:val="en-GB"/>
        </w:rPr>
        <w:t xml:space="preserve">the </w:t>
      </w:r>
      <w:r w:rsidR="007B22F9" w:rsidRPr="002D102E">
        <w:rPr>
          <w:rFonts w:cs="Times New Roman"/>
          <w:lang w:val="en-GB"/>
        </w:rPr>
        <w:t>international level.</w:t>
      </w:r>
      <w:r w:rsidR="001D7E96" w:rsidRPr="002D102E">
        <w:rPr>
          <w:rFonts w:cs="Times New Roman"/>
          <w:b/>
          <w:lang w:val="en-GB"/>
        </w:rPr>
        <w:t xml:space="preserve"> </w:t>
      </w:r>
      <w:r w:rsidR="001D7E96" w:rsidRPr="002D102E">
        <w:rPr>
          <w:rFonts w:cs="Times New Roman"/>
          <w:lang w:val="en-GB"/>
        </w:rPr>
        <w:t xml:space="preserve">This can be stipulated at least with regard to external trade relations, </w:t>
      </w:r>
      <w:proofErr w:type="gramStart"/>
      <w:r w:rsidR="001D7E96" w:rsidRPr="002D102E">
        <w:rPr>
          <w:rFonts w:cs="Times New Roman"/>
          <w:lang w:val="en-GB"/>
        </w:rPr>
        <w:t>as a consequence</w:t>
      </w:r>
      <w:proofErr w:type="gramEnd"/>
      <w:r w:rsidR="001D7E96" w:rsidRPr="002D102E">
        <w:rPr>
          <w:rFonts w:cs="Times New Roman"/>
          <w:lang w:val="en-GB"/>
        </w:rPr>
        <w:t xml:space="preserve"> of the parallelism of the EP´s legislative and treaty-making powers and the symmetry of the EP´s and the Councils competences insofar (above II.). </w:t>
      </w:r>
    </w:p>
    <w:p w:rsidR="0034504E" w:rsidRPr="002D102E" w:rsidRDefault="0034504E" w:rsidP="0034504E">
      <w:pPr>
        <w:rPr>
          <w:rFonts w:cs="Times New Roman"/>
          <w:color w:val="000000"/>
          <w:lang w:val="en-US"/>
        </w:rPr>
      </w:pPr>
      <w:r w:rsidRPr="002D102E">
        <w:rPr>
          <w:rFonts w:cs="Times New Roman"/>
          <w:color w:val="000000"/>
          <w:lang w:val="en-US"/>
        </w:rPr>
        <w:t xml:space="preserve">Even though in traditional constitutional </w:t>
      </w:r>
      <w:proofErr w:type="gramStart"/>
      <w:r w:rsidRPr="002D102E">
        <w:rPr>
          <w:rFonts w:cs="Times New Roman"/>
          <w:color w:val="000000"/>
          <w:lang w:val="en-US"/>
        </w:rPr>
        <w:t>thinking</w:t>
      </w:r>
      <w:proofErr w:type="gramEnd"/>
      <w:r w:rsidRPr="002D102E">
        <w:rPr>
          <w:rFonts w:cs="Times New Roman"/>
          <w:color w:val="000000"/>
          <w:lang w:val="en-US"/>
        </w:rPr>
        <w:t xml:space="preserve"> external relations </w:t>
      </w:r>
      <w:r w:rsidR="008B6290" w:rsidRPr="002D102E">
        <w:rPr>
          <w:rFonts w:cs="Times New Roman"/>
          <w:color w:val="000000"/>
          <w:lang w:val="en-US"/>
        </w:rPr>
        <w:t>a</w:t>
      </w:r>
      <w:r w:rsidRPr="002D102E">
        <w:rPr>
          <w:rFonts w:cs="Times New Roman"/>
          <w:color w:val="000000"/>
          <w:lang w:val="en-US"/>
        </w:rPr>
        <w:t xml:space="preserve">re a </w:t>
      </w:r>
      <w:r w:rsidR="00BD3D8A" w:rsidRPr="002D102E">
        <w:rPr>
          <w:rFonts w:cs="Times New Roman"/>
          <w:color w:val="000000"/>
          <w:lang w:val="en-US"/>
        </w:rPr>
        <w:t>particular</w:t>
      </w:r>
      <w:r w:rsidRPr="002D102E">
        <w:rPr>
          <w:rFonts w:cs="Times New Roman"/>
          <w:color w:val="000000"/>
          <w:lang w:val="en-US"/>
        </w:rPr>
        <w:t xml:space="preserve"> area of policy and accordingly subject to specific rules</w:t>
      </w:r>
      <w:r w:rsidR="00BD3D8A" w:rsidRPr="002D102E">
        <w:rPr>
          <w:rFonts w:cs="Times New Roman"/>
          <w:color w:val="000000"/>
          <w:lang w:val="en-US"/>
        </w:rPr>
        <w:t>,</w:t>
      </w:r>
      <w:r w:rsidRPr="002D102E">
        <w:rPr>
          <w:rFonts w:cs="Times New Roman"/>
          <w:color w:val="000000"/>
          <w:lang w:val="en-US"/>
        </w:rPr>
        <w:t xml:space="preserve"> which g</w:t>
      </w:r>
      <w:r w:rsidR="00D3480D" w:rsidRPr="002D102E">
        <w:rPr>
          <w:rFonts w:cs="Times New Roman"/>
          <w:color w:val="000000"/>
          <w:lang w:val="en-US"/>
        </w:rPr>
        <w:t>i</w:t>
      </w:r>
      <w:r w:rsidRPr="002D102E">
        <w:rPr>
          <w:rFonts w:cs="Times New Roman"/>
          <w:color w:val="000000"/>
          <w:lang w:val="en-US"/>
        </w:rPr>
        <w:t>ve a primacy to the executive</w:t>
      </w:r>
      <w:r w:rsidR="00D3480D" w:rsidRPr="002D102E">
        <w:rPr>
          <w:rFonts w:cs="Times New Roman"/>
          <w:color w:val="000000"/>
          <w:lang w:val="en-US"/>
        </w:rPr>
        <w:t xml:space="preserve"> (with the consequence of lower control standards for parliaments)</w:t>
      </w:r>
      <w:r w:rsidRPr="002D102E">
        <w:rPr>
          <w:rFonts w:cs="Times New Roman"/>
          <w:color w:val="000000"/>
          <w:lang w:val="en-US"/>
        </w:rPr>
        <w:t xml:space="preserve">, such stance nowadays </w:t>
      </w:r>
      <w:r w:rsidR="008B6290" w:rsidRPr="002D102E">
        <w:rPr>
          <w:rFonts w:cs="Times New Roman"/>
          <w:color w:val="000000"/>
          <w:lang w:val="en-US"/>
        </w:rPr>
        <w:t>does</w:t>
      </w:r>
      <w:r w:rsidRPr="002D102E">
        <w:rPr>
          <w:rFonts w:cs="Times New Roman"/>
          <w:color w:val="000000"/>
          <w:lang w:val="en-US"/>
        </w:rPr>
        <w:t xml:space="preserve"> not reflect the modern reality of international relations. </w:t>
      </w:r>
      <w:proofErr w:type="gramStart"/>
      <w:r w:rsidRPr="002D102E">
        <w:rPr>
          <w:rFonts w:cs="Times New Roman"/>
          <w:color w:val="000000"/>
          <w:lang w:val="en-US"/>
        </w:rPr>
        <w:t xml:space="preserve">The </w:t>
      </w:r>
      <w:proofErr w:type="spellStart"/>
      <w:r w:rsidRPr="002D102E">
        <w:rPr>
          <w:rFonts w:cs="Times New Roman"/>
          <w:color w:val="000000"/>
          <w:lang w:val="en-US"/>
        </w:rPr>
        <w:t>domaine</w:t>
      </w:r>
      <w:proofErr w:type="spellEnd"/>
      <w:r w:rsidRPr="002D102E">
        <w:rPr>
          <w:rFonts w:cs="Times New Roman"/>
          <w:color w:val="000000"/>
          <w:lang w:val="en-US"/>
        </w:rPr>
        <w:t xml:space="preserve"> of </w:t>
      </w:r>
      <w:r w:rsidR="002744B3" w:rsidRPr="002D102E">
        <w:rPr>
          <w:rFonts w:cs="Times New Roman"/>
          <w:color w:val="000000"/>
          <w:lang w:val="en-US"/>
        </w:rPr>
        <w:t xml:space="preserve">contemporary </w:t>
      </w:r>
      <w:r w:rsidRPr="002D102E">
        <w:rPr>
          <w:rFonts w:cs="Times New Roman"/>
          <w:color w:val="000000"/>
          <w:lang w:val="en-US"/>
        </w:rPr>
        <w:t xml:space="preserve">international legal rules considerably expanded and pertains to regulatory issues </w:t>
      </w:r>
      <w:r w:rsidR="00726CA1" w:rsidRPr="002D102E">
        <w:rPr>
          <w:rFonts w:cs="Times New Roman"/>
          <w:color w:val="000000"/>
          <w:lang w:val="en-US"/>
        </w:rPr>
        <w:t xml:space="preserve">as can </w:t>
      </w:r>
      <w:r w:rsidR="00C80CCC" w:rsidRPr="002D102E">
        <w:rPr>
          <w:rFonts w:cs="Times New Roman"/>
          <w:color w:val="000000"/>
          <w:lang w:val="en-US"/>
        </w:rPr>
        <w:t>be</w:t>
      </w:r>
      <w:r w:rsidRPr="002D102E">
        <w:rPr>
          <w:rFonts w:cs="Times New Roman"/>
          <w:color w:val="000000"/>
          <w:lang w:val="en-US"/>
        </w:rPr>
        <w:t xml:space="preserve"> easily </w:t>
      </w:r>
      <w:r w:rsidR="00C80CCC" w:rsidRPr="002D102E">
        <w:rPr>
          <w:rFonts w:cs="Times New Roman"/>
          <w:color w:val="000000"/>
          <w:lang w:val="en-US"/>
        </w:rPr>
        <w:t>d</w:t>
      </w:r>
      <w:r w:rsidRPr="002D102E">
        <w:rPr>
          <w:rFonts w:cs="Times New Roman"/>
          <w:color w:val="000000"/>
          <w:lang w:val="en-US"/>
        </w:rPr>
        <w:t>etermined when looking at the negotiation issues of trade agreements.</w:t>
      </w:r>
      <w:proofErr w:type="gramEnd"/>
      <w:r w:rsidRPr="002D102E">
        <w:rPr>
          <w:rFonts w:cs="Times New Roman"/>
          <w:color w:val="000000"/>
          <w:lang w:val="en-US"/>
        </w:rPr>
        <w:t xml:space="preserve"> Hence, parliaments </w:t>
      </w:r>
      <w:proofErr w:type="gramStart"/>
      <w:r w:rsidRPr="002D102E">
        <w:rPr>
          <w:rFonts w:cs="Times New Roman"/>
          <w:color w:val="000000"/>
          <w:lang w:val="en-US"/>
        </w:rPr>
        <w:t>should not be excluded</w:t>
      </w:r>
      <w:proofErr w:type="gramEnd"/>
      <w:r w:rsidRPr="002D102E">
        <w:rPr>
          <w:rFonts w:cs="Times New Roman"/>
          <w:color w:val="000000"/>
          <w:lang w:val="en-US"/>
        </w:rPr>
        <w:t xml:space="preserve"> from having a powerful position also with regard to external action.</w:t>
      </w:r>
      <w:r w:rsidR="00C80CCC" w:rsidRPr="002D102E">
        <w:rPr>
          <w:rStyle w:val="Funotenzeichen"/>
          <w:rFonts w:cs="Times New Roman"/>
          <w:color w:val="000000"/>
          <w:lang w:val="en-US"/>
        </w:rPr>
        <w:footnoteReference w:id="72"/>
      </w:r>
      <w:r w:rsidR="00CD6F56" w:rsidRPr="002D102E">
        <w:rPr>
          <w:rFonts w:cs="Times New Roman"/>
          <w:color w:val="000000"/>
          <w:lang w:val="en-US"/>
        </w:rPr>
        <w:t xml:space="preserve"> </w:t>
      </w:r>
    </w:p>
    <w:p w:rsidR="00FD588B" w:rsidRPr="002D102E" w:rsidRDefault="00FD588B" w:rsidP="00421FC9">
      <w:pPr>
        <w:rPr>
          <w:rFonts w:cs="Times New Roman"/>
          <w:color w:val="000000"/>
          <w:lang w:val="en-US"/>
        </w:rPr>
      </w:pPr>
      <w:r w:rsidRPr="002D102E">
        <w:rPr>
          <w:rFonts w:cs="Times New Roman"/>
          <w:color w:val="000000"/>
          <w:lang w:val="en-US"/>
        </w:rPr>
        <w:t>In conclu</w:t>
      </w:r>
      <w:r w:rsidR="00726CA1" w:rsidRPr="002D102E">
        <w:rPr>
          <w:rFonts w:cs="Times New Roman"/>
          <w:color w:val="000000"/>
          <w:lang w:val="en-US"/>
        </w:rPr>
        <w:t xml:space="preserve">sion, </w:t>
      </w:r>
      <w:r w:rsidRPr="002D102E">
        <w:rPr>
          <w:rFonts w:cs="Times New Roman"/>
          <w:color w:val="000000"/>
          <w:lang w:val="en-US"/>
        </w:rPr>
        <w:t xml:space="preserve">constraints to delegation contain </w:t>
      </w:r>
      <w:r w:rsidR="00005B3E" w:rsidRPr="002D102E">
        <w:rPr>
          <w:rFonts w:cs="Times New Roman"/>
          <w:color w:val="000000"/>
          <w:lang w:val="en-US"/>
        </w:rPr>
        <w:t xml:space="preserve">a prohibition against transferring the regulation of essential aspects of a policy on the executive (non-delegation) and </w:t>
      </w:r>
      <w:r w:rsidRPr="002D102E">
        <w:rPr>
          <w:rFonts w:cs="Times New Roman"/>
          <w:color w:val="000000"/>
          <w:lang w:val="en-US"/>
        </w:rPr>
        <w:t>requirements of</w:t>
      </w:r>
      <w:r w:rsidR="00726CA1" w:rsidRPr="002D102E">
        <w:rPr>
          <w:rFonts w:cs="Times New Roman"/>
          <w:color w:val="000000"/>
          <w:lang w:val="en-US"/>
        </w:rPr>
        <w:t xml:space="preserve"> </w:t>
      </w:r>
      <w:r w:rsidRPr="002D102E">
        <w:rPr>
          <w:rFonts w:cs="Times New Roman"/>
          <w:color w:val="000000"/>
          <w:lang w:val="en-US"/>
        </w:rPr>
        <w:t>specificity of delegation and of parliamentary control</w:t>
      </w:r>
      <w:r w:rsidR="00726CA1" w:rsidRPr="002D102E">
        <w:rPr>
          <w:rFonts w:cs="Times New Roman"/>
          <w:color w:val="000000"/>
          <w:lang w:val="en-US"/>
        </w:rPr>
        <w:t>.</w:t>
      </w:r>
      <w:r w:rsidR="0092364A" w:rsidRPr="002D102E">
        <w:rPr>
          <w:rFonts w:cs="Times New Roman"/>
          <w:color w:val="000000"/>
          <w:lang w:val="en-US"/>
        </w:rPr>
        <w:t xml:space="preserve"> </w:t>
      </w:r>
    </w:p>
    <w:p w:rsidR="003427FE" w:rsidRPr="002D102E" w:rsidRDefault="00FD588B" w:rsidP="00421FC9">
      <w:pPr>
        <w:rPr>
          <w:rFonts w:cs="Times New Roman"/>
          <w:color w:val="000000"/>
          <w:lang w:val="en-US"/>
        </w:rPr>
      </w:pPr>
      <w:r w:rsidRPr="002D102E">
        <w:rPr>
          <w:rFonts w:cs="Times New Roman"/>
          <w:color w:val="000000"/>
          <w:lang w:val="en-US"/>
        </w:rPr>
        <w:t xml:space="preserve">Similar conclusions </w:t>
      </w:r>
      <w:r w:rsidR="00726CA1" w:rsidRPr="002D102E">
        <w:rPr>
          <w:rFonts w:cs="Times New Roman"/>
          <w:color w:val="000000"/>
          <w:lang w:val="en-US"/>
        </w:rPr>
        <w:t xml:space="preserve">derive from </w:t>
      </w:r>
      <w:r w:rsidRPr="002D102E">
        <w:rPr>
          <w:rFonts w:cs="Times New Roman"/>
          <w:color w:val="000000"/>
          <w:lang w:val="en-US"/>
        </w:rPr>
        <w:t>principal-agent theory:</w:t>
      </w:r>
      <w:r w:rsidR="003427FE" w:rsidRPr="002D102E">
        <w:rPr>
          <w:rFonts w:cs="Times New Roman"/>
          <w:color w:val="000000"/>
          <w:lang w:val="en-US"/>
        </w:rPr>
        <w:t xml:space="preserve"> </w:t>
      </w:r>
      <w:r w:rsidR="001B5708" w:rsidRPr="002D102E">
        <w:rPr>
          <w:rFonts w:cs="Times New Roman"/>
          <w:color w:val="000000"/>
          <w:lang w:val="en-US"/>
        </w:rPr>
        <w:t xml:space="preserve">A </w:t>
      </w:r>
      <w:r w:rsidR="007C4C49" w:rsidRPr="002D102E">
        <w:rPr>
          <w:rFonts w:cs="Times New Roman"/>
          <w:color w:val="000000"/>
          <w:lang w:val="en-US"/>
        </w:rPr>
        <w:t xml:space="preserve">principal will </w:t>
      </w:r>
      <w:r w:rsidR="001B5708" w:rsidRPr="002D102E">
        <w:rPr>
          <w:rFonts w:cs="Times New Roman"/>
          <w:color w:val="000000"/>
          <w:lang w:val="en-US"/>
        </w:rPr>
        <w:t xml:space="preserve">not delegate very sensitive decisions to the agent, and will exercise oversight over the agent. </w:t>
      </w:r>
      <w:r w:rsidR="00567A5A" w:rsidRPr="002D102E">
        <w:rPr>
          <w:rFonts w:cs="Times New Roman"/>
          <w:color w:val="000000"/>
          <w:lang w:val="en-US"/>
        </w:rPr>
        <w:t>The principal</w:t>
      </w:r>
      <w:r w:rsidR="001B5708" w:rsidRPr="002D102E">
        <w:rPr>
          <w:rFonts w:cs="Times New Roman"/>
          <w:color w:val="000000"/>
          <w:lang w:val="en-US"/>
        </w:rPr>
        <w:t xml:space="preserve"> will establish control mechanisms in order to avoid agency losses, which imply checks on the ways </w:t>
      </w:r>
      <w:proofErr w:type="gramStart"/>
      <w:r w:rsidR="001B5708" w:rsidRPr="002D102E">
        <w:rPr>
          <w:rFonts w:cs="Times New Roman"/>
          <w:color w:val="000000"/>
          <w:lang w:val="en-US"/>
        </w:rPr>
        <w:t>how</w:t>
      </w:r>
      <w:proofErr w:type="gramEnd"/>
      <w:r w:rsidR="001B5708" w:rsidRPr="002D102E">
        <w:rPr>
          <w:rFonts w:cs="Times New Roman"/>
          <w:color w:val="000000"/>
          <w:lang w:val="en-US"/>
        </w:rPr>
        <w:t xml:space="preserve"> the agent uses its powers</w:t>
      </w:r>
      <w:r w:rsidR="001B5708" w:rsidRPr="002D102E">
        <w:rPr>
          <w:rStyle w:val="Funotenzeichen"/>
          <w:rFonts w:cs="Times New Roman"/>
          <w:color w:val="000000"/>
          <w:lang w:val="en-US"/>
        </w:rPr>
        <w:footnoteReference w:id="73"/>
      </w:r>
      <w:r w:rsidR="001B5708" w:rsidRPr="002D102E">
        <w:rPr>
          <w:rFonts w:cs="Times New Roman"/>
          <w:color w:val="000000"/>
          <w:lang w:val="en-US"/>
        </w:rPr>
        <w:t xml:space="preserve"> which may translate into </w:t>
      </w:r>
      <w:r w:rsidR="001B5708" w:rsidRPr="002D102E">
        <w:rPr>
          <w:rFonts w:cs="Times New Roman"/>
          <w:i/>
          <w:color w:val="000000"/>
          <w:lang w:val="en-US"/>
        </w:rPr>
        <w:t>ex ante</w:t>
      </w:r>
      <w:r w:rsidR="001B5708" w:rsidRPr="002D102E">
        <w:rPr>
          <w:rFonts w:cs="Times New Roman"/>
          <w:color w:val="000000"/>
          <w:lang w:val="en-US"/>
        </w:rPr>
        <w:t xml:space="preserve"> guidelines on how to exercise the mandate, and into </w:t>
      </w:r>
      <w:r w:rsidR="001B5708" w:rsidRPr="002D102E">
        <w:rPr>
          <w:rFonts w:cs="Times New Roman"/>
          <w:i/>
          <w:color w:val="000000"/>
          <w:lang w:val="en-US"/>
        </w:rPr>
        <w:t xml:space="preserve">ex </w:t>
      </w:r>
      <w:r w:rsidR="001B5708" w:rsidRPr="002D102E">
        <w:rPr>
          <w:rFonts w:cs="Times New Roman"/>
          <w:i/>
          <w:color w:val="000000"/>
          <w:lang w:val="en-US"/>
        </w:rPr>
        <w:lastRenderedPageBreak/>
        <w:t>post</w:t>
      </w:r>
      <w:r w:rsidR="001B5708" w:rsidRPr="002D102E">
        <w:rPr>
          <w:rFonts w:cs="Times New Roman"/>
          <w:color w:val="000000"/>
          <w:lang w:val="en-US"/>
        </w:rPr>
        <w:t xml:space="preserve"> monitoring and even sanctioning. Accordingly, the principal will </w:t>
      </w:r>
      <w:r w:rsidR="006C7EEF" w:rsidRPr="002D102E">
        <w:rPr>
          <w:rFonts w:cs="Times New Roman"/>
          <w:color w:val="000000"/>
          <w:lang w:val="en-US"/>
        </w:rPr>
        <w:t xml:space="preserve">specify </w:t>
      </w:r>
      <w:r w:rsidR="007C4C49" w:rsidRPr="002D102E">
        <w:rPr>
          <w:rFonts w:cs="Times New Roman"/>
          <w:color w:val="000000"/>
          <w:lang w:val="en-US"/>
        </w:rPr>
        <w:t xml:space="preserve">the mandate given to the agent as </w:t>
      </w:r>
      <w:r w:rsidR="006C7EEF" w:rsidRPr="002D102E">
        <w:rPr>
          <w:rFonts w:cs="Times New Roman"/>
          <w:color w:val="000000"/>
          <w:lang w:val="en-US"/>
        </w:rPr>
        <w:t xml:space="preserve">clearly </w:t>
      </w:r>
      <w:r w:rsidR="007C4C49" w:rsidRPr="002D102E">
        <w:rPr>
          <w:rFonts w:cs="Times New Roman"/>
          <w:color w:val="000000"/>
          <w:lang w:val="en-US"/>
        </w:rPr>
        <w:t>as possible</w:t>
      </w:r>
      <w:r w:rsidR="006C7EEF" w:rsidRPr="002D102E">
        <w:rPr>
          <w:rFonts w:cs="Times New Roman"/>
          <w:color w:val="000000"/>
          <w:lang w:val="en-US"/>
        </w:rPr>
        <w:t xml:space="preserve"> and determine the decisive objectives to </w:t>
      </w:r>
      <w:proofErr w:type="gramStart"/>
      <w:r w:rsidR="006C7EEF" w:rsidRPr="002D102E">
        <w:rPr>
          <w:rFonts w:cs="Times New Roman"/>
          <w:color w:val="000000"/>
          <w:lang w:val="en-US"/>
        </w:rPr>
        <w:t>be followed</w:t>
      </w:r>
      <w:proofErr w:type="gramEnd"/>
      <w:r w:rsidR="007C4C49" w:rsidRPr="002D102E">
        <w:rPr>
          <w:rFonts w:cs="Times New Roman"/>
          <w:color w:val="000000"/>
          <w:lang w:val="en-US"/>
        </w:rPr>
        <w:t xml:space="preserve">. </w:t>
      </w:r>
    </w:p>
    <w:p w:rsidR="009A221B" w:rsidRPr="002D102E" w:rsidRDefault="009A221B" w:rsidP="009A221B">
      <w:pPr>
        <w:pStyle w:val="Listenabsatz"/>
        <w:numPr>
          <w:ilvl w:val="0"/>
          <w:numId w:val="8"/>
        </w:numPr>
        <w:rPr>
          <w:color w:val="000000" w:themeColor="text1"/>
          <w:lang w:val="en-US"/>
        </w:rPr>
      </w:pPr>
      <w:r w:rsidRPr="002D102E">
        <w:rPr>
          <w:color w:val="000000" w:themeColor="text1"/>
          <w:lang w:val="en-US"/>
        </w:rPr>
        <w:t>Consequences for conferring powers to treaty  bodies</w:t>
      </w:r>
    </w:p>
    <w:p w:rsidR="009A221B" w:rsidRPr="002D102E" w:rsidRDefault="00E607C8" w:rsidP="00D738C7">
      <w:pPr>
        <w:rPr>
          <w:rFonts w:cs="Times New Roman"/>
          <w:color w:val="000000" w:themeColor="text1"/>
          <w:lang w:val="en-GB"/>
        </w:rPr>
      </w:pPr>
      <w:r w:rsidRPr="002D102E">
        <w:rPr>
          <w:rFonts w:cs="Times New Roman"/>
          <w:color w:val="000000" w:themeColor="text1"/>
          <w:lang w:val="en-GB"/>
        </w:rPr>
        <w:t>T</w:t>
      </w:r>
      <w:r w:rsidR="0029103C" w:rsidRPr="002D102E">
        <w:rPr>
          <w:rFonts w:cs="Times New Roman"/>
          <w:color w:val="000000" w:themeColor="text1"/>
          <w:lang w:val="en-GB"/>
        </w:rPr>
        <w:t xml:space="preserve">he constitutional limitation to delegation </w:t>
      </w:r>
      <w:r w:rsidRPr="002D102E">
        <w:rPr>
          <w:rFonts w:cs="Times New Roman"/>
          <w:color w:val="000000" w:themeColor="text1"/>
          <w:lang w:val="en-GB"/>
        </w:rPr>
        <w:t xml:space="preserve">flowing from non-delegation doctrine </w:t>
      </w:r>
      <w:r w:rsidR="008E6EAD" w:rsidRPr="002D102E">
        <w:rPr>
          <w:rFonts w:cs="Times New Roman"/>
          <w:color w:val="000000" w:themeColor="text1"/>
          <w:lang w:val="en-GB"/>
        </w:rPr>
        <w:t xml:space="preserve">prohibits a delegation of </w:t>
      </w:r>
      <w:r w:rsidR="00D73D05" w:rsidRPr="002D102E">
        <w:rPr>
          <w:rFonts w:cs="Times New Roman"/>
          <w:color w:val="000000" w:themeColor="text1"/>
          <w:lang w:val="en-GB"/>
        </w:rPr>
        <w:t>decision</w:t>
      </w:r>
      <w:r w:rsidR="009A221B" w:rsidRPr="002D102E">
        <w:rPr>
          <w:rFonts w:cs="Times New Roman"/>
          <w:color w:val="000000" w:themeColor="text1"/>
          <w:lang w:val="en-GB"/>
        </w:rPr>
        <w:t>-making on fundamental issues to treaty bodies.</w:t>
      </w:r>
      <w:r w:rsidR="0029103C" w:rsidRPr="002D102E">
        <w:rPr>
          <w:rFonts w:cs="Times New Roman"/>
          <w:color w:val="000000" w:themeColor="text1"/>
          <w:lang w:val="en-GB"/>
        </w:rPr>
        <w:t xml:space="preserve"> </w:t>
      </w:r>
      <w:r w:rsidR="00185317" w:rsidRPr="002D102E">
        <w:rPr>
          <w:rFonts w:cs="Times New Roman"/>
          <w:color w:val="000000" w:themeColor="text1"/>
          <w:lang w:val="en-GB"/>
        </w:rPr>
        <w:t xml:space="preserve">Such decision-making has to be </w:t>
      </w:r>
      <w:r w:rsidR="00D73D05" w:rsidRPr="002D102E">
        <w:rPr>
          <w:rFonts w:cs="Times New Roman"/>
          <w:color w:val="000000" w:themeColor="text1"/>
          <w:lang w:val="en-GB"/>
        </w:rPr>
        <w:t xml:space="preserve">reserved to </w:t>
      </w:r>
      <w:r w:rsidR="007B22F9" w:rsidRPr="002D102E">
        <w:rPr>
          <w:rFonts w:cs="Times New Roman"/>
          <w:color w:val="000000" w:themeColor="text1"/>
          <w:lang w:val="en-GB"/>
        </w:rPr>
        <w:t>treaty making institutions</w:t>
      </w:r>
      <w:r w:rsidR="00185317" w:rsidRPr="002D102E">
        <w:rPr>
          <w:rFonts w:cs="Times New Roman"/>
          <w:color w:val="000000" w:themeColor="text1"/>
          <w:lang w:val="en-GB"/>
        </w:rPr>
        <w:t xml:space="preserve"> (</w:t>
      </w:r>
      <w:r w:rsidR="007B22F9" w:rsidRPr="002D102E">
        <w:rPr>
          <w:rFonts w:cs="Times New Roman"/>
          <w:color w:val="000000" w:themeColor="text1"/>
          <w:lang w:val="en-GB"/>
        </w:rPr>
        <w:t>Council and EP</w:t>
      </w:r>
      <w:r w:rsidR="00185317" w:rsidRPr="002D102E">
        <w:rPr>
          <w:rFonts w:cs="Times New Roman"/>
          <w:color w:val="000000" w:themeColor="text1"/>
          <w:lang w:val="en-GB"/>
        </w:rPr>
        <w:t>)</w:t>
      </w:r>
      <w:r w:rsidR="00B437D4" w:rsidRPr="002D102E">
        <w:rPr>
          <w:rFonts w:cs="Times New Roman"/>
          <w:color w:val="000000" w:themeColor="text1"/>
          <w:lang w:val="en-GB"/>
        </w:rPr>
        <w:t xml:space="preserve"> which means that general-</w:t>
      </w:r>
      <w:proofErr w:type="gramStart"/>
      <w:r w:rsidR="00B437D4" w:rsidRPr="002D102E">
        <w:rPr>
          <w:rFonts w:cs="Times New Roman"/>
          <w:color w:val="000000" w:themeColor="text1"/>
          <w:lang w:val="en-GB"/>
        </w:rPr>
        <w:t>abstract,</w:t>
      </w:r>
      <w:proofErr w:type="gramEnd"/>
      <w:r w:rsidR="00B437D4" w:rsidRPr="002D102E">
        <w:rPr>
          <w:rFonts w:cs="Times New Roman"/>
          <w:color w:val="000000" w:themeColor="text1"/>
          <w:lang w:val="en-GB"/>
        </w:rPr>
        <w:t xml:space="preserve"> hence quasi-legislative rule-making on essential elements of a policy, including considerable interference with fundamental rights, cannot be transferred to decision-making by treaty bodies.</w:t>
      </w:r>
      <w:r w:rsidR="007B22F9" w:rsidRPr="002D102E">
        <w:rPr>
          <w:rFonts w:cs="Times New Roman"/>
          <w:color w:val="000000" w:themeColor="text1"/>
          <w:lang w:val="en-GB"/>
        </w:rPr>
        <w:t xml:space="preserve"> Amend</w:t>
      </w:r>
      <w:r w:rsidR="00185317" w:rsidRPr="002D102E">
        <w:rPr>
          <w:rFonts w:cs="Times New Roman"/>
          <w:color w:val="000000" w:themeColor="text1"/>
          <w:lang w:val="en-GB"/>
        </w:rPr>
        <w:t>ments</w:t>
      </w:r>
      <w:r w:rsidR="007B22F9" w:rsidRPr="002D102E">
        <w:rPr>
          <w:rFonts w:cs="Times New Roman"/>
          <w:color w:val="000000" w:themeColor="text1"/>
          <w:lang w:val="en-GB"/>
        </w:rPr>
        <w:t xml:space="preserve"> </w:t>
      </w:r>
      <w:proofErr w:type="gramStart"/>
      <w:r w:rsidR="007B22F9" w:rsidRPr="002D102E">
        <w:rPr>
          <w:rFonts w:cs="Times New Roman"/>
          <w:color w:val="000000" w:themeColor="text1"/>
          <w:lang w:val="en-GB"/>
        </w:rPr>
        <w:t xml:space="preserve">can </w:t>
      </w:r>
      <w:r w:rsidR="00185317" w:rsidRPr="002D102E">
        <w:rPr>
          <w:rFonts w:cs="Times New Roman"/>
          <w:color w:val="000000" w:themeColor="text1"/>
          <w:lang w:val="en-GB"/>
        </w:rPr>
        <w:t xml:space="preserve">be </w:t>
      </w:r>
      <w:r w:rsidR="007B22F9" w:rsidRPr="002D102E">
        <w:rPr>
          <w:rFonts w:cs="Times New Roman"/>
          <w:color w:val="000000" w:themeColor="text1"/>
          <w:lang w:val="en-GB"/>
        </w:rPr>
        <w:t>delegated</w:t>
      </w:r>
      <w:proofErr w:type="gramEnd"/>
      <w:r w:rsidR="007B22F9" w:rsidRPr="002D102E">
        <w:rPr>
          <w:rFonts w:cs="Times New Roman"/>
          <w:color w:val="000000" w:themeColor="text1"/>
          <w:lang w:val="en-GB"/>
        </w:rPr>
        <w:t xml:space="preserve"> to treaty bodies only with regard to non-essential issues. </w:t>
      </w:r>
    </w:p>
    <w:p w:rsidR="001D7E96" w:rsidRPr="002D102E" w:rsidRDefault="00E14D61" w:rsidP="00D738C7">
      <w:pPr>
        <w:rPr>
          <w:rFonts w:cs="Times New Roman"/>
          <w:b/>
          <w:color w:val="000000" w:themeColor="text1"/>
          <w:lang w:val="en-GB"/>
        </w:rPr>
      </w:pPr>
      <w:r w:rsidRPr="002D102E">
        <w:rPr>
          <w:rFonts w:cs="Times New Roman"/>
          <w:color w:val="000000" w:themeColor="text1"/>
          <w:lang w:val="en-GB"/>
        </w:rPr>
        <w:t xml:space="preserve">Beyond such </w:t>
      </w:r>
      <w:r w:rsidR="008E6EAD" w:rsidRPr="002D102E">
        <w:rPr>
          <w:rFonts w:cs="Times New Roman"/>
          <w:color w:val="000000" w:themeColor="text1"/>
          <w:lang w:val="en-GB"/>
        </w:rPr>
        <w:t xml:space="preserve">(relatively) </w:t>
      </w:r>
      <w:r w:rsidRPr="002D102E">
        <w:rPr>
          <w:rFonts w:cs="Times New Roman"/>
          <w:color w:val="000000" w:themeColor="text1"/>
          <w:lang w:val="en-GB"/>
        </w:rPr>
        <w:t>absolute limitation, constitutional constraints to delegation</w:t>
      </w:r>
      <w:r w:rsidR="002A1F87" w:rsidRPr="002D102E">
        <w:rPr>
          <w:rFonts w:cs="Times New Roman"/>
          <w:color w:val="000000" w:themeColor="text1"/>
          <w:lang w:val="en-GB"/>
        </w:rPr>
        <w:t xml:space="preserve"> require a certain degree of specificity of the competences </w:t>
      </w:r>
      <w:r w:rsidRPr="002D102E">
        <w:rPr>
          <w:rFonts w:cs="Times New Roman"/>
          <w:color w:val="000000" w:themeColor="text1"/>
          <w:lang w:val="en-GB"/>
        </w:rPr>
        <w:t>and the establishment of effective control mechanisms to the benefit of the EP</w:t>
      </w:r>
      <w:r w:rsidR="00185317" w:rsidRPr="002D102E">
        <w:rPr>
          <w:rFonts w:cs="Times New Roman"/>
          <w:color w:val="000000" w:themeColor="text1"/>
          <w:lang w:val="en-GB"/>
        </w:rPr>
        <w:t>, too</w:t>
      </w:r>
      <w:r w:rsidRPr="002D102E">
        <w:rPr>
          <w:rFonts w:cs="Times New Roman"/>
          <w:color w:val="000000" w:themeColor="text1"/>
          <w:lang w:val="en-GB"/>
        </w:rPr>
        <w:t>. The mandates</w:t>
      </w:r>
      <w:r w:rsidR="00D35E1B" w:rsidRPr="002D102E">
        <w:rPr>
          <w:rFonts w:cs="Times New Roman"/>
          <w:color w:val="000000" w:themeColor="text1"/>
          <w:lang w:val="en-GB"/>
        </w:rPr>
        <w:t xml:space="preserve"> for treaty bodies</w:t>
      </w:r>
      <w:r w:rsidRPr="002D102E">
        <w:rPr>
          <w:rFonts w:cs="Times New Roman"/>
          <w:color w:val="000000" w:themeColor="text1"/>
          <w:lang w:val="en-GB"/>
        </w:rPr>
        <w:t xml:space="preserve"> must be determined as precisely as possible in </w:t>
      </w:r>
      <w:r w:rsidR="00185317" w:rsidRPr="002D102E">
        <w:rPr>
          <w:rFonts w:cs="Times New Roman"/>
          <w:color w:val="000000" w:themeColor="text1"/>
          <w:lang w:val="en-GB"/>
        </w:rPr>
        <w:t xml:space="preserve">the </w:t>
      </w:r>
      <w:r w:rsidRPr="002D102E">
        <w:rPr>
          <w:rFonts w:cs="Times New Roman"/>
          <w:color w:val="000000" w:themeColor="text1"/>
          <w:lang w:val="en-GB"/>
        </w:rPr>
        <w:t>agreement</w:t>
      </w:r>
      <w:r w:rsidR="00185317" w:rsidRPr="002D102E">
        <w:rPr>
          <w:rFonts w:cs="Times New Roman"/>
          <w:color w:val="000000" w:themeColor="text1"/>
          <w:lang w:val="en-GB"/>
        </w:rPr>
        <w:t>s</w:t>
      </w:r>
      <w:r w:rsidRPr="002D102E">
        <w:rPr>
          <w:rFonts w:cs="Times New Roman"/>
          <w:color w:val="000000" w:themeColor="text1"/>
          <w:lang w:val="en-GB"/>
        </w:rPr>
        <w:t xml:space="preserve">, </w:t>
      </w:r>
      <w:r w:rsidR="00185317" w:rsidRPr="002D102E">
        <w:rPr>
          <w:rFonts w:cs="Times New Roman"/>
          <w:color w:val="000000" w:themeColor="text1"/>
          <w:lang w:val="en-GB"/>
        </w:rPr>
        <w:t xml:space="preserve">with regard to both </w:t>
      </w:r>
      <w:r w:rsidRPr="002D102E">
        <w:rPr>
          <w:rFonts w:cs="Times New Roman"/>
          <w:color w:val="000000" w:themeColor="text1"/>
          <w:lang w:val="en-GB"/>
        </w:rPr>
        <w:t xml:space="preserve">their scope and the criteria for their exercise. The delegation of </w:t>
      </w:r>
      <w:r w:rsidR="00185317" w:rsidRPr="002D102E">
        <w:rPr>
          <w:rFonts w:cs="Times New Roman"/>
          <w:color w:val="000000" w:themeColor="text1"/>
          <w:lang w:val="en-GB"/>
        </w:rPr>
        <w:t xml:space="preserve">generally applicable </w:t>
      </w:r>
      <w:proofErr w:type="gramStart"/>
      <w:r w:rsidRPr="002D102E">
        <w:rPr>
          <w:rFonts w:cs="Times New Roman"/>
          <w:color w:val="000000" w:themeColor="text1"/>
          <w:lang w:val="en-GB"/>
        </w:rPr>
        <w:t>rule-making</w:t>
      </w:r>
      <w:proofErr w:type="gramEnd"/>
      <w:r w:rsidRPr="002D102E">
        <w:rPr>
          <w:rFonts w:cs="Times New Roman"/>
          <w:color w:val="000000" w:themeColor="text1"/>
          <w:lang w:val="en-GB"/>
        </w:rPr>
        <w:t xml:space="preserve"> or of decision-making implying considerable discretion on part of treaty bodies presupposes control mechanisms </w:t>
      </w:r>
      <w:r w:rsidR="00185317" w:rsidRPr="002D102E">
        <w:rPr>
          <w:rFonts w:cs="Times New Roman"/>
          <w:color w:val="000000" w:themeColor="text1"/>
          <w:lang w:val="en-GB"/>
        </w:rPr>
        <w:t xml:space="preserve">for the </w:t>
      </w:r>
      <w:r w:rsidRPr="002D102E">
        <w:rPr>
          <w:rFonts w:cs="Times New Roman"/>
          <w:color w:val="000000" w:themeColor="text1"/>
          <w:lang w:val="en-GB"/>
        </w:rPr>
        <w:t>EP</w:t>
      </w:r>
      <w:r w:rsidR="00185317" w:rsidRPr="002D102E">
        <w:rPr>
          <w:rFonts w:cs="Times New Roman"/>
          <w:color w:val="000000" w:themeColor="text1"/>
          <w:lang w:val="en-GB"/>
        </w:rPr>
        <w:t>,</w:t>
      </w:r>
      <w:r w:rsidRPr="002D102E">
        <w:rPr>
          <w:rFonts w:cs="Times New Roman"/>
          <w:color w:val="000000" w:themeColor="text1"/>
          <w:lang w:val="en-GB"/>
        </w:rPr>
        <w:t xml:space="preserve"> in order to ensure its impact on the substance of the treaty bodies´ decisions. </w:t>
      </w:r>
      <w:r w:rsidR="00B25CF4" w:rsidRPr="002D102E">
        <w:rPr>
          <w:rFonts w:cs="Times New Roman"/>
          <w:color w:val="000000" w:themeColor="text1"/>
          <w:lang w:val="en-GB"/>
        </w:rPr>
        <w:t xml:space="preserve">As </w:t>
      </w:r>
      <w:r w:rsidR="00185317" w:rsidRPr="002D102E">
        <w:rPr>
          <w:rFonts w:cs="Times New Roman"/>
          <w:color w:val="000000" w:themeColor="text1"/>
          <w:lang w:val="en-GB"/>
        </w:rPr>
        <w:t xml:space="preserve">there are no </w:t>
      </w:r>
      <w:r w:rsidR="00B25CF4" w:rsidRPr="002D102E">
        <w:rPr>
          <w:rFonts w:cs="Times New Roman"/>
          <w:color w:val="000000" w:themeColor="text1"/>
          <w:lang w:val="en-GB"/>
        </w:rPr>
        <w:t xml:space="preserve">such assurances for </w:t>
      </w:r>
      <w:r w:rsidRPr="002D102E">
        <w:rPr>
          <w:rFonts w:cs="Times New Roman"/>
          <w:color w:val="000000" w:themeColor="text1"/>
          <w:lang w:val="en-GB"/>
        </w:rPr>
        <w:t>the EP´s functions</w:t>
      </w:r>
      <w:r w:rsidR="00B25CF4" w:rsidRPr="002D102E">
        <w:rPr>
          <w:rFonts w:cs="Times New Roman"/>
          <w:color w:val="000000" w:themeColor="text1"/>
          <w:lang w:val="en-GB"/>
        </w:rPr>
        <w:t xml:space="preserve"> under today´s rules, the current </w:t>
      </w:r>
      <w:r w:rsidR="00A33954" w:rsidRPr="002D102E">
        <w:rPr>
          <w:rFonts w:cs="Times New Roman"/>
          <w:color w:val="000000" w:themeColor="text1"/>
          <w:lang w:val="en-GB"/>
        </w:rPr>
        <w:t xml:space="preserve">lack of involvement of the EP militates in favour of </w:t>
      </w:r>
      <w:r w:rsidR="00D738C7" w:rsidRPr="002D102E">
        <w:rPr>
          <w:rFonts w:cs="Times New Roman"/>
          <w:color w:val="000000" w:themeColor="text1"/>
          <w:lang w:val="en-GB"/>
        </w:rPr>
        <w:t xml:space="preserve">constraining </w:t>
      </w:r>
      <w:r w:rsidR="00A33954" w:rsidRPr="002D102E">
        <w:rPr>
          <w:rFonts w:cs="Times New Roman"/>
          <w:color w:val="000000" w:themeColor="text1"/>
          <w:lang w:val="en-GB"/>
        </w:rPr>
        <w:t xml:space="preserve">the </w:t>
      </w:r>
      <w:r w:rsidR="00185317" w:rsidRPr="002D102E">
        <w:rPr>
          <w:rFonts w:cs="Times New Roman"/>
          <w:color w:val="000000" w:themeColor="text1"/>
          <w:lang w:val="en-GB"/>
        </w:rPr>
        <w:t xml:space="preserve">type </w:t>
      </w:r>
      <w:r w:rsidR="00A33954" w:rsidRPr="002D102E">
        <w:rPr>
          <w:rFonts w:cs="Times New Roman"/>
          <w:color w:val="000000" w:themeColor="text1"/>
          <w:lang w:val="en-GB"/>
        </w:rPr>
        <w:t xml:space="preserve">of </w:t>
      </w:r>
      <w:proofErr w:type="spellStart"/>
      <w:r w:rsidR="00185317" w:rsidRPr="002D102E">
        <w:rPr>
          <w:rFonts w:cs="Times New Roman"/>
          <w:color w:val="000000" w:themeColor="text1"/>
          <w:lang w:val="en-GB"/>
        </w:rPr>
        <w:t>delegatable</w:t>
      </w:r>
      <w:proofErr w:type="spellEnd"/>
      <w:r w:rsidR="00185317" w:rsidRPr="002D102E">
        <w:rPr>
          <w:rFonts w:cs="Times New Roman"/>
          <w:color w:val="000000" w:themeColor="text1"/>
          <w:lang w:val="en-GB"/>
        </w:rPr>
        <w:t xml:space="preserve"> </w:t>
      </w:r>
      <w:r w:rsidR="00A33954" w:rsidRPr="002D102E">
        <w:rPr>
          <w:rFonts w:cs="Times New Roman"/>
          <w:color w:val="000000" w:themeColor="text1"/>
          <w:lang w:val="en-GB"/>
        </w:rPr>
        <w:t>powers</w:t>
      </w:r>
      <w:r w:rsidR="00E1647B" w:rsidRPr="002D102E">
        <w:rPr>
          <w:rFonts w:cs="Times New Roman"/>
          <w:color w:val="000000" w:themeColor="text1"/>
          <w:lang w:val="en-GB"/>
        </w:rPr>
        <w:t xml:space="preserve">, in conformity with the </w:t>
      </w:r>
      <w:r w:rsidR="00A33954" w:rsidRPr="002D102E">
        <w:rPr>
          <w:rFonts w:cs="Times New Roman"/>
          <w:color w:val="000000" w:themeColor="text1"/>
          <w:lang w:val="en-GB"/>
        </w:rPr>
        <w:t xml:space="preserve">type of </w:t>
      </w:r>
      <w:r w:rsidR="00E1647B" w:rsidRPr="002D102E">
        <w:rPr>
          <w:rFonts w:cs="Times New Roman"/>
          <w:color w:val="000000" w:themeColor="text1"/>
          <w:lang w:val="en-GB"/>
        </w:rPr>
        <w:t xml:space="preserve">executive </w:t>
      </w:r>
      <w:r w:rsidR="00A33954" w:rsidRPr="002D102E">
        <w:rPr>
          <w:rFonts w:cs="Times New Roman"/>
          <w:color w:val="000000" w:themeColor="text1"/>
          <w:lang w:val="en-GB"/>
        </w:rPr>
        <w:t xml:space="preserve">powers </w:t>
      </w:r>
      <w:r w:rsidR="00E1647B" w:rsidRPr="002D102E">
        <w:rPr>
          <w:rFonts w:cs="Times New Roman"/>
          <w:color w:val="000000" w:themeColor="text1"/>
          <w:lang w:val="en-GB"/>
        </w:rPr>
        <w:t xml:space="preserve">conferred to </w:t>
      </w:r>
      <w:r w:rsidR="00A33954" w:rsidRPr="002D102E">
        <w:rPr>
          <w:rFonts w:cs="Times New Roman"/>
          <w:color w:val="000000" w:themeColor="text1"/>
          <w:lang w:val="en-GB"/>
        </w:rPr>
        <w:t>the Council</w:t>
      </w:r>
      <w:r w:rsidR="00D738C7" w:rsidRPr="002D102E">
        <w:rPr>
          <w:rFonts w:cs="Times New Roman"/>
          <w:color w:val="000000" w:themeColor="text1"/>
          <w:lang w:val="en-GB"/>
        </w:rPr>
        <w:t>.</w:t>
      </w:r>
      <w:r w:rsidR="00B25CF4" w:rsidRPr="002D102E">
        <w:rPr>
          <w:rFonts w:cs="Times New Roman"/>
          <w:color w:val="000000" w:themeColor="text1"/>
          <w:lang w:val="en-GB"/>
        </w:rPr>
        <w:t xml:space="preserve"> </w:t>
      </w:r>
      <w:r w:rsidR="00E1647B" w:rsidRPr="002D102E">
        <w:rPr>
          <w:rFonts w:cs="Times New Roman"/>
          <w:color w:val="000000" w:themeColor="text1"/>
          <w:lang w:val="en-GB"/>
        </w:rPr>
        <w:t>Thus,</w:t>
      </w:r>
      <w:r w:rsidR="001D7E96" w:rsidRPr="002D102E">
        <w:rPr>
          <w:rFonts w:cs="Times New Roman"/>
          <w:color w:val="000000" w:themeColor="text1"/>
          <w:lang w:val="en-GB"/>
        </w:rPr>
        <w:t xml:space="preserve"> the powers of treaty bodies </w:t>
      </w:r>
      <w:r w:rsidR="00B25CF4" w:rsidRPr="002D102E">
        <w:rPr>
          <w:rFonts w:cs="Times New Roman"/>
          <w:color w:val="000000" w:themeColor="text1"/>
          <w:lang w:val="en-GB"/>
        </w:rPr>
        <w:t xml:space="preserve">must </w:t>
      </w:r>
      <w:r w:rsidR="001D7E96" w:rsidRPr="002D102E">
        <w:rPr>
          <w:rFonts w:cs="Times New Roman"/>
          <w:color w:val="000000" w:themeColor="text1"/>
          <w:lang w:val="en-GB"/>
        </w:rPr>
        <w:t xml:space="preserve">be limited to decisions of an administrative or executive kind that </w:t>
      </w:r>
      <w:r w:rsidR="00E1647B" w:rsidRPr="002D102E">
        <w:rPr>
          <w:rFonts w:cs="Times New Roman"/>
          <w:color w:val="000000" w:themeColor="text1"/>
          <w:lang w:val="en-GB"/>
        </w:rPr>
        <w:t xml:space="preserve">merely implement </w:t>
      </w:r>
      <w:r w:rsidR="001D7E96" w:rsidRPr="002D102E">
        <w:rPr>
          <w:rFonts w:cs="Times New Roman"/>
          <w:color w:val="000000" w:themeColor="text1"/>
          <w:lang w:val="en-GB"/>
        </w:rPr>
        <w:t>the terms of the agreement</w:t>
      </w:r>
      <w:r w:rsidR="00E1647B" w:rsidRPr="002D102E">
        <w:rPr>
          <w:rFonts w:cs="Times New Roman"/>
          <w:color w:val="000000" w:themeColor="text1"/>
          <w:lang w:val="en-GB"/>
        </w:rPr>
        <w:t xml:space="preserve">, in conformity with a </w:t>
      </w:r>
      <w:r w:rsidR="00B25CF4" w:rsidRPr="002D102E">
        <w:rPr>
          <w:rFonts w:cs="Times New Roman"/>
          <w:color w:val="000000" w:themeColor="text1"/>
          <w:lang w:val="en-GB"/>
        </w:rPr>
        <w:t>formula</w:t>
      </w:r>
      <w:r w:rsidR="00E1647B" w:rsidRPr="002D102E">
        <w:rPr>
          <w:rFonts w:cs="Times New Roman"/>
          <w:color w:val="000000" w:themeColor="text1"/>
          <w:lang w:val="en-GB"/>
        </w:rPr>
        <w:t xml:space="preserve"> used by the CJEU</w:t>
      </w:r>
      <w:r w:rsidR="001D7E96" w:rsidRPr="002D102E">
        <w:rPr>
          <w:rFonts w:cs="Times New Roman"/>
          <w:color w:val="000000" w:themeColor="text1"/>
          <w:lang w:val="en-GB"/>
        </w:rPr>
        <w:t>: “applying or implementing that agreement”.</w:t>
      </w:r>
      <w:r w:rsidR="001D7E96" w:rsidRPr="002D102E">
        <w:rPr>
          <w:rStyle w:val="Funotenzeichen"/>
          <w:rFonts w:cs="Times New Roman"/>
          <w:color w:val="000000" w:themeColor="text1"/>
          <w:lang w:val="en-GB"/>
        </w:rPr>
        <w:footnoteReference w:id="74"/>
      </w:r>
      <w:r w:rsidR="001D7E96" w:rsidRPr="002D102E">
        <w:rPr>
          <w:rFonts w:cs="Times New Roman"/>
          <w:color w:val="000000" w:themeColor="text1"/>
          <w:lang w:val="en-GB"/>
        </w:rPr>
        <w:t xml:space="preserve"> </w:t>
      </w:r>
    </w:p>
    <w:p w:rsidR="009A221B" w:rsidRPr="002D102E" w:rsidRDefault="009A221B" w:rsidP="009A221B">
      <w:pPr>
        <w:rPr>
          <w:rFonts w:cs="Times New Roman"/>
          <w:color w:val="000000" w:themeColor="text1"/>
          <w:lang w:val="en-US"/>
        </w:rPr>
      </w:pPr>
      <w:r w:rsidRPr="002D102E">
        <w:rPr>
          <w:rFonts w:cs="Times New Roman"/>
          <w:color w:val="000000" w:themeColor="text1"/>
          <w:lang w:val="en-US"/>
        </w:rPr>
        <w:t>Even though the theoretical conceptions both under a comparative constitutional viewpoint as well as under the principal</w:t>
      </w:r>
      <w:r w:rsidR="00230F24" w:rsidRPr="002D102E">
        <w:rPr>
          <w:rFonts w:cs="Times New Roman"/>
          <w:color w:val="000000" w:themeColor="text1"/>
          <w:lang w:val="en-US"/>
        </w:rPr>
        <w:t>-</w:t>
      </w:r>
      <w:r w:rsidRPr="002D102E">
        <w:rPr>
          <w:rFonts w:cs="Times New Roman"/>
          <w:color w:val="000000" w:themeColor="text1"/>
          <w:lang w:val="en-US"/>
        </w:rPr>
        <w:t>agent theory align in comparable insights, the constitutional reality of delegation practice very often gives testimony to a loss of control standards with regard to delegation.</w:t>
      </w:r>
      <w:r w:rsidRPr="002D102E">
        <w:rPr>
          <w:rStyle w:val="Funotenzeichen"/>
          <w:rFonts w:cs="Times New Roman"/>
          <w:color w:val="000000" w:themeColor="text1"/>
          <w:lang w:val="en-US"/>
        </w:rPr>
        <w:footnoteReference w:id="75"/>
      </w:r>
      <w:r w:rsidRPr="002D102E">
        <w:rPr>
          <w:rFonts w:cs="Times New Roman"/>
          <w:color w:val="000000" w:themeColor="text1"/>
          <w:lang w:val="en-US"/>
        </w:rPr>
        <w:t xml:space="preserve"> The current EU practice of increasingly making use of treaty bodies in order to delegate (“out-source”) decision making to international institutions in ever more substantive issues </w:t>
      </w:r>
      <w:r w:rsidR="006B1EF2" w:rsidRPr="002D102E">
        <w:rPr>
          <w:rFonts w:cs="Times New Roman"/>
          <w:color w:val="000000" w:themeColor="text1"/>
          <w:lang w:val="en-US"/>
        </w:rPr>
        <w:t xml:space="preserve">without assuring sufficient parliamentary control </w:t>
      </w:r>
      <w:proofErr w:type="gramStart"/>
      <w:r w:rsidRPr="002D102E">
        <w:rPr>
          <w:rFonts w:cs="Times New Roman"/>
          <w:color w:val="000000" w:themeColor="text1"/>
          <w:lang w:val="en-US"/>
        </w:rPr>
        <w:t xml:space="preserve">may be </w:t>
      </w:r>
      <w:r w:rsidR="00230F24" w:rsidRPr="002D102E">
        <w:rPr>
          <w:rFonts w:cs="Times New Roman"/>
          <w:color w:val="000000" w:themeColor="text1"/>
          <w:lang w:val="en-US"/>
        </w:rPr>
        <w:t>perceived</w:t>
      </w:r>
      <w:proofErr w:type="gramEnd"/>
      <w:r w:rsidR="006B1EF2" w:rsidRPr="002D102E">
        <w:rPr>
          <w:rFonts w:cs="Times New Roman"/>
          <w:color w:val="000000" w:themeColor="text1"/>
          <w:lang w:val="en-US"/>
        </w:rPr>
        <w:t xml:space="preserve"> </w:t>
      </w:r>
      <w:r w:rsidR="00230F24" w:rsidRPr="002D102E">
        <w:rPr>
          <w:rFonts w:cs="Times New Roman"/>
          <w:color w:val="000000" w:themeColor="text1"/>
          <w:lang w:val="en-US"/>
        </w:rPr>
        <w:t xml:space="preserve">as </w:t>
      </w:r>
      <w:r w:rsidR="006B1EF2" w:rsidRPr="002D102E">
        <w:rPr>
          <w:rFonts w:cs="Times New Roman"/>
          <w:color w:val="000000" w:themeColor="text1"/>
          <w:lang w:val="en-US"/>
        </w:rPr>
        <w:t>follow</w:t>
      </w:r>
      <w:r w:rsidR="00230F24" w:rsidRPr="002D102E">
        <w:rPr>
          <w:rFonts w:cs="Times New Roman"/>
          <w:color w:val="000000" w:themeColor="text1"/>
          <w:lang w:val="en-US"/>
        </w:rPr>
        <w:t>ing</w:t>
      </w:r>
      <w:r w:rsidR="006B1EF2" w:rsidRPr="002D102E">
        <w:rPr>
          <w:rFonts w:cs="Times New Roman"/>
          <w:color w:val="000000" w:themeColor="text1"/>
          <w:lang w:val="en-US"/>
        </w:rPr>
        <w:t xml:space="preserve"> </w:t>
      </w:r>
      <w:r w:rsidRPr="002D102E">
        <w:rPr>
          <w:rFonts w:cs="Times New Roman"/>
          <w:color w:val="000000" w:themeColor="text1"/>
          <w:lang w:val="en-US"/>
        </w:rPr>
        <w:t xml:space="preserve">this </w:t>
      </w:r>
      <w:r w:rsidR="006B1EF2" w:rsidRPr="002D102E">
        <w:rPr>
          <w:rFonts w:cs="Times New Roman"/>
          <w:color w:val="000000" w:themeColor="text1"/>
          <w:lang w:val="en-US"/>
        </w:rPr>
        <w:t xml:space="preserve">unfortunate </w:t>
      </w:r>
      <w:r w:rsidRPr="002D102E">
        <w:rPr>
          <w:rFonts w:cs="Times New Roman"/>
          <w:color w:val="000000" w:themeColor="text1"/>
          <w:lang w:val="en-US"/>
        </w:rPr>
        <w:t xml:space="preserve">trend.  An explanation for this </w:t>
      </w:r>
      <w:r w:rsidR="00230F24" w:rsidRPr="002D102E">
        <w:rPr>
          <w:rFonts w:cs="Times New Roman"/>
          <w:color w:val="000000" w:themeColor="text1"/>
          <w:lang w:val="en-US"/>
        </w:rPr>
        <w:t>is</w:t>
      </w:r>
      <w:r w:rsidRPr="002D102E">
        <w:rPr>
          <w:rFonts w:cs="Times New Roman"/>
          <w:color w:val="000000" w:themeColor="text1"/>
          <w:lang w:val="en-US"/>
        </w:rPr>
        <w:t xml:space="preserve"> the presence of multiple principals in EU law as their involvement in the delegation might necessarily lead to exceedingly broad and not specific delegations of regulatory power.</w:t>
      </w:r>
      <w:r w:rsidRPr="002D102E">
        <w:rPr>
          <w:rStyle w:val="Funotenzeichen"/>
          <w:rFonts w:cs="Times New Roman"/>
          <w:color w:val="000000" w:themeColor="text1"/>
          <w:lang w:val="en-US"/>
        </w:rPr>
        <w:footnoteReference w:id="76"/>
      </w:r>
      <w:r w:rsidRPr="002D102E">
        <w:rPr>
          <w:rFonts w:cs="Times New Roman"/>
          <w:color w:val="000000" w:themeColor="text1"/>
          <w:lang w:val="en-US"/>
        </w:rPr>
        <w:t xml:space="preserve"> Such a plurality of principals also exists in the case of EU Free Trade agreements</w:t>
      </w:r>
      <w:r w:rsidR="00D0156D" w:rsidRPr="002D102E">
        <w:rPr>
          <w:rFonts w:cs="Times New Roman"/>
          <w:color w:val="000000" w:themeColor="text1"/>
          <w:lang w:val="en-US"/>
        </w:rPr>
        <w:t>.</w:t>
      </w:r>
      <w:r w:rsidRPr="002D102E">
        <w:rPr>
          <w:rFonts w:cs="Times New Roman"/>
          <w:color w:val="000000" w:themeColor="text1"/>
          <w:lang w:val="en-US"/>
        </w:rPr>
        <w:t xml:space="preserve"> </w:t>
      </w:r>
      <w:bookmarkStart w:id="0" w:name="_GoBack"/>
      <w:bookmarkEnd w:id="0"/>
    </w:p>
    <w:p w:rsidR="009A221B" w:rsidRPr="002D102E" w:rsidRDefault="009A221B" w:rsidP="00D243F3">
      <w:pPr>
        <w:rPr>
          <w:color w:val="FF0000"/>
          <w:lang w:val="en-US"/>
        </w:rPr>
      </w:pPr>
    </w:p>
    <w:p w:rsidR="00D54E17" w:rsidRDefault="00D54E17" w:rsidP="00563253">
      <w:pPr>
        <w:pStyle w:val="Listenabsatz"/>
        <w:numPr>
          <w:ilvl w:val="0"/>
          <w:numId w:val="1"/>
        </w:numPr>
        <w:rPr>
          <w:lang w:val="en-US"/>
        </w:rPr>
      </w:pPr>
      <w:r w:rsidRPr="00D738C7">
        <w:rPr>
          <w:lang w:val="en-US"/>
        </w:rPr>
        <w:t>Mechanisms to Strengthen the Role of the EP in the Operation of Treaty Bodies</w:t>
      </w:r>
    </w:p>
    <w:p w:rsidR="001F5ED2" w:rsidRPr="002D102E" w:rsidRDefault="009F2475" w:rsidP="006B1EF2">
      <w:pPr>
        <w:rPr>
          <w:rFonts w:cs="Times New Roman"/>
          <w:color w:val="000000" w:themeColor="text1"/>
          <w:lang w:val="en-GB"/>
        </w:rPr>
      </w:pPr>
      <w:r w:rsidRPr="002D102E">
        <w:rPr>
          <w:rFonts w:cs="Times New Roman"/>
          <w:color w:val="000000" w:themeColor="text1"/>
          <w:lang w:val="en-GB"/>
        </w:rPr>
        <w:t>An</w:t>
      </w:r>
      <w:r w:rsidR="00DF606F" w:rsidRPr="002D102E">
        <w:rPr>
          <w:rFonts w:cs="Times New Roman"/>
          <w:color w:val="000000" w:themeColor="text1"/>
          <w:lang w:val="en-GB"/>
        </w:rPr>
        <w:t xml:space="preserve"> alternative, partly overlapping </w:t>
      </w:r>
      <w:r w:rsidRPr="002D102E">
        <w:rPr>
          <w:rFonts w:cs="Times New Roman"/>
          <w:color w:val="000000" w:themeColor="text1"/>
          <w:lang w:val="en-GB"/>
        </w:rPr>
        <w:t>way of securing the EP´s prerog</w:t>
      </w:r>
      <w:r w:rsidR="00B437D4" w:rsidRPr="002D102E">
        <w:rPr>
          <w:rFonts w:cs="Times New Roman"/>
          <w:color w:val="000000" w:themeColor="text1"/>
          <w:lang w:val="en-GB"/>
        </w:rPr>
        <w:t>atives</w:t>
      </w:r>
      <w:r w:rsidR="00B866B7" w:rsidRPr="002D102E">
        <w:rPr>
          <w:rFonts w:cs="Times New Roman"/>
          <w:color w:val="000000" w:themeColor="text1"/>
          <w:lang w:val="en-GB"/>
        </w:rPr>
        <w:t>, and hence to safeguard the democratic legitimacy of treaty bodies´ decision-making,</w:t>
      </w:r>
      <w:r w:rsidR="00B437D4" w:rsidRPr="002D102E">
        <w:rPr>
          <w:rFonts w:cs="Times New Roman"/>
          <w:color w:val="000000" w:themeColor="text1"/>
          <w:lang w:val="en-GB"/>
        </w:rPr>
        <w:t xml:space="preserve"> is to </w:t>
      </w:r>
      <w:r w:rsidRPr="002D102E">
        <w:rPr>
          <w:rFonts w:cs="Times New Roman"/>
          <w:color w:val="000000" w:themeColor="text1"/>
          <w:lang w:val="en-GB"/>
        </w:rPr>
        <w:t xml:space="preserve">strengthen the EP´s </w:t>
      </w:r>
      <w:r w:rsidR="00B437D4" w:rsidRPr="002D102E">
        <w:rPr>
          <w:rFonts w:cs="Times New Roman"/>
          <w:color w:val="000000" w:themeColor="text1"/>
          <w:lang w:val="en-GB"/>
        </w:rPr>
        <w:t xml:space="preserve">effective </w:t>
      </w:r>
      <w:r w:rsidRPr="002D102E">
        <w:rPr>
          <w:rFonts w:cs="Times New Roman"/>
          <w:color w:val="000000" w:themeColor="text1"/>
          <w:lang w:val="en-GB"/>
        </w:rPr>
        <w:t xml:space="preserve">control </w:t>
      </w:r>
      <w:r w:rsidR="00B437D4" w:rsidRPr="002D102E">
        <w:rPr>
          <w:rFonts w:cs="Times New Roman"/>
          <w:color w:val="000000" w:themeColor="text1"/>
          <w:lang w:val="en-GB"/>
        </w:rPr>
        <w:t xml:space="preserve">over </w:t>
      </w:r>
      <w:r w:rsidR="00DD0C36" w:rsidRPr="002D102E">
        <w:rPr>
          <w:rFonts w:cs="Times New Roman"/>
          <w:color w:val="000000" w:themeColor="text1"/>
          <w:lang w:val="en-GB"/>
        </w:rPr>
        <w:t xml:space="preserve">their </w:t>
      </w:r>
      <w:r w:rsidR="001F5ED2" w:rsidRPr="002D102E">
        <w:rPr>
          <w:rFonts w:cs="Times New Roman"/>
          <w:color w:val="000000" w:themeColor="text1"/>
          <w:lang w:val="en-GB"/>
        </w:rPr>
        <w:t xml:space="preserve">decision-making </w:t>
      </w:r>
      <w:r w:rsidR="00B437D4" w:rsidRPr="002D102E">
        <w:rPr>
          <w:rFonts w:cs="Times New Roman"/>
          <w:color w:val="000000" w:themeColor="text1"/>
          <w:lang w:val="en-GB"/>
        </w:rPr>
        <w:t>(beyond being informed and having a debate)</w:t>
      </w:r>
      <w:r w:rsidR="00526AB3" w:rsidRPr="002D102E">
        <w:rPr>
          <w:rFonts w:cs="Times New Roman"/>
          <w:color w:val="000000" w:themeColor="text1"/>
          <w:lang w:val="en-GB"/>
        </w:rPr>
        <w:t xml:space="preserve">. This is </w:t>
      </w:r>
      <w:r w:rsidR="00B437D4" w:rsidRPr="002D102E">
        <w:rPr>
          <w:rFonts w:cs="Times New Roman"/>
          <w:color w:val="000000" w:themeColor="text1"/>
          <w:lang w:val="en-GB"/>
        </w:rPr>
        <w:t>particular</w:t>
      </w:r>
      <w:r w:rsidR="00526AB3" w:rsidRPr="002D102E">
        <w:rPr>
          <w:rFonts w:cs="Times New Roman"/>
          <w:color w:val="000000" w:themeColor="text1"/>
          <w:lang w:val="en-GB"/>
        </w:rPr>
        <w:t xml:space="preserve">ly required in case of </w:t>
      </w:r>
      <w:r w:rsidR="00B437D4" w:rsidRPr="002D102E">
        <w:rPr>
          <w:rFonts w:cs="Times New Roman"/>
          <w:color w:val="000000" w:themeColor="text1"/>
          <w:lang w:val="en-GB"/>
        </w:rPr>
        <w:t>rulemaking</w:t>
      </w:r>
      <w:r w:rsidR="00DD0C36" w:rsidRPr="002D102E">
        <w:rPr>
          <w:rFonts w:cs="Times New Roman"/>
          <w:color w:val="000000" w:themeColor="text1"/>
          <w:lang w:val="en-GB"/>
        </w:rPr>
        <w:t xml:space="preserve"> or the exercise of powers </w:t>
      </w:r>
      <w:r w:rsidR="002C27F3" w:rsidRPr="002D102E">
        <w:rPr>
          <w:rFonts w:cs="Times New Roman"/>
          <w:color w:val="000000" w:themeColor="text1"/>
          <w:lang w:val="en-GB"/>
        </w:rPr>
        <w:t>implying</w:t>
      </w:r>
      <w:r w:rsidR="00DD0C36" w:rsidRPr="002D102E">
        <w:rPr>
          <w:rFonts w:cs="Times New Roman"/>
          <w:color w:val="000000" w:themeColor="text1"/>
          <w:lang w:val="en-GB"/>
        </w:rPr>
        <w:t xml:space="preserve"> wide discretion, especially if </w:t>
      </w:r>
      <w:r w:rsidR="002C27F3" w:rsidRPr="002D102E">
        <w:rPr>
          <w:rFonts w:cs="Times New Roman"/>
          <w:color w:val="000000" w:themeColor="text1"/>
          <w:lang w:val="en-GB"/>
        </w:rPr>
        <w:t xml:space="preserve">treaty bodies´ </w:t>
      </w:r>
      <w:r w:rsidR="00DD0C36" w:rsidRPr="002D102E">
        <w:rPr>
          <w:rFonts w:cs="Times New Roman"/>
          <w:color w:val="000000" w:themeColor="text1"/>
          <w:lang w:val="en-GB"/>
        </w:rPr>
        <w:t>decisions could interfere with EU legislation</w:t>
      </w:r>
      <w:r w:rsidR="00526AB3" w:rsidRPr="002D102E">
        <w:rPr>
          <w:rFonts w:cs="Times New Roman"/>
          <w:color w:val="000000" w:themeColor="text1"/>
          <w:lang w:val="en-GB"/>
        </w:rPr>
        <w:t xml:space="preserve">. The improved mechanisms should allow </w:t>
      </w:r>
      <w:r w:rsidR="00B437D4" w:rsidRPr="002D102E">
        <w:rPr>
          <w:rFonts w:cs="Times New Roman"/>
          <w:color w:val="000000" w:themeColor="text1"/>
          <w:lang w:val="en-GB"/>
        </w:rPr>
        <w:t xml:space="preserve">a </w:t>
      </w:r>
      <w:r w:rsidR="002C27F3" w:rsidRPr="002D102E">
        <w:rPr>
          <w:rFonts w:cs="Times New Roman"/>
          <w:color w:val="000000" w:themeColor="text1"/>
          <w:lang w:val="en-GB"/>
        </w:rPr>
        <w:t>considerable</w:t>
      </w:r>
      <w:r w:rsidR="00144B40" w:rsidRPr="002D102E">
        <w:rPr>
          <w:rFonts w:cs="Times New Roman"/>
          <w:color w:val="000000" w:themeColor="text1"/>
          <w:lang w:val="en-GB"/>
        </w:rPr>
        <w:t xml:space="preserve">, </w:t>
      </w:r>
      <w:r w:rsidR="00144B40" w:rsidRPr="002D102E">
        <w:rPr>
          <w:rFonts w:cs="Times New Roman"/>
          <w:color w:val="000000" w:themeColor="text1"/>
          <w:lang w:val="en-GB"/>
        </w:rPr>
        <w:lastRenderedPageBreak/>
        <w:t>preferably</w:t>
      </w:r>
      <w:r w:rsidR="00B437D4" w:rsidRPr="002D102E">
        <w:rPr>
          <w:rFonts w:cs="Times New Roman"/>
          <w:color w:val="000000" w:themeColor="text1"/>
          <w:lang w:val="en-GB"/>
        </w:rPr>
        <w:t xml:space="preserve"> </w:t>
      </w:r>
      <w:r w:rsidR="00144B40" w:rsidRPr="002D102E">
        <w:rPr>
          <w:rFonts w:cs="Times New Roman"/>
          <w:color w:val="000000" w:themeColor="text1"/>
          <w:lang w:val="en-GB"/>
        </w:rPr>
        <w:t xml:space="preserve">ex ante, </w:t>
      </w:r>
      <w:r w:rsidR="00DD0C36" w:rsidRPr="002D102E">
        <w:rPr>
          <w:rFonts w:cs="Times New Roman"/>
          <w:color w:val="000000" w:themeColor="text1"/>
          <w:lang w:val="en-GB"/>
        </w:rPr>
        <w:t>impact</w:t>
      </w:r>
      <w:r w:rsidR="00B437D4" w:rsidRPr="002D102E">
        <w:rPr>
          <w:rFonts w:cs="Times New Roman"/>
          <w:color w:val="000000" w:themeColor="text1"/>
          <w:lang w:val="en-GB"/>
        </w:rPr>
        <w:t xml:space="preserve"> </w:t>
      </w:r>
      <w:r w:rsidR="00526AB3" w:rsidRPr="002D102E">
        <w:rPr>
          <w:rFonts w:cs="Times New Roman"/>
          <w:color w:val="000000" w:themeColor="text1"/>
          <w:lang w:val="en-GB"/>
        </w:rPr>
        <w:t xml:space="preserve">of the EP </w:t>
      </w:r>
      <w:r w:rsidR="00B437D4" w:rsidRPr="002D102E">
        <w:rPr>
          <w:rFonts w:cs="Times New Roman"/>
          <w:color w:val="000000" w:themeColor="text1"/>
          <w:lang w:val="en-GB"/>
        </w:rPr>
        <w:t>on the substance of the treaty bodies´ decisions</w:t>
      </w:r>
      <w:r w:rsidR="001F5ED2" w:rsidRPr="002D102E">
        <w:rPr>
          <w:rFonts w:cs="Times New Roman"/>
          <w:color w:val="000000" w:themeColor="text1"/>
          <w:lang w:val="en-GB"/>
        </w:rPr>
        <w:t xml:space="preserve">. </w:t>
      </w:r>
      <w:r w:rsidR="00CA310B">
        <w:rPr>
          <w:rFonts w:cs="Times New Roman"/>
          <w:color w:val="000000" w:themeColor="text1"/>
          <w:lang w:val="en-GB"/>
        </w:rPr>
        <w:t>Such ways are conceivable on the international and on the domestic level:</w:t>
      </w:r>
    </w:p>
    <w:p w:rsidR="001F5ED2" w:rsidRPr="002D102E" w:rsidRDefault="00CA310B" w:rsidP="006B1EF2">
      <w:pPr>
        <w:rPr>
          <w:rFonts w:cs="Times New Roman"/>
          <w:color w:val="000000" w:themeColor="text1"/>
          <w:lang w:val="en-GB"/>
        </w:rPr>
      </w:pPr>
      <w:r>
        <w:rPr>
          <w:rFonts w:cs="Times New Roman"/>
          <w:color w:val="000000" w:themeColor="text1"/>
          <w:lang w:val="en-GB"/>
        </w:rPr>
        <w:t xml:space="preserve">Internationally, it could mean a </w:t>
      </w:r>
      <w:r w:rsidR="00BB77AB" w:rsidRPr="002D102E">
        <w:rPr>
          <w:rFonts w:cs="Times New Roman"/>
          <w:color w:val="000000" w:themeColor="text1"/>
          <w:lang w:val="en-GB"/>
        </w:rPr>
        <w:t xml:space="preserve">direct </w:t>
      </w:r>
      <w:r w:rsidR="001F5ED2" w:rsidRPr="002D102E">
        <w:rPr>
          <w:rFonts w:cs="Times New Roman"/>
          <w:color w:val="000000" w:themeColor="text1"/>
          <w:lang w:val="en-GB"/>
        </w:rPr>
        <w:t xml:space="preserve">involvement of the EP in </w:t>
      </w:r>
      <w:r w:rsidR="00BB77AB" w:rsidRPr="002D102E">
        <w:rPr>
          <w:rFonts w:cs="Times New Roman"/>
          <w:color w:val="000000" w:themeColor="text1"/>
          <w:lang w:val="en-GB"/>
        </w:rPr>
        <w:t xml:space="preserve">the </w:t>
      </w:r>
      <w:r w:rsidR="001F5ED2" w:rsidRPr="002D102E">
        <w:rPr>
          <w:rFonts w:cs="Times New Roman"/>
          <w:color w:val="000000" w:themeColor="text1"/>
          <w:lang w:val="en-GB"/>
        </w:rPr>
        <w:t>decision-making of the treaty bodies</w:t>
      </w:r>
      <w:r>
        <w:rPr>
          <w:rFonts w:cs="Times New Roman"/>
          <w:color w:val="000000" w:themeColor="text1"/>
          <w:lang w:val="en-GB"/>
        </w:rPr>
        <w:t xml:space="preserve"> at international level</w:t>
      </w:r>
      <w:r w:rsidR="001F5ED2" w:rsidRPr="002D102E">
        <w:rPr>
          <w:rFonts w:cs="Times New Roman"/>
          <w:color w:val="000000" w:themeColor="text1"/>
          <w:lang w:val="en-GB"/>
        </w:rPr>
        <w:t xml:space="preserve">. Members of the </w:t>
      </w:r>
      <w:r w:rsidR="00FE2A90" w:rsidRPr="002D102E">
        <w:rPr>
          <w:rFonts w:cs="Times New Roman"/>
          <w:color w:val="000000" w:themeColor="text1"/>
          <w:lang w:val="en-GB"/>
        </w:rPr>
        <w:t>INTA</w:t>
      </w:r>
      <w:r w:rsidR="00E8460B" w:rsidRPr="002D102E">
        <w:rPr>
          <w:rFonts w:cs="Times New Roman"/>
          <w:color w:val="000000" w:themeColor="text1"/>
          <w:lang w:val="en-GB"/>
        </w:rPr>
        <w:t xml:space="preserve"> or the responsible monitoring group</w:t>
      </w:r>
      <w:r w:rsidR="001F5ED2" w:rsidRPr="002D102E">
        <w:rPr>
          <w:rFonts w:cs="Times New Roman"/>
          <w:color w:val="000000" w:themeColor="text1"/>
          <w:lang w:val="en-GB"/>
        </w:rPr>
        <w:t xml:space="preserve"> </w:t>
      </w:r>
      <w:r w:rsidR="00BB77AB" w:rsidRPr="002D102E">
        <w:rPr>
          <w:rFonts w:cs="Times New Roman"/>
          <w:color w:val="000000" w:themeColor="text1"/>
          <w:lang w:val="en-GB"/>
        </w:rPr>
        <w:t>could be</w:t>
      </w:r>
      <w:r w:rsidR="002C27F3" w:rsidRPr="002D102E">
        <w:rPr>
          <w:rFonts w:cs="Times New Roman"/>
          <w:color w:val="000000" w:themeColor="text1"/>
          <w:lang w:val="en-GB"/>
        </w:rPr>
        <w:t xml:space="preserve">come part </w:t>
      </w:r>
      <w:r w:rsidR="001F5ED2" w:rsidRPr="002D102E">
        <w:rPr>
          <w:rFonts w:cs="Times New Roman"/>
          <w:color w:val="000000" w:themeColor="text1"/>
          <w:lang w:val="en-GB"/>
        </w:rPr>
        <w:t xml:space="preserve">of the EU representative in the treaty bodies, at least </w:t>
      </w:r>
      <w:r w:rsidR="002C27F3" w:rsidRPr="002D102E">
        <w:rPr>
          <w:rFonts w:cs="Times New Roman"/>
          <w:color w:val="000000" w:themeColor="text1"/>
          <w:lang w:val="en-GB"/>
        </w:rPr>
        <w:t xml:space="preserve">as </w:t>
      </w:r>
      <w:r w:rsidR="001F5ED2" w:rsidRPr="002D102E">
        <w:rPr>
          <w:rFonts w:cs="Times New Roman"/>
          <w:color w:val="000000" w:themeColor="text1"/>
          <w:lang w:val="en-GB"/>
        </w:rPr>
        <w:t>observer</w:t>
      </w:r>
      <w:r w:rsidR="002C27F3" w:rsidRPr="002D102E">
        <w:rPr>
          <w:rFonts w:cs="Times New Roman"/>
          <w:color w:val="000000" w:themeColor="text1"/>
          <w:lang w:val="en-GB"/>
        </w:rPr>
        <w:t>s</w:t>
      </w:r>
      <w:r w:rsidR="001F5ED2" w:rsidRPr="002D102E">
        <w:rPr>
          <w:rFonts w:cs="Times New Roman"/>
          <w:color w:val="000000" w:themeColor="text1"/>
          <w:lang w:val="en-GB"/>
        </w:rPr>
        <w:t xml:space="preserve">. </w:t>
      </w:r>
      <w:r w:rsidR="00CE2B85" w:rsidRPr="002D102E">
        <w:rPr>
          <w:rFonts w:cs="Times New Roman"/>
          <w:color w:val="000000" w:themeColor="text1"/>
          <w:lang w:val="en-GB"/>
        </w:rPr>
        <w:t xml:space="preserve">As mentioned, the </w:t>
      </w:r>
      <w:r w:rsidR="001F5ED2" w:rsidRPr="002D102E">
        <w:rPr>
          <w:rFonts w:cs="Times New Roman"/>
          <w:color w:val="000000" w:themeColor="text1"/>
          <w:lang w:val="en-GB"/>
        </w:rPr>
        <w:t xml:space="preserve">Framework Agreement foresees </w:t>
      </w:r>
      <w:r w:rsidR="00DD0C36" w:rsidRPr="002D102E">
        <w:rPr>
          <w:rFonts w:cs="Times New Roman"/>
          <w:color w:val="000000" w:themeColor="text1"/>
          <w:lang w:val="en-GB"/>
        </w:rPr>
        <w:t xml:space="preserve">Members of the </w:t>
      </w:r>
      <w:r w:rsidR="001F5ED2" w:rsidRPr="002D102E">
        <w:rPr>
          <w:rFonts w:cs="Times New Roman"/>
          <w:color w:val="000000" w:themeColor="text1"/>
          <w:lang w:val="en-GB"/>
        </w:rPr>
        <w:t xml:space="preserve">EP as observers at international conferences, </w:t>
      </w:r>
      <w:r w:rsidR="002C27F3" w:rsidRPr="002D102E">
        <w:rPr>
          <w:rFonts w:cs="Times New Roman"/>
          <w:color w:val="000000" w:themeColor="text1"/>
          <w:lang w:val="en-GB"/>
        </w:rPr>
        <w:t>as</w:t>
      </w:r>
      <w:r w:rsidR="001F5ED2" w:rsidRPr="002D102E">
        <w:rPr>
          <w:rFonts w:cs="Times New Roman"/>
          <w:color w:val="000000" w:themeColor="text1"/>
          <w:lang w:val="en-GB"/>
        </w:rPr>
        <w:t xml:space="preserve"> part of the EU delegation. This possibility </w:t>
      </w:r>
      <w:proofErr w:type="gramStart"/>
      <w:r w:rsidR="001F5ED2" w:rsidRPr="002D102E">
        <w:rPr>
          <w:rFonts w:cs="Times New Roman"/>
          <w:color w:val="000000" w:themeColor="text1"/>
          <w:lang w:val="en-GB"/>
        </w:rPr>
        <w:t xml:space="preserve">could be </w:t>
      </w:r>
      <w:r w:rsidR="00465E4E" w:rsidRPr="002D102E">
        <w:rPr>
          <w:rFonts w:cs="Times New Roman"/>
          <w:color w:val="000000" w:themeColor="text1"/>
          <w:lang w:val="en-GB"/>
        </w:rPr>
        <w:t>amended</w:t>
      </w:r>
      <w:proofErr w:type="gramEnd"/>
      <w:r w:rsidR="001F5ED2" w:rsidRPr="002D102E">
        <w:rPr>
          <w:rFonts w:cs="Times New Roman"/>
          <w:color w:val="000000" w:themeColor="text1"/>
          <w:lang w:val="en-GB"/>
        </w:rPr>
        <w:t xml:space="preserve"> to include observer status </w:t>
      </w:r>
      <w:r w:rsidR="00DD0C36" w:rsidRPr="002D102E">
        <w:rPr>
          <w:rFonts w:cs="Times New Roman"/>
          <w:color w:val="000000" w:themeColor="text1"/>
          <w:lang w:val="en-GB"/>
        </w:rPr>
        <w:t xml:space="preserve">also </w:t>
      </w:r>
      <w:r w:rsidR="001F5ED2" w:rsidRPr="002D102E">
        <w:rPr>
          <w:rFonts w:cs="Times New Roman"/>
          <w:color w:val="000000" w:themeColor="text1"/>
          <w:lang w:val="en-GB"/>
        </w:rPr>
        <w:t xml:space="preserve">in </w:t>
      </w:r>
      <w:r w:rsidR="002C27F3" w:rsidRPr="002D102E">
        <w:rPr>
          <w:rFonts w:cs="Times New Roman"/>
          <w:color w:val="000000" w:themeColor="text1"/>
          <w:lang w:val="en-GB"/>
        </w:rPr>
        <w:t xml:space="preserve">FTA </w:t>
      </w:r>
      <w:r w:rsidR="001F5ED2" w:rsidRPr="002D102E">
        <w:rPr>
          <w:rFonts w:cs="Times New Roman"/>
          <w:color w:val="000000" w:themeColor="text1"/>
          <w:lang w:val="en-GB"/>
        </w:rPr>
        <w:t>treaty bodies.</w:t>
      </w:r>
      <w:r w:rsidR="002C27F3" w:rsidRPr="002D102E">
        <w:rPr>
          <w:rFonts w:cs="Times New Roman"/>
          <w:color w:val="000000" w:themeColor="text1"/>
          <w:lang w:val="en-GB"/>
        </w:rPr>
        <w:t xml:space="preserve"> T</w:t>
      </w:r>
      <w:r w:rsidR="001F5ED2" w:rsidRPr="002D102E">
        <w:rPr>
          <w:rFonts w:cs="Times New Roman"/>
          <w:color w:val="000000" w:themeColor="text1"/>
          <w:lang w:val="en-GB"/>
        </w:rPr>
        <w:t xml:space="preserve">he EP would </w:t>
      </w:r>
      <w:r w:rsidR="00DD0C36" w:rsidRPr="002D102E">
        <w:rPr>
          <w:rFonts w:cs="Times New Roman"/>
          <w:color w:val="000000" w:themeColor="text1"/>
          <w:lang w:val="en-GB"/>
        </w:rPr>
        <w:t>get</w:t>
      </w:r>
      <w:r w:rsidR="001F5ED2" w:rsidRPr="002D102E">
        <w:rPr>
          <w:rFonts w:cs="Times New Roman"/>
          <w:color w:val="000000" w:themeColor="text1"/>
          <w:lang w:val="en-GB"/>
        </w:rPr>
        <w:t xml:space="preserve"> direct information </w:t>
      </w:r>
      <w:r w:rsidR="00DD0C36" w:rsidRPr="002D102E">
        <w:rPr>
          <w:rFonts w:cs="Times New Roman"/>
          <w:color w:val="000000" w:themeColor="text1"/>
          <w:lang w:val="en-GB"/>
        </w:rPr>
        <w:t xml:space="preserve">about </w:t>
      </w:r>
      <w:r w:rsidR="001F5ED2" w:rsidRPr="002D102E">
        <w:rPr>
          <w:rFonts w:cs="Times New Roman"/>
          <w:color w:val="000000" w:themeColor="text1"/>
          <w:lang w:val="en-GB"/>
        </w:rPr>
        <w:t xml:space="preserve">the processes in the treaty bodies, </w:t>
      </w:r>
      <w:r w:rsidR="00DD0C36" w:rsidRPr="002D102E">
        <w:rPr>
          <w:rFonts w:cs="Times New Roman"/>
          <w:color w:val="000000" w:themeColor="text1"/>
          <w:lang w:val="en-GB"/>
        </w:rPr>
        <w:t xml:space="preserve">which would increase </w:t>
      </w:r>
      <w:r w:rsidR="001F5ED2" w:rsidRPr="002D102E">
        <w:rPr>
          <w:rFonts w:cs="Times New Roman"/>
          <w:color w:val="000000" w:themeColor="text1"/>
          <w:lang w:val="en-GB"/>
        </w:rPr>
        <w:t xml:space="preserve">the effectiveness of </w:t>
      </w:r>
      <w:r w:rsidR="00DD0C36" w:rsidRPr="002D102E">
        <w:rPr>
          <w:rFonts w:cs="Times New Roman"/>
          <w:color w:val="000000" w:themeColor="text1"/>
          <w:lang w:val="en-GB"/>
        </w:rPr>
        <w:t xml:space="preserve">the EP´s </w:t>
      </w:r>
      <w:r w:rsidR="001F5ED2" w:rsidRPr="002D102E">
        <w:rPr>
          <w:rFonts w:cs="Times New Roman"/>
          <w:color w:val="000000" w:themeColor="text1"/>
          <w:lang w:val="en-GB"/>
        </w:rPr>
        <w:t>control</w:t>
      </w:r>
      <w:r w:rsidR="00F518EA" w:rsidRPr="002D102E">
        <w:rPr>
          <w:rFonts w:cs="Times New Roman"/>
          <w:color w:val="000000" w:themeColor="text1"/>
          <w:lang w:val="en-GB"/>
        </w:rPr>
        <w:t xml:space="preserve"> over the executive because it is better informed and can directly monitor the implementation of the EU position and </w:t>
      </w:r>
      <w:r w:rsidR="002C27F3" w:rsidRPr="002D102E">
        <w:rPr>
          <w:rFonts w:cs="Times New Roman"/>
          <w:color w:val="000000" w:themeColor="text1"/>
          <w:lang w:val="en-GB"/>
        </w:rPr>
        <w:t>EP</w:t>
      </w:r>
      <w:r w:rsidR="00F518EA" w:rsidRPr="002D102E">
        <w:rPr>
          <w:rFonts w:cs="Times New Roman"/>
          <w:color w:val="000000" w:themeColor="text1"/>
          <w:lang w:val="en-GB"/>
        </w:rPr>
        <w:t xml:space="preserve"> resolutions</w:t>
      </w:r>
      <w:r w:rsidR="001F5ED2" w:rsidRPr="002D102E">
        <w:rPr>
          <w:rFonts w:cs="Times New Roman"/>
          <w:color w:val="000000" w:themeColor="text1"/>
          <w:lang w:val="en-GB"/>
        </w:rPr>
        <w:t xml:space="preserve">. </w:t>
      </w:r>
      <w:r w:rsidR="002C27F3" w:rsidRPr="002D102E">
        <w:rPr>
          <w:rFonts w:cs="Times New Roman"/>
          <w:color w:val="000000" w:themeColor="text1"/>
          <w:lang w:val="en-GB"/>
        </w:rPr>
        <w:t>The EP</w:t>
      </w:r>
      <w:r w:rsidR="00144B40" w:rsidRPr="002D102E">
        <w:rPr>
          <w:rFonts w:cs="Times New Roman"/>
          <w:color w:val="000000" w:themeColor="text1"/>
          <w:lang w:val="en-GB"/>
        </w:rPr>
        <w:t xml:space="preserve">, however, </w:t>
      </w:r>
      <w:r w:rsidR="002C27F3" w:rsidRPr="002D102E">
        <w:rPr>
          <w:rFonts w:cs="Times New Roman"/>
          <w:color w:val="000000" w:themeColor="text1"/>
          <w:lang w:val="en-GB"/>
        </w:rPr>
        <w:t xml:space="preserve">would mainly be </w:t>
      </w:r>
      <w:r w:rsidR="00144B40" w:rsidRPr="002D102E">
        <w:rPr>
          <w:rFonts w:cs="Times New Roman"/>
          <w:color w:val="000000" w:themeColor="text1"/>
          <w:lang w:val="en-GB"/>
        </w:rPr>
        <w:t>limit</w:t>
      </w:r>
      <w:r w:rsidR="002C27F3" w:rsidRPr="002D102E">
        <w:rPr>
          <w:rFonts w:cs="Times New Roman"/>
          <w:color w:val="000000" w:themeColor="text1"/>
          <w:lang w:val="en-GB"/>
        </w:rPr>
        <w:t>ed</w:t>
      </w:r>
      <w:r w:rsidR="00144B40" w:rsidRPr="002D102E">
        <w:rPr>
          <w:rFonts w:cs="Times New Roman"/>
          <w:color w:val="000000" w:themeColor="text1"/>
          <w:lang w:val="en-GB"/>
        </w:rPr>
        <w:t xml:space="preserve"> to ex post control, whose effectiveness is </w:t>
      </w:r>
      <w:r w:rsidR="002C27F3" w:rsidRPr="002D102E">
        <w:rPr>
          <w:rFonts w:cs="Times New Roman"/>
          <w:color w:val="000000" w:themeColor="text1"/>
          <w:lang w:val="en-GB"/>
        </w:rPr>
        <w:t xml:space="preserve">undermined </w:t>
      </w:r>
      <w:r w:rsidR="00144B40" w:rsidRPr="002D102E">
        <w:rPr>
          <w:rFonts w:cs="Times New Roman"/>
          <w:color w:val="000000" w:themeColor="text1"/>
          <w:lang w:val="en-GB"/>
        </w:rPr>
        <w:t xml:space="preserve">by the fact that a decision adopted in the treaty body cannot be overturned unless </w:t>
      </w:r>
      <w:r w:rsidR="002C27F3" w:rsidRPr="002D102E">
        <w:rPr>
          <w:rFonts w:cs="Times New Roman"/>
          <w:color w:val="000000" w:themeColor="text1"/>
          <w:lang w:val="en-GB"/>
        </w:rPr>
        <w:t>being</w:t>
      </w:r>
      <w:r w:rsidR="00144B40" w:rsidRPr="002D102E">
        <w:rPr>
          <w:rFonts w:cs="Times New Roman"/>
          <w:color w:val="000000" w:themeColor="text1"/>
          <w:lang w:val="en-GB"/>
        </w:rPr>
        <w:t xml:space="preserve"> replaced by a new </w:t>
      </w:r>
      <w:r w:rsidR="002C27F3" w:rsidRPr="002D102E">
        <w:rPr>
          <w:rFonts w:cs="Times New Roman"/>
          <w:color w:val="000000" w:themeColor="text1"/>
          <w:lang w:val="en-GB"/>
        </w:rPr>
        <w:t xml:space="preserve">one </w:t>
      </w:r>
      <w:r w:rsidR="00144B40" w:rsidRPr="002D102E">
        <w:rPr>
          <w:rFonts w:cs="Times New Roman"/>
          <w:color w:val="000000" w:themeColor="text1"/>
          <w:lang w:val="en-GB"/>
        </w:rPr>
        <w:t xml:space="preserve">on whose adoption the EP does not have any influence. Hence, ex post control by the EP </w:t>
      </w:r>
      <w:r w:rsidR="00141584" w:rsidRPr="002D102E">
        <w:rPr>
          <w:rFonts w:cs="Times New Roman"/>
          <w:color w:val="000000" w:themeColor="text1"/>
          <w:lang w:val="en-GB"/>
        </w:rPr>
        <w:t>is</w:t>
      </w:r>
      <w:r w:rsidR="00144B40" w:rsidRPr="002D102E">
        <w:rPr>
          <w:rFonts w:cs="Times New Roman"/>
          <w:color w:val="000000" w:themeColor="text1"/>
          <w:lang w:val="en-GB"/>
        </w:rPr>
        <w:t xml:space="preserve"> effective only if there were routes in which the effect of a treaty body decision could </w:t>
      </w:r>
      <w:r w:rsidR="00141584" w:rsidRPr="002D102E">
        <w:rPr>
          <w:rFonts w:cs="Times New Roman"/>
          <w:color w:val="000000" w:themeColor="text1"/>
          <w:lang w:val="en-GB"/>
        </w:rPr>
        <w:t>terminated</w:t>
      </w:r>
      <w:r w:rsidR="00144B40" w:rsidRPr="002D102E">
        <w:rPr>
          <w:rFonts w:cs="Times New Roman"/>
          <w:color w:val="000000" w:themeColor="text1"/>
          <w:lang w:val="en-GB"/>
        </w:rPr>
        <w:t>. Insofar, a possible remedy would be the suspension of a treaty body decision, in the same way as a</w:t>
      </w:r>
      <w:r w:rsidR="00141584" w:rsidRPr="002D102E">
        <w:rPr>
          <w:rFonts w:cs="Times New Roman"/>
          <w:color w:val="000000" w:themeColor="text1"/>
          <w:lang w:val="en-GB"/>
        </w:rPr>
        <w:t>n</w:t>
      </w:r>
      <w:r w:rsidR="00144B40" w:rsidRPr="002D102E">
        <w:rPr>
          <w:rFonts w:cs="Times New Roman"/>
          <w:color w:val="000000" w:themeColor="text1"/>
          <w:lang w:val="en-GB"/>
        </w:rPr>
        <w:t xml:space="preserve"> agreement or parts </w:t>
      </w:r>
      <w:r w:rsidR="00141584" w:rsidRPr="002D102E">
        <w:rPr>
          <w:rFonts w:cs="Times New Roman"/>
          <w:color w:val="000000" w:themeColor="text1"/>
          <w:lang w:val="en-GB"/>
        </w:rPr>
        <w:t>thereof</w:t>
      </w:r>
      <w:r w:rsidR="00144B40" w:rsidRPr="002D102E">
        <w:rPr>
          <w:rFonts w:cs="Times New Roman"/>
          <w:color w:val="000000" w:themeColor="text1"/>
          <w:lang w:val="en-GB"/>
        </w:rPr>
        <w:t xml:space="preserve"> may be suspended</w:t>
      </w:r>
      <w:r>
        <w:rPr>
          <w:rFonts w:cs="Times New Roman"/>
          <w:color w:val="000000" w:themeColor="text1"/>
          <w:lang w:val="en-GB"/>
        </w:rPr>
        <w:t>, but for other reasons (because of acting ultra vires, or of adopting illegitimate rules)</w:t>
      </w:r>
      <w:r w:rsidR="00144B40" w:rsidRPr="002D102E">
        <w:rPr>
          <w:rFonts w:cs="Times New Roman"/>
          <w:color w:val="000000" w:themeColor="text1"/>
          <w:lang w:val="en-GB"/>
        </w:rPr>
        <w:t xml:space="preserve">. Such remedy, however, </w:t>
      </w:r>
      <w:r w:rsidR="00BB07B4" w:rsidRPr="002D102E">
        <w:rPr>
          <w:rFonts w:cs="Times New Roman"/>
          <w:color w:val="000000" w:themeColor="text1"/>
          <w:lang w:val="en-GB"/>
        </w:rPr>
        <w:t>would be a novel feature of a</w:t>
      </w:r>
      <w:r w:rsidR="00141584" w:rsidRPr="002D102E">
        <w:rPr>
          <w:rFonts w:cs="Times New Roman"/>
          <w:color w:val="000000" w:themeColor="text1"/>
          <w:lang w:val="en-GB"/>
        </w:rPr>
        <w:t>n</w:t>
      </w:r>
      <w:r w:rsidR="00BB07B4" w:rsidRPr="002D102E">
        <w:rPr>
          <w:rFonts w:cs="Times New Roman"/>
          <w:color w:val="000000" w:themeColor="text1"/>
          <w:lang w:val="en-GB"/>
        </w:rPr>
        <w:t xml:space="preserve"> FTA and hence </w:t>
      </w:r>
      <w:r w:rsidR="00144B40" w:rsidRPr="002D102E">
        <w:rPr>
          <w:rFonts w:cs="Times New Roman"/>
          <w:color w:val="000000" w:themeColor="text1"/>
          <w:lang w:val="en-GB"/>
        </w:rPr>
        <w:t xml:space="preserve">must be </w:t>
      </w:r>
      <w:r w:rsidR="00BB07B4" w:rsidRPr="002D102E">
        <w:rPr>
          <w:rFonts w:cs="Times New Roman"/>
          <w:color w:val="000000" w:themeColor="text1"/>
          <w:lang w:val="en-GB"/>
        </w:rPr>
        <w:t xml:space="preserve">explicitly </w:t>
      </w:r>
      <w:r w:rsidR="00144B40" w:rsidRPr="002D102E">
        <w:rPr>
          <w:rFonts w:cs="Times New Roman"/>
          <w:color w:val="000000" w:themeColor="text1"/>
          <w:lang w:val="en-GB"/>
        </w:rPr>
        <w:t xml:space="preserve">enshrined </w:t>
      </w:r>
      <w:r>
        <w:rPr>
          <w:rFonts w:cs="Times New Roman"/>
          <w:color w:val="000000" w:themeColor="text1"/>
          <w:lang w:val="en-GB"/>
        </w:rPr>
        <w:t xml:space="preserve">and set out in more detail </w:t>
      </w:r>
      <w:r w:rsidR="00BB07B4" w:rsidRPr="002D102E">
        <w:rPr>
          <w:rFonts w:cs="Times New Roman"/>
          <w:color w:val="000000" w:themeColor="text1"/>
          <w:lang w:val="en-GB"/>
        </w:rPr>
        <w:t>there</w:t>
      </w:r>
      <w:r w:rsidR="00144B40" w:rsidRPr="002D102E">
        <w:rPr>
          <w:rFonts w:cs="Times New Roman"/>
          <w:color w:val="000000" w:themeColor="text1"/>
          <w:lang w:val="en-GB"/>
        </w:rPr>
        <w:t>in.</w:t>
      </w:r>
    </w:p>
    <w:p w:rsidR="00CA310B" w:rsidRPr="002D102E" w:rsidRDefault="00141584" w:rsidP="00CA310B">
      <w:pPr>
        <w:rPr>
          <w:rFonts w:cs="Times New Roman"/>
          <w:color w:val="000000" w:themeColor="text1"/>
          <w:lang w:val="en-GB"/>
        </w:rPr>
      </w:pPr>
      <w:r w:rsidRPr="002D102E">
        <w:rPr>
          <w:rFonts w:cs="Times New Roman"/>
          <w:color w:val="000000" w:themeColor="text1"/>
          <w:lang w:val="en-GB"/>
        </w:rPr>
        <w:t xml:space="preserve">More preferable </w:t>
      </w:r>
      <w:r w:rsidR="00144B40" w:rsidRPr="002D102E">
        <w:rPr>
          <w:rFonts w:cs="Times New Roman"/>
          <w:color w:val="000000" w:themeColor="text1"/>
          <w:lang w:val="en-GB"/>
        </w:rPr>
        <w:t>are mechanism</w:t>
      </w:r>
      <w:r w:rsidR="00CA310B">
        <w:rPr>
          <w:rFonts w:cs="Times New Roman"/>
          <w:color w:val="000000" w:themeColor="text1"/>
          <w:lang w:val="en-GB"/>
        </w:rPr>
        <w:t>s</w:t>
      </w:r>
      <w:r w:rsidR="00144B40" w:rsidRPr="002D102E">
        <w:rPr>
          <w:rFonts w:cs="Times New Roman"/>
          <w:color w:val="000000" w:themeColor="text1"/>
          <w:lang w:val="en-GB"/>
        </w:rPr>
        <w:t xml:space="preserve"> of ex ante control. </w:t>
      </w:r>
      <w:r w:rsidR="00CA310B">
        <w:rPr>
          <w:rFonts w:cs="Times New Roman"/>
          <w:color w:val="000000" w:themeColor="text1"/>
          <w:lang w:val="en-GB"/>
        </w:rPr>
        <w:t>Insofar, a suitable control mechanism could mean the introduction of (Joint) Parliamentary Assemblies with parliamentarians of the other party to the FTA.</w:t>
      </w:r>
      <w:r w:rsidR="00CA310B">
        <w:rPr>
          <w:rStyle w:val="Funotenzeichen"/>
          <w:rFonts w:cs="Times New Roman"/>
          <w:color w:val="000000" w:themeColor="text1"/>
          <w:lang w:val="en-GB"/>
        </w:rPr>
        <w:footnoteReference w:id="77"/>
      </w:r>
      <w:r w:rsidR="00CA310B">
        <w:rPr>
          <w:rFonts w:cs="Times New Roman"/>
          <w:color w:val="000000" w:themeColor="text1"/>
          <w:lang w:val="en-GB"/>
        </w:rPr>
        <w:t xml:space="preserve"> Such assembly could represent a forum for common discussion of democracy issues and of other non-economic concerns. Together with the establishment of such assemblies, which must be enshrined explicitly in the FTAs, the FTAs must also provide competences, in particular with regard to decision-making of treaty bodies. The FTAs could foresee – beyond information and comments on draft decisions - suspension or veto powers in case of rule-making decisions. </w:t>
      </w:r>
    </w:p>
    <w:p w:rsidR="001F5ED2" w:rsidRPr="002D102E" w:rsidRDefault="00CA310B" w:rsidP="006B1EF2">
      <w:pPr>
        <w:rPr>
          <w:rFonts w:cs="Times New Roman"/>
          <w:color w:val="000000" w:themeColor="text1"/>
          <w:lang w:val="en-GB"/>
        </w:rPr>
      </w:pPr>
      <w:r>
        <w:rPr>
          <w:rFonts w:cs="Times New Roman"/>
          <w:color w:val="000000" w:themeColor="text1"/>
          <w:lang w:val="en-GB"/>
        </w:rPr>
        <w:t xml:space="preserve">On domestic level, ex ante control </w:t>
      </w:r>
      <w:r w:rsidR="00141584" w:rsidRPr="002D102E">
        <w:rPr>
          <w:rFonts w:cs="Times New Roman"/>
          <w:color w:val="000000" w:themeColor="text1"/>
          <w:lang w:val="en-GB"/>
        </w:rPr>
        <w:t xml:space="preserve">could </w:t>
      </w:r>
      <w:r>
        <w:rPr>
          <w:rFonts w:cs="Times New Roman"/>
          <w:color w:val="000000" w:themeColor="text1"/>
          <w:lang w:val="en-GB"/>
        </w:rPr>
        <w:t xml:space="preserve">mean to </w:t>
      </w:r>
      <w:r w:rsidR="00E16135" w:rsidRPr="002D102E">
        <w:rPr>
          <w:rFonts w:cs="Times New Roman"/>
          <w:color w:val="000000" w:themeColor="text1"/>
          <w:lang w:val="en-GB"/>
        </w:rPr>
        <w:t xml:space="preserve">formally </w:t>
      </w:r>
      <w:r w:rsidR="00DD0C36" w:rsidRPr="002D102E">
        <w:rPr>
          <w:rFonts w:cs="Times New Roman"/>
          <w:color w:val="000000" w:themeColor="text1"/>
          <w:lang w:val="en-GB"/>
        </w:rPr>
        <w:t>involve</w:t>
      </w:r>
      <w:r w:rsidR="001F5ED2" w:rsidRPr="002D102E">
        <w:rPr>
          <w:rFonts w:cs="Times New Roman"/>
          <w:color w:val="000000" w:themeColor="text1"/>
          <w:lang w:val="en-GB"/>
        </w:rPr>
        <w:t xml:space="preserve"> the EP in the </w:t>
      </w:r>
      <w:r w:rsidR="005235A3" w:rsidRPr="002D102E">
        <w:rPr>
          <w:rFonts w:cs="Times New Roman"/>
          <w:color w:val="000000" w:themeColor="text1"/>
          <w:lang w:val="en-GB"/>
        </w:rPr>
        <w:t>adoption</w:t>
      </w:r>
      <w:r w:rsidR="001F5ED2" w:rsidRPr="002D102E">
        <w:rPr>
          <w:rFonts w:cs="Times New Roman"/>
          <w:color w:val="000000" w:themeColor="text1"/>
          <w:lang w:val="en-GB"/>
        </w:rPr>
        <w:t xml:space="preserve"> of the EU position under Article 218 (9) TFEU.  </w:t>
      </w:r>
      <w:r w:rsidR="00E16135" w:rsidRPr="002D102E">
        <w:rPr>
          <w:rFonts w:cs="Times New Roman"/>
          <w:color w:val="000000" w:themeColor="text1"/>
          <w:lang w:val="en-GB"/>
        </w:rPr>
        <w:t>S</w:t>
      </w:r>
      <w:r w:rsidR="001F5ED2" w:rsidRPr="002D102E">
        <w:rPr>
          <w:rFonts w:cs="Times New Roman"/>
          <w:color w:val="000000" w:themeColor="text1"/>
          <w:lang w:val="en-GB"/>
        </w:rPr>
        <w:t xml:space="preserve">teadfast, immediate and full information </w:t>
      </w:r>
      <w:proofErr w:type="gramStart"/>
      <w:r w:rsidR="005235A3" w:rsidRPr="002D102E">
        <w:rPr>
          <w:rFonts w:cs="Times New Roman"/>
          <w:color w:val="000000" w:themeColor="text1"/>
          <w:lang w:val="en-GB"/>
        </w:rPr>
        <w:t xml:space="preserve">must </w:t>
      </w:r>
      <w:r w:rsidR="00E16135" w:rsidRPr="002D102E">
        <w:rPr>
          <w:rFonts w:cs="Times New Roman"/>
          <w:color w:val="000000" w:themeColor="text1"/>
          <w:lang w:val="en-GB"/>
        </w:rPr>
        <w:t xml:space="preserve">be </w:t>
      </w:r>
      <w:r w:rsidR="005235A3" w:rsidRPr="002D102E">
        <w:rPr>
          <w:rFonts w:cs="Times New Roman"/>
          <w:color w:val="000000" w:themeColor="text1"/>
          <w:lang w:val="en-GB"/>
        </w:rPr>
        <w:t>given</w:t>
      </w:r>
      <w:proofErr w:type="gramEnd"/>
      <w:r w:rsidR="00E16135" w:rsidRPr="002D102E">
        <w:rPr>
          <w:rFonts w:cs="Times New Roman"/>
          <w:color w:val="000000" w:themeColor="text1"/>
          <w:lang w:val="en-GB"/>
        </w:rPr>
        <w:t xml:space="preserve"> to </w:t>
      </w:r>
      <w:r w:rsidR="001F5ED2" w:rsidRPr="002D102E">
        <w:rPr>
          <w:rFonts w:cs="Times New Roman"/>
          <w:color w:val="000000" w:themeColor="text1"/>
          <w:lang w:val="en-GB"/>
        </w:rPr>
        <w:t xml:space="preserve">the EP </w:t>
      </w:r>
      <w:r w:rsidR="005235A3" w:rsidRPr="002D102E">
        <w:rPr>
          <w:rFonts w:cs="Times New Roman"/>
          <w:color w:val="000000" w:themeColor="text1"/>
          <w:lang w:val="en-GB"/>
        </w:rPr>
        <w:t xml:space="preserve">also </w:t>
      </w:r>
      <w:r w:rsidR="001F5ED2" w:rsidRPr="002D102E">
        <w:rPr>
          <w:rFonts w:cs="Times New Roman"/>
          <w:color w:val="000000" w:themeColor="text1"/>
          <w:lang w:val="en-GB"/>
        </w:rPr>
        <w:t xml:space="preserve">with regard to envisaged treaty body decisions. </w:t>
      </w:r>
      <w:r w:rsidR="00465E4E" w:rsidRPr="002D102E">
        <w:rPr>
          <w:rFonts w:cs="Times New Roman"/>
          <w:color w:val="000000" w:themeColor="text1"/>
          <w:lang w:val="en-GB"/>
        </w:rPr>
        <w:t>The full information of the EP by the Commission before approving modifications to an agreement that are authorised by the Council under Article 218 (7) TFEU</w:t>
      </w:r>
      <w:r w:rsidR="00465E4E" w:rsidRPr="002D102E">
        <w:rPr>
          <w:rStyle w:val="Funotenzeichen"/>
          <w:rFonts w:cs="Times New Roman"/>
          <w:color w:val="000000" w:themeColor="text1"/>
          <w:lang w:val="en-GB"/>
        </w:rPr>
        <w:footnoteReference w:id="78"/>
      </w:r>
      <w:r w:rsidR="00465E4E" w:rsidRPr="002D102E">
        <w:rPr>
          <w:rFonts w:cs="Times New Roman"/>
          <w:color w:val="000000" w:themeColor="text1"/>
          <w:lang w:val="en-GB"/>
        </w:rPr>
        <w:t xml:space="preserve"> must be expanded to include Article 218 (9). </w:t>
      </w:r>
      <w:r w:rsidR="00E16135" w:rsidRPr="002D102E">
        <w:rPr>
          <w:rFonts w:cs="Times New Roman"/>
          <w:color w:val="000000" w:themeColor="text1"/>
          <w:lang w:val="en-GB"/>
        </w:rPr>
        <w:t>Furthermore, the EP</w:t>
      </w:r>
      <w:r w:rsidR="001F5ED2" w:rsidRPr="002D102E">
        <w:rPr>
          <w:rFonts w:cs="Times New Roman"/>
          <w:color w:val="000000" w:themeColor="text1"/>
          <w:lang w:val="en-GB"/>
        </w:rPr>
        <w:t xml:space="preserve"> </w:t>
      </w:r>
      <w:r w:rsidR="00BB77AB" w:rsidRPr="002D102E">
        <w:rPr>
          <w:rFonts w:cs="Times New Roman"/>
          <w:color w:val="000000" w:themeColor="text1"/>
          <w:lang w:val="en-GB"/>
        </w:rPr>
        <w:t xml:space="preserve">should </w:t>
      </w:r>
      <w:r w:rsidR="00E16135" w:rsidRPr="002D102E">
        <w:rPr>
          <w:rFonts w:cs="Times New Roman"/>
          <w:color w:val="000000" w:themeColor="text1"/>
          <w:lang w:val="en-GB"/>
        </w:rPr>
        <w:t xml:space="preserve">get the right </w:t>
      </w:r>
      <w:r w:rsidR="00BB77AB" w:rsidRPr="002D102E">
        <w:rPr>
          <w:rFonts w:cs="Times New Roman"/>
          <w:color w:val="000000" w:themeColor="text1"/>
          <w:lang w:val="en-GB"/>
        </w:rPr>
        <w:t xml:space="preserve">to </w:t>
      </w:r>
      <w:r w:rsidR="00E16135" w:rsidRPr="002D102E">
        <w:rPr>
          <w:rFonts w:cs="Times New Roman"/>
          <w:color w:val="000000" w:themeColor="text1"/>
          <w:lang w:val="en-GB"/>
        </w:rPr>
        <w:t xml:space="preserve">issue </w:t>
      </w:r>
      <w:r w:rsidR="001F5ED2" w:rsidRPr="002D102E">
        <w:rPr>
          <w:rFonts w:cs="Times New Roman"/>
          <w:color w:val="000000" w:themeColor="text1"/>
          <w:lang w:val="en-GB"/>
        </w:rPr>
        <w:t xml:space="preserve">recommendations which the Commission is required to take into account </w:t>
      </w:r>
      <w:r w:rsidR="00CE1645" w:rsidRPr="002D102E">
        <w:rPr>
          <w:rFonts w:cs="Times New Roman"/>
          <w:color w:val="000000" w:themeColor="text1"/>
          <w:lang w:val="en-GB"/>
        </w:rPr>
        <w:t>in</w:t>
      </w:r>
      <w:r w:rsidR="00465E4E" w:rsidRPr="002D102E">
        <w:rPr>
          <w:rFonts w:cs="Times New Roman"/>
          <w:color w:val="000000" w:themeColor="text1"/>
          <w:lang w:val="en-GB"/>
        </w:rPr>
        <w:t xml:space="preserve"> </w:t>
      </w:r>
      <w:r w:rsidR="001F5ED2" w:rsidRPr="002D102E">
        <w:rPr>
          <w:rFonts w:cs="Times New Roman"/>
          <w:color w:val="000000" w:themeColor="text1"/>
          <w:lang w:val="en-GB"/>
        </w:rPr>
        <w:t>drafting a Council decision</w:t>
      </w:r>
      <w:r w:rsidR="00E16135" w:rsidRPr="002D102E">
        <w:rPr>
          <w:rFonts w:cs="Times New Roman"/>
          <w:color w:val="000000" w:themeColor="text1"/>
          <w:lang w:val="en-GB"/>
        </w:rPr>
        <w:t>,</w:t>
      </w:r>
      <w:r w:rsidR="001F5ED2" w:rsidRPr="002D102E">
        <w:rPr>
          <w:rFonts w:cs="Times New Roman"/>
          <w:color w:val="000000" w:themeColor="text1"/>
          <w:lang w:val="en-GB"/>
        </w:rPr>
        <w:t xml:space="preserve"> and if not, </w:t>
      </w:r>
      <w:r w:rsidR="00E16135" w:rsidRPr="002D102E">
        <w:rPr>
          <w:rFonts w:cs="Times New Roman"/>
          <w:color w:val="000000" w:themeColor="text1"/>
          <w:lang w:val="en-GB"/>
        </w:rPr>
        <w:t xml:space="preserve">the Commission must </w:t>
      </w:r>
      <w:r w:rsidR="00465E4E" w:rsidRPr="002D102E">
        <w:rPr>
          <w:rFonts w:cs="Times New Roman"/>
          <w:color w:val="000000" w:themeColor="text1"/>
          <w:lang w:val="en-GB"/>
        </w:rPr>
        <w:t>explain</w:t>
      </w:r>
      <w:r w:rsidR="001F5ED2" w:rsidRPr="002D102E">
        <w:rPr>
          <w:rFonts w:cs="Times New Roman"/>
          <w:color w:val="000000" w:themeColor="text1"/>
          <w:lang w:val="en-GB"/>
        </w:rPr>
        <w:t xml:space="preserve"> the reasons.  </w:t>
      </w:r>
    </w:p>
    <w:p w:rsidR="00D738C7" w:rsidRDefault="001F5ED2" w:rsidP="00D738C7">
      <w:pPr>
        <w:rPr>
          <w:rFonts w:cs="Times New Roman"/>
          <w:color w:val="000000" w:themeColor="text1"/>
          <w:lang w:val="en-GB"/>
        </w:rPr>
      </w:pPr>
      <w:r w:rsidRPr="002D102E">
        <w:rPr>
          <w:rFonts w:cs="Times New Roman"/>
          <w:color w:val="000000" w:themeColor="text1"/>
          <w:lang w:val="en-GB"/>
        </w:rPr>
        <w:t xml:space="preserve">A </w:t>
      </w:r>
      <w:r w:rsidR="00E16135" w:rsidRPr="002D102E">
        <w:rPr>
          <w:rFonts w:cs="Times New Roman"/>
          <w:color w:val="000000" w:themeColor="text1"/>
          <w:lang w:val="en-GB"/>
        </w:rPr>
        <w:t xml:space="preserve">further step </w:t>
      </w:r>
      <w:r w:rsidR="003C213A" w:rsidRPr="002D102E">
        <w:rPr>
          <w:rFonts w:cs="Times New Roman"/>
          <w:color w:val="000000" w:themeColor="text1"/>
          <w:lang w:val="en-GB"/>
        </w:rPr>
        <w:t xml:space="preserve">towards </w:t>
      </w:r>
      <w:r w:rsidR="00E16135" w:rsidRPr="002D102E">
        <w:rPr>
          <w:rFonts w:cs="Times New Roman"/>
          <w:color w:val="000000" w:themeColor="text1"/>
          <w:lang w:val="en-GB"/>
        </w:rPr>
        <w:t xml:space="preserve">increased </w:t>
      </w:r>
      <w:r w:rsidR="00144B40" w:rsidRPr="002D102E">
        <w:rPr>
          <w:rFonts w:cs="Times New Roman"/>
          <w:color w:val="000000" w:themeColor="text1"/>
          <w:lang w:val="en-GB"/>
        </w:rPr>
        <w:t>scrutiny</w:t>
      </w:r>
      <w:r w:rsidR="00E16135" w:rsidRPr="002D102E">
        <w:rPr>
          <w:rFonts w:cs="Times New Roman"/>
          <w:color w:val="000000" w:themeColor="text1"/>
          <w:lang w:val="en-GB"/>
        </w:rPr>
        <w:t xml:space="preserve"> </w:t>
      </w:r>
      <w:r w:rsidRPr="002D102E">
        <w:rPr>
          <w:rFonts w:cs="Times New Roman"/>
          <w:color w:val="000000" w:themeColor="text1"/>
          <w:lang w:val="en-GB"/>
        </w:rPr>
        <w:t xml:space="preserve">would be </w:t>
      </w:r>
      <w:r w:rsidR="003C213A" w:rsidRPr="002D102E">
        <w:rPr>
          <w:rFonts w:cs="Times New Roman"/>
          <w:color w:val="000000" w:themeColor="text1"/>
          <w:lang w:val="en-GB"/>
        </w:rPr>
        <w:t>a</w:t>
      </w:r>
      <w:r w:rsidR="00E16135" w:rsidRPr="002D102E">
        <w:rPr>
          <w:rFonts w:cs="Times New Roman"/>
          <w:color w:val="000000" w:themeColor="text1"/>
          <w:lang w:val="en-GB"/>
        </w:rPr>
        <w:t xml:space="preserve"> </w:t>
      </w:r>
      <w:r w:rsidRPr="002D102E">
        <w:rPr>
          <w:rFonts w:cs="Times New Roman"/>
          <w:color w:val="000000" w:themeColor="text1"/>
          <w:lang w:val="en-GB"/>
        </w:rPr>
        <w:t>formal EP involvement in the Council decision</w:t>
      </w:r>
      <w:r w:rsidR="00747B8A" w:rsidRPr="002D102E">
        <w:rPr>
          <w:rFonts w:cs="Times New Roman"/>
          <w:color w:val="000000" w:themeColor="text1"/>
          <w:lang w:val="en-GB"/>
        </w:rPr>
        <w:t>-</w:t>
      </w:r>
      <w:r w:rsidRPr="002D102E">
        <w:rPr>
          <w:rFonts w:cs="Times New Roman"/>
          <w:color w:val="000000" w:themeColor="text1"/>
          <w:lang w:val="en-GB"/>
        </w:rPr>
        <w:t xml:space="preserve">making under Article 218 </w:t>
      </w:r>
      <w:r w:rsidR="00E16135" w:rsidRPr="002D102E">
        <w:rPr>
          <w:rFonts w:cs="Times New Roman"/>
          <w:color w:val="000000" w:themeColor="text1"/>
          <w:lang w:val="en-GB"/>
        </w:rPr>
        <w:t xml:space="preserve">(7) and </w:t>
      </w:r>
      <w:r w:rsidRPr="002D102E">
        <w:rPr>
          <w:rFonts w:cs="Times New Roman"/>
          <w:color w:val="000000" w:themeColor="text1"/>
          <w:lang w:val="en-GB"/>
        </w:rPr>
        <w:t>(9). If the decisions relate to rulemaking</w:t>
      </w:r>
      <w:r w:rsidR="00E16135" w:rsidRPr="002D102E">
        <w:rPr>
          <w:rFonts w:cs="Times New Roman"/>
          <w:color w:val="000000" w:themeColor="text1"/>
          <w:lang w:val="en-GB"/>
        </w:rPr>
        <w:t xml:space="preserve"> </w:t>
      </w:r>
      <w:r w:rsidR="005235A3" w:rsidRPr="002D102E">
        <w:rPr>
          <w:rFonts w:cs="Times New Roman"/>
          <w:color w:val="000000" w:themeColor="text1"/>
          <w:lang w:val="en-GB"/>
        </w:rPr>
        <w:t xml:space="preserve">requiring </w:t>
      </w:r>
      <w:r w:rsidRPr="002D102E">
        <w:rPr>
          <w:rFonts w:cs="Times New Roman"/>
          <w:color w:val="000000" w:themeColor="text1"/>
          <w:lang w:val="en-GB"/>
        </w:rPr>
        <w:t xml:space="preserve">– in their implementation - change of EU legislation, the </w:t>
      </w:r>
      <w:r w:rsidR="00E16135" w:rsidRPr="002D102E">
        <w:rPr>
          <w:rFonts w:cs="Times New Roman"/>
          <w:color w:val="000000" w:themeColor="text1"/>
          <w:lang w:val="en-GB"/>
        </w:rPr>
        <w:t xml:space="preserve">Council </w:t>
      </w:r>
      <w:r w:rsidR="00747B8A" w:rsidRPr="002D102E">
        <w:rPr>
          <w:rFonts w:cs="Times New Roman"/>
          <w:color w:val="000000" w:themeColor="text1"/>
          <w:lang w:val="en-GB"/>
        </w:rPr>
        <w:t xml:space="preserve">decision must be subject to </w:t>
      </w:r>
      <w:r w:rsidR="003C213A" w:rsidRPr="002D102E">
        <w:rPr>
          <w:rFonts w:cs="Times New Roman"/>
          <w:color w:val="000000" w:themeColor="text1"/>
          <w:lang w:val="en-GB"/>
        </w:rPr>
        <w:t>consent</w:t>
      </w:r>
      <w:r w:rsidR="00747B8A" w:rsidRPr="002D102E">
        <w:rPr>
          <w:rFonts w:cs="Times New Roman"/>
          <w:color w:val="000000" w:themeColor="text1"/>
          <w:lang w:val="en-GB"/>
        </w:rPr>
        <w:t xml:space="preserve"> </w:t>
      </w:r>
      <w:r w:rsidR="003C213A" w:rsidRPr="002D102E">
        <w:rPr>
          <w:rFonts w:cs="Times New Roman"/>
          <w:color w:val="000000" w:themeColor="text1"/>
          <w:lang w:val="en-GB"/>
        </w:rPr>
        <w:t>of</w:t>
      </w:r>
      <w:r w:rsidR="00747B8A" w:rsidRPr="002D102E">
        <w:rPr>
          <w:rFonts w:cs="Times New Roman"/>
          <w:color w:val="000000" w:themeColor="text1"/>
          <w:lang w:val="en-GB"/>
        </w:rPr>
        <w:t xml:space="preserve"> the EP</w:t>
      </w:r>
      <w:r w:rsidRPr="002D102E">
        <w:rPr>
          <w:rFonts w:cs="Times New Roman"/>
          <w:color w:val="000000" w:themeColor="text1"/>
          <w:lang w:val="en-GB"/>
        </w:rPr>
        <w:t xml:space="preserve">. </w:t>
      </w:r>
      <w:r w:rsidR="00E16135" w:rsidRPr="002D102E">
        <w:rPr>
          <w:rFonts w:cs="Times New Roman"/>
          <w:color w:val="000000" w:themeColor="text1"/>
          <w:lang w:val="en-GB"/>
        </w:rPr>
        <w:t>A</w:t>
      </w:r>
      <w:r w:rsidRPr="002D102E">
        <w:rPr>
          <w:rFonts w:cs="Times New Roman"/>
          <w:color w:val="000000" w:themeColor="text1"/>
          <w:lang w:val="en-GB"/>
        </w:rPr>
        <w:t xml:space="preserve">dding </w:t>
      </w:r>
      <w:r w:rsidR="00747B8A" w:rsidRPr="002D102E">
        <w:rPr>
          <w:rFonts w:cs="Times New Roman"/>
          <w:color w:val="000000" w:themeColor="text1"/>
          <w:lang w:val="en-GB"/>
        </w:rPr>
        <w:t xml:space="preserve">an EP consent </w:t>
      </w:r>
      <w:r w:rsidRPr="002D102E">
        <w:rPr>
          <w:rFonts w:cs="Times New Roman"/>
          <w:color w:val="000000" w:themeColor="text1"/>
          <w:lang w:val="en-GB"/>
        </w:rPr>
        <w:t>requirement to the Council decision</w:t>
      </w:r>
      <w:r w:rsidR="00747B8A" w:rsidRPr="002D102E">
        <w:rPr>
          <w:rFonts w:cs="Times New Roman"/>
          <w:color w:val="000000" w:themeColor="text1"/>
          <w:lang w:val="en-GB"/>
        </w:rPr>
        <w:t>-making</w:t>
      </w:r>
      <w:r w:rsidRPr="002D102E">
        <w:rPr>
          <w:rFonts w:cs="Times New Roman"/>
          <w:color w:val="000000" w:themeColor="text1"/>
          <w:lang w:val="en-GB"/>
        </w:rPr>
        <w:t xml:space="preserve"> would resolve</w:t>
      </w:r>
      <w:r w:rsidR="00E16135" w:rsidRPr="002D102E">
        <w:rPr>
          <w:rFonts w:cs="Times New Roman"/>
          <w:color w:val="000000" w:themeColor="text1"/>
          <w:lang w:val="en-GB"/>
        </w:rPr>
        <w:t xml:space="preserve"> the imbalance </w:t>
      </w:r>
      <w:r w:rsidR="003C213A" w:rsidRPr="002D102E">
        <w:rPr>
          <w:rFonts w:cs="Times New Roman"/>
          <w:color w:val="000000" w:themeColor="text1"/>
          <w:lang w:val="en-GB"/>
        </w:rPr>
        <w:t xml:space="preserve">between </w:t>
      </w:r>
      <w:r w:rsidR="00E16135" w:rsidRPr="002D102E">
        <w:rPr>
          <w:rFonts w:cs="Times New Roman"/>
          <w:color w:val="000000" w:themeColor="text1"/>
          <w:lang w:val="en-GB"/>
        </w:rPr>
        <w:t xml:space="preserve">the EP´s </w:t>
      </w:r>
      <w:r w:rsidR="005235A3" w:rsidRPr="002D102E">
        <w:rPr>
          <w:rFonts w:cs="Times New Roman"/>
          <w:color w:val="000000" w:themeColor="text1"/>
          <w:lang w:val="en-GB"/>
        </w:rPr>
        <w:t xml:space="preserve">strong </w:t>
      </w:r>
      <w:r w:rsidR="00E16135" w:rsidRPr="002D102E">
        <w:rPr>
          <w:rFonts w:cs="Times New Roman"/>
          <w:color w:val="000000" w:themeColor="text1"/>
          <w:lang w:val="en-GB"/>
        </w:rPr>
        <w:t xml:space="preserve">role </w:t>
      </w:r>
      <w:r w:rsidR="003C213A" w:rsidRPr="002D102E">
        <w:rPr>
          <w:rFonts w:cs="Times New Roman"/>
          <w:color w:val="000000" w:themeColor="text1"/>
          <w:lang w:val="en-GB"/>
        </w:rPr>
        <w:t xml:space="preserve">in </w:t>
      </w:r>
      <w:r w:rsidR="00E16135" w:rsidRPr="002D102E">
        <w:rPr>
          <w:rFonts w:cs="Times New Roman"/>
          <w:color w:val="000000" w:themeColor="text1"/>
          <w:lang w:val="en-GB"/>
        </w:rPr>
        <w:t xml:space="preserve">legislating and </w:t>
      </w:r>
      <w:proofErr w:type="gramStart"/>
      <w:r w:rsidR="00E16135" w:rsidRPr="002D102E">
        <w:rPr>
          <w:rFonts w:cs="Times New Roman"/>
          <w:color w:val="000000" w:themeColor="text1"/>
          <w:lang w:val="en-GB"/>
        </w:rPr>
        <w:t>treaty-making</w:t>
      </w:r>
      <w:proofErr w:type="gramEnd"/>
      <w:r w:rsidR="003C213A" w:rsidRPr="002D102E">
        <w:rPr>
          <w:rFonts w:cs="Times New Roman"/>
          <w:color w:val="000000" w:themeColor="text1"/>
          <w:lang w:val="en-GB"/>
        </w:rPr>
        <w:t xml:space="preserve"> compared to its negligible role in </w:t>
      </w:r>
      <w:r w:rsidR="00E16135" w:rsidRPr="002D102E">
        <w:rPr>
          <w:rFonts w:cs="Times New Roman"/>
          <w:color w:val="000000" w:themeColor="text1"/>
          <w:lang w:val="en-GB"/>
        </w:rPr>
        <w:t>the simplified procedures</w:t>
      </w:r>
      <w:r w:rsidR="005235A3" w:rsidRPr="002D102E">
        <w:rPr>
          <w:rFonts w:cs="Times New Roman"/>
          <w:color w:val="000000" w:themeColor="text1"/>
          <w:lang w:val="en-GB"/>
        </w:rPr>
        <w:t xml:space="preserve">. The latter </w:t>
      </w:r>
      <w:r w:rsidR="00C90091" w:rsidRPr="002D102E">
        <w:rPr>
          <w:rFonts w:cs="Times New Roman"/>
          <w:color w:val="000000" w:themeColor="text1"/>
          <w:lang w:val="en-GB"/>
        </w:rPr>
        <w:t>ha</w:t>
      </w:r>
      <w:r w:rsidR="005235A3" w:rsidRPr="002D102E">
        <w:rPr>
          <w:rFonts w:cs="Times New Roman"/>
          <w:color w:val="000000" w:themeColor="text1"/>
          <w:lang w:val="en-GB"/>
        </w:rPr>
        <w:t>ve</w:t>
      </w:r>
      <w:r w:rsidR="00C90091" w:rsidRPr="002D102E">
        <w:rPr>
          <w:rFonts w:cs="Times New Roman"/>
          <w:color w:val="000000" w:themeColor="text1"/>
          <w:lang w:val="en-GB"/>
        </w:rPr>
        <w:t xml:space="preserve"> not been amended by Lisbon to reflect the EP´s strengthened role in legislating and </w:t>
      </w:r>
      <w:proofErr w:type="gramStart"/>
      <w:r w:rsidR="00C90091" w:rsidRPr="002D102E">
        <w:rPr>
          <w:rFonts w:cs="Times New Roman"/>
          <w:color w:val="000000" w:themeColor="text1"/>
          <w:lang w:val="en-GB"/>
        </w:rPr>
        <w:t>treaty-making</w:t>
      </w:r>
      <w:proofErr w:type="gramEnd"/>
      <w:r w:rsidRPr="002D102E">
        <w:rPr>
          <w:rFonts w:cs="Times New Roman"/>
          <w:color w:val="000000" w:themeColor="text1"/>
          <w:lang w:val="en-GB"/>
        </w:rPr>
        <w:t>.</w:t>
      </w:r>
      <w:r w:rsidR="00C90091" w:rsidRPr="002D102E">
        <w:rPr>
          <w:rStyle w:val="Funotenzeichen"/>
          <w:rFonts w:cs="Times New Roman"/>
          <w:color w:val="000000" w:themeColor="text1"/>
          <w:lang w:val="en-GB"/>
        </w:rPr>
        <w:footnoteReference w:id="79"/>
      </w:r>
      <w:r w:rsidRPr="002D102E">
        <w:rPr>
          <w:rFonts w:cs="Times New Roman"/>
          <w:color w:val="000000" w:themeColor="text1"/>
          <w:lang w:val="en-GB"/>
        </w:rPr>
        <w:t xml:space="preserve"> </w:t>
      </w:r>
      <w:r w:rsidR="00747B8A" w:rsidRPr="002D102E">
        <w:rPr>
          <w:rFonts w:cs="Times New Roman"/>
          <w:color w:val="000000" w:themeColor="text1"/>
          <w:lang w:val="en-GB"/>
        </w:rPr>
        <w:t xml:space="preserve">Such </w:t>
      </w:r>
      <w:r w:rsidRPr="002D102E">
        <w:rPr>
          <w:rFonts w:cs="Times New Roman"/>
          <w:color w:val="000000" w:themeColor="text1"/>
          <w:lang w:val="en-GB"/>
        </w:rPr>
        <w:t xml:space="preserve">change would not require </w:t>
      </w:r>
      <w:r w:rsidR="00E16135" w:rsidRPr="002D102E">
        <w:rPr>
          <w:rFonts w:cs="Times New Roman"/>
          <w:color w:val="000000" w:themeColor="text1"/>
          <w:lang w:val="en-GB"/>
        </w:rPr>
        <w:t>reform of EU Primary law</w:t>
      </w:r>
      <w:r w:rsidRPr="002D102E">
        <w:rPr>
          <w:rFonts w:cs="Times New Roman"/>
          <w:color w:val="000000" w:themeColor="text1"/>
          <w:lang w:val="en-GB"/>
        </w:rPr>
        <w:t xml:space="preserve">, but </w:t>
      </w:r>
      <w:r w:rsidR="003C213A" w:rsidRPr="002D102E">
        <w:rPr>
          <w:rFonts w:cs="Times New Roman"/>
          <w:color w:val="000000" w:themeColor="text1"/>
          <w:lang w:val="en-GB"/>
        </w:rPr>
        <w:t xml:space="preserve">such right </w:t>
      </w:r>
      <w:r w:rsidRPr="002D102E">
        <w:rPr>
          <w:rFonts w:cs="Times New Roman"/>
          <w:color w:val="000000" w:themeColor="text1"/>
          <w:lang w:val="en-GB"/>
        </w:rPr>
        <w:t xml:space="preserve">could be </w:t>
      </w:r>
      <w:r w:rsidR="003C213A" w:rsidRPr="002D102E">
        <w:rPr>
          <w:rFonts w:cs="Times New Roman"/>
          <w:color w:val="000000" w:themeColor="text1"/>
          <w:lang w:val="en-GB"/>
        </w:rPr>
        <w:t xml:space="preserve">enshrined into the </w:t>
      </w:r>
      <w:r w:rsidRPr="002D102E">
        <w:rPr>
          <w:rFonts w:cs="Times New Roman"/>
          <w:color w:val="000000" w:themeColor="text1"/>
          <w:lang w:val="en-GB"/>
        </w:rPr>
        <w:t xml:space="preserve">Council decision </w:t>
      </w:r>
      <w:r w:rsidR="003C213A" w:rsidRPr="002D102E">
        <w:rPr>
          <w:rFonts w:cs="Times New Roman"/>
          <w:color w:val="000000" w:themeColor="text1"/>
          <w:lang w:val="en-GB"/>
        </w:rPr>
        <w:t>concluding the FTA</w:t>
      </w:r>
      <w:r w:rsidRPr="002D102E">
        <w:rPr>
          <w:rFonts w:cs="Times New Roman"/>
          <w:color w:val="000000" w:themeColor="text1"/>
          <w:lang w:val="en-GB"/>
        </w:rPr>
        <w:t xml:space="preserve">. </w:t>
      </w:r>
      <w:r w:rsidR="003C213A" w:rsidRPr="002D102E">
        <w:rPr>
          <w:rFonts w:cs="Times New Roman"/>
          <w:color w:val="000000" w:themeColor="text1"/>
          <w:lang w:val="en-GB"/>
        </w:rPr>
        <w:t>There</w:t>
      </w:r>
      <w:r w:rsidRPr="002D102E">
        <w:rPr>
          <w:rFonts w:cs="Times New Roman"/>
          <w:color w:val="000000" w:themeColor="text1"/>
          <w:lang w:val="en-GB"/>
        </w:rPr>
        <w:t xml:space="preserve">, </w:t>
      </w:r>
      <w:r w:rsidR="003C213A" w:rsidRPr="002D102E">
        <w:rPr>
          <w:rFonts w:cs="Times New Roman"/>
          <w:color w:val="000000" w:themeColor="text1"/>
          <w:lang w:val="en-GB"/>
        </w:rPr>
        <w:t xml:space="preserve">one could establish </w:t>
      </w:r>
      <w:r w:rsidRPr="002D102E">
        <w:rPr>
          <w:rFonts w:cs="Times New Roman"/>
          <w:color w:val="000000" w:themeColor="text1"/>
          <w:lang w:val="en-GB"/>
        </w:rPr>
        <w:t xml:space="preserve">a </w:t>
      </w:r>
      <w:r w:rsidR="003C213A" w:rsidRPr="002D102E">
        <w:rPr>
          <w:rFonts w:cs="Times New Roman"/>
          <w:color w:val="000000" w:themeColor="text1"/>
          <w:lang w:val="en-GB"/>
        </w:rPr>
        <w:t xml:space="preserve">legal </w:t>
      </w:r>
      <w:r w:rsidRPr="002D102E">
        <w:rPr>
          <w:rFonts w:cs="Times New Roman"/>
          <w:color w:val="000000" w:themeColor="text1"/>
          <w:lang w:val="en-GB"/>
        </w:rPr>
        <w:t xml:space="preserve">framework </w:t>
      </w:r>
      <w:r w:rsidR="003C213A" w:rsidRPr="002D102E">
        <w:rPr>
          <w:rFonts w:cs="Times New Roman"/>
          <w:color w:val="000000" w:themeColor="text1"/>
          <w:lang w:val="en-GB"/>
        </w:rPr>
        <w:t xml:space="preserve">for </w:t>
      </w:r>
      <w:r w:rsidRPr="002D102E">
        <w:rPr>
          <w:rFonts w:cs="Times New Roman"/>
          <w:color w:val="000000" w:themeColor="text1"/>
          <w:lang w:val="en-GB"/>
        </w:rPr>
        <w:t xml:space="preserve">the EP´s involvement in the </w:t>
      </w:r>
      <w:r w:rsidR="003C213A" w:rsidRPr="002D102E">
        <w:rPr>
          <w:rFonts w:cs="Times New Roman"/>
          <w:color w:val="000000" w:themeColor="text1"/>
          <w:lang w:val="en-GB"/>
        </w:rPr>
        <w:t xml:space="preserve">simplified </w:t>
      </w:r>
      <w:r w:rsidRPr="002D102E">
        <w:rPr>
          <w:rFonts w:cs="Times New Roman"/>
          <w:color w:val="000000" w:themeColor="text1"/>
          <w:lang w:val="en-GB"/>
        </w:rPr>
        <w:t xml:space="preserve">procedures. Alternatively, a Framework Agreement between the Council and the EP </w:t>
      </w:r>
      <w:r w:rsidR="00E16135" w:rsidRPr="002D102E">
        <w:rPr>
          <w:rFonts w:cs="Times New Roman"/>
          <w:color w:val="000000" w:themeColor="text1"/>
          <w:lang w:val="en-GB"/>
        </w:rPr>
        <w:t>or</w:t>
      </w:r>
      <w:r w:rsidR="00A4785F" w:rsidRPr="002D102E">
        <w:rPr>
          <w:rFonts w:cs="Times New Roman"/>
          <w:color w:val="000000" w:themeColor="text1"/>
          <w:lang w:val="en-GB"/>
        </w:rPr>
        <w:t>, preferably,</w:t>
      </w:r>
      <w:r w:rsidR="00E16135" w:rsidRPr="002D102E">
        <w:rPr>
          <w:rFonts w:cs="Times New Roman"/>
          <w:color w:val="000000" w:themeColor="text1"/>
          <w:lang w:val="en-GB"/>
        </w:rPr>
        <w:t xml:space="preserve"> </w:t>
      </w:r>
      <w:r w:rsidR="00A4785F" w:rsidRPr="002D102E">
        <w:rPr>
          <w:rFonts w:cs="Times New Roman"/>
          <w:color w:val="000000" w:themeColor="text1"/>
          <w:lang w:val="en-GB"/>
        </w:rPr>
        <w:t xml:space="preserve">by virtue of a legislative act under Article 207 (2) TFEU, </w:t>
      </w:r>
      <w:r w:rsidR="00E16135" w:rsidRPr="002D102E">
        <w:rPr>
          <w:rFonts w:cs="Times New Roman"/>
          <w:color w:val="000000" w:themeColor="text1"/>
          <w:lang w:val="en-GB"/>
        </w:rPr>
        <w:t xml:space="preserve">a </w:t>
      </w:r>
      <w:r w:rsidR="006574EB" w:rsidRPr="002D102E">
        <w:rPr>
          <w:rFonts w:cs="Times New Roman"/>
          <w:color w:val="000000" w:themeColor="text1"/>
          <w:lang w:val="en-GB"/>
        </w:rPr>
        <w:t xml:space="preserve">general regulatory framework for the delegation of powers to treaty </w:t>
      </w:r>
      <w:r w:rsidR="006574EB" w:rsidRPr="002D102E">
        <w:rPr>
          <w:rFonts w:cs="Times New Roman"/>
          <w:color w:val="000000" w:themeColor="text1"/>
          <w:lang w:val="en-GB"/>
        </w:rPr>
        <w:lastRenderedPageBreak/>
        <w:t xml:space="preserve">bodies </w:t>
      </w:r>
      <w:r w:rsidRPr="002D102E">
        <w:rPr>
          <w:rFonts w:cs="Times New Roman"/>
          <w:color w:val="000000" w:themeColor="text1"/>
          <w:lang w:val="en-GB"/>
        </w:rPr>
        <w:t xml:space="preserve">could </w:t>
      </w:r>
      <w:r w:rsidR="00A4785F" w:rsidRPr="002D102E">
        <w:rPr>
          <w:rFonts w:cs="Times New Roman"/>
          <w:color w:val="000000" w:themeColor="text1"/>
          <w:lang w:val="en-GB"/>
        </w:rPr>
        <w:t>foresee</w:t>
      </w:r>
      <w:r w:rsidRPr="002D102E">
        <w:rPr>
          <w:rFonts w:cs="Times New Roman"/>
          <w:color w:val="000000" w:themeColor="text1"/>
          <w:lang w:val="en-GB"/>
        </w:rPr>
        <w:t xml:space="preserve"> </w:t>
      </w:r>
      <w:r w:rsidR="00747B8A" w:rsidRPr="002D102E">
        <w:rPr>
          <w:rFonts w:cs="Times New Roman"/>
          <w:color w:val="000000" w:themeColor="text1"/>
          <w:lang w:val="en-GB"/>
        </w:rPr>
        <w:t>an EP consent</w:t>
      </w:r>
      <w:r w:rsidRPr="002D102E">
        <w:rPr>
          <w:rFonts w:cs="Times New Roman"/>
          <w:color w:val="000000" w:themeColor="text1"/>
          <w:lang w:val="en-GB"/>
        </w:rPr>
        <w:t xml:space="preserve"> </w:t>
      </w:r>
      <w:r w:rsidR="00747B8A" w:rsidRPr="002D102E">
        <w:rPr>
          <w:rFonts w:cs="Times New Roman"/>
          <w:color w:val="000000" w:themeColor="text1"/>
          <w:lang w:val="en-GB"/>
        </w:rPr>
        <w:t>requirement to</w:t>
      </w:r>
      <w:r w:rsidR="00F51810" w:rsidRPr="002D102E">
        <w:rPr>
          <w:rFonts w:cs="Times New Roman"/>
          <w:color w:val="000000" w:themeColor="text1"/>
          <w:lang w:val="en-GB"/>
        </w:rPr>
        <w:t xml:space="preserve"> certain types of</w:t>
      </w:r>
      <w:r w:rsidRPr="002D102E">
        <w:rPr>
          <w:rFonts w:cs="Times New Roman"/>
          <w:color w:val="000000" w:themeColor="text1"/>
          <w:lang w:val="en-GB"/>
        </w:rPr>
        <w:t xml:space="preserve"> Council decisions under Article 218 </w:t>
      </w:r>
      <w:r w:rsidR="00E16135" w:rsidRPr="002D102E">
        <w:rPr>
          <w:rFonts w:cs="Times New Roman"/>
          <w:color w:val="000000" w:themeColor="text1"/>
          <w:lang w:val="en-GB"/>
        </w:rPr>
        <w:t xml:space="preserve">(7), </w:t>
      </w:r>
      <w:r w:rsidRPr="002D102E">
        <w:rPr>
          <w:rFonts w:cs="Times New Roman"/>
          <w:color w:val="000000" w:themeColor="text1"/>
          <w:lang w:val="en-GB"/>
        </w:rPr>
        <w:t xml:space="preserve">(9). </w:t>
      </w:r>
    </w:p>
    <w:p w:rsidR="00A56CAF" w:rsidRDefault="00A56CAF" w:rsidP="00D738C7">
      <w:pPr>
        <w:rPr>
          <w:rFonts w:cs="Times New Roman"/>
          <w:color w:val="000000" w:themeColor="text1"/>
          <w:lang w:val="en-GB"/>
        </w:rPr>
      </w:pPr>
      <w:r>
        <w:rPr>
          <w:rFonts w:cs="Times New Roman"/>
          <w:color w:val="000000" w:themeColor="text1"/>
          <w:lang w:val="en-GB"/>
        </w:rPr>
        <w:t xml:space="preserve">In addition to, and independently from </w:t>
      </w:r>
      <w:r w:rsidR="00CA310B">
        <w:rPr>
          <w:rFonts w:cs="Times New Roman"/>
          <w:color w:val="000000" w:themeColor="text1"/>
          <w:lang w:val="en-GB"/>
        </w:rPr>
        <w:t>new mechanisms</w:t>
      </w:r>
      <w:r>
        <w:rPr>
          <w:rFonts w:cs="Times New Roman"/>
          <w:color w:val="000000" w:themeColor="text1"/>
          <w:lang w:val="en-GB"/>
        </w:rPr>
        <w:t>, the EP´s monitoring of the operation of FTAs</w:t>
      </w:r>
      <w:r w:rsidR="002A101B">
        <w:rPr>
          <w:rFonts w:cs="Times New Roman"/>
          <w:color w:val="000000" w:themeColor="text1"/>
          <w:lang w:val="en-GB"/>
        </w:rPr>
        <w:t xml:space="preserve"> should </w:t>
      </w:r>
      <w:r>
        <w:rPr>
          <w:rFonts w:cs="Times New Roman"/>
          <w:color w:val="000000" w:themeColor="text1"/>
          <w:lang w:val="en-GB"/>
        </w:rPr>
        <w:t>intensely make use of the usual monitoring instruments</w:t>
      </w:r>
      <w:r w:rsidR="002A101B">
        <w:rPr>
          <w:rFonts w:cs="Times New Roman"/>
          <w:color w:val="000000" w:themeColor="text1"/>
          <w:lang w:val="en-GB"/>
        </w:rPr>
        <w:t>, also with regard to treaty bodies</w:t>
      </w:r>
      <w:r w:rsidR="00212FBB">
        <w:rPr>
          <w:rFonts w:cs="Times New Roman"/>
          <w:color w:val="000000" w:themeColor="text1"/>
          <w:lang w:val="en-GB"/>
        </w:rPr>
        <w:t>´</w:t>
      </w:r>
      <w:r w:rsidR="002A101B">
        <w:rPr>
          <w:rFonts w:cs="Times New Roman"/>
          <w:color w:val="000000" w:themeColor="text1"/>
          <w:lang w:val="en-GB"/>
        </w:rPr>
        <w:t xml:space="preserve"> decision-making, </w:t>
      </w:r>
      <w:r>
        <w:rPr>
          <w:rFonts w:cs="Times New Roman"/>
          <w:color w:val="000000" w:themeColor="text1"/>
          <w:lang w:val="en-GB"/>
        </w:rPr>
        <w:t xml:space="preserve">like </w:t>
      </w:r>
      <w:r w:rsidR="009301BE">
        <w:rPr>
          <w:rFonts w:cs="Times New Roman"/>
          <w:color w:val="000000" w:themeColor="text1"/>
          <w:lang w:val="en-GB"/>
        </w:rPr>
        <w:t xml:space="preserve">oral questions, </w:t>
      </w:r>
      <w:r>
        <w:rPr>
          <w:rFonts w:cs="Times New Roman"/>
          <w:color w:val="000000" w:themeColor="text1"/>
          <w:lang w:val="en-GB"/>
        </w:rPr>
        <w:t xml:space="preserve">meetings with Commission and Council staff, </w:t>
      </w:r>
      <w:r w:rsidR="009301BE">
        <w:rPr>
          <w:rFonts w:cs="Times New Roman"/>
          <w:color w:val="000000" w:themeColor="text1"/>
          <w:lang w:val="en-GB"/>
        </w:rPr>
        <w:t xml:space="preserve">or expert and stakeholder hearings, </w:t>
      </w:r>
      <w:r>
        <w:rPr>
          <w:rFonts w:cs="Times New Roman"/>
          <w:color w:val="000000" w:themeColor="text1"/>
          <w:lang w:val="en-GB"/>
        </w:rPr>
        <w:t>but also</w:t>
      </w:r>
      <w:r w:rsidR="009301BE">
        <w:rPr>
          <w:rFonts w:cs="Times New Roman"/>
          <w:color w:val="000000" w:themeColor="text1"/>
          <w:lang w:val="en-GB"/>
        </w:rPr>
        <w:t xml:space="preserve"> meeting with</w:t>
      </w:r>
      <w:r>
        <w:rPr>
          <w:rFonts w:cs="Times New Roman"/>
          <w:color w:val="000000" w:themeColor="text1"/>
          <w:lang w:val="en-GB"/>
        </w:rPr>
        <w:t xml:space="preserve"> representatives of the other party to </w:t>
      </w:r>
      <w:r w:rsidR="002A101B">
        <w:rPr>
          <w:rFonts w:cs="Times New Roman"/>
          <w:color w:val="000000" w:themeColor="text1"/>
          <w:lang w:val="en-GB"/>
        </w:rPr>
        <w:t>an</w:t>
      </w:r>
      <w:r>
        <w:rPr>
          <w:rFonts w:cs="Times New Roman"/>
          <w:color w:val="000000" w:themeColor="text1"/>
          <w:lang w:val="en-GB"/>
        </w:rPr>
        <w:t xml:space="preserve"> FTA.</w:t>
      </w:r>
      <w:r w:rsidR="00735985">
        <w:rPr>
          <w:rFonts w:cs="Times New Roman"/>
          <w:color w:val="000000" w:themeColor="text1"/>
          <w:lang w:val="en-GB"/>
        </w:rPr>
        <w:t xml:space="preserve"> The EP also should make its consent to FTAs subject to a commitment by the Commission and the Council to </w:t>
      </w:r>
      <w:r w:rsidR="00770538">
        <w:rPr>
          <w:rFonts w:cs="Times New Roman"/>
          <w:color w:val="000000" w:themeColor="text1"/>
          <w:lang w:val="en-GB"/>
        </w:rPr>
        <w:t xml:space="preserve">annually </w:t>
      </w:r>
      <w:r w:rsidR="00735985">
        <w:rPr>
          <w:rFonts w:cs="Times New Roman"/>
          <w:color w:val="000000" w:themeColor="text1"/>
          <w:lang w:val="en-GB"/>
        </w:rPr>
        <w:t>report on the implementation of the FTAs also with regard to their treaty bodies´ decision-making activities</w:t>
      </w:r>
      <w:r w:rsidR="00770538">
        <w:rPr>
          <w:rFonts w:cs="Times New Roman"/>
          <w:color w:val="000000" w:themeColor="text1"/>
          <w:lang w:val="en-GB"/>
        </w:rPr>
        <w:t>, which would add to the overall transparency/quality of information insofar.</w:t>
      </w:r>
    </w:p>
    <w:p w:rsidR="00DE26E0" w:rsidRDefault="00DE26E0" w:rsidP="00DE26E0">
      <w:pPr>
        <w:pStyle w:val="Listenabsatz"/>
        <w:numPr>
          <w:ilvl w:val="0"/>
          <w:numId w:val="1"/>
        </w:numPr>
        <w:rPr>
          <w:lang w:val="en-GB"/>
        </w:rPr>
      </w:pPr>
      <w:r>
        <w:rPr>
          <w:lang w:val="en-GB"/>
        </w:rPr>
        <w:t>Conclusion</w:t>
      </w:r>
    </w:p>
    <w:p w:rsidR="00DE26E0" w:rsidRPr="00DE26E0" w:rsidRDefault="00DE26E0" w:rsidP="00DE26E0">
      <w:pPr>
        <w:rPr>
          <w:lang w:val="en-GB"/>
        </w:rPr>
      </w:pPr>
      <w:r>
        <w:rPr>
          <w:lang w:val="en-GB"/>
        </w:rPr>
        <w:t xml:space="preserve">As EU Trade Policy </w:t>
      </w:r>
      <w:r w:rsidR="00B6275E">
        <w:rPr>
          <w:lang w:val="en-GB"/>
        </w:rPr>
        <w:t xml:space="preserve">expands beyond border issues, EU external trade policy becomes another internal policy in need of strengthened democratic legitimacy. The role of the EP has to keep pace with the topical expansion of trade policy and its interference with formerly mainly domestic regulatory policies. </w:t>
      </w:r>
      <w:r w:rsidR="00B6275E" w:rsidRPr="00B6275E">
        <w:rPr>
          <w:lang w:val="en-GB"/>
        </w:rPr>
        <w:t xml:space="preserve">From this perspective, the expansion and extension of autonomous decision-making powers of the treaty bodies </w:t>
      </w:r>
      <w:proofErr w:type="gramStart"/>
      <w:r w:rsidR="00B6275E" w:rsidRPr="00B6275E">
        <w:rPr>
          <w:lang w:val="en-GB"/>
        </w:rPr>
        <w:t>must be viewed</w:t>
      </w:r>
      <w:proofErr w:type="gramEnd"/>
      <w:r w:rsidR="00B6275E" w:rsidRPr="00B6275E">
        <w:rPr>
          <w:lang w:val="en-GB"/>
        </w:rPr>
        <w:t xml:space="preserve"> critically. The resulting upgrading of executive </w:t>
      </w:r>
      <w:r w:rsidR="00B6275E">
        <w:rPr>
          <w:lang w:val="en-GB"/>
        </w:rPr>
        <w:t xml:space="preserve">powers in rule-making and treaty amendments </w:t>
      </w:r>
      <w:r w:rsidR="00B6275E" w:rsidRPr="00B6275E">
        <w:rPr>
          <w:lang w:val="en-GB"/>
        </w:rPr>
        <w:t xml:space="preserve">urgently needs to </w:t>
      </w:r>
      <w:proofErr w:type="gramStart"/>
      <w:r w:rsidR="00B6275E" w:rsidRPr="00B6275E">
        <w:rPr>
          <w:lang w:val="en-GB"/>
        </w:rPr>
        <w:t>be balanced</w:t>
      </w:r>
      <w:proofErr w:type="gramEnd"/>
      <w:r w:rsidR="00B6275E" w:rsidRPr="00B6275E">
        <w:rPr>
          <w:lang w:val="en-GB"/>
        </w:rPr>
        <w:t xml:space="preserve"> by extended supervisory mechanisms in favour of the E</w:t>
      </w:r>
      <w:r w:rsidR="00B6275E">
        <w:rPr>
          <w:lang w:val="en-GB"/>
        </w:rPr>
        <w:t>P</w:t>
      </w:r>
      <w:r w:rsidR="00B6275E" w:rsidRPr="00B6275E">
        <w:rPr>
          <w:lang w:val="en-GB"/>
        </w:rPr>
        <w:t xml:space="preserve"> in the </w:t>
      </w:r>
      <w:r w:rsidR="00B6275E">
        <w:rPr>
          <w:lang w:val="en-GB"/>
        </w:rPr>
        <w:t xml:space="preserve">operation phase </w:t>
      </w:r>
      <w:r w:rsidR="00B6275E" w:rsidRPr="00B6275E">
        <w:rPr>
          <w:lang w:val="en-GB"/>
        </w:rPr>
        <w:t>of trade agreements.</w:t>
      </w:r>
      <w:r w:rsidR="00B6275E">
        <w:rPr>
          <w:lang w:val="en-GB"/>
        </w:rPr>
        <w:t xml:space="preserve"> </w:t>
      </w:r>
    </w:p>
    <w:sectPr w:rsidR="00DE26E0" w:rsidRPr="00DE26E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4E6" w:rsidRDefault="00A974E6" w:rsidP="00F87B41">
      <w:pPr>
        <w:spacing w:after="0" w:line="240" w:lineRule="auto"/>
      </w:pPr>
      <w:r>
        <w:separator/>
      </w:r>
    </w:p>
  </w:endnote>
  <w:endnote w:type="continuationSeparator" w:id="0">
    <w:p w:rsidR="00A974E6" w:rsidRDefault="00A974E6" w:rsidP="00F8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TTE186E110t00">
    <w:panose1 w:val="00000000000000000000"/>
    <w:charset w:val="00"/>
    <w:family w:val="auto"/>
    <w:notTrueType/>
    <w:pitch w:val="default"/>
    <w:sig w:usb0="00000003" w:usb1="00000000" w:usb2="00000000" w:usb3="00000000" w:csb0="00000001" w:csb1="00000000"/>
  </w:font>
  <w:font w:name="TTE14AE458t00">
    <w:panose1 w:val="00000000000000000000"/>
    <w:charset w:val="00"/>
    <w:family w:val="auto"/>
    <w:notTrueType/>
    <w:pitch w:val="default"/>
    <w:sig w:usb0="00000003" w:usb1="00000000" w:usb2="00000000" w:usb3="00000000" w:csb0="00000001" w:csb1="00000000"/>
  </w:font>
  <w:font w:name="AdvOT635f2c37">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635f2c37+fb">
    <w:panose1 w:val="00000000000000000000"/>
    <w:charset w:val="00"/>
    <w:family w:val="auto"/>
    <w:notTrueType/>
    <w:pitch w:val="default"/>
    <w:sig w:usb0="00000003" w:usb1="00000000" w:usb2="00000000" w:usb3="00000000" w:csb0="00000001" w:csb1="00000000"/>
  </w:font>
  <w:font w:name="AdvOTa14f9db0.I">
    <w:panose1 w:val="00000000000000000000"/>
    <w:charset w:val="00"/>
    <w:family w:val="roman"/>
    <w:notTrueType/>
    <w:pitch w:val="default"/>
    <w:sig w:usb0="00000003" w:usb1="00000000" w:usb2="00000000" w:usb3="00000000" w:csb0="00000001" w:csb1="00000000"/>
  </w:font>
  <w:font w:name="AdvOT635f2c37+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5230"/>
      <w:docPartObj>
        <w:docPartGallery w:val="Page Numbers (Bottom of Page)"/>
        <w:docPartUnique/>
      </w:docPartObj>
    </w:sdtPr>
    <w:sdtEndPr/>
    <w:sdtContent>
      <w:p w:rsidR="009C5B86" w:rsidRDefault="009C5B86">
        <w:pPr>
          <w:pStyle w:val="Fuzeile"/>
          <w:jc w:val="center"/>
        </w:pPr>
        <w:r>
          <w:fldChar w:fldCharType="begin"/>
        </w:r>
        <w:r>
          <w:instrText>PAGE   \* MERGEFORMAT</w:instrText>
        </w:r>
        <w:r>
          <w:fldChar w:fldCharType="separate"/>
        </w:r>
        <w:r w:rsidR="00D01023">
          <w:rPr>
            <w:noProof/>
          </w:rPr>
          <w:t>15</w:t>
        </w:r>
        <w:r>
          <w:fldChar w:fldCharType="end"/>
        </w:r>
      </w:p>
    </w:sdtContent>
  </w:sdt>
  <w:p w:rsidR="009C5B86" w:rsidRDefault="009C5B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4E6" w:rsidRDefault="00A974E6" w:rsidP="00F87B41">
      <w:pPr>
        <w:spacing w:after="0" w:line="240" w:lineRule="auto"/>
      </w:pPr>
      <w:r>
        <w:separator/>
      </w:r>
    </w:p>
  </w:footnote>
  <w:footnote w:type="continuationSeparator" w:id="0">
    <w:p w:rsidR="00A974E6" w:rsidRDefault="00A974E6" w:rsidP="00F87B41">
      <w:pPr>
        <w:spacing w:after="0" w:line="240" w:lineRule="auto"/>
      </w:pPr>
      <w:r>
        <w:continuationSeparator/>
      </w:r>
    </w:p>
  </w:footnote>
  <w:footnote w:id="1">
    <w:p w:rsidR="009C5B86" w:rsidRPr="003E7E6A" w:rsidRDefault="009C5B86" w:rsidP="001E0DB3">
      <w:pPr>
        <w:pStyle w:val="Funotentext"/>
        <w:rPr>
          <w:lang w:val="en-US"/>
        </w:rPr>
      </w:pPr>
      <w:r w:rsidRPr="003E7E6A">
        <w:rPr>
          <w:rFonts w:cs="Times New Roman"/>
          <w:lang w:val="en-US"/>
        </w:rPr>
        <w:t>* Prof Wolfgang Weiß</w:t>
      </w:r>
      <w:r w:rsidR="00D01023">
        <w:rPr>
          <w:rFonts w:cs="Times New Roman"/>
          <w:lang w:val="en-US"/>
        </w:rPr>
        <w:t>,</w:t>
      </w:r>
      <w:r w:rsidRPr="003E7E6A">
        <w:rPr>
          <w:rFonts w:cs="Times New Roman"/>
          <w:lang w:val="en-US"/>
        </w:rPr>
        <w:t xml:space="preserve"> Chair of Public Law, European and Public International Law at the German University of Administrative Sciences Speyer</w:t>
      </w:r>
      <w:r w:rsidR="00D01023">
        <w:rPr>
          <w:rFonts w:cs="Times New Roman"/>
          <w:lang w:val="en-US"/>
        </w:rPr>
        <w:t>.</w:t>
      </w:r>
    </w:p>
    <w:p w:rsidR="009C5B86" w:rsidRPr="000361E8" w:rsidRDefault="009C5B86">
      <w:pPr>
        <w:pStyle w:val="Funotentext"/>
        <w:rPr>
          <w:lang w:val="en-US"/>
        </w:rPr>
      </w:pPr>
      <w:r>
        <w:rPr>
          <w:rStyle w:val="Funotenzeichen"/>
        </w:rPr>
        <w:footnoteRef/>
      </w:r>
      <w:r w:rsidRPr="000361E8">
        <w:rPr>
          <w:lang w:val="en-US"/>
        </w:rPr>
        <w:t xml:space="preserve"> </w:t>
      </w:r>
      <w:r>
        <w:rPr>
          <w:lang w:val="en-US"/>
        </w:rPr>
        <w:t xml:space="preserve">See M. </w:t>
      </w:r>
      <w:proofErr w:type="spellStart"/>
      <w:r>
        <w:rPr>
          <w:lang w:val="en-US"/>
        </w:rPr>
        <w:t>Krajewski</w:t>
      </w:r>
      <w:proofErr w:type="spellEnd"/>
      <w:r>
        <w:rPr>
          <w:lang w:val="en-US"/>
        </w:rPr>
        <w:t xml:space="preserve">, 2005 </w:t>
      </w:r>
      <w:proofErr w:type="spellStart"/>
      <w:r>
        <w:rPr>
          <w:lang w:val="en-US"/>
        </w:rPr>
        <w:t>CMLRev</w:t>
      </w:r>
      <w:proofErr w:type="spellEnd"/>
      <w:r>
        <w:rPr>
          <w:lang w:val="en-US"/>
        </w:rPr>
        <w:t xml:space="preserve"> 91; M. Pollack, </w:t>
      </w:r>
      <w:proofErr w:type="gramStart"/>
      <w:r>
        <w:rPr>
          <w:lang w:val="en-US"/>
        </w:rPr>
        <w:t>The</w:t>
      </w:r>
      <w:proofErr w:type="gramEnd"/>
      <w:r>
        <w:rPr>
          <w:lang w:val="en-US"/>
        </w:rPr>
        <w:t xml:space="preserve"> Engines of European Integration, 2003, 383 ff.</w:t>
      </w:r>
    </w:p>
  </w:footnote>
  <w:footnote w:id="2">
    <w:p w:rsidR="009C5B86" w:rsidRPr="00272FEB" w:rsidRDefault="009C5B86">
      <w:pPr>
        <w:pStyle w:val="Funotentext"/>
        <w:rPr>
          <w:sz w:val="18"/>
          <w:szCs w:val="18"/>
          <w:lang w:val="en-US"/>
        </w:rPr>
      </w:pPr>
      <w:r w:rsidRPr="006C106B">
        <w:rPr>
          <w:rStyle w:val="Funotenzeichen"/>
          <w:sz w:val="18"/>
          <w:szCs w:val="18"/>
          <w:lang w:val="en-GB"/>
        </w:rPr>
        <w:footnoteRef/>
      </w:r>
      <w:r w:rsidRPr="006C106B">
        <w:rPr>
          <w:sz w:val="18"/>
          <w:szCs w:val="18"/>
          <w:lang w:val="en-GB"/>
        </w:rPr>
        <w:t xml:space="preserve"> See e.g. CJEU, Case</w:t>
      </w:r>
      <w:r>
        <w:rPr>
          <w:sz w:val="18"/>
          <w:szCs w:val="18"/>
          <w:lang w:val="en-GB"/>
        </w:rPr>
        <w:t xml:space="preserve"> </w:t>
      </w:r>
      <w:r w:rsidRPr="007B2AEA">
        <w:rPr>
          <w:rFonts w:cs="Segoe UI"/>
          <w:color w:val="000000"/>
          <w:sz w:val="18"/>
          <w:szCs w:val="18"/>
          <w:lang w:val="en-US"/>
        </w:rPr>
        <w:t xml:space="preserve">138/79, paras. </w:t>
      </w:r>
      <w:r w:rsidRPr="006C106B">
        <w:rPr>
          <w:rFonts w:cs="Segoe UI"/>
          <w:color w:val="000000"/>
          <w:sz w:val="18"/>
          <w:szCs w:val="18"/>
          <w:lang w:val="en-US"/>
        </w:rPr>
        <w:t xml:space="preserve">33 f (consultation is essential formality, rooted in </w:t>
      </w:r>
      <w:r>
        <w:rPr>
          <w:rFonts w:cs="Segoe UI"/>
          <w:color w:val="000000"/>
          <w:sz w:val="18"/>
          <w:szCs w:val="18"/>
          <w:lang w:val="en-US"/>
        </w:rPr>
        <w:t>principle of democracy)</w:t>
      </w:r>
      <w:r>
        <w:rPr>
          <w:sz w:val="18"/>
          <w:szCs w:val="18"/>
          <w:lang w:val="en-GB"/>
        </w:rPr>
        <w:t xml:space="preserve">; </w:t>
      </w:r>
      <w:r w:rsidRPr="006C106B">
        <w:rPr>
          <w:sz w:val="18"/>
          <w:szCs w:val="18"/>
          <w:lang w:val="en-GB"/>
        </w:rPr>
        <w:t xml:space="preserve">Case </w:t>
      </w:r>
      <w:r>
        <w:rPr>
          <w:sz w:val="18"/>
          <w:szCs w:val="18"/>
          <w:lang w:val="en-GB"/>
        </w:rPr>
        <w:t>70/88, EU</w:t>
      </w:r>
      <w:proofErr w:type="gramStart"/>
      <w:r>
        <w:rPr>
          <w:sz w:val="18"/>
          <w:szCs w:val="18"/>
          <w:lang w:val="en-GB"/>
        </w:rPr>
        <w:t>:C:1990:217</w:t>
      </w:r>
      <w:proofErr w:type="gramEnd"/>
      <w:r>
        <w:rPr>
          <w:sz w:val="18"/>
          <w:szCs w:val="18"/>
          <w:lang w:val="en-GB"/>
        </w:rPr>
        <w:t xml:space="preserve"> Case C-</w:t>
      </w:r>
      <w:r w:rsidRPr="006C106B">
        <w:rPr>
          <w:sz w:val="18"/>
          <w:szCs w:val="18"/>
          <w:lang w:val="en-GB"/>
        </w:rPr>
        <w:t xml:space="preserve">316/91, paras. 9 </w:t>
      </w:r>
      <w:proofErr w:type="spellStart"/>
      <w:r w:rsidRPr="006C106B">
        <w:rPr>
          <w:sz w:val="18"/>
          <w:szCs w:val="18"/>
          <w:lang w:val="en-GB"/>
        </w:rPr>
        <w:t>ff</w:t>
      </w:r>
      <w:proofErr w:type="spellEnd"/>
      <w:r w:rsidRPr="006C106B">
        <w:rPr>
          <w:sz w:val="18"/>
          <w:szCs w:val="18"/>
          <w:lang w:val="en-GB"/>
        </w:rPr>
        <w:t xml:space="preserve"> (extension of legal standing); </w:t>
      </w:r>
      <w:r w:rsidRPr="006C106B">
        <w:rPr>
          <w:rFonts w:cs="Segoe UI"/>
          <w:color w:val="000000"/>
          <w:sz w:val="18"/>
          <w:szCs w:val="18"/>
          <w:lang w:val="en-GB"/>
        </w:rPr>
        <w:t>C-658/11, EU</w:t>
      </w:r>
      <w:proofErr w:type="gramStart"/>
      <w:r w:rsidRPr="006C106B">
        <w:rPr>
          <w:rFonts w:cs="Segoe UI"/>
          <w:color w:val="000000"/>
          <w:sz w:val="18"/>
          <w:szCs w:val="18"/>
          <w:lang w:val="en-GB"/>
        </w:rPr>
        <w:t>:C:2014:2025</w:t>
      </w:r>
      <w:proofErr w:type="gramEnd"/>
      <w:r w:rsidRPr="006C106B">
        <w:rPr>
          <w:rFonts w:cs="Segoe UI"/>
          <w:color w:val="000000"/>
          <w:sz w:val="18"/>
          <w:szCs w:val="18"/>
          <w:lang w:val="en-GB"/>
        </w:rPr>
        <w:t>, paras. 79, 81</w:t>
      </w:r>
      <w:r>
        <w:rPr>
          <w:rFonts w:cs="Segoe UI"/>
          <w:color w:val="000000"/>
          <w:sz w:val="18"/>
          <w:szCs w:val="18"/>
          <w:lang w:val="en-GB"/>
        </w:rPr>
        <w:t xml:space="preserve">, </w:t>
      </w:r>
      <w:r w:rsidRPr="006C106B">
        <w:rPr>
          <w:rFonts w:cs="Segoe UI"/>
          <w:color w:val="000000"/>
          <w:sz w:val="18"/>
          <w:szCs w:val="18"/>
          <w:lang w:val="en-GB"/>
        </w:rPr>
        <w:t>and C-263/14, ECLI</w:t>
      </w:r>
      <w:proofErr w:type="gramStart"/>
      <w:r w:rsidRPr="006C106B">
        <w:rPr>
          <w:rFonts w:cs="Segoe UI"/>
          <w:color w:val="000000"/>
          <w:sz w:val="18"/>
          <w:szCs w:val="18"/>
          <w:lang w:val="en-GB"/>
        </w:rPr>
        <w:t>:EU:C:2016:435</w:t>
      </w:r>
      <w:proofErr w:type="gramEnd"/>
      <w:r w:rsidRPr="006C106B">
        <w:rPr>
          <w:rFonts w:cs="Segoe UI"/>
          <w:color w:val="000000"/>
          <w:sz w:val="18"/>
          <w:szCs w:val="18"/>
          <w:lang w:val="en-GB"/>
        </w:rPr>
        <w:t>, paras. 73, 76 f (scope of information rights to include negotiation directives</w:t>
      </w:r>
      <w:r>
        <w:rPr>
          <w:rFonts w:cs="Segoe UI"/>
          <w:color w:val="000000"/>
          <w:sz w:val="18"/>
          <w:szCs w:val="18"/>
          <w:lang w:val="en-GB"/>
        </w:rPr>
        <w:t xml:space="preserve"> and provisional application, also in CFSP</w:t>
      </w:r>
      <w:r w:rsidRPr="006C106B">
        <w:rPr>
          <w:rFonts w:cs="Segoe UI"/>
          <w:color w:val="000000"/>
          <w:sz w:val="18"/>
          <w:szCs w:val="18"/>
          <w:lang w:val="en-GB"/>
        </w:rPr>
        <w:t xml:space="preserve">); </w:t>
      </w:r>
      <w:r w:rsidRPr="006C106B">
        <w:rPr>
          <w:rFonts w:cs="Segoe UI"/>
          <w:color w:val="000000"/>
          <w:sz w:val="18"/>
          <w:szCs w:val="18"/>
          <w:lang w:val="en-US"/>
        </w:rPr>
        <w:t>C-65/90, ECLI</w:t>
      </w:r>
      <w:proofErr w:type="gramStart"/>
      <w:r w:rsidRPr="006C106B">
        <w:rPr>
          <w:rFonts w:cs="Segoe UI"/>
          <w:color w:val="000000"/>
          <w:sz w:val="18"/>
          <w:szCs w:val="18"/>
          <w:lang w:val="en-US"/>
        </w:rPr>
        <w:t>:EU:C:1992:325</w:t>
      </w:r>
      <w:proofErr w:type="gramEnd"/>
      <w:r w:rsidRPr="006C106B">
        <w:rPr>
          <w:rFonts w:cs="Segoe UI"/>
          <w:color w:val="000000"/>
          <w:sz w:val="18"/>
          <w:szCs w:val="18"/>
          <w:lang w:val="en-US"/>
        </w:rPr>
        <w:t xml:space="preserve">, </w:t>
      </w:r>
      <w:r>
        <w:rPr>
          <w:rFonts w:cs="Segoe UI"/>
          <w:color w:val="000000"/>
          <w:sz w:val="18"/>
          <w:szCs w:val="18"/>
          <w:lang w:val="en-US"/>
        </w:rPr>
        <w:t>paras</w:t>
      </w:r>
      <w:r w:rsidRPr="006C106B">
        <w:rPr>
          <w:rFonts w:cs="Segoe UI"/>
          <w:color w:val="000000"/>
          <w:sz w:val="18"/>
          <w:szCs w:val="18"/>
          <w:lang w:val="en-US"/>
        </w:rPr>
        <w:t xml:space="preserve">. 17 </w:t>
      </w:r>
      <w:proofErr w:type="spellStart"/>
      <w:r w:rsidRPr="006C106B">
        <w:rPr>
          <w:rFonts w:cs="Segoe UI"/>
          <w:color w:val="000000"/>
          <w:sz w:val="18"/>
          <w:szCs w:val="18"/>
          <w:lang w:val="en-US"/>
        </w:rPr>
        <w:t>ff</w:t>
      </w:r>
      <w:proofErr w:type="spellEnd"/>
      <w:r>
        <w:rPr>
          <w:rFonts w:cs="Segoe UI"/>
          <w:color w:val="000000"/>
          <w:sz w:val="18"/>
          <w:szCs w:val="18"/>
          <w:lang w:val="en-US"/>
        </w:rPr>
        <w:t xml:space="preserve"> (participation also to amended drafts); most recently</w:t>
      </w:r>
      <w:r w:rsidRPr="00272FEB">
        <w:rPr>
          <w:rFonts w:cs="Segoe UI"/>
          <w:color w:val="000000"/>
          <w:sz w:val="18"/>
          <w:szCs w:val="18"/>
          <w:lang w:val="en-US"/>
        </w:rPr>
        <w:t xml:space="preserve"> C-73/17, ECLI</w:t>
      </w:r>
      <w:proofErr w:type="gramStart"/>
      <w:r w:rsidRPr="00272FEB">
        <w:rPr>
          <w:rFonts w:cs="Segoe UI"/>
          <w:color w:val="000000"/>
          <w:sz w:val="18"/>
          <w:szCs w:val="18"/>
          <w:lang w:val="en-US"/>
        </w:rPr>
        <w:t>:EU:C:2018:787</w:t>
      </w:r>
      <w:proofErr w:type="gramEnd"/>
      <w:r w:rsidRPr="00272FEB">
        <w:rPr>
          <w:rFonts w:cs="Segoe UI"/>
          <w:color w:val="000000"/>
          <w:sz w:val="18"/>
          <w:szCs w:val="18"/>
          <w:lang w:val="en-US"/>
        </w:rPr>
        <w:t xml:space="preserve">, </w:t>
      </w:r>
      <w:r>
        <w:rPr>
          <w:rFonts w:cs="Segoe UI"/>
          <w:color w:val="000000"/>
          <w:sz w:val="18"/>
          <w:szCs w:val="18"/>
          <w:lang w:val="en-US"/>
        </w:rPr>
        <w:t>paras.</w:t>
      </w:r>
      <w:r w:rsidRPr="00272FEB">
        <w:rPr>
          <w:rFonts w:cs="Segoe UI"/>
          <w:color w:val="000000"/>
          <w:sz w:val="18"/>
          <w:szCs w:val="18"/>
          <w:lang w:val="en-US"/>
        </w:rPr>
        <w:t xml:space="preserve"> </w:t>
      </w:r>
      <w:proofErr w:type="gramStart"/>
      <w:r w:rsidRPr="00272FEB">
        <w:rPr>
          <w:rFonts w:cs="Segoe UI"/>
          <w:color w:val="000000"/>
          <w:sz w:val="18"/>
          <w:szCs w:val="18"/>
          <w:lang w:val="en-US"/>
        </w:rPr>
        <w:t>28</w:t>
      </w:r>
      <w:proofErr w:type="gramEnd"/>
      <w:r w:rsidRPr="00272FEB">
        <w:rPr>
          <w:rFonts w:cs="Segoe UI"/>
          <w:color w:val="000000"/>
          <w:sz w:val="18"/>
          <w:szCs w:val="18"/>
          <w:lang w:val="en-US"/>
        </w:rPr>
        <w:t xml:space="preserve"> </w:t>
      </w:r>
      <w:proofErr w:type="spellStart"/>
      <w:r w:rsidRPr="00272FEB">
        <w:rPr>
          <w:rFonts w:cs="Segoe UI"/>
          <w:color w:val="000000"/>
          <w:sz w:val="18"/>
          <w:szCs w:val="18"/>
          <w:lang w:val="en-US"/>
        </w:rPr>
        <w:t>ff</w:t>
      </w:r>
      <w:proofErr w:type="spellEnd"/>
      <w:r>
        <w:rPr>
          <w:rFonts w:cs="Segoe UI"/>
          <w:color w:val="000000"/>
          <w:sz w:val="18"/>
          <w:szCs w:val="18"/>
          <w:lang w:val="en-US"/>
        </w:rPr>
        <w:t>,</w:t>
      </w:r>
      <w:r w:rsidRPr="00272FEB">
        <w:rPr>
          <w:rFonts w:cs="Segoe UI"/>
          <w:color w:val="000000"/>
          <w:sz w:val="18"/>
          <w:szCs w:val="18"/>
          <w:lang w:val="en-US"/>
        </w:rPr>
        <w:t xml:space="preserve"> 32, 44.</w:t>
      </w:r>
      <w:r>
        <w:rPr>
          <w:rFonts w:cs="Segoe UI"/>
          <w:color w:val="000000"/>
          <w:sz w:val="18"/>
          <w:szCs w:val="18"/>
          <w:lang w:val="en-US"/>
        </w:rPr>
        <w:t xml:space="preserve"> See also F. </w:t>
      </w:r>
      <w:proofErr w:type="spellStart"/>
      <w:r>
        <w:rPr>
          <w:rFonts w:cs="Segoe UI"/>
          <w:color w:val="000000"/>
          <w:sz w:val="18"/>
          <w:szCs w:val="18"/>
          <w:lang w:val="en-US"/>
        </w:rPr>
        <w:t>Terpan</w:t>
      </w:r>
      <w:proofErr w:type="spellEnd"/>
      <w:r>
        <w:rPr>
          <w:rFonts w:cs="Segoe UI"/>
          <w:color w:val="000000"/>
          <w:sz w:val="18"/>
          <w:szCs w:val="18"/>
          <w:lang w:val="en-US"/>
        </w:rPr>
        <w:t xml:space="preserve">, in </w:t>
      </w:r>
      <w:proofErr w:type="spellStart"/>
      <w:r w:rsidRPr="006F7DAE">
        <w:rPr>
          <w:rFonts w:cs="EUAlbertina"/>
          <w:color w:val="000000"/>
          <w:lang w:val="en-US"/>
        </w:rPr>
        <w:t>Vara</w:t>
      </w:r>
      <w:proofErr w:type="spellEnd"/>
      <w:r w:rsidRPr="006F7DAE">
        <w:rPr>
          <w:rFonts w:cs="EUAlbertina"/>
          <w:color w:val="000000"/>
          <w:lang w:val="en-US"/>
        </w:rPr>
        <w:t>/Sánchez-</w:t>
      </w:r>
      <w:proofErr w:type="spellStart"/>
      <w:r w:rsidRPr="006F7DAE">
        <w:rPr>
          <w:rFonts w:cs="EUAlbertina"/>
          <w:color w:val="000000"/>
          <w:lang w:val="en-US"/>
        </w:rPr>
        <w:t>Tabernero</w:t>
      </w:r>
      <w:proofErr w:type="spellEnd"/>
      <w:r w:rsidRPr="006F7DAE">
        <w:rPr>
          <w:rFonts w:cs="EUAlbertina"/>
          <w:color w:val="000000"/>
          <w:lang w:val="en-US"/>
        </w:rPr>
        <w:t xml:space="preserve"> (</w:t>
      </w:r>
      <w:proofErr w:type="spellStart"/>
      <w:r w:rsidRPr="006F7DAE">
        <w:rPr>
          <w:rFonts w:cs="EUAlbertina"/>
          <w:color w:val="000000"/>
          <w:lang w:val="en-US"/>
        </w:rPr>
        <w:t>eds</w:t>
      </w:r>
      <w:proofErr w:type="spellEnd"/>
      <w:r w:rsidRPr="006F7DAE">
        <w:rPr>
          <w:rFonts w:cs="EUAlbertina"/>
          <w:color w:val="000000"/>
          <w:lang w:val="en-US"/>
        </w:rPr>
        <w:t xml:space="preserve">), The </w:t>
      </w:r>
      <w:proofErr w:type="spellStart"/>
      <w:r w:rsidRPr="006F7DAE">
        <w:rPr>
          <w:rFonts w:cs="EUAlbertina"/>
          <w:color w:val="000000"/>
          <w:lang w:val="en-US"/>
        </w:rPr>
        <w:t>Democratisation</w:t>
      </w:r>
      <w:proofErr w:type="spellEnd"/>
      <w:r w:rsidRPr="006F7DAE">
        <w:rPr>
          <w:rFonts w:cs="EUAlbertina"/>
          <w:color w:val="000000"/>
          <w:lang w:val="en-US"/>
        </w:rPr>
        <w:t xml:space="preserve"> of EU International Relations Through EU L</w:t>
      </w:r>
      <w:r>
        <w:rPr>
          <w:rFonts w:cs="EUAlbertina"/>
          <w:color w:val="000000"/>
          <w:lang w:val="en-US"/>
        </w:rPr>
        <w:t>a</w:t>
      </w:r>
      <w:r w:rsidRPr="006F7DAE">
        <w:rPr>
          <w:rFonts w:cs="EUAlbertina"/>
          <w:color w:val="000000"/>
          <w:lang w:val="en-US"/>
        </w:rPr>
        <w:t>w, 2019,</w:t>
      </w:r>
      <w:r>
        <w:rPr>
          <w:rFonts w:cs="EUAlbertina"/>
          <w:color w:val="000000"/>
          <w:lang w:val="en-US"/>
        </w:rPr>
        <w:t xml:space="preserve"> 39</w:t>
      </w:r>
      <w:r>
        <w:rPr>
          <w:rFonts w:cs="Segoe UI"/>
          <w:color w:val="000000"/>
          <w:sz w:val="18"/>
          <w:szCs w:val="18"/>
          <w:lang w:val="en-US"/>
        </w:rPr>
        <w:t xml:space="preserve">; F. </w:t>
      </w:r>
      <w:proofErr w:type="spellStart"/>
      <w:r>
        <w:rPr>
          <w:rFonts w:cs="Segoe UI"/>
          <w:color w:val="000000"/>
          <w:sz w:val="18"/>
          <w:szCs w:val="18"/>
          <w:lang w:val="en-US"/>
        </w:rPr>
        <w:t>Terpan</w:t>
      </w:r>
      <w:proofErr w:type="spellEnd"/>
      <w:r>
        <w:rPr>
          <w:rFonts w:cs="Segoe UI"/>
          <w:color w:val="000000"/>
          <w:sz w:val="18"/>
          <w:szCs w:val="18"/>
          <w:lang w:val="en-US"/>
        </w:rPr>
        <w:t xml:space="preserve">/S. </w:t>
      </w:r>
      <w:proofErr w:type="spellStart"/>
      <w:r>
        <w:rPr>
          <w:rFonts w:cs="Segoe UI"/>
          <w:color w:val="000000"/>
          <w:sz w:val="18"/>
          <w:szCs w:val="18"/>
          <w:lang w:val="en-US"/>
        </w:rPr>
        <w:t>Saurugger</w:t>
      </w:r>
      <w:proofErr w:type="spellEnd"/>
      <w:r>
        <w:rPr>
          <w:rFonts w:cs="Segoe UI"/>
          <w:color w:val="000000"/>
          <w:sz w:val="18"/>
          <w:szCs w:val="18"/>
          <w:lang w:val="en-US"/>
        </w:rPr>
        <w:t xml:space="preserve">, in </w:t>
      </w:r>
      <w:r w:rsidRPr="006F7DAE">
        <w:rPr>
          <w:lang w:val="en-US"/>
        </w:rPr>
        <w:t>Costa (</w:t>
      </w:r>
      <w:proofErr w:type="spellStart"/>
      <w:r w:rsidRPr="006F7DAE">
        <w:rPr>
          <w:lang w:val="en-US"/>
        </w:rPr>
        <w:t>ed</w:t>
      </w:r>
      <w:proofErr w:type="spellEnd"/>
      <w:r w:rsidRPr="006F7DAE">
        <w:rPr>
          <w:lang w:val="en-US"/>
        </w:rPr>
        <w:t>) The European Parliament in Times of EU Crises, 2019</w:t>
      </w:r>
      <w:r>
        <w:rPr>
          <w:lang w:val="en-US"/>
        </w:rPr>
        <w:t>, 77 at 85 ff.</w:t>
      </w:r>
    </w:p>
  </w:footnote>
  <w:footnote w:id="3">
    <w:p w:rsidR="009C5B86" w:rsidRPr="00C864C1" w:rsidRDefault="009C5B86">
      <w:pPr>
        <w:pStyle w:val="Funotentext"/>
        <w:rPr>
          <w:lang w:val="en-US"/>
        </w:rPr>
      </w:pPr>
      <w:r>
        <w:rPr>
          <w:rStyle w:val="Funotenzeichen"/>
        </w:rPr>
        <w:footnoteRef/>
      </w:r>
      <w:r w:rsidRPr="00C864C1">
        <w:rPr>
          <w:lang w:val="en-US"/>
        </w:rPr>
        <w:t xml:space="preserve"> </w:t>
      </w:r>
      <w:r>
        <w:rPr>
          <w:lang w:val="en-US"/>
        </w:rPr>
        <w:t>Communication of the Commission, Global Europe: Competing in the World, COM (2006) 567.</w:t>
      </w:r>
    </w:p>
  </w:footnote>
  <w:footnote w:id="4">
    <w:p w:rsidR="009C5B86" w:rsidRPr="00AE0C43" w:rsidRDefault="009C5B86">
      <w:pPr>
        <w:pStyle w:val="Funotentext"/>
        <w:rPr>
          <w:lang w:val="en-US"/>
        </w:rPr>
      </w:pPr>
      <w:r>
        <w:rPr>
          <w:rStyle w:val="Funotenzeichen"/>
        </w:rPr>
        <w:footnoteRef/>
      </w:r>
      <w:r w:rsidRPr="00AE0C43">
        <w:rPr>
          <w:lang w:val="en-US"/>
        </w:rPr>
        <w:t xml:space="preserve"> See e.g. Art 26.1 </w:t>
      </w:r>
      <w:r>
        <w:rPr>
          <w:lang w:val="en-US"/>
        </w:rPr>
        <w:t>(3), (4) Comprehensive Economic and Trade Agreement with Canada (CETA), or Art</w:t>
      </w:r>
      <w:r w:rsidRPr="00EE21A5">
        <w:rPr>
          <w:lang w:val="en-US"/>
        </w:rPr>
        <w:t xml:space="preserve">. </w:t>
      </w:r>
      <w:proofErr w:type="gramStart"/>
      <w:r w:rsidRPr="00EE21A5">
        <w:rPr>
          <w:lang w:val="en-US"/>
        </w:rPr>
        <w:t>16.1</w:t>
      </w:r>
      <w:proofErr w:type="gramEnd"/>
      <w:r w:rsidRPr="00EE21A5">
        <w:rPr>
          <w:lang w:val="en-US"/>
        </w:rPr>
        <w:t xml:space="preserve"> (3) </w:t>
      </w:r>
      <w:r>
        <w:rPr>
          <w:lang w:val="en-US"/>
        </w:rPr>
        <w:t>EU Singapore Free Trade Agreement (EUSFTA).</w:t>
      </w:r>
    </w:p>
  </w:footnote>
  <w:footnote w:id="5">
    <w:p w:rsidR="009C5B86" w:rsidRPr="00E501A4" w:rsidRDefault="009C5B86" w:rsidP="002E6F0A">
      <w:pPr>
        <w:pStyle w:val="Funotentext"/>
        <w:rPr>
          <w:lang w:val="en-US"/>
        </w:rPr>
      </w:pPr>
      <w:r>
        <w:rPr>
          <w:rStyle w:val="Funotenzeichen"/>
        </w:rPr>
        <w:footnoteRef/>
      </w:r>
      <w:r w:rsidRPr="00E501A4">
        <w:rPr>
          <w:lang w:val="en-US"/>
        </w:rPr>
        <w:t xml:space="preserve"> </w:t>
      </w:r>
      <w:r>
        <w:rPr>
          <w:lang w:val="en-US"/>
        </w:rPr>
        <w:t xml:space="preserve">See P. J. </w:t>
      </w:r>
      <w:proofErr w:type="spellStart"/>
      <w:r>
        <w:rPr>
          <w:lang w:val="en-US"/>
        </w:rPr>
        <w:t>Kuijper</w:t>
      </w:r>
      <w:proofErr w:type="spellEnd"/>
      <w:r>
        <w:rPr>
          <w:lang w:val="en-US"/>
        </w:rPr>
        <w:t xml:space="preserve">, in </w:t>
      </w:r>
      <w:proofErr w:type="spellStart"/>
      <w:r>
        <w:rPr>
          <w:lang w:val="en-US"/>
        </w:rPr>
        <w:t>Neframi</w:t>
      </w:r>
      <w:proofErr w:type="spellEnd"/>
      <w:r>
        <w:rPr>
          <w:lang w:val="en-US"/>
        </w:rPr>
        <w:t>/</w:t>
      </w:r>
      <w:proofErr w:type="spellStart"/>
      <w:r>
        <w:rPr>
          <w:lang w:val="en-US"/>
        </w:rPr>
        <w:t>Gatti</w:t>
      </w:r>
      <w:proofErr w:type="spellEnd"/>
      <w:r>
        <w:rPr>
          <w:lang w:val="en-US"/>
        </w:rPr>
        <w:t xml:space="preserve"> (</w:t>
      </w:r>
      <w:proofErr w:type="spellStart"/>
      <w:proofErr w:type="gramStart"/>
      <w:r>
        <w:rPr>
          <w:lang w:val="en-US"/>
        </w:rPr>
        <w:t>eds</w:t>
      </w:r>
      <w:proofErr w:type="spellEnd"/>
      <w:proofErr w:type="gramEnd"/>
      <w:r>
        <w:rPr>
          <w:lang w:val="en-US"/>
        </w:rPr>
        <w:t xml:space="preserve">), Constitutional Issues of EU External Relations Law, 2018, 201 at 225; W. Weiß, 2018 </w:t>
      </w:r>
      <w:proofErr w:type="spellStart"/>
      <w:r>
        <w:rPr>
          <w:lang w:val="en-US"/>
        </w:rPr>
        <w:t>EuConst</w:t>
      </w:r>
      <w:proofErr w:type="spellEnd"/>
      <w:r>
        <w:rPr>
          <w:lang w:val="en-US"/>
        </w:rPr>
        <w:t xml:space="preserve"> 532 at 534-543. </w:t>
      </w:r>
    </w:p>
  </w:footnote>
  <w:footnote w:id="6">
    <w:p w:rsidR="009C5B86" w:rsidRPr="00C40C32" w:rsidRDefault="009C5B86" w:rsidP="00DB2C79">
      <w:pPr>
        <w:pStyle w:val="Funotentext"/>
        <w:rPr>
          <w:lang w:val="en-US"/>
        </w:rPr>
      </w:pPr>
      <w:r>
        <w:rPr>
          <w:rStyle w:val="Funotenzeichen"/>
        </w:rPr>
        <w:footnoteRef/>
      </w:r>
      <w:r w:rsidRPr="00D15097">
        <w:rPr>
          <w:lang w:val="en-US"/>
        </w:rPr>
        <w:t xml:space="preserve"> </w:t>
      </w:r>
      <w:r w:rsidRPr="00C40C32">
        <w:rPr>
          <w:lang w:val="en-US"/>
        </w:rPr>
        <w:t xml:space="preserve">CJEU, Case C-658/11, </w:t>
      </w:r>
      <w:r w:rsidRPr="00C40C32">
        <w:rPr>
          <w:rStyle w:val="outputecli"/>
          <w:lang w:val="en-US"/>
        </w:rPr>
        <w:t>ECLI</w:t>
      </w:r>
      <w:proofErr w:type="gramStart"/>
      <w:r w:rsidRPr="00C40C32">
        <w:rPr>
          <w:rStyle w:val="outputecli"/>
          <w:lang w:val="en-US"/>
        </w:rPr>
        <w:t>:EU:C:2014:2025</w:t>
      </w:r>
      <w:proofErr w:type="gramEnd"/>
      <w:r w:rsidRPr="00C40C32">
        <w:rPr>
          <w:rStyle w:val="outputecli"/>
          <w:lang w:val="en-US"/>
        </w:rPr>
        <w:t xml:space="preserve">, para. 56. </w:t>
      </w:r>
    </w:p>
  </w:footnote>
  <w:footnote w:id="7">
    <w:p w:rsidR="009C5B86" w:rsidRPr="00044757" w:rsidRDefault="009C5B86">
      <w:pPr>
        <w:pStyle w:val="Funotentext"/>
        <w:rPr>
          <w:lang w:val="en-US"/>
        </w:rPr>
      </w:pPr>
      <w:r>
        <w:rPr>
          <w:rStyle w:val="Funotenzeichen"/>
        </w:rPr>
        <w:footnoteRef/>
      </w:r>
      <w:r w:rsidRPr="00044757">
        <w:rPr>
          <w:lang w:val="en-US"/>
        </w:rPr>
        <w:t xml:space="preserve"> </w:t>
      </w:r>
      <w:r w:rsidRPr="00810B20">
        <w:rPr>
          <w:lang w:val="en-US"/>
        </w:rPr>
        <w:t>2010 OJ</w:t>
      </w:r>
      <w:r>
        <w:rPr>
          <w:lang w:val="en-US"/>
        </w:rPr>
        <w:t>.EU</w:t>
      </w:r>
      <w:r w:rsidRPr="00810B20">
        <w:rPr>
          <w:lang w:val="en-US"/>
        </w:rPr>
        <w:t xml:space="preserve"> </w:t>
      </w:r>
      <w:r>
        <w:rPr>
          <w:lang w:val="en-US"/>
        </w:rPr>
        <w:t xml:space="preserve">L </w:t>
      </w:r>
      <w:r w:rsidRPr="00810B20">
        <w:rPr>
          <w:lang w:val="en-US"/>
        </w:rPr>
        <w:t>304/47</w:t>
      </w:r>
      <w:r>
        <w:rPr>
          <w:lang w:val="en-US"/>
        </w:rPr>
        <w:t xml:space="preserve">. For a detailed analysis of the Framework </w:t>
      </w:r>
      <w:proofErr w:type="gramStart"/>
      <w:r>
        <w:rPr>
          <w:lang w:val="en-US"/>
        </w:rPr>
        <w:t>Agreement</w:t>
      </w:r>
      <w:proofErr w:type="gramEnd"/>
      <w:r>
        <w:rPr>
          <w:lang w:val="en-US"/>
        </w:rPr>
        <w:t xml:space="preserve"> see the chapter by Marco Urban.</w:t>
      </w:r>
    </w:p>
  </w:footnote>
  <w:footnote w:id="8">
    <w:p w:rsidR="009C5B86" w:rsidRPr="00B471CB" w:rsidRDefault="009C5B86">
      <w:pPr>
        <w:pStyle w:val="Funotentext"/>
        <w:rPr>
          <w:lang w:val="en-US"/>
        </w:rPr>
      </w:pPr>
      <w:r>
        <w:rPr>
          <w:rStyle w:val="Funotenzeichen"/>
        </w:rPr>
        <w:footnoteRef/>
      </w:r>
      <w:r w:rsidRPr="00B471CB">
        <w:rPr>
          <w:lang w:val="en-US"/>
        </w:rPr>
        <w:t xml:space="preserve"> </w:t>
      </w:r>
      <w:r>
        <w:rPr>
          <w:lang w:val="en-US"/>
        </w:rPr>
        <w:t xml:space="preserve">L. </w:t>
      </w:r>
      <w:proofErr w:type="spellStart"/>
      <w:r>
        <w:rPr>
          <w:lang w:val="en-US"/>
        </w:rPr>
        <w:t>Puccio</w:t>
      </w:r>
      <w:proofErr w:type="spellEnd"/>
      <w:r>
        <w:rPr>
          <w:lang w:val="en-US"/>
        </w:rPr>
        <w:t xml:space="preserve">/R. Harte, </w:t>
      </w:r>
      <w:r w:rsidRPr="006F7DAE">
        <w:rPr>
          <w:lang w:val="en-US"/>
        </w:rPr>
        <w:t>in Costa (</w:t>
      </w:r>
      <w:proofErr w:type="spellStart"/>
      <w:proofErr w:type="gramStart"/>
      <w:r w:rsidRPr="006F7DAE">
        <w:rPr>
          <w:lang w:val="en-US"/>
        </w:rPr>
        <w:t>ed</w:t>
      </w:r>
      <w:proofErr w:type="spellEnd"/>
      <w:proofErr w:type="gramEnd"/>
      <w:r w:rsidRPr="006F7DAE">
        <w:rPr>
          <w:lang w:val="en-US"/>
        </w:rPr>
        <w:t xml:space="preserve">) The European Parliament in Times of EU Crises, 2019, 387 </w:t>
      </w:r>
      <w:r>
        <w:rPr>
          <w:lang w:val="en-US"/>
        </w:rPr>
        <w:t>at 395.</w:t>
      </w:r>
    </w:p>
  </w:footnote>
  <w:footnote w:id="9">
    <w:p w:rsidR="009C5B86" w:rsidRPr="00C26861" w:rsidRDefault="009C5B86">
      <w:pPr>
        <w:pStyle w:val="Funotentext"/>
        <w:rPr>
          <w:lang w:val="en-US"/>
        </w:rPr>
      </w:pPr>
      <w:r>
        <w:rPr>
          <w:rStyle w:val="Funotenzeichen"/>
        </w:rPr>
        <w:footnoteRef/>
      </w:r>
      <w:r w:rsidRPr="00C26861">
        <w:rPr>
          <w:lang w:val="en-US"/>
        </w:rPr>
        <w:t xml:space="preserve"> </w:t>
      </w:r>
      <w:r w:rsidRPr="00C40C32">
        <w:rPr>
          <w:lang w:val="en-US"/>
        </w:rPr>
        <w:t>CJEU, Case C-</w:t>
      </w:r>
      <w:r>
        <w:rPr>
          <w:lang w:val="en-US"/>
        </w:rPr>
        <w:t>263</w:t>
      </w:r>
      <w:r w:rsidRPr="00C40C32">
        <w:rPr>
          <w:lang w:val="en-US"/>
        </w:rPr>
        <w:t>/1</w:t>
      </w:r>
      <w:r>
        <w:rPr>
          <w:lang w:val="en-US"/>
        </w:rPr>
        <w:t>4</w:t>
      </w:r>
      <w:r w:rsidRPr="00C40C32">
        <w:rPr>
          <w:lang w:val="en-US"/>
        </w:rPr>
        <w:t xml:space="preserve">, </w:t>
      </w:r>
      <w:r w:rsidRPr="00C40C32">
        <w:rPr>
          <w:rStyle w:val="outputecli"/>
          <w:lang w:val="en-US"/>
        </w:rPr>
        <w:t>ECLI</w:t>
      </w:r>
      <w:proofErr w:type="gramStart"/>
      <w:r w:rsidRPr="00C40C32">
        <w:rPr>
          <w:rStyle w:val="outputecli"/>
          <w:lang w:val="en-US"/>
        </w:rPr>
        <w:t>:EU:C:201</w:t>
      </w:r>
      <w:r>
        <w:rPr>
          <w:rStyle w:val="outputecli"/>
          <w:lang w:val="en-US"/>
        </w:rPr>
        <w:t>6</w:t>
      </w:r>
      <w:r w:rsidRPr="00C40C32">
        <w:rPr>
          <w:rStyle w:val="outputecli"/>
          <w:lang w:val="en-US"/>
        </w:rPr>
        <w:t>:</w:t>
      </w:r>
      <w:r>
        <w:rPr>
          <w:rStyle w:val="outputecli"/>
          <w:lang w:val="en-US"/>
        </w:rPr>
        <w:t>435</w:t>
      </w:r>
      <w:proofErr w:type="gramEnd"/>
      <w:r w:rsidRPr="00C40C32">
        <w:rPr>
          <w:rStyle w:val="outputecli"/>
          <w:lang w:val="en-US"/>
        </w:rPr>
        <w:t xml:space="preserve">, para. </w:t>
      </w:r>
      <w:r>
        <w:rPr>
          <w:rStyle w:val="outputecli"/>
          <w:lang w:val="en-US"/>
        </w:rPr>
        <w:t>80.</w:t>
      </w:r>
    </w:p>
  </w:footnote>
  <w:footnote w:id="10">
    <w:p w:rsidR="009C5B86" w:rsidRPr="00C40C32" w:rsidRDefault="009C5B86">
      <w:pPr>
        <w:pStyle w:val="Funotentext"/>
        <w:rPr>
          <w:lang w:val="en-US"/>
        </w:rPr>
      </w:pPr>
      <w:r w:rsidRPr="00C40C32">
        <w:rPr>
          <w:rStyle w:val="Funotenzeichen"/>
        </w:rPr>
        <w:footnoteRef/>
      </w:r>
      <w:r w:rsidRPr="00C40C32">
        <w:rPr>
          <w:lang w:val="en-US"/>
        </w:rPr>
        <w:t xml:space="preserve"> See para. </w:t>
      </w:r>
      <w:proofErr w:type="gramStart"/>
      <w:r w:rsidRPr="00C40C32">
        <w:rPr>
          <w:rFonts w:cs="EUAlbertina"/>
          <w:color w:val="000000"/>
          <w:lang w:val="en-US"/>
        </w:rPr>
        <w:t>1</w:t>
      </w:r>
      <w:proofErr w:type="gramEnd"/>
      <w:r w:rsidRPr="00C40C32">
        <w:rPr>
          <w:rFonts w:cs="EUAlbertina"/>
          <w:color w:val="000000"/>
          <w:lang w:val="en-US"/>
        </w:rPr>
        <w:t xml:space="preserve"> of Annex III to the </w:t>
      </w:r>
      <w:r w:rsidRPr="00C40C32">
        <w:rPr>
          <w:lang w:val="en-US"/>
        </w:rPr>
        <w:t>Framework Agreement</w:t>
      </w:r>
      <w:r>
        <w:rPr>
          <w:lang w:val="en-US"/>
        </w:rPr>
        <w:t>.</w:t>
      </w:r>
    </w:p>
  </w:footnote>
  <w:footnote w:id="11">
    <w:p w:rsidR="009C5B86" w:rsidRPr="0033079F" w:rsidRDefault="009C5B86">
      <w:pPr>
        <w:pStyle w:val="Funotentext"/>
        <w:rPr>
          <w:lang w:val="en-US"/>
        </w:rPr>
      </w:pPr>
      <w:r w:rsidRPr="0033079F">
        <w:rPr>
          <w:rStyle w:val="Funotenzeichen"/>
        </w:rPr>
        <w:footnoteRef/>
      </w:r>
      <w:r w:rsidRPr="0033079F">
        <w:rPr>
          <w:lang w:val="en-US"/>
        </w:rPr>
        <w:t xml:space="preserve"> See Framework Agreement, para. 23</w:t>
      </w:r>
    </w:p>
  </w:footnote>
  <w:footnote w:id="12">
    <w:p w:rsidR="009C5B86" w:rsidRPr="0033079F" w:rsidRDefault="009C5B86">
      <w:pPr>
        <w:pStyle w:val="Funotentext"/>
        <w:rPr>
          <w:lang w:val="en-US"/>
        </w:rPr>
      </w:pPr>
      <w:r w:rsidRPr="0033079F">
        <w:rPr>
          <w:rStyle w:val="Funotenzeichen"/>
        </w:rPr>
        <w:footnoteRef/>
      </w:r>
      <w:r w:rsidRPr="0033079F">
        <w:rPr>
          <w:lang w:val="en-US"/>
        </w:rPr>
        <w:t xml:space="preserve"> C-263/14, para. </w:t>
      </w:r>
      <w:proofErr w:type="gramStart"/>
      <w:r w:rsidRPr="0033079F">
        <w:rPr>
          <w:lang w:val="en-US"/>
        </w:rPr>
        <w:t>75</w:t>
      </w:r>
      <w:proofErr w:type="gramEnd"/>
      <w:r w:rsidRPr="0033079F">
        <w:rPr>
          <w:lang w:val="en-US"/>
        </w:rPr>
        <w:t xml:space="preserve"> </w:t>
      </w:r>
      <w:proofErr w:type="spellStart"/>
      <w:r w:rsidRPr="0033079F">
        <w:rPr>
          <w:lang w:val="en-US"/>
        </w:rPr>
        <w:t>ff</w:t>
      </w:r>
      <w:proofErr w:type="spellEnd"/>
      <w:r w:rsidRPr="0033079F">
        <w:rPr>
          <w:lang w:val="en-US"/>
        </w:rPr>
        <w:t>, also with regard to the CFSP. See also A. P van der Mei, 2016 MJ 1051 at 1066 f.</w:t>
      </w:r>
    </w:p>
  </w:footnote>
  <w:footnote w:id="13">
    <w:p w:rsidR="009C5B86" w:rsidRPr="0033079F" w:rsidRDefault="009C5B86" w:rsidP="00E501A4">
      <w:pPr>
        <w:autoSpaceDE w:val="0"/>
        <w:autoSpaceDN w:val="0"/>
        <w:adjustRightInd w:val="0"/>
        <w:spacing w:after="0" w:line="240" w:lineRule="auto"/>
        <w:rPr>
          <w:sz w:val="20"/>
          <w:szCs w:val="20"/>
          <w:lang w:val="en-US"/>
        </w:rPr>
      </w:pPr>
      <w:r w:rsidRPr="0033079F">
        <w:rPr>
          <w:rStyle w:val="Funotenzeichen"/>
          <w:sz w:val="20"/>
          <w:szCs w:val="20"/>
        </w:rPr>
        <w:footnoteRef/>
      </w:r>
      <w:r w:rsidRPr="0033079F">
        <w:rPr>
          <w:sz w:val="20"/>
          <w:szCs w:val="20"/>
          <w:lang w:val="en-US"/>
        </w:rPr>
        <w:t xml:space="preserve"> See para 46 of the EP resolution </w:t>
      </w:r>
      <w:r w:rsidRPr="0033079F">
        <w:rPr>
          <w:rFonts w:cs="TTE14AE458t00"/>
          <w:sz w:val="20"/>
          <w:szCs w:val="20"/>
          <w:lang w:val="en-US"/>
        </w:rPr>
        <w:t xml:space="preserve">A7-0120/2014 on the Report </w:t>
      </w:r>
      <w:r w:rsidRPr="0033079F">
        <w:rPr>
          <w:rFonts w:cs="TTE186E110t00"/>
          <w:sz w:val="20"/>
          <w:szCs w:val="20"/>
          <w:lang w:val="en-US"/>
        </w:rPr>
        <w:t>on the implementation of the Treaty of Lisbon with respect to the European Parliament (2013/2130(INI)).</w:t>
      </w:r>
    </w:p>
  </w:footnote>
  <w:footnote w:id="14">
    <w:p w:rsidR="009C5B86" w:rsidRPr="0033079F" w:rsidRDefault="009C5B86">
      <w:pPr>
        <w:pStyle w:val="Funotentext"/>
        <w:rPr>
          <w:lang w:val="en-US"/>
        </w:rPr>
      </w:pPr>
      <w:r w:rsidRPr="0033079F">
        <w:rPr>
          <w:rStyle w:val="Funotenzeichen"/>
        </w:rPr>
        <w:footnoteRef/>
      </w:r>
      <w:r w:rsidRPr="0033079F">
        <w:rPr>
          <w:lang w:val="en-US"/>
        </w:rPr>
        <w:t xml:space="preserve"> See E. </w:t>
      </w:r>
      <w:proofErr w:type="spellStart"/>
      <w:r w:rsidRPr="0033079F">
        <w:rPr>
          <w:lang w:val="en-US"/>
        </w:rPr>
        <w:t>Brok</w:t>
      </w:r>
      <w:proofErr w:type="spellEnd"/>
      <w:r w:rsidRPr="0033079F">
        <w:rPr>
          <w:lang w:val="en-US"/>
        </w:rPr>
        <w:t>, 2010 integration 209.</w:t>
      </w:r>
    </w:p>
  </w:footnote>
  <w:footnote w:id="15">
    <w:p w:rsidR="009C5B86" w:rsidRPr="00C40C32" w:rsidRDefault="009C5B86">
      <w:pPr>
        <w:pStyle w:val="Funotentext"/>
        <w:rPr>
          <w:lang w:val="en-US"/>
        </w:rPr>
      </w:pPr>
      <w:r w:rsidRPr="00C40C32">
        <w:rPr>
          <w:rStyle w:val="Funotenzeichen"/>
        </w:rPr>
        <w:footnoteRef/>
      </w:r>
      <w:r w:rsidRPr="00C40C32">
        <w:rPr>
          <w:lang w:val="en-US"/>
        </w:rPr>
        <w:t xml:space="preserve"> See Framework Agreement, para. 24.</w:t>
      </w:r>
    </w:p>
  </w:footnote>
  <w:footnote w:id="16">
    <w:p w:rsidR="009C5B86" w:rsidRPr="00BC4E62" w:rsidRDefault="009C5B86">
      <w:pPr>
        <w:pStyle w:val="Funotentext"/>
        <w:rPr>
          <w:lang w:val="en-US"/>
        </w:rPr>
      </w:pPr>
      <w:r>
        <w:rPr>
          <w:rStyle w:val="Funotenzeichen"/>
        </w:rPr>
        <w:footnoteRef/>
      </w:r>
      <w:r>
        <w:rPr>
          <w:lang w:val="en-US"/>
        </w:rPr>
        <w:t xml:space="preserve"> F. </w:t>
      </w:r>
      <w:proofErr w:type="spellStart"/>
      <w:r>
        <w:rPr>
          <w:lang w:val="en-US"/>
        </w:rPr>
        <w:t>Hoffmeister</w:t>
      </w:r>
      <w:proofErr w:type="spellEnd"/>
      <w:r>
        <w:rPr>
          <w:lang w:val="en-US"/>
        </w:rPr>
        <w:t xml:space="preserve">, in </w:t>
      </w:r>
      <w:proofErr w:type="spellStart"/>
      <w:r w:rsidRPr="00BC4E62">
        <w:rPr>
          <w:lang w:val="en-US"/>
        </w:rPr>
        <w:t>Czuczai</w:t>
      </w:r>
      <w:proofErr w:type="spellEnd"/>
      <w:r w:rsidRPr="00BC4E62">
        <w:rPr>
          <w:lang w:val="en-US"/>
        </w:rPr>
        <w:t>/</w:t>
      </w:r>
      <w:proofErr w:type="spellStart"/>
      <w:r w:rsidRPr="00BC4E62">
        <w:rPr>
          <w:lang w:val="en-US"/>
        </w:rPr>
        <w:t>N</w:t>
      </w:r>
      <w:r>
        <w:rPr>
          <w:lang w:val="en-US"/>
        </w:rPr>
        <w:t>aert</w:t>
      </w:r>
      <w:proofErr w:type="spellEnd"/>
      <w:r>
        <w:rPr>
          <w:lang w:val="en-US"/>
        </w:rPr>
        <w:t xml:space="preserve"> </w:t>
      </w:r>
      <w:r w:rsidRPr="00BC4E62">
        <w:rPr>
          <w:lang w:val="en-US"/>
        </w:rPr>
        <w:t>(</w:t>
      </w:r>
      <w:proofErr w:type="spellStart"/>
      <w:proofErr w:type="gramStart"/>
      <w:r w:rsidRPr="00BC4E62">
        <w:rPr>
          <w:lang w:val="en-US"/>
        </w:rPr>
        <w:t>ed</w:t>
      </w:r>
      <w:r>
        <w:rPr>
          <w:lang w:val="en-US"/>
        </w:rPr>
        <w:t>s</w:t>
      </w:r>
      <w:proofErr w:type="spellEnd"/>
      <w:proofErr w:type="gramEnd"/>
      <w:r w:rsidRPr="00BC4E62">
        <w:rPr>
          <w:lang w:val="en-US"/>
        </w:rPr>
        <w:t xml:space="preserve">), </w:t>
      </w:r>
      <w:r>
        <w:rPr>
          <w:lang w:val="en-US"/>
        </w:rPr>
        <w:t xml:space="preserve">The EU as a Global Actor. </w:t>
      </w:r>
      <w:r w:rsidRPr="00BC4E62">
        <w:rPr>
          <w:lang w:val="en-US"/>
        </w:rPr>
        <w:t xml:space="preserve">Liber </w:t>
      </w:r>
      <w:proofErr w:type="spellStart"/>
      <w:r w:rsidRPr="00BC4E62">
        <w:rPr>
          <w:lang w:val="en-US"/>
        </w:rPr>
        <w:t>Amicorum</w:t>
      </w:r>
      <w:proofErr w:type="spellEnd"/>
      <w:r w:rsidRPr="00BC4E62">
        <w:rPr>
          <w:lang w:val="en-US"/>
        </w:rPr>
        <w:t xml:space="preserve"> </w:t>
      </w:r>
      <w:proofErr w:type="spellStart"/>
      <w:r w:rsidRPr="00BC4E62">
        <w:rPr>
          <w:lang w:val="en-US"/>
        </w:rPr>
        <w:t>Gosalbano</w:t>
      </w:r>
      <w:proofErr w:type="spellEnd"/>
      <w:r w:rsidRPr="00BC4E62">
        <w:rPr>
          <w:lang w:val="en-US"/>
        </w:rPr>
        <w:t xml:space="preserve"> Bono</w:t>
      </w:r>
      <w:r>
        <w:rPr>
          <w:lang w:val="en-US"/>
        </w:rPr>
        <w:t>, 2017, 309</w:t>
      </w:r>
      <w:r w:rsidRPr="00BC4E62">
        <w:rPr>
          <w:lang w:val="en-US"/>
        </w:rPr>
        <w:t xml:space="preserve"> at 323.</w:t>
      </w:r>
    </w:p>
  </w:footnote>
  <w:footnote w:id="17">
    <w:p w:rsidR="009C5B86" w:rsidRPr="00C40C32" w:rsidRDefault="009C5B86">
      <w:pPr>
        <w:pStyle w:val="Funotentext"/>
        <w:rPr>
          <w:lang w:val="en-US"/>
        </w:rPr>
      </w:pPr>
      <w:r w:rsidRPr="00C40C32">
        <w:rPr>
          <w:rStyle w:val="Funotenzeichen"/>
        </w:rPr>
        <w:footnoteRef/>
      </w:r>
      <w:r w:rsidRPr="00C40C32">
        <w:rPr>
          <w:lang w:val="en-US"/>
        </w:rPr>
        <w:t xml:space="preserve"> See para. </w:t>
      </w:r>
      <w:proofErr w:type="gramStart"/>
      <w:r w:rsidRPr="00C40C32">
        <w:rPr>
          <w:lang w:val="en-US"/>
        </w:rPr>
        <w:t>4</w:t>
      </w:r>
      <w:proofErr w:type="gramEnd"/>
      <w:r w:rsidRPr="00C40C32">
        <w:rPr>
          <w:lang w:val="en-US"/>
        </w:rPr>
        <w:t xml:space="preserve"> and 5</w:t>
      </w:r>
      <w:r w:rsidRPr="00C40C32">
        <w:rPr>
          <w:rFonts w:cs="EUAlbertina"/>
          <w:color w:val="000000"/>
          <w:lang w:val="en-US"/>
        </w:rPr>
        <w:t xml:space="preserve"> of Annex III to the </w:t>
      </w:r>
      <w:r w:rsidRPr="00C40C32">
        <w:rPr>
          <w:lang w:val="en-US"/>
        </w:rPr>
        <w:t>Framework Agreement.</w:t>
      </w:r>
    </w:p>
  </w:footnote>
  <w:footnote w:id="18">
    <w:p w:rsidR="009C5B86" w:rsidRPr="00C40C32" w:rsidRDefault="009C5B86" w:rsidP="00B67DFB">
      <w:pPr>
        <w:pStyle w:val="Funotentext"/>
        <w:rPr>
          <w:lang w:val="en-US"/>
        </w:rPr>
      </w:pPr>
      <w:r w:rsidRPr="00C40C32">
        <w:rPr>
          <w:rStyle w:val="Funotenzeichen"/>
        </w:rPr>
        <w:footnoteRef/>
      </w:r>
      <w:r w:rsidRPr="00C40C32">
        <w:rPr>
          <w:lang w:val="en-US"/>
        </w:rPr>
        <w:t xml:space="preserve"> See K. Meissner, EFAR 2016, 269</w:t>
      </w:r>
      <w:r>
        <w:rPr>
          <w:lang w:val="en-US"/>
        </w:rPr>
        <w:t xml:space="preserve">; </w:t>
      </w:r>
      <w:r w:rsidRPr="00C40C32">
        <w:rPr>
          <w:lang w:val="en-US"/>
        </w:rPr>
        <w:t xml:space="preserve">A. </w:t>
      </w:r>
      <w:proofErr w:type="spellStart"/>
      <w:r w:rsidRPr="00C40C32">
        <w:rPr>
          <w:lang w:val="en-US"/>
        </w:rPr>
        <w:t>Ott</w:t>
      </w:r>
      <w:proofErr w:type="spellEnd"/>
      <w:r w:rsidRPr="00C40C32">
        <w:rPr>
          <w:lang w:val="en-US"/>
        </w:rPr>
        <w:t>, MJ 2016, 1009</w:t>
      </w:r>
      <w:r>
        <w:rPr>
          <w:lang w:val="en-US"/>
        </w:rPr>
        <w:t>; G. Rosen, in Khorana/</w:t>
      </w:r>
      <w:proofErr w:type="spellStart"/>
      <w:r>
        <w:rPr>
          <w:lang w:val="en-US"/>
        </w:rPr>
        <w:t>Garciá</w:t>
      </w:r>
      <w:proofErr w:type="spellEnd"/>
      <w:r>
        <w:rPr>
          <w:lang w:val="en-US"/>
        </w:rPr>
        <w:t xml:space="preserve"> (</w:t>
      </w:r>
      <w:proofErr w:type="spellStart"/>
      <w:r>
        <w:rPr>
          <w:lang w:val="en-US"/>
        </w:rPr>
        <w:t>eds</w:t>
      </w:r>
      <w:proofErr w:type="spellEnd"/>
      <w:r>
        <w:rPr>
          <w:lang w:val="en-US"/>
        </w:rPr>
        <w:t xml:space="preserve">), Handbook on the EU and International Trade, 2018, 117 at 118, 122 </w:t>
      </w:r>
      <w:proofErr w:type="spellStart"/>
      <w:r>
        <w:rPr>
          <w:lang w:val="en-US"/>
        </w:rPr>
        <w:t>ff</w:t>
      </w:r>
      <w:proofErr w:type="spellEnd"/>
      <w:r>
        <w:rPr>
          <w:lang w:val="en-US"/>
        </w:rPr>
        <w:t xml:space="preserve">; </w:t>
      </w:r>
      <w:r w:rsidRPr="00C40C32">
        <w:rPr>
          <w:lang w:val="en-US"/>
        </w:rPr>
        <w:t xml:space="preserve">R. </w:t>
      </w:r>
      <w:proofErr w:type="spellStart"/>
      <w:r w:rsidRPr="00C40C32">
        <w:rPr>
          <w:lang w:val="en-US"/>
        </w:rPr>
        <w:t>Schütze</w:t>
      </w:r>
      <w:proofErr w:type="spellEnd"/>
      <w:r w:rsidRPr="00C40C32">
        <w:rPr>
          <w:lang w:val="en-US"/>
        </w:rPr>
        <w:t>, Foreign Affairs and the EU Constitution, 2014, 385 f</w:t>
      </w:r>
      <w:r>
        <w:rPr>
          <w:lang w:val="en-US"/>
        </w:rPr>
        <w:t>; Wessel/</w:t>
      </w:r>
      <w:proofErr w:type="spellStart"/>
      <w:r>
        <w:rPr>
          <w:lang w:val="en-US"/>
        </w:rPr>
        <w:t>Taká</w:t>
      </w:r>
      <w:r w:rsidR="00D4314C">
        <w:rPr>
          <w:lang w:val="en-US"/>
        </w:rPr>
        <w:t>c</w:t>
      </w:r>
      <w:r>
        <w:rPr>
          <w:lang w:val="en-US"/>
        </w:rPr>
        <w:t>s</w:t>
      </w:r>
      <w:proofErr w:type="spellEnd"/>
      <w:r>
        <w:rPr>
          <w:lang w:val="en-US"/>
        </w:rPr>
        <w:t xml:space="preserve">, 2017 EBLR </w:t>
      </w:r>
      <w:r w:rsidR="00D4314C">
        <w:rPr>
          <w:lang w:val="en-US"/>
        </w:rPr>
        <w:t xml:space="preserve">103 </w:t>
      </w:r>
      <w:r>
        <w:rPr>
          <w:lang w:val="en-US"/>
        </w:rPr>
        <w:t>at 113 f.</w:t>
      </w:r>
    </w:p>
  </w:footnote>
  <w:footnote w:id="19">
    <w:p w:rsidR="009C5B86" w:rsidRPr="006F7DAE" w:rsidRDefault="009C5B86">
      <w:pPr>
        <w:pStyle w:val="Funotentext"/>
        <w:rPr>
          <w:lang w:val="en-US"/>
        </w:rPr>
      </w:pPr>
      <w:r w:rsidRPr="006F7DAE">
        <w:rPr>
          <w:rStyle w:val="Funotenzeichen"/>
        </w:rPr>
        <w:footnoteRef/>
      </w:r>
      <w:r w:rsidRPr="006F7DAE">
        <w:rPr>
          <w:lang w:val="en-US"/>
        </w:rPr>
        <w:t xml:space="preserve"> See </w:t>
      </w:r>
      <w:r w:rsidRPr="006F7DAE">
        <w:rPr>
          <w:rFonts w:cstheme="minorHAnsi"/>
          <w:i/>
          <w:lang w:val="en-US"/>
        </w:rPr>
        <w:t xml:space="preserve">C. </w:t>
      </w:r>
      <w:proofErr w:type="spellStart"/>
      <w:r w:rsidRPr="006F7DAE">
        <w:rPr>
          <w:rFonts w:cstheme="minorHAnsi"/>
          <w:i/>
          <w:lang w:val="en-US"/>
        </w:rPr>
        <w:t>Eckes</w:t>
      </w:r>
      <w:proofErr w:type="spellEnd"/>
      <w:r w:rsidRPr="006F7DAE">
        <w:rPr>
          <w:rFonts w:cstheme="minorHAnsi"/>
          <w:lang w:val="en-US"/>
        </w:rPr>
        <w:t xml:space="preserve"> 2014 ICON at 904, 910 f., 917; </w:t>
      </w:r>
      <w:r w:rsidRPr="006F7DAE">
        <w:rPr>
          <w:rFonts w:cstheme="minorHAnsi"/>
          <w:i/>
          <w:lang w:val="en-US"/>
        </w:rPr>
        <w:t>K. Meissner</w:t>
      </w:r>
      <w:r w:rsidRPr="006F7DAE">
        <w:rPr>
          <w:rFonts w:cstheme="minorHAnsi"/>
          <w:lang w:val="en-US"/>
        </w:rPr>
        <w:t xml:space="preserve"> 2016 EFAR at 269, 273 f</w:t>
      </w:r>
    </w:p>
  </w:footnote>
  <w:footnote w:id="20">
    <w:p w:rsidR="009C5B86" w:rsidRPr="006F7DAE" w:rsidRDefault="009C5B86">
      <w:pPr>
        <w:pStyle w:val="Funotentext"/>
        <w:rPr>
          <w:lang w:val="en-US"/>
        </w:rPr>
      </w:pPr>
      <w:r w:rsidRPr="006F7DAE">
        <w:rPr>
          <w:rStyle w:val="Funotenzeichen"/>
        </w:rPr>
        <w:footnoteRef/>
      </w:r>
      <w:r w:rsidRPr="006F7DAE">
        <w:rPr>
          <w:lang w:val="en-US"/>
        </w:rPr>
        <w:t xml:space="preserve"> </w:t>
      </w:r>
      <w:r w:rsidRPr="006F7DAE">
        <w:rPr>
          <w:rFonts w:cstheme="minorHAnsi"/>
          <w:i/>
          <w:lang w:val="en-US"/>
        </w:rPr>
        <w:t xml:space="preserve">C. </w:t>
      </w:r>
      <w:proofErr w:type="spellStart"/>
      <w:r w:rsidRPr="006F7DAE">
        <w:rPr>
          <w:rFonts w:cstheme="minorHAnsi"/>
          <w:i/>
          <w:lang w:val="en-US"/>
        </w:rPr>
        <w:t>Eckes</w:t>
      </w:r>
      <w:proofErr w:type="spellEnd"/>
      <w:r w:rsidRPr="006F7DAE">
        <w:rPr>
          <w:rFonts w:cstheme="minorHAnsi"/>
          <w:lang w:val="en-US"/>
        </w:rPr>
        <w:t xml:space="preserve"> 2014 ICON at 917, 923 f.</w:t>
      </w:r>
    </w:p>
  </w:footnote>
  <w:footnote w:id="21">
    <w:p w:rsidR="009C5B86" w:rsidRPr="006F7DAE" w:rsidRDefault="009C5B86">
      <w:pPr>
        <w:pStyle w:val="Funotentext"/>
        <w:rPr>
          <w:lang w:val="en-US"/>
        </w:rPr>
      </w:pPr>
      <w:r w:rsidRPr="006F7DAE">
        <w:rPr>
          <w:rStyle w:val="Funotenzeichen"/>
        </w:rPr>
        <w:footnoteRef/>
      </w:r>
      <w:r w:rsidRPr="006F7DAE">
        <w:rPr>
          <w:lang w:val="en-US"/>
        </w:rPr>
        <w:t xml:space="preserve"> See EP resolution of 13 March 2014 on the implementation of the Lisbon Treaty (2013/2130 (INI)), and para. </w:t>
      </w:r>
      <w:proofErr w:type="gramStart"/>
      <w:r w:rsidRPr="006F7DAE">
        <w:rPr>
          <w:lang w:val="en-US"/>
        </w:rPr>
        <w:t>7</w:t>
      </w:r>
      <w:proofErr w:type="gramEnd"/>
      <w:r w:rsidRPr="006F7DAE">
        <w:rPr>
          <w:lang w:val="en-US"/>
        </w:rPr>
        <w:t xml:space="preserve"> of </w:t>
      </w:r>
      <w:r w:rsidRPr="006F7DAE">
        <w:rPr>
          <w:rFonts w:cs="EUAlbertina"/>
          <w:color w:val="000000"/>
          <w:lang w:val="en-US"/>
        </w:rPr>
        <w:t xml:space="preserve">Annex III to the </w:t>
      </w:r>
      <w:r w:rsidRPr="006F7DAE">
        <w:rPr>
          <w:lang w:val="en-US"/>
        </w:rPr>
        <w:t>Framework Agreement according to which the COM “</w:t>
      </w:r>
      <w:r w:rsidRPr="006F7DAE">
        <w:rPr>
          <w:rFonts w:cs="EUAlbertina"/>
          <w:color w:val="000000"/>
          <w:lang w:val="en-US"/>
        </w:rPr>
        <w:t>shall inform Parliament as early as possible when it intends to propose its provisional application to the Council and of the reasons therefor”. The right to information with regard to provisional application was confirmed by CJEU</w:t>
      </w:r>
      <w:r>
        <w:rPr>
          <w:rFonts w:cs="EUAlbertina"/>
          <w:color w:val="000000"/>
          <w:lang w:val="en-US"/>
        </w:rPr>
        <w:t>,</w:t>
      </w:r>
      <w:r w:rsidRPr="006F7DAE">
        <w:rPr>
          <w:rFonts w:cs="EUAlbertina"/>
          <w:color w:val="000000"/>
          <w:lang w:val="en-US"/>
        </w:rPr>
        <w:t xml:space="preserve"> Case C-263/14, </w:t>
      </w:r>
      <w:proofErr w:type="gramStart"/>
      <w:r w:rsidRPr="006F7DAE">
        <w:rPr>
          <w:rFonts w:cs="EUAlbertina"/>
          <w:color w:val="000000"/>
          <w:lang w:val="en-US"/>
        </w:rPr>
        <w:t>para</w:t>
      </w:r>
      <w:proofErr w:type="gramEnd"/>
      <w:r w:rsidRPr="006F7DAE">
        <w:rPr>
          <w:rFonts w:cs="EUAlbertina"/>
          <w:color w:val="000000"/>
          <w:lang w:val="en-US"/>
        </w:rPr>
        <w:t xml:space="preserve">. 76. </w:t>
      </w:r>
      <w:r>
        <w:rPr>
          <w:rFonts w:cs="EUAlbertina"/>
          <w:color w:val="000000"/>
          <w:lang w:val="en-US"/>
        </w:rPr>
        <w:t xml:space="preserve">For the EP´s </w:t>
      </w:r>
      <w:r w:rsidRPr="006F7DAE">
        <w:rPr>
          <w:rFonts w:cs="EUAlbertina"/>
          <w:color w:val="000000"/>
          <w:lang w:val="en-US"/>
        </w:rPr>
        <w:t xml:space="preserve">role </w:t>
      </w:r>
      <w:r>
        <w:rPr>
          <w:rFonts w:cs="EUAlbertina"/>
          <w:color w:val="000000"/>
          <w:lang w:val="en-US"/>
        </w:rPr>
        <w:t xml:space="preserve">in the </w:t>
      </w:r>
      <w:r w:rsidRPr="006F7DAE">
        <w:rPr>
          <w:rFonts w:cs="EUAlbertina"/>
          <w:color w:val="000000"/>
          <w:lang w:val="en-US"/>
        </w:rPr>
        <w:t>provision</w:t>
      </w:r>
      <w:r>
        <w:rPr>
          <w:rFonts w:cs="EUAlbertina"/>
          <w:color w:val="000000"/>
          <w:lang w:val="en-US"/>
        </w:rPr>
        <w:t>al</w:t>
      </w:r>
      <w:r w:rsidRPr="006F7DAE">
        <w:rPr>
          <w:rFonts w:cs="EUAlbertina"/>
          <w:color w:val="000000"/>
          <w:lang w:val="en-US"/>
        </w:rPr>
        <w:t xml:space="preserve"> application</w:t>
      </w:r>
      <w:r>
        <w:rPr>
          <w:rFonts w:cs="EUAlbertina"/>
          <w:color w:val="000000"/>
          <w:lang w:val="en-US"/>
        </w:rPr>
        <w:t>,</w:t>
      </w:r>
      <w:r w:rsidRPr="006F7DAE">
        <w:rPr>
          <w:rFonts w:cs="EUAlbertina"/>
          <w:color w:val="000000"/>
          <w:lang w:val="en-US"/>
        </w:rPr>
        <w:t xml:space="preserve"> see G. van der Loo</w:t>
      </w:r>
      <w:r>
        <w:rPr>
          <w:rFonts w:cs="EUAlbertina"/>
          <w:color w:val="000000"/>
          <w:lang w:val="en-US"/>
        </w:rPr>
        <w:t>,</w:t>
      </w:r>
      <w:r w:rsidRPr="006F7DAE">
        <w:rPr>
          <w:rFonts w:cs="EUAlbertina"/>
          <w:color w:val="000000"/>
          <w:lang w:val="en-US"/>
        </w:rPr>
        <w:t xml:space="preserve"> in </w:t>
      </w:r>
      <w:proofErr w:type="spellStart"/>
      <w:r w:rsidRPr="006F7DAE">
        <w:rPr>
          <w:rFonts w:cs="EUAlbertina"/>
          <w:color w:val="000000"/>
          <w:lang w:val="en-US"/>
        </w:rPr>
        <w:t>Vara</w:t>
      </w:r>
      <w:proofErr w:type="spellEnd"/>
      <w:r w:rsidRPr="006F7DAE">
        <w:rPr>
          <w:rFonts w:cs="EUAlbertina"/>
          <w:color w:val="000000"/>
          <w:lang w:val="en-US"/>
        </w:rPr>
        <w:t>/Sánchez-</w:t>
      </w:r>
      <w:proofErr w:type="spellStart"/>
      <w:r w:rsidRPr="006F7DAE">
        <w:rPr>
          <w:rFonts w:cs="EUAlbertina"/>
          <w:color w:val="000000"/>
          <w:lang w:val="en-US"/>
        </w:rPr>
        <w:t>Tabernero</w:t>
      </w:r>
      <w:proofErr w:type="spellEnd"/>
      <w:r w:rsidRPr="006F7DAE">
        <w:rPr>
          <w:rFonts w:cs="EUAlbertina"/>
          <w:color w:val="000000"/>
          <w:lang w:val="en-US"/>
        </w:rPr>
        <w:t xml:space="preserve"> (</w:t>
      </w:r>
      <w:proofErr w:type="spellStart"/>
      <w:r w:rsidRPr="006F7DAE">
        <w:rPr>
          <w:rFonts w:cs="EUAlbertina"/>
          <w:color w:val="000000"/>
          <w:lang w:val="en-US"/>
        </w:rPr>
        <w:t>eds</w:t>
      </w:r>
      <w:proofErr w:type="spellEnd"/>
      <w:r w:rsidRPr="006F7DAE">
        <w:rPr>
          <w:rFonts w:cs="EUAlbertina"/>
          <w:color w:val="000000"/>
          <w:lang w:val="en-US"/>
        </w:rPr>
        <w:t xml:space="preserve">), The </w:t>
      </w:r>
      <w:proofErr w:type="spellStart"/>
      <w:r w:rsidRPr="006F7DAE">
        <w:rPr>
          <w:rFonts w:cs="EUAlbertina"/>
          <w:color w:val="000000"/>
          <w:lang w:val="en-US"/>
        </w:rPr>
        <w:t>Democratisation</w:t>
      </w:r>
      <w:proofErr w:type="spellEnd"/>
      <w:r w:rsidRPr="006F7DAE">
        <w:rPr>
          <w:rFonts w:cs="EUAlbertina"/>
          <w:color w:val="000000"/>
          <w:lang w:val="en-US"/>
        </w:rPr>
        <w:t xml:space="preserve"> of EU International Relations Through EU L</w:t>
      </w:r>
      <w:r>
        <w:rPr>
          <w:rFonts w:cs="EUAlbertina"/>
          <w:color w:val="000000"/>
          <w:lang w:val="en-US"/>
        </w:rPr>
        <w:t>a</w:t>
      </w:r>
      <w:r w:rsidRPr="006F7DAE">
        <w:rPr>
          <w:rFonts w:cs="EUAlbertina"/>
          <w:color w:val="000000"/>
          <w:lang w:val="en-US"/>
        </w:rPr>
        <w:t xml:space="preserve">w, 2019, 210 at 222; R. </w:t>
      </w:r>
      <w:proofErr w:type="spellStart"/>
      <w:r w:rsidRPr="006F7DAE">
        <w:rPr>
          <w:rFonts w:cs="EUAlbertina"/>
          <w:color w:val="000000"/>
          <w:lang w:val="en-US"/>
        </w:rPr>
        <w:t>Passos</w:t>
      </w:r>
      <w:proofErr w:type="spellEnd"/>
      <w:r w:rsidRPr="006F7DAE">
        <w:rPr>
          <w:rFonts w:cs="EUAlbertina"/>
          <w:color w:val="000000"/>
          <w:lang w:val="en-US"/>
        </w:rPr>
        <w:t xml:space="preserve"> in </w:t>
      </w:r>
      <w:proofErr w:type="spellStart"/>
      <w:r w:rsidRPr="006F7DAE">
        <w:rPr>
          <w:rFonts w:cs="EUAlbertina"/>
          <w:color w:val="000000"/>
          <w:lang w:val="en-US"/>
        </w:rPr>
        <w:t>Czuczai</w:t>
      </w:r>
      <w:proofErr w:type="spellEnd"/>
      <w:r w:rsidRPr="006F7DAE">
        <w:rPr>
          <w:rFonts w:cs="EUAlbertina"/>
          <w:color w:val="000000"/>
          <w:lang w:val="en-US"/>
        </w:rPr>
        <w:t>/</w:t>
      </w:r>
      <w:proofErr w:type="spellStart"/>
      <w:r w:rsidRPr="006F7DAE">
        <w:rPr>
          <w:rFonts w:cs="EUAlbertina"/>
          <w:color w:val="000000"/>
          <w:lang w:val="en-US"/>
        </w:rPr>
        <w:t>Naert</w:t>
      </w:r>
      <w:proofErr w:type="spellEnd"/>
      <w:r w:rsidRPr="006F7DAE">
        <w:rPr>
          <w:rFonts w:cs="EUAlbertina"/>
          <w:color w:val="000000"/>
          <w:lang w:val="en-US"/>
        </w:rPr>
        <w:t xml:space="preserve"> (</w:t>
      </w:r>
      <w:proofErr w:type="spellStart"/>
      <w:r w:rsidRPr="006F7DAE">
        <w:rPr>
          <w:rFonts w:cs="EUAlbertina"/>
          <w:color w:val="000000"/>
          <w:lang w:val="en-US"/>
        </w:rPr>
        <w:t>eds</w:t>
      </w:r>
      <w:proofErr w:type="spellEnd"/>
      <w:r w:rsidRPr="006F7DAE">
        <w:rPr>
          <w:rFonts w:cs="EUAlbertina"/>
          <w:color w:val="000000"/>
          <w:lang w:val="en-US"/>
        </w:rPr>
        <w:t>), The EU as a Global Actor</w:t>
      </w:r>
      <w:r>
        <w:rPr>
          <w:rFonts w:cs="EUAlbertina"/>
          <w:color w:val="000000"/>
          <w:lang w:val="en-US"/>
        </w:rPr>
        <w:t>.</w:t>
      </w:r>
      <w:r w:rsidRPr="006F7DAE">
        <w:rPr>
          <w:rFonts w:cs="EUAlbertina"/>
          <w:color w:val="000000"/>
          <w:lang w:val="en-US"/>
        </w:rPr>
        <w:t xml:space="preserve"> Liber </w:t>
      </w:r>
      <w:proofErr w:type="spellStart"/>
      <w:r w:rsidRPr="006F7DAE">
        <w:rPr>
          <w:rFonts w:cs="EUAlbertina"/>
          <w:color w:val="000000"/>
          <w:lang w:val="en-US"/>
        </w:rPr>
        <w:t>Amicorum</w:t>
      </w:r>
      <w:proofErr w:type="spellEnd"/>
      <w:r w:rsidRPr="006F7DAE">
        <w:rPr>
          <w:rFonts w:cs="EUAlbertina"/>
          <w:color w:val="000000"/>
          <w:lang w:val="en-US"/>
        </w:rPr>
        <w:t xml:space="preserve"> </w:t>
      </w:r>
      <w:proofErr w:type="spellStart"/>
      <w:r w:rsidRPr="006F7DAE">
        <w:rPr>
          <w:rFonts w:cs="EUAlbertina"/>
          <w:color w:val="000000"/>
          <w:lang w:val="en-US"/>
        </w:rPr>
        <w:t>Gosalbo</w:t>
      </w:r>
      <w:proofErr w:type="spellEnd"/>
      <w:r w:rsidRPr="006F7DAE">
        <w:rPr>
          <w:rFonts w:cs="EUAlbertina"/>
          <w:color w:val="000000"/>
          <w:lang w:val="en-US"/>
        </w:rPr>
        <w:t xml:space="preserve"> Bono, 2017, 380 at 384, </w:t>
      </w:r>
      <w:r>
        <w:rPr>
          <w:rFonts w:cs="EUAlbertina"/>
          <w:color w:val="000000"/>
          <w:lang w:val="en-US"/>
        </w:rPr>
        <w:t>3</w:t>
      </w:r>
      <w:r w:rsidRPr="006F7DAE">
        <w:rPr>
          <w:rFonts w:cs="EUAlbertina"/>
          <w:color w:val="000000"/>
          <w:lang w:val="en-US"/>
        </w:rPr>
        <w:t>87 et seq.</w:t>
      </w:r>
    </w:p>
  </w:footnote>
  <w:footnote w:id="22">
    <w:p w:rsidR="009C5B86" w:rsidRPr="006F7DAE" w:rsidRDefault="009C5B86">
      <w:pPr>
        <w:pStyle w:val="Funotentext"/>
        <w:rPr>
          <w:lang w:val="en-US"/>
        </w:rPr>
      </w:pPr>
      <w:r w:rsidRPr="006F7DAE">
        <w:rPr>
          <w:rStyle w:val="Funotenzeichen"/>
        </w:rPr>
        <w:footnoteRef/>
      </w:r>
      <w:r w:rsidRPr="006F7DAE">
        <w:rPr>
          <w:lang w:val="en-US"/>
        </w:rPr>
        <w:t xml:space="preserve"> L. </w:t>
      </w:r>
      <w:proofErr w:type="spellStart"/>
      <w:r w:rsidRPr="006F7DAE">
        <w:rPr>
          <w:lang w:val="en-US"/>
        </w:rPr>
        <w:t>Puccio</w:t>
      </w:r>
      <w:proofErr w:type="spellEnd"/>
      <w:r w:rsidRPr="006F7DAE">
        <w:rPr>
          <w:lang w:val="en-US"/>
        </w:rPr>
        <w:t>/R. Harte, in Costa (</w:t>
      </w:r>
      <w:proofErr w:type="spellStart"/>
      <w:proofErr w:type="gramStart"/>
      <w:r w:rsidRPr="006F7DAE">
        <w:rPr>
          <w:lang w:val="en-US"/>
        </w:rPr>
        <w:t>ed</w:t>
      </w:r>
      <w:proofErr w:type="spellEnd"/>
      <w:proofErr w:type="gramEnd"/>
      <w:r w:rsidRPr="006F7DAE">
        <w:rPr>
          <w:lang w:val="en-US"/>
        </w:rPr>
        <w:t xml:space="preserve">) The European Parliament in Times of EU Crises, 2019, 387 at 390 et </w:t>
      </w:r>
      <w:proofErr w:type="spellStart"/>
      <w:r w:rsidRPr="006F7DAE">
        <w:rPr>
          <w:lang w:val="en-US"/>
        </w:rPr>
        <w:t>seq</w:t>
      </w:r>
      <w:proofErr w:type="spellEnd"/>
      <w:r w:rsidRPr="006F7DAE">
        <w:rPr>
          <w:lang w:val="en-US"/>
        </w:rPr>
        <w:t>, 409.</w:t>
      </w:r>
    </w:p>
  </w:footnote>
  <w:footnote w:id="23">
    <w:p w:rsidR="009C5B86" w:rsidRPr="00B01579" w:rsidRDefault="009C5B86">
      <w:pPr>
        <w:pStyle w:val="Funotentext"/>
        <w:rPr>
          <w:lang w:val="en-US"/>
        </w:rPr>
      </w:pPr>
      <w:r>
        <w:rPr>
          <w:rStyle w:val="Funotenzeichen"/>
        </w:rPr>
        <w:footnoteRef/>
      </w:r>
      <w:r w:rsidRPr="00B01579">
        <w:rPr>
          <w:lang w:val="en-US"/>
        </w:rPr>
        <w:t xml:space="preserve"> </w:t>
      </w:r>
      <w:r w:rsidRPr="006F7DAE">
        <w:rPr>
          <w:lang w:val="en-US"/>
        </w:rPr>
        <w:t xml:space="preserve">L. </w:t>
      </w:r>
      <w:proofErr w:type="spellStart"/>
      <w:r w:rsidRPr="006F7DAE">
        <w:rPr>
          <w:lang w:val="en-US"/>
        </w:rPr>
        <w:t>Puccio</w:t>
      </w:r>
      <w:proofErr w:type="spellEnd"/>
      <w:r w:rsidRPr="006F7DAE">
        <w:rPr>
          <w:lang w:val="en-US"/>
        </w:rPr>
        <w:t>/R. Harte, in Costa (</w:t>
      </w:r>
      <w:proofErr w:type="spellStart"/>
      <w:proofErr w:type="gramStart"/>
      <w:r w:rsidRPr="006F7DAE">
        <w:rPr>
          <w:lang w:val="en-US"/>
        </w:rPr>
        <w:t>ed</w:t>
      </w:r>
      <w:proofErr w:type="spellEnd"/>
      <w:proofErr w:type="gramEnd"/>
      <w:r w:rsidRPr="006F7DAE">
        <w:rPr>
          <w:lang w:val="en-US"/>
        </w:rPr>
        <w:t xml:space="preserve">) The European Parliament in Times of EU Crises, 2019, 387 at </w:t>
      </w:r>
      <w:r>
        <w:rPr>
          <w:lang w:val="en-US"/>
        </w:rPr>
        <w:t>394 et seq.</w:t>
      </w:r>
    </w:p>
  </w:footnote>
  <w:footnote w:id="24">
    <w:p w:rsidR="009C5B86" w:rsidRPr="008C4DBD" w:rsidRDefault="009C5B86">
      <w:pPr>
        <w:pStyle w:val="Funotentext"/>
        <w:rPr>
          <w:lang w:val="en-US"/>
        </w:rPr>
      </w:pPr>
      <w:r>
        <w:rPr>
          <w:rStyle w:val="Funotenzeichen"/>
        </w:rPr>
        <w:footnoteRef/>
      </w:r>
      <w:r w:rsidRPr="008C4DBD">
        <w:rPr>
          <w:lang w:val="en-US"/>
        </w:rPr>
        <w:t xml:space="preserve"> </w:t>
      </w:r>
      <w:r>
        <w:rPr>
          <w:lang w:val="en-US"/>
        </w:rPr>
        <w:t xml:space="preserve">They consist of INTA Members, staff working for the EP, and Commission staff. See </w:t>
      </w:r>
      <w:r w:rsidRPr="006F7DAE">
        <w:rPr>
          <w:lang w:val="en-US"/>
        </w:rPr>
        <w:t xml:space="preserve">L. </w:t>
      </w:r>
      <w:proofErr w:type="spellStart"/>
      <w:r w:rsidRPr="006F7DAE">
        <w:rPr>
          <w:lang w:val="en-US"/>
        </w:rPr>
        <w:t>Puccio</w:t>
      </w:r>
      <w:proofErr w:type="spellEnd"/>
      <w:r w:rsidRPr="006F7DAE">
        <w:rPr>
          <w:lang w:val="en-US"/>
        </w:rPr>
        <w:t>/R. Harte, in Costa (</w:t>
      </w:r>
      <w:proofErr w:type="spellStart"/>
      <w:proofErr w:type="gramStart"/>
      <w:r w:rsidRPr="006F7DAE">
        <w:rPr>
          <w:lang w:val="en-US"/>
        </w:rPr>
        <w:t>ed</w:t>
      </w:r>
      <w:proofErr w:type="spellEnd"/>
      <w:proofErr w:type="gramEnd"/>
      <w:r w:rsidRPr="006F7DAE">
        <w:rPr>
          <w:lang w:val="en-US"/>
        </w:rPr>
        <w:t xml:space="preserve">) The European Parliament in Times of EU Crises, 2019, 387 at </w:t>
      </w:r>
      <w:r>
        <w:rPr>
          <w:lang w:val="en-US"/>
        </w:rPr>
        <w:t>396, 400, 408.</w:t>
      </w:r>
    </w:p>
  </w:footnote>
  <w:footnote w:id="25">
    <w:p w:rsidR="009C5B86" w:rsidRPr="00880D4C" w:rsidRDefault="009C5B86" w:rsidP="00455F55">
      <w:pPr>
        <w:pStyle w:val="Funotentext"/>
        <w:rPr>
          <w:lang w:val="en-US"/>
        </w:rPr>
      </w:pPr>
      <w:r w:rsidRPr="00880D4C">
        <w:rPr>
          <w:rStyle w:val="Funotenzeichen"/>
        </w:rPr>
        <w:footnoteRef/>
      </w:r>
      <w:r w:rsidRPr="00880D4C">
        <w:rPr>
          <w:lang w:val="en-US"/>
        </w:rPr>
        <w:t xml:space="preserve"> S</w:t>
      </w:r>
      <w:proofErr w:type="spellStart"/>
      <w:r w:rsidRPr="00880D4C">
        <w:rPr>
          <w:rFonts w:eastAsia="Times New Roman" w:cs="Times New Roman"/>
          <w:color w:val="222222"/>
          <w:lang w:val="en" w:eastAsia="de-DE"/>
        </w:rPr>
        <w:t>ee</w:t>
      </w:r>
      <w:proofErr w:type="spellEnd"/>
      <w:r w:rsidRPr="00880D4C">
        <w:rPr>
          <w:rFonts w:eastAsia="Times New Roman" w:cs="Times New Roman"/>
          <w:color w:val="222222"/>
          <w:lang w:val="en" w:eastAsia="de-DE"/>
        </w:rPr>
        <w:t xml:space="preserve"> B. </w:t>
      </w:r>
      <w:proofErr w:type="spellStart"/>
      <w:r w:rsidRPr="00880D4C">
        <w:rPr>
          <w:rFonts w:eastAsia="Times New Roman" w:cs="Times New Roman"/>
          <w:color w:val="222222"/>
          <w:lang w:val="en" w:eastAsia="de-DE"/>
        </w:rPr>
        <w:t>Martenczuk</w:t>
      </w:r>
      <w:proofErr w:type="spellEnd"/>
      <w:r w:rsidRPr="00880D4C">
        <w:rPr>
          <w:rFonts w:eastAsia="Times New Roman" w:cs="Times New Roman"/>
          <w:color w:val="222222"/>
          <w:lang w:val="en" w:eastAsia="de-DE"/>
        </w:rPr>
        <w:t xml:space="preserve">, </w:t>
      </w:r>
      <w:proofErr w:type="gramStart"/>
      <w:r w:rsidRPr="00880D4C">
        <w:rPr>
          <w:rFonts w:cs="Times New Roman"/>
          <w:color w:val="000000" w:themeColor="text1"/>
          <w:lang w:val="en-US"/>
        </w:rPr>
        <w:t>in:</w:t>
      </w:r>
      <w:proofErr w:type="gramEnd"/>
      <w:r w:rsidRPr="00880D4C">
        <w:rPr>
          <w:rFonts w:cs="Times New Roman"/>
          <w:color w:val="000000" w:themeColor="text1"/>
          <w:lang w:val="en-US"/>
        </w:rPr>
        <w:t xml:space="preserve"> </w:t>
      </w:r>
      <w:proofErr w:type="spellStart"/>
      <w:r w:rsidRPr="00880D4C">
        <w:rPr>
          <w:rFonts w:cs="Times New Roman"/>
          <w:color w:val="000000" w:themeColor="text1"/>
          <w:lang w:val="en-US"/>
        </w:rPr>
        <w:t>Kronenberger</w:t>
      </w:r>
      <w:proofErr w:type="spellEnd"/>
      <w:r w:rsidRPr="00880D4C">
        <w:rPr>
          <w:rFonts w:cs="Times New Roman"/>
          <w:color w:val="000000" w:themeColor="text1"/>
          <w:lang w:val="en-US"/>
        </w:rPr>
        <w:t xml:space="preserve"> (ed.), The EU and the International Legal Order, 2001, 141 at</w:t>
      </w:r>
      <w:r w:rsidRPr="00880D4C">
        <w:rPr>
          <w:rFonts w:eastAsia="Times New Roman" w:cs="Times New Roman"/>
          <w:color w:val="222222"/>
          <w:lang w:val="en" w:eastAsia="de-DE"/>
        </w:rPr>
        <w:t xml:space="preserve"> 150 et seq.</w:t>
      </w:r>
    </w:p>
  </w:footnote>
  <w:footnote w:id="26">
    <w:p w:rsidR="009C5B86" w:rsidRPr="006F4B52" w:rsidRDefault="009C5B86" w:rsidP="007A5E69">
      <w:pPr>
        <w:pStyle w:val="Funotentext"/>
        <w:rPr>
          <w:color w:val="FF0000"/>
          <w:lang w:val="en-US"/>
        </w:rPr>
      </w:pPr>
      <w:r w:rsidRPr="006F7DAE">
        <w:rPr>
          <w:rStyle w:val="Funotenzeichen"/>
        </w:rPr>
        <w:footnoteRef/>
      </w:r>
      <w:r w:rsidRPr="006F7DAE">
        <w:rPr>
          <w:lang w:val="en-US"/>
        </w:rPr>
        <w:t xml:space="preserve"> </w:t>
      </w:r>
      <w:proofErr w:type="spellStart"/>
      <w:r w:rsidRPr="006F7DAE">
        <w:rPr>
          <w:lang w:val="en-US"/>
        </w:rPr>
        <w:t>Hoffmeister</w:t>
      </w:r>
      <w:proofErr w:type="spellEnd"/>
      <w:r w:rsidRPr="006F7DAE">
        <w:rPr>
          <w:lang w:val="en-US"/>
        </w:rPr>
        <w:t>, The EU in the WTO – A Model for the EU´s Status in International Organizations</w:t>
      </w:r>
      <w:proofErr w:type="gramStart"/>
      <w:r w:rsidRPr="006F7DAE">
        <w:rPr>
          <w:lang w:val="en-US"/>
        </w:rPr>
        <w:t>?,</w:t>
      </w:r>
      <w:proofErr w:type="gramEnd"/>
      <w:r w:rsidRPr="006F7DAE">
        <w:rPr>
          <w:lang w:val="en-US"/>
        </w:rPr>
        <w:t xml:space="preserve"> in </w:t>
      </w:r>
      <w:proofErr w:type="spellStart"/>
      <w:r w:rsidRPr="006F7DAE">
        <w:rPr>
          <w:lang w:val="en-US"/>
        </w:rPr>
        <w:t>Kaddous</w:t>
      </w:r>
      <w:proofErr w:type="spellEnd"/>
      <w:r w:rsidRPr="006F7DAE">
        <w:rPr>
          <w:lang w:val="en-US"/>
        </w:rPr>
        <w:t xml:space="preserve"> (</w:t>
      </w:r>
      <w:proofErr w:type="spellStart"/>
      <w:r w:rsidRPr="006F7DAE">
        <w:rPr>
          <w:lang w:val="en-US"/>
        </w:rPr>
        <w:t>ed</w:t>
      </w:r>
      <w:proofErr w:type="spellEnd"/>
      <w:r w:rsidRPr="006F7DAE">
        <w:rPr>
          <w:lang w:val="en-US"/>
        </w:rPr>
        <w:t xml:space="preserve">), The EU in International </w:t>
      </w:r>
      <w:proofErr w:type="spellStart"/>
      <w:r w:rsidRPr="006F7DAE">
        <w:rPr>
          <w:lang w:val="en-US"/>
        </w:rPr>
        <w:t>Organisations</w:t>
      </w:r>
      <w:proofErr w:type="spellEnd"/>
      <w:r w:rsidRPr="006F7DAE">
        <w:rPr>
          <w:lang w:val="en-US"/>
        </w:rPr>
        <w:t xml:space="preserve"> and Global Governance, 2015,</w:t>
      </w:r>
      <w:r w:rsidRPr="006F7DAE">
        <w:rPr>
          <w:color w:val="FF0000"/>
          <w:lang w:val="en-US"/>
        </w:rPr>
        <w:t xml:space="preserve"> </w:t>
      </w:r>
      <w:r w:rsidRPr="002B5B80">
        <w:rPr>
          <w:lang w:val="en-US"/>
        </w:rPr>
        <w:t>121 at 124.</w:t>
      </w:r>
    </w:p>
  </w:footnote>
  <w:footnote w:id="27">
    <w:p w:rsidR="009C5B86" w:rsidRPr="00880D4C" w:rsidRDefault="009C5B86">
      <w:pPr>
        <w:pStyle w:val="Funotentext"/>
        <w:rPr>
          <w:lang w:val="en-US"/>
        </w:rPr>
      </w:pPr>
      <w:r w:rsidRPr="00880D4C">
        <w:rPr>
          <w:rStyle w:val="Funotenzeichen"/>
        </w:rPr>
        <w:footnoteRef/>
      </w:r>
      <w:r w:rsidRPr="00880D4C">
        <w:rPr>
          <w:lang w:val="en-US"/>
        </w:rPr>
        <w:t xml:space="preserve"> </w:t>
      </w:r>
      <w:r w:rsidRPr="00880D4C">
        <w:rPr>
          <w:rFonts w:cs="Times New Roman"/>
          <w:color w:val="222222"/>
          <w:lang w:val="en-GB"/>
        </w:rPr>
        <w:t xml:space="preserve">e.g., the CETA Joint Committee is composed of representatives of Canada and the EU, usually the </w:t>
      </w:r>
      <w:r>
        <w:rPr>
          <w:rFonts w:cs="Times New Roman"/>
          <w:color w:val="222222"/>
          <w:lang w:val="en-GB"/>
        </w:rPr>
        <w:t xml:space="preserve">Trade </w:t>
      </w:r>
      <w:r w:rsidRPr="00880D4C">
        <w:rPr>
          <w:rFonts w:cs="Times New Roman"/>
          <w:color w:val="222222"/>
          <w:lang w:val="en-GB"/>
        </w:rPr>
        <w:t>Commissioner (Art 26.1.1 CETA).</w:t>
      </w:r>
    </w:p>
  </w:footnote>
  <w:footnote w:id="28">
    <w:p w:rsidR="009C5B86" w:rsidRPr="00880D4C" w:rsidRDefault="009C5B86">
      <w:pPr>
        <w:pStyle w:val="Funotentext"/>
        <w:rPr>
          <w:lang w:val="en-US"/>
        </w:rPr>
      </w:pPr>
      <w:r w:rsidRPr="00880D4C">
        <w:rPr>
          <w:rStyle w:val="Funotenzeichen"/>
        </w:rPr>
        <w:footnoteRef/>
      </w:r>
      <w:r w:rsidRPr="00880D4C">
        <w:rPr>
          <w:lang w:val="en-US"/>
        </w:rPr>
        <w:t xml:space="preserve"> See para. 25 </w:t>
      </w:r>
      <w:proofErr w:type="spellStart"/>
      <w:r w:rsidRPr="00880D4C">
        <w:rPr>
          <w:lang w:val="en-US"/>
        </w:rPr>
        <w:t>ff</w:t>
      </w:r>
      <w:proofErr w:type="spellEnd"/>
      <w:r w:rsidRPr="00880D4C">
        <w:rPr>
          <w:lang w:val="en-US"/>
        </w:rPr>
        <w:t xml:space="preserve"> of the Framework Agreement </w:t>
      </w:r>
      <w:r w:rsidRPr="00880D4C">
        <w:rPr>
          <w:rFonts w:cs="Times New Roman"/>
          <w:lang w:val="en-US"/>
        </w:rPr>
        <w:t>on relations between the European Parliament and the European Commission</w:t>
      </w:r>
      <w:r w:rsidRPr="00880D4C">
        <w:rPr>
          <w:rFonts w:cs="Times New Roman"/>
          <w:color w:val="222222"/>
          <w:lang w:val="en"/>
        </w:rPr>
        <w:t>, 2010 OJ L 304/47</w:t>
      </w:r>
      <w:r w:rsidRPr="00880D4C">
        <w:rPr>
          <w:lang w:val="en-US"/>
        </w:rPr>
        <w:t xml:space="preserve">. </w:t>
      </w:r>
      <w:r w:rsidRPr="00880D4C">
        <w:rPr>
          <w:rFonts w:cs="Times New Roman"/>
          <w:lang w:val="en-US"/>
        </w:rPr>
        <w:t xml:space="preserve">Para. </w:t>
      </w:r>
      <w:proofErr w:type="gramStart"/>
      <w:r w:rsidRPr="00880D4C">
        <w:rPr>
          <w:rFonts w:cs="Times New Roman"/>
          <w:lang w:val="en-US"/>
        </w:rPr>
        <w:t>26 provides - with regard to multilateral as opposed to bilateral agreements - that the Commission “</w:t>
      </w:r>
      <w:r w:rsidRPr="00880D4C">
        <w:rPr>
          <w:rFonts w:cs="Times New Roman"/>
          <w:shd w:val="clear" w:color="auto" w:fill="FFFFFF"/>
          <w:lang w:val="en-US"/>
        </w:rPr>
        <w:t xml:space="preserve">facilitate access as observers for </w:t>
      </w:r>
      <w:r>
        <w:rPr>
          <w:rFonts w:cs="Times New Roman"/>
          <w:shd w:val="clear" w:color="auto" w:fill="FFFFFF"/>
          <w:lang w:val="en-US"/>
        </w:rPr>
        <w:t>[MEP]</w:t>
      </w:r>
      <w:r w:rsidRPr="00880D4C">
        <w:rPr>
          <w:rFonts w:cs="Times New Roman"/>
          <w:shd w:val="clear" w:color="auto" w:fill="FFFFFF"/>
          <w:lang w:val="en-US"/>
        </w:rPr>
        <w:t xml:space="preserve"> forming part of Union delegations</w:t>
      </w:r>
      <w:r>
        <w:rPr>
          <w:rFonts w:cs="Times New Roman"/>
          <w:shd w:val="clear" w:color="auto" w:fill="FFFFFF"/>
          <w:lang w:val="en-US"/>
        </w:rPr>
        <w:t xml:space="preserve"> </w:t>
      </w:r>
      <w:r w:rsidRPr="00880D4C">
        <w:rPr>
          <w:rFonts w:cs="Times New Roman"/>
          <w:shd w:val="clear" w:color="auto" w:fill="FFFFFF"/>
          <w:lang w:val="en-US"/>
        </w:rPr>
        <w:t>to meetings of bodies set up by multilateral international agreements involving the Union, whenever such bodies are called upon to take decisions which require the consent of Parliament or the implementation of which may require the adoption of legal acts in accordance with the ordinary legislative procedure.”</w:t>
      </w:r>
      <w:proofErr w:type="gramEnd"/>
    </w:p>
  </w:footnote>
  <w:footnote w:id="29">
    <w:p w:rsidR="009C5B86" w:rsidRPr="0077463A" w:rsidRDefault="009C5B86">
      <w:pPr>
        <w:pStyle w:val="Funotentext"/>
        <w:rPr>
          <w:lang w:val="en-US"/>
        </w:rPr>
      </w:pPr>
      <w:r w:rsidRPr="00880D4C">
        <w:rPr>
          <w:rStyle w:val="Funotenzeichen"/>
        </w:rPr>
        <w:footnoteRef/>
      </w:r>
      <w:r w:rsidRPr="00880D4C">
        <w:rPr>
          <w:lang w:val="en-US"/>
        </w:rPr>
        <w:t xml:space="preserve"> See para. </w:t>
      </w:r>
      <w:proofErr w:type="gramStart"/>
      <w:r w:rsidRPr="00880D4C">
        <w:rPr>
          <w:lang w:val="en-US"/>
        </w:rPr>
        <w:t>4</w:t>
      </w:r>
      <w:proofErr w:type="gramEnd"/>
      <w:r w:rsidRPr="00880D4C">
        <w:rPr>
          <w:lang w:val="en-US"/>
        </w:rPr>
        <w:t xml:space="preserve"> of Annex III to the Framework Agreement</w:t>
      </w:r>
      <w:r>
        <w:rPr>
          <w:lang w:val="en-US"/>
        </w:rPr>
        <w:t>.</w:t>
      </w:r>
    </w:p>
  </w:footnote>
  <w:footnote w:id="30">
    <w:p w:rsidR="009C5B86" w:rsidRPr="00231976" w:rsidRDefault="009C5B86">
      <w:pPr>
        <w:pStyle w:val="Funotentext"/>
        <w:rPr>
          <w:lang w:val="en-US"/>
        </w:rPr>
      </w:pPr>
      <w:r>
        <w:rPr>
          <w:rStyle w:val="Funotenzeichen"/>
        </w:rPr>
        <w:footnoteRef/>
      </w:r>
      <w:r w:rsidRPr="00231976">
        <w:rPr>
          <w:lang w:val="en-US"/>
        </w:rPr>
        <w:t xml:space="preserve"> </w:t>
      </w:r>
      <w:r>
        <w:rPr>
          <w:lang w:val="en-US"/>
        </w:rPr>
        <w:t xml:space="preserve">See para. </w:t>
      </w:r>
      <w:proofErr w:type="gramStart"/>
      <w:r>
        <w:rPr>
          <w:lang w:val="en-US"/>
        </w:rPr>
        <w:t>26</w:t>
      </w:r>
      <w:proofErr w:type="gramEnd"/>
      <w:r>
        <w:rPr>
          <w:lang w:val="en-US"/>
        </w:rPr>
        <w:t xml:space="preserve"> of the</w:t>
      </w:r>
      <w:r w:rsidRPr="00C40C32">
        <w:rPr>
          <w:rFonts w:cs="EUAlbertina"/>
          <w:color w:val="000000"/>
          <w:lang w:val="en-US"/>
        </w:rPr>
        <w:t xml:space="preserve"> </w:t>
      </w:r>
      <w:r w:rsidRPr="00C40C32">
        <w:rPr>
          <w:lang w:val="en-US"/>
        </w:rPr>
        <w:t>Framework Agreement</w:t>
      </w:r>
      <w:r>
        <w:rPr>
          <w:lang w:val="en-US"/>
        </w:rPr>
        <w:t>.</w:t>
      </w:r>
    </w:p>
  </w:footnote>
  <w:footnote w:id="31">
    <w:p w:rsidR="009C5B86" w:rsidRPr="00C25449" w:rsidRDefault="009C5B86">
      <w:pPr>
        <w:pStyle w:val="Funotentext"/>
        <w:rPr>
          <w:lang w:val="en-US"/>
        </w:rPr>
      </w:pPr>
      <w:r>
        <w:rPr>
          <w:rStyle w:val="Funotenzeichen"/>
        </w:rPr>
        <w:footnoteRef/>
      </w:r>
      <w:r w:rsidRPr="001F1274">
        <w:rPr>
          <w:lang w:val="en-US"/>
        </w:rPr>
        <w:t xml:space="preserve"> </w:t>
      </w:r>
      <w:r w:rsidRPr="00C25449">
        <w:rPr>
          <w:i/>
          <w:lang w:val="en-US"/>
        </w:rPr>
        <w:t>Accord</w:t>
      </w:r>
      <w:r w:rsidRPr="00C25449">
        <w:rPr>
          <w:lang w:val="en-US"/>
        </w:rPr>
        <w:t xml:space="preserve"> L. </w:t>
      </w:r>
      <w:proofErr w:type="spellStart"/>
      <w:r w:rsidRPr="00C25449">
        <w:rPr>
          <w:lang w:val="en-US"/>
        </w:rPr>
        <w:t>Puccio</w:t>
      </w:r>
      <w:proofErr w:type="spellEnd"/>
      <w:r w:rsidRPr="00C25449">
        <w:rPr>
          <w:lang w:val="en-US"/>
        </w:rPr>
        <w:t>/R. Harte, in Costa (</w:t>
      </w:r>
      <w:proofErr w:type="spellStart"/>
      <w:proofErr w:type="gramStart"/>
      <w:r w:rsidRPr="00C25449">
        <w:rPr>
          <w:lang w:val="en-US"/>
        </w:rPr>
        <w:t>ed</w:t>
      </w:r>
      <w:proofErr w:type="spellEnd"/>
      <w:proofErr w:type="gramEnd"/>
      <w:r w:rsidRPr="00C25449">
        <w:rPr>
          <w:lang w:val="en-US"/>
        </w:rPr>
        <w:t>) The European Parliament in Times of EU Crises, 2019, 387 at 396.</w:t>
      </w:r>
    </w:p>
  </w:footnote>
  <w:footnote w:id="32">
    <w:p w:rsidR="009C5B86" w:rsidRPr="00C25449" w:rsidRDefault="009C5B86" w:rsidP="00F66EDF">
      <w:pPr>
        <w:pStyle w:val="Funotentext"/>
        <w:rPr>
          <w:lang w:val="en-US"/>
        </w:rPr>
      </w:pPr>
      <w:r w:rsidRPr="00C25449">
        <w:rPr>
          <w:rStyle w:val="Funotenzeichen"/>
        </w:rPr>
        <w:footnoteRef/>
      </w:r>
      <w:r w:rsidRPr="00C25449">
        <w:rPr>
          <w:lang w:val="en-US"/>
        </w:rPr>
        <w:t xml:space="preserve"> Art. </w:t>
      </w:r>
      <w:proofErr w:type="gramStart"/>
      <w:r w:rsidRPr="00C25449">
        <w:rPr>
          <w:lang w:val="en-US"/>
        </w:rPr>
        <w:t>218</w:t>
      </w:r>
      <w:proofErr w:type="gramEnd"/>
      <w:r w:rsidRPr="00C25449">
        <w:rPr>
          <w:lang w:val="en-US"/>
        </w:rPr>
        <w:t xml:space="preserve"> (7) is a further simplification of Art. 218 (9) TFEU, see AG </w:t>
      </w:r>
      <w:proofErr w:type="spellStart"/>
      <w:r w:rsidRPr="00C25449">
        <w:rPr>
          <w:lang w:val="en-US"/>
        </w:rPr>
        <w:t>Sharpston</w:t>
      </w:r>
      <w:proofErr w:type="spellEnd"/>
      <w:r w:rsidRPr="00C25449">
        <w:rPr>
          <w:lang w:val="en-US"/>
        </w:rPr>
        <w:t>, Opinion in Case C-73/14, ECLI</w:t>
      </w:r>
      <w:proofErr w:type="gramStart"/>
      <w:r w:rsidRPr="00C25449">
        <w:rPr>
          <w:lang w:val="en-US"/>
        </w:rPr>
        <w:t>:EU:C:2015:490</w:t>
      </w:r>
      <w:proofErr w:type="gramEnd"/>
      <w:r w:rsidRPr="00C25449">
        <w:rPr>
          <w:lang w:val="en-US"/>
        </w:rPr>
        <w:t xml:space="preserve">, para. 67; AG </w:t>
      </w:r>
      <w:proofErr w:type="spellStart"/>
      <w:r w:rsidRPr="00C25449">
        <w:rPr>
          <w:lang w:val="en-US"/>
        </w:rPr>
        <w:t>Maciej</w:t>
      </w:r>
      <w:proofErr w:type="spellEnd"/>
      <w:r w:rsidRPr="00C25449">
        <w:rPr>
          <w:lang w:val="en-US"/>
        </w:rPr>
        <w:t xml:space="preserve"> </w:t>
      </w:r>
      <w:proofErr w:type="spellStart"/>
      <w:r w:rsidRPr="00C25449">
        <w:rPr>
          <w:lang w:val="en-US"/>
        </w:rPr>
        <w:t>Szpunar</w:t>
      </w:r>
      <w:proofErr w:type="spellEnd"/>
      <w:r w:rsidRPr="00C25449">
        <w:rPr>
          <w:lang w:val="en-US"/>
        </w:rPr>
        <w:t>, Opinion in Case C-600/14, ECLI</w:t>
      </w:r>
      <w:proofErr w:type="gramStart"/>
      <w:r w:rsidRPr="00C25449">
        <w:rPr>
          <w:lang w:val="en-US"/>
        </w:rPr>
        <w:t>:EU:C:2017:296</w:t>
      </w:r>
      <w:proofErr w:type="gramEnd"/>
      <w:r w:rsidRPr="00C25449">
        <w:rPr>
          <w:lang w:val="en-US"/>
        </w:rPr>
        <w:t>, para. 57.</w:t>
      </w:r>
    </w:p>
  </w:footnote>
  <w:footnote w:id="33">
    <w:p w:rsidR="009C5B86" w:rsidRPr="00C25449" w:rsidRDefault="009C5B86">
      <w:pPr>
        <w:pStyle w:val="Funotentext"/>
        <w:rPr>
          <w:lang w:val="en-US"/>
        </w:rPr>
      </w:pPr>
      <w:r w:rsidRPr="00C25449">
        <w:rPr>
          <w:rStyle w:val="Funotenzeichen"/>
        </w:rPr>
        <w:footnoteRef/>
      </w:r>
      <w:r w:rsidRPr="00C25449">
        <w:rPr>
          <w:lang w:val="en-US"/>
        </w:rPr>
        <w:t xml:space="preserve"> See e.g. Article 2 of the Council Decision 2017/38 on the provisional application of CETA, OJ 2017 L 11/1080 according to which </w:t>
      </w:r>
      <w:r w:rsidRPr="00C25449">
        <w:rPr>
          <w:rFonts w:cs="Times New Roman"/>
          <w:color w:val="222222"/>
          <w:lang w:val="en-GB"/>
        </w:rPr>
        <w:t xml:space="preserve">Article 218 (7) applies to the adoption of the CETA Joint Committee decision under Article 20.22 CETA to amend Annex 20-A. </w:t>
      </w:r>
    </w:p>
  </w:footnote>
  <w:footnote w:id="34">
    <w:p w:rsidR="009C5B86" w:rsidRPr="00C25449" w:rsidRDefault="009C5B86">
      <w:pPr>
        <w:pStyle w:val="Funotentext"/>
        <w:rPr>
          <w:lang w:val="en-US"/>
        </w:rPr>
      </w:pPr>
      <w:r w:rsidRPr="00C25449">
        <w:rPr>
          <w:rStyle w:val="Funotenzeichen"/>
        </w:rPr>
        <w:footnoteRef/>
      </w:r>
      <w:r w:rsidRPr="00C25449">
        <w:rPr>
          <w:lang w:val="en-US"/>
        </w:rPr>
        <w:t xml:space="preserve"> See Annex III, para. </w:t>
      </w:r>
      <w:proofErr w:type="gramStart"/>
      <w:r w:rsidRPr="00C25449">
        <w:rPr>
          <w:lang w:val="en-US"/>
        </w:rPr>
        <w:t>9</w:t>
      </w:r>
      <w:proofErr w:type="gramEnd"/>
      <w:r w:rsidRPr="00C25449">
        <w:rPr>
          <w:lang w:val="en-US"/>
        </w:rPr>
        <w:t xml:space="preserve"> of the Framework Agreement between Commission and EP.</w:t>
      </w:r>
    </w:p>
  </w:footnote>
  <w:footnote w:id="35">
    <w:p w:rsidR="009C5B86" w:rsidRPr="00C25449" w:rsidRDefault="009C5B86">
      <w:pPr>
        <w:pStyle w:val="Funotentext"/>
        <w:rPr>
          <w:lang w:val="en-US"/>
        </w:rPr>
      </w:pPr>
      <w:r w:rsidRPr="00C25449">
        <w:rPr>
          <w:rStyle w:val="Funotenzeichen"/>
        </w:rPr>
        <w:footnoteRef/>
      </w:r>
      <w:r w:rsidRPr="00C25449">
        <w:rPr>
          <w:lang w:val="en-US"/>
        </w:rPr>
        <w:t xml:space="preserve"> See with regard to delegation to the EU P. </w:t>
      </w:r>
      <w:proofErr w:type="spellStart"/>
      <w:r w:rsidRPr="00C25449">
        <w:rPr>
          <w:lang w:val="en-US"/>
        </w:rPr>
        <w:t>Lindseth</w:t>
      </w:r>
      <w:proofErr w:type="spellEnd"/>
      <w:r w:rsidRPr="00C25449">
        <w:rPr>
          <w:lang w:val="en-US"/>
        </w:rPr>
        <w:t xml:space="preserve">, 8 </w:t>
      </w:r>
      <w:proofErr w:type="spellStart"/>
      <w:r w:rsidRPr="00C25449">
        <w:rPr>
          <w:lang w:val="en-US"/>
        </w:rPr>
        <w:t>EUConst</w:t>
      </w:r>
      <w:proofErr w:type="spellEnd"/>
      <w:r w:rsidRPr="00C25449">
        <w:rPr>
          <w:lang w:val="en-US"/>
        </w:rPr>
        <w:t xml:space="preserve"> (2012) 153 at 156 ff. See also German Federal Constitutional Court, Judgment of 30 June 2009 (Lisbon Treaty), Case 2 </w:t>
      </w:r>
      <w:proofErr w:type="spellStart"/>
      <w:r w:rsidRPr="00C25449">
        <w:rPr>
          <w:lang w:val="en-US"/>
        </w:rPr>
        <w:t>BvE</w:t>
      </w:r>
      <w:proofErr w:type="spellEnd"/>
      <w:r w:rsidRPr="00C25449">
        <w:rPr>
          <w:lang w:val="en-US"/>
        </w:rPr>
        <w:t xml:space="preserve"> 2/08, ECLI</w:t>
      </w:r>
      <w:proofErr w:type="gramStart"/>
      <w:r w:rsidRPr="00C25449">
        <w:rPr>
          <w:lang w:val="en-US"/>
        </w:rPr>
        <w:t>:DE:BVerfG:2009:es20090630.2bve000208</w:t>
      </w:r>
      <w:proofErr w:type="gramEnd"/>
      <w:r w:rsidRPr="00C25449">
        <w:rPr>
          <w:lang w:val="en-US"/>
        </w:rPr>
        <w:t>, para. 262</w:t>
      </w:r>
      <w:r w:rsidRPr="00C25449">
        <w:rPr>
          <w:rFonts w:cs="Times New Roman"/>
          <w:color w:val="222222"/>
          <w:lang w:val="en-GB"/>
        </w:rPr>
        <w:t>.</w:t>
      </w:r>
    </w:p>
  </w:footnote>
  <w:footnote w:id="36">
    <w:p w:rsidR="009C5B86" w:rsidRPr="00F2005E" w:rsidRDefault="009C5B86" w:rsidP="00A06BBD">
      <w:pPr>
        <w:pStyle w:val="Funotentext"/>
        <w:rPr>
          <w:lang w:val="en-US"/>
        </w:rPr>
      </w:pPr>
      <w:r w:rsidRPr="00A97F74">
        <w:rPr>
          <w:rStyle w:val="Funotenzeichen"/>
        </w:rPr>
        <w:footnoteRef/>
      </w:r>
      <w:r w:rsidRPr="00A97F74">
        <w:rPr>
          <w:lang w:val="en-US"/>
        </w:rPr>
        <w:t xml:space="preserve"> </w:t>
      </w:r>
      <w:r w:rsidRPr="00F2005E">
        <w:rPr>
          <w:lang w:val="en-US"/>
        </w:rPr>
        <w:t xml:space="preserve">Art. 36 </w:t>
      </w:r>
      <w:proofErr w:type="spellStart"/>
      <w:r w:rsidRPr="00F2005E">
        <w:rPr>
          <w:lang w:val="en-US"/>
        </w:rPr>
        <w:t>ff</w:t>
      </w:r>
      <w:proofErr w:type="spellEnd"/>
      <w:r w:rsidRPr="00F2005E">
        <w:rPr>
          <w:lang w:val="en-US"/>
        </w:rPr>
        <w:t xml:space="preserve"> Additional Protocol, annexed to the Agreement establishing the Association between the European Economic Community and Turkey, OJ EC 1977 L 361/59. </w:t>
      </w:r>
    </w:p>
  </w:footnote>
  <w:footnote w:id="37">
    <w:p w:rsidR="009C5B86" w:rsidRPr="00F2005E" w:rsidRDefault="009C5B86" w:rsidP="000361E8">
      <w:pPr>
        <w:pStyle w:val="Funotentext"/>
        <w:rPr>
          <w:lang w:val="en-US"/>
        </w:rPr>
      </w:pPr>
      <w:r w:rsidRPr="00F2005E">
        <w:rPr>
          <w:rStyle w:val="Funotenzeichen"/>
        </w:rPr>
        <w:footnoteRef/>
      </w:r>
      <w:r w:rsidRPr="00F2005E">
        <w:rPr>
          <w:lang w:val="en-US"/>
        </w:rPr>
        <w:t xml:space="preserve"> C. Bradley/J. Kelly, 2008 Law and Contemporary Problems 1.</w:t>
      </w:r>
    </w:p>
  </w:footnote>
  <w:footnote w:id="38">
    <w:p w:rsidR="009C5B86" w:rsidRPr="00F2005E" w:rsidRDefault="009C5B86" w:rsidP="000361E8">
      <w:pPr>
        <w:pStyle w:val="Funotentext"/>
      </w:pPr>
      <w:r w:rsidRPr="00F2005E">
        <w:rPr>
          <w:rStyle w:val="Funotenzeichen"/>
        </w:rPr>
        <w:footnoteRef/>
      </w:r>
      <w:r w:rsidRPr="00F2005E">
        <w:t xml:space="preserve"> Art. 15.4 EU Korea FTA, OJ EU 2011 L 127, 6</w:t>
      </w:r>
    </w:p>
  </w:footnote>
  <w:footnote w:id="39">
    <w:p w:rsidR="009C5B86" w:rsidRPr="00D01023" w:rsidRDefault="009C5B86" w:rsidP="000361E8">
      <w:pPr>
        <w:pStyle w:val="Funotentext"/>
      </w:pPr>
      <w:r w:rsidRPr="00F2005E">
        <w:rPr>
          <w:rStyle w:val="Funotenzeichen"/>
        </w:rPr>
        <w:footnoteRef/>
      </w:r>
      <w:r w:rsidRPr="00D01023">
        <w:t xml:space="preserve"> Art. 2.5.4 EU Korea FTA.</w:t>
      </w:r>
    </w:p>
  </w:footnote>
  <w:footnote w:id="40">
    <w:p w:rsidR="009C5B86" w:rsidRPr="00D01023" w:rsidRDefault="009C5B86" w:rsidP="000361E8">
      <w:pPr>
        <w:pStyle w:val="Funotentext"/>
      </w:pPr>
      <w:r w:rsidRPr="00F2005E">
        <w:rPr>
          <w:rStyle w:val="Funotenzeichen"/>
        </w:rPr>
        <w:footnoteRef/>
      </w:r>
      <w:r w:rsidRPr="00D01023">
        <w:t xml:space="preserve"> Art. 15.5.2 EU Korea FTA </w:t>
      </w:r>
      <w:proofErr w:type="spellStart"/>
      <w:r w:rsidRPr="00D01023">
        <w:t>regarding</w:t>
      </w:r>
      <w:proofErr w:type="spellEnd"/>
      <w:r w:rsidRPr="00D01023">
        <w:t xml:space="preserve"> </w:t>
      </w:r>
      <w:r w:rsidRPr="00D01023">
        <w:rPr>
          <w:rFonts w:cs="Times New Roman"/>
          <w:color w:val="222222"/>
        </w:rPr>
        <w:t xml:space="preserve">Annexes, </w:t>
      </w:r>
      <w:proofErr w:type="spellStart"/>
      <w:r w:rsidRPr="00D01023">
        <w:rPr>
          <w:rFonts w:cs="Times New Roman"/>
          <w:color w:val="222222"/>
        </w:rPr>
        <w:t>Protocols</w:t>
      </w:r>
      <w:proofErr w:type="spellEnd"/>
      <w:r w:rsidRPr="00D01023">
        <w:rPr>
          <w:rFonts w:cs="Times New Roman"/>
          <w:color w:val="222222"/>
        </w:rPr>
        <w:t xml:space="preserve"> </w:t>
      </w:r>
      <w:proofErr w:type="spellStart"/>
      <w:r w:rsidRPr="00D01023">
        <w:rPr>
          <w:rFonts w:cs="Times New Roman"/>
          <w:color w:val="222222"/>
        </w:rPr>
        <w:t>and</w:t>
      </w:r>
      <w:proofErr w:type="spellEnd"/>
      <w:r w:rsidRPr="00D01023">
        <w:rPr>
          <w:rFonts w:cs="Times New Roman"/>
          <w:color w:val="222222"/>
        </w:rPr>
        <w:t xml:space="preserve"> Notes; Art. 15.1.4 d) on </w:t>
      </w:r>
      <w:proofErr w:type="spellStart"/>
      <w:r w:rsidRPr="00D01023">
        <w:rPr>
          <w:rFonts w:cs="Times New Roman"/>
          <w:color w:val="222222"/>
        </w:rPr>
        <w:t>binding</w:t>
      </w:r>
      <w:proofErr w:type="spellEnd"/>
      <w:r w:rsidRPr="00D01023">
        <w:rPr>
          <w:rFonts w:cs="Times New Roman"/>
          <w:color w:val="222222"/>
        </w:rPr>
        <w:t xml:space="preserve"> </w:t>
      </w:r>
      <w:proofErr w:type="spellStart"/>
      <w:r w:rsidRPr="00D01023">
        <w:rPr>
          <w:rFonts w:cs="Times New Roman"/>
          <w:color w:val="222222"/>
        </w:rPr>
        <w:t>interpretations</w:t>
      </w:r>
      <w:proofErr w:type="spellEnd"/>
      <w:r w:rsidRPr="00D01023">
        <w:t xml:space="preserve">. </w:t>
      </w:r>
    </w:p>
  </w:footnote>
  <w:footnote w:id="41">
    <w:p w:rsidR="009C5B86" w:rsidRPr="00D01023" w:rsidRDefault="009C5B86">
      <w:pPr>
        <w:pStyle w:val="Funotentext"/>
      </w:pPr>
      <w:r w:rsidRPr="00F2005E">
        <w:rPr>
          <w:rStyle w:val="Funotenzeichen"/>
        </w:rPr>
        <w:footnoteRef/>
      </w:r>
      <w:r w:rsidRPr="00D01023">
        <w:t xml:space="preserve"> </w:t>
      </w:r>
      <w:r w:rsidRPr="00D01023">
        <w:rPr>
          <w:rFonts w:cs="Times New Roman"/>
        </w:rPr>
        <w:t xml:space="preserve">Art 26.1 ff CETA; Art 16.1 ff EUSFTA; Art 22.1 ff JEFTA. </w:t>
      </w:r>
    </w:p>
  </w:footnote>
  <w:footnote w:id="42">
    <w:p w:rsidR="009C5B86" w:rsidRPr="00F2005E" w:rsidRDefault="009C5B86">
      <w:pPr>
        <w:pStyle w:val="Funotentext"/>
        <w:rPr>
          <w:lang w:val="en-US"/>
        </w:rPr>
      </w:pPr>
      <w:r w:rsidRPr="00F2005E">
        <w:rPr>
          <w:rStyle w:val="Funotenzeichen"/>
        </w:rPr>
        <w:footnoteRef/>
      </w:r>
      <w:r w:rsidRPr="00F2005E">
        <w:rPr>
          <w:lang w:val="en-US"/>
        </w:rPr>
        <w:t xml:space="preserve"> Art 21.7</w:t>
      </w:r>
      <w:r>
        <w:rPr>
          <w:lang w:val="en-US"/>
        </w:rPr>
        <w:t xml:space="preserve"> (5)</w:t>
      </w:r>
      <w:r w:rsidRPr="00F2005E">
        <w:rPr>
          <w:lang w:val="en-US"/>
        </w:rPr>
        <w:t xml:space="preserve"> CETA</w:t>
      </w:r>
      <w:r>
        <w:rPr>
          <w:lang w:val="en-US"/>
        </w:rPr>
        <w:t>:</w:t>
      </w:r>
      <w:r w:rsidRPr="00F2005E">
        <w:rPr>
          <w:lang w:val="en-US"/>
        </w:rPr>
        <w:t xml:space="preserve"> </w:t>
      </w:r>
      <w:r>
        <w:rPr>
          <w:lang w:val="en-US"/>
        </w:rPr>
        <w:t xml:space="preserve">the </w:t>
      </w:r>
      <w:r w:rsidRPr="00F2005E">
        <w:rPr>
          <w:lang w:val="en-US"/>
        </w:rPr>
        <w:t xml:space="preserve">Committee on Trade in Goods </w:t>
      </w:r>
      <w:r>
        <w:rPr>
          <w:lang w:val="en-US"/>
        </w:rPr>
        <w:t>can</w:t>
      </w:r>
      <w:r w:rsidRPr="00F2005E">
        <w:rPr>
          <w:lang w:val="en-US"/>
        </w:rPr>
        <w:t xml:space="preserve"> endorse implementation measures for the mutual exchange of product warnings between EU and Canada which enable the Committee to set common standards including on protecting personal data and business secrets.</w:t>
      </w:r>
    </w:p>
  </w:footnote>
  <w:footnote w:id="43">
    <w:p w:rsidR="009C5B86" w:rsidRPr="004705D8" w:rsidRDefault="009C5B86">
      <w:pPr>
        <w:pStyle w:val="Funotentext"/>
        <w:rPr>
          <w:lang w:val="en-US"/>
        </w:rPr>
      </w:pPr>
      <w:r w:rsidRPr="00F2005E">
        <w:rPr>
          <w:rStyle w:val="Funotenzeichen"/>
        </w:rPr>
        <w:footnoteRef/>
      </w:r>
      <w:r w:rsidRPr="00F2005E">
        <w:rPr>
          <w:lang w:val="en-US"/>
        </w:rPr>
        <w:t xml:space="preserve"> </w:t>
      </w:r>
      <w:r w:rsidRPr="004705D8">
        <w:rPr>
          <w:rFonts w:cs="Times New Roman"/>
          <w:lang w:val="en-GB"/>
        </w:rPr>
        <w:t xml:space="preserve">Art. </w:t>
      </w:r>
      <w:proofErr w:type="gramStart"/>
      <w:r w:rsidRPr="004705D8">
        <w:rPr>
          <w:rFonts w:cs="Times New Roman"/>
          <w:lang w:val="en-GB"/>
        </w:rPr>
        <w:t>8.28</w:t>
      </w:r>
      <w:proofErr w:type="gramEnd"/>
      <w:r>
        <w:rPr>
          <w:rFonts w:cs="Times New Roman"/>
          <w:lang w:val="en-GB"/>
        </w:rPr>
        <w:t xml:space="preserve"> (7)</w:t>
      </w:r>
      <w:r w:rsidRPr="004705D8">
        <w:rPr>
          <w:rFonts w:cs="Times New Roman"/>
          <w:lang w:val="en-GB"/>
        </w:rPr>
        <w:t xml:space="preserve"> CETA.</w:t>
      </w:r>
    </w:p>
  </w:footnote>
  <w:footnote w:id="44">
    <w:p w:rsidR="009C5B86" w:rsidRPr="00F2005E" w:rsidRDefault="009C5B86" w:rsidP="009E543A">
      <w:pPr>
        <w:pStyle w:val="Funotentext"/>
        <w:rPr>
          <w:rFonts w:cs="Times New Roman"/>
          <w:lang w:val="en-US"/>
        </w:rPr>
      </w:pPr>
      <w:r w:rsidRPr="00F2005E">
        <w:rPr>
          <w:rStyle w:val="Funotenzeichen"/>
        </w:rPr>
        <w:footnoteRef/>
      </w:r>
      <w:r w:rsidRPr="00F2005E">
        <w:rPr>
          <w:lang w:val="en-US"/>
        </w:rPr>
        <w:t xml:space="preserve"> </w:t>
      </w:r>
      <w:r w:rsidRPr="00F15154">
        <w:rPr>
          <w:rFonts w:cs="Times New Roman"/>
          <w:lang w:val="en-GB"/>
        </w:rPr>
        <w:t>Art. 8.44</w:t>
      </w:r>
      <w:r>
        <w:rPr>
          <w:rFonts w:cs="Times New Roman"/>
          <w:lang w:val="en-GB"/>
        </w:rPr>
        <w:t xml:space="preserve"> (2)</w:t>
      </w:r>
      <w:r w:rsidRPr="00F15154">
        <w:rPr>
          <w:rFonts w:cs="Times New Roman"/>
          <w:lang w:val="en-GB"/>
        </w:rPr>
        <w:t xml:space="preserve"> and 8.44</w:t>
      </w:r>
      <w:r>
        <w:rPr>
          <w:rFonts w:cs="Times New Roman"/>
          <w:lang w:val="en-GB"/>
        </w:rPr>
        <w:t xml:space="preserve"> (</w:t>
      </w:r>
      <w:proofErr w:type="gramStart"/>
      <w:r w:rsidRPr="00F15154">
        <w:rPr>
          <w:rFonts w:cs="Times New Roman"/>
          <w:lang w:val="en-GB"/>
        </w:rPr>
        <w:t>3</w:t>
      </w:r>
      <w:proofErr w:type="gramEnd"/>
      <w:r w:rsidRPr="00F15154">
        <w:rPr>
          <w:rFonts w:cs="Times New Roman"/>
          <w:lang w:val="en-GB"/>
        </w:rPr>
        <w:t xml:space="preserve"> b) CETA</w:t>
      </w:r>
      <w:r w:rsidRPr="00F2005E">
        <w:rPr>
          <w:rFonts w:cs="Times New Roman"/>
          <w:color w:val="222222"/>
          <w:lang w:val="en"/>
        </w:rPr>
        <w:t>.</w:t>
      </w:r>
    </w:p>
  </w:footnote>
  <w:footnote w:id="45">
    <w:p w:rsidR="009C5B86" w:rsidRPr="00F2005E" w:rsidRDefault="009C5B86" w:rsidP="009E543A">
      <w:pPr>
        <w:pStyle w:val="Funotentext"/>
        <w:rPr>
          <w:rFonts w:cs="Times New Roman"/>
          <w:lang w:val="en-US"/>
        </w:rPr>
      </w:pPr>
      <w:r w:rsidRPr="00F2005E">
        <w:rPr>
          <w:rStyle w:val="Funotenzeichen"/>
          <w:rFonts w:cs="Times New Roman"/>
        </w:rPr>
        <w:footnoteRef/>
      </w:r>
      <w:r w:rsidRPr="00F2005E">
        <w:rPr>
          <w:rFonts w:cs="Times New Roman"/>
          <w:lang w:val="en-US"/>
        </w:rPr>
        <w:t xml:space="preserve"> See, e.g. </w:t>
      </w:r>
      <w:r w:rsidRPr="00F2005E">
        <w:rPr>
          <w:rFonts w:cs="Times New Roman"/>
          <w:color w:val="222222"/>
          <w:lang w:val="en"/>
        </w:rPr>
        <w:t xml:space="preserve">Art. </w:t>
      </w:r>
      <w:proofErr w:type="gramStart"/>
      <w:r w:rsidRPr="00F2005E">
        <w:rPr>
          <w:rFonts w:cs="Times New Roman"/>
          <w:color w:val="222222"/>
          <w:lang w:val="en"/>
        </w:rPr>
        <w:t>8.1</w:t>
      </w:r>
      <w:proofErr w:type="gramEnd"/>
      <w:r w:rsidRPr="00F2005E">
        <w:rPr>
          <w:rFonts w:cs="Times New Roman"/>
          <w:color w:val="222222"/>
          <w:lang w:val="en"/>
        </w:rPr>
        <w:t xml:space="preserve">, Art. </w:t>
      </w:r>
      <w:proofErr w:type="gramStart"/>
      <w:r w:rsidRPr="00F2005E">
        <w:rPr>
          <w:rFonts w:cs="Times New Roman"/>
          <w:color w:val="222222"/>
          <w:lang w:val="en"/>
        </w:rPr>
        <w:t>8.10</w:t>
      </w:r>
      <w:proofErr w:type="gramEnd"/>
      <w:r>
        <w:rPr>
          <w:rFonts w:cs="Times New Roman"/>
          <w:color w:val="222222"/>
          <w:lang w:val="en"/>
        </w:rPr>
        <w:t xml:space="preserve"> (</w:t>
      </w:r>
      <w:r w:rsidRPr="00F2005E">
        <w:rPr>
          <w:rFonts w:cs="Times New Roman"/>
          <w:color w:val="222222"/>
          <w:lang w:val="en"/>
        </w:rPr>
        <w:t>3</w:t>
      </w:r>
      <w:r>
        <w:rPr>
          <w:rFonts w:cs="Times New Roman"/>
          <w:color w:val="222222"/>
          <w:lang w:val="en"/>
        </w:rPr>
        <w:t>)</w:t>
      </w:r>
      <w:r w:rsidRPr="00F2005E">
        <w:rPr>
          <w:rFonts w:cs="Times New Roman"/>
          <w:color w:val="222222"/>
          <w:lang w:val="en"/>
        </w:rPr>
        <w:t>, Art. 2.13</w:t>
      </w:r>
      <w:r>
        <w:rPr>
          <w:rFonts w:cs="Times New Roman"/>
          <w:color w:val="222222"/>
          <w:lang w:val="en"/>
        </w:rPr>
        <w:t xml:space="preserve"> (</w:t>
      </w:r>
      <w:proofErr w:type="gramStart"/>
      <w:r w:rsidRPr="00F2005E">
        <w:rPr>
          <w:rFonts w:cs="Times New Roman"/>
          <w:color w:val="222222"/>
          <w:lang w:val="en"/>
        </w:rPr>
        <w:t>1</w:t>
      </w:r>
      <w:proofErr w:type="gramEnd"/>
      <w:r w:rsidRPr="00F2005E">
        <w:rPr>
          <w:rFonts w:cs="Times New Roman"/>
          <w:color w:val="222222"/>
          <w:lang w:val="en"/>
        </w:rPr>
        <w:t xml:space="preserve"> b), Art. 4.7</w:t>
      </w:r>
      <w:r>
        <w:rPr>
          <w:rFonts w:cs="Times New Roman"/>
          <w:color w:val="222222"/>
          <w:lang w:val="en"/>
        </w:rPr>
        <w:t xml:space="preserve"> (</w:t>
      </w:r>
      <w:proofErr w:type="gramStart"/>
      <w:r>
        <w:rPr>
          <w:rFonts w:cs="Times New Roman"/>
          <w:color w:val="222222"/>
          <w:lang w:val="en"/>
        </w:rPr>
        <w:t>1</w:t>
      </w:r>
      <w:proofErr w:type="gramEnd"/>
      <w:r w:rsidRPr="00F2005E">
        <w:rPr>
          <w:rFonts w:cs="Times New Roman"/>
          <w:color w:val="222222"/>
          <w:lang w:val="en"/>
        </w:rPr>
        <w:t xml:space="preserve"> f</w:t>
      </w:r>
      <w:r>
        <w:rPr>
          <w:rFonts w:cs="Times New Roman"/>
          <w:color w:val="222222"/>
          <w:lang w:val="en"/>
        </w:rPr>
        <w:t>)</w:t>
      </w:r>
      <w:r w:rsidRPr="00F2005E">
        <w:rPr>
          <w:rFonts w:cs="Times New Roman"/>
          <w:color w:val="222222"/>
          <w:lang w:val="en"/>
        </w:rPr>
        <w:t xml:space="preserve"> </w:t>
      </w:r>
      <w:proofErr w:type="spellStart"/>
      <w:r w:rsidRPr="00F2005E">
        <w:rPr>
          <w:rFonts w:cs="Times New Roman"/>
          <w:color w:val="222222"/>
          <w:lang w:val="en"/>
        </w:rPr>
        <w:t>i.c.w</w:t>
      </w:r>
      <w:proofErr w:type="spellEnd"/>
      <w:r w:rsidRPr="00F2005E">
        <w:rPr>
          <w:rFonts w:cs="Times New Roman"/>
          <w:color w:val="222222"/>
          <w:lang w:val="en"/>
        </w:rPr>
        <w:t xml:space="preserve">. Art. </w:t>
      </w:r>
      <w:proofErr w:type="gramStart"/>
      <w:r w:rsidRPr="00F2005E">
        <w:rPr>
          <w:rFonts w:cs="Times New Roman"/>
          <w:color w:val="222222"/>
          <w:lang w:val="en"/>
        </w:rPr>
        <w:t>26.1</w:t>
      </w:r>
      <w:proofErr w:type="gramEnd"/>
      <w:r>
        <w:rPr>
          <w:rFonts w:cs="Times New Roman"/>
          <w:color w:val="222222"/>
          <w:lang w:val="en"/>
        </w:rPr>
        <w:t xml:space="preserve"> (</w:t>
      </w:r>
      <w:r w:rsidRPr="00F2005E">
        <w:rPr>
          <w:rFonts w:cs="Times New Roman"/>
          <w:color w:val="222222"/>
          <w:lang w:val="en"/>
        </w:rPr>
        <w:t xml:space="preserve">5 c), Art. </w:t>
      </w:r>
      <w:proofErr w:type="gramStart"/>
      <w:r w:rsidRPr="00F2005E">
        <w:rPr>
          <w:rFonts w:cs="Times New Roman"/>
          <w:color w:val="222222"/>
          <w:lang w:val="en"/>
        </w:rPr>
        <w:t>23.11</w:t>
      </w:r>
      <w:proofErr w:type="gramEnd"/>
      <w:r>
        <w:rPr>
          <w:rFonts w:cs="Times New Roman"/>
          <w:color w:val="222222"/>
          <w:lang w:val="en"/>
        </w:rPr>
        <w:t xml:space="preserve"> (</w:t>
      </w:r>
      <w:r w:rsidRPr="00F2005E">
        <w:rPr>
          <w:rFonts w:cs="Times New Roman"/>
          <w:color w:val="222222"/>
          <w:lang w:val="en"/>
        </w:rPr>
        <w:t>5</w:t>
      </w:r>
      <w:r>
        <w:rPr>
          <w:rFonts w:cs="Times New Roman"/>
          <w:color w:val="222222"/>
          <w:lang w:val="en"/>
        </w:rPr>
        <w:t>)</w:t>
      </w:r>
      <w:r w:rsidRPr="00F2005E">
        <w:rPr>
          <w:rFonts w:cs="Times New Roman"/>
          <w:color w:val="222222"/>
          <w:lang w:val="en"/>
        </w:rPr>
        <w:t xml:space="preserve">, Art. </w:t>
      </w:r>
      <w:proofErr w:type="gramStart"/>
      <w:r w:rsidRPr="00F2005E">
        <w:rPr>
          <w:rFonts w:cs="Times New Roman"/>
          <w:color w:val="222222"/>
          <w:lang w:val="en"/>
        </w:rPr>
        <w:t>20.22</w:t>
      </w:r>
      <w:proofErr w:type="gramEnd"/>
      <w:r>
        <w:rPr>
          <w:rFonts w:cs="Times New Roman"/>
          <w:color w:val="222222"/>
          <w:lang w:val="en"/>
        </w:rPr>
        <w:t xml:space="preserve"> (</w:t>
      </w:r>
      <w:r w:rsidRPr="00F2005E">
        <w:rPr>
          <w:rFonts w:cs="Times New Roman"/>
          <w:color w:val="222222"/>
          <w:lang w:val="en"/>
        </w:rPr>
        <w:t>1</w:t>
      </w:r>
      <w:r>
        <w:rPr>
          <w:rFonts w:cs="Times New Roman"/>
          <w:color w:val="222222"/>
          <w:lang w:val="en"/>
        </w:rPr>
        <w:t>)</w:t>
      </w:r>
      <w:r w:rsidRPr="00F2005E">
        <w:rPr>
          <w:rFonts w:cs="Times New Roman"/>
          <w:color w:val="222222"/>
          <w:lang w:val="en"/>
        </w:rPr>
        <w:t xml:space="preserve"> </w:t>
      </w:r>
      <w:proofErr w:type="spellStart"/>
      <w:r w:rsidRPr="00F2005E">
        <w:rPr>
          <w:rFonts w:cs="Times New Roman"/>
          <w:color w:val="222222"/>
          <w:lang w:val="en"/>
        </w:rPr>
        <w:t>i.c.w</w:t>
      </w:r>
      <w:proofErr w:type="spellEnd"/>
      <w:r w:rsidRPr="00F2005E">
        <w:rPr>
          <w:rFonts w:cs="Times New Roman"/>
          <w:color w:val="222222"/>
          <w:lang w:val="en"/>
        </w:rPr>
        <w:t xml:space="preserve">. Art. </w:t>
      </w:r>
      <w:proofErr w:type="gramStart"/>
      <w:r w:rsidRPr="00F2005E">
        <w:rPr>
          <w:rFonts w:cs="Times New Roman"/>
          <w:color w:val="222222"/>
          <w:lang w:val="en"/>
        </w:rPr>
        <w:t>26.1</w:t>
      </w:r>
      <w:proofErr w:type="gramEnd"/>
      <w:r>
        <w:rPr>
          <w:rFonts w:cs="Times New Roman"/>
          <w:color w:val="222222"/>
          <w:lang w:val="en"/>
        </w:rPr>
        <w:t xml:space="preserve"> (</w:t>
      </w:r>
      <w:r w:rsidRPr="00F2005E">
        <w:rPr>
          <w:rFonts w:cs="Times New Roman"/>
          <w:color w:val="222222"/>
          <w:lang w:val="en"/>
        </w:rPr>
        <w:t>5 c)</w:t>
      </w:r>
      <w:r>
        <w:rPr>
          <w:rFonts w:cs="Times New Roman"/>
          <w:color w:val="222222"/>
          <w:lang w:val="en"/>
        </w:rPr>
        <w:t xml:space="preserve"> CETA</w:t>
      </w:r>
      <w:r w:rsidRPr="00F2005E">
        <w:rPr>
          <w:rFonts w:cs="Times New Roman"/>
          <w:color w:val="222222"/>
          <w:lang w:val="en"/>
        </w:rPr>
        <w:t xml:space="preserve">. </w:t>
      </w:r>
    </w:p>
  </w:footnote>
  <w:footnote w:id="46">
    <w:p w:rsidR="009C5B86" w:rsidRPr="00F15154" w:rsidRDefault="009C5B86">
      <w:pPr>
        <w:pStyle w:val="Funotentext"/>
        <w:rPr>
          <w:lang w:val="en-US"/>
        </w:rPr>
      </w:pPr>
      <w:r w:rsidRPr="00F2005E">
        <w:rPr>
          <w:rStyle w:val="Funotenzeichen"/>
        </w:rPr>
        <w:footnoteRef/>
      </w:r>
      <w:r w:rsidRPr="00F2005E">
        <w:rPr>
          <w:lang w:val="en-US"/>
        </w:rPr>
        <w:t xml:space="preserve"> </w:t>
      </w:r>
      <w:r w:rsidRPr="00F15154">
        <w:rPr>
          <w:rFonts w:cs="Times New Roman"/>
          <w:lang w:val="en-GB"/>
        </w:rPr>
        <w:t>Art. 8.31 (3), 8.44 (3), 26.1 (</w:t>
      </w:r>
      <w:proofErr w:type="gramStart"/>
      <w:r w:rsidRPr="00F15154">
        <w:rPr>
          <w:rFonts w:cs="Times New Roman"/>
          <w:lang w:val="en-GB"/>
        </w:rPr>
        <w:t>5</w:t>
      </w:r>
      <w:proofErr w:type="gramEnd"/>
      <w:r w:rsidRPr="00F15154">
        <w:rPr>
          <w:rFonts w:cs="Times New Roman"/>
          <w:lang w:val="en-GB"/>
        </w:rPr>
        <w:t xml:space="preserve"> e) CETA.</w:t>
      </w:r>
    </w:p>
  </w:footnote>
  <w:footnote w:id="47">
    <w:p w:rsidR="009C5B86" w:rsidRPr="00F2005E" w:rsidRDefault="009C5B86">
      <w:pPr>
        <w:pStyle w:val="Funotentext"/>
        <w:rPr>
          <w:lang w:val="en-US"/>
        </w:rPr>
      </w:pPr>
      <w:r w:rsidRPr="00F2005E">
        <w:rPr>
          <w:rStyle w:val="Funotenzeichen"/>
        </w:rPr>
        <w:footnoteRef/>
      </w:r>
      <w:r w:rsidRPr="00F2005E">
        <w:rPr>
          <w:lang w:val="en-US"/>
        </w:rPr>
        <w:t xml:space="preserve"> See e.g. </w:t>
      </w:r>
      <w:r w:rsidRPr="00F15154">
        <w:rPr>
          <w:rFonts w:cs="Times New Roman"/>
          <w:lang w:val="en-GB"/>
        </w:rPr>
        <w:t>Art 26.1 (</w:t>
      </w:r>
      <w:proofErr w:type="gramStart"/>
      <w:r w:rsidRPr="00F15154">
        <w:rPr>
          <w:rFonts w:cs="Times New Roman"/>
          <w:lang w:val="en-GB"/>
        </w:rPr>
        <w:t>5</w:t>
      </w:r>
      <w:proofErr w:type="gramEnd"/>
      <w:r w:rsidRPr="00F15154">
        <w:rPr>
          <w:rFonts w:cs="Times New Roman"/>
          <w:lang w:val="en-GB"/>
        </w:rPr>
        <w:t xml:space="preserve"> a), g) and h) CETA.</w:t>
      </w:r>
    </w:p>
  </w:footnote>
  <w:footnote w:id="48">
    <w:p w:rsidR="009C5B86" w:rsidRPr="00F2005E" w:rsidRDefault="009C5B86" w:rsidP="00880073">
      <w:pPr>
        <w:autoSpaceDE w:val="0"/>
        <w:autoSpaceDN w:val="0"/>
        <w:adjustRightInd w:val="0"/>
        <w:spacing w:after="0" w:line="240" w:lineRule="auto"/>
        <w:rPr>
          <w:sz w:val="20"/>
          <w:szCs w:val="20"/>
          <w:lang w:val="en-US"/>
        </w:rPr>
      </w:pPr>
      <w:r w:rsidRPr="00F2005E">
        <w:rPr>
          <w:rStyle w:val="Funotenzeichen"/>
          <w:sz w:val="20"/>
          <w:szCs w:val="20"/>
        </w:rPr>
        <w:footnoteRef/>
      </w:r>
      <w:r w:rsidRPr="00F2005E">
        <w:rPr>
          <w:sz w:val="20"/>
          <w:szCs w:val="20"/>
          <w:lang w:val="en-US"/>
        </w:rPr>
        <w:t xml:space="preserve"> Under </w:t>
      </w:r>
      <w:r w:rsidRPr="00F2005E">
        <w:rPr>
          <w:rFonts w:cs="AdvOT635f2c37"/>
          <w:sz w:val="20"/>
          <w:szCs w:val="20"/>
          <w:lang w:val="en-US"/>
        </w:rPr>
        <w:t xml:space="preserve">Art. </w:t>
      </w:r>
      <w:proofErr w:type="gramStart"/>
      <w:r w:rsidRPr="00F2005E">
        <w:rPr>
          <w:rFonts w:cs="AdvOT635f2c37"/>
          <w:sz w:val="20"/>
          <w:szCs w:val="20"/>
          <w:lang w:val="en-US"/>
        </w:rPr>
        <w:t>6.14</w:t>
      </w:r>
      <w:proofErr w:type="gramEnd"/>
      <w:r>
        <w:rPr>
          <w:rFonts w:cs="AdvOT635f2c37"/>
          <w:sz w:val="20"/>
          <w:szCs w:val="20"/>
          <w:lang w:val="en-US"/>
        </w:rPr>
        <w:t xml:space="preserve"> (</w:t>
      </w:r>
      <w:r w:rsidRPr="00F2005E">
        <w:rPr>
          <w:rFonts w:cs="AdvOT635f2c37"/>
          <w:sz w:val="20"/>
          <w:szCs w:val="20"/>
          <w:lang w:val="en-US"/>
        </w:rPr>
        <w:t>4</w:t>
      </w:r>
      <w:r>
        <w:rPr>
          <w:rFonts w:cs="AdvOT635f2c37"/>
          <w:sz w:val="20"/>
          <w:szCs w:val="20"/>
          <w:lang w:val="en-US"/>
        </w:rPr>
        <w:t>)</w:t>
      </w:r>
      <w:r w:rsidRPr="00F2005E">
        <w:rPr>
          <w:rFonts w:cs="AdvOT635f2c37"/>
          <w:sz w:val="20"/>
          <w:szCs w:val="20"/>
          <w:lang w:val="en-US"/>
        </w:rPr>
        <w:t xml:space="preserve"> </w:t>
      </w:r>
      <w:proofErr w:type="spellStart"/>
      <w:r w:rsidRPr="00F2005E">
        <w:rPr>
          <w:rFonts w:cs="AdvOT635f2c37"/>
          <w:sz w:val="20"/>
          <w:szCs w:val="20"/>
          <w:lang w:val="en-US"/>
        </w:rPr>
        <w:t>i.c.w</w:t>
      </w:r>
      <w:proofErr w:type="spellEnd"/>
      <w:r w:rsidRPr="00F2005E">
        <w:rPr>
          <w:rFonts w:cs="AdvOT635f2c37"/>
          <w:sz w:val="20"/>
          <w:szCs w:val="20"/>
          <w:lang w:val="en-US"/>
        </w:rPr>
        <w:t xml:space="preserve">. Art. </w:t>
      </w:r>
      <w:proofErr w:type="gramStart"/>
      <w:r w:rsidRPr="00F2005E">
        <w:rPr>
          <w:rFonts w:cs="AdvOT635f2c37"/>
          <w:sz w:val="20"/>
          <w:szCs w:val="20"/>
          <w:lang w:val="en-US"/>
        </w:rPr>
        <w:t>2.8</w:t>
      </w:r>
      <w:proofErr w:type="gramEnd"/>
      <w:r>
        <w:rPr>
          <w:rFonts w:cs="AdvOT635f2c37"/>
          <w:sz w:val="20"/>
          <w:szCs w:val="20"/>
          <w:lang w:val="en-US"/>
        </w:rPr>
        <w:t xml:space="preserve"> (</w:t>
      </w:r>
      <w:r w:rsidRPr="00F2005E">
        <w:rPr>
          <w:rFonts w:cs="AdvOT635f2c37"/>
          <w:sz w:val="20"/>
          <w:szCs w:val="20"/>
          <w:lang w:val="en-US"/>
        </w:rPr>
        <w:t>4</w:t>
      </w:r>
      <w:r>
        <w:rPr>
          <w:rFonts w:cs="AdvOT635f2c37"/>
          <w:sz w:val="20"/>
          <w:szCs w:val="20"/>
          <w:lang w:val="en-US"/>
        </w:rPr>
        <w:t>)</w:t>
      </w:r>
      <w:r w:rsidRPr="00F2005E">
        <w:rPr>
          <w:rFonts w:cs="AdvOT635f2c37"/>
          <w:sz w:val="20"/>
          <w:szCs w:val="20"/>
          <w:lang w:val="en-US"/>
        </w:rPr>
        <w:t xml:space="preserve"> CETA, the Customs Cooperation Committee can resolve customs issues.</w:t>
      </w:r>
    </w:p>
  </w:footnote>
  <w:footnote w:id="49">
    <w:p w:rsidR="009C5B86" w:rsidRPr="00F2005E" w:rsidRDefault="009C5B86">
      <w:pPr>
        <w:pStyle w:val="Funotentext"/>
        <w:rPr>
          <w:lang w:val="en-US"/>
        </w:rPr>
      </w:pPr>
      <w:r w:rsidRPr="00F2005E">
        <w:rPr>
          <w:rStyle w:val="Funotenzeichen"/>
        </w:rPr>
        <w:footnoteRef/>
      </w:r>
      <w:r w:rsidRPr="00F2005E">
        <w:rPr>
          <w:lang w:val="en-US"/>
        </w:rPr>
        <w:t xml:space="preserve"> </w:t>
      </w:r>
      <w:r w:rsidRPr="00AA0708">
        <w:rPr>
          <w:rFonts w:cs="Times New Roman"/>
          <w:lang w:val="en-GB"/>
        </w:rPr>
        <w:t>E.g. Art 26.1 CETA.</w:t>
      </w:r>
    </w:p>
  </w:footnote>
  <w:footnote w:id="50">
    <w:p w:rsidR="009C5B86" w:rsidRPr="00F2005E" w:rsidRDefault="009C5B86" w:rsidP="00C639C1">
      <w:pPr>
        <w:pStyle w:val="Funotentext"/>
        <w:rPr>
          <w:lang w:val="en-US"/>
        </w:rPr>
      </w:pPr>
      <w:r w:rsidRPr="00F2005E">
        <w:rPr>
          <w:rStyle w:val="Funotenzeichen"/>
        </w:rPr>
        <w:footnoteRef/>
      </w:r>
      <w:r w:rsidRPr="00F2005E">
        <w:rPr>
          <w:lang w:val="en-US"/>
        </w:rPr>
        <w:t xml:space="preserve"> For a detailed analysis of the </w:t>
      </w:r>
      <w:proofErr w:type="gramStart"/>
      <w:r w:rsidRPr="00F2005E">
        <w:rPr>
          <w:lang w:val="en-US"/>
        </w:rPr>
        <w:t>CETA</w:t>
      </w:r>
      <w:proofErr w:type="gramEnd"/>
      <w:r w:rsidRPr="00F2005E">
        <w:rPr>
          <w:lang w:val="en-US"/>
        </w:rPr>
        <w:t xml:space="preserve"> insofar see W. Weiß, 2018 </w:t>
      </w:r>
      <w:proofErr w:type="spellStart"/>
      <w:r w:rsidRPr="00F2005E">
        <w:rPr>
          <w:lang w:val="en-US"/>
        </w:rPr>
        <w:t>EuConst</w:t>
      </w:r>
      <w:proofErr w:type="spellEnd"/>
      <w:r w:rsidRPr="00F2005E">
        <w:rPr>
          <w:lang w:val="en-US"/>
        </w:rPr>
        <w:t xml:space="preserve"> 532 at 536-539. In the </w:t>
      </w:r>
      <w:r w:rsidRPr="00F2005E">
        <w:rPr>
          <w:rFonts w:cs="Arial"/>
          <w:color w:val="222222"/>
          <w:lang w:val="en"/>
        </w:rPr>
        <w:t xml:space="preserve">FTA with Korea Art. </w:t>
      </w:r>
      <w:proofErr w:type="gramStart"/>
      <w:r w:rsidRPr="00F2005E">
        <w:rPr>
          <w:rFonts w:cs="Arial"/>
          <w:color w:val="222222"/>
          <w:lang w:val="en"/>
        </w:rPr>
        <w:t>15.4</w:t>
      </w:r>
      <w:proofErr w:type="gramEnd"/>
      <w:r w:rsidRPr="00F2005E">
        <w:rPr>
          <w:rFonts w:cs="Arial"/>
          <w:color w:val="222222"/>
          <w:lang w:val="en"/>
        </w:rPr>
        <w:t xml:space="preserve"> provides the binding force of the decisions of the Trade Committee. A requirement of prior acceptance by the parties </w:t>
      </w:r>
      <w:proofErr w:type="gramStart"/>
      <w:r w:rsidRPr="00F2005E">
        <w:rPr>
          <w:rFonts w:cs="Arial"/>
          <w:color w:val="222222"/>
          <w:lang w:val="en"/>
        </w:rPr>
        <w:t>is only provided</w:t>
      </w:r>
      <w:proofErr w:type="gramEnd"/>
      <w:r w:rsidRPr="00F2005E">
        <w:rPr>
          <w:rFonts w:cs="Arial"/>
          <w:color w:val="222222"/>
          <w:lang w:val="en"/>
        </w:rPr>
        <w:t xml:space="preserve"> with regard to amendments, Art. 15.5.2. For other agreements see </w:t>
      </w:r>
      <w:r w:rsidRPr="00F2005E">
        <w:rPr>
          <w:lang w:val="en-US"/>
        </w:rPr>
        <w:t xml:space="preserve">J. </w:t>
      </w:r>
      <w:proofErr w:type="spellStart"/>
      <w:r w:rsidRPr="00F2005E">
        <w:rPr>
          <w:lang w:val="en-US"/>
        </w:rPr>
        <w:t>Czuczai</w:t>
      </w:r>
      <w:proofErr w:type="spellEnd"/>
      <w:r w:rsidRPr="00F2005E">
        <w:rPr>
          <w:lang w:val="en-US"/>
        </w:rPr>
        <w:t xml:space="preserve">, (2012) Yearbook of European Law 452; </w:t>
      </w:r>
      <w:r w:rsidRPr="00F2005E">
        <w:rPr>
          <w:lang w:val="en"/>
        </w:rPr>
        <w:t xml:space="preserve">N. Appel, Das </w:t>
      </w:r>
      <w:proofErr w:type="spellStart"/>
      <w:proofErr w:type="gramStart"/>
      <w:r w:rsidRPr="00F2005E">
        <w:rPr>
          <w:lang w:val="en"/>
        </w:rPr>
        <w:t>internationale</w:t>
      </w:r>
      <w:proofErr w:type="spellEnd"/>
      <w:proofErr w:type="gramEnd"/>
      <w:r w:rsidRPr="00F2005E">
        <w:rPr>
          <w:lang w:val="en"/>
        </w:rPr>
        <w:t xml:space="preserve"> </w:t>
      </w:r>
      <w:proofErr w:type="spellStart"/>
      <w:r w:rsidRPr="00F2005E">
        <w:rPr>
          <w:lang w:val="en"/>
        </w:rPr>
        <w:t>Kooperationsrecht</w:t>
      </w:r>
      <w:proofErr w:type="spellEnd"/>
      <w:r w:rsidRPr="00F2005E">
        <w:rPr>
          <w:lang w:val="en"/>
        </w:rPr>
        <w:t xml:space="preserve"> der EU, 2016, 211 et </w:t>
      </w:r>
      <w:proofErr w:type="spellStart"/>
      <w:r w:rsidRPr="00F2005E">
        <w:rPr>
          <w:lang w:val="en"/>
        </w:rPr>
        <w:t>seq</w:t>
      </w:r>
      <w:proofErr w:type="spellEnd"/>
      <w:r w:rsidRPr="00F2005E">
        <w:rPr>
          <w:lang w:val="en-US"/>
        </w:rPr>
        <w:t>.</w:t>
      </w:r>
    </w:p>
  </w:footnote>
  <w:footnote w:id="51">
    <w:p w:rsidR="009C5B86" w:rsidRPr="00F2005E" w:rsidRDefault="009C5B86" w:rsidP="0089368D">
      <w:pPr>
        <w:pStyle w:val="Funotentext"/>
        <w:rPr>
          <w:lang w:val="en-US"/>
        </w:rPr>
      </w:pPr>
      <w:r w:rsidRPr="00F2005E">
        <w:rPr>
          <w:rStyle w:val="Funotenzeichen"/>
        </w:rPr>
        <w:footnoteRef/>
      </w:r>
      <w:r w:rsidRPr="00F2005E">
        <w:t xml:space="preserve"> See N. Appel, Das internationale Kooperationsrecht der EU, 2016, 324 et seq.; AG Maciej </w:t>
      </w:r>
      <w:proofErr w:type="spellStart"/>
      <w:r w:rsidRPr="00F2005E">
        <w:t>Szpunar</w:t>
      </w:r>
      <w:proofErr w:type="spellEnd"/>
      <w:r w:rsidRPr="00F2005E">
        <w:t xml:space="preserve">, Opinion in Case C-600/14, ECLI:EU:C:2017:296, </w:t>
      </w:r>
      <w:proofErr w:type="spellStart"/>
      <w:r w:rsidRPr="00F2005E">
        <w:t>para</w:t>
      </w:r>
      <w:proofErr w:type="spellEnd"/>
      <w:r w:rsidRPr="00F2005E">
        <w:t xml:space="preserve">. </w:t>
      </w:r>
      <w:r w:rsidRPr="00F2005E">
        <w:rPr>
          <w:lang w:val="en-US"/>
        </w:rPr>
        <w:t xml:space="preserve">58, 162; </w:t>
      </w:r>
      <w:r w:rsidRPr="00F2005E">
        <w:rPr>
          <w:rFonts w:cs="Times New Roman"/>
          <w:i/>
          <w:color w:val="000000" w:themeColor="text1"/>
          <w:lang w:val="en-US"/>
        </w:rPr>
        <w:t>A.</w:t>
      </w:r>
      <w:r w:rsidRPr="00F2005E">
        <w:rPr>
          <w:rFonts w:cs="Times New Roman"/>
          <w:color w:val="000000" w:themeColor="text1"/>
          <w:lang w:val="en-US"/>
        </w:rPr>
        <w:t xml:space="preserve"> </w:t>
      </w:r>
      <w:r w:rsidRPr="00F2005E">
        <w:rPr>
          <w:rFonts w:cs="Times New Roman"/>
          <w:i/>
          <w:color w:val="000000" w:themeColor="text1"/>
          <w:lang w:val="en-US"/>
        </w:rPr>
        <w:t xml:space="preserve">von </w:t>
      </w:r>
      <w:proofErr w:type="spellStart"/>
      <w:r w:rsidRPr="00F2005E">
        <w:rPr>
          <w:rFonts w:cs="Times New Roman"/>
          <w:i/>
          <w:color w:val="000000" w:themeColor="text1"/>
          <w:lang w:val="en-US"/>
        </w:rPr>
        <w:t>Bogdandy</w:t>
      </w:r>
      <w:proofErr w:type="spellEnd"/>
      <w:r w:rsidRPr="00F2005E">
        <w:rPr>
          <w:rFonts w:cs="Times New Roman"/>
          <w:i/>
          <w:color w:val="000000" w:themeColor="text1"/>
          <w:lang w:val="en-US"/>
        </w:rPr>
        <w:t xml:space="preserve">/F. Arndt/J. </w:t>
      </w:r>
      <w:proofErr w:type="spellStart"/>
      <w:r w:rsidRPr="00F2005E">
        <w:rPr>
          <w:rFonts w:cs="Times New Roman"/>
          <w:i/>
          <w:color w:val="000000" w:themeColor="text1"/>
          <w:lang w:val="en-US"/>
        </w:rPr>
        <w:t>Bast</w:t>
      </w:r>
      <w:proofErr w:type="spellEnd"/>
      <w:r w:rsidRPr="00F2005E">
        <w:rPr>
          <w:rFonts w:cs="Times New Roman"/>
          <w:color w:val="000000" w:themeColor="text1"/>
          <w:lang w:val="en-US"/>
        </w:rPr>
        <w:t xml:space="preserve">, (2004) 23 YEL 91 at 130; </w:t>
      </w:r>
      <w:r w:rsidRPr="00F2005E">
        <w:rPr>
          <w:rFonts w:cs="Times New Roman"/>
          <w:i/>
          <w:color w:val="000000" w:themeColor="text1"/>
          <w:lang w:val="en-US"/>
        </w:rPr>
        <w:t xml:space="preserve">A. </w:t>
      </w:r>
      <w:proofErr w:type="spellStart"/>
      <w:r w:rsidRPr="00F2005E">
        <w:rPr>
          <w:rFonts w:cs="Times New Roman"/>
          <w:i/>
          <w:color w:val="000000" w:themeColor="text1"/>
          <w:lang w:val="en-US"/>
        </w:rPr>
        <w:t>Alemanno</w:t>
      </w:r>
      <w:proofErr w:type="spellEnd"/>
      <w:r w:rsidRPr="00F2005E">
        <w:rPr>
          <w:rFonts w:cs="Times New Roman"/>
          <w:color w:val="000000" w:themeColor="text1"/>
          <w:lang w:val="en-US"/>
        </w:rPr>
        <w:t xml:space="preserve">, </w:t>
      </w:r>
      <w:r>
        <w:rPr>
          <w:rFonts w:cs="Times New Roman"/>
          <w:color w:val="000000" w:themeColor="text1"/>
          <w:lang w:val="en-US"/>
        </w:rPr>
        <w:t xml:space="preserve">2015 </w:t>
      </w:r>
      <w:r w:rsidRPr="00F2005E">
        <w:rPr>
          <w:rFonts w:cs="Times New Roman"/>
          <w:color w:val="000000" w:themeColor="text1"/>
          <w:lang w:val="en-US"/>
        </w:rPr>
        <w:t>JIEL 625 at 636.</w:t>
      </w:r>
    </w:p>
  </w:footnote>
  <w:footnote w:id="52">
    <w:p w:rsidR="009C5B86" w:rsidRPr="00F2005E" w:rsidRDefault="009C5B86" w:rsidP="000426EA">
      <w:pPr>
        <w:autoSpaceDE w:val="0"/>
        <w:autoSpaceDN w:val="0"/>
        <w:adjustRightInd w:val="0"/>
        <w:spacing w:after="0" w:line="240" w:lineRule="auto"/>
        <w:rPr>
          <w:rFonts w:cs="AdvOT635f2c37"/>
          <w:sz w:val="20"/>
          <w:szCs w:val="20"/>
          <w:lang w:val="en-US"/>
        </w:rPr>
      </w:pPr>
      <w:r w:rsidRPr="00F2005E">
        <w:rPr>
          <w:rStyle w:val="Funotenzeichen"/>
          <w:sz w:val="20"/>
          <w:szCs w:val="20"/>
        </w:rPr>
        <w:footnoteRef/>
      </w:r>
      <w:r w:rsidRPr="00F2005E">
        <w:rPr>
          <w:sz w:val="20"/>
          <w:szCs w:val="20"/>
        </w:rPr>
        <w:t xml:space="preserve"> CJEU, </w:t>
      </w:r>
      <w:r w:rsidRPr="00F2005E">
        <w:rPr>
          <w:rFonts w:cs="AdvOT635f2c37"/>
          <w:sz w:val="20"/>
          <w:szCs w:val="20"/>
        </w:rPr>
        <w:t xml:space="preserve">C-399/12, ECLI:EU:C:2014:2258, </w:t>
      </w:r>
      <w:proofErr w:type="spellStart"/>
      <w:r w:rsidRPr="00F2005E">
        <w:rPr>
          <w:rFonts w:cs="AdvOT635f2c37"/>
          <w:sz w:val="20"/>
          <w:szCs w:val="20"/>
        </w:rPr>
        <w:t>para</w:t>
      </w:r>
      <w:proofErr w:type="spellEnd"/>
      <w:r w:rsidRPr="00F2005E">
        <w:rPr>
          <w:rFonts w:cs="AdvOT635f2c37"/>
          <w:sz w:val="20"/>
          <w:szCs w:val="20"/>
        </w:rPr>
        <w:t xml:space="preserve">. </w:t>
      </w:r>
      <w:r w:rsidRPr="00F2005E">
        <w:rPr>
          <w:rFonts w:cs="AdvOT635f2c37"/>
          <w:sz w:val="20"/>
          <w:szCs w:val="20"/>
          <w:lang w:val="en-US"/>
        </w:rPr>
        <w:t xml:space="preserve">63. For some practical examples </w:t>
      </w:r>
      <w:r w:rsidRPr="00F2005E">
        <w:rPr>
          <w:rFonts w:cs="AdvOTa14f9db0.I"/>
          <w:sz w:val="20"/>
          <w:szCs w:val="20"/>
          <w:lang w:val="en-US"/>
        </w:rPr>
        <w:t xml:space="preserve">see </w:t>
      </w:r>
      <w:r w:rsidRPr="00F2005E">
        <w:rPr>
          <w:rFonts w:cs="AdvOT635f2c37"/>
          <w:sz w:val="20"/>
          <w:szCs w:val="20"/>
          <w:lang w:val="en-US"/>
        </w:rPr>
        <w:t xml:space="preserve">J. </w:t>
      </w:r>
      <w:proofErr w:type="spellStart"/>
      <w:r w:rsidRPr="00F2005E">
        <w:rPr>
          <w:rFonts w:cs="AdvOT635f2c37"/>
          <w:sz w:val="20"/>
          <w:szCs w:val="20"/>
          <w:lang w:val="en-US"/>
        </w:rPr>
        <w:t>Czuczai</w:t>
      </w:r>
      <w:proofErr w:type="spellEnd"/>
      <w:r w:rsidRPr="00F2005E">
        <w:rPr>
          <w:rFonts w:cs="AdvOT635f2c37"/>
          <w:sz w:val="20"/>
          <w:szCs w:val="20"/>
          <w:lang w:val="en-US"/>
        </w:rPr>
        <w:t xml:space="preserve">, </w:t>
      </w:r>
      <w:r w:rsidRPr="00F2005E">
        <w:rPr>
          <w:rFonts w:cs="AdvOT635f2c37+20"/>
          <w:sz w:val="20"/>
          <w:szCs w:val="20"/>
          <w:lang w:val="en-US"/>
        </w:rPr>
        <w:t>‘</w:t>
      </w:r>
      <w:r w:rsidRPr="00F2005E">
        <w:rPr>
          <w:rFonts w:cs="AdvOT635f2c37"/>
          <w:sz w:val="20"/>
          <w:szCs w:val="20"/>
          <w:lang w:val="en-US"/>
        </w:rPr>
        <w:t>The Autonomy of the EU Legal Order and the Lawmaking Activities of International Organizations: Some Examples Regarding the Council</w:t>
      </w:r>
      <w:r w:rsidRPr="00F2005E">
        <w:rPr>
          <w:rFonts w:cs="AdvOT635f2c37+20"/>
          <w:sz w:val="20"/>
          <w:szCs w:val="20"/>
          <w:lang w:val="en-US"/>
        </w:rPr>
        <w:t>’</w:t>
      </w:r>
      <w:r w:rsidRPr="00F2005E">
        <w:rPr>
          <w:rFonts w:cs="AdvOT635f2c37"/>
          <w:sz w:val="20"/>
          <w:szCs w:val="20"/>
          <w:lang w:val="en-US"/>
        </w:rPr>
        <w:t>s most</w:t>
      </w:r>
    </w:p>
    <w:p w:rsidR="009C5B86" w:rsidRPr="00F2005E" w:rsidRDefault="009C5B86" w:rsidP="000426EA">
      <w:pPr>
        <w:pStyle w:val="Funotentext"/>
        <w:rPr>
          <w:lang w:val="en-US"/>
        </w:rPr>
      </w:pPr>
      <w:r w:rsidRPr="00F2005E">
        <w:rPr>
          <w:rFonts w:cs="AdvOT635f2c37"/>
          <w:lang w:val="en-US"/>
        </w:rPr>
        <w:t>Recent Practice</w:t>
      </w:r>
      <w:r w:rsidRPr="00F2005E">
        <w:rPr>
          <w:rFonts w:cs="AdvOT635f2c37+20"/>
          <w:lang w:val="en-US"/>
        </w:rPr>
        <w:t>’</w:t>
      </w:r>
      <w:r w:rsidRPr="00F2005E">
        <w:rPr>
          <w:rFonts w:cs="AdvOT635f2c37"/>
          <w:lang w:val="en-US"/>
        </w:rPr>
        <w:t xml:space="preserve">, 31(1) </w:t>
      </w:r>
      <w:r w:rsidRPr="00F2005E">
        <w:rPr>
          <w:rFonts w:cs="AdvOTa14f9db0.I"/>
          <w:lang w:val="en-US"/>
        </w:rPr>
        <w:t xml:space="preserve">Yearbook of European Law </w:t>
      </w:r>
      <w:r w:rsidRPr="00F2005E">
        <w:rPr>
          <w:rFonts w:cs="AdvOT635f2c37"/>
          <w:lang w:val="en-US"/>
        </w:rPr>
        <w:t>(2012) 452.</w:t>
      </w:r>
    </w:p>
  </w:footnote>
  <w:footnote w:id="53">
    <w:p w:rsidR="009C5B86" w:rsidRPr="00F2005E" w:rsidRDefault="009C5B86" w:rsidP="004C7BFF">
      <w:pPr>
        <w:autoSpaceDE w:val="0"/>
        <w:autoSpaceDN w:val="0"/>
        <w:adjustRightInd w:val="0"/>
        <w:spacing w:after="0" w:line="240" w:lineRule="auto"/>
        <w:rPr>
          <w:sz w:val="20"/>
          <w:szCs w:val="20"/>
          <w:lang w:val="en-US"/>
        </w:rPr>
      </w:pPr>
      <w:r w:rsidRPr="00F2005E">
        <w:rPr>
          <w:rStyle w:val="Funotenzeichen"/>
          <w:sz w:val="20"/>
          <w:szCs w:val="20"/>
        </w:rPr>
        <w:footnoteRef/>
      </w:r>
      <w:r w:rsidRPr="00F2005E">
        <w:rPr>
          <w:sz w:val="20"/>
          <w:szCs w:val="20"/>
          <w:lang w:val="en-US"/>
        </w:rPr>
        <w:t xml:space="preserve"> CJEU, </w:t>
      </w:r>
      <w:r w:rsidRPr="00F2005E">
        <w:rPr>
          <w:rFonts w:cs="AdvOT635f2c37"/>
          <w:sz w:val="20"/>
          <w:szCs w:val="20"/>
          <w:lang w:val="en-US"/>
        </w:rPr>
        <w:t>Case 30/88, ECLI</w:t>
      </w:r>
      <w:proofErr w:type="gramStart"/>
      <w:r w:rsidRPr="00F2005E">
        <w:rPr>
          <w:rFonts w:cs="AdvOT635f2c37"/>
          <w:sz w:val="20"/>
          <w:szCs w:val="20"/>
          <w:lang w:val="en-US"/>
        </w:rPr>
        <w:t>:EU:C:1989:422</w:t>
      </w:r>
      <w:proofErr w:type="gramEnd"/>
      <w:r w:rsidRPr="00F2005E">
        <w:rPr>
          <w:rFonts w:cs="AdvOT635f2c37"/>
          <w:sz w:val="20"/>
          <w:szCs w:val="20"/>
          <w:lang w:val="en-US"/>
        </w:rPr>
        <w:t xml:space="preserve">, para. 13. N. </w:t>
      </w:r>
      <w:proofErr w:type="spellStart"/>
      <w:r w:rsidRPr="00F2005E">
        <w:rPr>
          <w:rFonts w:cs="AdvOT635f2c37"/>
          <w:sz w:val="20"/>
          <w:szCs w:val="20"/>
          <w:lang w:val="en-US"/>
        </w:rPr>
        <w:t>Lavranos</w:t>
      </w:r>
      <w:proofErr w:type="spellEnd"/>
      <w:r w:rsidRPr="00F2005E">
        <w:rPr>
          <w:rFonts w:cs="AdvOT635f2c37"/>
          <w:sz w:val="20"/>
          <w:szCs w:val="20"/>
          <w:lang w:val="en-US"/>
        </w:rPr>
        <w:t xml:space="preserve">, </w:t>
      </w:r>
      <w:r w:rsidRPr="00F2005E">
        <w:rPr>
          <w:rFonts w:cs="AdvOTa14f9db0.I"/>
          <w:sz w:val="20"/>
          <w:szCs w:val="20"/>
          <w:lang w:val="en-US"/>
        </w:rPr>
        <w:t xml:space="preserve">Legal Interaction between Decisions of International </w:t>
      </w:r>
      <w:proofErr w:type="spellStart"/>
      <w:r w:rsidRPr="00F2005E">
        <w:rPr>
          <w:rFonts w:cs="AdvOTa14f9db0.I"/>
          <w:sz w:val="20"/>
          <w:szCs w:val="20"/>
          <w:lang w:val="en-US"/>
        </w:rPr>
        <w:t>Organisations</w:t>
      </w:r>
      <w:proofErr w:type="spellEnd"/>
      <w:r w:rsidRPr="00F2005E">
        <w:rPr>
          <w:rFonts w:cs="AdvOTa14f9db0.I"/>
          <w:sz w:val="20"/>
          <w:szCs w:val="20"/>
          <w:lang w:val="en-US"/>
        </w:rPr>
        <w:t xml:space="preserve"> and European Law</w:t>
      </w:r>
      <w:r>
        <w:rPr>
          <w:rFonts w:cs="AdvOTa14f9db0.I"/>
          <w:sz w:val="20"/>
          <w:szCs w:val="20"/>
          <w:lang w:val="en-US"/>
        </w:rPr>
        <w:t>,</w:t>
      </w:r>
      <w:r w:rsidRPr="00F2005E">
        <w:rPr>
          <w:rFonts w:cs="AdvOT635f2c37"/>
          <w:sz w:val="20"/>
          <w:szCs w:val="20"/>
          <w:lang w:val="en-US"/>
        </w:rPr>
        <w:t xml:space="preserve"> 2004</w:t>
      </w:r>
      <w:r>
        <w:rPr>
          <w:rFonts w:cs="AdvOT635f2c37"/>
          <w:sz w:val="20"/>
          <w:szCs w:val="20"/>
          <w:lang w:val="en-US"/>
        </w:rPr>
        <w:t>,</w:t>
      </w:r>
      <w:r w:rsidRPr="00F2005E">
        <w:rPr>
          <w:rFonts w:cs="AdvOT635f2c37"/>
          <w:sz w:val="20"/>
          <w:szCs w:val="20"/>
          <w:lang w:val="en-US"/>
        </w:rPr>
        <w:t xml:space="preserve"> 35 </w:t>
      </w:r>
      <w:proofErr w:type="spellStart"/>
      <w:r w:rsidRPr="00F2005E">
        <w:rPr>
          <w:rFonts w:cs="AdvOT635f2c37"/>
          <w:sz w:val="20"/>
          <w:szCs w:val="20"/>
          <w:lang w:val="en-US"/>
        </w:rPr>
        <w:t>ff</w:t>
      </w:r>
      <w:proofErr w:type="spellEnd"/>
      <w:r w:rsidRPr="00F2005E">
        <w:rPr>
          <w:rFonts w:cs="AdvOT635f2c37"/>
          <w:sz w:val="20"/>
          <w:szCs w:val="20"/>
          <w:lang w:val="en-US"/>
        </w:rPr>
        <w:t>, 53, 93.</w:t>
      </w:r>
    </w:p>
  </w:footnote>
  <w:footnote w:id="54">
    <w:p w:rsidR="009C5B86" w:rsidRPr="00F2005E" w:rsidRDefault="009C5B86">
      <w:pPr>
        <w:pStyle w:val="Funotentext"/>
        <w:rPr>
          <w:lang w:val="en-US"/>
        </w:rPr>
      </w:pPr>
      <w:r w:rsidRPr="00F2005E">
        <w:rPr>
          <w:rStyle w:val="Funotenzeichen"/>
        </w:rPr>
        <w:footnoteRef/>
      </w:r>
      <w:r w:rsidRPr="00F2005E">
        <w:rPr>
          <w:lang w:val="en-US"/>
        </w:rPr>
        <w:t xml:space="preserve"> Also in external relations, see CJEU, Case C-658/11, para. 81.</w:t>
      </w:r>
    </w:p>
  </w:footnote>
  <w:footnote w:id="55">
    <w:p w:rsidR="009C5B86" w:rsidRPr="00F2005E" w:rsidRDefault="009C5B86">
      <w:pPr>
        <w:pStyle w:val="Funotentext"/>
        <w:rPr>
          <w:lang w:val="en-US"/>
        </w:rPr>
      </w:pPr>
      <w:r w:rsidRPr="00F2005E">
        <w:rPr>
          <w:rStyle w:val="Funotenzeichen"/>
        </w:rPr>
        <w:footnoteRef/>
      </w:r>
      <w:r w:rsidRPr="00F2005E">
        <w:rPr>
          <w:lang w:val="en-US"/>
        </w:rPr>
        <w:t xml:space="preserve"> Cf. J. </w:t>
      </w:r>
      <w:proofErr w:type="spellStart"/>
      <w:r w:rsidRPr="00F2005E">
        <w:rPr>
          <w:lang w:val="en-US"/>
        </w:rPr>
        <w:t>Bast</w:t>
      </w:r>
      <w:proofErr w:type="spellEnd"/>
      <w:r w:rsidRPr="00F2005E">
        <w:rPr>
          <w:lang w:val="en-US"/>
        </w:rPr>
        <w:t xml:space="preserve">, 2012 </w:t>
      </w:r>
      <w:proofErr w:type="spellStart"/>
      <w:r w:rsidRPr="00F2005E">
        <w:rPr>
          <w:lang w:val="en-US"/>
        </w:rPr>
        <w:t>CMLRev</w:t>
      </w:r>
      <w:proofErr w:type="spellEnd"/>
      <w:r w:rsidRPr="00F2005E">
        <w:rPr>
          <w:lang w:val="en-US"/>
        </w:rPr>
        <w:t xml:space="preserve"> 885 at 917; P. Craig, </w:t>
      </w:r>
      <w:proofErr w:type="gramStart"/>
      <w:r w:rsidRPr="00F2005E">
        <w:rPr>
          <w:lang w:val="en-US"/>
        </w:rPr>
        <w:t>The</w:t>
      </w:r>
      <w:proofErr w:type="gramEnd"/>
      <w:r w:rsidRPr="00F2005E">
        <w:rPr>
          <w:lang w:val="en-US"/>
        </w:rPr>
        <w:t xml:space="preserve"> Lisbon Treaty, 2013, 264.</w:t>
      </w:r>
    </w:p>
  </w:footnote>
  <w:footnote w:id="56">
    <w:p w:rsidR="009C5B86" w:rsidRPr="00F2005E" w:rsidRDefault="009C5B86">
      <w:pPr>
        <w:pStyle w:val="Funotentext"/>
        <w:rPr>
          <w:lang w:val="en-US"/>
        </w:rPr>
      </w:pPr>
      <w:r w:rsidRPr="00F2005E">
        <w:rPr>
          <w:rStyle w:val="Funotenzeichen"/>
        </w:rPr>
        <w:footnoteRef/>
      </w:r>
      <w:r w:rsidRPr="00F2005E">
        <w:rPr>
          <w:lang w:val="en-US"/>
        </w:rPr>
        <w:t xml:space="preserve"> For the development of </w:t>
      </w:r>
      <w:proofErr w:type="gramStart"/>
      <w:r w:rsidRPr="00F2005E">
        <w:rPr>
          <w:lang w:val="en-US"/>
        </w:rPr>
        <w:t>Comitology</w:t>
      </w:r>
      <w:proofErr w:type="gramEnd"/>
      <w:r w:rsidRPr="00F2005E">
        <w:rPr>
          <w:lang w:val="en-US"/>
        </w:rPr>
        <w:t xml:space="preserve"> see C. </w:t>
      </w:r>
      <w:proofErr w:type="spellStart"/>
      <w:r w:rsidRPr="00F2005E">
        <w:rPr>
          <w:lang w:val="en-US"/>
        </w:rPr>
        <w:t>Bergström</w:t>
      </w:r>
      <w:proofErr w:type="spellEnd"/>
      <w:r w:rsidRPr="00F2005E">
        <w:rPr>
          <w:lang w:val="en-US"/>
        </w:rPr>
        <w:t xml:space="preserve">, Comitology: Delegation of Powers in the EU and the Committee System, 2005; for its reform under the Lisbon treaty see C. </w:t>
      </w:r>
      <w:proofErr w:type="spellStart"/>
      <w:r w:rsidRPr="00F2005E">
        <w:rPr>
          <w:lang w:val="en-US"/>
        </w:rPr>
        <w:t>Bergström</w:t>
      </w:r>
      <w:proofErr w:type="spellEnd"/>
      <w:r w:rsidRPr="00F2005E">
        <w:rPr>
          <w:lang w:val="en-US"/>
        </w:rPr>
        <w:t xml:space="preserve">/D. </w:t>
      </w:r>
      <w:proofErr w:type="spellStart"/>
      <w:r w:rsidRPr="00F2005E">
        <w:rPr>
          <w:lang w:val="en-US"/>
        </w:rPr>
        <w:t>Ritleng</w:t>
      </w:r>
      <w:proofErr w:type="spellEnd"/>
      <w:r w:rsidRPr="00F2005E">
        <w:rPr>
          <w:lang w:val="en-US"/>
        </w:rPr>
        <w:t xml:space="preserve"> (</w:t>
      </w:r>
      <w:proofErr w:type="spellStart"/>
      <w:r w:rsidRPr="00F2005E">
        <w:rPr>
          <w:lang w:val="en-US"/>
        </w:rPr>
        <w:t>eds</w:t>
      </w:r>
      <w:proofErr w:type="spellEnd"/>
      <w:r w:rsidRPr="00F2005E">
        <w:rPr>
          <w:lang w:val="en-US"/>
        </w:rPr>
        <w:t>), Rulemaking by the European Commission, 2016.</w:t>
      </w:r>
    </w:p>
  </w:footnote>
  <w:footnote w:id="57">
    <w:p w:rsidR="009C5B86" w:rsidRPr="00F2005E" w:rsidRDefault="009C5B86">
      <w:pPr>
        <w:pStyle w:val="Funotentext"/>
        <w:rPr>
          <w:lang w:val="en-US"/>
        </w:rPr>
      </w:pPr>
      <w:r w:rsidRPr="00F2005E">
        <w:rPr>
          <w:rStyle w:val="Funotenzeichen"/>
        </w:rPr>
        <w:footnoteRef/>
      </w:r>
      <w:r w:rsidRPr="00F2005E">
        <w:rPr>
          <w:lang w:val="en-US"/>
        </w:rPr>
        <w:t xml:space="preserve"> CJEU, Short Selling.</w:t>
      </w:r>
    </w:p>
  </w:footnote>
  <w:footnote w:id="58">
    <w:p w:rsidR="009C5B86" w:rsidRPr="00F2005E" w:rsidRDefault="009C5B86">
      <w:pPr>
        <w:pStyle w:val="Funotentext"/>
        <w:rPr>
          <w:lang w:val="en-US"/>
        </w:rPr>
      </w:pPr>
      <w:r w:rsidRPr="00F2005E">
        <w:rPr>
          <w:rStyle w:val="Funotenzeichen"/>
        </w:rPr>
        <w:footnoteRef/>
      </w:r>
      <w:r w:rsidRPr="00F2005E">
        <w:rPr>
          <w:lang w:val="en-US"/>
        </w:rPr>
        <w:t xml:space="preserve"> For the EP´s involvement in setting up </w:t>
      </w:r>
      <w:proofErr w:type="gramStart"/>
      <w:r w:rsidRPr="00F2005E">
        <w:rPr>
          <w:lang w:val="en-US"/>
        </w:rPr>
        <w:t>agencies</w:t>
      </w:r>
      <w:proofErr w:type="gramEnd"/>
      <w:r w:rsidRPr="00F2005E">
        <w:rPr>
          <w:lang w:val="en-US"/>
        </w:rPr>
        <w:t xml:space="preserve"> see F. Jacobs, in Everson/</w:t>
      </w:r>
      <w:proofErr w:type="spellStart"/>
      <w:r w:rsidRPr="00F2005E">
        <w:rPr>
          <w:lang w:val="en-US"/>
        </w:rPr>
        <w:t>Monda</w:t>
      </w:r>
      <w:proofErr w:type="spellEnd"/>
      <w:r w:rsidRPr="00F2005E">
        <w:rPr>
          <w:lang w:val="en-US"/>
        </w:rPr>
        <w:t>/</w:t>
      </w:r>
      <w:proofErr w:type="spellStart"/>
      <w:r w:rsidRPr="00F2005E">
        <w:rPr>
          <w:lang w:val="en-US"/>
        </w:rPr>
        <w:t>Vos</w:t>
      </w:r>
      <w:proofErr w:type="spellEnd"/>
      <w:r w:rsidRPr="00F2005E">
        <w:rPr>
          <w:lang w:val="en-US"/>
        </w:rPr>
        <w:t xml:space="preserve"> (</w:t>
      </w:r>
      <w:proofErr w:type="spellStart"/>
      <w:r w:rsidRPr="00F2005E">
        <w:rPr>
          <w:lang w:val="en-US"/>
        </w:rPr>
        <w:t>eds</w:t>
      </w:r>
      <w:proofErr w:type="spellEnd"/>
      <w:r w:rsidRPr="00F2005E">
        <w:rPr>
          <w:lang w:val="en-US"/>
        </w:rPr>
        <w:t>) European Agencies in between Institutions and Member States, 2014, 201 ff.</w:t>
      </w:r>
    </w:p>
  </w:footnote>
  <w:footnote w:id="59">
    <w:p w:rsidR="009C5B86" w:rsidRPr="00F2005E" w:rsidRDefault="009C5B86">
      <w:pPr>
        <w:pStyle w:val="Funotentext"/>
        <w:rPr>
          <w:lang w:val="en-US"/>
        </w:rPr>
      </w:pPr>
      <w:r w:rsidRPr="00F2005E">
        <w:rPr>
          <w:rStyle w:val="Funotenzeichen"/>
        </w:rPr>
        <w:footnoteRef/>
      </w:r>
      <w:r w:rsidRPr="00F2005E">
        <w:rPr>
          <w:lang w:val="en-US"/>
        </w:rPr>
        <w:t xml:space="preserve"> For an </w:t>
      </w:r>
      <w:proofErr w:type="gramStart"/>
      <w:r w:rsidRPr="00F2005E">
        <w:rPr>
          <w:lang w:val="en-US"/>
        </w:rPr>
        <w:t>overview</w:t>
      </w:r>
      <w:proofErr w:type="gramEnd"/>
      <w:r w:rsidRPr="00F2005E">
        <w:rPr>
          <w:lang w:val="en-US"/>
        </w:rPr>
        <w:t xml:space="preserve"> see R. </w:t>
      </w:r>
      <w:proofErr w:type="spellStart"/>
      <w:r w:rsidRPr="00F2005E">
        <w:rPr>
          <w:lang w:val="en-US"/>
        </w:rPr>
        <w:t>Schütze</w:t>
      </w:r>
      <w:proofErr w:type="spellEnd"/>
      <w:r w:rsidRPr="00F2005E">
        <w:rPr>
          <w:lang w:val="en-US"/>
        </w:rPr>
        <w:t>, 2011 Modern Law Review 661 at 663 ff.</w:t>
      </w:r>
    </w:p>
  </w:footnote>
  <w:footnote w:id="60">
    <w:p w:rsidR="009C5B86" w:rsidRPr="00F2005E" w:rsidRDefault="009C5B86" w:rsidP="00F4080D">
      <w:pPr>
        <w:pStyle w:val="Funotentext"/>
        <w:rPr>
          <w:lang w:val="en-US"/>
        </w:rPr>
      </w:pPr>
      <w:r w:rsidRPr="00F2005E">
        <w:rPr>
          <w:rStyle w:val="Funotenzeichen"/>
        </w:rPr>
        <w:footnoteRef/>
      </w:r>
      <w:r w:rsidRPr="00F2005E">
        <w:rPr>
          <w:lang w:val="en-US"/>
        </w:rPr>
        <w:t xml:space="preserve"> </w:t>
      </w:r>
      <w:r w:rsidRPr="00F2005E">
        <w:rPr>
          <w:rFonts w:cs="Times New Roman"/>
          <w:lang w:val="en-US"/>
        </w:rPr>
        <w:t>CJEU, Case C-355/10, ECLI</w:t>
      </w:r>
      <w:proofErr w:type="gramStart"/>
      <w:r w:rsidRPr="00F2005E">
        <w:rPr>
          <w:rFonts w:cs="Times New Roman"/>
          <w:lang w:val="en-US"/>
        </w:rPr>
        <w:t>:EU:C:2012:516</w:t>
      </w:r>
      <w:proofErr w:type="gramEnd"/>
      <w:r w:rsidRPr="00F2005E">
        <w:rPr>
          <w:rFonts w:cs="Times New Roman"/>
          <w:lang w:val="en-US"/>
        </w:rPr>
        <w:t>, paras. 64-67, 76, 78; Case C-240/90, ECLI</w:t>
      </w:r>
      <w:proofErr w:type="gramStart"/>
      <w:r w:rsidRPr="00F2005E">
        <w:rPr>
          <w:rFonts w:cs="Times New Roman"/>
          <w:lang w:val="en-US"/>
        </w:rPr>
        <w:t>:EU:C:1992:408</w:t>
      </w:r>
      <w:proofErr w:type="gramEnd"/>
      <w:r w:rsidRPr="00F2005E">
        <w:rPr>
          <w:rFonts w:cs="Times New Roman"/>
          <w:lang w:val="en-US"/>
        </w:rPr>
        <w:t xml:space="preserve">, para. 37. </w:t>
      </w:r>
      <w:r w:rsidRPr="00F2005E">
        <w:rPr>
          <w:rFonts w:cs="Times New Roman"/>
          <w:color w:val="222222"/>
          <w:lang w:val="en-GB"/>
        </w:rPr>
        <w:t xml:space="preserve">Not entirely negligible interferences with fundamental rights amount to essential elements of a policy as well, </w:t>
      </w:r>
      <w:r w:rsidRPr="00F2005E">
        <w:rPr>
          <w:rFonts w:cs="Times New Roman"/>
          <w:lang w:val="en-US"/>
        </w:rPr>
        <w:t xml:space="preserve">CJEU, Case C-363/14, ECLI:EU:C:2015:579, para. 53; D. Curtin/T. </w:t>
      </w:r>
      <w:proofErr w:type="spellStart"/>
      <w:r w:rsidRPr="00F2005E">
        <w:rPr>
          <w:rFonts w:cs="Times New Roman"/>
          <w:lang w:val="en-US"/>
        </w:rPr>
        <w:t>Manucharyan</w:t>
      </w:r>
      <w:proofErr w:type="spellEnd"/>
      <w:r w:rsidRPr="00F2005E">
        <w:rPr>
          <w:rFonts w:cs="Times New Roman"/>
          <w:lang w:val="en-US"/>
        </w:rPr>
        <w:t xml:space="preserve">, in </w:t>
      </w:r>
      <w:proofErr w:type="spellStart"/>
      <w:r w:rsidRPr="00F2005E">
        <w:rPr>
          <w:rFonts w:cs="Times New Roman"/>
          <w:lang w:val="en-US"/>
        </w:rPr>
        <w:t>Arnull</w:t>
      </w:r>
      <w:proofErr w:type="spellEnd"/>
      <w:r w:rsidRPr="00F2005E">
        <w:rPr>
          <w:rFonts w:cs="Times New Roman"/>
          <w:lang w:val="en-US"/>
        </w:rPr>
        <w:t>/Chalmers (</w:t>
      </w:r>
      <w:proofErr w:type="spellStart"/>
      <w:proofErr w:type="gramStart"/>
      <w:r w:rsidRPr="00F2005E">
        <w:rPr>
          <w:rFonts w:cs="Times New Roman"/>
          <w:lang w:val="en-US"/>
        </w:rPr>
        <w:t>eds</w:t>
      </w:r>
      <w:proofErr w:type="spellEnd"/>
      <w:proofErr w:type="gramEnd"/>
      <w:r w:rsidRPr="00F2005E">
        <w:rPr>
          <w:rFonts w:cs="Times New Roman"/>
          <w:lang w:val="en-US"/>
        </w:rPr>
        <w:t>), The Oxford Handbook of EU Law, 2015, 103 at 112.</w:t>
      </w:r>
    </w:p>
  </w:footnote>
  <w:footnote w:id="61">
    <w:p w:rsidR="009C5B86" w:rsidRPr="00F2005E" w:rsidRDefault="009C5B86">
      <w:pPr>
        <w:pStyle w:val="Funotentext"/>
        <w:rPr>
          <w:lang w:val="en-US"/>
        </w:rPr>
      </w:pPr>
      <w:r w:rsidRPr="00F2005E">
        <w:rPr>
          <w:rStyle w:val="Funotenzeichen"/>
        </w:rPr>
        <w:footnoteRef/>
      </w:r>
      <w:r w:rsidRPr="00F2005E">
        <w:rPr>
          <w:lang w:val="en-US"/>
        </w:rPr>
        <w:t xml:space="preserve"> See J. </w:t>
      </w:r>
      <w:proofErr w:type="spellStart"/>
      <w:r w:rsidRPr="00F2005E">
        <w:rPr>
          <w:lang w:val="en-US"/>
        </w:rPr>
        <w:t>Bast</w:t>
      </w:r>
      <w:proofErr w:type="spellEnd"/>
      <w:r w:rsidRPr="00F2005E">
        <w:rPr>
          <w:lang w:val="en-US"/>
        </w:rPr>
        <w:t xml:space="preserve">, 2012 </w:t>
      </w:r>
      <w:proofErr w:type="spellStart"/>
      <w:r w:rsidRPr="00F2005E">
        <w:rPr>
          <w:lang w:val="en-US"/>
        </w:rPr>
        <w:t>CMLRev</w:t>
      </w:r>
      <w:proofErr w:type="spellEnd"/>
      <w:r w:rsidRPr="00F2005E">
        <w:rPr>
          <w:lang w:val="en-US"/>
        </w:rPr>
        <w:t xml:space="preserve"> 885 at 914; CJEU, Case C-66/04, ECLI</w:t>
      </w:r>
      <w:proofErr w:type="gramStart"/>
      <w:r w:rsidRPr="00F2005E">
        <w:rPr>
          <w:lang w:val="en-US"/>
        </w:rPr>
        <w:t>:EU:C:2005:743</w:t>
      </w:r>
      <w:proofErr w:type="gramEnd"/>
      <w:r w:rsidRPr="00F2005E">
        <w:rPr>
          <w:lang w:val="en-US"/>
        </w:rPr>
        <w:t xml:space="preserve">, para. 49, 62 </w:t>
      </w:r>
      <w:proofErr w:type="gramStart"/>
      <w:r w:rsidRPr="00F2005E">
        <w:rPr>
          <w:lang w:val="en-US"/>
        </w:rPr>
        <w:t>-  Smoke</w:t>
      </w:r>
      <w:proofErr w:type="gramEnd"/>
      <w:r w:rsidRPr="00F2005E">
        <w:rPr>
          <w:lang w:val="en-US"/>
        </w:rPr>
        <w:t xml:space="preserve"> </w:t>
      </w:r>
      <w:proofErr w:type="spellStart"/>
      <w:r w:rsidRPr="00F2005E">
        <w:rPr>
          <w:lang w:val="en-US"/>
        </w:rPr>
        <w:t>Flavourings</w:t>
      </w:r>
      <w:proofErr w:type="spellEnd"/>
      <w:r w:rsidRPr="00F2005E">
        <w:rPr>
          <w:lang w:val="en-US"/>
        </w:rPr>
        <w:t>.</w:t>
      </w:r>
    </w:p>
  </w:footnote>
  <w:footnote w:id="62">
    <w:p w:rsidR="009C5B86" w:rsidRPr="00F2005E" w:rsidRDefault="009C5B86" w:rsidP="00152BC2">
      <w:pPr>
        <w:pStyle w:val="Funotentext"/>
        <w:rPr>
          <w:lang w:val="en-US"/>
        </w:rPr>
      </w:pPr>
      <w:r w:rsidRPr="00F2005E">
        <w:rPr>
          <w:rStyle w:val="Funotenzeichen"/>
        </w:rPr>
        <w:footnoteRef/>
      </w:r>
      <w:r w:rsidRPr="00F2005E">
        <w:rPr>
          <w:lang w:val="en-US"/>
        </w:rPr>
        <w:t xml:space="preserve"> AG </w:t>
      </w:r>
      <w:proofErr w:type="spellStart"/>
      <w:r w:rsidRPr="00F2005E">
        <w:rPr>
          <w:lang w:val="en-US"/>
        </w:rPr>
        <w:t>Mengozzi</w:t>
      </w:r>
      <w:proofErr w:type="spellEnd"/>
      <w:r w:rsidRPr="00F2005E">
        <w:rPr>
          <w:lang w:val="en-US"/>
        </w:rPr>
        <w:t>, Opinion in Case C-88/14, ECLI</w:t>
      </w:r>
      <w:proofErr w:type="gramStart"/>
      <w:r w:rsidRPr="00F2005E">
        <w:rPr>
          <w:lang w:val="en-US"/>
        </w:rPr>
        <w:t>:EU:C:2015:304</w:t>
      </w:r>
      <w:proofErr w:type="gramEnd"/>
      <w:r w:rsidRPr="00F2005E">
        <w:rPr>
          <w:lang w:val="en-US"/>
        </w:rPr>
        <w:t>, para. 45.</w:t>
      </w:r>
    </w:p>
  </w:footnote>
  <w:footnote w:id="63">
    <w:p w:rsidR="009C5B86" w:rsidRPr="00F2005E" w:rsidRDefault="009C5B86" w:rsidP="007D3A9B">
      <w:pPr>
        <w:pStyle w:val="Funotentext"/>
        <w:rPr>
          <w:rFonts w:cs="Times New Roman"/>
          <w:lang w:val="en-US"/>
        </w:rPr>
      </w:pPr>
      <w:r w:rsidRPr="00F2005E">
        <w:rPr>
          <w:rStyle w:val="Funotenzeichen"/>
          <w:rFonts w:cs="Times New Roman"/>
        </w:rPr>
        <w:footnoteRef/>
      </w:r>
      <w:r w:rsidRPr="00F2005E">
        <w:rPr>
          <w:rFonts w:cs="Times New Roman"/>
          <w:lang w:val="en-US"/>
        </w:rPr>
        <w:t xml:space="preserve"> See CJEU Case C-66/04, ECLI</w:t>
      </w:r>
      <w:proofErr w:type="gramStart"/>
      <w:r w:rsidRPr="00F2005E">
        <w:rPr>
          <w:rFonts w:cs="Times New Roman"/>
          <w:lang w:val="en-US"/>
        </w:rPr>
        <w:t>:EU:C:2005:743</w:t>
      </w:r>
      <w:proofErr w:type="gramEnd"/>
      <w:r w:rsidRPr="00F2005E">
        <w:rPr>
          <w:rFonts w:cs="Times New Roman"/>
          <w:color w:val="666666"/>
          <w:shd w:val="clear" w:color="auto" w:fill="FFFFFF"/>
          <w:lang w:val="en-US"/>
        </w:rPr>
        <w:t xml:space="preserve">, </w:t>
      </w:r>
      <w:r w:rsidRPr="00F2005E">
        <w:rPr>
          <w:rFonts w:cs="Times New Roman"/>
          <w:lang w:val="en-US"/>
        </w:rPr>
        <w:t xml:space="preserve">para. </w:t>
      </w:r>
      <w:proofErr w:type="gramStart"/>
      <w:r w:rsidRPr="00F2005E">
        <w:rPr>
          <w:rFonts w:cs="Times New Roman"/>
          <w:lang w:val="en-US"/>
        </w:rPr>
        <w:t>48</w:t>
      </w:r>
      <w:proofErr w:type="gramEnd"/>
      <w:r w:rsidRPr="00F2005E">
        <w:rPr>
          <w:rFonts w:cs="Times New Roman"/>
          <w:lang w:val="en-US"/>
        </w:rPr>
        <w:t xml:space="preserve"> </w:t>
      </w:r>
      <w:proofErr w:type="spellStart"/>
      <w:r w:rsidRPr="00F2005E">
        <w:rPr>
          <w:rFonts w:cs="Times New Roman"/>
          <w:lang w:val="en-US"/>
        </w:rPr>
        <w:t>ff</w:t>
      </w:r>
      <w:proofErr w:type="spellEnd"/>
      <w:r w:rsidRPr="00F2005E">
        <w:rPr>
          <w:rFonts w:cs="Times New Roman"/>
          <w:lang w:val="en-US"/>
        </w:rPr>
        <w:t xml:space="preserve">, 62 regarding pre-Lisbon delegation to the Commission. </w:t>
      </w:r>
    </w:p>
  </w:footnote>
  <w:footnote w:id="64">
    <w:p w:rsidR="009C5B86" w:rsidRPr="00F2005E" w:rsidRDefault="009C5B86" w:rsidP="005D7DEF">
      <w:pPr>
        <w:pStyle w:val="Funotentext"/>
        <w:rPr>
          <w:rFonts w:cs="Times New Roman"/>
          <w:lang w:val="en-US"/>
        </w:rPr>
      </w:pPr>
      <w:r w:rsidRPr="00F2005E">
        <w:rPr>
          <w:rStyle w:val="Funotenzeichen"/>
          <w:rFonts w:cs="Times New Roman"/>
        </w:rPr>
        <w:footnoteRef/>
      </w:r>
      <w:r w:rsidRPr="00F2005E">
        <w:rPr>
          <w:rFonts w:cs="Times New Roman"/>
          <w:lang w:val="en-US"/>
        </w:rPr>
        <w:t xml:space="preserve"> CJEU, Case 9/56, ECLI</w:t>
      </w:r>
      <w:proofErr w:type="gramStart"/>
      <w:r w:rsidRPr="00F2005E">
        <w:rPr>
          <w:rFonts w:cs="Times New Roman"/>
          <w:lang w:val="en-US"/>
        </w:rPr>
        <w:t>:EU:C:1958:7</w:t>
      </w:r>
      <w:proofErr w:type="gramEnd"/>
      <w:r w:rsidRPr="00F2005E">
        <w:rPr>
          <w:rFonts w:cs="Times New Roman"/>
          <w:lang w:val="en-US"/>
        </w:rPr>
        <w:t xml:space="preserve"> = 1958 ECR 133 - </w:t>
      </w:r>
      <w:proofErr w:type="spellStart"/>
      <w:r w:rsidRPr="00F2005E">
        <w:rPr>
          <w:rFonts w:cs="Times New Roman"/>
          <w:lang w:val="en-US"/>
        </w:rPr>
        <w:t>Meroni</w:t>
      </w:r>
      <w:proofErr w:type="spellEnd"/>
      <w:r w:rsidRPr="00F2005E">
        <w:rPr>
          <w:rFonts w:cs="Times New Roman"/>
          <w:lang w:val="en-US"/>
        </w:rPr>
        <w:t>.</w:t>
      </w:r>
    </w:p>
  </w:footnote>
  <w:footnote w:id="65">
    <w:p w:rsidR="009C5B86" w:rsidRPr="00F2005E" w:rsidRDefault="009C5B86" w:rsidP="005D7DEF">
      <w:pPr>
        <w:pStyle w:val="Funotentext"/>
        <w:rPr>
          <w:rFonts w:cs="Times New Roman"/>
          <w:lang w:val="en-US"/>
        </w:rPr>
      </w:pPr>
      <w:r w:rsidRPr="00F2005E">
        <w:rPr>
          <w:rStyle w:val="Funotenzeichen"/>
          <w:rFonts w:cs="Times New Roman"/>
        </w:rPr>
        <w:footnoteRef/>
      </w:r>
      <w:r w:rsidRPr="00F2005E">
        <w:rPr>
          <w:rFonts w:cs="Times New Roman"/>
          <w:lang w:val="en-US"/>
        </w:rPr>
        <w:t xml:space="preserve"> P. Craig, EU Administrative Law, 2012, 155; CJEU, Case C-270/12, ECLI</w:t>
      </w:r>
      <w:proofErr w:type="gramStart"/>
      <w:r w:rsidRPr="00F2005E">
        <w:rPr>
          <w:rFonts w:cs="Times New Roman"/>
          <w:lang w:val="en-US"/>
        </w:rPr>
        <w:t>:EU:C:2014:18</w:t>
      </w:r>
      <w:proofErr w:type="gramEnd"/>
      <w:r w:rsidRPr="00F2005E">
        <w:rPr>
          <w:rFonts w:cs="Times New Roman"/>
          <w:lang w:val="en-US"/>
        </w:rPr>
        <w:t xml:space="preserve">, para. </w:t>
      </w:r>
      <w:proofErr w:type="gramStart"/>
      <w:r w:rsidRPr="00F2005E">
        <w:rPr>
          <w:rFonts w:cs="Times New Roman"/>
          <w:lang w:val="en-US"/>
        </w:rPr>
        <w:t>41</w:t>
      </w:r>
      <w:proofErr w:type="gramEnd"/>
      <w:r w:rsidRPr="00F2005E">
        <w:rPr>
          <w:rFonts w:cs="Times New Roman"/>
          <w:lang w:val="en-US"/>
        </w:rPr>
        <w:t xml:space="preserve"> </w:t>
      </w:r>
      <w:proofErr w:type="spellStart"/>
      <w:r w:rsidRPr="00F2005E">
        <w:rPr>
          <w:rFonts w:cs="Times New Roman"/>
          <w:lang w:val="en-US"/>
        </w:rPr>
        <w:t>ff</w:t>
      </w:r>
      <w:proofErr w:type="spellEnd"/>
      <w:r w:rsidRPr="00F2005E">
        <w:rPr>
          <w:rFonts w:cs="Times New Roman"/>
          <w:lang w:val="en-US"/>
        </w:rPr>
        <w:t xml:space="preserve"> – Short Selling. </w:t>
      </w:r>
    </w:p>
  </w:footnote>
  <w:footnote w:id="66">
    <w:p w:rsidR="009C5B86" w:rsidRPr="00F2005E" w:rsidRDefault="009C5B86" w:rsidP="00751648">
      <w:pPr>
        <w:pStyle w:val="Funotentext"/>
        <w:rPr>
          <w:lang w:val="en-US"/>
        </w:rPr>
      </w:pPr>
      <w:r w:rsidRPr="00F2005E">
        <w:rPr>
          <w:rStyle w:val="Funotenzeichen"/>
        </w:rPr>
        <w:footnoteRef/>
      </w:r>
      <w:r w:rsidRPr="00F2005E">
        <w:rPr>
          <w:lang w:val="en-US"/>
        </w:rPr>
        <w:t xml:space="preserve"> CJEU, Case 9/56, ECLI</w:t>
      </w:r>
      <w:proofErr w:type="gramStart"/>
      <w:r w:rsidRPr="00F2005E">
        <w:rPr>
          <w:lang w:val="en-US"/>
        </w:rPr>
        <w:t>:EU:C:1958:7</w:t>
      </w:r>
      <w:proofErr w:type="gramEnd"/>
      <w:r w:rsidRPr="00F2005E">
        <w:rPr>
          <w:lang w:val="en-US"/>
        </w:rPr>
        <w:t xml:space="preserve"> = 1958 ECR 133 at 152; Joined Cases C-154/04 and C-155/04, ECLI:EU:C:2005:449, para. 90.</w:t>
      </w:r>
    </w:p>
  </w:footnote>
  <w:footnote w:id="67">
    <w:p w:rsidR="009C5B86" w:rsidRPr="00F2005E" w:rsidRDefault="009C5B86" w:rsidP="00751648">
      <w:pPr>
        <w:pStyle w:val="Funotentext"/>
        <w:rPr>
          <w:lang w:val="en-US"/>
        </w:rPr>
      </w:pPr>
      <w:r w:rsidRPr="00F2005E">
        <w:rPr>
          <w:rStyle w:val="Funotenzeichen"/>
        </w:rPr>
        <w:footnoteRef/>
      </w:r>
      <w:r w:rsidRPr="00F2005E">
        <w:rPr>
          <w:lang w:val="en-US"/>
        </w:rPr>
        <w:t xml:space="preserve"> Discretionary powers are critical as soon as they imply a wide margin of </w:t>
      </w:r>
      <w:proofErr w:type="gramStart"/>
      <w:r w:rsidRPr="00F2005E">
        <w:rPr>
          <w:lang w:val="en-US"/>
        </w:rPr>
        <w:t>discretion,</w:t>
      </w:r>
      <w:proofErr w:type="gramEnd"/>
      <w:r w:rsidRPr="00F2005E">
        <w:rPr>
          <w:lang w:val="en-US"/>
        </w:rPr>
        <w:t xml:space="preserve"> see </w:t>
      </w:r>
      <w:r w:rsidRPr="00F2005E">
        <w:rPr>
          <w:rFonts w:cs="Times New Roman"/>
          <w:lang w:val="en-US"/>
        </w:rPr>
        <w:t xml:space="preserve">CJEU, </w:t>
      </w:r>
      <w:r w:rsidRPr="00F2005E">
        <w:rPr>
          <w:lang w:val="en-US"/>
        </w:rPr>
        <w:t xml:space="preserve">Case 9/56, at 154; </w:t>
      </w:r>
      <w:r w:rsidRPr="00F2005E">
        <w:rPr>
          <w:rFonts w:cs="Times New Roman"/>
          <w:lang w:val="en-US"/>
        </w:rPr>
        <w:t xml:space="preserve">Case C-270/12, para. 50. </w:t>
      </w:r>
      <w:proofErr w:type="gramStart"/>
      <w:r w:rsidRPr="00F2005E">
        <w:rPr>
          <w:rFonts w:cs="Times New Roman"/>
          <w:lang w:val="en-US"/>
        </w:rPr>
        <w:t>For</w:t>
      </w:r>
      <w:proofErr w:type="gramEnd"/>
      <w:r w:rsidRPr="00F2005E">
        <w:rPr>
          <w:rFonts w:cs="Times New Roman"/>
          <w:lang w:val="en-US"/>
        </w:rPr>
        <w:t xml:space="preserve"> this understanding see also R. </w:t>
      </w:r>
      <w:proofErr w:type="spellStart"/>
      <w:r w:rsidRPr="00F2005E">
        <w:rPr>
          <w:rFonts w:cs="Times New Roman"/>
          <w:lang w:val="en-US"/>
        </w:rPr>
        <w:t>Schütze</w:t>
      </w:r>
      <w:proofErr w:type="spellEnd"/>
      <w:r w:rsidRPr="00F2005E">
        <w:rPr>
          <w:rFonts w:cs="Times New Roman"/>
          <w:lang w:val="en-US"/>
        </w:rPr>
        <w:t>, (2011) MLR 661 at 674, note 89.</w:t>
      </w:r>
    </w:p>
  </w:footnote>
  <w:footnote w:id="68">
    <w:p w:rsidR="009C5B86" w:rsidRPr="00F2005E" w:rsidRDefault="009C5B86">
      <w:pPr>
        <w:pStyle w:val="Funotentext"/>
        <w:rPr>
          <w:lang w:val="en-US"/>
        </w:rPr>
      </w:pPr>
      <w:r w:rsidRPr="00F2005E">
        <w:rPr>
          <w:rStyle w:val="Funotenzeichen"/>
        </w:rPr>
        <w:footnoteRef/>
      </w:r>
      <w:r w:rsidRPr="00F2005E">
        <w:rPr>
          <w:lang w:val="en-US"/>
        </w:rPr>
        <w:t xml:space="preserve"> G. de </w:t>
      </w:r>
      <w:proofErr w:type="spellStart"/>
      <w:r w:rsidRPr="00F2005E">
        <w:rPr>
          <w:lang w:val="en-US"/>
        </w:rPr>
        <w:t>Baere</w:t>
      </w:r>
      <w:proofErr w:type="spellEnd"/>
      <w:r w:rsidRPr="00F2005E">
        <w:rPr>
          <w:lang w:val="en-US"/>
        </w:rPr>
        <w:t xml:space="preserve">, in </w:t>
      </w:r>
      <w:proofErr w:type="spellStart"/>
      <w:r w:rsidRPr="00F2005E">
        <w:rPr>
          <w:lang w:val="en-US"/>
        </w:rPr>
        <w:t>Schütze</w:t>
      </w:r>
      <w:proofErr w:type="spellEnd"/>
      <w:r w:rsidRPr="00F2005E">
        <w:rPr>
          <w:lang w:val="en-US"/>
        </w:rPr>
        <w:t>/</w:t>
      </w:r>
      <w:proofErr w:type="spellStart"/>
      <w:r w:rsidRPr="00F2005E">
        <w:rPr>
          <w:lang w:val="en-US"/>
        </w:rPr>
        <w:t>Tridimas</w:t>
      </w:r>
      <w:proofErr w:type="spellEnd"/>
      <w:r w:rsidRPr="00F2005E">
        <w:rPr>
          <w:lang w:val="en-US"/>
        </w:rPr>
        <w:t xml:space="preserve"> (</w:t>
      </w:r>
      <w:proofErr w:type="spellStart"/>
      <w:proofErr w:type="gramStart"/>
      <w:r w:rsidRPr="00F2005E">
        <w:rPr>
          <w:lang w:val="en-US"/>
        </w:rPr>
        <w:t>eds</w:t>
      </w:r>
      <w:proofErr w:type="spellEnd"/>
      <w:proofErr w:type="gramEnd"/>
      <w:r w:rsidRPr="00F2005E">
        <w:rPr>
          <w:lang w:val="en-US"/>
        </w:rPr>
        <w:t>), Oxford Principles of EU Law, Vol I, 2018, 1234 at 1246.</w:t>
      </w:r>
    </w:p>
  </w:footnote>
  <w:footnote w:id="69">
    <w:p w:rsidR="009C5B86" w:rsidRPr="00F2005E" w:rsidRDefault="009C5B86" w:rsidP="003B021E">
      <w:pPr>
        <w:pStyle w:val="Funotentext"/>
        <w:rPr>
          <w:lang w:val="en-US"/>
        </w:rPr>
      </w:pPr>
      <w:r w:rsidRPr="00F2005E">
        <w:rPr>
          <w:rStyle w:val="Funotenzeichen"/>
        </w:rPr>
        <w:footnoteRef/>
      </w:r>
      <w:r w:rsidRPr="00F2005E">
        <w:rPr>
          <w:lang w:val="en-US"/>
        </w:rPr>
        <w:t xml:space="preserve"> AG </w:t>
      </w:r>
      <w:proofErr w:type="spellStart"/>
      <w:r w:rsidRPr="00F2005E">
        <w:rPr>
          <w:lang w:val="en-US"/>
        </w:rPr>
        <w:t>Maciej</w:t>
      </w:r>
      <w:proofErr w:type="spellEnd"/>
      <w:r w:rsidRPr="00F2005E">
        <w:rPr>
          <w:lang w:val="en-US"/>
        </w:rPr>
        <w:t xml:space="preserve"> </w:t>
      </w:r>
      <w:proofErr w:type="spellStart"/>
      <w:r w:rsidRPr="00F2005E">
        <w:rPr>
          <w:lang w:val="en-US"/>
        </w:rPr>
        <w:t>Szpunar</w:t>
      </w:r>
      <w:proofErr w:type="spellEnd"/>
      <w:r w:rsidRPr="00F2005E">
        <w:rPr>
          <w:lang w:val="en-US"/>
        </w:rPr>
        <w:t>, Opinion in Case C-600/14, ECLI</w:t>
      </w:r>
      <w:proofErr w:type="gramStart"/>
      <w:r w:rsidRPr="00F2005E">
        <w:rPr>
          <w:lang w:val="en-US"/>
        </w:rPr>
        <w:t>:EU:C:2017:296</w:t>
      </w:r>
      <w:proofErr w:type="gramEnd"/>
      <w:r w:rsidRPr="00F2005E">
        <w:rPr>
          <w:lang w:val="en-US"/>
        </w:rPr>
        <w:t>, para. 58, fn. 30</w:t>
      </w:r>
    </w:p>
  </w:footnote>
  <w:footnote w:id="70">
    <w:p w:rsidR="009C5B86" w:rsidRPr="00F2005E" w:rsidRDefault="009C5B86" w:rsidP="003B021E">
      <w:pPr>
        <w:pStyle w:val="Funotentext"/>
        <w:rPr>
          <w:rFonts w:cs="Times New Roman"/>
          <w:lang w:val="en-US"/>
        </w:rPr>
      </w:pPr>
      <w:r w:rsidRPr="00F2005E">
        <w:rPr>
          <w:rStyle w:val="Funotenzeichen"/>
        </w:rPr>
        <w:footnoteRef/>
      </w:r>
      <w:r w:rsidRPr="00F2005E">
        <w:rPr>
          <w:lang w:val="en-US"/>
        </w:rPr>
        <w:t xml:space="preserve"> </w:t>
      </w:r>
      <w:r w:rsidRPr="00F2005E">
        <w:rPr>
          <w:rFonts w:cs="Times New Roman"/>
          <w:lang w:val="en-US"/>
        </w:rPr>
        <w:t xml:space="preserve">Opinion of </w:t>
      </w:r>
      <w:r w:rsidRPr="00F2005E">
        <w:rPr>
          <w:rFonts w:cs="Times New Roman"/>
          <w:color w:val="000000" w:themeColor="text1"/>
          <w:lang w:val="fr-FR"/>
        </w:rPr>
        <w:t xml:space="preserve">AG </w:t>
      </w:r>
      <w:r w:rsidRPr="00F2005E">
        <w:rPr>
          <w:rFonts w:cs="Times New Roman"/>
          <w:i/>
          <w:color w:val="000000" w:themeColor="text1"/>
          <w:lang w:val="fr-FR"/>
        </w:rPr>
        <w:t>Cruz Villalon</w:t>
      </w:r>
      <w:r w:rsidRPr="00F2005E">
        <w:rPr>
          <w:rFonts w:cs="Times New Roman"/>
          <w:color w:val="000000" w:themeColor="text1"/>
          <w:lang w:val="fr-FR"/>
        </w:rPr>
        <w:t xml:space="preserve"> in Case C-399/12, ECLI</w:t>
      </w:r>
      <w:proofErr w:type="gramStart"/>
      <w:r w:rsidRPr="00F2005E">
        <w:rPr>
          <w:rFonts w:cs="Times New Roman"/>
          <w:color w:val="000000" w:themeColor="text1"/>
          <w:lang w:val="fr-FR"/>
        </w:rPr>
        <w:t>:EU:C:2014:289</w:t>
      </w:r>
      <w:proofErr w:type="gramEnd"/>
      <w:r w:rsidRPr="00F2005E">
        <w:rPr>
          <w:rFonts w:cs="Times New Roman"/>
          <w:color w:val="000000" w:themeColor="text1"/>
          <w:lang w:val="fr-FR"/>
        </w:rPr>
        <w:t>, para. 75.</w:t>
      </w:r>
    </w:p>
  </w:footnote>
  <w:footnote w:id="71">
    <w:p w:rsidR="009C5B86" w:rsidRPr="00F2005E" w:rsidRDefault="009C5B86" w:rsidP="003B021E">
      <w:pPr>
        <w:pStyle w:val="Funotentext"/>
        <w:rPr>
          <w:rFonts w:cs="Times New Roman"/>
          <w:lang w:val="en-US"/>
        </w:rPr>
      </w:pPr>
      <w:r w:rsidRPr="00F2005E">
        <w:rPr>
          <w:rStyle w:val="Funotenzeichen"/>
          <w:rFonts w:cs="Times New Roman"/>
        </w:rPr>
        <w:footnoteRef/>
      </w:r>
      <w:r w:rsidRPr="00F2005E">
        <w:rPr>
          <w:rFonts w:cs="Times New Roman"/>
          <w:lang w:val="en-US"/>
        </w:rPr>
        <w:t xml:space="preserve"> Cf. Opinion of </w:t>
      </w:r>
      <w:r w:rsidRPr="00F2005E">
        <w:rPr>
          <w:rFonts w:cs="Times New Roman"/>
          <w:color w:val="000000" w:themeColor="text1"/>
          <w:lang w:val="fr-FR"/>
        </w:rPr>
        <w:t xml:space="preserve">AG </w:t>
      </w:r>
      <w:r w:rsidRPr="00F2005E">
        <w:rPr>
          <w:rFonts w:cs="Times New Roman"/>
          <w:i/>
          <w:color w:val="000000" w:themeColor="text1"/>
          <w:lang w:val="fr-FR"/>
        </w:rPr>
        <w:t>Cruz Villalon</w:t>
      </w:r>
      <w:r w:rsidRPr="00F2005E">
        <w:rPr>
          <w:rFonts w:cs="Times New Roman"/>
          <w:color w:val="000000" w:themeColor="text1"/>
          <w:lang w:val="fr-FR"/>
        </w:rPr>
        <w:t xml:space="preserve"> in Case C-399/12, ECLI</w:t>
      </w:r>
      <w:proofErr w:type="gramStart"/>
      <w:r w:rsidRPr="00F2005E">
        <w:rPr>
          <w:rFonts w:cs="Times New Roman"/>
          <w:color w:val="000000" w:themeColor="text1"/>
          <w:lang w:val="fr-FR"/>
        </w:rPr>
        <w:t>:EU:C:2014:289</w:t>
      </w:r>
      <w:proofErr w:type="gramEnd"/>
      <w:r w:rsidRPr="00F2005E">
        <w:rPr>
          <w:rFonts w:cs="Times New Roman"/>
          <w:color w:val="000000" w:themeColor="text1"/>
          <w:lang w:val="fr-FR"/>
        </w:rPr>
        <w:t>, para. 80</w:t>
      </w:r>
      <w:r w:rsidRPr="00F2005E">
        <w:rPr>
          <w:rFonts w:cs="Times New Roman"/>
          <w:lang w:val="en-US"/>
        </w:rPr>
        <w:t>.</w:t>
      </w:r>
    </w:p>
  </w:footnote>
  <w:footnote w:id="72">
    <w:p w:rsidR="009C5B86" w:rsidRPr="00F2005E" w:rsidRDefault="009C5B86">
      <w:pPr>
        <w:pStyle w:val="Funotentext"/>
        <w:rPr>
          <w:lang w:val="en-US"/>
        </w:rPr>
      </w:pPr>
      <w:r w:rsidRPr="00F2005E">
        <w:rPr>
          <w:rStyle w:val="Funotenzeichen"/>
        </w:rPr>
        <w:footnoteRef/>
      </w:r>
      <w:r w:rsidRPr="00F2005E">
        <w:rPr>
          <w:lang w:val="en-US"/>
        </w:rPr>
        <w:t xml:space="preserve"> See C. </w:t>
      </w:r>
      <w:proofErr w:type="spellStart"/>
      <w:r w:rsidRPr="00F2005E">
        <w:rPr>
          <w:lang w:val="en-US"/>
        </w:rPr>
        <w:t>Möllers</w:t>
      </w:r>
      <w:proofErr w:type="spellEnd"/>
      <w:r w:rsidRPr="00F2005E">
        <w:rPr>
          <w:lang w:val="en-US"/>
        </w:rPr>
        <w:t>, The Three Branches, 2015, p. 166 f.</w:t>
      </w:r>
    </w:p>
  </w:footnote>
  <w:footnote w:id="73">
    <w:p w:rsidR="009C5B86" w:rsidRPr="00F2005E" w:rsidRDefault="009C5B86" w:rsidP="001B5708">
      <w:pPr>
        <w:pStyle w:val="Funotentext"/>
        <w:rPr>
          <w:lang w:val="en-US"/>
        </w:rPr>
      </w:pPr>
      <w:r w:rsidRPr="00F2005E">
        <w:rPr>
          <w:rStyle w:val="Funotenzeichen"/>
        </w:rPr>
        <w:footnoteRef/>
      </w:r>
      <w:r w:rsidRPr="00F2005E">
        <w:rPr>
          <w:lang w:val="en-US"/>
        </w:rPr>
        <w:t xml:space="preserve"> R. </w:t>
      </w:r>
      <w:proofErr w:type="spellStart"/>
      <w:r w:rsidRPr="00F2005E">
        <w:rPr>
          <w:lang w:val="en-US"/>
        </w:rPr>
        <w:t>Dehousse</w:t>
      </w:r>
      <w:proofErr w:type="spellEnd"/>
      <w:r w:rsidRPr="00F2005E">
        <w:rPr>
          <w:lang w:val="en-US"/>
        </w:rPr>
        <w:t xml:space="preserve">, The Politics of Delegation in the EU, in </w:t>
      </w:r>
      <w:proofErr w:type="spellStart"/>
      <w:r w:rsidRPr="00F2005E">
        <w:rPr>
          <w:lang w:val="en-US"/>
        </w:rPr>
        <w:t>Ritleng</w:t>
      </w:r>
      <w:proofErr w:type="spellEnd"/>
      <w:r w:rsidRPr="00F2005E">
        <w:rPr>
          <w:lang w:val="en-US"/>
        </w:rPr>
        <w:t xml:space="preserve"> (</w:t>
      </w:r>
      <w:proofErr w:type="spellStart"/>
      <w:r w:rsidRPr="00F2005E">
        <w:rPr>
          <w:lang w:val="en-US"/>
        </w:rPr>
        <w:t>ed</w:t>
      </w:r>
      <w:proofErr w:type="spellEnd"/>
      <w:r w:rsidRPr="00F2005E">
        <w:rPr>
          <w:lang w:val="en-US"/>
        </w:rPr>
        <w:t xml:space="preserve">), Independence and Legitimacy in the Institutional System of the EU, 2017, 57 at 60 f; </w:t>
      </w:r>
      <w:r w:rsidRPr="00F2005E">
        <w:rPr>
          <w:color w:val="000000" w:themeColor="text1"/>
          <w:lang w:val="en-US"/>
        </w:rPr>
        <w:t xml:space="preserve">G. </w:t>
      </w:r>
      <w:proofErr w:type="spellStart"/>
      <w:r w:rsidRPr="00F2005E">
        <w:rPr>
          <w:color w:val="000000" w:themeColor="text1"/>
          <w:lang w:val="en-US"/>
        </w:rPr>
        <w:t>Brandsma</w:t>
      </w:r>
      <w:proofErr w:type="spellEnd"/>
      <w:r w:rsidRPr="00F2005E">
        <w:rPr>
          <w:color w:val="000000" w:themeColor="text1"/>
          <w:lang w:val="en-US"/>
        </w:rPr>
        <w:t xml:space="preserve">/J. </w:t>
      </w:r>
      <w:proofErr w:type="spellStart"/>
      <w:r w:rsidRPr="00F2005E">
        <w:rPr>
          <w:color w:val="000000" w:themeColor="text1"/>
          <w:lang w:val="en-US"/>
        </w:rPr>
        <w:t>Blom</w:t>
      </w:r>
      <w:proofErr w:type="spellEnd"/>
      <w:r w:rsidRPr="00F2005E">
        <w:rPr>
          <w:color w:val="000000" w:themeColor="text1"/>
          <w:lang w:val="en-US"/>
        </w:rPr>
        <w:t>-Hansen, Controlling the EU Executive?, 2017, 23 ff</w:t>
      </w:r>
      <w:r w:rsidRPr="00F2005E">
        <w:rPr>
          <w:lang w:val="en-US"/>
        </w:rPr>
        <w:t xml:space="preserve">. The application of the principal-agent model to Comitology is not uncontested as the national representatives in the committees also engage in supranational deliberations and may prefer to search an EU solution over enforcing their national governments´ position, see P. Craig, The Lisbon Treaty, 2013, 55. This institutionalists´ view, however, confirms the principals´ need for effective control mechanisms over their agent. </w:t>
      </w:r>
    </w:p>
  </w:footnote>
  <w:footnote w:id="74">
    <w:p w:rsidR="009C5B86" w:rsidRPr="00F2005E" w:rsidRDefault="009C5B86" w:rsidP="001D7E96">
      <w:pPr>
        <w:pStyle w:val="Funotentext"/>
        <w:rPr>
          <w:lang w:val="en-US"/>
        </w:rPr>
      </w:pPr>
      <w:r w:rsidRPr="00F2005E">
        <w:rPr>
          <w:rStyle w:val="Funotenzeichen"/>
        </w:rPr>
        <w:footnoteRef/>
      </w:r>
      <w:r w:rsidRPr="00F2005E">
        <w:rPr>
          <w:lang w:val="en-US"/>
        </w:rPr>
        <w:t xml:space="preserve"> CJEU</w:t>
      </w:r>
      <w:r w:rsidRPr="00F2005E">
        <w:rPr>
          <w:rFonts w:cs="Times New Roman"/>
          <w:color w:val="000000" w:themeColor="text1"/>
          <w:lang w:val="en-US"/>
        </w:rPr>
        <w:t xml:space="preserve">, Case C-73/14, </w:t>
      </w:r>
      <w:r w:rsidRPr="00F2005E">
        <w:rPr>
          <w:rFonts w:cs="Times New Roman"/>
          <w:color w:val="000000" w:themeColor="text1"/>
          <w:shd w:val="clear" w:color="auto" w:fill="FFFFFF"/>
          <w:lang w:val="en-US"/>
        </w:rPr>
        <w:t>ECLI</w:t>
      </w:r>
      <w:proofErr w:type="gramStart"/>
      <w:r w:rsidRPr="00F2005E">
        <w:rPr>
          <w:rFonts w:cs="Times New Roman"/>
          <w:color w:val="000000" w:themeColor="text1"/>
          <w:shd w:val="clear" w:color="auto" w:fill="FFFFFF"/>
          <w:lang w:val="en-US"/>
        </w:rPr>
        <w:t>:EU:C:2015:663</w:t>
      </w:r>
      <w:proofErr w:type="gramEnd"/>
      <w:r w:rsidRPr="00F2005E">
        <w:rPr>
          <w:rFonts w:cs="Times New Roman"/>
          <w:color w:val="000000" w:themeColor="text1"/>
          <w:shd w:val="clear" w:color="auto" w:fill="FFFFFF"/>
          <w:lang w:val="en-US"/>
        </w:rPr>
        <w:t>,</w:t>
      </w:r>
      <w:r w:rsidRPr="00F2005E">
        <w:rPr>
          <w:rFonts w:cs="Times New Roman"/>
          <w:color w:val="000000" w:themeColor="text1"/>
          <w:lang w:val="en-US"/>
        </w:rPr>
        <w:t xml:space="preserve"> para. 65.</w:t>
      </w:r>
    </w:p>
  </w:footnote>
  <w:footnote w:id="75">
    <w:p w:rsidR="009C5B86" w:rsidRPr="00F2005E" w:rsidRDefault="009C5B86" w:rsidP="009A221B">
      <w:pPr>
        <w:pStyle w:val="Funotentext"/>
        <w:rPr>
          <w:lang w:val="en-US"/>
        </w:rPr>
      </w:pPr>
      <w:r w:rsidRPr="00F2005E">
        <w:rPr>
          <w:rStyle w:val="Funotenzeichen"/>
        </w:rPr>
        <w:footnoteRef/>
      </w:r>
      <w:r w:rsidRPr="00F2005E">
        <w:rPr>
          <w:lang w:val="en-US"/>
        </w:rPr>
        <w:t xml:space="preserve"> B. </w:t>
      </w:r>
      <w:proofErr w:type="spellStart"/>
      <w:r w:rsidRPr="00F2005E">
        <w:rPr>
          <w:lang w:val="en-US"/>
        </w:rPr>
        <w:t>Iancu</w:t>
      </w:r>
      <w:proofErr w:type="spellEnd"/>
      <w:r w:rsidRPr="00F2005E">
        <w:rPr>
          <w:lang w:val="en-US"/>
        </w:rPr>
        <w:t>, Legislative Delegation. The Erosion of Normative Limits in Modern Constitutionalism, 2012.</w:t>
      </w:r>
    </w:p>
  </w:footnote>
  <w:footnote w:id="76">
    <w:p w:rsidR="009C5B86" w:rsidRPr="00F2005E" w:rsidRDefault="009C5B86" w:rsidP="009A221B">
      <w:pPr>
        <w:pStyle w:val="Funotentext"/>
        <w:rPr>
          <w:lang w:val="en-US"/>
        </w:rPr>
      </w:pPr>
      <w:r w:rsidRPr="00F2005E">
        <w:rPr>
          <w:rStyle w:val="Funotenzeichen"/>
        </w:rPr>
        <w:footnoteRef/>
      </w:r>
      <w:r w:rsidRPr="00F2005E">
        <w:rPr>
          <w:lang w:val="en-US"/>
        </w:rPr>
        <w:t xml:space="preserve"> See P. </w:t>
      </w:r>
      <w:proofErr w:type="spellStart"/>
      <w:r w:rsidRPr="00F2005E">
        <w:rPr>
          <w:lang w:val="en-US"/>
        </w:rPr>
        <w:t>Lindseth</w:t>
      </w:r>
      <w:proofErr w:type="spellEnd"/>
      <w:r w:rsidRPr="00F2005E">
        <w:rPr>
          <w:lang w:val="en-US"/>
        </w:rPr>
        <w:t>, Power and Legitimacy, 2010, 254.</w:t>
      </w:r>
    </w:p>
  </w:footnote>
  <w:footnote w:id="77">
    <w:p w:rsidR="00CA310B" w:rsidRPr="00F37FEC" w:rsidRDefault="00CA310B" w:rsidP="00CA310B">
      <w:pPr>
        <w:pStyle w:val="Funotentext"/>
        <w:rPr>
          <w:lang w:val="en-US"/>
        </w:rPr>
      </w:pPr>
      <w:r>
        <w:rPr>
          <w:rStyle w:val="Funotenzeichen"/>
        </w:rPr>
        <w:footnoteRef/>
      </w:r>
      <w:r w:rsidRPr="00F37FEC">
        <w:rPr>
          <w:lang w:val="en-US"/>
        </w:rPr>
        <w:t xml:space="preserve"> </w:t>
      </w:r>
      <w:r>
        <w:rPr>
          <w:lang w:val="en-US"/>
        </w:rPr>
        <w:t>As</w:t>
      </w:r>
      <w:r w:rsidRPr="00F37FEC">
        <w:rPr>
          <w:lang w:val="en-US"/>
        </w:rPr>
        <w:t xml:space="preserve"> </w:t>
      </w:r>
      <w:proofErr w:type="gramStart"/>
      <w:r w:rsidRPr="00F37FEC">
        <w:rPr>
          <w:lang w:val="en-US"/>
        </w:rPr>
        <w:t>is provided for</w:t>
      </w:r>
      <w:proofErr w:type="gramEnd"/>
      <w:r w:rsidRPr="00F37FEC">
        <w:rPr>
          <w:lang w:val="en-US"/>
        </w:rPr>
        <w:t xml:space="preserve"> in the </w:t>
      </w:r>
      <w:proofErr w:type="spellStart"/>
      <w:r w:rsidRPr="00F37FEC">
        <w:rPr>
          <w:lang w:val="en-US"/>
        </w:rPr>
        <w:t>Cotonou</w:t>
      </w:r>
      <w:proofErr w:type="spellEnd"/>
      <w:r w:rsidRPr="00F37FEC">
        <w:rPr>
          <w:lang w:val="en-US"/>
        </w:rPr>
        <w:t xml:space="preserve"> Agreement.</w:t>
      </w:r>
    </w:p>
  </w:footnote>
  <w:footnote w:id="78">
    <w:p w:rsidR="009C5B86" w:rsidRPr="00214004" w:rsidRDefault="009C5B86" w:rsidP="00465E4E">
      <w:pPr>
        <w:pStyle w:val="Funotentext"/>
        <w:rPr>
          <w:lang w:val="en-US"/>
        </w:rPr>
      </w:pPr>
      <w:r w:rsidRPr="00F2005E">
        <w:rPr>
          <w:rStyle w:val="Funotenzeichen"/>
        </w:rPr>
        <w:footnoteRef/>
      </w:r>
      <w:r w:rsidRPr="00F2005E">
        <w:rPr>
          <w:lang w:val="en-US"/>
        </w:rPr>
        <w:t xml:space="preserve"> </w:t>
      </w:r>
      <w:r w:rsidRPr="00F2005E">
        <w:rPr>
          <w:rFonts w:cs="Times New Roman"/>
          <w:lang w:val="en-US"/>
        </w:rPr>
        <w:t>See Annex III, para</w:t>
      </w:r>
      <w:r w:rsidRPr="00F2005E">
        <w:rPr>
          <w:lang w:val="en-US"/>
        </w:rPr>
        <w:t xml:space="preserve">. </w:t>
      </w:r>
      <w:proofErr w:type="gramStart"/>
      <w:r w:rsidRPr="00F2005E">
        <w:rPr>
          <w:lang w:val="en-US"/>
        </w:rPr>
        <w:t>9</w:t>
      </w:r>
      <w:proofErr w:type="gramEnd"/>
      <w:r w:rsidRPr="00F2005E">
        <w:rPr>
          <w:lang w:val="en-US"/>
        </w:rPr>
        <w:t xml:space="preserve"> of the Framework Agreement.</w:t>
      </w:r>
    </w:p>
  </w:footnote>
  <w:footnote w:id="79">
    <w:p w:rsidR="009C5B86" w:rsidRPr="00C90091" w:rsidRDefault="009C5B86">
      <w:pPr>
        <w:pStyle w:val="Funotentext"/>
        <w:rPr>
          <w:lang w:val="en-US"/>
        </w:rPr>
      </w:pPr>
      <w:r>
        <w:rPr>
          <w:rStyle w:val="Funotenzeichen"/>
        </w:rPr>
        <w:footnoteRef/>
      </w:r>
      <w:r w:rsidRPr="00C90091">
        <w:rPr>
          <w:lang w:val="en-US"/>
        </w:rPr>
        <w:t xml:space="preserve"> Accord </w:t>
      </w:r>
      <w:proofErr w:type="spellStart"/>
      <w:r w:rsidRPr="00C90091">
        <w:rPr>
          <w:lang w:val="en-US"/>
        </w:rPr>
        <w:t>Alemanno</w:t>
      </w:r>
      <w:proofErr w:type="spellEnd"/>
      <w:r w:rsidRPr="00C90091">
        <w:rPr>
          <w:lang w:val="en-US"/>
        </w:rPr>
        <w:t>,</w:t>
      </w:r>
      <w:r w:rsidRPr="00C90091">
        <w:rPr>
          <w:rFonts w:cs="Times New Roman"/>
          <w:color w:val="000000" w:themeColor="text1"/>
          <w:lang w:val="en-US"/>
        </w:rPr>
        <w:t xml:space="preserve"> </w:t>
      </w:r>
      <w:r>
        <w:rPr>
          <w:rFonts w:cs="Times New Roman"/>
          <w:color w:val="000000" w:themeColor="text1"/>
          <w:lang w:val="en-US"/>
        </w:rPr>
        <w:t xml:space="preserve">2015 </w:t>
      </w:r>
      <w:r w:rsidRPr="00F2005E">
        <w:rPr>
          <w:rFonts w:cs="Times New Roman"/>
          <w:color w:val="000000" w:themeColor="text1"/>
          <w:lang w:val="en-US"/>
        </w:rPr>
        <w:t>JIEL 625 at 636</w:t>
      </w:r>
      <w:r>
        <w:rPr>
          <w:rFonts w:cs="Times New Roman"/>
          <w:color w:val="000000" w:themeColor="text1"/>
          <w:lang w:val="en-US"/>
        </w:rPr>
        <w:t xml:space="preserve"> 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D6D"/>
    <w:multiLevelType w:val="hybridMultilevel"/>
    <w:tmpl w:val="5836807A"/>
    <w:lvl w:ilvl="0" w:tplc="4D4A815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8D74778"/>
    <w:multiLevelType w:val="hybridMultilevel"/>
    <w:tmpl w:val="59E2BFE2"/>
    <w:lvl w:ilvl="0" w:tplc="B59CAFB6">
      <w:start w:val="1"/>
      <w:numFmt w:val="upperRoman"/>
      <w:lvlText w:val="%1."/>
      <w:lvlJc w:val="left"/>
      <w:pPr>
        <w:ind w:left="1080" w:hanging="72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2E6D34"/>
    <w:multiLevelType w:val="hybridMultilevel"/>
    <w:tmpl w:val="E24E4A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796061"/>
    <w:multiLevelType w:val="hybridMultilevel"/>
    <w:tmpl w:val="866C7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866A59"/>
    <w:multiLevelType w:val="hybridMultilevel"/>
    <w:tmpl w:val="5836807A"/>
    <w:lvl w:ilvl="0" w:tplc="4D4A815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9642AFB"/>
    <w:multiLevelType w:val="hybridMultilevel"/>
    <w:tmpl w:val="412C9AE4"/>
    <w:lvl w:ilvl="0" w:tplc="E4866AD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C507FD5"/>
    <w:multiLevelType w:val="hybridMultilevel"/>
    <w:tmpl w:val="092C4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FA4450"/>
    <w:multiLevelType w:val="hybridMultilevel"/>
    <w:tmpl w:val="DDC68A06"/>
    <w:lvl w:ilvl="0" w:tplc="7DEEA254">
      <w:start w:val="1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CC3D10"/>
    <w:multiLevelType w:val="hybridMultilevel"/>
    <w:tmpl w:val="DD50CECA"/>
    <w:lvl w:ilvl="0" w:tplc="7D465F9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8"/>
  </w:num>
  <w:num w:numId="3">
    <w:abstractNumId w:val="5"/>
  </w:num>
  <w:num w:numId="4">
    <w:abstractNumId w:val="7"/>
  </w:num>
  <w:num w:numId="5">
    <w:abstractNumId w:val="2"/>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53"/>
    <w:rsid w:val="0000052A"/>
    <w:rsid w:val="00005459"/>
    <w:rsid w:val="00005B3E"/>
    <w:rsid w:val="0001607F"/>
    <w:rsid w:val="000205D7"/>
    <w:rsid w:val="0002068C"/>
    <w:rsid w:val="00020782"/>
    <w:rsid w:val="00033A11"/>
    <w:rsid w:val="000361E8"/>
    <w:rsid w:val="00040306"/>
    <w:rsid w:val="000426EA"/>
    <w:rsid w:val="00044757"/>
    <w:rsid w:val="00053E2A"/>
    <w:rsid w:val="00062EF5"/>
    <w:rsid w:val="0006638C"/>
    <w:rsid w:val="000676C7"/>
    <w:rsid w:val="0007210B"/>
    <w:rsid w:val="00073BE9"/>
    <w:rsid w:val="0008020B"/>
    <w:rsid w:val="00080DB5"/>
    <w:rsid w:val="000B4B07"/>
    <w:rsid w:val="000D4F38"/>
    <w:rsid w:val="000E59B7"/>
    <w:rsid w:val="000E637D"/>
    <w:rsid w:val="000F6297"/>
    <w:rsid w:val="00110828"/>
    <w:rsid w:val="0011701D"/>
    <w:rsid w:val="0011769F"/>
    <w:rsid w:val="00121E58"/>
    <w:rsid w:val="00123C40"/>
    <w:rsid w:val="001247E4"/>
    <w:rsid w:val="0013066E"/>
    <w:rsid w:val="00131706"/>
    <w:rsid w:val="00133E71"/>
    <w:rsid w:val="00135043"/>
    <w:rsid w:val="00141584"/>
    <w:rsid w:val="00143557"/>
    <w:rsid w:val="001443CB"/>
    <w:rsid w:val="00144B40"/>
    <w:rsid w:val="00152BC2"/>
    <w:rsid w:val="001550F2"/>
    <w:rsid w:val="001616E1"/>
    <w:rsid w:val="00175F3B"/>
    <w:rsid w:val="001760DD"/>
    <w:rsid w:val="00176ECA"/>
    <w:rsid w:val="00182CDB"/>
    <w:rsid w:val="00185317"/>
    <w:rsid w:val="001A57EC"/>
    <w:rsid w:val="001B0B05"/>
    <w:rsid w:val="001B5708"/>
    <w:rsid w:val="001C4C16"/>
    <w:rsid w:val="001D0554"/>
    <w:rsid w:val="001D5CF1"/>
    <w:rsid w:val="001D7E96"/>
    <w:rsid w:val="001E08AA"/>
    <w:rsid w:val="001E0DB3"/>
    <w:rsid w:val="001E119A"/>
    <w:rsid w:val="001F1274"/>
    <w:rsid w:val="001F455F"/>
    <w:rsid w:val="001F5ED2"/>
    <w:rsid w:val="002017CA"/>
    <w:rsid w:val="00202C7C"/>
    <w:rsid w:val="002056D6"/>
    <w:rsid w:val="002070C2"/>
    <w:rsid w:val="00212FBB"/>
    <w:rsid w:val="00214772"/>
    <w:rsid w:val="002264C0"/>
    <w:rsid w:val="00227374"/>
    <w:rsid w:val="00230F24"/>
    <w:rsid w:val="00231976"/>
    <w:rsid w:val="002341D6"/>
    <w:rsid w:val="00240AA4"/>
    <w:rsid w:val="00247A55"/>
    <w:rsid w:val="002577F6"/>
    <w:rsid w:val="002620D8"/>
    <w:rsid w:val="0026557A"/>
    <w:rsid w:val="00272FEB"/>
    <w:rsid w:val="002737A5"/>
    <w:rsid w:val="002744B3"/>
    <w:rsid w:val="0029103C"/>
    <w:rsid w:val="00291609"/>
    <w:rsid w:val="002A101B"/>
    <w:rsid w:val="002A1F87"/>
    <w:rsid w:val="002B216E"/>
    <w:rsid w:val="002B23E5"/>
    <w:rsid w:val="002B5B80"/>
    <w:rsid w:val="002C27F3"/>
    <w:rsid w:val="002C5A19"/>
    <w:rsid w:val="002C6335"/>
    <w:rsid w:val="002D102E"/>
    <w:rsid w:val="002D1EF4"/>
    <w:rsid w:val="002E1DCF"/>
    <w:rsid w:val="002E392E"/>
    <w:rsid w:val="002E42C8"/>
    <w:rsid w:val="002E6F0A"/>
    <w:rsid w:val="002F0A16"/>
    <w:rsid w:val="002F0A99"/>
    <w:rsid w:val="002F5A46"/>
    <w:rsid w:val="002F69C0"/>
    <w:rsid w:val="00304856"/>
    <w:rsid w:val="00323862"/>
    <w:rsid w:val="00325436"/>
    <w:rsid w:val="003266E3"/>
    <w:rsid w:val="00326A96"/>
    <w:rsid w:val="0033079F"/>
    <w:rsid w:val="00336B0D"/>
    <w:rsid w:val="00342480"/>
    <w:rsid w:val="003427FE"/>
    <w:rsid w:val="0034504E"/>
    <w:rsid w:val="00346DE7"/>
    <w:rsid w:val="0035145D"/>
    <w:rsid w:val="00354847"/>
    <w:rsid w:val="003561C6"/>
    <w:rsid w:val="00356CC9"/>
    <w:rsid w:val="0036404A"/>
    <w:rsid w:val="00365C4A"/>
    <w:rsid w:val="00371C20"/>
    <w:rsid w:val="0037240A"/>
    <w:rsid w:val="003757FF"/>
    <w:rsid w:val="003A4A0E"/>
    <w:rsid w:val="003B021E"/>
    <w:rsid w:val="003B1966"/>
    <w:rsid w:val="003B2E10"/>
    <w:rsid w:val="003B342E"/>
    <w:rsid w:val="003B6521"/>
    <w:rsid w:val="003C208A"/>
    <w:rsid w:val="003C213A"/>
    <w:rsid w:val="003D5863"/>
    <w:rsid w:val="003D6139"/>
    <w:rsid w:val="003E3DA4"/>
    <w:rsid w:val="003E444E"/>
    <w:rsid w:val="003E7E6A"/>
    <w:rsid w:val="003F20AA"/>
    <w:rsid w:val="003F3CF7"/>
    <w:rsid w:val="00401617"/>
    <w:rsid w:val="004016E3"/>
    <w:rsid w:val="0041363D"/>
    <w:rsid w:val="00421FC9"/>
    <w:rsid w:val="0042524B"/>
    <w:rsid w:val="00427BEB"/>
    <w:rsid w:val="00431D65"/>
    <w:rsid w:val="00441066"/>
    <w:rsid w:val="00452B14"/>
    <w:rsid w:val="00454E70"/>
    <w:rsid w:val="0045504D"/>
    <w:rsid w:val="00455F55"/>
    <w:rsid w:val="00462234"/>
    <w:rsid w:val="00463959"/>
    <w:rsid w:val="00464290"/>
    <w:rsid w:val="00465E4E"/>
    <w:rsid w:val="00466E24"/>
    <w:rsid w:val="00467C87"/>
    <w:rsid w:val="004705D8"/>
    <w:rsid w:val="00476084"/>
    <w:rsid w:val="00477B55"/>
    <w:rsid w:val="00483D21"/>
    <w:rsid w:val="004903EF"/>
    <w:rsid w:val="004A0246"/>
    <w:rsid w:val="004A1E92"/>
    <w:rsid w:val="004A21F0"/>
    <w:rsid w:val="004A6370"/>
    <w:rsid w:val="004B186F"/>
    <w:rsid w:val="004B667E"/>
    <w:rsid w:val="004C388A"/>
    <w:rsid w:val="004C7BFF"/>
    <w:rsid w:val="004D1969"/>
    <w:rsid w:val="004E1FE7"/>
    <w:rsid w:val="004E26C2"/>
    <w:rsid w:val="004E33FB"/>
    <w:rsid w:val="004F331F"/>
    <w:rsid w:val="0050661D"/>
    <w:rsid w:val="00507AB6"/>
    <w:rsid w:val="00510724"/>
    <w:rsid w:val="005107E0"/>
    <w:rsid w:val="00514A5B"/>
    <w:rsid w:val="00521E12"/>
    <w:rsid w:val="0052315A"/>
    <w:rsid w:val="005235A3"/>
    <w:rsid w:val="00526AB3"/>
    <w:rsid w:val="005314C2"/>
    <w:rsid w:val="0055487E"/>
    <w:rsid w:val="00555ECF"/>
    <w:rsid w:val="00561D1E"/>
    <w:rsid w:val="00563253"/>
    <w:rsid w:val="00567A5A"/>
    <w:rsid w:val="00573A06"/>
    <w:rsid w:val="00593312"/>
    <w:rsid w:val="00595649"/>
    <w:rsid w:val="005A6015"/>
    <w:rsid w:val="005B3854"/>
    <w:rsid w:val="005B4722"/>
    <w:rsid w:val="005B6666"/>
    <w:rsid w:val="005B7E40"/>
    <w:rsid w:val="005C3215"/>
    <w:rsid w:val="005C7587"/>
    <w:rsid w:val="005C7E34"/>
    <w:rsid w:val="005D0282"/>
    <w:rsid w:val="005D7DEF"/>
    <w:rsid w:val="005E53A9"/>
    <w:rsid w:val="005F61E0"/>
    <w:rsid w:val="00601FAC"/>
    <w:rsid w:val="00604D4D"/>
    <w:rsid w:val="006122A6"/>
    <w:rsid w:val="006233DB"/>
    <w:rsid w:val="006239DA"/>
    <w:rsid w:val="00623A27"/>
    <w:rsid w:val="0062548C"/>
    <w:rsid w:val="00633677"/>
    <w:rsid w:val="00641911"/>
    <w:rsid w:val="006460EA"/>
    <w:rsid w:val="00646F99"/>
    <w:rsid w:val="00654FA8"/>
    <w:rsid w:val="00657231"/>
    <w:rsid w:val="006574EB"/>
    <w:rsid w:val="00664C46"/>
    <w:rsid w:val="00666E29"/>
    <w:rsid w:val="00695776"/>
    <w:rsid w:val="0069674A"/>
    <w:rsid w:val="006A1807"/>
    <w:rsid w:val="006B1EF2"/>
    <w:rsid w:val="006C106B"/>
    <w:rsid w:val="006C2828"/>
    <w:rsid w:val="006C70FB"/>
    <w:rsid w:val="006C7EEF"/>
    <w:rsid w:val="006D138A"/>
    <w:rsid w:val="006D1A2A"/>
    <w:rsid w:val="006D3ED6"/>
    <w:rsid w:val="006D525B"/>
    <w:rsid w:val="006E5165"/>
    <w:rsid w:val="006E6600"/>
    <w:rsid w:val="006E6E2C"/>
    <w:rsid w:val="006F4B52"/>
    <w:rsid w:val="006F7DAE"/>
    <w:rsid w:val="00700CA8"/>
    <w:rsid w:val="00711A22"/>
    <w:rsid w:val="00713D05"/>
    <w:rsid w:val="00716C20"/>
    <w:rsid w:val="0072239F"/>
    <w:rsid w:val="0072355F"/>
    <w:rsid w:val="00723772"/>
    <w:rsid w:val="00726CA1"/>
    <w:rsid w:val="00733C9A"/>
    <w:rsid w:val="00733CA7"/>
    <w:rsid w:val="00735985"/>
    <w:rsid w:val="00735C3F"/>
    <w:rsid w:val="00745226"/>
    <w:rsid w:val="00746A74"/>
    <w:rsid w:val="00747B8A"/>
    <w:rsid w:val="00751648"/>
    <w:rsid w:val="00753D84"/>
    <w:rsid w:val="00755007"/>
    <w:rsid w:val="00770538"/>
    <w:rsid w:val="0077463A"/>
    <w:rsid w:val="00775173"/>
    <w:rsid w:val="007809DA"/>
    <w:rsid w:val="00782316"/>
    <w:rsid w:val="00783459"/>
    <w:rsid w:val="007A2B72"/>
    <w:rsid w:val="007A466D"/>
    <w:rsid w:val="007A5E69"/>
    <w:rsid w:val="007B22F9"/>
    <w:rsid w:val="007B284E"/>
    <w:rsid w:val="007B2AEA"/>
    <w:rsid w:val="007B7BC1"/>
    <w:rsid w:val="007C08A2"/>
    <w:rsid w:val="007C4C49"/>
    <w:rsid w:val="007C635A"/>
    <w:rsid w:val="007C6EF2"/>
    <w:rsid w:val="007D3A9B"/>
    <w:rsid w:val="007D4D95"/>
    <w:rsid w:val="007D4EE9"/>
    <w:rsid w:val="007D6386"/>
    <w:rsid w:val="007E7E01"/>
    <w:rsid w:val="007F4017"/>
    <w:rsid w:val="00805165"/>
    <w:rsid w:val="00815763"/>
    <w:rsid w:val="00815CA8"/>
    <w:rsid w:val="008202DD"/>
    <w:rsid w:val="00823C1B"/>
    <w:rsid w:val="00826F0F"/>
    <w:rsid w:val="00837A29"/>
    <w:rsid w:val="008407CF"/>
    <w:rsid w:val="008447D1"/>
    <w:rsid w:val="00855FF2"/>
    <w:rsid w:val="00865077"/>
    <w:rsid w:val="00867D39"/>
    <w:rsid w:val="0087181A"/>
    <w:rsid w:val="008747A1"/>
    <w:rsid w:val="008779B5"/>
    <w:rsid w:val="00880073"/>
    <w:rsid w:val="00880D4C"/>
    <w:rsid w:val="00881086"/>
    <w:rsid w:val="00886DEB"/>
    <w:rsid w:val="0089368D"/>
    <w:rsid w:val="008B57A2"/>
    <w:rsid w:val="008B623F"/>
    <w:rsid w:val="008B6290"/>
    <w:rsid w:val="008B6E75"/>
    <w:rsid w:val="008C4DBD"/>
    <w:rsid w:val="008D062A"/>
    <w:rsid w:val="008D2820"/>
    <w:rsid w:val="008D3E07"/>
    <w:rsid w:val="008D5257"/>
    <w:rsid w:val="008D7D8E"/>
    <w:rsid w:val="008E4676"/>
    <w:rsid w:val="008E5CDE"/>
    <w:rsid w:val="008E6EAD"/>
    <w:rsid w:val="008E7364"/>
    <w:rsid w:val="008F2432"/>
    <w:rsid w:val="008F263F"/>
    <w:rsid w:val="008F2C67"/>
    <w:rsid w:val="00905AFF"/>
    <w:rsid w:val="0091153F"/>
    <w:rsid w:val="009134CD"/>
    <w:rsid w:val="00913A94"/>
    <w:rsid w:val="00916348"/>
    <w:rsid w:val="0092364A"/>
    <w:rsid w:val="00927038"/>
    <w:rsid w:val="009301BE"/>
    <w:rsid w:val="009307D4"/>
    <w:rsid w:val="00942313"/>
    <w:rsid w:val="00942C9E"/>
    <w:rsid w:val="00943E4B"/>
    <w:rsid w:val="00944100"/>
    <w:rsid w:val="00953031"/>
    <w:rsid w:val="00972DFE"/>
    <w:rsid w:val="00973B20"/>
    <w:rsid w:val="009828E9"/>
    <w:rsid w:val="00996FFA"/>
    <w:rsid w:val="009A0F52"/>
    <w:rsid w:val="009A221B"/>
    <w:rsid w:val="009A72AA"/>
    <w:rsid w:val="009C5B86"/>
    <w:rsid w:val="009D223A"/>
    <w:rsid w:val="009D312E"/>
    <w:rsid w:val="009D6A67"/>
    <w:rsid w:val="009E543A"/>
    <w:rsid w:val="009E6694"/>
    <w:rsid w:val="009E6B30"/>
    <w:rsid w:val="009F088B"/>
    <w:rsid w:val="009F2475"/>
    <w:rsid w:val="009F31A2"/>
    <w:rsid w:val="009F7536"/>
    <w:rsid w:val="00A023F0"/>
    <w:rsid w:val="00A06BBD"/>
    <w:rsid w:val="00A118B0"/>
    <w:rsid w:val="00A12997"/>
    <w:rsid w:val="00A17655"/>
    <w:rsid w:val="00A255CB"/>
    <w:rsid w:val="00A302AA"/>
    <w:rsid w:val="00A33954"/>
    <w:rsid w:val="00A452D7"/>
    <w:rsid w:val="00A4785F"/>
    <w:rsid w:val="00A56CAF"/>
    <w:rsid w:val="00A63CA3"/>
    <w:rsid w:val="00A65474"/>
    <w:rsid w:val="00A74ADE"/>
    <w:rsid w:val="00A93A7B"/>
    <w:rsid w:val="00A93D5B"/>
    <w:rsid w:val="00A94790"/>
    <w:rsid w:val="00A960D7"/>
    <w:rsid w:val="00A974E6"/>
    <w:rsid w:val="00AA0708"/>
    <w:rsid w:val="00AA13A8"/>
    <w:rsid w:val="00AB2A26"/>
    <w:rsid w:val="00AB429B"/>
    <w:rsid w:val="00AC03E2"/>
    <w:rsid w:val="00AC0E39"/>
    <w:rsid w:val="00AC16A4"/>
    <w:rsid w:val="00AC2D46"/>
    <w:rsid w:val="00AD4E26"/>
    <w:rsid w:val="00AE0C43"/>
    <w:rsid w:val="00AE1A59"/>
    <w:rsid w:val="00AE23A7"/>
    <w:rsid w:val="00AE5744"/>
    <w:rsid w:val="00AE67FA"/>
    <w:rsid w:val="00AE7EB5"/>
    <w:rsid w:val="00AF2F74"/>
    <w:rsid w:val="00B01579"/>
    <w:rsid w:val="00B13284"/>
    <w:rsid w:val="00B21772"/>
    <w:rsid w:val="00B24255"/>
    <w:rsid w:val="00B25CF4"/>
    <w:rsid w:val="00B27BD1"/>
    <w:rsid w:val="00B37BFF"/>
    <w:rsid w:val="00B437D4"/>
    <w:rsid w:val="00B46746"/>
    <w:rsid w:val="00B471CB"/>
    <w:rsid w:val="00B55CD5"/>
    <w:rsid w:val="00B6275E"/>
    <w:rsid w:val="00B635EC"/>
    <w:rsid w:val="00B654F0"/>
    <w:rsid w:val="00B66DE8"/>
    <w:rsid w:val="00B67DFB"/>
    <w:rsid w:val="00B821C3"/>
    <w:rsid w:val="00B83750"/>
    <w:rsid w:val="00B866B7"/>
    <w:rsid w:val="00BA6A76"/>
    <w:rsid w:val="00BA7A87"/>
    <w:rsid w:val="00BB07B4"/>
    <w:rsid w:val="00BB77AB"/>
    <w:rsid w:val="00BC1890"/>
    <w:rsid w:val="00BC4E62"/>
    <w:rsid w:val="00BC504A"/>
    <w:rsid w:val="00BD0DC8"/>
    <w:rsid w:val="00BD2F7C"/>
    <w:rsid w:val="00BD3D8A"/>
    <w:rsid w:val="00C02DA7"/>
    <w:rsid w:val="00C05EAF"/>
    <w:rsid w:val="00C12677"/>
    <w:rsid w:val="00C169E5"/>
    <w:rsid w:val="00C16A60"/>
    <w:rsid w:val="00C20998"/>
    <w:rsid w:val="00C25449"/>
    <w:rsid w:val="00C26861"/>
    <w:rsid w:val="00C367DB"/>
    <w:rsid w:val="00C40C32"/>
    <w:rsid w:val="00C4645E"/>
    <w:rsid w:val="00C502E8"/>
    <w:rsid w:val="00C53973"/>
    <w:rsid w:val="00C543FD"/>
    <w:rsid w:val="00C60493"/>
    <w:rsid w:val="00C639C1"/>
    <w:rsid w:val="00C763CE"/>
    <w:rsid w:val="00C76407"/>
    <w:rsid w:val="00C76FC3"/>
    <w:rsid w:val="00C77F42"/>
    <w:rsid w:val="00C80047"/>
    <w:rsid w:val="00C80CCC"/>
    <w:rsid w:val="00C864C1"/>
    <w:rsid w:val="00C90091"/>
    <w:rsid w:val="00C910B0"/>
    <w:rsid w:val="00C91BB7"/>
    <w:rsid w:val="00CA310B"/>
    <w:rsid w:val="00CA3786"/>
    <w:rsid w:val="00CA4A87"/>
    <w:rsid w:val="00CA7030"/>
    <w:rsid w:val="00CB0A90"/>
    <w:rsid w:val="00CB0CE6"/>
    <w:rsid w:val="00CB3A01"/>
    <w:rsid w:val="00CB3E87"/>
    <w:rsid w:val="00CB3E8C"/>
    <w:rsid w:val="00CB7816"/>
    <w:rsid w:val="00CC2278"/>
    <w:rsid w:val="00CD2D3D"/>
    <w:rsid w:val="00CD6616"/>
    <w:rsid w:val="00CD6F56"/>
    <w:rsid w:val="00CE1645"/>
    <w:rsid w:val="00CE2B85"/>
    <w:rsid w:val="00CE3D1A"/>
    <w:rsid w:val="00CE5610"/>
    <w:rsid w:val="00CE7F52"/>
    <w:rsid w:val="00CF2674"/>
    <w:rsid w:val="00D0073F"/>
    <w:rsid w:val="00D01023"/>
    <w:rsid w:val="00D0156D"/>
    <w:rsid w:val="00D025F4"/>
    <w:rsid w:val="00D0309E"/>
    <w:rsid w:val="00D0373B"/>
    <w:rsid w:val="00D12B65"/>
    <w:rsid w:val="00D243F3"/>
    <w:rsid w:val="00D2724E"/>
    <w:rsid w:val="00D319E2"/>
    <w:rsid w:val="00D3480D"/>
    <w:rsid w:val="00D35E1B"/>
    <w:rsid w:val="00D4314C"/>
    <w:rsid w:val="00D515F0"/>
    <w:rsid w:val="00D5399E"/>
    <w:rsid w:val="00D54E17"/>
    <w:rsid w:val="00D5574F"/>
    <w:rsid w:val="00D55F07"/>
    <w:rsid w:val="00D57E47"/>
    <w:rsid w:val="00D613D5"/>
    <w:rsid w:val="00D738C7"/>
    <w:rsid w:val="00D73D05"/>
    <w:rsid w:val="00D80B09"/>
    <w:rsid w:val="00D871E9"/>
    <w:rsid w:val="00D8779F"/>
    <w:rsid w:val="00DA271D"/>
    <w:rsid w:val="00DA5709"/>
    <w:rsid w:val="00DB2C79"/>
    <w:rsid w:val="00DB5FFD"/>
    <w:rsid w:val="00DC50AC"/>
    <w:rsid w:val="00DD0C36"/>
    <w:rsid w:val="00DD1956"/>
    <w:rsid w:val="00DD70D9"/>
    <w:rsid w:val="00DE26E0"/>
    <w:rsid w:val="00DE3971"/>
    <w:rsid w:val="00DF606F"/>
    <w:rsid w:val="00DF65FC"/>
    <w:rsid w:val="00E02702"/>
    <w:rsid w:val="00E101A3"/>
    <w:rsid w:val="00E102BB"/>
    <w:rsid w:val="00E106AD"/>
    <w:rsid w:val="00E10E14"/>
    <w:rsid w:val="00E14D61"/>
    <w:rsid w:val="00E16135"/>
    <w:rsid w:val="00E1647B"/>
    <w:rsid w:val="00E24F99"/>
    <w:rsid w:val="00E25220"/>
    <w:rsid w:val="00E33C2D"/>
    <w:rsid w:val="00E3589E"/>
    <w:rsid w:val="00E41241"/>
    <w:rsid w:val="00E501A4"/>
    <w:rsid w:val="00E54BBF"/>
    <w:rsid w:val="00E556F9"/>
    <w:rsid w:val="00E55E36"/>
    <w:rsid w:val="00E607C8"/>
    <w:rsid w:val="00E621F5"/>
    <w:rsid w:val="00E82DD2"/>
    <w:rsid w:val="00E8460B"/>
    <w:rsid w:val="00E867E8"/>
    <w:rsid w:val="00E91F0D"/>
    <w:rsid w:val="00EA00B2"/>
    <w:rsid w:val="00EA11AA"/>
    <w:rsid w:val="00EA20D3"/>
    <w:rsid w:val="00EA2727"/>
    <w:rsid w:val="00EC270F"/>
    <w:rsid w:val="00ED1A31"/>
    <w:rsid w:val="00ED7F9B"/>
    <w:rsid w:val="00EE21A5"/>
    <w:rsid w:val="00EE616F"/>
    <w:rsid w:val="00F003E6"/>
    <w:rsid w:val="00F140FB"/>
    <w:rsid w:val="00F15154"/>
    <w:rsid w:val="00F15D3B"/>
    <w:rsid w:val="00F17B9E"/>
    <w:rsid w:val="00F2005E"/>
    <w:rsid w:val="00F2238E"/>
    <w:rsid w:val="00F277EA"/>
    <w:rsid w:val="00F27AEF"/>
    <w:rsid w:val="00F30709"/>
    <w:rsid w:val="00F33C85"/>
    <w:rsid w:val="00F33C8E"/>
    <w:rsid w:val="00F37FEC"/>
    <w:rsid w:val="00F4080D"/>
    <w:rsid w:val="00F50EE7"/>
    <w:rsid w:val="00F51810"/>
    <w:rsid w:val="00F518EA"/>
    <w:rsid w:val="00F55062"/>
    <w:rsid w:val="00F571E5"/>
    <w:rsid w:val="00F61140"/>
    <w:rsid w:val="00F6453D"/>
    <w:rsid w:val="00F64925"/>
    <w:rsid w:val="00F66EDF"/>
    <w:rsid w:val="00F67256"/>
    <w:rsid w:val="00F71982"/>
    <w:rsid w:val="00F74988"/>
    <w:rsid w:val="00F75873"/>
    <w:rsid w:val="00F8409E"/>
    <w:rsid w:val="00F87B41"/>
    <w:rsid w:val="00F92CB0"/>
    <w:rsid w:val="00F95919"/>
    <w:rsid w:val="00F960C5"/>
    <w:rsid w:val="00FA59E3"/>
    <w:rsid w:val="00FA5F0E"/>
    <w:rsid w:val="00FC7707"/>
    <w:rsid w:val="00FC7A4A"/>
    <w:rsid w:val="00FD2EDD"/>
    <w:rsid w:val="00FD588B"/>
    <w:rsid w:val="00FE0F9D"/>
    <w:rsid w:val="00FE29A0"/>
    <w:rsid w:val="00FE2A90"/>
    <w:rsid w:val="00FE2EB1"/>
    <w:rsid w:val="00FE4644"/>
    <w:rsid w:val="00FE6BDD"/>
    <w:rsid w:val="00FF35DB"/>
    <w:rsid w:val="00FF5FDD"/>
    <w:rsid w:val="00FF6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7772B-6D24-4C43-A91E-6A9381AE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3253"/>
    <w:pPr>
      <w:ind w:left="720"/>
      <w:contextualSpacing/>
    </w:pPr>
  </w:style>
  <w:style w:type="paragraph" w:styleId="Funotentext">
    <w:name w:val="footnote text"/>
    <w:aliases w:val="fn,footnote text,Footnote ak"/>
    <w:basedOn w:val="Standard"/>
    <w:link w:val="FunotentextZchn"/>
    <w:uiPriority w:val="99"/>
    <w:unhideWhenUsed/>
    <w:rsid w:val="00F87B41"/>
    <w:pPr>
      <w:spacing w:after="0" w:line="240" w:lineRule="auto"/>
    </w:pPr>
    <w:rPr>
      <w:sz w:val="20"/>
      <w:szCs w:val="20"/>
    </w:rPr>
  </w:style>
  <w:style w:type="character" w:customStyle="1" w:styleId="FunotentextZchn">
    <w:name w:val="Fußnotentext Zchn"/>
    <w:aliases w:val="fn Zchn,footnote text Zchn,Footnote ak Zchn"/>
    <w:basedOn w:val="Absatz-Standardschriftart"/>
    <w:link w:val="Funotentext"/>
    <w:uiPriority w:val="99"/>
    <w:rsid w:val="00F87B41"/>
    <w:rPr>
      <w:sz w:val="20"/>
      <w:szCs w:val="20"/>
    </w:rPr>
  </w:style>
  <w:style w:type="character" w:styleId="Funotenzeichen">
    <w:name w:val="footnote reference"/>
    <w:basedOn w:val="Absatz-Standardschriftart"/>
    <w:unhideWhenUsed/>
    <w:rsid w:val="00F87B41"/>
    <w:rPr>
      <w:vertAlign w:val="superscript"/>
    </w:rPr>
  </w:style>
  <w:style w:type="character" w:customStyle="1" w:styleId="outputecli">
    <w:name w:val="outputecli"/>
    <w:basedOn w:val="Absatz-Standardschriftart"/>
    <w:rsid w:val="00B66DE8"/>
  </w:style>
  <w:style w:type="paragraph" w:styleId="Kopfzeile">
    <w:name w:val="header"/>
    <w:basedOn w:val="Standard"/>
    <w:link w:val="KopfzeileZchn"/>
    <w:uiPriority w:val="99"/>
    <w:unhideWhenUsed/>
    <w:rsid w:val="00C40C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0C32"/>
  </w:style>
  <w:style w:type="paragraph" w:styleId="Fuzeile">
    <w:name w:val="footer"/>
    <w:basedOn w:val="Standard"/>
    <w:link w:val="FuzeileZchn"/>
    <w:uiPriority w:val="99"/>
    <w:unhideWhenUsed/>
    <w:rsid w:val="00C40C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0C32"/>
  </w:style>
  <w:style w:type="paragraph" w:customStyle="1" w:styleId="Default">
    <w:name w:val="Default"/>
    <w:rsid w:val="00455F55"/>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F277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77EA"/>
    <w:rPr>
      <w:rFonts w:ascii="Segoe UI" w:hAnsi="Segoe UI" w:cs="Segoe UI"/>
      <w:sz w:val="18"/>
      <w:szCs w:val="18"/>
    </w:rPr>
  </w:style>
  <w:style w:type="paragraph" w:styleId="KeinLeerraum">
    <w:name w:val="No Spacing"/>
    <w:uiPriority w:val="1"/>
    <w:qFormat/>
    <w:rsid w:val="00B55CD5"/>
    <w:pPr>
      <w:spacing w:after="0" w:line="240" w:lineRule="auto"/>
    </w:pPr>
  </w:style>
  <w:style w:type="paragraph" w:customStyle="1" w:styleId="Standard1">
    <w:name w:val="Standard1"/>
    <w:basedOn w:val="Standard"/>
    <w:rsid w:val="00B55C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641911"/>
  </w:style>
  <w:style w:type="character" w:styleId="Hyperlink">
    <w:name w:val="Hyperlink"/>
    <w:basedOn w:val="Absatz-Standardschriftart"/>
    <w:uiPriority w:val="99"/>
    <w:unhideWhenUsed/>
    <w:rsid w:val="001F5ED2"/>
    <w:rPr>
      <w:color w:val="0563C1" w:themeColor="hyperlink"/>
      <w:u w:val="single"/>
    </w:rPr>
  </w:style>
  <w:style w:type="paragraph" w:styleId="StandardWeb">
    <w:name w:val="Normal (Web)"/>
    <w:basedOn w:val="Standard"/>
    <w:uiPriority w:val="99"/>
    <w:semiHidden/>
    <w:unhideWhenUsed/>
    <w:rsid w:val="000447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44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763443">
      <w:bodyDiv w:val="1"/>
      <w:marLeft w:val="0"/>
      <w:marRight w:val="0"/>
      <w:marTop w:val="0"/>
      <w:marBottom w:val="0"/>
      <w:divBdr>
        <w:top w:val="none" w:sz="0" w:space="0" w:color="auto"/>
        <w:left w:val="none" w:sz="0" w:space="0" w:color="auto"/>
        <w:bottom w:val="none" w:sz="0" w:space="0" w:color="auto"/>
        <w:right w:val="none" w:sz="0" w:space="0" w:color="auto"/>
      </w:divBdr>
    </w:div>
    <w:div w:id="726760272">
      <w:bodyDiv w:val="1"/>
      <w:marLeft w:val="0"/>
      <w:marRight w:val="0"/>
      <w:marTop w:val="0"/>
      <w:marBottom w:val="0"/>
      <w:divBdr>
        <w:top w:val="none" w:sz="0" w:space="0" w:color="auto"/>
        <w:left w:val="none" w:sz="0" w:space="0" w:color="auto"/>
        <w:bottom w:val="none" w:sz="0" w:space="0" w:color="auto"/>
        <w:right w:val="none" w:sz="0" w:space="0" w:color="auto"/>
      </w:divBdr>
    </w:div>
    <w:div w:id="1675960009">
      <w:bodyDiv w:val="1"/>
      <w:marLeft w:val="0"/>
      <w:marRight w:val="0"/>
      <w:marTop w:val="0"/>
      <w:marBottom w:val="0"/>
      <w:divBdr>
        <w:top w:val="none" w:sz="0" w:space="0" w:color="auto"/>
        <w:left w:val="none" w:sz="0" w:space="0" w:color="auto"/>
        <w:bottom w:val="none" w:sz="0" w:space="0" w:color="auto"/>
        <w:right w:val="none" w:sz="0" w:space="0" w:color="auto"/>
      </w:divBdr>
    </w:div>
    <w:div w:id="17880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6570</Words>
  <Characters>41396</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dc:creator>
  <cp:keywords/>
  <dc:description/>
  <cp:lastModifiedBy>Weiß</cp:lastModifiedBy>
  <cp:revision>3</cp:revision>
  <cp:lastPrinted>2019-04-15T17:29:00Z</cp:lastPrinted>
  <dcterms:created xsi:type="dcterms:W3CDTF">2019-04-29T14:25:00Z</dcterms:created>
  <dcterms:modified xsi:type="dcterms:W3CDTF">2019-04-29T14:30:00Z</dcterms:modified>
</cp:coreProperties>
</file>