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8C10F" w14:textId="4436D976" w:rsidR="0054231C" w:rsidRDefault="0054231C" w:rsidP="0003226A">
      <w:pPr>
        <w:spacing w:after="120" w:line="360" w:lineRule="auto"/>
        <w:jc w:val="center"/>
        <w:rPr>
          <w:color w:val="000000" w:themeColor="text1"/>
        </w:rPr>
      </w:pPr>
      <w:r>
        <w:rPr>
          <w:color w:val="000000" w:themeColor="text1"/>
        </w:rPr>
        <w:t>EUSA Conference</w:t>
      </w:r>
      <w:r w:rsidR="0003226A">
        <w:rPr>
          <w:color w:val="000000" w:themeColor="text1"/>
        </w:rPr>
        <w:t xml:space="preserve">, </w:t>
      </w:r>
      <w:r>
        <w:rPr>
          <w:color w:val="000000" w:themeColor="text1"/>
        </w:rPr>
        <w:t>9-11 May 20219, Denver</w:t>
      </w:r>
    </w:p>
    <w:p w14:paraId="07415BB0" w14:textId="77777777" w:rsidR="0003226A" w:rsidRDefault="0003226A" w:rsidP="0003226A">
      <w:pPr>
        <w:spacing w:after="120" w:line="360" w:lineRule="auto"/>
        <w:rPr>
          <w:color w:val="000000" w:themeColor="text1"/>
        </w:rPr>
      </w:pPr>
    </w:p>
    <w:p w14:paraId="0BF4D1CA" w14:textId="708ED959" w:rsidR="009A718E" w:rsidRPr="0003226A" w:rsidRDefault="00D03F97" w:rsidP="00FA05E5">
      <w:pPr>
        <w:spacing w:after="120" w:line="360" w:lineRule="auto"/>
        <w:jc w:val="both"/>
        <w:rPr>
          <w:b/>
          <w:color w:val="000000" w:themeColor="text1"/>
        </w:rPr>
      </w:pPr>
      <w:bookmarkStart w:id="0" w:name="_GoBack"/>
      <w:r w:rsidRPr="0003226A">
        <w:rPr>
          <w:b/>
          <w:color w:val="000000" w:themeColor="text1"/>
        </w:rPr>
        <w:t xml:space="preserve">EU </w:t>
      </w:r>
      <w:r w:rsidR="00DA7E8F" w:rsidRPr="0003226A">
        <w:rPr>
          <w:b/>
          <w:color w:val="000000" w:themeColor="text1"/>
        </w:rPr>
        <w:t>F</w:t>
      </w:r>
      <w:r w:rsidR="002B278E" w:rsidRPr="0003226A">
        <w:rPr>
          <w:b/>
          <w:color w:val="000000" w:themeColor="text1"/>
        </w:rPr>
        <w:t xml:space="preserve">orest </w:t>
      </w:r>
      <w:r w:rsidR="00DA7E8F" w:rsidRPr="0003226A">
        <w:rPr>
          <w:b/>
          <w:color w:val="000000" w:themeColor="text1"/>
        </w:rPr>
        <w:t>L</w:t>
      </w:r>
      <w:r w:rsidR="002B278E" w:rsidRPr="0003226A">
        <w:rPr>
          <w:b/>
          <w:color w:val="000000" w:themeColor="text1"/>
        </w:rPr>
        <w:t xml:space="preserve">aw </w:t>
      </w:r>
      <w:r w:rsidR="00DA7E8F" w:rsidRPr="0003226A">
        <w:rPr>
          <w:b/>
          <w:color w:val="000000" w:themeColor="text1"/>
        </w:rPr>
        <w:t>E</w:t>
      </w:r>
      <w:r w:rsidR="002B278E" w:rsidRPr="0003226A">
        <w:rPr>
          <w:b/>
          <w:color w:val="000000" w:themeColor="text1"/>
        </w:rPr>
        <w:t xml:space="preserve">nforcement, </w:t>
      </w:r>
      <w:r w:rsidR="00DA7E8F" w:rsidRPr="0003226A">
        <w:rPr>
          <w:b/>
          <w:color w:val="000000" w:themeColor="text1"/>
        </w:rPr>
        <w:t>G</w:t>
      </w:r>
      <w:r w:rsidR="002B278E" w:rsidRPr="0003226A">
        <w:rPr>
          <w:b/>
          <w:color w:val="000000" w:themeColor="text1"/>
        </w:rPr>
        <w:t xml:space="preserve">overnance and </w:t>
      </w:r>
      <w:r w:rsidR="00DA7E8F" w:rsidRPr="0003226A">
        <w:rPr>
          <w:b/>
          <w:color w:val="000000" w:themeColor="text1"/>
        </w:rPr>
        <w:t>T</w:t>
      </w:r>
      <w:r w:rsidR="002B278E" w:rsidRPr="0003226A">
        <w:rPr>
          <w:b/>
          <w:color w:val="000000" w:themeColor="text1"/>
        </w:rPr>
        <w:t>rade</w:t>
      </w:r>
      <w:r w:rsidR="00DA7E8F" w:rsidRPr="0003226A">
        <w:rPr>
          <w:b/>
          <w:color w:val="000000" w:themeColor="text1"/>
        </w:rPr>
        <w:t xml:space="preserve"> Action Plan creation: dynamics between</w:t>
      </w:r>
      <w:r w:rsidR="00303A5B" w:rsidRPr="0003226A">
        <w:rPr>
          <w:b/>
          <w:color w:val="000000" w:themeColor="text1"/>
        </w:rPr>
        <w:t xml:space="preserve"> and beyond EU</w:t>
      </w:r>
      <w:r w:rsidR="00DA7E8F" w:rsidRPr="0003226A">
        <w:rPr>
          <w:b/>
          <w:color w:val="000000" w:themeColor="text1"/>
        </w:rPr>
        <w:t xml:space="preserve"> institutions. </w:t>
      </w:r>
    </w:p>
    <w:bookmarkEnd w:id="0"/>
    <w:p w14:paraId="675945F2" w14:textId="77777777" w:rsidR="0003226A" w:rsidRDefault="0003226A" w:rsidP="0003226A">
      <w:pPr>
        <w:spacing w:after="120" w:line="360" w:lineRule="auto"/>
        <w:jc w:val="both"/>
        <w:rPr>
          <w:color w:val="000000" w:themeColor="text1"/>
        </w:rPr>
      </w:pPr>
      <w:r>
        <w:rPr>
          <w:color w:val="000000" w:themeColor="text1"/>
        </w:rPr>
        <w:t xml:space="preserve">Pauline Pirlot - </w:t>
      </w:r>
      <w:hyperlink r:id="rId8" w:history="1">
        <w:r w:rsidRPr="00852502">
          <w:rPr>
            <w:rStyle w:val="Hyperlink"/>
          </w:rPr>
          <w:t>pauline.pirlot@uclouvain.be</w:t>
        </w:r>
      </w:hyperlink>
    </w:p>
    <w:p w14:paraId="76E2CF08" w14:textId="77777777" w:rsidR="0054231C" w:rsidRDefault="0054231C" w:rsidP="00FA05E5">
      <w:pPr>
        <w:spacing w:after="120" w:line="360" w:lineRule="auto"/>
        <w:jc w:val="both"/>
        <w:rPr>
          <w:color w:val="000000" w:themeColor="text1"/>
        </w:rPr>
      </w:pPr>
    </w:p>
    <w:p w14:paraId="1181547E" w14:textId="0DAC41DD" w:rsidR="00DA7E8F" w:rsidRDefault="00DA7E8F" w:rsidP="00FA05E5">
      <w:pPr>
        <w:spacing w:after="120" w:line="360" w:lineRule="auto"/>
        <w:jc w:val="both"/>
        <w:rPr>
          <w:color w:val="000000" w:themeColor="text1"/>
        </w:rPr>
      </w:pPr>
      <w:r>
        <w:rPr>
          <w:color w:val="000000" w:themeColor="text1"/>
        </w:rPr>
        <w:t xml:space="preserve">Abstract: </w:t>
      </w:r>
    </w:p>
    <w:p w14:paraId="28FBBFD9" w14:textId="77777777" w:rsidR="00AC5218" w:rsidRDefault="008B40E0" w:rsidP="00FA05E5">
      <w:pPr>
        <w:spacing w:after="120" w:line="360" w:lineRule="auto"/>
        <w:jc w:val="both"/>
        <w:rPr>
          <w:color w:val="000000" w:themeColor="text1"/>
        </w:rPr>
      </w:pPr>
      <w:r>
        <w:rPr>
          <w:color w:val="000000" w:themeColor="text1"/>
        </w:rPr>
        <w:t>This article provides a diachronic study of the creation of the</w:t>
      </w:r>
      <w:r w:rsidR="00D03F97">
        <w:rPr>
          <w:color w:val="000000" w:themeColor="text1"/>
        </w:rPr>
        <w:t xml:space="preserve"> EU</w:t>
      </w:r>
      <w:r>
        <w:rPr>
          <w:color w:val="000000" w:themeColor="text1"/>
        </w:rPr>
        <w:t xml:space="preserve"> Forest Law Enforcement, Governance and Trade (FLEGT) Action Plan (AP). Set up in 2003, the FLEGT AP </w:t>
      </w:r>
      <w:r w:rsidR="009145C5">
        <w:rPr>
          <w:color w:val="000000" w:themeColor="text1"/>
        </w:rPr>
        <w:t xml:space="preserve">(and subsequent FLEGT Regulation) </w:t>
      </w:r>
      <w:r>
        <w:rPr>
          <w:color w:val="000000" w:themeColor="text1"/>
        </w:rPr>
        <w:t>aims at tackling deforestation in t</w:t>
      </w:r>
      <w:r w:rsidR="00207239">
        <w:rPr>
          <w:color w:val="000000" w:themeColor="text1"/>
        </w:rPr>
        <w:t xml:space="preserve">imber producing </w:t>
      </w:r>
      <w:r>
        <w:rPr>
          <w:color w:val="000000" w:themeColor="text1"/>
        </w:rPr>
        <w:t xml:space="preserve">countries by ameliorating </w:t>
      </w:r>
      <w:r w:rsidR="00D03F97">
        <w:rPr>
          <w:color w:val="000000" w:themeColor="text1"/>
        </w:rPr>
        <w:t>local</w:t>
      </w:r>
      <w:r>
        <w:rPr>
          <w:color w:val="000000" w:themeColor="text1"/>
        </w:rPr>
        <w:t xml:space="preserve"> forest governance and law enforcement. In turn, countries that adopt a FLEGT </w:t>
      </w:r>
      <w:r w:rsidR="00D03F97">
        <w:rPr>
          <w:color w:val="000000" w:themeColor="text1"/>
        </w:rPr>
        <w:t xml:space="preserve">bilateral </w:t>
      </w:r>
      <w:r>
        <w:rPr>
          <w:color w:val="000000" w:themeColor="text1"/>
        </w:rPr>
        <w:t xml:space="preserve">partnership agreement get eased access to EU market. </w:t>
      </w:r>
      <w:r w:rsidR="00D03F97">
        <w:rPr>
          <w:color w:val="000000" w:themeColor="text1"/>
        </w:rPr>
        <w:t xml:space="preserve">FLEGT AP creation is puzzling </w:t>
      </w:r>
      <w:r w:rsidR="00207239">
        <w:rPr>
          <w:color w:val="000000" w:themeColor="text1"/>
        </w:rPr>
        <w:t>in</w:t>
      </w:r>
      <w:r w:rsidR="00D03F97">
        <w:rPr>
          <w:color w:val="000000" w:themeColor="text1"/>
        </w:rPr>
        <w:t xml:space="preserve"> three regards: the discrepancy between EU </w:t>
      </w:r>
      <w:proofErr w:type="gramStart"/>
      <w:r w:rsidR="00D03F97">
        <w:rPr>
          <w:color w:val="000000" w:themeColor="text1"/>
        </w:rPr>
        <w:t>claimed</w:t>
      </w:r>
      <w:proofErr w:type="gramEnd"/>
      <w:r w:rsidR="00D03F97">
        <w:rPr>
          <w:color w:val="000000" w:themeColor="text1"/>
        </w:rPr>
        <w:t xml:space="preserve"> ‘effective multilateralism’ and adoption of bilateral agreements with timber producing countries; the negotiation burden of negotiating a new political setup in a fragmented context; and the creation of a new setup considering how low politics forests were in early 2000s. </w:t>
      </w:r>
    </w:p>
    <w:p w14:paraId="24C6CF6D" w14:textId="5CFBACB1" w:rsidR="004F6073" w:rsidRPr="009A718E" w:rsidRDefault="00D03F97" w:rsidP="00FA05E5">
      <w:pPr>
        <w:spacing w:after="120" w:line="360" w:lineRule="auto"/>
        <w:jc w:val="both"/>
        <w:rPr>
          <w:color w:val="000000" w:themeColor="text1"/>
        </w:rPr>
      </w:pPr>
      <w:r>
        <w:rPr>
          <w:color w:val="000000" w:themeColor="text1"/>
        </w:rPr>
        <w:t>To solve these puzzles, I identified four causes that theoretically contribute to the creation of the FLE</w:t>
      </w:r>
      <w:r w:rsidR="00207239">
        <w:rPr>
          <w:color w:val="000000" w:themeColor="text1"/>
        </w:rPr>
        <w:t>G</w:t>
      </w:r>
      <w:r>
        <w:rPr>
          <w:color w:val="000000" w:themeColor="text1"/>
        </w:rPr>
        <w:t>T AP</w:t>
      </w:r>
      <w:r w:rsidR="00207239">
        <w:rPr>
          <w:color w:val="000000" w:themeColor="text1"/>
        </w:rPr>
        <w:t xml:space="preserve">: EU ambition, EU isolation from the international context, EU relative bargaining power and EU internal unity. </w:t>
      </w:r>
      <w:r w:rsidR="004F6073">
        <w:rPr>
          <w:color w:val="000000" w:themeColor="text1"/>
        </w:rPr>
        <w:t>Relying interviews, and primary and secondary literature, the paper carries out minimalist process-tracing analysis</w:t>
      </w:r>
      <w:r w:rsidR="00207239">
        <w:rPr>
          <w:color w:val="000000" w:themeColor="text1"/>
        </w:rPr>
        <w:t xml:space="preserve"> delving power dynamics between and beyond EU </w:t>
      </w:r>
      <w:r w:rsidR="00FA05E5">
        <w:rPr>
          <w:color w:val="000000" w:themeColor="text1"/>
        </w:rPr>
        <w:t>institutions</w:t>
      </w:r>
      <w:r w:rsidR="00207239">
        <w:rPr>
          <w:color w:val="000000" w:themeColor="text1"/>
        </w:rPr>
        <w:t>.</w:t>
      </w:r>
      <w:r w:rsidR="004F6073">
        <w:rPr>
          <w:color w:val="000000" w:themeColor="text1"/>
        </w:rPr>
        <w:t xml:space="preserve"> Three causes are conf</w:t>
      </w:r>
      <w:r w:rsidR="00FA05E5">
        <w:rPr>
          <w:color w:val="000000" w:themeColor="text1"/>
        </w:rPr>
        <w:t>i</w:t>
      </w:r>
      <w:r w:rsidR="004F6073">
        <w:rPr>
          <w:color w:val="000000" w:themeColor="text1"/>
        </w:rPr>
        <w:t>rme</w:t>
      </w:r>
      <w:r w:rsidR="00FA05E5">
        <w:rPr>
          <w:color w:val="000000" w:themeColor="text1"/>
        </w:rPr>
        <w:t>d (ambition, relative bargaining power and unity)</w:t>
      </w:r>
      <w:r w:rsidR="004F6073">
        <w:rPr>
          <w:color w:val="000000" w:themeColor="text1"/>
        </w:rPr>
        <w:t>, one is disconfirmed</w:t>
      </w:r>
      <w:r w:rsidR="00FA05E5">
        <w:rPr>
          <w:color w:val="000000" w:themeColor="text1"/>
        </w:rPr>
        <w:t xml:space="preserve"> (isolation)</w:t>
      </w:r>
      <w:r w:rsidR="004F6073">
        <w:rPr>
          <w:color w:val="000000" w:themeColor="text1"/>
        </w:rPr>
        <w:t xml:space="preserve">. Conclusions also dissipate the clouds surrounding the three initial puzzles. </w:t>
      </w:r>
    </w:p>
    <w:p w14:paraId="4A20FA2A" w14:textId="77777777" w:rsidR="009A718E" w:rsidRPr="009A718E" w:rsidRDefault="009A718E" w:rsidP="00FA05E5">
      <w:pPr>
        <w:spacing w:after="120" w:line="360" w:lineRule="auto"/>
        <w:jc w:val="both"/>
        <w:rPr>
          <w:color w:val="000000" w:themeColor="text1"/>
        </w:rPr>
      </w:pPr>
    </w:p>
    <w:p w14:paraId="6E29F78B" w14:textId="528963F1" w:rsidR="00FA05E5" w:rsidRDefault="00FA05E5">
      <w:pPr>
        <w:rPr>
          <w:color w:val="000000" w:themeColor="text1"/>
        </w:rPr>
      </w:pPr>
      <w:r>
        <w:rPr>
          <w:color w:val="000000" w:themeColor="text1"/>
        </w:rPr>
        <w:br w:type="page"/>
      </w:r>
    </w:p>
    <w:p w14:paraId="7BCBF9ED" w14:textId="77777777" w:rsidR="009A718E" w:rsidRPr="009A718E" w:rsidRDefault="009A718E" w:rsidP="009A718E">
      <w:pPr>
        <w:spacing w:after="120" w:line="360" w:lineRule="auto"/>
        <w:jc w:val="both"/>
        <w:rPr>
          <w:color w:val="000000" w:themeColor="text1"/>
        </w:rPr>
      </w:pPr>
    </w:p>
    <w:p w14:paraId="68A94FC8" w14:textId="77777777" w:rsidR="00AE4724" w:rsidRPr="00AB21CD" w:rsidRDefault="00AE4724" w:rsidP="00AE4724">
      <w:pPr>
        <w:pStyle w:val="ListParagraph"/>
        <w:numPr>
          <w:ilvl w:val="0"/>
          <w:numId w:val="1"/>
        </w:numPr>
        <w:spacing w:after="120" w:line="360" w:lineRule="auto"/>
        <w:jc w:val="both"/>
        <w:rPr>
          <w:color w:val="000000" w:themeColor="text1"/>
        </w:rPr>
      </w:pPr>
      <w:r w:rsidRPr="00AB21CD">
        <w:rPr>
          <w:color w:val="000000" w:themeColor="text1"/>
        </w:rPr>
        <w:t>Introduction</w:t>
      </w:r>
    </w:p>
    <w:p w14:paraId="20D03F03" w14:textId="189BE958" w:rsidR="00085055" w:rsidRPr="00B130CE" w:rsidRDefault="001B44C2" w:rsidP="00A92440">
      <w:pPr>
        <w:spacing w:after="120" w:line="360" w:lineRule="auto"/>
        <w:jc w:val="both"/>
        <w:rPr>
          <w:color w:val="000000" w:themeColor="text1"/>
        </w:rPr>
      </w:pPr>
      <w:r>
        <w:rPr>
          <w:rFonts w:eastAsia="Times New Roman" w:cstheme="minorHAnsi"/>
          <w:color w:val="000000" w:themeColor="text1"/>
          <w:lang w:val="en-US"/>
        </w:rPr>
        <w:t xml:space="preserve">Entrenched in a </w:t>
      </w:r>
      <w:r w:rsidR="00AC5218">
        <w:rPr>
          <w:rFonts w:eastAsia="Times New Roman" w:cstheme="minorHAnsi"/>
          <w:color w:val="000000" w:themeColor="text1"/>
          <w:lang w:val="en-US"/>
        </w:rPr>
        <w:t>vibrant</w:t>
      </w:r>
      <w:r>
        <w:rPr>
          <w:rFonts w:eastAsia="Times New Roman" w:cstheme="minorHAnsi"/>
          <w:color w:val="000000" w:themeColor="text1"/>
          <w:lang w:val="en-US"/>
        </w:rPr>
        <w:t xml:space="preserve"> </w:t>
      </w:r>
      <w:r w:rsidR="00B130CE">
        <w:rPr>
          <w:rFonts w:eastAsia="Times New Roman" w:cstheme="minorHAnsi"/>
          <w:color w:val="000000" w:themeColor="text1"/>
          <w:lang w:val="en-US"/>
        </w:rPr>
        <w:t xml:space="preserve">international </w:t>
      </w:r>
      <w:r>
        <w:rPr>
          <w:rFonts w:eastAsia="Times New Roman" w:cstheme="minorHAnsi"/>
          <w:color w:val="000000" w:themeColor="text1"/>
          <w:lang w:val="en-US"/>
        </w:rPr>
        <w:t xml:space="preserve">context striving for sustainable tropical forest management, the </w:t>
      </w:r>
      <w:r w:rsidR="00DD4938">
        <w:rPr>
          <w:rFonts w:cstheme="minorHAnsi"/>
          <w:color w:val="000000" w:themeColor="text1"/>
        </w:rPr>
        <w:t xml:space="preserve">EU stepped forward substantively in </w:t>
      </w:r>
      <w:r>
        <w:rPr>
          <w:rFonts w:cstheme="minorHAnsi"/>
          <w:color w:val="000000" w:themeColor="text1"/>
        </w:rPr>
        <w:t xml:space="preserve">this issue </w:t>
      </w:r>
      <w:r w:rsidR="00DD4938">
        <w:rPr>
          <w:rFonts w:cstheme="minorHAnsi"/>
          <w:color w:val="000000" w:themeColor="text1"/>
        </w:rPr>
        <w:t xml:space="preserve">in 2003, with the </w:t>
      </w:r>
      <w:r w:rsidR="00AC5218">
        <w:rPr>
          <w:rFonts w:cstheme="minorHAnsi"/>
          <w:color w:val="000000" w:themeColor="text1"/>
        </w:rPr>
        <w:t>adoption</w:t>
      </w:r>
      <w:r w:rsidR="00DD4938">
        <w:rPr>
          <w:rFonts w:cstheme="minorHAnsi"/>
          <w:color w:val="000000" w:themeColor="text1"/>
        </w:rPr>
        <w:t xml:space="preserve"> of its </w:t>
      </w:r>
      <w:r w:rsidR="00067612" w:rsidRPr="00A92440">
        <w:rPr>
          <w:rFonts w:cstheme="minorHAnsi"/>
          <w:color w:val="000000" w:themeColor="text1"/>
        </w:rPr>
        <w:t>Forest Law Enforcement</w:t>
      </w:r>
      <w:r w:rsidR="00067612" w:rsidRPr="002E5FAB">
        <w:rPr>
          <w:color w:val="000000" w:themeColor="text1"/>
        </w:rPr>
        <w:t>, Governance and Trade (</w:t>
      </w:r>
      <w:r w:rsidR="00AB21CD" w:rsidRPr="002E5FAB">
        <w:rPr>
          <w:color w:val="000000" w:themeColor="text1"/>
        </w:rPr>
        <w:t>FLEGT</w:t>
      </w:r>
      <w:r w:rsidR="00067612" w:rsidRPr="002E5FAB">
        <w:rPr>
          <w:color w:val="000000" w:themeColor="text1"/>
        </w:rPr>
        <w:t>) Action Plan</w:t>
      </w:r>
      <w:r w:rsidR="007A48AF" w:rsidRPr="002E5FAB">
        <w:rPr>
          <w:color w:val="000000" w:themeColor="text1"/>
        </w:rPr>
        <w:t xml:space="preserve"> (AP)</w:t>
      </w:r>
      <w:r w:rsidR="00077419" w:rsidRPr="002E5FAB">
        <w:rPr>
          <w:rStyle w:val="FootnoteReference"/>
          <w:color w:val="000000" w:themeColor="text1"/>
        </w:rPr>
        <w:footnoteReference w:id="1"/>
      </w:r>
      <w:r w:rsidR="00DD4938">
        <w:rPr>
          <w:color w:val="000000" w:themeColor="text1"/>
        </w:rPr>
        <w:t>. The creation of the F</w:t>
      </w:r>
      <w:r w:rsidR="00AC5218">
        <w:rPr>
          <w:color w:val="000000" w:themeColor="text1"/>
        </w:rPr>
        <w:t>LE</w:t>
      </w:r>
      <w:r w:rsidR="00DD4938">
        <w:rPr>
          <w:color w:val="000000" w:themeColor="text1"/>
        </w:rPr>
        <w:t>GT AP i</w:t>
      </w:r>
      <w:r w:rsidR="00AB21CD" w:rsidRPr="002E5FAB">
        <w:rPr>
          <w:color w:val="000000" w:themeColor="text1"/>
        </w:rPr>
        <w:t xml:space="preserve">s puzzling in several respects. First, </w:t>
      </w:r>
      <w:r w:rsidR="007A48AF" w:rsidRPr="002E5FAB">
        <w:rPr>
          <w:color w:val="000000" w:themeColor="text1"/>
        </w:rPr>
        <w:t>there was a vivid interest and consensus on addressing deforestation through better forest governance and law enforcement. The ground was fertile for multilateral progress on sustainable forest management. Forest law enforcement and governance had been discussed by large in differen</w:t>
      </w:r>
      <w:r w:rsidR="00B130CE">
        <w:rPr>
          <w:color w:val="000000" w:themeColor="text1"/>
        </w:rPr>
        <w:t>t international political locus (that I call venues) in</w:t>
      </w:r>
      <w:r w:rsidR="007A48AF" w:rsidRPr="002E5FAB">
        <w:rPr>
          <w:color w:val="000000" w:themeColor="text1"/>
        </w:rPr>
        <w:t xml:space="preserve"> </w:t>
      </w:r>
      <w:r w:rsidR="00B130CE">
        <w:rPr>
          <w:color w:val="000000" w:themeColor="text1"/>
        </w:rPr>
        <w:t xml:space="preserve">late 1990s and </w:t>
      </w:r>
      <w:r w:rsidR="007A48AF" w:rsidRPr="002E5FAB">
        <w:rPr>
          <w:color w:val="000000" w:themeColor="text1"/>
        </w:rPr>
        <w:t xml:space="preserve">early 2000s. The EU was not isolated in its interests but ended up adopting a bilateral framework to tackle deforestation through better forest governance and law enforcement. EU </w:t>
      </w:r>
      <w:r w:rsidR="00F60BC2">
        <w:rPr>
          <w:color w:val="000000" w:themeColor="text1"/>
        </w:rPr>
        <w:t xml:space="preserve">claimed </w:t>
      </w:r>
      <w:r w:rsidR="007A48AF" w:rsidRPr="002E5FAB">
        <w:rPr>
          <w:color w:val="000000" w:themeColor="text1"/>
        </w:rPr>
        <w:t xml:space="preserve">‘effective multilateralism’ </w:t>
      </w:r>
      <w:r w:rsidR="00AD2502">
        <w:rPr>
          <w:color w:val="000000" w:themeColor="text1"/>
        </w:rPr>
        <w:t xml:space="preserve">regarding sustainable forest management </w:t>
      </w:r>
      <w:r w:rsidR="007A48AF" w:rsidRPr="002E5FAB">
        <w:rPr>
          <w:color w:val="000000" w:themeColor="text1"/>
        </w:rPr>
        <w:t xml:space="preserve">was clear at the time of creation of the FLEGT </w:t>
      </w:r>
      <w:r w:rsidR="00AD2502">
        <w:rPr>
          <w:color w:val="000000" w:themeColor="text1"/>
        </w:rPr>
        <w:t>AP</w:t>
      </w:r>
      <w:r w:rsidR="007A48AF" w:rsidRPr="002E5FAB">
        <w:rPr>
          <w:color w:val="000000" w:themeColor="text1"/>
        </w:rPr>
        <w:t xml:space="preserve">. </w:t>
      </w:r>
      <w:r w:rsidR="00F60BC2">
        <w:rPr>
          <w:color w:val="000000" w:themeColor="text1"/>
        </w:rPr>
        <w:t xml:space="preserve">It generates </w:t>
      </w:r>
      <w:r w:rsidR="00F60BC2" w:rsidRPr="002E5FAB">
        <w:rPr>
          <w:color w:val="000000" w:themeColor="text1"/>
        </w:rPr>
        <w:t xml:space="preserve">discrepancy between EU discourse and actual policy. </w:t>
      </w:r>
      <w:r w:rsidR="007A48AF" w:rsidRPr="002E5FAB">
        <w:rPr>
          <w:color w:val="000000" w:themeColor="text1"/>
        </w:rPr>
        <w:t xml:space="preserve">Second, </w:t>
      </w:r>
      <w:r w:rsidR="00531EBC" w:rsidRPr="002E5FAB">
        <w:rPr>
          <w:color w:val="000000" w:themeColor="text1"/>
        </w:rPr>
        <w:t>the forest regime complex is fragmented. Fragmentation entails the presence of a large number of diverse international institutions (in terms of constituency and functional scope) managing forest issues</w:t>
      </w:r>
      <w:r w:rsidR="007A48AF" w:rsidRPr="002E5FAB">
        <w:rPr>
          <w:color w:val="000000" w:themeColor="text1"/>
        </w:rPr>
        <w:t xml:space="preserve"> providing </w:t>
      </w:r>
      <w:r w:rsidR="00531EBC" w:rsidRPr="002E5FAB">
        <w:rPr>
          <w:color w:val="000000" w:themeColor="text1"/>
        </w:rPr>
        <w:t xml:space="preserve">as many possibilities for the EU to carry out external action. It then seems surprising that the EU would create a new external action venue, especially considering the already high negotiation burden brought by regime fragmentation. Third, </w:t>
      </w:r>
      <w:r w:rsidR="00085055" w:rsidRPr="002E5FAB">
        <w:rPr>
          <w:color w:val="000000" w:themeColor="text1"/>
        </w:rPr>
        <w:t xml:space="preserve">considering the low political </w:t>
      </w:r>
      <w:r w:rsidR="00085055" w:rsidRPr="002E5FAB">
        <w:rPr>
          <w:color w:val="000000" w:themeColor="text1"/>
        </w:rPr>
        <w:lastRenderedPageBreak/>
        <w:t xml:space="preserve">importance of forests at the time of creation of the FLEGT Action Plan, it is </w:t>
      </w:r>
      <w:r w:rsidR="00AD2502">
        <w:rPr>
          <w:color w:val="000000" w:themeColor="text1"/>
        </w:rPr>
        <w:t>noticeable</w:t>
      </w:r>
      <w:r w:rsidR="00085055" w:rsidRPr="002E5FAB">
        <w:rPr>
          <w:color w:val="000000" w:themeColor="text1"/>
        </w:rPr>
        <w:t xml:space="preserve"> that the EU would engage in creating a new policy.</w:t>
      </w:r>
    </w:p>
    <w:p w14:paraId="6CED4E2A" w14:textId="6DED4C39" w:rsidR="00742157" w:rsidRPr="00AB21CD" w:rsidRDefault="008729C6" w:rsidP="005066B9">
      <w:pPr>
        <w:spacing w:after="120" w:line="360" w:lineRule="auto"/>
        <w:jc w:val="both"/>
        <w:rPr>
          <w:color w:val="000000" w:themeColor="text1"/>
        </w:rPr>
      </w:pPr>
      <w:r w:rsidRPr="00AB21CD">
        <w:rPr>
          <w:color w:val="000000" w:themeColor="text1"/>
        </w:rPr>
        <w:t xml:space="preserve">This article </w:t>
      </w:r>
      <w:r w:rsidR="00153E0E">
        <w:rPr>
          <w:color w:val="000000" w:themeColor="text1"/>
        </w:rPr>
        <w:t>addresses</w:t>
      </w:r>
      <w:r w:rsidR="00A43333">
        <w:rPr>
          <w:color w:val="000000" w:themeColor="text1"/>
        </w:rPr>
        <w:t xml:space="preserve"> these puzzles and </w:t>
      </w:r>
      <w:r w:rsidRPr="00AB21CD">
        <w:rPr>
          <w:color w:val="000000" w:themeColor="text1"/>
        </w:rPr>
        <w:t xml:space="preserve">explains why the EU </w:t>
      </w:r>
      <w:r w:rsidR="009C159A" w:rsidRPr="00AB21CD">
        <w:rPr>
          <w:color w:val="000000" w:themeColor="text1"/>
        </w:rPr>
        <w:t>set</w:t>
      </w:r>
      <w:r w:rsidR="00AB5B94" w:rsidRPr="00AB21CD">
        <w:rPr>
          <w:color w:val="000000" w:themeColor="text1"/>
        </w:rPr>
        <w:t>s</w:t>
      </w:r>
      <w:r w:rsidR="009C159A" w:rsidRPr="00AB21CD">
        <w:rPr>
          <w:color w:val="000000" w:themeColor="text1"/>
        </w:rPr>
        <w:t xml:space="preserve"> up the </w:t>
      </w:r>
      <w:r w:rsidR="007A48AF">
        <w:rPr>
          <w:color w:val="000000" w:themeColor="text1"/>
        </w:rPr>
        <w:t>FLEGT AP</w:t>
      </w:r>
      <w:r w:rsidR="00BA2E39" w:rsidRPr="00AB21CD">
        <w:rPr>
          <w:color w:val="000000" w:themeColor="text1"/>
        </w:rPr>
        <w:t xml:space="preserve"> (Council, 2005)</w:t>
      </w:r>
      <w:r w:rsidR="00602F49" w:rsidRPr="00AB21CD">
        <w:rPr>
          <w:color w:val="000000" w:themeColor="text1"/>
        </w:rPr>
        <w:t>.</w:t>
      </w:r>
      <w:r w:rsidR="009C159A" w:rsidRPr="00AB21CD">
        <w:rPr>
          <w:color w:val="000000" w:themeColor="text1"/>
        </w:rPr>
        <w:t xml:space="preserve"> </w:t>
      </w:r>
      <w:r w:rsidR="00742157" w:rsidRPr="00AB21CD">
        <w:rPr>
          <w:color w:val="000000" w:themeColor="text1"/>
        </w:rPr>
        <w:t xml:space="preserve">Recent research on FLEGT Regulation and subsequent voluntary partnership agreements (VPAs) revealed that despite the burgeoning literature on the issue, </w:t>
      </w:r>
      <w:r w:rsidR="00A43333">
        <w:rPr>
          <w:color w:val="000000" w:themeColor="text1"/>
        </w:rPr>
        <w:t>the puzzle behind</w:t>
      </w:r>
      <w:r w:rsidR="00742157" w:rsidRPr="00AB21CD">
        <w:rPr>
          <w:color w:val="000000" w:themeColor="text1"/>
        </w:rPr>
        <w:t xml:space="preserve"> the rationale of the </w:t>
      </w:r>
      <w:r w:rsidR="00A43333">
        <w:rPr>
          <w:color w:val="000000" w:themeColor="text1"/>
        </w:rPr>
        <w:t xml:space="preserve">creation of the </w:t>
      </w:r>
      <w:r w:rsidR="00742157" w:rsidRPr="00AB21CD">
        <w:rPr>
          <w:color w:val="000000" w:themeColor="text1"/>
        </w:rPr>
        <w:t>FLEGT Regulation remain</w:t>
      </w:r>
      <w:r w:rsidR="00A43333">
        <w:rPr>
          <w:color w:val="000000" w:themeColor="text1"/>
        </w:rPr>
        <w:t>s</w:t>
      </w:r>
      <w:r w:rsidR="00742157" w:rsidRPr="00AB21CD">
        <w:rPr>
          <w:color w:val="000000" w:themeColor="text1"/>
        </w:rPr>
        <w:t xml:space="preserve"> unanswered (</w:t>
      </w:r>
      <w:proofErr w:type="spellStart"/>
      <w:r w:rsidR="00742157" w:rsidRPr="00AB21CD">
        <w:rPr>
          <w:color w:val="000000" w:themeColor="text1"/>
        </w:rPr>
        <w:t>Derous</w:t>
      </w:r>
      <w:proofErr w:type="spellEnd"/>
      <w:r w:rsidR="00742157" w:rsidRPr="00AB21CD">
        <w:rPr>
          <w:color w:val="000000" w:themeColor="text1"/>
        </w:rPr>
        <w:t xml:space="preserve"> and </w:t>
      </w:r>
      <w:proofErr w:type="spellStart"/>
      <w:r w:rsidR="00742157" w:rsidRPr="00AB21CD">
        <w:rPr>
          <w:color w:val="000000" w:themeColor="text1"/>
        </w:rPr>
        <w:t>Verhaeghe</w:t>
      </w:r>
      <w:proofErr w:type="spellEnd"/>
      <w:r w:rsidR="00742157" w:rsidRPr="00AB21CD">
        <w:rPr>
          <w:color w:val="000000" w:themeColor="text1"/>
        </w:rPr>
        <w:t xml:space="preserve"> 2019). </w:t>
      </w:r>
      <w:proofErr w:type="spellStart"/>
      <w:r w:rsidR="00742157" w:rsidRPr="00AB21CD">
        <w:rPr>
          <w:color w:val="000000" w:themeColor="text1"/>
        </w:rPr>
        <w:t>Derou</w:t>
      </w:r>
      <w:r w:rsidR="009A718E">
        <w:rPr>
          <w:color w:val="000000" w:themeColor="text1"/>
        </w:rPr>
        <w:t>s</w:t>
      </w:r>
      <w:proofErr w:type="spellEnd"/>
      <w:r w:rsidR="009A718E">
        <w:rPr>
          <w:color w:val="000000" w:themeColor="text1"/>
        </w:rPr>
        <w:t xml:space="preserve"> and </w:t>
      </w:r>
      <w:proofErr w:type="spellStart"/>
      <w:r w:rsidR="009A718E">
        <w:rPr>
          <w:color w:val="000000" w:themeColor="text1"/>
        </w:rPr>
        <w:t>Verhaeghe</w:t>
      </w:r>
      <w:proofErr w:type="spellEnd"/>
      <w:r w:rsidR="009A718E">
        <w:rPr>
          <w:color w:val="000000" w:themeColor="text1"/>
        </w:rPr>
        <w:t xml:space="preserve"> claim that ‘FLEGT-related processes are ‘</w:t>
      </w:r>
      <w:r w:rsidR="00742157" w:rsidRPr="00AB21CD">
        <w:rPr>
          <w:color w:val="000000" w:themeColor="text1"/>
        </w:rPr>
        <w:t>political in nature in several dimensions and would benefit from an analysis as such’ (2019:</w:t>
      </w:r>
      <w:r w:rsidR="0040497B" w:rsidRPr="00AB21CD">
        <w:rPr>
          <w:color w:val="000000" w:themeColor="text1"/>
        </w:rPr>
        <w:t xml:space="preserve"> </w:t>
      </w:r>
      <w:r w:rsidR="00742157" w:rsidRPr="00AB21CD">
        <w:rPr>
          <w:color w:val="000000" w:themeColor="text1"/>
        </w:rPr>
        <w:t>81). Proof is the many FLEGT related articles stem</w:t>
      </w:r>
      <w:r w:rsidR="00A43333">
        <w:rPr>
          <w:color w:val="000000" w:themeColor="text1"/>
        </w:rPr>
        <w:t>ming</w:t>
      </w:r>
      <w:r w:rsidR="00742157" w:rsidRPr="00AB21CD">
        <w:rPr>
          <w:color w:val="000000" w:themeColor="text1"/>
        </w:rPr>
        <w:t xml:space="preserve"> from technical journals, not political science journals.</w:t>
      </w:r>
      <w:r w:rsidR="00085055">
        <w:rPr>
          <w:color w:val="000000" w:themeColor="text1"/>
        </w:rPr>
        <w:t xml:space="preserve"> </w:t>
      </w:r>
    </w:p>
    <w:p w14:paraId="76691946" w14:textId="0B5A495F" w:rsidR="000C395E" w:rsidRPr="00AB21CD" w:rsidRDefault="007A48AF" w:rsidP="005066B9">
      <w:pPr>
        <w:spacing w:after="120" w:line="360" w:lineRule="auto"/>
        <w:jc w:val="both"/>
        <w:rPr>
          <w:color w:val="000000" w:themeColor="text1"/>
        </w:rPr>
      </w:pPr>
      <w:r>
        <w:rPr>
          <w:color w:val="000000" w:themeColor="text1"/>
        </w:rPr>
        <w:t xml:space="preserve">Following a rationalist assumption, </w:t>
      </w:r>
      <w:proofErr w:type="gramStart"/>
      <w:r w:rsidR="009A718E">
        <w:rPr>
          <w:color w:val="000000" w:themeColor="text1"/>
        </w:rPr>
        <w:t>this papers</w:t>
      </w:r>
      <w:proofErr w:type="gramEnd"/>
      <w:r w:rsidR="009A718E">
        <w:rPr>
          <w:color w:val="000000" w:themeColor="text1"/>
        </w:rPr>
        <w:t xml:space="preserve"> displays a diachronic study of the creation of the FLEGT AP. Relying</w:t>
      </w:r>
      <w:r w:rsidR="00634055" w:rsidRPr="00AB21CD">
        <w:rPr>
          <w:color w:val="000000" w:themeColor="text1"/>
        </w:rPr>
        <w:t xml:space="preserve"> on semi-structured interviews</w:t>
      </w:r>
      <w:r w:rsidR="00742157" w:rsidRPr="00AB21CD">
        <w:rPr>
          <w:rStyle w:val="FootnoteReference"/>
          <w:color w:val="000000" w:themeColor="text1"/>
        </w:rPr>
        <w:footnoteReference w:id="2"/>
      </w:r>
      <w:r w:rsidR="00306F6F" w:rsidRPr="00AB21CD">
        <w:rPr>
          <w:color w:val="000000" w:themeColor="text1"/>
        </w:rPr>
        <w:t xml:space="preserve"> </w:t>
      </w:r>
      <w:r w:rsidR="0021596F" w:rsidRPr="00AB21CD">
        <w:rPr>
          <w:color w:val="000000" w:themeColor="text1"/>
        </w:rPr>
        <w:t xml:space="preserve">with </w:t>
      </w:r>
      <w:r w:rsidR="0021596F" w:rsidRPr="0005031E">
        <w:rPr>
          <w:color w:val="000000" w:themeColor="text1"/>
        </w:rPr>
        <w:t xml:space="preserve">purposefully selected respondents </w:t>
      </w:r>
      <w:r w:rsidR="00306F6F" w:rsidRPr="0005031E">
        <w:rPr>
          <w:color w:val="000000" w:themeColor="text1"/>
        </w:rPr>
        <w:t>and document analysis</w:t>
      </w:r>
      <w:r w:rsidR="00634055" w:rsidRPr="0005031E">
        <w:rPr>
          <w:color w:val="000000" w:themeColor="text1"/>
        </w:rPr>
        <w:t xml:space="preserve">, </w:t>
      </w:r>
      <w:r w:rsidR="00700359" w:rsidRPr="0005031E">
        <w:rPr>
          <w:color w:val="000000" w:themeColor="text1"/>
        </w:rPr>
        <w:t xml:space="preserve">I carry out minimalist process-tracing to dig up the power dynamics between and beyond EU actors and institutions in the </w:t>
      </w:r>
      <w:r w:rsidR="00085055" w:rsidRPr="0005031E">
        <w:rPr>
          <w:color w:val="000000" w:themeColor="text1"/>
        </w:rPr>
        <w:t xml:space="preserve">decision to tackle deforestation bilaterally and the </w:t>
      </w:r>
      <w:r w:rsidR="00700359" w:rsidRPr="0005031E">
        <w:rPr>
          <w:color w:val="000000" w:themeColor="text1"/>
        </w:rPr>
        <w:t>design of the FLEGT Regulation.</w:t>
      </w:r>
      <w:r w:rsidR="004753DD" w:rsidRPr="0005031E">
        <w:rPr>
          <w:color w:val="000000" w:themeColor="text1"/>
        </w:rPr>
        <w:t xml:space="preserve"> </w:t>
      </w:r>
      <w:r w:rsidR="00634055" w:rsidRPr="0005031E">
        <w:rPr>
          <w:color w:val="000000" w:themeColor="text1"/>
        </w:rPr>
        <w:t>I unravel</w:t>
      </w:r>
      <w:r w:rsidR="00306F6F" w:rsidRPr="0005031E">
        <w:rPr>
          <w:color w:val="000000" w:themeColor="text1"/>
        </w:rPr>
        <w:t xml:space="preserve"> four factors</w:t>
      </w:r>
      <w:r w:rsidR="00F8146B" w:rsidRPr="0005031E">
        <w:rPr>
          <w:color w:val="000000" w:themeColor="text1"/>
        </w:rPr>
        <w:t>,</w:t>
      </w:r>
      <w:r w:rsidR="00306F6F" w:rsidRPr="0005031E">
        <w:rPr>
          <w:color w:val="000000" w:themeColor="text1"/>
        </w:rPr>
        <w:t xml:space="preserve"> </w:t>
      </w:r>
      <w:r w:rsidR="00F8146B" w:rsidRPr="0005031E">
        <w:rPr>
          <w:color w:val="000000" w:themeColor="text1"/>
        </w:rPr>
        <w:t xml:space="preserve">related to the EU in its international context, </w:t>
      </w:r>
      <w:r w:rsidR="00306F6F" w:rsidRPr="0005031E">
        <w:rPr>
          <w:color w:val="000000" w:themeColor="text1"/>
        </w:rPr>
        <w:t>contributing to explaining the creation of the venue. In</w:t>
      </w:r>
      <w:r w:rsidR="00D46084" w:rsidRPr="0005031E">
        <w:rPr>
          <w:color w:val="000000" w:themeColor="text1"/>
        </w:rPr>
        <w:t xml:space="preserve">herent to EU </w:t>
      </w:r>
      <w:r w:rsidR="006B1038" w:rsidRPr="0005031E">
        <w:rPr>
          <w:color w:val="000000" w:themeColor="text1"/>
        </w:rPr>
        <w:t>functioning</w:t>
      </w:r>
      <w:r w:rsidR="00306F6F" w:rsidRPr="0005031E">
        <w:rPr>
          <w:color w:val="000000" w:themeColor="text1"/>
        </w:rPr>
        <w:t xml:space="preserve">, EU unity </w:t>
      </w:r>
      <w:r w:rsidR="00085055" w:rsidRPr="0005031E">
        <w:rPr>
          <w:color w:val="000000" w:themeColor="text1"/>
        </w:rPr>
        <w:t xml:space="preserve">is expected to contribute to the creation of the venue. </w:t>
      </w:r>
      <w:r w:rsidRPr="0005031E">
        <w:rPr>
          <w:color w:val="000000" w:themeColor="text1"/>
        </w:rPr>
        <w:t>Context-wise</w:t>
      </w:r>
      <w:r w:rsidR="00085055" w:rsidRPr="0005031E">
        <w:rPr>
          <w:color w:val="000000" w:themeColor="text1"/>
        </w:rPr>
        <w:t xml:space="preserve">, EU </w:t>
      </w:r>
      <w:r w:rsidR="00306F6F" w:rsidRPr="0005031E">
        <w:rPr>
          <w:color w:val="000000" w:themeColor="text1"/>
        </w:rPr>
        <w:t xml:space="preserve">ambition </w:t>
      </w:r>
      <w:r w:rsidR="00F8146B" w:rsidRPr="0005031E">
        <w:rPr>
          <w:color w:val="000000" w:themeColor="text1"/>
        </w:rPr>
        <w:t xml:space="preserve">as compared to other </w:t>
      </w:r>
      <w:r w:rsidR="00F8146B" w:rsidRPr="00AB21CD">
        <w:rPr>
          <w:color w:val="000000" w:themeColor="text1"/>
        </w:rPr>
        <w:t>members of the forest regime complex</w:t>
      </w:r>
      <w:r w:rsidR="00306F6F" w:rsidRPr="00AB21CD">
        <w:rPr>
          <w:color w:val="000000" w:themeColor="text1"/>
        </w:rPr>
        <w:t xml:space="preserve">, EU isolation </w:t>
      </w:r>
      <w:r w:rsidR="00F8146B" w:rsidRPr="00AB21CD">
        <w:rPr>
          <w:color w:val="000000" w:themeColor="text1"/>
        </w:rPr>
        <w:t xml:space="preserve">from other negotiators of the forest regime complex </w:t>
      </w:r>
      <w:r w:rsidR="00306F6F" w:rsidRPr="00AB21CD">
        <w:rPr>
          <w:color w:val="000000" w:themeColor="text1"/>
        </w:rPr>
        <w:t xml:space="preserve">and </w:t>
      </w:r>
      <w:r w:rsidR="00F8146B" w:rsidRPr="00AB21CD">
        <w:rPr>
          <w:color w:val="000000" w:themeColor="text1"/>
        </w:rPr>
        <w:t xml:space="preserve">EU </w:t>
      </w:r>
      <w:r w:rsidR="00306F6F" w:rsidRPr="00AB21CD">
        <w:rPr>
          <w:color w:val="000000" w:themeColor="text1"/>
        </w:rPr>
        <w:t xml:space="preserve">relative bargaining power are also expected to do so. </w:t>
      </w:r>
    </w:p>
    <w:p w14:paraId="38FB8CB7" w14:textId="091AC4E2" w:rsidR="00306F6F" w:rsidRPr="00AB21CD" w:rsidRDefault="00306F6F" w:rsidP="005066B9">
      <w:pPr>
        <w:spacing w:after="120" w:line="360" w:lineRule="auto"/>
        <w:jc w:val="both"/>
        <w:rPr>
          <w:color w:val="000000" w:themeColor="text1"/>
        </w:rPr>
      </w:pPr>
      <w:r w:rsidRPr="00AB21CD">
        <w:rPr>
          <w:color w:val="000000" w:themeColor="text1"/>
        </w:rPr>
        <w:t xml:space="preserve">Section 2 </w:t>
      </w:r>
      <w:r w:rsidR="00700359" w:rsidRPr="00AB21CD">
        <w:rPr>
          <w:color w:val="000000" w:themeColor="text1"/>
        </w:rPr>
        <w:t xml:space="preserve">describes in more details the puzzles linked </w:t>
      </w:r>
      <w:r w:rsidR="00483D14">
        <w:rPr>
          <w:color w:val="000000" w:themeColor="text1"/>
        </w:rPr>
        <w:t>to</w:t>
      </w:r>
      <w:r w:rsidR="00700359" w:rsidRPr="00AB21CD">
        <w:rPr>
          <w:color w:val="000000" w:themeColor="text1"/>
        </w:rPr>
        <w:t xml:space="preserve"> the creation of the FLEGT </w:t>
      </w:r>
      <w:r w:rsidR="009A718E">
        <w:rPr>
          <w:color w:val="000000" w:themeColor="text1"/>
        </w:rPr>
        <w:t>AP</w:t>
      </w:r>
      <w:r w:rsidR="00700359" w:rsidRPr="00AB21CD">
        <w:rPr>
          <w:color w:val="000000" w:themeColor="text1"/>
        </w:rPr>
        <w:t xml:space="preserve">. </w:t>
      </w:r>
      <w:r w:rsidRPr="00AB21CD">
        <w:rPr>
          <w:color w:val="000000" w:themeColor="text1"/>
        </w:rPr>
        <w:t xml:space="preserve">Then, section 3 delineates </w:t>
      </w:r>
      <w:r w:rsidR="00A35C83" w:rsidRPr="00AB21CD">
        <w:rPr>
          <w:color w:val="000000" w:themeColor="text1"/>
        </w:rPr>
        <w:t>the theoretical framework</w:t>
      </w:r>
      <w:r w:rsidR="009A718E">
        <w:rPr>
          <w:color w:val="000000" w:themeColor="text1"/>
        </w:rPr>
        <w:t xml:space="preserve"> (</w:t>
      </w:r>
      <w:r w:rsidR="009A718E" w:rsidRPr="00AB21CD">
        <w:rPr>
          <w:color w:val="000000" w:themeColor="text1"/>
        </w:rPr>
        <w:t>four factors expected to define EU venue creation</w:t>
      </w:r>
      <w:r w:rsidR="009A718E">
        <w:rPr>
          <w:color w:val="000000" w:themeColor="text1"/>
        </w:rPr>
        <w:t>), section 4 the research design (</w:t>
      </w:r>
      <w:r w:rsidRPr="00AB21CD">
        <w:rPr>
          <w:color w:val="000000" w:themeColor="text1"/>
        </w:rPr>
        <w:t xml:space="preserve">minimalist process tracing </w:t>
      </w:r>
      <w:r w:rsidR="00A35C83" w:rsidRPr="00AB21CD">
        <w:rPr>
          <w:color w:val="000000" w:themeColor="text1"/>
        </w:rPr>
        <w:t xml:space="preserve">as </w:t>
      </w:r>
      <w:r w:rsidRPr="00AB21CD">
        <w:rPr>
          <w:color w:val="000000" w:themeColor="text1"/>
        </w:rPr>
        <w:t>r</w:t>
      </w:r>
      <w:r w:rsidR="00A35C83" w:rsidRPr="00AB21CD">
        <w:rPr>
          <w:color w:val="000000" w:themeColor="text1"/>
        </w:rPr>
        <w:t>esearch methodology</w:t>
      </w:r>
      <w:r w:rsidR="009A718E">
        <w:rPr>
          <w:color w:val="000000" w:themeColor="text1"/>
        </w:rPr>
        <w:t xml:space="preserve"> and causes so-called ‘fingerprints’)</w:t>
      </w:r>
      <w:r w:rsidRPr="00AB21CD">
        <w:rPr>
          <w:color w:val="000000" w:themeColor="text1"/>
        </w:rPr>
        <w:t xml:space="preserve">. </w:t>
      </w:r>
      <w:r w:rsidR="009A718E">
        <w:rPr>
          <w:color w:val="000000" w:themeColor="text1"/>
        </w:rPr>
        <w:t xml:space="preserve">In section 5, </w:t>
      </w:r>
      <w:r w:rsidRPr="00AB21CD">
        <w:rPr>
          <w:color w:val="000000" w:themeColor="text1"/>
        </w:rPr>
        <w:t xml:space="preserve">minimalist process tracing </w:t>
      </w:r>
      <w:r w:rsidR="00700359" w:rsidRPr="00AB21CD">
        <w:rPr>
          <w:color w:val="000000" w:themeColor="text1"/>
        </w:rPr>
        <w:t>develops the story of the creation of the FLEGT Regulation.</w:t>
      </w:r>
      <w:r w:rsidR="009A718E">
        <w:rPr>
          <w:color w:val="000000" w:themeColor="text1"/>
        </w:rPr>
        <w:t xml:space="preserve"> Section 6</w:t>
      </w:r>
      <w:r w:rsidRPr="00AB21CD">
        <w:rPr>
          <w:color w:val="000000" w:themeColor="text1"/>
        </w:rPr>
        <w:t xml:space="preserve"> confronts the narrative with the factors id</w:t>
      </w:r>
      <w:r w:rsidR="009A718E">
        <w:rPr>
          <w:color w:val="000000" w:themeColor="text1"/>
        </w:rPr>
        <w:t>entified in section 3. Section 7</w:t>
      </w:r>
      <w:r w:rsidRPr="00AB21CD">
        <w:rPr>
          <w:color w:val="000000" w:themeColor="text1"/>
        </w:rPr>
        <w:t xml:space="preserve"> concludes. </w:t>
      </w:r>
    </w:p>
    <w:p w14:paraId="25520CBE" w14:textId="77777777" w:rsidR="00306F6F" w:rsidRDefault="00306F6F" w:rsidP="005066B9">
      <w:pPr>
        <w:spacing w:after="120" w:line="360" w:lineRule="auto"/>
        <w:jc w:val="both"/>
      </w:pPr>
    </w:p>
    <w:p w14:paraId="57BF9AB5" w14:textId="400E78EA" w:rsidR="00306F6F" w:rsidRDefault="002E5FB3" w:rsidP="00306F6F">
      <w:pPr>
        <w:pStyle w:val="ListParagraph"/>
        <w:numPr>
          <w:ilvl w:val="0"/>
          <w:numId w:val="1"/>
        </w:numPr>
        <w:spacing w:after="120" w:line="360" w:lineRule="auto"/>
        <w:jc w:val="both"/>
      </w:pPr>
      <w:r>
        <w:lastRenderedPageBreak/>
        <w:t xml:space="preserve">Puzzles of </w:t>
      </w:r>
      <w:r w:rsidR="00D46084">
        <w:t xml:space="preserve">FLEGT </w:t>
      </w:r>
      <w:r>
        <w:t>Action Plan</w:t>
      </w:r>
      <w:r w:rsidR="00D46084">
        <w:t xml:space="preserve"> creation</w:t>
      </w:r>
    </w:p>
    <w:p w14:paraId="0877766C" w14:textId="54B02D95" w:rsidR="002B3994" w:rsidRPr="001B44C2" w:rsidRDefault="00003EB8" w:rsidP="00D46084">
      <w:pPr>
        <w:spacing w:after="120" w:line="360" w:lineRule="auto"/>
        <w:jc w:val="both"/>
        <w:rPr>
          <w:color w:val="000000" w:themeColor="text1"/>
        </w:rPr>
      </w:pPr>
      <w:r w:rsidRPr="001B44C2">
        <w:rPr>
          <w:color w:val="000000" w:themeColor="text1"/>
        </w:rPr>
        <w:t xml:space="preserve">First, the FLEGT </w:t>
      </w:r>
      <w:r w:rsidR="007A48AF" w:rsidRPr="001B44C2">
        <w:rPr>
          <w:color w:val="000000" w:themeColor="text1"/>
        </w:rPr>
        <w:t xml:space="preserve">AP, that sets out the general objectives that are achieved by implementing the FLEGT Regulation, </w:t>
      </w:r>
      <w:r w:rsidRPr="001B44C2">
        <w:rPr>
          <w:color w:val="000000" w:themeColor="text1"/>
        </w:rPr>
        <w:t xml:space="preserve">was created in an international context of </w:t>
      </w:r>
      <w:r w:rsidR="00D14569" w:rsidRPr="001B44C2">
        <w:rPr>
          <w:color w:val="000000" w:themeColor="text1"/>
        </w:rPr>
        <w:t>vivid interest</w:t>
      </w:r>
      <w:r w:rsidRPr="001B44C2">
        <w:rPr>
          <w:color w:val="000000" w:themeColor="text1"/>
        </w:rPr>
        <w:t xml:space="preserve"> for tackling deforestation through better forest governance and law enforcement (</w:t>
      </w:r>
      <w:proofErr w:type="spellStart"/>
      <w:r w:rsidRPr="001B44C2">
        <w:rPr>
          <w:color w:val="000000" w:themeColor="text1"/>
        </w:rPr>
        <w:t>Overdevest</w:t>
      </w:r>
      <w:proofErr w:type="spellEnd"/>
      <w:r w:rsidRPr="001B44C2">
        <w:rPr>
          <w:color w:val="000000" w:themeColor="text1"/>
        </w:rPr>
        <w:t xml:space="preserve"> and Zeitlin 2015, </w:t>
      </w:r>
      <w:r w:rsidR="000E6D6A">
        <w:rPr>
          <w:color w:val="000000" w:themeColor="text1"/>
        </w:rPr>
        <w:t xml:space="preserve">Interviews </w:t>
      </w:r>
      <w:r w:rsidR="00F12ED8">
        <w:rPr>
          <w:color w:val="000000" w:themeColor="text1"/>
        </w:rPr>
        <w:t>2, 3, 4</w:t>
      </w:r>
      <w:r w:rsidRPr="001B44C2">
        <w:rPr>
          <w:color w:val="000000" w:themeColor="text1"/>
        </w:rPr>
        <w:t xml:space="preserve">, </w:t>
      </w:r>
      <w:r w:rsidR="009C5802">
        <w:rPr>
          <w:color w:val="000000" w:themeColor="text1"/>
        </w:rPr>
        <w:t>6</w:t>
      </w:r>
      <w:r w:rsidR="000E6D6A">
        <w:rPr>
          <w:rStyle w:val="FootnoteReference"/>
          <w:color w:val="000000" w:themeColor="text1"/>
        </w:rPr>
        <w:footnoteReference w:id="3"/>
      </w:r>
      <w:r w:rsidRPr="001B44C2">
        <w:rPr>
          <w:color w:val="000000" w:themeColor="text1"/>
        </w:rPr>
        <w:t xml:space="preserve">). </w:t>
      </w:r>
      <w:r w:rsidR="007A48AF" w:rsidRPr="001B44C2">
        <w:rPr>
          <w:color w:val="000000" w:themeColor="text1"/>
        </w:rPr>
        <w:t>Forest law enf</w:t>
      </w:r>
      <w:r w:rsidR="00303A5B">
        <w:rPr>
          <w:color w:val="000000" w:themeColor="text1"/>
        </w:rPr>
        <w:t>orcement, governance and related</w:t>
      </w:r>
      <w:r w:rsidR="007A48AF" w:rsidRPr="001B44C2">
        <w:rPr>
          <w:color w:val="000000" w:themeColor="text1"/>
        </w:rPr>
        <w:t xml:space="preserve"> trade was quite a visible forest issue and debated in several political venues (mostly the International Tropical Timber Organisation</w:t>
      </w:r>
      <w:r w:rsidR="00F60BC2">
        <w:rPr>
          <w:color w:val="000000" w:themeColor="text1"/>
        </w:rPr>
        <w:t xml:space="preserve"> [ITTO]</w:t>
      </w:r>
      <w:r w:rsidR="007A48AF" w:rsidRPr="001B44C2">
        <w:rPr>
          <w:color w:val="000000" w:themeColor="text1"/>
        </w:rPr>
        <w:t>, the World Bank, G8, U</w:t>
      </w:r>
      <w:r w:rsidR="00303A5B">
        <w:rPr>
          <w:color w:val="000000" w:themeColor="text1"/>
        </w:rPr>
        <w:t xml:space="preserve">nited </w:t>
      </w:r>
      <w:r w:rsidR="007A48AF" w:rsidRPr="001B44C2">
        <w:rPr>
          <w:color w:val="000000" w:themeColor="text1"/>
        </w:rPr>
        <w:t>N</w:t>
      </w:r>
      <w:r w:rsidR="00303A5B">
        <w:rPr>
          <w:color w:val="000000" w:themeColor="text1"/>
        </w:rPr>
        <w:t xml:space="preserve">ations </w:t>
      </w:r>
      <w:r w:rsidR="007A48AF" w:rsidRPr="001B44C2">
        <w:rPr>
          <w:color w:val="000000" w:themeColor="text1"/>
        </w:rPr>
        <w:t>F</w:t>
      </w:r>
      <w:r w:rsidR="00303A5B">
        <w:rPr>
          <w:color w:val="000000" w:themeColor="text1"/>
        </w:rPr>
        <w:t xml:space="preserve">orum on </w:t>
      </w:r>
      <w:r w:rsidR="007A48AF" w:rsidRPr="001B44C2">
        <w:rPr>
          <w:color w:val="000000" w:themeColor="text1"/>
        </w:rPr>
        <w:t>F</w:t>
      </w:r>
      <w:r w:rsidR="00303A5B">
        <w:rPr>
          <w:color w:val="000000" w:themeColor="text1"/>
        </w:rPr>
        <w:t>orests</w:t>
      </w:r>
      <w:r w:rsidR="00F60BC2">
        <w:rPr>
          <w:color w:val="000000" w:themeColor="text1"/>
        </w:rPr>
        <w:t xml:space="preserve"> [UNFF]</w:t>
      </w:r>
      <w:r w:rsidR="007A48AF" w:rsidRPr="001B44C2">
        <w:rPr>
          <w:color w:val="000000" w:themeColor="text1"/>
        </w:rPr>
        <w:t xml:space="preserve">) and </w:t>
      </w:r>
      <w:r w:rsidR="00303A5B">
        <w:rPr>
          <w:color w:val="000000" w:themeColor="text1"/>
        </w:rPr>
        <w:t xml:space="preserve">transnational </w:t>
      </w:r>
      <w:r w:rsidR="007A48AF" w:rsidRPr="001B44C2">
        <w:rPr>
          <w:color w:val="000000" w:themeColor="text1"/>
        </w:rPr>
        <w:t xml:space="preserve">NGOs. </w:t>
      </w:r>
      <w:r w:rsidR="00D14569" w:rsidRPr="001B44C2">
        <w:rPr>
          <w:color w:val="000000" w:themeColor="text1"/>
        </w:rPr>
        <w:t>Still, multilateral paths to tackle deforestation remained at discussion stage. I am wondering why, and whether the EU (which had an interest so clear that it created a bilateral scheme to tackle deforestation) could not have convinced interested international actors in creating a multilateral scheme.</w:t>
      </w:r>
      <w:r w:rsidR="00F60BC2">
        <w:rPr>
          <w:color w:val="000000" w:themeColor="text1"/>
        </w:rPr>
        <w:t xml:space="preserve"> This being said, the EU still claimed engaging multilaterally (</w:t>
      </w:r>
      <w:proofErr w:type="spellStart"/>
      <w:r w:rsidR="00F60BC2">
        <w:rPr>
          <w:color w:val="000000" w:themeColor="text1"/>
        </w:rPr>
        <w:t>Overdevest</w:t>
      </w:r>
      <w:proofErr w:type="spellEnd"/>
      <w:r w:rsidR="00F60BC2">
        <w:rPr>
          <w:color w:val="000000" w:themeColor="text1"/>
        </w:rPr>
        <w:t xml:space="preserve"> and Zeitlin 2015: 140) despite its obvious bilateral engagement in the matter. </w:t>
      </w:r>
    </w:p>
    <w:p w14:paraId="6C9EE8BE" w14:textId="18BEA724" w:rsidR="00D46084" w:rsidRDefault="00F64C2D" w:rsidP="00D46084">
      <w:pPr>
        <w:spacing w:after="120" w:line="360" w:lineRule="auto"/>
        <w:jc w:val="both"/>
      </w:pPr>
      <w:r>
        <w:t xml:space="preserve">Second, </w:t>
      </w:r>
      <w:r w:rsidR="00F60BC2">
        <w:t>venues discussing</w:t>
      </w:r>
      <w:r w:rsidR="007A48AF">
        <w:t xml:space="preserve"> </w:t>
      </w:r>
      <w:r w:rsidR="00D74E92">
        <w:t xml:space="preserve">issues </w:t>
      </w:r>
      <w:r w:rsidR="00F60BC2">
        <w:t xml:space="preserve">related to forest governance and law enforcement </w:t>
      </w:r>
      <w:r w:rsidR="007A48AF">
        <w:t xml:space="preserve">had different functional </w:t>
      </w:r>
      <w:r w:rsidR="00D74E92">
        <w:t>scopes and i</w:t>
      </w:r>
      <w:r w:rsidR="00F60BC2">
        <w:t>nstitutional arrangements. FLEG</w:t>
      </w:r>
      <w:r w:rsidR="00D74E92">
        <w:t xml:space="preserve"> discussions had the potential to lead to fairly different outcomes emanating from these venues. T</w:t>
      </w:r>
      <w:r w:rsidR="00D46084" w:rsidRPr="006108B4">
        <w:t xml:space="preserve">he international forest regime </w:t>
      </w:r>
      <w:r w:rsidR="00D46084">
        <w:t xml:space="preserve">complex </w:t>
      </w:r>
      <w:r w:rsidR="00D46084" w:rsidRPr="006108B4">
        <w:t>is fragmented. Composed of overlapping, loosely coupled, sometimes contradicting sets of rules and principles that co-govern the forest issue area</w:t>
      </w:r>
      <w:r w:rsidR="006F023B">
        <w:t xml:space="preserve"> </w:t>
      </w:r>
      <w:r>
        <w:t>(</w:t>
      </w:r>
      <w:r w:rsidR="006F023B">
        <w:t xml:space="preserve">Alter and Meunier 2009; Biermann et al. 2009; </w:t>
      </w:r>
      <w:proofErr w:type="spellStart"/>
      <w:r w:rsidR="006F023B">
        <w:t>Drezner</w:t>
      </w:r>
      <w:proofErr w:type="spellEnd"/>
      <w:r w:rsidR="006F023B">
        <w:t xml:space="preserve"> 2009)</w:t>
      </w:r>
      <w:r w:rsidR="00D46084" w:rsidRPr="006108B4">
        <w:t xml:space="preserve">, the fragmented forest regime </w:t>
      </w:r>
      <w:r>
        <w:t xml:space="preserve">complex </w:t>
      </w:r>
      <w:r w:rsidR="00D46084" w:rsidRPr="006108B4">
        <w:t xml:space="preserve">is a </w:t>
      </w:r>
      <w:r w:rsidR="006B1038">
        <w:t>vast</w:t>
      </w:r>
      <w:r w:rsidR="00D46084" w:rsidRPr="006108B4">
        <w:t xml:space="preserve"> environment for EU forest external action. </w:t>
      </w:r>
      <w:r w:rsidR="00A7785A">
        <w:t>In practice, it is made of several multilateral institutions (under UN umbrella: UNFF, CBD, FAO, UNFCCC, but also the ITTO</w:t>
      </w:r>
      <w:r w:rsidR="007A4C39">
        <w:t>,</w:t>
      </w:r>
      <w:r w:rsidR="00A7785A">
        <w:t xml:space="preserve"> Forest Europe</w:t>
      </w:r>
      <w:r w:rsidR="007A4C39">
        <w:t>, even the World Bank</w:t>
      </w:r>
      <w:r w:rsidR="00A7785A">
        <w:t xml:space="preserve">), bilateral agreements and internal measures with extensive extraterritorial consequences (Pirlot et al., 2018). </w:t>
      </w:r>
      <w:r w:rsidR="00D74E92">
        <w:t>None</w:t>
      </w:r>
      <w:r w:rsidR="00A7785A">
        <w:t xml:space="preserve"> </w:t>
      </w:r>
      <w:r w:rsidR="00483D14">
        <w:t xml:space="preserve">is </w:t>
      </w:r>
      <w:r w:rsidR="00A7785A">
        <w:t xml:space="preserve">overseen by a forest convention to hierarchise and prioritise </w:t>
      </w:r>
      <w:r w:rsidR="00D46084" w:rsidRPr="006108B4">
        <w:t>external action venues</w:t>
      </w:r>
      <w:r w:rsidR="007A4C39">
        <w:t xml:space="preserve"> and related scope of action</w:t>
      </w:r>
      <w:r w:rsidR="00D46084" w:rsidRPr="006108B4">
        <w:t>.</w:t>
      </w:r>
      <w:r w:rsidR="00D46084">
        <w:t xml:space="preserve"> Notwithstanding chaotic appearances and poor reputation</w:t>
      </w:r>
      <w:r w:rsidR="00623787">
        <w:t xml:space="preserve"> (Biermann et al. 2009)</w:t>
      </w:r>
      <w:r w:rsidR="00D46084">
        <w:t xml:space="preserve">, fragmentation provides a flexible </w:t>
      </w:r>
      <w:r w:rsidR="006F023B">
        <w:t xml:space="preserve">(Keohane and Victor 2011; Kuyper 2014; Morin and Orsini 2013) </w:t>
      </w:r>
      <w:r w:rsidR="00D46084">
        <w:t xml:space="preserve">and enabling environment for actors to act externally, each venue representing a potential external action locus (Pirlot 2019). It </w:t>
      </w:r>
      <w:r w:rsidR="00D46084" w:rsidRPr="006108B4">
        <w:t xml:space="preserve">provides the EU, as any external action actor, </w:t>
      </w:r>
      <w:r w:rsidR="00D46084" w:rsidRPr="006108B4">
        <w:lastRenderedPageBreak/>
        <w:t xml:space="preserve">as many opportunities to </w:t>
      </w:r>
      <w:r w:rsidR="006A266A">
        <w:t>engage</w:t>
      </w:r>
      <w:r w:rsidR="00D46084" w:rsidRPr="006108B4">
        <w:t xml:space="preserve"> </w:t>
      </w:r>
      <w:r>
        <w:t xml:space="preserve">in international forest politics </w:t>
      </w:r>
      <w:r w:rsidR="00D46084" w:rsidRPr="006108B4">
        <w:t>(Pirlot 201</w:t>
      </w:r>
      <w:r w:rsidR="00D46084">
        <w:t>9</w:t>
      </w:r>
      <w:r w:rsidR="00D46084" w:rsidRPr="006108B4">
        <w:t xml:space="preserve">). </w:t>
      </w:r>
      <w:r w:rsidR="000A2B92">
        <w:t>Still, the EU created a new policy.</w:t>
      </w:r>
    </w:p>
    <w:p w14:paraId="60F1FC5A" w14:textId="0D7422B7" w:rsidR="00C215DA" w:rsidRDefault="00303A5B" w:rsidP="00D46084">
      <w:pPr>
        <w:spacing w:after="120" w:line="360" w:lineRule="auto"/>
        <w:jc w:val="both"/>
      </w:pPr>
      <w:r>
        <w:t>In this context, FLEGT AP creation is</w:t>
      </w:r>
      <w:r w:rsidR="00C215DA">
        <w:t xml:space="preserve"> particularly puzzling since there already exist</w:t>
      </w:r>
      <w:r>
        <w:t>ed</w:t>
      </w:r>
      <w:r w:rsidR="00C215DA">
        <w:t xml:space="preserve"> a multilateral agreement on forest sustainability and legal logging related </w:t>
      </w:r>
      <w:r w:rsidR="0055368E">
        <w:t>to international timber trade. Since 1983, t</w:t>
      </w:r>
      <w:r w:rsidR="00C215DA">
        <w:t>he International Tropical Timber Agreement</w:t>
      </w:r>
      <w:r w:rsidR="00C215DA">
        <w:rPr>
          <w:rStyle w:val="FootnoteReference"/>
        </w:rPr>
        <w:footnoteReference w:id="4"/>
      </w:r>
      <w:r w:rsidR="00C215DA">
        <w:t xml:space="preserve"> binds tropical timber producing countries to trade timber harvested in legal and sustainably managed forests. VPA countries are ITTA countries </w:t>
      </w:r>
      <w:r w:rsidR="00971E4E">
        <w:t xml:space="preserve">as </w:t>
      </w:r>
      <w:r w:rsidR="00C215DA">
        <w:t>well</w:t>
      </w:r>
      <w:r w:rsidR="00971E4E">
        <w:t xml:space="preserve"> (to the exception of Laos</w:t>
      </w:r>
      <w:r w:rsidR="00483D14">
        <w:t>, that is not an ITTO member</w:t>
      </w:r>
      <w:r w:rsidR="00971E4E">
        <w:t>)</w:t>
      </w:r>
      <w:r w:rsidR="00C215DA">
        <w:t>. One could argue that ITTA and FLEGT VPA objectives go in the same direction, questioning the necessity to create the bilateral venue</w:t>
      </w:r>
      <w:r w:rsidR="00D74E92">
        <w:t xml:space="preserve">, especially since VPA countries (to the exception of Laos) are also ITTA countries. </w:t>
      </w:r>
    </w:p>
    <w:p w14:paraId="14875983" w14:textId="4B1E6DD6" w:rsidR="000E0351" w:rsidRPr="001B44C2" w:rsidRDefault="0055368E" w:rsidP="00D46084">
      <w:pPr>
        <w:spacing w:after="120" w:line="360" w:lineRule="auto"/>
        <w:jc w:val="both"/>
        <w:rPr>
          <w:color w:val="000000" w:themeColor="text1"/>
        </w:rPr>
      </w:pPr>
      <w:r>
        <w:rPr>
          <w:color w:val="000000" w:themeColor="text1"/>
        </w:rPr>
        <w:t>E</w:t>
      </w:r>
      <w:r w:rsidR="000E0351" w:rsidRPr="0005031E">
        <w:rPr>
          <w:color w:val="000000" w:themeColor="text1"/>
        </w:rPr>
        <w:t xml:space="preserve">ach negotiation </w:t>
      </w:r>
      <w:r w:rsidR="0005031E">
        <w:rPr>
          <w:color w:val="000000" w:themeColor="text1"/>
        </w:rPr>
        <w:t>necessitates</w:t>
      </w:r>
      <w:r w:rsidR="000E0351" w:rsidRPr="0005031E">
        <w:rPr>
          <w:color w:val="000000" w:themeColor="text1"/>
        </w:rPr>
        <w:t xml:space="preserve"> time</w:t>
      </w:r>
      <w:r w:rsidR="0005031E" w:rsidRPr="0005031E">
        <w:rPr>
          <w:color w:val="000000" w:themeColor="text1"/>
        </w:rPr>
        <w:t>, resources and commitment</w:t>
      </w:r>
      <w:r>
        <w:rPr>
          <w:color w:val="000000" w:themeColor="text1"/>
        </w:rPr>
        <w:t xml:space="preserve">, that altogether produce a ‘negotiation burden’ </w:t>
      </w:r>
      <w:r w:rsidRPr="001B44C2">
        <w:rPr>
          <w:color w:val="000000" w:themeColor="text1"/>
        </w:rPr>
        <w:t>(Muñoz et al. 2009)</w:t>
      </w:r>
      <w:r w:rsidR="000E0351" w:rsidRPr="0005031E">
        <w:rPr>
          <w:color w:val="000000" w:themeColor="text1"/>
        </w:rPr>
        <w:t>.</w:t>
      </w:r>
      <w:r w:rsidR="000E0351" w:rsidRPr="001B44C2">
        <w:rPr>
          <w:color w:val="000000" w:themeColor="text1"/>
        </w:rPr>
        <w:t xml:space="preserve"> </w:t>
      </w:r>
      <w:r w:rsidR="0005031E">
        <w:rPr>
          <w:color w:val="000000" w:themeColor="text1"/>
        </w:rPr>
        <w:t>It comprises preparations</w:t>
      </w:r>
      <w:r w:rsidR="000E0351" w:rsidRPr="001B44C2">
        <w:rPr>
          <w:color w:val="000000" w:themeColor="text1"/>
        </w:rPr>
        <w:t>, meetings, working groups, and all necessary staff to tackle these tasks</w:t>
      </w:r>
      <w:r>
        <w:rPr>
          <w:color w:val="000000" w:themeColor="text1"/>
        </w:rPr>
        <w:t xml:space="preserve"> over time. Moreover, k</w:t>
      </w:r>
      <w:r w:rsidR="000E0351" w:rsidRPr="001B44C2">
        <w:rPr>
          <w:color w:val="000000" w:themeColor="text1"/>
        </w:rPr>
        <w:t xml:space="preserve">nowledge and expertise </w:t>
      </w:r>
      <w:proofErr w:type="gramStart"/>
      <w:r w:rsidR="000E0351" w:rsidRPr="001B44C2">
        <w:rPr>
          <w:color w:val="000000" w:themeColor="text1"/>
        </w:rPr>
        <w:t>is</w:t>
      </w:r>
      <w:proofErr w:type="gramEnd"/>
      <w:r w:rsidR="000E0351" w:rsidRPr="001B44C2">
        <w:rPr>
          <w:color w:val="000000" w:themeColor="text1"/>
        </w:rPr>
        <w:t xml:space="preserve"> a prerequisite to participate fully in these negotiations. The fragmented forest regime provides a large array of external action venue, each venue able to tackle deforestation from a specific functional perspective. It is consequently already a negotiation burden, each venue necessitating (slightly or completely) different pace and expertise. The creation of a new venue only rises the negotiation burden of the EU. </w:t>
      </w:r>
    </w:p>
    <w:p w14:paraId="27A9E418" w14:textId="18A84562" w:rsidR="00306F6F" w:rsidRDefault="00D46084" w:rsidP="00D46084">
      <w:pPr>
        <w:spacing w:after="120" w:line="360" w:lineRule="auto"/>
        <w:jc w:val="both"/>
      </w:pPr>
      <w:r>
        <w:t>Finally, I fin</w:t>
      </w:r>
      <w:r w:rsidR="0055368E">
        <w:t>d intriguing that the EU engaged</w:t>
      </w:r>
      <w:r>
        <w:t xml:space="preserve"> in the setup of a new external action venue </w:t>
      </w:r>
      <w:r w:rsidR="00D74E92">
        <w:t>considering</w:t>
      </w:r>
      <w:r>
        <w:t xml:space="preserve"> how l</w:t>
      </w:r>
      <w:r w:rsidR="0055368E">
        <w:t>ow politics forest governance was</w:t>
      </w:r>
      <w:r w:rsidR="00483D14">
        <w:t xml:space="preserve"> </w:t>
      </w:r>
      <w:r w:rsidR="0055368E">
        <w:t>in early 2000s</w:t>
      </w:r>
      <w:r w:rsidR="007A4C39">
        <w:t xml:space="preserve"> as compared to other political issues</w:t>
      </w:r>
      <w:r>
        <w:t xml:space="preserve">. One could argue that </w:t>
      </w:r>
      <w:r w:rsidR="00D74E92">
        <w:t>forest ecosystem services</w:t>
      </w:r>
      <w:r>
        <w:t>,</w:t>
      </w:r>
      <w:r w:rsidR="0055368E">
        <w:t xml:space="preserve"> such as climate change mitigation, biomass production or biodiversity preservation</w:t>
      </w:r>
      <w:r w:rsidR="00907F80">
        <w:t xml:space="preserve"> (</w:t>
      </w:r>
      <w:r w:rsidR="00EB7D8C">
        <w:t>some of them being salient issues within the EU and internationally, such as climate change mitigation)</w:t>
      </w:r>
      <w:r w:rsidR="0055368E">
        <w:t>,</w:t>
      </w:r>
      <w:r>
        <w:t xml:space="preserve"> rely </w:t>
      </w:r>
      <w:r w:rsidR="00AA5C3C">
        <w:t xml:space="preserve">to some extent </w:t>
      </w:r>
      <w:r>
        <w:t xml:space="preserve">on forest sustainability. </w:t>
      </w:r>
      <w:r w:rsidR="0055368E">
        <w:t xml:space="preserve">Enforcing good forest governance through legality principles then </w:t>
      </w:r>
      <w:r w:rsidR="000C69D3">
        <w:t>profits all forest functions</w:t>
      </w:r>
      <w:r w:rsidR="0055368E">
        <w:t xml:space="preserve">. </w:t>
      </w:r>
      <w:r w:rsidR="00AA5C3C">
        <w:t>P</w:t>
      </w:r>
      <w:r>
        <w:t xml:space="preserve">olitical issues with a higher profile than forests could be tackled through </w:t>
      </w:r>
      <w:r w:rsidR="009D1337">
        <w:t xml:space="preserve">the </w:t>
      </w:r>
      <w:r>
        <w:t xml:space="preserve">FLEGT </w:t>
      </w:r>
      <w:r w:rsidR="009D1337">
        <w:t>Regulation</w:t>
      </w:r>
      <w:r>
        <w:t>, adding substantial value to the creation of the venue. It is nonetheless an idealistic perception of forest management. To put it simply, forests are multifunctional</w:t>
      </w:r>
      <w:r w:rsidR="000A5182">
        <w:t xml:space="preserve"> and do provide several ecosystem services</w:t>
      </w:r>
      <w:r>
        <w:t xml:space="preserve">, but </w:t>
      </w:r>
      <w:proofErr w:type="spellStart"/>
      <w:r>
        <w:t>can not</w:t>
      </w:r>
      <w:proofErr w:type="spellEnd"/>
      <w:r>
        <w:t xml:space="preserve"> fully serve several </w:t>
      </w:r>
      <w:r>
        <w:lastRenderedPageBreak/>
        <w:t>specific functions at a time</w:t>
      </w:r>
      <w:r w:rsidR="00FD1FA7">
        <w:t xml:space="preserve"> (</w:t>
      </w:r>
      <w:proofErr w:type="spellStart"/>
      <w:r w:rsidR="00FD1FA7">
        <w:t>Bonsina</w:t>
      </w:r>
      <w:proofErr w:type="spellEnd"/>
      <w:r w:rsidR="00FD1FA7">
        <w:t xml:space="preserve"> 2011</w:t>
      </w:r>
      <w:r w:rsidR="000A5182">
        <w:t>,</w:t>
      </w:r>
      <w:r w:rsidR="00FD1FA7">
        <w:t xml:space="preserve"> </w:t>
      </w:r>
      <w:proofErr w:type="spellStart"/>
      <w:r w:rsidR="00FD1FA7">
        <w:t>Cassatella</w:t>
      </w:r>
      <w:proofErr w:type="spellEnd"/>
      <w:r w:rsidR="00FD1FA7">
        <w:t xml:space="preserve"> and </w:t>
      </w:r>
      <w:proofErr w:type="spellStart"/>
      <w:r w:rsidR="00FD1FA7">
        <w:t>Seardo</w:t>
      </w:r>
      <w:proofErr w:type="spellEnd"/>
      <w:r w:rsidR="00FD1FA7">
        <w:t xml:space="preserve"> 2014)</w:t>
      </w:r>
      <w:r>
        <w:t>. A simple example: while VPAs are in line with reducing carbon emissions from deforestation and forest degradation (as testified by synergies developed by the VPAs and REDD+)</w:t>
      </w:r>
      <w:r w:rsidR="009D1337">
        <w:rPr>
          <w:rStyle w:val="FootnoteReference"/>
        </w:rPr>
        <w:footnoteReference w:id="5"/>
      </w:r>
      <w:r>
        <w:t xml:space="preserve">, forests grown for timber </w:t>
      </w:r>
      <w:r w:rsidR="00AA5C3C">
        <w:t xml:space="preserve">or carbon sequestration </w:t>
      </w:r>
      <w:r>
        <w:t xml:space="preserve">are composed of monocultural fast growing trees. These are not fit for preserving biodiversity. Biodiversity preservation necessitates </w:t>
      </w:r>
      <w:r w:rsidR="007A4C39">
        <w:t xml:space="preserve">another </w:t>
      </w:r>
      <w:r>
        <w:t>balance</w:t>
      </w:r>
      <w:r w:rsidR="007A4C39">
        <w:t>,</w:t>
      </w:r>
      <w:r>
        <w:t xml:space="preserve"> </w:t>
      </w:r>
      <w:r w:rsidR="007A4C39">
        <w:t>involving</w:t>
      </w:r>
      <w:r>
        <w:t xml:space="preserve"> </w:t>
      </w:r>
      <w:r w:rsidR="001E31E5">
        <w:t>other</w:t>
      </w:r>
      <w:r>
        <w:t xml:space="preserve"> tree species and a different time perspective </w:t>
      </w:r>
      <w:r w:rsidR="00AA5C3C">
        <w:t>on</w:t>
      </w:r>
      <w:r>
        <w:t xml:space="preserve"> forest growth. Hence, forests are indeed multifunctional, but forests grown for one purpose generally do not serve other forest-purposes. Hence, the EU </w:t>
      </w:r>
      <w:proofErr w:type="spellStart"/>
      <w:r>
        <w:t>can not</w:t>
      </w:r>
      <w:proofErr w:type="spellEnd"/>
      <w:r>
        <w:t xml:space="preserve"> logically rely on the ‘forest multifunctionality’ argument, rising the profile of forests in timber producing countries, to explain the creation of the FLEGT Regulation. </w:t>
      </w:r>
    </w:p>
    <w:p w14:paraId="417D7570" w14:textId="050F2B66" w:rsidR="00FD1FA7" w:rsidRDefault="00FD1FA7" w:rsidP="00B738DD">
      <w:pPr>
        <w:spacing w:before="120" w:after="120" w:line="360" w:lineRule="auto"/>
        <w:jc w:val="both"/>
        <w:rPr>
          <w:rFonts w:cstheme="minorHAnsi"/>
        </w:rPr>
      </w:pPr>
    </w:p>
    <w:p w14:paraId="1C8A58E1" w14:textId="77777777" w:rsidR="00E00C29" w:rsidRPr="00E00C29" w:rsidRDefault="00E00C29" w:rsidP="00E00C29">
      <w:pPr>
        <w:pStyle w:val="ListParagraph"/>
        <w:numPr>
          <w:ilvl w:val="0"/>
          <w:numId w:val="1"/>
        </w:numPr>
        <w:spacing w:before="120" w:line="360" w:lineRule="auto"/>
        <w:jc w:val="both"/>
        <w:rPr>
          <w:rFonts w:cstheme="minorHAnsi"/>
        </w:rPr>
      </w:pPr>
      <w:r w:rsidRPr="00E00C29">
        <w:rPr>
          <w:rFonts w:cstheme="minorHAnsi"/>
        </w:rPr>
        <w:t>Causes, causal expectations and fingerprints</w:t>
      </w:r>
    </w:p>
    <w:p w14:paraId="12AA43CF" w14:textId="0DBD0637" w:rsidR="00E00C29" w:rsidRPr="003C2C17" w:rsidRDefault="00A60505" w:rsidP="00E00C29">
      <w:pPr>
        <w:spacing w:after="120" w:line="360" w:lineRule="auto"/>
        <w:jc w:val="both"/>
        <w:rPr>
          <w:color w:val="000000" w:themeColor="text1"/>
        </w:rPr>
      </w:pPr>
      <w:r>
        <w:rPr>
          <w:color w:val="000000" w:themeColor="text1"/>
        </w:rPr>
        <w:t>H</w:t>
      </w:r>
      <w:r w:rsidR="00E00C29" w:rsidRPr="0005031E">
        <w:rPr>
          <w:color w:val="000000" w:themeColor="text1"/>
        </w:rPr>
        <w:t xml:space="preserve">ow can we explain the creation of the FLEGT </w:t>
      </w:r>
      <w:r w:rsidR="001E31E5" w:rsidRPr="0005031E">
        <w:rPr>
          <w:color w:val="000000" w:themeColor="text1"/>
        </w:rPr>
        <w:t>AP</w:t>
      </w:r>
      <w:r w:rsidR="00E00C29" w:rsidRPr="0005031E">
        <w:rPr>
          <w:color w:val="000000" w:themeColor="text1"/>
        </w:rPr>
        <w:t xml:space="preserve">? </w:t>
      </w:r>
      <w:r w:rsidR="009D074A" w:rsidRPr="0005031E">
        <w:rPr>
          <w:color w:val="000000" w:themeColor="text1"/>
        </w:rPr>
        <w:t xml:space="preserve">This </w:t>
      </w:r>
      <w:r w:rsidR="00E00C29" w:rsidRPr="0005031E">
        <w:rPr>
          <w:color w:val="000000" w:themeColor="text1"/>
        </w:rPr>
        <w:t xml:space="preserve">section develops four theoretical causes </w:t>
      </w:r>
      <w:r w:rsidR="00546F5D" w:rsidRPr="0005031E">
        <w:rPr>
          <w:color w:val="000000" w:themeColor="text1"/>
        </w:rPr>
        <w:t xml:space="preserve">(EU ambition, </w:t>
      </w:r>
      <w:r w:rsidR="001E31E5" w:rsidRPr="0005031E">
        <w:rPr>
          <w:color w:val="000000" w:themeColor="text1"/>
        </w:rPr>
        <w:t xml:space="preserve">its </w:t>
      </w:r>
      <w:r w:rsidR="00546F5D" w:rsidRPr="0005031E">
        <w:rPr>
          <w:color w:val="000000" w:themeColor="text1"/>
        </w:rPr>
        <w:t>isolation</w:t>
      </w:r>
      <w:r w:rsidR="001E31E5" w:rsidRPr="0005031E">
        <w:rPr>
          <w:color w:val="000000" w:themeColor="text1"/>
        </w:rPr>
        <w:t xml:space="preserve">, </w:t>
      </w:r>
      <w:r w:rsidR="00546F5D" w:rsidRPr="0005031E">
        <w:rPr>
          <w:color w:val="000000" w:themeColor="text1"/>
        </w:rPr>
        <w:t>relative bargaining power</w:t>
      </w:r>
      <w:r w:rsidR="001E31E5" w:rsidRPr="0005031E">
        <w:rPr>
          <w:color w:val="000000" w:themeColor="text1"/>
        </w:rPr>
        <w:t xml:space="preserve"> and internal unity</w:t>
      </w:r>
      <w:r w:rsidR="00546F5D" w:rsidRPr="0005031E">
        <w:rPr>
          <w:color w:val="000000" w:themeColor="text1"/>
        </w:rPr>
        <w:t xml:space="preserve">) </w:t>
      </w:r>
      <w:r w:rsidR="0005031E" w:rsidRPr="0005031E">
        <w:rPr>
          <w:color w:val="000000" w:themeColor="text1"/>
        </w:rPr>
        <w:t>to its creation</w:t>
      </w:r>
      <w:r w:rsidR="00366BBF" w:rsidRPr="0005031E">
        <w:rPr>
          <w:color w:val="000000" w:themeColor="text1"/>
        </w:rPr>
        <w:t xml:space="preserve">. </w:t>
      </w:r>
      <w:r w:rsidR="000A5182" w:rsidRPr="0005031E">
        <w:rPr>
          <w:color w:val="000000" w:themeColor="text1"/>
        </w:rPr>
        <w:t xml:space="preserve">The first three </w:t>
      </w:r>
      <w:r w:rsidR="001E31E5" w:rsidRPr="0005031E">
        <w:rPr>
          <w:color w:val="000000" w:themeColor="text1"/>
        </w:rPr>
        <w:t xml:space="preserve">causes </w:t>
      </w:r>
      <w:r w:rsidR="000A5182" w:rsidRPr="0005031E">
        <w:rPr>
          <w:color w:val="000000" w:themeColor="text1"/>
        </w:rPr>
        <w:t xml:space="preserve">find their origins in the interactions between the EU and the international forest regime complex (answering more specifically the first and second puzzle). </w:t>
      </w:r>
      <w:r w:rsidR="00546F5D" w:rsidRPr="003C2C17">
        <w:rPr>
          <w:color w:val="000000" w:themeColor="text1"/>
        </w:rPr>
        <w:t xml:space="preserve">The </w:t>
      </w:r>
      <w:r w:rsidR="000A5182" w:rsidRPr="003C2C17">
        <w:rPr>
          <w:color w:val="000000" w:themeColor="text1"/>
        </w:rPr>
        <w:t>last</w:t>
      </w:r>
      <w:r w:rsidR="00546F5D" w:rsidRPr="003C2C17">
        <w:rPr>
          <w:color w:val="000000" w:themeColor="text1"/>
        </w:rPr>
        <w:t xml:space="preserve"> cause relates to EU internal power dynamics. </w:t>
      </w:r>
    </w:p>
    <w:p w14:paraId="5A7A00DC" w14:textId="77777777" w:rsidR="000A5182" w:rsidRPr="003C2C17" w:rsidRDefault="000A5182" w:rsidP="00E00C29">
      <w:pPr>
        <w:spacing w:after="120" w:line="360" w:lineRule="auto"/>
        <w:jc w:val="both"/>
        <w:rPr>
          <w:color w:val="000000" w:themeColor="text1"/>
        </w:rPr>
      </w:pPr>
    </w:p>
    <w:p w14:paraId="4F7FA81E" w14:textId="2749AB11" w:rsidR="009D772A" w:rsidRPr="003C2C17" w:rsidRDefault="00A3467C" w:rsidP="009D772A">
      <w:pPr>
        <w:spacing w:after="120" w:line="360" w:lineRule="auto"/>
        <w:jc w:val="both"/>
        <w:rPr>
          <w:color w:val="000000" w:themeColor="text1"/>
        </w:rPr>
      </w:pPr>
      <w:r w:rsidRPr="003C2C17">
        <w:rPr>
          <w:color w:val="000000" w:themeColor="text1"/>
        </w:rPr>
        <w:t>First, I expect that EU ambition contributes to explaining</w:t>
      </w:r>
      <w:r w:rsidR="00164593" w:rsidRPr="003C2C17">
        <w:rPr>
          <w:color w:val="000000" w:themeColor="text1"/>
        </w:rPr>
        <w:t xml:space="preserve"> the creation of the </w:t>
      </w:r>
      <w:r w:rsidRPr="003C2C17">
        <w:rPr>
          <w:color w:val="000000" w:themeColor="text1"/>
        </w:rPr>
        <w:t xml:space="preserve">EU </w:t>
      </w:r>
      <w:r w:rsidR="00164593" w:rsidRPr="003C2C17">
        <w:rPr>
          <w:color w:val="000000" w:themeColor="text1"/>
        </w:rPr>
        <w:t>FLE</w:t>
      </w:r>
      <w:r w:rsidR="00E00C29" w:rsidRPr="003C2C17">
        <w:rPr>
          <w:color w:val="000000" w:themeColor="text1"/>
        </w:rPr>
        <w:t xml:space="preserve">GT </w:t>
      </w:r>
      <w:r w:rsidR="001E31E5" w:rsidRPr="003C2C17">
        <w:rPr>
          <w:color w:val="000000" w:themeColor="text1"/>
        </w:rPr>
        <w:t>AP</w:t>
      </w:r>
      <w:r w:rsidR="00E00C29" w:rsidRPr="003C2C17">
        <w:rPr>
          <w:color w:val="000000" w:themeColor="text1"/>
        </w:rPr>
        <w:t xml:space="preserve">. </w:t>
      </w:r>
      <w:r w:rsidR="00546F5D" w:rsidRPr="003C2C17">
        <w:rPr>
          <w:color w:val="000000" w:themeColor="text1"/>
        </w:rPr>
        <w:t xml:space="preserve">Ambition conveys a will to go beyond existing measures, aiming for </w:t>
      </w:r>
      <w:r w:rsidR="00987160" w:rsidRPr="003C2C17">
        <w:rPr>
          <w:color w:val="000000" w:themeColor="text1"/>
        </w:rPr>
        <w:t xml:space="preserve">political </w:t>
      </w:r>
      <w:r w:rsidR="00546F5D" w:rsidRPr="003C2C17">
        <w:rPr>
          <w:color w:val="000000" w:themeColor="text1"/>
        </w:rPr>
        <w:t>change</w:t>
      </w:r>
      <w:r w:rsidR="00B1382C" w:rsidRPr="003C2C17">
        <w:rPr>
          <w:color w:val="000000" w:themeColor="text1"/>
        </w:rPr>
        <w:t xml:space="preserve"> (Meunier 2000)</w:t>
      </w:r>
      <w:r w:rsidR="00546F5D" w:rsidRPr="003C2C17">
        <w:rPr>
          <w:color w:val="000000" w:themeColor="text1"/>
        </w:rPr>
        <w:t xml:space="preserve">. </w:t>
      </w:r>
      <w:r w:rsidR="000001CC" w:rsidRPr="003C2C17">
        <w:rPr>
          <w:color w:val="000000" w:themeColor="text1"/>
        </w:rPr>
        <w:t>For instance, the EU was ambitious when it stated a zero-net carbon emission target for 2050</w:t>
      </w:r>
      <w:r w:rsidR="00B1382C" w:rsidRPr="003C2C17">
        <w:rPr>
          <w:color w:val="000000" w:themeColor="text1"/>
        </w:rPr>
        <w:t xml:space="preserve"> a cou</w:t>
      </w:r>
      <w:r w:rsidR="00987160" w:rsidRPr="003C2C17">
        <w:rPr>
          <w:color w:val="000000" w:themeColor="text1"/>
        </w:rPr>
        <w:t>ple of months ago, as it is</w:t>
      </w:r>
      <w:r w:rsidR="00B1382C" w:rsidRPr="003C2C17">
        <w:rPr>
          <w:color w:val="000000" w:themeColor="text1"/>
        </w:rPr>
        <w:t xml:space="preserve"> more demanding than current carbon emission targets. </w:t>
      </w:r>
      <w:r w:rsidR="00546F5D" w:rsidRPr="003C2C17">
        <w:rPr>
          <w:color w:val="000000" w:themeColor="text1"/>
        </w:rPr>
        <w:t>On the contrary, lack</w:t>
      </w:r>
      <w:r w:rsidR="000001CC" w:rsidRPr="003C2C17">
        <w:rPr>
          <w:color w:val="000000" w:themeColor="text1"/>
        </w:rPr>
        <w:t>ing</w:t>
      </w:r>
      <w:r w:rsidR="00546F5D" w:rsidRPr="003C2C17">
        <w:rPr>
          <w:color w:val="000000" w:themeColor="text1"/>
        </w:rPr>
        <w:t xml:space="preserve"> ambition </w:t>
      </w:r>
      <w:r w:rsidR="00987160" w:rsidRPr="003C2C17">
        <w:rPr>
          <w:color w:val="000000" w:themeColor="text1"/>
        </w:rPr>
        <w:t>conveys</w:t>
      </w:r>
      <w:r w:rsidR="000001CC" w:rsidRPr="003C2C17">
        <w:rPr>
          <w:color w:val="000000" w:themeColor="text1"/>
        </w:rPr>
        <w:t xml:space="preserve"> sta</w:t>
      </w:r>
      <w:r w:rsidR="00B1382C" w:rsidRPr="003C2C17">
        <w:rPr>
          <w:color w:val="000000" w:themeColor="text1"/>
        </w:rPr>
        <w:t>t</w:t>
      </w:r>
      <w:r w:rsidR="000001CC" w:rsidRPr="003C2C17">
        <w:rPr>
          <w:color w:val="000000" w:themeColor="text1"/>
        </w:rPr>
        <w:t>us quo</w:t>
      </w:r>
      <w:r w:rsidR="00B1382C" w:rsidRPr="003C2C17">
        <w:rPr>
          <w:color w:val="000000" w:themeColor="text1"/>
        </w:rPr>
        <w:t xml:space="preserve"> (Da </w:t>
      </w:r>
      <w:proofErr w:type="spellStart"/>
      <w:r w:rsidR="00B1382C" w:rsidRPr="003C2C17">
        <w:rPr>
          <w:color w:val="000000" w:themeColor="text1"/>
        </w:rPr>
        <w:t>Conceição-Heldt</w:t>
      </w:r>
      <w:proofErr w:type="spellEnd"/>
      <w:r w:rsidR="00B1382C" w:rsidRPr="003C2C17">
        <w:rPr>
          <w:color w:val="000000" w:themeColor="text1"/>
        </w:rPr>
        <w:t xml:space="preserve"> and Meuni</w:t>
      </w:r>
      <w:r w:rsidR="00262AFD" w:rsidRPr="003C2C17">
        <w:rPr>
          <w:color w:val="000000" w:themeColor="text1"/>
        </w:rPr>
        <w:t xml:space="preserve">er 2014: 947). A good example was the initial refusal of the EU to </w:t>
      </w:r>
      <w:r w:rsidR="001E31E5" w:rsidRPr="003C2C17">
        <w:rPr>
          <w:color w:val="000000" w:themeColor="text1"/>
        </w:rPr>
        <w:t>enlarge carbon accounting to land use, land use change and forestry activities.</w:t>
      </w:r>
      <w:r w:rsidR="00262AFD" w:rsidRPr="003C2C17">
        <w:rPr>
          <w:color w:val="000000" w:themeColor="text1"/>
        </w:rPr>
        <w:t xml:space="preserve"> Its ambition was consequently low on this point of </w:t>
      </w:r>
      <w:r w:rsidR="009D074A" w:rsidRPr="003C2C17">
        <w:rPr>
          <w:color w:val="000000" w:themeColor="text1"/>
        </w:rPr>
        <w:t>discussion</w:t>
      </w:r>
      <w:r w:rsidR="00262AFD" w:rsidRPr="003C2C17">
        <w:rPr>
          <w:color w:val="000000" w:themeColor="text1"/>
        </w:rPr>
        <w:t xml:space="preserve">. </w:t>
      </w:r>
      <w:r w:rsidR="00B1382C" w:rsidRPr="003C2C17">
        <w:rPr>
          <w:color w:val="000000" w:themeColor="text1"/>
        </w:rPr>
        <w:t xml:space="preserve">In this paper, the EU being ambition means that, at the time of creation of the FLEGT AP, it wanted more than what the international forest regime </w:t>
      </w:r>
      <w:r w:rsidR="00B1382C" w:rsidRPr="003C2C17">
        <w:rPr>
          <w:color w:val="000000" w:themeColor="text1"/>
        </w:rPr>
        <w:lastRenderedPageBreak/>
        <w:t xml:space="preserve">complex </w:t>
      </w:r>
      <w:r w:rsidR="009D772A" w:rsidRPr="003C2C17">
        <w:rPr>
          <w:color w:val="000000" w:themeColor="text1"/>
        </w:rPr>
        <w:t xml:space="preserve">offered. </w:t>
      </w:r>
      <w:r w:rsidR="009D772A" w:rsidRPr="003C2C17">
        <w:rPr>
          <w:rFonts w:cstheme="minorHAnsi"/>
          <w:color w:val="000000" w:themeColor="text1"/>
        </w:rPr>
        <w:t xml:space="preserve">I expect that EU high ambition </w:t>
      </w:r>
      <w:r w:rsidR="003C2C17" w:rsidRPr="003C2C17">
        <w:rPr>
          <w:rFonts w:cstheme="minorHAnsi"/>
          <w:color w:val="000000" w:themeColor="text1"/>
        </w:rPr>
        <w:t xml:space="preserve">participates in </w:t>
      </w:r>
      <w:r w:rsidR="009D772A" w:rsidRPr="003C2C17">
        <w:rPr>
          <w:rFonts w:cstheme="minorHAnsi"/>
          <w:color w:val="000000" w:themeColor="text1"/>
        </w:rPr>
        <w:t>explain</w:t>
      </w:r>
      <w:r w:rsidR="003C2C17" w:rsidRPr="003C2C17">
        <w:rPr>
          <w:rFonts w:cstheme="minorHAnsi"/>
          <w:color w:val="000000" w:themeColor="text1"/>
        </w:rPr>
        <w:t>ing</w:t>
      </w:r>
      <w:r w:rsidR="009D772A" w:rsidRPr="003C2C17">
        <w:rPr>
          <w:rFonts w:cstheme="minorHAnsi"/>
          <w:color w:val="000000" w:themeColor="text1"/>
        </w:rPr>
        <w:t xml:space="preserve"> the creation of a bilateral venue, as existing venues would not allow the EU to meet its objectives. Indeed, ambitious preferences must attract the consent of other parties to be adopted (Keohane and Victor 2011: 16). A bilateral setting does not require the EU to appeal to the int</w:t>
      </w:r>
      <w:r w:rsidR="00262AFD" w:rsidRPr="003C2C17">
        <w:rPr>
          <w:rFonts w:cstheme="minorHAnsi"/>
          <w:color w:val="000000" w:themeColor="text1"/>
        </w:rPr>
        <w:t>ernational community as a whole, only to one partner.</w:t>
      </w:r>
      <w:r w:rsidR="001E31E5" w:rsidRPr="003C2C17">
        <w:rPr>
          <w:rFonts w:cstheme="minorHAnsi"/>
          <w:color w:val="000000" w:themeColor="text1"/>
        </w:rPr>
        <w:t xml:space="preserve"> Then a high ambition is more likely to be met bilaterally than multilaterally, explaining the creation of a bilateral venue.</w:t>
      </w:r>
    </w:p>
    <w:p w14:paraId="27A702B9" w14:textId="77777777" w:rsidR="00164593" w:rsidRPr="003C2C17" w:rsidRDefault="00164593" w:rsidP="00E00C29">
      <w:pPr>
        <w:spacing w:after="120" w:line="360" w:lineRule="auto"/>
        <w:jc w:val="both"/>
        <w:rPr>
          <w:color w:val="000000" w:themeColor="text1"/>
        </w:rPr>
      </w:pPr>
    </w:p>
    <w:p w14:paraId="7DD16C81" w14:textId="4B992BA5" w:rsidR="00E00C29" w:rsidRPr="003C2C17" w:rsidRDefault="0046221D" w:rsidP="00E00C29">
      <w:pPr>
        <w:spacing w:after="120" w:line="360" w:lineRule="auto"/>
        <w:jc w:val="both"/>
        <w:rPr>
          <w:color w:val="000000" w:themeColor="text1"/>
        </w:rPr>
      </w:pPr>
      <w:r w:rsidRPr="003C2C17">
        <w:rPr>
          <w:color w:val="000000" w:themeColor="text1"/>
        </w:rPr>
        <w:t xml:space="preserve">Second, </w:t>
      </w:r>
      <w:r w:rsidR="003C2C17" w:rsidRPr="003C2C17">
        <w:rPr>
          <w:color w:val="000000" w:themeColor="text1"/>
        </w:rPr>
        <w:t xml:space="preserve">I assume that </w:t>
      </w:r>
      <w:r w:rsidRPr="003C2C17">
        <w:rPr>
          <w:color w:val="000000" w:themeColor="text1"/>
        </w:rPr>
        <w:t>EU i</w:t>
      </w:r>
      <w:r w:rsidR="00E00C29" w:rsidRPr="003C2C17">
        <w:rPr>
          <w:color w:val="000000" w:themeColor="text1"/>
        </w:rPr>
        <w:t>solation on the international scene at</w:t>
      </w:r>
      <w:r w:rsidR="00164593" w:rsidRPr="003C2C17">
        <w:rPr>
          <w:color w:val="000000" w:themeColor="text1"/>
        </w:rPr>
        <w:t xml:space="preserve"> the time of creation of the FLE</w:t>
      </w:r>
      <w:r w:rsidR="00E00C29" w:rsidRPr="003C2C17">
        <w:rPr>
          <w:color w:val="000000" w:themeColor="text1"/>
        </w:rPr>
        <w:t xml:space="preserve">GT </w:t>
      </w:r>
      <w:r w:rsidR="001E31E5" w:rsidRPr="003C2C17">
        <w:rPr>
          <w:color w:val="000000" w:themeColor="text1"/>
        </w:rPr>
        <w:t xml:space="preserve">AP </w:t>
      </w:r>
      <w:r w:rsidR="00E00C29" w:rsidRPr="003C2C17">
        <w:rPr>
          <w:color w:val="000000" w:themeColor="text1"/>
        </w:rPr>
        <w:t>contribute</w:t>
      </w:r>
      <w:r w:rsidR="00164593" w:rsidRPr="003C2C17">
        <w:rPr>
          <w:color w:val="000000" w:themeColor="text1"/>
        </w:rPr>
        <w:t>s</w:t>
      </w:r>
      <w:r w:rsidR="00E00C29" w:rsidRPr="003C2C17">
        <w:rPr>
          <w:color w:val="000000" w:themeColor="text1"/>
        </w:rPr>
        <w:t xml:space="preserve"> to explain</w:t>
      </w:r>
      <w:r w:rsidR="003C2C17" w:rsidRPr="003C2C17">
        <w:rPr>
          <w:color w:val="000000" w:themeColor="text1"/>
        </w:rPr>
        <w:t>ing</w:t>
      </w:r>
      <w:r w:rsidR="00E00C29" w:rsidRPr="003C2C17">
        <w:rPr>
          <w:color w:val="000000" w:themeColor="text1"/>
        </w:rPr>
        <w:t xml:space="preserve"> the creation of a new </w:t>
      </w:r>
      <w:r w:rsidRPr="003C2C17">
        <w:rPr>
          <w:color w:val="000000" w:themeColor="text1"/>
        </w:rPr>
        <w:t xml:space="preserve">EU bilateral </w:t>
      </w:r>
      <w:r w:rsidR="00E00C29" w:rsidRPr="003C2C17">
        <w:rPr>
          <w:color w:val="000000" w:themeColor="text1"/>
        </w:rPr>
        <w:t xml:space="preserve">external action venue on forests. </w:t>
      </w:r>
      <w:r w:rsidR="0093249B" w:rsidRPr="003C2C17">
        <w:rPr>
          <w:color w:val="000000" w:themeColor="text1"/>
        </w:rPr>
        <w:t xml:space="preserve">An external action actor is isolated when </w:t>
      </w:r>
      <w:r w:rsidR="001E31E5" w:rsidRPr="003C2C17">
        <w:rPr>
          <w:color w:val="000000" w:themeColor="text1"/>
        </w:rPr>
        <w:t xml:space="preserve">other </w:t>
      </w:r>
      <w:r w:rsidR="00B80C05" w:rsidRPr="003C2C17">
        <w:rPr>
          <w:color w:val="000000" w:themeColor="text1"/>
        </w:rPr>
        <w:t xml:space="preserve">international </w:t>
      </w:r>
      <w:r w:rsidR="0093249B" w:rsidRPr="003C2C17">
        <w:rPr>
          <w:color w:val="000000" w:themeColor="text1"/>
        </w:rPr>
        <w:t>actors do not share its preference</w:t>
      </w:r>
      <w:r w:rsidR="003C2C17" w:rsidRPr="003C2C17">
        <w:rPr>
          <w:color w:val="000000" w:themeColor="text1"/>
        </w:rPr>
        <w:t xml:space="preserve"> in a given venue</w:t>
      </w:r>
      <w:r w:rsidR="0093249B" w:rsidRPr="003C2C17">
        <w:rPr>
          <w:color w:val="000000" w:themeColor="text1"/>
        </w:rPr>
        <w:t xml:space="preserve">. </w:t>
      </w:r>
      <w:r w:rsidR="00E00C29" w:rsidRPr="003C2C17">
        <w:rPr>
          <w:color w:val="000000" w:themeColor="text1"/>
        </w:rPr>
        <w:t xml:space="preserve">Regarding </w:t>
      </w:r>
      <w:r w:rsidR="0093249B" w:rsidRPr="003C2C17">
        <w:rPr>
          <w:color w:val="000000" w:themeColor="text1"/>
        </w:rPr>
        <w:t>specifically</w:t>
      </w:r>
      <w:r w:rsidR="00E00C29" w:rsidRPr="003C2C17">
        <w:rPr>
          <w:color w:val="000000" w:themeColor="text1"/>
        </w:rPr>
        <w:t xml:space="preserve"> this paper, the EU </w:t>
      </w:r>
      <w:r w:rsidR="00B80C05" w:rsidRPr="003C2C17">
        <w:rPr>
          <w:color w:val="000000" w:themeColor="text1"/>
        </w:rPr>
        <w:t>is</w:t>
      </w:r>
      <w:r w:rsidR="00E00C29" w:rsidRPr="003C2C17">
        <w:rPr>
          <w:color w:val="000000" w:themeColor="text1"/>
        </w:rPr>
        <w:t xml:space="preserve"> isolated when other international actors do not share its preference for combatting deforestation through regulating forest law enforcement, governance and </w:t>
      </w:r>
      <w:r w:rsidR="001E31E5" w:rsidRPr="003C2C17">
        <w:rPr>
          <w:color w:val="000000" w:themeColor="text1"/>
        </w:rPr>
        <w:t xml:space="preserve">related </w:t>
      </w:r>
      <w:r w:rsidR="00E00C29" w:rsidRPr="003C2C17">
        <w:rPr>
          <w:color w:val="000000" w:themeColor="text1"/>
        </w:rPr>
        <w:t xml:space="preserve">trade. </w:t>
      </w:r>
      <w:r w:rsidR="0093249B" w:rsidRPr="003C2C17">
        <w:rPr>
          <w:color w:val="000000" w:themeColor="text1"/>
        </w:rPr>
        <w:t>Like international institutions that do not operate isolated from one another (</w:t>
      </w:r>
      <w:proofErr w:type="spellStart"/>
      <w:r w:rsidR="0093249B" w:rsidRPr="003C2C17">
        <w:rPr>
          <w:color w:val="000000" w:themeColor="text1"/>
        </w:rPr>
        <w:t>Raustiala</w:t>
      </w:r>
      <w:proofErr w:type="spellEnd"/>
      <w:r w:rsidR="0093249B" w:rsidRPr="003C2C17">
        <w:rPr>
          <w:color w:val="000000" w:themeColor="text1"/>
        </w:rPr>
        <w:t xml:space="preserve"> 2013, Young 1996), external action actors </w:t>
      </w:r>
      <w:proofErr w:type="spellStart"/>
      <w:r w:rsidR="0093249B" w:rsidRPr="003C2C17">
        <w:rPr>
          <w:color w:val="000000" w:themeColor="text1"/>
        </w:rPr>
        <w:t>can not</w:t>
      </w:r>
      <w:proofErr w:type="spellEnd"/>
      <w:r w:rsidR="0093249B" w:rsidRPr="003C2C17">
        <w:rPr>
          <w:color w:val="000000" w:themeColor="text1"/>
        </w:rPr>
        <w:t xml:space="preserve"> operate in isolat</w:t>
      </w:r>
      <w:r w:rsidR="003C2C17" w:rsidRPr="003C2C17">
        <w:rPr>
          <w:color w:val="000000" w:themeColor="text1"/>
        </w:rPr>
        <w:t xml:space="preserve">ion </w:t>
      </w:r>
      <w:r w:rsidR="0093249B" w:rsidRPr="003C2C17">
        <w:rPr>
          <w:color w:val="000000" w:themeColor="text1"/>
        </w:rPr>
        <w:t xml:space="preserve">from other external action actors. </w:t>
      </w:r>
      <w:r w:rsidR="00E00C29" w:rsidRPr="003C2C17">
        <w:rPr>
          <w:color w:val="000000" w:themeColor="text1"/>
        </w:rPr>
        <w:t>Isolation is not only about individual actors’ preferences. It</w:t>
      </w:r>
      <w:r w:rsidR="0093249B" w:rsidRPr="003C2C17">
        <w:rPr>
          <w:color w:val="000000" w:themeColor="text1"/>
        </w:rPr>
        <w:t xml:space="preserve"> also</w:t>
      </w:r>
      <w:r w:rsidR="00E00C29" w:rsidRPr="003C2C17">
        <w:rPr>
          <w:color w:val="000000" w:themeColor="text1"/>
        </w:rPr>
        <w:t xml:space="preserve"> occurs within international institutions, where individual negotiators gather and pool their preferences to reach a position. In this regard, </w:t>
      </w:r>
      <w:r w:rsidR="00A60505" w:rsidRPr="003C2C17">
        <w:rPr>
          <w:color w:val="000000" w:themeColor="text1"/>
        </w:rPr>
        <w:t>EU preference echoing the preferences of a venue does not mean it is echoed in all venues.</w:t>
      </w:r>
      <w:r w:rsidR="00A60505">
        <w:rPr>
          <w:color w:val="000000" w:themeColor="text1"/>
        </w:rPr>
        <w:t xml:space="preserve"> T</w:t>
      </w:r>
      <w:r w:rsidR="00E00C29" w:rsidRPr="003C2C17">
        <w:rPr>
          <w:color w:val="000000" w:themeColor="text1"/>
        </w:rPr>
        <w:t xml:space="preserve">he EU could be isolated in a given </w:t>
      </w:r>
      <w:r w:rsidR="00B80C05" w:rsidRPr="003C2C17">
        <w:rPr>
          <w:color w:val="000000" w:themeColor="text1"/>
        </w:rPr>
        <w:t>venue</w:t>
      </w:r>
      <w:r w:rsidR="00E00C29" w:rsidRPr="003C2C17">
        <w:rPr>
          <w:color w:val="000000" w:themeColor="text1"/>
        </w:rPr>
        <w:t xml:space="preserve">, </w:t>
      </w:r>
      <w:r w:rsidR="003C2C17" w:rsidRPr="003C2C17">
        <w:rPr>
          <w:color w:val="000000" w:themeColor="text1"/>
        </w:rPr>
        <w:t>but</w:t>
      </w:r>
      <w:r w:rsidR="00E00C29" w:rsidRPr="003C2C17">
        <w:rPr>
          <w:color w:val="000000" w:themeColor="text1"/>
        </w:rPr>
        <w:t xml:space="preserve"> not isolated in another one, considering their respective membership and functional scope is different. This is particularly true in the forest regime complex, as it is highly fragmented.</w:t>
      </w:r>
      <w:r w:rsidR="00015DA3" w:rsidRPr="003C2C17">
        <w:rPr>
          <w:color w:val="000000" w:themeColor="text1"/>
        </w:rPr>
        <w:t xml:space="preserve"> </w:t>
      </w:r>
      <w:r w:rsidRPr="003C2C17">
        <w:rPr>
          <w:color w:val="000000" w:themeColor="text1"/>
        </w:rPr>
        <w:t>I</w:t>
      </w:r>
      <w:r w:rsidR="00E00C29" w:rsidRPr="003C2C17">
        <w:rPr>
          <w:color w:val="000000" w:themeColor="text1"/>
        </w:rPr>
        <w:t xml:space="preserve">solation </w:t>
      </w:r>
      <w:r w:rsidR="000A5182" w:rsidRPr="003C2C17">
        <w:rPr>
          <w:color w:val="000000" w:themeColor="text1"/>
        </w:rPr>
        <w:t xml:space="preserve">in existing venues </w:t>
      </w:r>
      <w:r w:rsidR="003C2C17" w:rsidRPr="003C2C17">
        <w:rPr>
          <w:color w:val="000000" w:themeColor="text1"/>
        </w:rPr>
        <w:t xml:space="preserve">supposedly </w:t>
      </w:r>
      <w:r w:rsidR="00E00C29" w:rsidRPr="003C2C17">
        <w:rPr>
          <w:color w:val="000000" w:themeColor="text1"/>
        </w:rPr>
        <w:t xml:space="preserve">contributes to the creation of an external action venue because it does not allow the isolated actor to pursue its preference. The isolated actor would then supposedly find an appropriate alternative venue to pursue its objectives, be it </w:t>
      </w:r>
      <w:r w:rsidR="00015DA3" w:rsidRPr="003C2C17">
        <w:rPr>
          <w:color w:val="000000" w:themeColor="text1"/>
        </w:rPr>
        <w:t xml:space="preserve">unilateral, </w:t>
      </w:r>
      <w:r w:rsidR="00E00C29" w:rsidRPr="003C2C17">
        <w:rPr>
          <w:color w:val="000000" w:themeColor="text1"/>
        </w:rPr>
        <w:t>bilateral or multilateral.</w:t>
      </w:r>
      <w:r w:rsidR="00B80C05" w:rsidRPr="003C2C17">
        <w:rPr>
          <w:color w:val="000000" w:themeColor="text1"/>
        </w:rPr>
        <w:t xml:space="preserve"> Regime fragmentation has room for ‘small’ venue </w:t>
      </w:r>
      <w:r w:rsidR="001E31E5" w:rsidRPr="003C2C17">
        <w:rPr>
          <w:color w:val="000000" w:themeColor="text1"/>
        </w:rPr>
        <w:t>proliferation</w:t>
      </w:r>
      <w:r w:rsidR="00B80C05" w:rsidRPr="003C2C17">
        <w:rPr>
          <w:color w:val="000000" w:themeColor="text1"/>
        </w:rPr>
        <w:t xml:space="preserve"> (Pirlot 2019). An</w:t>
      </w:r>
      <w:r w:rsidR="00E00C29" w:rsidRPr="003C2C17">
        <w:rPr>
          <w:color w:val="000000" w:themeColor="text1"/>
        </w:rPr>
        <w:t xml:space="preserve"> isolated actor would then create a venue. </w:t>
      </w:r>
    </w:p>
    <w:p w14:paraId="3C1A7069" w14:textId="77777777" w:rsidR="00E00C29" w:rsidRPr="003C2C17" w:rsidRDefault="00E00C29" w:rsidP="00E00C29">
      <w:pPr>
        <w:spacing w:after="120" w:line="360" w:lineRule="auto"/>
        <w:jc w:val="both"/>
        <w:rPr>
          <w:color w:val="000000" w:themeColor="text1"/>
        </w:rPr>
      </w:pPr>
    </w:p>
    <w:p w14:paraId="5D5736EC" w14:textId="0F9100BF" w:rsidR="00E00C29" w:rsidRPr="003C2C17" w:rsidRDefault="00015DA3" w:rsidP="00E00C29">
      <w:pPr>
        <w:spacing w:after="120" w:line="360" w:lineRule="auto"/>
        <w:jc w:val="both"/>
        <w:rPr>
          <w:rFonts w:cstheme="minorHAnsi"/>
          <w:color w:val="000000" w:themeColor="text1"/>
        </w:rPr>
      </w:pPr>
      <w:r w:rsidRPr="003C2C17">
        <w:rPr>
          <w:color w:val="000000" w:themeColor="text1"/>
        </w:rPr>
        <w:t>R</w:t>
      </w:r>
      <w:r w:rsidR="00E00C29" w:rsidRPr="003C2C17">
        <w:rPr>
          <w:color w:val="000000" w:themeColor="text1"/>
        </w:rPr>
        <w:t xml:space="preserve">elative bargaining power is the </w:t>
      </w:r>
      <w:r w:rsidRPr="003C2C17">
        <w:rPr>
          <w:color w:val="000000" w:themeColor="text1"/>
        </w:rPr>
        <w:t xml:space="preserve">third </w:t>
      </w:r>
      <w:r w:rsidR="00E00C29" w:rsidRPr="003C2C17">
        <w:rPr>
          <w:color w:val="000000" w:themeColor="text1"/>
        </w:rPr>
        <w:t>context-related cause that contributes to explain</w:t>
      </w:r>
      <w:r w:rsidR="001E31E5" w:rsidRPr="003C2C17">
        <w:rPr>
          <w:color w:val="000000" w:themeColor="text1"/>
        </w:rPr>
        <w:t>ing</w:t>
      </w:r>
      <w:r w:rsidR="00E00C29" w:rsidRPr="003C2C17">
        <w:rPr>
          <w:color w:val="000000" w:themeColor="text1"/>
        </w:rPr>
        <w:t xml:space="preserve"> the creation of a the FLEGT </w:t>
      </w:r>
      <w:r w:rsidR="001E31E5" w:rsidRPr="003C2C17">
        <w:rPr>
          <w:color w:val="000000" w:themeColor="text1"/>
        </w:rPr>
        <w:t>AP</w:t>
      </w:r>
      <w:r w:rsidR="00E00C29" w:rsidRPr="003C2C17">
        <w:rPr>
          <w:color w:val="000000" w:themeColor="text1"/>
        </w:rPr>
        <w:t xml:space="preserve">. </w:t>
      </w:r>
      <w:r w:rsidR="00E00C29" w:rsidRPr="003C2C17">
        <w:rPr>
          <w:rFonts w:cstheme="minorHAnsi"/>
          <w:color w:val="000000" w:themeColor="text1"/>
        </w:rPr>
        <w:t>Bargaining power is understood as the ability of an actor to shape the content of negotiation outcome according to its own preference. Low bargaining power leads to limited results in terms of outreach in international negotiations (</w:t>
      </w:r>
      <w:proofErr w:type="spellStart"/>
      <w:r w:rsidR="00E00C29" w:rsidRPr="003C2C17">
        <w:rPr>
          <w:rFonts w:cstheme="minorHAnsi"/>
          <w:color w:val="000000" w:themeColor="text1"/>
        </w:rPr>
        <w:t>Jørgensen</w:t>
      </w:r>
      <w:proofErr w:type="spellEnd"/>
      <w:r w:rsidR="00E00C29" w:rsidRPr="003C2C17">
        <w:rPr>
          <w:rFonts w:cstheme="minorHAnsi"/>
          <w:color w:val="000000" w:themeColor="text1"/>
        </w:rPr>
        <w:t xml:space="preserve"> </w:t>
      </w:r>
      <w:r w:rsidR="00A60505">
        <w:rPr>
          <w:rFonts w:cstheme="minorHAnsi"/>
          <w:color w:val="000000" w:themeColor="text1"/>
        </w:rPr>
        <w:t xml:space="preserve">2009, </w:t>
      </w:r>
      <w:r w:rsidR="00A60505">
        <w:rPr>
          <w:rFonts w:cstheme="minorHAnsi"/>
          <w:color w:val="000000" w:themeColor="text1"/>
        </w:rPr>
        <w:lastRenderedPageBreak/>
        <w:t>203-</w:t>
      </w:r>
      <w:r w:rsidR="00E00C29" w:rsidRPr="003C2C17">
        <w:rPr>
          <w:rFonts w:cstheme="minorHAnsi"/>
          <w:color w:val="000000" w:themeColor="text1"/>
        </w:rPr>
        <w:t xml:space="preserve">207). In the context of this paper, the EU having a low relative bargaining power </w:t>
      </w:r>
      <w:r w:rsidR="000A5182" w:rsidRPr="003C2C17">
        <w:rPr>
          <w:rFonts w:cstheme="minorHAnsi"/>
          <w:color w:val="000000" w:themeColor="text1"/>
        </w:rPr>
        <w:t xml:space="preserve">in a venue </w:t>
      </w:r>
      <w:r w:rsidR="00E00C29" w:rsidRPr="003C2C17">
        <w:rPr>
          <w:rFonts w:cstheme="minorHAnsi"/>
          <w:color w:val="000000" w:themeColor="text1"/>
        </w:rPr>
        <w:t xml:space="preserve">entails that it does not reach out to other negotiators. Alternatively, the EU would shift to an alternative venue, which is plausible in a fragmented regime such as the forest regime complex. But a venue in which the EU has high bargaining power may not exist, explaining the creation of a new venue. </w:t>
      </w:r>
    </w:p>
    <w:p w14:paraId="1984F6B6" w14:textId="2FD5263B" w:rsidR="0005031E" w:rsidRPr="003C2C17" w:rsidRDefault="0005031E" w:rsidP="0005031E">
      <w:pPr>
        <w:spacing w:after="120" w:line="360" w:lineRule="auto"/>
        <w:jc w:val="both"/>
        <w:rPr>
          <w:rFonts w:cstheme="minorHAnsi"/>
          <w:color w:val="000000" w:themeColor="text1"/>
        </w:rPr>
      </w:pPr>
      <w:r w:rsidRPr="003C2C17">
        <w:rPr>
          <w:rFonts w:cstheme="minorHAnsi"/>
          <w:color w:val="000000" w:themeColor="text1"/>
        </w:rPr>
        <w:t xml:space="preserve">Relative bargaining power </w:t>
      </w:r>
      <w:r w:rsidR="003C2C17" w:rsidRPr="003C2C17">
        <w:rPr>
          <w:rFonts w:cstheme="minorHAnsi"/>
          <w:color w:val="000000" w:themeColor="text1"/>
        </w:rPr>
        <w:t xml:space="preserve">has two interconnected dimensions. On the one hand, </w:t>
      </w:r>
      <w:r w:rsidRPr="003C2C17">
        <w:rPr>
          <w:rFonts w:cstheme="minorHAnsi"/>
          <w:color w:val="000000" w:themeColor="text1"/>
        </w:rPr>
        <w:t xml:space="preserve">I contend that EU relative bargaining power is inversely proportional to the number of negotiation partners. As a consequence, the EU has supposedly a lower relative bargaining power in a global venue, where its bargaining power is more diluted, while it has a higher relative bargaining power in bilateral venues. </w:t>
      </w:r>
      <w:r w:rsidR="003C2C17" w:rsidRPr="003C2C17">
        <w:rPr>
          <w:rFonts w:cstheme="minorHAnsi"/>
          <w:color w:val="000000" w:themeColor="text1"/>
        </w:rPr>
        <w:t xml:space="preserve">On the other hand, </w:t>
      </w:r>
      <w:r w:rsidRPr="003C2C17">
        <w:rPr>
          <w:rFonts w:cstheme="minorHAnsi"/>
          <w:color w:val="000000" w:themeColor="text1"/>
        </w:rPr>
        <w:t xml:space="preserve">the relative bargaining power of the EU also depends on who these negotiation partners are. Most forests addressed in the international forest regime are tropical forests. It makes tropical forest countries strong interlocutors in international negotiations. Non-forest countries </w:t>
      </w:r>
      <w:r w:rsidR="003C2C17" w:rsidRPr="003C2C17">
        <w:rPr>
          <w:rFonts w:cstheme="minorHAnsi"/>
          <w:color w:val="000000" w:themeColor="text1"/>
        </w:rPr>
        <w:t>allegedly</w:t>
      </w:r>
      <w:r w:rsidRPr="003C2C17">
        <w:rPr>
          <w:rFonts w:cstheme="minorHAnsi"/>
          <w:color w:val="000000" w:themeColor="text1"/>
        </w:rPr>
        <w:t xml:space="preserve"> have a lesser voice</w:t>
      </w:r>
      <w:r w:rsidR="003C2C17" w:rsidRPr="003C2C17">
        <w:rPr>
          <w:rFonts w:cstheme="minorHAnsi"/>
          <w:color w:val="000000" w:themeColor="text1"/>
        </w:rPr>
        <w:t xml:space="preserve"> by lack of credibility on forest discussions</w:t>
      </w:r>
      <w:r w:rsidRPr="003C2C17">
        <w:rPr>
          <w:rFonts w:cstheme="minorHAnsi"/>
          <w:color w:val="000000" w:themeColor="text1"/>
        </w:rPr>
        <w:t xml:space="preserve">. EU’s interlocutor consequently defines its bargaining power. It is in institutions with more limited membership that the nature of the negotiation partners matters the most to EU relative bargaining power, such as in the conduction of bilateral agreements. The second fingerprint for EU relative bargaining power is consequently the forest cover of the negotiation partner and whether ameliorating forest governance and law enforcement impact their forests, translating whether the forest is at the core of the negotiation stake. </w:t>
      </w:r>
    </w:p>
    <w:p w14:paraId="1AF3BC44" w14:textId="77777777" w:rsidR="00E00C29" w:rsidRPr="00E00C29" w:rsidRDefault="00E00C29" w:rsidP="00E00C29">
      <w:pPr>
        <w:spacing w:after="120" w:line="360" w:lineRule="auto"/>
        <w:jc w:val="both"/>
        <w:rPr>
          <w:rFonts w:cstheme="minorHAnsi"/>
          <w:color w:val="4472C4" w:themeColor="accent1"/>
        </w:rPr>
      </w:pPr>
    </w:p>
    <w:p w14:paraId="2A2DABE0" w14:textId="2C86E852" w:rsidR="00E00C29" w:rsidRPr="009A274C" w:rsidRDefault="003A1CBA" w:rsidP="00E00C29">
      <w:pPr>
        <w:spacing w:after="120" w:line="360" w:lineRule="auto"/>
        <w:jc w:val="both"/>
        <w:rPr>
          <w:rFonts w:cstheme="minorHAnsi"/>
          <w:color w:val="000000" w:themeColor="text1"/>
        </w:rPr>
      </w:pPr>
      <w:r w:rsidRPr="009A274C">
        <w:rPr>
          <w:rFonts w:cstheme="minorHAnsi"/>
          <w:color w:val="000000" w:themeColor="text1"/>
          <w:lang w:eastAsia="en-GB"/>
        </w:rPr>
        <w:t>Fourth</w:t>
      </w:r>
      <w:r w:rsidR="006B206B" w:rsidRPr="009A274C">
        <w:rPr>
          <w:rFonts w:cstheme="minorHAnsi"/>
          <w:color w:val="000000" w:themeColor="text1"/>
          <w:lang w:eastAsia="en-GB"/>
        </w:rPr>
        <w:t xml:space="preserve">, </w:t>
      </w:r>
      <w:r w:rsidR="009A274C" w:rsidRPr="009A274C">
        <w:rPr>
          <w:rFonts w:cstheme="minorHAnsi"/>
          <w:color w:val="000000" w:themeColor="text1"/>
          <w:lang w:eastAsia="en-GB"/>
        </w:rPr>
        <w:t xml:space="preserve">institutional </w:t>
      </w:r>
      <w:r w:rsidR="006B206B" w:rsidRPr="009A274C">
        <w:rPr>
          <w:rFonts w:cstheme="minorHAnsi"/>
          <w:color w:val="000000" w:themeColor="text1"/>
          <w:lang w:eastAsia="en-GB"/>
        </w:rPr>
        <w:t>unit</w:t>
      </w:r>
      <w:r w:rsidR="00CE7F10" w:rsidRPr="009A274C">
        <w:rPr>
          <w:rFonts w:cstheme="minorHAnsi"/>
          <w:color w:val="000000" w:themeColor="text1"/>
          <w:lang w:eastAsia="en-GB"/>
        </w:rPr>
        <w:t xml:space="preserve">y is the last cause </w:t>
      </w:r>
      <w:r w:rsidR="001E31E5" w:rsidRPr="009A274C">
        <w:rPr>
          <w:rFonts w:cstheme="minorHAnsi"/>
          <w:color w:val="000000" w:themeColor="text1"/>
          <w:lang w:eastAsia="en-GB"/>
        </w:rPr>
        <w:t>identified in</w:t>
      </w:r>
      <w:r w:rsidR="00CE7F10" w:rsidRPr="009A274C">
        <w:rPr>
          <w:rFonts w:cstheme="minorHAnsi"/>
          <w:color w:val="000000" w:themeColor="text1"/>
          <w:lang w:eastAsia="en-GB"/>
        </w:rPr>
        <w:t xml:space="preserve"> this paper</w:t>
      </w:r>
      <w:r w:rsidR="009A274C" w:rsidRPr="009A274C">
        <w:rPr>
          <w:rFonts w:cstheme="minorHAnsi"/>
          <w:color w:val="000000" w:themeColor="text1"/>
          <w:lang w:eastAsia="en-GB"/>
        </w:rPr>
        <w:t>.</w:t>
      </w:r>
      <w:r w:rsidR="00CE7F10" w:rsidRPr="009A274C">
        <w:rPr>
          <w:rFonts w:cstheme="minorHAnsi"/>
          <w:color w:val="000000" w:themeColor="text1"/>
          <w:lang w:eastAsia="en-GB"/>
        </w:rPr>
        <w:t xml:space="preserve"> </w:t>
      </w:r>
      <w:r w:rsidR="003C2C17" w:rsidRPr="009A274C">
        <w:rPr>
          <w:rFonts w:cstheme="minorHAnsi"/>
          <w:color w:val="000000" w:themeColor="text1"/>
          <w:lang w:eastAsia="en-GB"/>
        </w:rPr>
        <w:t xml:space="preserve">It </w:t>
      </w:r>
      <w:r w:rsidR="00E00C29" w:rsidRPr="009A274C">
        <w:rPr>
          <w:rFonts w:cstheme="minorHAnsi"/>
          <w:color w:val="000000" w:themeColor="text1"/>
          <w:lang w:eastAsia="en-GB"/>
        </w:rPr>
        <w:t>refers to the ability of EU institutions to adopt consistent preferences. I expect that unity</w:t>
      </w:r>
      <w:r w:rsidR="00CE7F10" w:rsidRPr="009A274C">
        <w:rPr>
          <w:rFonts w:cstheme="minorHAnsi"/>
          <w:color w:val="000000" w:themeColor="text1"/>
          <w:lang w:eastAsia="en-GB"/>
        </w:rPr>
        <w:t xml:space="preserve"> participates to explaining the creation of a new external action venue</w:t>
      </w:r>
      <w:r w:rsidR="00E00C29" w:rsidRPr="009A274C">
        <w:rPr>
          <w:rFonts w:cstheme="minorHAnsi"/>
          <w:color w:val="000000" w:themeColor="text1"/>
          <w:lang w:eastAsia="en-GB"/>
        </w:rPr>
        <w:t xml:space="preserve">. </w:t>
      </w:r>
      <w:r w:rsidR="00E00C29" w:rsidRPr="009A274C">
        <w:rPr>
          <w:rFonts w:cstheme="minorHAnsi"/>
          <w:color w:val="000000" w:themeColor="text1"/>
        </w:rPr>
        <w:t>Preference disunity increases the propensity of disagreement between member states (Delreux 2009). As a result, accommodating numerous and potentially diverging interests is difficult, leading to a weak position that is reduced to a lowest common denominator (</w:t>
      </w:r>
      <w:proofErr w:type="spellStart"/>
      <w:r w:rsidR="00E00C29" w:rsidRPr="009A274C">
        <w:rPr>
          <w:rFonts w:cstheme="minorHAnsi"/>
          <w:color w:val="000000" w:themeColor="text1"/>
        </w:rPr>
        <w:t>Bäckstrand</w:t>
      </w:r>
      <w:proofErr w:type="spellEnd"/>
      <w:r w:rsidR="00E00C29" w:rsidRPr="009A274C">
        <w:rPr>
          <w:rFonts w:cstheme="minorHAnsi"/>
          <w:color w:val="000000" w:themeColor="text1"/>
        </w:rPr>
        <w:t xml:space="preserve"> and </w:t>
      </w:r>
      <w:proofErr w:type="spellStart"/>
      <w:r w:rsidR="00E00C29" w:rsidRPr="009A274C">
        <w:rPr>
          <w:rFonts w:cstheme="minorHAnsi"/>
          <w:color w:val="000000" w:themeColor="text1"/>
        </w:rPr>
        <w:t>Elgström</w:t>
      </w:r>
      <w:proofErr w:type="spellEnd"/>
      <w:r w:rsidR="00E00C29" w:rsidRPr="009A274C">
        <w:rPr>
          <w:rFonts w:cstheme="minorHAnsi"/>
          <w:color w:val="000000" w:themeColor="text1"/>
        </w:rPr>
        <w:t xml:space="preserve"> 2013: 1373; Kissack 2011) to be expressed externally. The internal lowest common denominator is necessarily reflected in a lack of external engagement from the EU (</w:t>
      </w:r>
      <w:proofErr w:type="spellStart"/>
      <w:r w:rsidR="00E00C29" w:rsidRPr="009A274C">
        <w:rPr>
          <w:rFonts w:cstheme="minorHAnsi"/>
          <w:color w:val="000000" w:themeColor="text1"/>
        </w:rPr>
        <w:t>Macaj</w:t>
      </w:r>
      <w:proofErr w:type="spellEnd"/>
      <w:r w:rsidR="00E00C29" w:rsidRPr="009A274C">
        <w:rPr>
          <w:rFonts w:cstheme="minorHAnsi"/>
          <w:color w:val="000000" w:themeColor="text1"/>
        </w:rPr>
        <w:t xml:space="preserve"> and </w:t>
      </w:r>
      <w:proofErr w:type="spellStart"/>
      <w:r w:rsidR="00E00C29" w:rsidRPr="009A274C">
        <w:rPr>
          <w:rFonts w:cstheme="minorHAnsi"/>
          <w:color w:val="000000" w:themeColor="text1"/>
        </w:rPr>
        <w:t>Nikolaïdis</w:t>
      </w:r>
      <w:proofErr w:type="spellEnd"/>
      <w:r w:rsidR="00E00C29" w:rsidRPr="009A274C">
        <w:rPr>
          <w:rFonts w:cstheme="minorHAnsi"/>
          <w:color w:val="000000" w:themeColor="text1"/>
        </w:rPr>
        <w:t xml:space="preserve"> 2014: 1074; Young 2011), resulting in a demand for status quo (Oberthür and Rabitz 2013: 6). On the contrary, preference unity</w:t>
      </w:r>
      <w:r w:rsidR="001E31E5" w:rsidRPr="009A274C">
        <w:rPr>
          <w:rFonts w:cstheme="minorHAnsi"/>
          <w:color w:val="000000" w:themeColor="text1"/>
        </w:rPr>
        <w:t xml:space="preserve">, </w:t>
      </w:r>
      <w:r w:rsidR="00E00C29" w:rsidRPr="009A274C">
        <w:rPr>
          <w:rFonts w:cstheme="minorHAnsi"/>
          <w:color w:val="000000" w:themeColor="text1"/>
        </w:rPr>
        <w:t xml:space="preserve">do not require member states to make concessions and adjust their </w:t>
      </w:r>
      <w:r w:rsidR="00E00C29" w:rsidRPr="009A274C">
        <w:rPr>
          <w:rFonts w:cstheme="minorHAnsi"/>
          <w:color w:val="000000" w:themeColor="text1"/>
        </w:rPr>
        <w:lastRenderedPageBreak/>
        <w:t xml:space="preserve">preference. I transfer that logic to the EU level, considering </w:t>
      </w:r>
      <w:r w:rsidR="00CE7F10" w:rsidRPr="009A274C">
        <w:rPr>
          <w:rFonts w:cstheme="minorHAnsi"/>
          <w:color w:val="000000" w:themeColor="text1"/>
        </w:rPr>
        <w:t xml:space="preserve">EU modus operandi. </w:t>
      </w:r>
      <w:r w:rsidR="00E00C29" w:rsidRPr="009A274C">
        <w:rPr>
          <w:rFonts w:cstheme="minorHAnsi"/>
          <w:color w:val="000000" w:themeColor="text1"/>
          <w:lang w:eastAsia="en-GB"/>
        </w:rPr>
        <w:t xml:space="preserve">Pooling </w:t>
      </w:r>
      <w:r w:rsidR="00CE7F10" w:rsidRPr="009A274C">
        <w:rPr>
          <w:rFonts w:cstheme="minorHAnsi"/>
          <w:color w:val="000000" w:themeColor="text1"/>
          <w:lang w:eastAsia="en-GB"/>
        </w:rPr>
        <w:t xml:space="preserve">EU </w:t>
      </w:r>
      <w:proofErr w:type="gramStart"/>
      <w:r w:rsidR="00CE7F10" w:rsidRPr="009A274C">
        <w:rPr>
          <w:rFonts w:cstheme="minorHAnsi"/>
          <w:color w:val="000000" w:themeColor="text1"/>
          <w:lang w:eastAsia="en-GB"/>
        </w:rPr>
        <w:t>actors</w:t>
      </w:r>
      <w:proofErr w:type="gramEnd"/>
      <w:r w:rsidR="00CE7F10" w:rsidRPr="009A274C">
        <w:rPr>
          <w:rFonts w:cstheme="minorHAnsi"/>
          <w:color w:val="000000" w:themeColor="text1"/>
          <w:lang w:eastAsia="en-GB"/>
        </w:rPr>
        <w:t xml:space="preserve"> preferences</w:t>
      </w:r>
      <w:r w:rsidR="00E00C29" w:rsidRPr="009A274C">
        <w:rPr>
          <w:rFonts w:cstheme="minorHAnsi"/>
          <w:color w:val="000000" w:themeColor="text1"/>
          <w:lang w:eastAsia="en-GB"/>
        </w:rPr>
        <w:t xml:space="preserve"> into a unitary preference may be a challenge. EU preference </w:t>
      </w:r>
      <w:r w:rsidR="00AC3EE9" w:rsidRPr="009A274C">
        <w:rPr>
          <w:rFonts w:cstheme="minorHAnsi"/>
          <w:color w:val="000000" w:themeColor="text1"/>
          <w:lang w:eastAsia="en-GB"/>
        </w:rPr>
        <w:t>unity</w:t>
      </w:r>
      <w:r w:rsidR="00E00C29" w:rsidRPr="009A274C">
        <w:rPr>
          <w:rFonts w:cstheme="minorHAnsi"/>
          <w:color w:val="000000" w:themeColor="text1"/>
          <w:lang w:eastAsia="en-GB"/>
        </w:rPr>
        <w:t xml:space="preserve"> enables EU institutions to adopt a unitary approach on a given issue. </w:t>
      </w:r>
      <w:r w:rsidR="00E00C29" w:rsidRPr="009A274C">
        <w:rPr>
          <w:rFonts w:cstheme="minorHAnsi"/>
          <w:color w:val="000000" w:themeColor="text1"/>
        </w:rPr>
        <w:t>The greater the number of interests, the harder it is to make a unitary preference</w:t>
      </w:r>
      <w:r w:rsidR="001E31E5" w:rsidRPr="009A274C">
        <w:rPr>
          <w:rFonts w:cstheme="minorHAnsi"/>
          <w:color w:val="000000" w:themeColor="text1"/>
        </w:rPr>
        <w:t xml:space="preserve"> (Snidal 1994)</w:t>
      </w:r>
      <w:r w:rsidR="00E00C29" w:rsidRPr="009A274C">
        <w:rPr>
          <w:rFonts w:cstheme="minorHAnsi"/>
          <w:color w:val="000000" w:themeColor="text1"/>
        </w:rPr>
        <w:t xml:space="preserve">. The potentially large number of DGs and of interested member states is likely to </w:t>
      </w:r>
      <w:r w:rsidRPr="009A274C">
        <w:rPr>
          <w:rFonts w:cstheme="minorHAnsi"/>
          <w:color w:val="000000" w:themeColor="text1"/>
        </w:rPr>
        <w:t>undermine</w:t>
      </w:r>
      <w:r w:rsidR="00E00C29" w:rsidRPr="009A274C">
        <w:rPr>
          <w:rFonts w:cstheme="minorHAnsi"/>
          <w:color w:val="000000" w:themeColor="text1"/>
        </w:rPr>
        <w:t xml:space="preserve"> EU preference unity. </w:t>
      </w:r>
      <w:r w:rsidR="00E00C29" w:rsidRPr="009A274C">
        <w:rPr>
          <w:rFonts w:cstheme="minorHAnsi"/>
          <w:color w:val="000000" w:themeColor="text1"/>
          <w:lang w:eastAsia="en-GB"/>
        </w:rPr>
        <w:t xml:space="preserve">I expect that preference disunity pushes the EU remain in status quo, not able to engage in any kind of reform. On the contrary, </w:t>
      </w:r>
      <w:r w:rsidR="00E00C29" w:rsidRPr="009A274C">
        <w:rPr>
          <w:rFonts w:cstheme="minorHAnsi"/>
          <w:color w:val="000000" w:themeColor="text1"/>
        </w:rPr>
        <w:t xml:space="preserve">preference unity allows the EU to agree on more far reaching external action, such as creating an external action venue. </w:t>
      </w:r>
    </w:p>
    <w:p w14:paraId="02EDCF2F" w14:textId="77777777" w:rsidR="00E00C29" w:rsidRPr="009A274C" w:rsidRDefault="00E00C29" w:rsidP="00E00C29">
      <w:pPr>
        <w:spacing w:before="120" w:after="120" w:line="360" w:lineRule="auto"/>
        <w:jc w:val="both"/>
        <w:rPr>
          <w:rFonts w:cstheme="minorHAnsi"/>
          <w:color w:val="000000" w:themeColor="text1"/>
        </w:rPr>
      </w:pPr>
    </w:p>
    <w:p w14:paraId="2F853A77" w14:textId="77777777" w:rsidR="00E00C29" w:rsidRPr="009A274C" w:rsidRDefault="00E00C29" w:rsidP="00E00C29">
      <w:pPr>
        <w:spacing w:before="120" w:after="120" w:line="360" w:lineRule="auto"/>
        <w:jc w:val="both"/>
        <w:rPr>
          <w:rFonts w:cstheme="minorHAnsi"/>
          <w:color w:val="000000" w:themeColor="text1"/>
        </w:rPr>
      </w:pPr>
    </w:p>
    <w:p w14:paraId="32009623" w14:textId="51866EF3" w:rsidR="00FD1FA7" w:rsidRPr="009A274C" w:rsidRDefault="00FD1FA7" w:rsidP="00FD1FA7">
      <w:pPr>
        <w:pStyle w:val="ListParagraph"/>
        <w:numPr>
          <w:ilvl w:val="0"/>
          <w:numId w:val="1"/>
        </w:numPr>
        <w:spacing w:before="120" w:after="120" w:line="360" w:lineRule="auto"/>
        <w:jc w:val="both"/>
        <w:rPr>
          <w:rFonts w:cstheme="minorHAnsi"/>
          <w:color w:val="000000" w:themeColor="text1"/>
        </w:rPr>
      </w:pPr>
      <w:r w:rsidRPr="009A274C">
        <w:rPr>
          <w:rFonts w:cstheme="minorHAnsi"/>
          <w:color w:val="000000" w:themeColor="text1"/>
        </w:rPr>
        <w:t>Methods</w:t>
      </w:r>
      <w:r w:rsidR="00B07CD4" w:rsidRPr="009A274C">
        <w:rPr>
          <w:rFonts w:cstheme="minorHAnsi"/>
          <w:color w:val="000000" w:themeColor="text1"/>
        </w:rPr>
        <w:t xml:space="preserve">, </w:t>
      </w:r>
      <w:r w:rsidR="00A60505">
        <w:rPr>
          <w:rFonts w:cstheme="minorHAnsi"/>
          <w:color w:val="000000" w:themeColor="text1"/>
        </w:rPr>
        <w:t xml:space="preserve">fingerprints </w:t>
      </w:r>
      <w:r w:rsidRPr="009A274C">
        <w:rPr>
          <w:rFonts w:cstheme="minorHAnsi"/>
          <w:color w:val="000000" w:themeColor="text1"/>
        </w:rPr>
        <w:t>and data</w:t>
      </w:r>
    </w:p>
    <w:p w14:paraId="4E98B33B" w14:textId="688E1DC8" w:rsidR="00FD1FA7" w:rsidRPr="009A274C" w:rsidRDefault="00FB7580" w:rsidP="00FD1FA7">
      <w:pPr>
        <w:pStyle w:val="ListParagraph"/>
        <w:numPr>
          <w:ilvl w:val="1"/>
          <w:numId w:val="1"/>
        </w:numPr>
        <w:spacing w:before="120" w:after="120" w:line="360" w:lineRule="auto"/>
        <w:jc w:val="both"/>
        <w:rPr>
          <w:rFonts w:cstheme="minorHAnsi"/>
          <w:color w:val="000000" w:themeColor="text1"/>
        </w:rPr>
      </w:pPr>
      <w:r>
        <w:rPr>
          <w:rFonts w:cstheme="minorHAnsi"/>
          <w:color w:val="000000" w:themeColor="text1"/>
        </w:rPr>
        <w:t>Methods: minimalist process-</w:t>
      </w:r>
      <w:r w:rsidR="00FD1FA7" w:rsidRPr="009A274C">
        <w:rPr>
          <w:rFonts w:cstheme="minorHAnsi"/>
          <w:color w:val="000000" w:themeColor="text1"/>
        </w:rPr>
        <w:t>tracing</w:t>
      </w:r>
    </w:p>
    <w:p w14:paraId="59BC1F65" w14:textId="7051794C" w:rsidR="00E00C29" w:rsidRPr="009A274C" w:rsidRDefault="007A4C39" w:rsidP="00FD1FA7">
      <w:pPr>
        <w:spacing w:before="120" w:line="360" w:lineRule="auto"/>
        <w:jc w:val="both"/>
        <w:rPr>
          <w:color w:val="000000" w:themeColor="text1"/>
        </w:rPr>
      </w:pPr>
      <w:r w:rsidRPr="009A274C">
        <w:rPr>
          <w:color w:val="000000" w:themeColor="text1"/>
        </w:rPr>
        <w:t>To un</w:t>
      </w:r>
      <w:r w:rsidR="00E00C29" w:rsidRPr="009A274C">
        <w:rPr>
          <w:color w:val="000000" w:themeColor="text1"/>
        </w:rPr>
        <w:t xml:space="preserve">ravel the underlying process of the creation of the FLEGT </w:t>
      </w:r>
      <w:r w:rsidR="001E31E5" w:rsidRPr="009A274C">
        <w:rPr>
          <w:color w:val="000000" w:themeColor="text1"/>
        </w:rPr>
        <w:t>AP</w:t>
      </w:r>
      <w:r w:rsidR="00E00C29" w:rsidRPr="009A274C">
        <w:rPr>
          <w:color w:val="000000" w:themeColor="text1"/>
        </w:rPr>
        <w:t xml:space="preserve">, I rely on minimalist process-tracing. </w:t>
      </w:r>
      <w:r w:rsidR="00FD1FA7" w:rsidRPr="009A274C">
        <w:rPr>
          <w:color w:val="000000" w:themeColor="text1"/>
        </w:rPr>
        <w:t xml:space="preserve">Process-tracing aims at unpacking </w:t>
      </w:r>
      <w:r w:rsidR="005B13D7" w:rsidRPr="009A274C">
        <w:rPr>
          <w:color w:val="000000" w:themeColor="text1"/>
        </w:rPr>
        <w:t xml:space="preserve">in detail </w:t>
      </w:r>
      <w:r w:rsidR="00FD1FA7" w:rsidRPr="009A274C">
        <w:rPr>
          <w:color w:val="000000" w:themeColor="text1"/>
        </w:rPr>
        <w:t xml:space="preserve">individual cases, proceeding to the empirical chronological mapping of all mechanisms leading from a cause </w:t>
      </w:r>
      <w:r w:rsidR="00A60505">
        <w:rPr>
          <w:color w:val="000000" w:themeColor="text1"/>
        </w:rPr>
        <w:t xml:space="preserve">– or four individual causes - </w:t>
      </w:r>
      <w:r w:rsidR="00FD1FA7" w:rsidRPr="009A274C">
        <w:rPr>
          <w:color w:val="000000" w:themeColor="text1"/>
        </w:rPr>
        <w:t>to an outcome (George and Bennett 2005: 206-7)</w:t>
      </w:r>
      <w:r w:rsidR="00EE64C5" w:rsidRPr="009A274C">
        <w:rPr>
          <w:color w:val="000000" w:themeColor="text1"/>
        </w:rPr>
        <w:t xml:space="preserve"> – in this case the creation of the FLEGT</w:t>
      </w:r>
      <w:r w:rsidR="00DA5CD8" w:rsidRPr="009A274C">
        <w:rPr>
          <w:color w:val="000000" w:themeColor="text1"/>
        </w:rPr>
        <w:t xml:space="preserve"> </w:t>
      </w:r>
      <w:r w:rsidR="001E31E5" w:rsidRPr="009A274C">
        <w:rPr>
          <w:color w:val="000000" w:themeColor="text1"/>
        </w:rPr>
        <w:t>AP</w:t>
      </w:r>
      <w:r w:rsidR="00FD1FA7" w:rsidRPr="009A274C">
        <w:rPr>
          <w:color w:val="000000" w:themeColor="text1"/>
        </w:rPr>
        <w:t xml:space="preserve">. </w:t>
      </w:r>
      <w:r w:rsidR="00F82612" w:rsidRPr="009A274C">
        <w:rPr>
          <w:color w:val="000000" w:themeColor="text1"/>
        </w:rPr>
        <w:t xml:space="preserve">The analytical value added to process-tracing relies on its strong causal inference on how the unpacked process works. Case understanding ends up deep and sharp. </w:t>
      </w:r>
      <w:r w:rsidR="00E00C29" w:rsidRPr="009A274C">
        <w:rPr>
          <w:color w:val="000000" w:themeColor="text1"/>
        </w:rPr>
        <w:t xml:space="preserve">This research relies on minimalist process tracing (Beach and Pederson 2019: 64-9). The intensity of process-tracing is thus limited, as well as the parts of the causal chain that is investigated. To put it simply, only the causes are investigated, let aside all the other parts of the causal chain leading to the outcome (Beach and Pederson 2019: 65-6). </w:t>
      </w:r>
      <w:r w:rsidR="009A274C" w:rsidRPr="009A274C">
        <w:rPr>
          <w:color w:val="000000" w:themeColor="text1"/>
        </w:rPr>
        <w:t xml:space="preserve">The figure below visually represents minimalist process-tracing. </w:t>
      </w:r>
    </w:p>
    <w:p w14:paraId="475C72D3" w14:textId="77777777" w:rsidR="00A60505" w:rsidRDefault="00077419" w:rsidP="00A60505">
      <w:pPr>
        <w:keepNext/>
        <w:spacing w:before="120" w:line="360" w:lineRule="auto"/>
        <w:jc w:val="both"/>
      </w:pPr>
      <w:r w:rsidRPr="009A274C">
        <w:rPr>
          <w:noProof/>
          <w:color w:val="000000" w:themeColor="text1"/>
          <w:lang w:val="fr-BE" w:eastAsia="fr-BE"/>
        </w:rPr>
        <w:drawing>
          <wp:inline distT="0" distB="0" distL="0" distR="0" wp14:anchorId="427C3295" wp14:editId="364AAC0A">
            <wp:extent cx="5486400" cy="1670364"/>
            <wp:effectExtent l="0" t="0" r="127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915020" w14:textId="0832DA38" w:rsidR="00077419" w:rsidRPr="009A274C" w:rsidRDefault="00A60505" w:rsidP="00A60505">
      <w:pPr>
        <w:pStyle w:val="Caption"/>
        <w:rPr>
          <w:color w:val="000000" w:themeColor="text1"/>
        </w:rPr>
      </w:pPr>
      <w:r>
        <w:t xml:space="preserve">Figure </w:t>
      </w:r>
      <w:r>
        <w:fldChar w:fldCharType="begin"/>
      </w:r>
      <w:r>
        <w:instrText xml:space="preserve"> SEQ Figure \* ARABIC </w:instrText>
      </w:r>
      <w:r>
        <w:fldChar w:fldCharType="separate"/>
      </w:r>
      <w:r>
        <w:rPr>
          <w:noProof/>
        </w:rPr>
        <w:t>1</w:t>
      </w:r>
      <w:r>
        <w:fldChar w:fldCharType="end"/>
      </w:r>
      <w:r>
        <w:t xml:space="preserve"> Minimalist process tracing</w:t>
      </w:r>
    </w:p>
    <w:p w14:paraId="3D408244" w14:textId="20E6E2C6" w:rsidR="00DA5CD8" w:rsidRPr="00E90759" w:rsidRDefault="00853F37" w:rsidP="00FD1FA7">
      <w:pPr>
        <w:spacing w:before="120" w:line="360" w:lineRule="auto"/>
        <w:jc w:val="both"/>
        <w:rPr>
          <w:color w:val="000000" w:themeColor="text1"/>
        </w:rPr>
      </w:pPr>
      <w:r w:rsidRPr="009A274C">
        <w:rPr>
          <w:color w:val="000000" w:themeColor="text1"/>
        </w:rPr>
        <w:lastRenderedPageBreak/>
        <w:t xml:space="preserve">Once causal links </w:t>
      </w:r>
      <w:r w:rsidR="00366BBF" w:rsidRPr="009A274C">
        <w:rPr>
          <w:color w:val="000000" w:themeColor="text1"/>
        </w:rPr>
        <w:t xml:space="preserve">(section 3) </w:t>
      </w:r>
      <w:r w:rsidRPr="009A274C">
        <w:rPr>
          <w:color w:val="000000" w:themeColor="text1"/>
        </w:rPr>
        <w:t xml:space="preserve">and fingerprints </w:t>
      </w:r>
      <w:r w:rsidR="009A274C" w:rsidRPr="009A274C">
        <w:rPr>
          <w:color w:val="000000" w:themeColor="text1"/>
        </w:rPr>
        <w:t>(empirical elements that demonstrate the existence of the outcomes and the causes in the real world</w:t>
      </w:r>
      <w:r w:rsidR="00FB7580">
        <w:rPr>
          <w:color w:val="000000" w:themeColor="text1"/>
        </w:rPr>
        <w:t>; section 4.2</w:t>
      </w:r>
      <w:r w:rsidR="009A274C" w:rsidRPr="009A274C">
        <w:rPr>
          <w:color w:val="000000" w:themeColor="text1"/>
        </w:rPr>
        <w:t xml:space="preserve">) </w:t>
      </w:r>
      <w:r w:rsidRPr="009A274C">
        <w:rPr>
          <w:color w:val="000000" w:themeColor="text1"/>
        </w:rPr>
        <w:t>are identified</w:t>
      </w:r>
      <w:r w:rsidR="00FD1FA7" w:rsidRPr="009A274C">
        <w:rPr>
          <w:color w:val="000000" w:themeColor="text1"/>
        </w:rPr>
        <w:t>, systematic empirical t</w:t>
      </w:r>
      <w:r w:rsidR="00F82612" w:rsidRPr="009A274C">
        <w:rPr>
          <w:color w:val="000000" w:themeColor="text1"/>
        </w:rPr>
        <w:t>esting relying on fingerprints</w:t>
      </w:r>
      <w:r w:rsidR="00FD1FA7" w:rsidRPr="009A274C">
        <w:rPr>
          <w:color w:val="000000" w:themeColor="text1"/>
        </w:rPr>
        <w:t xml:space="preserve"> reveals whether the theoretically-determined causal relation is validated or not (Beach and Pedersen 2016: 324) (section </w:t>
      </w:r>
      <w:r w:rsidR="00AC3EE9" w:rsidRPr="009A274C">
        <w:rPr>
          <w:color w:val="000000" w:themeColor="text1"/>
        </w:rPr>
        <w:t>5</w:t>
      </w:r>
      <w:r w:rsidR="00FD1FA7" w:rsidRPr="009A274C">
        <w:rPr>
          <w:color w:val="000000" w:themeColor="text1"/>
        </w:rPr>
        <w:t xml:space="preserve">). </w:t>
      </w:r>
      <w:r w:rsidR="00E00C29" w:rsidRPr="009A274C">
        <w:rPr>
          <w:color w:val="000000" w:themeColor="text1"/>
        </w:rPr>
        <w:t>P</w:t>
      </w:r>
      <w:r w:rsidR="00FD1FA7" w:rsidRPr="009A274C">
        <w:rPr>
          <w:color w:val="000000" w:themeColor="text1"/>
        </w:rPr>
        <w:t xml:space="preserve">rocess-tracing then unpacks the thread from the cause </w:t>
      </w:r>
      <w:r w:rsidR="005B13D7" w:rsidRPr="009A274C">
        <w:rPr>
          <w:color w:val="000000" w:themeColor="text1"/>
        </w:rPr>
        <w:t>(</w:t>
      </w:r>
      <w:r w:rsidR="00FD1FA7" w:rsidRPr="009A274C">
        <w:rPr>
          <w:color w:val="000000" w:themeColor="text1"/>
        </w:rPr>
        <w:t xml:space="preserve">or a set of </w:t>
      </w:r>
      <w:r w:rsidR="00FB7580">
        <w:rPr>
          <w:color w:val="000000" w:themeColor="text1"/>
        </w:rPr>
        <w:t xml:space="preserve">four </w:t>
      </w:r>
      <w:r w:rsidR="00FD1FA7" w:rsidRPr="009A274C">
        <w:rPr>
          <w:color w:val="000000" w:themeColor="text1"/>
        </w:rPr>
        <w:t xml:space="preserve">causes </w:t>
      </w:r>
      <w:r w:rsidR="005B13D7" w:rsidRPr="009A274C">
        <w:rPr>
          <w:color w:val="000000" w:themeColor="text1"/>
        </w:rPr>
        <w:t xml:space="preserve">in this paper) </w:t>
      </w:r>
      <w:r w:rsidR="00FD1FA7" w:rsidRPr="009A274C">
        <w:rPr>
          <w:color w:val="000000" w:themeColor="text1"/>
        </w:rPr>
        <w:t xml:space="preserve">to </w:t>
      </w:r>
      <w:r w:rsidR="00FD1FA7" w:rsidRPr="00E90759">
        <w:rPr>
          <w:color w:val="000000" w:themeColor="text1"/>
        </w:rPr>
        <w:t>the outcome, evaluating whether hypothesised evidences are actually found.</w:t>
      </w:r>
      <w:r w:rsidR="00B54EA0" w:rsidRPr="00E90759">
        <w:rPr>
          <w:color w:val="000000" w:themeColor="text1"/>
        </w:rPr>
        <w:t xml:space="preserve"> </w:t>
      </w:r>
    </w:p>
    <w:p w14:paraId="3D729D34" w14:textId="7105B5BF" w:rsidR="00366BBF" w:rsidRPr="00E90759" w:rsidRDefault="00366BBF" w:rsidP="00FD1FA7">
      <w:pPr>
        <w:spacing w:before="120" w:line="360" w:lineRule="auto"/>
        <w:jc w:val="both"/>
        <w:rPr>
          <w:color w:val="000000" w:themeColor="text1"/>
        </w:rPr>
      </w:pPr>
    </w:p>
    <w:p w14:paraId="031A42C6" w14:textId="7A255819" w:rsidR="00366BBF" w:rsidRPr="00E90759" w:rsidRDefault="00366BBF" w:rsidP="00366BBF">
      <w:pPr>
        <w:pStyle w:val="ListParagraph"/>
        <w:numPr>
          <w:ilvl w:val="1"/>
          <w:numId w:val="1"/>
        </w:numPr>
        <w:spacing w:before="120" w:line="360" w:lineRule="auto"/>
        <w:jc w:val="both"/>
        <w:rPr>
          <w:color w:val="000000" w:themeColor="text1"/>
        </w:rPr>
      </w:pPr>
      <w:r w:rsidRPr="00E90759">
        <w:rPr>
          <w:color w:val="000000" w:themeColor="text1"/>
        </w:rPr>
        <w:t>Fingerprints</w:t>
      </w:r>
    </w:p>
    <w:p w14:paraId="6C886669" w14:textId="549689E4" w:rsidR="009A274C" w:rsidRPr="00E90759" w:rsidRDefault="00366BBF" w:rsidP="009A274C">
      <w:pPr>
        <w:spacing w:before="120" w:line="360" w:lineRule="auto"/>
        <w:jc w:val="both"/>
        <w:rPr>
          <w:color w:val="000000" w:themeColor="text1"/>
        </w:rPr>
      </w:pPr>
      <w:r w:rsidRPr="00E90759">
        <w:rPr>
          <w:color w:val="000000" w:themeColor="text1"/>
        </w:rPr>
        <w:t>This section identifies of the fingerprints of each cause</w:t>
      </w:r>
      <w:r w:rsidR="009A274C" w:rsidRPr="00E90759">
        <w:rPr>
          <w:color w:val="000000" w:themeColor="text1"/>
        </w:rPr>
        <w:t>. The outcome, venue creation</w:t>
      </w:r>
      <w:r w:rsidR="00FB7580">
        <w:rPr>
          <w:color w:val="000000" w:themeColor="text1"/>
        </w:rPr>
        <w:t>,</w:t>
      </w:r>
      <w:r w:rsidR="009A274C" w:rsidRPr="00E90759">
        <w:rPr>
          <w:color w:val="000000" w:themeColor="text1"/>
        </w:rPr>
        <w:t xml:space="preserve"> is identified relying on ‘trace evidence’ (Beach and Pederson 2019: 172). There mere existence of the FLEGT AP since 2003 provides proof of its creation at that time.</w:t>
      </w:r>
    </w:p>
    <w:p w14:paraId="4E9261EB" w14:textId="6A068561" w:rsidR="00366BBF" w:rsidRPr="00696D91" w:rsidRDefault="009A274C" w:rsidP="009A274C">
      <w:pPr>
        <w:spacing w:before="120" w:line="360" w:lineRule="auto"/>
        <w:jc w:val="both"/>
        <w:rPr>
          <w:color w:val="000000" w:themeColor="text1"/>
        </w:rPr>
      </w:pPr>
      <w:r w:rsidRPr="00E90759">
        <w:rPr>
          <w:color w:val="000000" w:themeColor="text1"/>
        </w:rPr>
        <w:t xml:space="preserve">The four hypothetical causes to </w:t>
      </w:r>
      <w:r w:rsidR="00E90759" w:rsidRPr="00E90759">
        <w:rPr>
          <w:color w:val="000000" w:themeColor="text1"/>
        </w:rPr>
        <w:t xml:space="preserve">FLEGT AP creation </w:t>
      </w:r>
      <w:r w:rsidR="00FB7580">
        <w:rPr>
          <w:color w:val="000000" w:themeColor="text1"/>
        </w:rPr>
        <w:t xml:space="preserve">necessitate fingerprints </w:t>
      </w:r>
      <w:r w:rsidR="00E90759" w:rsidRPr="00E90759">
        <w:rPr>
          <w:color w:val="000000" w:themeColor="text1"/>
        </w:rPr>
        <w:t xml:space="preserve">of another nature. ‘Account evidence’ (Beach and Pederson 2019: 172) accounts for the content of empirical material such as official documents, minutes, negotiations or discussions. </w:t>
      </w:r>
      <w:r w:rsidR="00366BBF" w:rsidRPr="00E90759">
        <w:rPr>
          <w:color w:val="000000" w:themeColor="text1"/>
        </w:rPr>
        <w:t xml:space="preserve">EU ambition on a given issue is </w:t>
      </w:r>
      <w:r w:rsidR="00E90759" w:rsidRPr="00E90759">
        <w:rPr>
          <w:color w:val="000000" w:themeColor="text1"/>
        </w:rPr>
        <w:t xml:space="preserve">identified </w:t>
      </w:r>
      <w:r w:rsidR="00366BBF" w:rsidRPr="00E90759">
        <w:rPr>
          <w:color w:val="000000" w:themeColor="text1"/>
        </w:rPr>
        <w:t>in relation to other international negotiators’ ambitions on the same issue. Knowing the international forest setting, meaning existing venues and their outcome, EU ambition is determined by comparing its position to the ambition of the issues discussed in the international forest regime. The content of international discussions (whatever the negotiation arena) on forest governance and related issues provide evidence for EU ambition. Initia</w:t>
      </w:r>
      <w:r w:rsidR="00366BBF" w:rsidRPr="00696D91">
        <w:rPr>
          <w:color w:val="000000" w:themeColor="text1"/>
        </w:rPr>
        <w:t xml:space="preserve">tives in this direction of individual actors are also taken into consideration. </w:t>
      </w:r>
    </w:p>
    <w:p w14:paraId="3FF83B27" w14:textId="131C5353" w:rsidR="00366BBF" w:rsidRPr="00696D91" w:rsidRDefault="00366BBF" w:rsidP="00366BBF">
      <w:pPr>
        <w:spacing w:after="120" w:line="360" w:lineRule="auto"/>
        <w:jc w:val="both"/>
        <w:rPr>
          <w:color w:val="000000" w:themeColor="text1"/>
        </w:rPr>
      </w:pPr>
      <w:r w:rsidRPr="00696D91">
        <w:rPr>
          <w:color w:val="000000" w:themeColor="text1"/>
        </w:rPr>
        <w:t xml:space="preserve">Isolation is observed by comparing EU preference to negotiation partners’ preferences, and by evaluating whether EU preference is reflected in an international institution outcome. Other fingerprints for EU isolation reside in EU’s contacts with its international environment on the FLEGT issue prior to the creation of the Regulation. I predict that in case of isolation, there would not have been carrying out international meetings and event on FLEGT related issues. </w:t>
      </w:r>
    </w:p>
    <w:p w14:paraId="575DE852" w14:textId="31BA499C" w:rsidR="00366BBF" w:rsidRPr="00696D91" w:rsidRDefault="00696D91" w:rsidP="00366BBF">
      <w:pPr>
        <w:spacing w:after="120" w:line="360" w:lineRule="auto"/>
        <w:jc w:val="both"/>
        <w:rPr>
          <w:rFonts w:cstheme="minorHAnsi"/>
          <w:color w:val="000000" w:themeColor="text1"/>
        </w:rPr>
      </w:pPr>
      <w:r w:rsidRPr="00696D91">
        <w:rPr>
          <w:rFonts w:cstheme="minorHAnsi"/>
          <w:color w:val="000000" w:themeColor="text1"/>
        </w:rPr>
        <w:t>Each r</w:t>
      </w:r>
      <w:r w:rsidR="00366BBF" w:rsidRPr="00696D91">
        <w:rPr>
          <w:rFonts w:cstheme="minorHAnsi"/>
          <w:color w:val="000000" w:themeColor="text1"/>
        </w:rPr>
        <w:t xml:space="preserve">elative bargaining power </w:t>
      </w:r>
      <w:r w:rsidRPr="00696D91">
        <w:rPr>
          <w:rFonts w:cstheme="minorHAnsi"/>
          <w:color w:val="000000" w:themeColor="text1"/>
        </w:rPr>
        <w:t>dimension has its own</w:t>
      </w:r>
      <w:r w:rsidR="00366BBF" w:rsidRPr="00696D91">
        <w:rPr>
          <w:rFonts w:cstheme="minorHAnsi"/>
          <w:color w:val="000000" w:themeColor="text1"/>
        </w:rPr>
        <w:t xml:space="preserve"> fingerprint. The observed fingerprint</w:t>
      </w:r>
      <w:r w:rsidRPr="00696D91">
        <w:rPr>
          <w:rFonts w:cstheme="minorHAnsi"/>
          <w:color w:val="000000" w:themeColor="text1"/>
        </w:rPr>
        <w:t xml:space="preserve"> of the number of negotiators</w:t>
      </w:r>
      <w:r w:rsidR="00366BBF" w:rsidRPr="00696D91">
        <w:rPr>
          <w:rFonts w:cstheme="minorHAnsi"/>
          <w:color w:val="000000" w:themeColor="text1"/>
        </w:rPr>
        <w:t xml:space="preserve"> is the number of negotiation partners. This information is found on the list of participants to a negotiation.</w:t>
      </w:r>
      <w:r w:rsidRPr="00696D91">
        <w:rPr>
          <w:rFonts w:cstheme="minorHAnsi"/>
          <w:color w:val="000000" w:themeColor="text1"/>
        </w:rPr>
        <w:t xml:space="preserve"> </w:t>
      </w:r>
      <w:r w:rsidR="00366BBF" w:rsidRPr="00696D91">
        <w:rPr>
          <w:rFonts w:cstheme="minorHAnsi"/>
          <w:color w:val="000000" w:themeColor="text1"/>
        </w:rPr>
        <w:t xml:space="preserve">Then, </w:t>
      </w:r>
      <w:r w:rsidRPr="00696D91">
        <w:rPr>
          <w:rFonts w:cstheme="minorHAnsi"/>
          <w:color w:val="000000" w:themeColor="text1"/>
        </w:rPr>
        <w:t>the</w:t>
      </w:r>
      <w:r w:rsidR="00366BBF" w:rsidRPr="00696D91">
        <w:rPr>
          <w:rFonts w:cstheme="minorHAnsi"/>
          <w:color w:val="000000" w:themeColor="text1"/>
        </w:rPr>
        <w:t xml:space="preserve"> second fingerprint for EU relative bargaining power is the forest cover of the negotiation partner and whether ameliorating </w:t>
      </w:r>
      <w:r w:rsidR="00366BBF" w:rsidRPr="00696D91">
        <w:rPr>
          <w:rFonts w:cstheme="minorHAnsi"/>
          <w:color w:val="000000" w:themeColor="text1"/>
        </w:rPr>
        <w:lastRenderedPageBreak/>
        <w:t xml:space="preserve">forest governance and law enforcement impact their forests, translating whether the forest is at the core of the negotiation stake. </w:t>
      </w:r>
    </w:p>
    <w:p w14:paraId="332B54C8" w14:textId="1737D606" w:rsidR="00366BBF" w:rsidRPr="00696D91" w:rsidRDefault="00696D91" w:rsidP="00366BBF">
      <w:pPr>
        <w:spacing w:after="120" w:line="360" w:lineRule="auto"/>
        <w:jc w:val="both"/>
        <w:rPr>
          <w:rFonts w:cstheme="minorHAnsi"/>
          <w:color w:val="000000" w:themeColor="text1"/>
          <w:lang w:eastAsia="en-GB"/>
        </w:rPr>
      </w:pPr>
      <w:r w:rsidRPr="00696D91">
        <w:rPr>
          <w:rFonts w:cstheme="minorHAnsi"/>
          <w:color w:val="000000" w:themeColor="text1"/>
        </w:rPr>
        <w:t xml:space="preserve">Lastly, </w:t>
      </w:r>
      <w:r w:rsidR="00366BBF" w:rsidRPr="00696D91">
        <w:rPr>
          <w:rFonts w:cstheme="minorHAnsi"/>
          <w:color w:val="000000" w:themeColor="text1"/>
        </w:rPr>
        <w:t>EU unity is observed by comparing EU actors’ preferences. Preferences among Commission DGs that were involved and consulted, and Member states</w:t>
      </w:r>
      <w:r w:rsidR="00FB7580">
        <w:rPr>
          <w:rFonts w:cstheme="minorHAnsi"/>
          <w:color w:val="000000" w:themeColor="text1"/>
        </w:rPr>
        <w:t xml:space="preserve"> preferences</w:t>
      </w:r>
      <w:r w:rsidR="00366BBF" w:rsidRPr="00696D91">
        <w:rPr>
          <w:rFonts w:cstheme="minorHAnsi"/>
          <w:color w:val="000000" w:themeColor="text1"/>
        </w:rPr>
        <w:t xml:space="preserve"> are investigated. If they do not match, the I consider the unity low. If they are similar, hence not triggering painful debates, I consider EU unity high. </w:t>
      </w:r>
    </w:p>
    <w:p w14:paraId="29742BE4" w14:textId="77777777" w:rsidR="00FD1FA7" w:rsidRPr="00696D91" w:rsidRDefault="00FD1FA7" w:rsidP="00FD1FA7">
      <w:pPr>
        <w:spacing w:before="120" w:after="120" w:line="360" w:lineRule="auto"/>
        <w:jc w:val="both"/>
        <w:rPr>
          <w:rFonts w:cstheme="minorHAnsi"/>
          <w:color w:val="000000" w:themeColor="text1"/>
        </w:rPr>
      </w:pPr>
    </w:p>
    <w:p w14:paraId="7F28BEC4" w14:textId="0105F483" w:rsidR="00FD1FA7" w:rsidRPr="00696D91" w:rsidRDefault="00D34658" w:rsidP="006E4409">
      <w:pPr>
        <w:pStyle w:val="ListParagraph"/>
        <w:numPr>
          <w:ilvl w:val="1"/>
          <w:numId w:val="1"/>
        </w:numPr>
        <w:spacing w:before="120" w:after="120" w:line="360" w:lineRule="auto"/>
        <w:jc w:val="both"/>
        <w:rPr>
          <w:rFonts w:cstheme="minorHAnsi"/>
          <w:color w:val="000000" w:themeColor="text1"/>
        </w:rPr>
      </w:pPr>
      <w:r w:rsidRPr="00696D91">
        <w:rPr>
          <w:rFonts w:cstheme="minorHAnsi"/>
          <w:color w:val="000000" w:themeColor="text1"/>
        </w:rPr>
        <w:t>Sources and d</w:t>
      </w:r>
      <w:r w:rsidR="00FD1FA7" w:rsidRPr="00696D91">
        <w:rPr>
          <w:rFonts w:cstheme="minorHAnsi"/>
          <w:color w:val="000000" w:themeColor="text1"/>
        </w:rPr>
        <w:t>ata</w:t>
      </w:r>
    </w:p>
    <w:p w14:paraId="7C6CEF94" w14:textId="01794BD9" w:rsidR="00F81B44" w:rsidRPr="00696D91" w:rsidRDefault="00D34658" w:rsidP="00B738DD">
      <w:pPr>
        <w:spacing w:before="120" w:after="120" w:line="360" w:lineRule="auto"/>
        <w:jc w:val="both"/>
        <w:rPr>
          <w:rFonts w:cstheme="minorHAnsi"/>
          <w:color w:val="000000" w:themeColor="text1"/>
        </w:rPr>
      </w:pPr>
      <w:r w:rsidRPr="00696D91">
        <w:rPr>
          <w:rFonts w:cstheme="minorHAnsi"/>
          <w:color w:val="000000" w:themeColor="text1"/>
        </w:rPr>
        <w:t>I rely on t</w:t>
      </w:r>
      <w:r w:rsidR="00853F37" w:rsidRPr="00696D91">
        <w:rPr>
          <w:rFonts w:cstheme="minorHAnsi"/>
          <w:color w:val="000000" w:themeColor="text1"/>
        </w:rPr>
        <w:t>hree</w:t>
      </w:r>
      <w:r w:rsidRPr="00696D91">
        <w:rPr>
          <w:rFonts w:cstheme="minorHAnsi"/>
          <w:color w:val="000000" w:themeColor="text1"/>
        </w:rPr>
        <w:t xml:space="preserve"> types of sources. First, </w:t>
      </w:r>
      <w:r w:rsidR="00853F37" w:rsidRPr="00696D91">
        <w:rPr>
          <w:rFonts w:cstheme="minorHAnsi"/>
          <w:color w:val="000000" w:themeColor="text1"/>
        </w:rPr>
        <w:t xml:space="preserve">secondary literature (which constitutes the starting point of my analysis) brought in the main contextual phases of the creation of the FLEGT </w:t>
      </w:r>
      <w:r w:rsidR="00077419" w:rsidRPr="00696D91">
        <w:rPr>
          <w:rFonts w:cstheme="minorHAnsi"/>
          <w:color w:val="000000" w:themeColor="text1"/>
        </w:rPr>
        <w:t>AP</w:t>
      </w:r>
      <w:r w:rsidR="00853F37" w:rsidRPr="00696D91">
        <w:rPr>
          <w:rFonts w:cstheme="minorHAnsi"/>
          <w:color w:val="000000" w:themeColor="text1"/>
        </w:rPr>
        <w:t xml:space="preserve">. Their input is however quite limited, revealing the grey zones I delve in this paper. Second, </w:t>
      </w:r>
      <w:r w:rsidRPr="00696D91">
        <w:rPr>
          <w:rFonts w:cstheme="minorHAnsi"/>
          <w:color w:val="000000" w:themeColor="text1"/>
        </w:rPr>
        <w:t xml:space="preserve">interviews were carried out with selected respondents. They provide an EU insider perspective, but also non-EU perspective on the context of creation of the FLEGT </w:t>
      </w:r>
      <w:r w:rsidR="00FB7580">
        <w:rPr>
          <w:rFonts w:cstheme="minorHAnsi"/>
          <w:color w:val="000000" w:themeColor="text1"/>
        </w:rPr>
        <w:t>AP</w:t>
      </w:r>
      <w:r w:rsidRPr="00696D91">
        <w:rPr>
          <w:rFonts w:cstheme="minorHAnsi"/>
          <w:color w:val="000000" w:themeColor="text1"/>
        </w:rPr>
        <w:t xml:space="preserve">. Interviews are valuable because they provide first-hand information about the </w:t>
      </w:r>
      <w:proofErr w:type="gramStart"/>
      <w:r w:rsidRPr="00696D91">
        <w:rPr>
          <w:rFonts w:cstheme="minorHAnsi"/>
          <w:color w:val="000000" w:themeColor="text1"/>
        </w:rPr>
        <w:t>case, and</w:t>
      </w:r>
      <w:proofErr w:type="gramEnd"/>
      <w:r w:rsidRPr="00696D91">
        <w:rPr>
          <w:rFonts w:cstheme="minorHAnsi"/>
          <w:color w:val="000000" w:themeColor="text1"/>
        </w:rPr>
        <w:t xml:space="preserve"> allow to understand the creation of the FLEGT </w:t>
      </w:r>
      <w:r w:rsidR="00077419" w:rsidRPr="00696D91">
        <w:rPr>
          <w:rFonts w:cstheme="minorHAnsi"/>
          <w:color w:val="000000" w:themeColor="text1"/>
        </w:rPr>
        <w:t>AP</w:t>
      </w:r>
      <w:r w:rsidRPr="00696D91">
        <w:rPr>
          <w:rFonts w:cstheme="minorHAnsi"/>
          <w:color w:val="000000" w:themeColor="text1"/>
        </w:rPr>
        <w:t xml:space="preserve"> in a nuanced manner. </w:t>
      </w:r>
      <w:r w:rsidR="00EF4258" w:rsidRPr="00696D91">
        <w:rPr>
          <w:rFonts w:cstheme="minorHAnsi"/>
          <w:color w:val="000000" w:themeColor="text1"/>
        </w:rPr>
        <w:t>Some stories are striking in unveiling EU processes and dynamics surrounding the F</w:t>
      </w:r>
      <w:r w:rsidR="00853F37" w:rsidRPr="00696D91">
        <w:rPr>
          <w:rFonts w:cstheme="minorHAnsi"/>
          <w:color w:val="000000" w:themeColor="text1"/>
        </w:rPr>
        <w:t>LE</w:t>
      </w:r>
      <w:r w:rsidR="00EF4258" w:rsidRPr="00696D91">
        <w:rPr>
          <w:rFonts w:cstheme="minorHAnsi"/>
          <w:color w:val="000000" w:themeColor="text1"/>
        </w:rPr>
        <w:t xml:space="preserve">GT </w:t>
      </w:r>
      <w:r w:rsidR="00077419" w:rsidRPr="00696D91">
        <w:rPr>
          <w:rFonts w:cstheme="minorHAnsi"/>
          <w:color w:val="000000" w:themeColor="text1"/>
        </w:rPr>
        <w:t>AP</w:t>
      </w:r>
      <w:r w:rsidR="00EF4258" w:rsidRPr="00696D91">
        <w:rPr>
          <w:rFonts w:cstheme="minorHAnsi"/>
          <w:color w:val="000000" w:themeColor="text1"/>
        </w:rPr>
        <w:t xml:space="preserve"> creation. </w:t>
      </w:r>
      <w:r w:rsidR="00174D21" w:rsidRPr="00696D91">
        <w:rPr>
          <w:rFonts w:cstheme="minorHAnsi"/>
          <w:color w:val="000000" w:themeColor="text1"/>
        </w:rPr>
        <w:t xml:space="preserve">Besides, interviews fill the gap sometimes left by </w:t>
      </w:r>
      <w:r w:rsidR="00853F37" w:rsidRPr="00696D91">
        <w:rPr>
          <w:rFonts w:cstheme="minorHAnsi"/>
          <w:color w:val="000000" w:themeColor="text1"/>
        </w:rPr>
        <w:t>primary and secondary literature</w:t>
      </w:r>
      <w:r w:rsidR="00F82612" w:rsidRPr="00696D91">
        <w:rPr>
          <w:rFonts w:cstheme="minorHAnsi"/>
          <w:color w:val="000000" w:themeColor="text1"/>
        </w:rPr>
        <w:t xml:space="preserve">. </w:t>
      </w:r>
      <w:r w:rsidRPr="00696D91">
        <w:rPr>
          <w:rFonts w:cstheme="minorHAnsi"/>
          <w:color w:val="000000" w:themeColor="text1"/>
        </w:rPr>
        <w:t xml:space="preserve">The </w:t>
      </w:r>
      <w:r w:rsidR="00853F37" w:rsidRPr="00696D91">
        <w:rPr>
          <w:rFonts w:cstheme="minorHAnsi"/>
          <w:color w:val="000000" w:themeColor="text1"/>
        </w:rPr>
        <w:t xml:space="preserve">third </w:t>
      </w:r>
      <w:r w:rsidRPr="00696D91">
        <w:rPr>
          <w:rFonts w:cstheme="minorHAnsi"/>
          <w:color w:val="000000" w:themeColor="text1"/>
        </w:rPr>
        <w:t xml:space="preserve">set of </w:t>
      </w:r>
      <w:r w:rsidR="00174D21" w:rsidRPr="00696D91">
        <w:rPr>
          <w:rFonts w:cstheme="minorHAnsi"/>
          <w:color w:val="000000" w:themeColor="text1"/>
        </w:rPr>
        <w:t>sources</w:t>
      </w:r>
      <w:r w:rsidRPr="00696D91">
        <w:rPr>
          <w:rFonts w:cstheme="minorHAnsi"/>
          <w:color w:val="000000" w:themeColor="text1"/>
        </w:rPr>
        <w:t xml:space="preserve"> </w:t>
      </w:r>
      <w:r w:rsidR="00174D21" w:rsidRPr="00696D91">
        <w:rPr>
          <w:rFonts w:cstheme="minorHAnsi"/>
          <w:color w:val="000000" w:themeColor="text1"/>
        </w:rPr>
        <w:t xml:space="preserve">allow for </w:t>
      </w:r>
      <w:r w:rsidRPr="00696D91">
        <w:rPr>
          <w:rFonts w:cstheme="minorHAnsi"/>
          <w:color w:val="000000" w:themeColor="text1"/>
        </w:rPr>
        <w:t xml:space="preserve">a more objective and systematic </w:t>
      </w:r>
      <w:r w:rsidR="00174D21" w:rsidRPr="00696D91">
        <w:rPr>
          <w:rFonts w:cstheme="minorHAnsi"/>
          <w:color w:val="000000" w:themeColor="text1"/>
        </w:rPr>
        <w:t xml:space="preserve">data collection. Relying on </w:t>
      </w:r>
      <w:r w:rsidR="00077419" w:rsidRPr="00696D91">
        <w:rPr>
          <w:rFonts w:cstheme="minorHAnsi"/>
          <w:color w:val="000000" w:themeColor="text1"/>
        </w:rPr>
        <w:t xml:space="preserve">primary </w:t>
      </w:r>
      <w:r w:rsidR="00174D21" w:rsidRPr="00696D91">
        <w:rPr>
          <w:rFonts w:cstheme="minorHAnsi"/>
          <w:color w:val="000000" w:themeColor="text1"/>
        </w:rPr>
        <w:t xml:space="preserve">documents, </w:t>
      </w:r>
      <w:r w:rsidR="00853F37" w:rsidRPr="00696D91">
        <w:rPr>
          <w:rFonts w:cstheme="minorHAnsi"/>
          <w:color w:val="000000" w:themeColor="text1"/>
        </w:rPr>
        <w:t>predominantly</w:t>
      </w:r>
      <w:r w:rsidR="00174D21" w:rsidRPr="00696D91">
        <w:rPr>
          <w:rFonts w:cstheme="minorHAnsi"/>
          <w:color w:val="000000" w:themeColor="text1"/>
        </w:rPr>
        <w:t xml:space="preserve"> from the EU (</w:t>
      </w:r>
      <w:r w:rsidR="00EF4258" w:rsidRPr="00696D91">
        <w:rPr>
          <w:rFonts w:cstheme="minorHAnsi"/>
          <w:color w:val="000000" w:themeColor="text1"/>
        </w:rPr>
        <w:t xml:space="preserve">mostly staff working documents and EU legislation), but also from forest-related international institutions and Earth Negotiations Bulletins. </w:t>
      </w:r>
      <w:r w:rsidR="00174D21" w:rsidRPr="00696D91">
        <w:rPr>
          <w:rFonts w:cstheme="minorHAnsi"/>
          <w:color w:val="000000" w:themeColor="text1"/>
        </w:rPr>
        <w:t xml:space="preserve">The </w:t>
      </w:r>
      <w:r w:rsidR="00853F37" w:rsidRPr="00696D91">
        <w:rPr>
          <w:rFonts w:cstheme="minorHAnsi"/>
          <w:color w:val="000000" w:themeColor="text1"/>
        </w:rPr>
        <w:t>constraint</w:t>
      </w:r>
      <w:r w:rsidR="00174D21" w:rsidRPr="00696D91">
        <w:rPr>
          <w:rFonts w:cstheme="minorHAnsi"/>
          <w:color w:val="000000" w:themeColor="text1"/>
        </w:rPr>
        <w:t xml:space="preserve"> of using </w:t>
      </w:r>
      <w:r w:rsidR="00EF4258" w:rsidRPr="00696D91">
        <w:rPr>
          <w:rFonts w:cstheme="minorHAnsi"/>
          <w:color w:val="000000" w:themeColor="text1"/>
        </w:rPr>
        <w:t xml:space="preserve">such </w:t>
      </w:r>
      <w:r w:rsidR="00174D21" w:rsidRPr="00696D91">
        <w:rPr>
          <w:rFonts w:cstheme="minorHAnsi"/>
          <w:color w:val="000000" w:themeColor="text1"/>
        </w:rPr>
        <w:t>documents</w:t>
      </w:r>
      <w:r w:rsidR="00EF4258" w:rsidRPr="00696D91">
        <w:rPr>
          <w:rFonts w:cstheme="minorHAnsi"/>
          <w:color w:val="000000" w:themeColor="text1"/>
        </w:rPr>
        <w:t xml:space="preserve"> </w:t>
      </w:r>
      <w:r w:rsidR="00174D21" w:rsidRPr="00696D91">
        <w:rPr>
          <w:rFonts w:cstheme="minorHAnsi"/>
          <w:color w:val="000000" w:themeColor="text1"/>
        </w:rPr>
        <w:t xml:space="preserve">is that they are not necessarily kept </w:t>
      </w:r>
      <w:r w:rsidR="00853F37" w:rsidRPr="00696D91">
        <w:rPr>
          <w:rFonts w:cstheme="minorHAnsi"/>
          <w:color w:val="000000" w:themeColor="text1"/>
        </w:rPr>
        <w:t>n</w:t>
      </w:r>
      <w:r w:rsidR="00174D21" w:rsidRPr="00696D91">
        <w:rPr>
          <w:rFonts w:cstheme="minorHAnsi"/>
          <w:color w:val="000000" w:themeColor="text1"/>
        </w:rPr>
        <w:t>or listed, leaving holes</w:t>
      </w:r>
      <w:r w:rsidR="00EF4258" w:rsidRPr="00696D91">
        <w:rPr>
          <w:rFonts w:cstheme="minorHAnsi"/>
          <w:color w:val="000000" w:themeColor="text1"/>
        </w:rPr>
        <w:t xml:space="preserve"> in the chronological sequence of the creation of the FLEGT. </w:t>
      </w:r>
      <w:r w:rsidR="00853F37" w:rsidRPr="00696D91">
        <w:rPr>
          <w:rFonts w:cstheme="minorHAnsi"/>
          <w:color w:val="000000" w:themeColor="text1"/>
        </w:rPr>
        <w:t xml:space="preserve">Overall, the three types of source filled the drawbacks of one another. </w:t>
      </w:r>
    </w:p>
    <w:p w14:paraId="1BF2636F" w14:textId="77777777" w:rsidR="00A35C83" w:rsidRDefault="00A35C83" w:rsidP="00A35C83">
      <w:pPr>
        <w:spacing w:after="120" w:line="360" w:lineRule="auto"/>
        <w:jc w:val="both"/>
      </w:pPr>
    </w:p>
    <w:p w14:paraId="3A852D70" w14:textId="366AFF28" w:rsidR="00E60438" w:rsidRPr="00077419" w:rsidRDefault="00E60438" w:rsidP="00077419">
      <w:pPr>
        <w:spacing w:after="120" w:line="360" w:lineRule="auto"/>
        <w:jc w:val="both"/>
      </w:pPr>
    </w:p>
    <w:p w14:paraId="570E3CC3" w14:textId="68CD6D32" w:rsidR="00E60438" w:rsidRPr="00696D91" w:rsidRDefault="00E60438" w:rsidP="00077419">
      <w:pPr>
        <w:pStyle w:val="ListParagraph"/>
        <w:numPr>
          <w:ilvl w:val="0"/>
          <w:numId w:val="1"/>
        </w:numPr>
        <w:spacing w:after="120" w:line="360" w:lineRule="auto"/>
        <w:jc w:val="both"/>
        <w:rPr>
          <w:color w:val="000000" w:themeColor="text1"/>
        </w:rPr>
      </w:pPr>
      <w:r w:rsidRPr="00696D91">
        <w:rPr>
          <w:color w:val="000000" w:themeColor="text1"/>
        </w:rPr>
        <w:t>Empirical analysis</w:t>
      </w:r>
    </w:p>
    <w:p w14:paraId="60BD53CB" w14:textId="255F792F" w:rsidR="00077419" w:rsidRPr="00696D91" w:rsidRDefault="00077419" w:rsidP="00077419">
      <w:pPr>
        <w:spacing w:after="120" w:line="360" w:lineRule="auto"/>
        <w:jc w:val="both"/>
        <w:rPr>
          <w:rFonts w:cs="Times New Roman"/>
          <w:color w:val="000000" w:themeColor="text1"/>
        </w:rPr>
      </w:pPr>
      <w:r w:rsidRPr="00696D91">
        <w:rPr>
          <w:rFonts w:cs="Times New Roman"/>
          <w:color w:val="000000" w:themeColor="text1"/>
        </w:rPr>
        <w:t xml:space="preserve">In early 2000s EU was entrenched </w:t>
      </w:r>
      <w:r w:rsidRPr="00077419">
        <w:rPr>
          <w:rFonts w:cs="Times New Roman"/>
        </w:rPr>
        <w:t xml:space="preserve">in a burgeoning context of international initiatives striving for forest sustainability and legality. Some of these initiatives involved the EU, be it through the Commission or its members states, mostly through EU participation to multilateral </w:t>
      </w:r>
      <w:r w:rsidRPr="00077419">
        <w:rPr>
          <w:rFonts w:cs="Times New Roman"/>
        </w:rPr>
        <w:lastRenderedPageBreak/>
        <w:t>processes. EU interests for forest sustainability, reformed governance and legal timber trade was embedded in multilateral dialogues from the G8, the International Tropical Timber Council</w:t>
      </w:r>
      <w:r w:rsidR="00FB7580">
        <w:rPr>
          <w:rFonts w:cs="Times New Roman"/>
        </w:rPr>
        <w:t xml:space="preserve"> (ITTC)</w:t>
      </w:r>
      <w:r w:rsidRPr="00077419">
        <w:rPr>
          <w:rFonts w:cs="Times New Roman"/>
        </w:rPr>
        <w:t>, the World Bank, but also in the setup of the UNFF. All were striving (to different extent) for forest sustainability through forest law enforcement and related forest products trade. The several initiatives reveal that the EU was not an isolated actor in its FLEGT endeavour, whatever the international institution or actor examined. Indeed, an isolated position would not have led to such keen interest from the international community, let aside the adoption of forest governance related rules.</w:t>
      </w:r>
      <w:r>
        <w:rPr>
          <w:rFonts w:cs="Times New Roman"/>
        </w:rPr>
        <w:t xml:space="preserve"> The EU had been active in these venues and </w:t>
      </w:r>
      <w:r w:rsidRPr="00696D91">
        <w:rPr>
          <w:rFonts w:cs="Times New Roman"/>
          <w:color w:val="000000" w:themeColor="text1"/>
        </w:rPr>
        <w:t xml:space="preserve">the forest regime complex at large. </w:t>
      </w:r>
    </w:p>
    <w:p w14:paraId="1C1F1B0E" w14:textId="13793893" w:rsidR="00BC363B" w:rsidRPr="00696D91" w:rsidRDefault="00077419" w:rsidP="00D46084">
      <w:pPr>
        <w:spacing w:after="120" w:line="360" w:lineRule="auto"/>
        <w:jc w:val="both"/>
        <w:rPr>
          <w:rFonts w:cs="Times New Roman"/>
          <w:color w:val="000000" w:themeColor="text1"/>
        </w:rPr>
      </w:pPr>
      <w:r w:rsidRPr="00696D91">
        <w:rPr>
          <w:rFonts w:cs="Times New Roman"/>
          <w:color w:val="000000" w:themeColor="text1"/>
        </w:rPr>
        <w:t>At</w:t>
      </w:r>
      <w:r w:rsidR="00BC363B" w:rsidRPr="00696D91">
        <w:rPr>
          <w:rFonts w:cs="Times New Roman"/>
          <w:color w:val="000000" w:themeColor="text1"/>
        </w:rPr>
        <w:t xml:space="preserve"> the global </w:t>
      </w:r>
      <w:r w:rsidRPr="00696D91">
        <w:rPr>
          <w:rFonts w:cs="Times New Roman"/>
          <w:color w:val="000000" w:themeColor="text1"/>
        </w:rPr>
        <w:t>level</w:t>
      </w:r>
      <w:r w:rsidR="00BC363B" w:rsidRPr="00696D91">
        <w:rPr>
          <w:rFonts w:cs="Times New Roman"/>
          <w:color w:val="000000" w:themeColor="text1"/>
        </w:rPr>
        <w:t xml:space="preserve">, </w:t>
      </w:r>
      <w:r w:rsidR="00B2338A">
        <w:rPr>
          <w:rFonts w:cs="Times New Roman"/>
          <w:color w:val="000000" w:themeColor="text1"/>
        </w:rPr>
        <w:t>some</w:t>
      </w:r>
      <w:r w:rsidR="00BC363B" w:rsidRPr="00696D91">
        <w:rPr>
          <w:rFonts w:cs="Times New Roman"/>
          <w:color w:val="000000" w:themeColor="text1"/>
        </w:rPr>
        <w:t xml:space="preserve"> venues </w:t>
      </w:r>
      <w:r w:rsidR="00B2338A">
        <w:rPr>
          <w:rFonts w:cs="Times New Roman"/>
          <w:color w:val="000000" w:themeColor="text1"/>
        </w:rPr>
        <w:t xml:space="preserve">that could have an interest in forest governance and law enforcement </w:t>
      </w:r>
      <w:r w:rsidR="00BC363B" w:rsidRPr="00696D91">
        <w:rPr>
          <w:rFonts w:cs="Times New Roman"/>
          <w:color w:val="000000" w:themeColor="text1"/>
        </w:rPr>
        <w:t xml:space="preserve">belong to the United Nations </w:t>
      </w:r>
      <w:r w:rsidR="00AB088A" w:rsidRPr="00696D91">
        <w:rPr>
          <w:rFonts w:cs="Times New Roman"/>
          <w:color w:val="000000" w:themeColor="text1"/>
        </w:rPr>
        <w:t xml:space="preserve">realm </w:t>
      </w:r>
      <w:r w:rsidR="00BC363B" w:rsidRPr="00696D91">
        <w:rPr>
          <w:rFonts w:cs="Times New Roman"/>
          <w:color w:val="000000" w:themeColor="text1"/>
        </w:rPr>
        <w:t>(be them conventions: UNFCCC, UNCCD and CBD; or institutions: UNFF and FAO). The World Bank was also active</w:t>
      </w:r>
      <w:r w:rsidR="00AB088A" w:rsidRPr="00696D91">
        <w:rPr>
          <w:rFonts w:cs="Times New Roman"/>
          <w:color w:val="000000" w:themeColor="text1"/>
        </w:rPr>
        <w:t xml:space="preserve"> on forests</w:t>
      </w:r>
      <w:r w:rsidR="00BC363B" w:rsidRPr="00696D91">
        <w:rPr>
          <w:rFonts w:cs="Times New Roman"/>
          <w:color w:val="000000" w:themeColor="text1"/>
        </w:rPr>
        <w:t xml:space="preserve">, and several global conventions (such as the Convention on International Trade in Endangered Species of Wild Fauna and Flora and the </w:t>
      </w:r>
      <w:proofErr w:type="spellStart"/>
      <w:r w:rsidR="00BC363B" w:rsidRPr="00696D91">
        <w:rPr>
          <w:rFonts w:cs="Times New Roman"/>
          <w:color w:val="000000" w:themeColor="text1"/>
        </w:rPr>
        <w:t>Ramsar</w:t>
      </w:r>
      <w:proofErr w:type="spellEnd"/>
      <w:r w:rsidR="00BC363B" w:rsidRPr="00696D91">
        <w:rPr>
          <w:rFonts w:cs="Times New Roman"/>
          <w:color w:val="000000" w:themeColor="text1"/>
        </w:rPr>
        <w:t xml:space="preserve"> Convention on Wetlands) were agreed upon.</w:t>
      </w:r>
      <w:r w:rsidR="00AB088A" w:rsidRPr="00696D91">
        <w:rPr>
          <w:rFonts w:cs="Times New Roman"/>
          <w:color w:val="000000" w:themeColor="text1"/>
        </w:rPr>
        <w:t xml:space="preserve"> In global venues, EU bargaining power was quite limited, its efforts being diluted in the mass of participants. Smaller committees also focused on forests, which were more amenable for EU relative bargaining power. The ITTO had 63 participants at the time</w:t>
      </w:r>
      <w:r w:rsidR="0094776C" w:rsidRPr="00696D91">
        <w:rPr>
          <w:rFonts w:cs="Times New Roman"/>
          <w:color w:val="000000" w:themeColor="text1"/>
        </w:rPr>
        <w:t xml:space="preserve">. </w:t>
      </w:r>
      <w:r w:rsidR="00AB088A" w:rsidRPr="00696D91">
        <w:rPr>
          <w:rFonts w:cs="Times New Roman"/>
          <w:color w:val="000000" w:themeColor="text1"/>
        </w:rPr>
        <w:t xml:space="preserve">EU relative bargaining power turned out higher there. EU successive enlargements proportionally decreased the number of negotiation partners, as new EU member states shifted from negotiation partners to </w:t>
      </w:r>
      <w:r w:rsidR="00B2338A">
        <w:rPr>
          <w:rFonts w:cs="Times New Roman"/>
          <w:color w:val="000000" w:themeColor="text1"/>
        </w:rPr>
        <w:t xml:space="preserve">being part of </w:t>
      </w:r>
      <w:r w:rsidR="00AB088A" w:rsidRPr="00696D91">
        <w:rPr>
          <w:rFonts w:cs="Times New Roman"/>
          <w:color w:val="000000" w:themeColor="text1"/>
        </w:rPr>
        <w:t xml:space="preserve">EU </w:t>
      </w:r>
      <w:r w:rsidR="0022341D" w:rsidRPr="00696D91">
        <w:rPr>
          <w:rFonts w:cs="Times New Roman"/>
          <w:color w:val="000000" w:themeColor="text1"/>
        </w:rPr>
        <w:t>numerical w</w:t>
      </w:r>
      <w:r w:rsidRPr="00696D91">
        <w:rPr>
          <w:rFonts w:cs="Times New Roman"/>
          <w:color w:val="000000" w:themeColor="text1"/>
        </w:rPr>
        <w:t>eigh</w:t>
      </w:r>
      <w:r w:rsidR="0022341D" w:rsidRPr="00696D91">
        <w:rPr>
          <w:rFonts w:cs="Times New Roman"/>
          <w:color w:val="000000" w:themeColor="text1"/>
        </w:rPr>
        <w:t xml:space="preserve">. Interviews revealed that EU relative bargaining power </w:t>
      </w:r>
      <w:r w:rsidR="00B2338A">
        <w:rPr>
          <w:rFonts w:cs="Times New Roman"/>
          <w:color w:val="000000" w:themeColor="text1"/>
        </w:rPr>
        <w:t>ended up</w:t>
      </w:r>
      <w:r w:rsidR="0022341D" w:rsidRPr="00696D91">
        <w:rPr>
          <w:rFonts w:cs="Times New Roman"/>
          <w:color w:val="000000" w:themeColor="text1"/>
        </w:rPr>
        <w:t xml:space="preserve"> </w:t>
      </w:r>
      <w:r w:rsidR="00AB088A" w:rsidRPr="00696D91">
        <w:rPr>
          <w:rFonts w:cs="Times New Roman"/>
          <w:color w:val="000000" w:themeColor="text1"/>
        </w:rPr>
        <w:t>enhanced in ITTO</w:t>
      </w:r>
      <w:r w:rsidR="0094776C" w:rsidRPr="00696D91">
        <w:rPr>
          <w:rFonts w:cs="Times New Roman"/>
          <w:color w:val="000000" w:themeColor="text1"/>
        </w:rPr>
        <w:t xml:space="preserve"> and G8</w:t>
      </w:r>
      <w:r w:rsidR="00AB088A" w:rsidRPr="00696D91">
        <w:rPr>
          <w:rFonts w:cs="Times New Roman"/>
          <w:color w:val="000000" w:themeColor="text1"/>
        </w:rPr>
        <w:t>, but not in</w:t>
      </w:r>
      <w:r w:rsidR="00B2338A">
        <w:rPr>
          <w:rFonts w:cs="Times New Roman"/>
          <w:color w:val="000000" w:themeColor="text1"/>
        </w:rPr>
        <w:t xml:space="preserve"> global external action venues, where a few states did not weigh enough to change EU bargaining power. </w:t>
      </w:r>
      <w:r w:rsidRPr="00696D91">
        <w:rPr>
          <w:rFonts w:cs="Times New Roman"/>
          <w:color w:val="000000" w:themeColor="text1"/>
        </w:rPr>
        <w:t xml:space="preserve">The global nature of a venue eventually </w:t>
      </w:r>
      <w:r w:rsidR="00B2338A">
        <w:rPr>
          <w:rFonts w:cs="Times New Roman"/>
          <w:color w:val="000000" w:themeColor="text1"/>
        </w:rPr>
        <w:t>limits</w:t>
      </w:r>
      <w:r w:rsidRPr="00696D91">
        <w:rPr>
          <w:rFonts w:cs="Times New Roman"/>
          <w:color w:val="000000" w:themeColor="text1"/>
        </w:rPr>
        <w:t xml:space="preserve"> EU relative bargaining power. </w:t>
      </w:r>
    </w:p>
    <w:p w14:paraId="17DCF73E" w14:textId="6A78DA54" w:rsidR="00077419" w:rsidRPr="00696D91" w:rsidRDefault="00077419" w:rsidP="00D46084">
      <w:pPr>
        <w:spacing w:after="120" w:line="360" w:lineRule="auto"/>
        <w:jc w:val="both"/>
        <w:rPr>
          <w:rFonts w:cs="Times New Roman"/>
          <w:color w:val="000000" w:themeColor="text1"/>
        </w:rPr>
      </w:pPr>
      <w:r w:rsidRPr="00696D91">
        <w:rPr>
          <w:rFonts w:cs="Times New Roman"/>
          <w:color w:val="000000" w:themeColor="text1"/>
        </w:rPr>
        <w:t>Taking</w:t>
      </w:r>
      <w:r w:rsidR="0022341D" w:rsidRPr="00696D91">
        <w:rPr>
          <w:rFonts w:cs="Times New Roman"/>
          <w:color w:val="000000" w:themeColor="text1"/>
        </w:rPr>
        <w:t xml:space="preserve"> the identity of the negotiation partners </w:t>
      </w:r>
      <w:r w:rsidRPr="00696D91">
        <w:rPr>
          <w:rFonts w:cs="Times New Roman"/>
          <w:color w:val="000000" w:themeColor="text1"/>
        </w:rPr>
        <w:t xml:space="preserve">into account </w:t>
      </w:r>
      <w:r w:rsidR="0022341D" w:rsidRPr="00696D91">
        <w:rPr>
          <w:rFonts w:cs="Times New Roman"/>
          <w:color w:val="000000" w:themeColor="text1"/>
        </w:rPr>
        <w:t>does not make EU relative bargaining power more important. Forest governance and law enforcement issues are to be addressed mostly in tropical countries</w:t>
      </w:r>
      <w:r w:rsidR="0094776C" w:rsidRPr="00696D91">
        <w:rPr>
          <w:rFonts w:cs="Times New Roman"/>
          <w:color w:val="000000" w:themeColor="text1"/>
        </w:rPr>
        <w:t xml:space="preserve">, which </w:t>
      </w:r>
      <w:r w:rsidR="0022341D" w:rsidRPr="00696D91">
        <w:rPr>
          <w:rFonts w:cs="Times New Roman"/>
          <w:color w:val="000000" w:themeColor="text1"/>
        </w:rPr>
        <w:t xml:space="preserve">is a significant drawback to EU relative bargaining power. The argument of breach of sovereignty and subsequent non-tropical forest </w:t>
      </w:r>
      <w:r w:rsidR="00B2338A">
        <w:rPr>
          <w:rFonts w:cs="Times New Roman"/>
          <w:color w:val="000000" w:themeColor="text1"/>
        </w:rPr>
        <w:t>countries</w:t>
      </w:r>
      <w:r w:rsidR="0022341D" w:rsidRPr="00696D91">
        <w:rPr>
          <w:rFonts w:cs="Times New Roman"/>
          <w:color w:val="000000" w:themeColor="text1"/>
        </w:rPr>
        <w:t xml:space="preserve"> lack of credibility in discussing </w:t>
      </w:r>
      <w:r w:rsidR="0094776C" w:rsidRPr="00696D91">
        <w:rPr>
          <w:rFonts w:cs="Times New Roman"/>
          <w:color w:val="000000" w:themeColor="text1"/>
        </w:rPr>
        <w:t>FLEG</w:t>
      </w:r>
      <w:r w:rsidR="0022341D" w:rsidRPr="00696D91">
        <w:rPr>
          <w:rFonts w:cs="Times New Roman"/>
          <w:color w:val="000000" w:themeColor="text1"/>
        </w:rPr>
        <w:t xml:space="preserve"> issues was stated</w:t>
      </w:r>
      <w:r w:rsidR="00AE2DC1" w:rsidRPr="00696D91">
        <w:rPr>
          <w:rFonts w:cs="Times New Roman"/>
          <w:color w:val="000000" w:themeColor="text1"/>
        </w:rPr>
        <w:t xml:space="preserve"> recurrently</w:t>
      </w:r>
      <w:r w:rsidR="00B2338A">
        <w:rPr>
          <w:rFonts w:cs="Times New Roman"/>
          <w:color w:val="000000" w:themeColor="text1"/>
        </w:rPr>
        <w:t xml:space="preserve"> (</w:t>
      </w:r>
      <w:r w:rsidR="00F12ED8">
        <w:rPr>
          <w:rFonts w:cs="Times New Roman"/>
          <w:color w:val="000000" w:themeColor="text1"/>
        </w:rPr>
        <w:t xml:space="preserve">6, </w:t>
      </w:r>
      <w:r w:rsidR="009C5802">
        <w:rPr>
          <w:rFonts w:cs="Times New Roman"/>
          <w:color w:val="000000" w:themeColor="text1"/>
        </w:rPr>
        <w:t>8</w:t>
      </w:r>
      <w:r w:rsidR="00B2338A">
        <w:rPr>
          <w:rFonts w:cs="Times New Roman"/>
          <w:color w:val="000000" w:themeColor="text1"/>
        </w:rPr>
        <w:t xml:space="preserve">, </w:t>
      </w:r>
      <w:r w:rsidR="009C5802">
        <w:rPr>
          <w:rFonts w:cs="Times New Roman"/>
          <w:color w:val="000000" w:themeColor="text1"/>
        </w:rPr>
        <w:t>12</w:t>
      </w:r>
      <w:r w:rsidR="00B2338A">
        <w:rPr>
          <w:rFonts w:cs="Times New Roman"/>
          <w:color w:val="000000" w:themeColor="text1"/>
        </w:rPr>
        <w:t>)</w:t>
      </w:r>
      <w:r w:rsidR="00AE2DC1" w:rsidRPr="00696D91">
        <w:rPr>
          <w:rFonts w:cs="Times New Roman"/>
          <w:color w:val="000000" w:themeColor="text1"/>
        </w:rPr>
        <w:t xml:space="preserve">. </w:t>
      </w:r>
      <w:r w:rsidR="0022341D" w:rsidRPr="00696D91">
        <w:rPr>
          <w:rFonts w:cs="Times New Roman"/>
          <w:color w:val="000000" w:themeColor="text1"/>
        </w:rPr>
        <w:t>As an interviewee explained, tropical forest countries claimed that forests are ‘[their] forests, [their] business’ (</w:t>
      </w:r>
      <w:r w:rsidR="009C5802">
        <w:rPr>
          <w:rFonts w:cs="Times New Roman"/>
          <w:color w:val="000000" w:themeColor="text1"/>
        </w:rPr>
        <w:t>8</w:t>
      </w:r>
      <w:r w:rsidR="0022341D" w:rsidRPr="00696D91">
        <w:rPr>
          <w:rFonts w:cs="Times New Roman"/>
          <w:color w:val="000000" w:themeColor="text1"/>
        </w:rPr>
        <w:t>).</w:t>
      </w:r>
      <w:r w:rsidR="00AE2DC1" w:rsidRPr="00696D91">
        <w:rPr>
          <w:rFonts w:cs="Times New Roman"/>
          <w:color w:val="000000" w:themeColor="text1"/>
        </w:rPr>
        <w:t xml:space="preserve"> While combining negotiation partners number and identity, multilateral venues allow tropical forest countries to coalesce, making their voice even stronger, consecutively </w:t>
      </w:r>
      <w:r w:rsidR="00AE2DC1" w:rsidRPr="00696D91">
        <w:rPr>
          <w:rFonts w:cs="Times New Roman"/>
          <w:color w:val="000000" w:themeColor="text1"/>
        </w:rPr>
        <w:lastRenderedPageBreak/>
        <w:t xml:space="preserve">lowering </w:t>
      </w:r>
      <w:r w:rsidR="0094776C" w:rsidRPr="00696D91">
        <w:rPr>
          <w:rFonts w:cs="Times New Roman"/>
          <w:color w:val="000000" w:themeColor="text1"/>
        </w:rPr>
        <w:t>EU relative bargaining power</w:t>
      </w:r>
      <w:r w:rsidR="00B25F50" w:rsidRPr="00696D91">
        <w:rPr>
          <w:rFonts w:cs="Times New Roman"/>
          <w:color w:val="000000" w:themeColor="text1"/>
        </w:rPr>
        <w:t xml:space="preserve"> in the international forest regime</w:t>
      </w:r>
      <w:r w:rsidRPr="00696D91">
        <w:rPr>
          <w:rFonts w:cs="Times New Roman"/>
          <w:color w:val="000000" w:themeColor="text1"/>
        </w:rPr>
        <w:t xml:space="preserve">, and enabling the EU to reach its goals, eventually leading to the creation of the creation of a bilateral venue. </w:t>
      </w:r>
    </w:p>
    <w:p w14:paraId="4474F643" w14:textId="39CAF3F1" w:rsidR="006A7A37" w:rsidRPr="000A52EC" w:rsidRDefault="00BF4425" w:rsidP="00D46084">
      <w:pPr>
        <w:spacing w:after="120" w:line="360" w:lineRule="auto"/>
        <w:jc w:val="both"/>
        <w:rPr>
          <w:rFonts w:cs="Times New Roman"/>
        </w:rPr>
      </w:pPr>
      <w:r w:rsidRPr="000A52EC">
        <w:rPr>
          <w:rFonts w:cs="Times New Roman"/>
        </w:rPr>
        <w:t>The first major international breakthrough c</w:t>
      </w:r>
      <w:r w:rsidR="002E630D" w:rsidRPr="000A52EC">
        <w:rPr>
          <w:rFonts w:cs="Times New Roman"/>
        </w:rPr>
        <w:t>ame</w:t>
      </w:r>
      <w:r w:rsidRPr="000A52EC">
        <w:rPr>
          <w:rFonts w:cs="Times New Roman"/>
        </w:rPr>
        <w:t xml:space="preserve"> from G8 summits (Birmingham, 1998)</w:t>
      </w:r>
      <w:r w:rsidR="00AF0BC4" w:rsidRPr="000A52EC">
        <w:rPr>
          <w:rFonts w:cs="Times New Roman"/>
        </w:rPr>
        <w:t xml:space="preserve"> and following Action Programme on Forest (Rayner et al. 2010: 29)</w:t>
      </w:r>
      <w:r w:rsidRPr="000A52EC">
        <w:rPr>
          <w:rFonts w:cs="Times New Roman"/>
        </w:rPr>
        <w:t xml:space="preserve">. The G8 </w:t>
      </w:r>
      <w:r w:rsidR="00D24877" w:rsidRPr="000A52EC">
        <w:rPr>
          <w:rFonts w:cs="Times New Roman"/>
        </w:rPr>
        <w:t xml:space="preserve">pin pointed the necessity to identify illegal logging, track timber and prevent illegal timber to be traded. The initiative concerns both </w:t>
      </w:r>
      <w:proofErr w:type="gramStart"/>
      <w:r w:rsidR="00AA564F" w:rsidRPr="000A52EC">
        <w:rPr>
          <w:rFonts w:cs="Times New Roman"/>
        </w:rPr>
        <w:t>timber</w:t>
      </w:r>
      <w:proofErr w:type="gramEnd"/>
      <w:r w:rsidR="00AA564F" w:rsidRPr="000A52EC">
        <w:rPr>
          <w:rFonts w:cs="Times New Roman"/>
        </w:rPr>
        <w:t xml:space="preserve"> </w:t>
      </w:r>
      <w:r w:rsidR="00D24877" w:rsidRPr="000A52EC">
        <w:rPr>
          <w:rFonts w:cs="Times New Roman"/>
        </w:rPr>
        <w:t>producing and consuming countries. It was also suggested to provide capacity building to producing countries</w:t>
      </w:r>
      <w:r w:rsidR="009722A2" w:rsidRPr="000A52EC">
        <w:rPr>
          <w:rFonts w:cs="Times New Roman"/>
        </w:rPr>
        <w:t xml:space="preserve"> in order to improve their forest governance</w:t>
      </w:r>
      <w:r w:rsidR="00D24877" w:rsidRPr="000A52EC">
        <w:rPr>
          <w:rFonts w:cs="Times New Roman"/>
        </w:rPr>
        <w:t>.</w:t>
      </w:r>
      <w:r w:rsidR="00661D25" w:rsidRPr="000A52EC">
        <w:rPr>
          <w:rFonts w:cs="Times New Roman"/>
        </w:rPr>
        <w:t xml:space="preserve"> </w:t>
      </w:r>
      <w:r w:rsidR="002E630D" w:rsidRPr="000A52EC">
        <w:rPr>
          <w:rFonts w:cs="Times New Roman"/>
        </w:rPr>
        <w:t>Following</w:t>
      </w:r>
      <w:r w:rsidR="00C8629B" w:rsidRPr="000A52EC">
        <w:rPr>
          <w:rFonts w:cs="Times New Roman"/>
        </w:rPr>
        <w:t>,</w:t>
      </w:r>
      <w:r w:rsidR="002E630D" w:rsidRPr="000A52EC">
        <w:rPr>
          <w:rFonts w:cs="Times New Roman"/>
        </w:rPr>
        <w:t xml:space="preserve"> </w:t>
      </w:r>
      <w:r w:rsidR="00D24877" w:rsidRPr="000A52EC">
        <w:rPr>
          <w:rFonts w:cs="Times New Roman"/>
        </w:rPr>
        <w:t xml:space="preserve">the </w:t>
      </w:r>
      <w:r w:rsidR="00C8629B" w:rsidRPr="000A52EC">
        <w:rPr>
          <w:rFonts w:cs="Times New Roman"/>
        </w:rPr>
        <w:t>ITTC</w:t>
      </w:r>
      <w:r w:rsidR="00D24877" w:rsidRPr="000A52EC">
        <w:rPr>
          <w:rFonts w:cs="Times New Roman"/>
        </w:rPr>
        <w:t xml:space="preserve"> (ITTC</w:t>
      </w:r>
      <w:r w:rsidR="006A7A37" w:rsidRPr="000A52EC">
        <w:rPr>
          <w:rFonts w:cs="Times New Roman"/>
        </w:rPr>
        <w:t xml:space="preserve"> </w:t>
      </w:r>
      <w:r w:rsidR="00D24877" w:rsidRPr="000A52EC">
        <w:rPr>
          <w:rFonts w:cs="Times New Roman"/>
        </w:rPr>
        <w:t xml:space="preserve">31) adopted </w:t>
      </w:r>
      <w:r w:rsidR="002E630D" w:rsidRPr="000A52EC">
        <w:rPr>
          <w:rFonts w:cs="Times New Roman"/>
        </w:rPr>
        <w:t xml:space="preserve">in 2001 </w:t>
      </w:r>
      <w:r w:rsidR="00D24877" w:rsidRPr="000A52EC">
        <w:rPr>
          <w:rFonts w:cs="Times New Roman"/>
        </w:rPr>
        <w:t>a decision on forest law enforcement to ensure forest production and trade sustainability. In 2002</w:t>
      </w:r>
      <w:r w:rsidR="006A7A37" w:rsidRPr="000A52EC">
        <w:rPr>
          <w:rFonts w:cs="Times New Roman"/>
        </w:rPr>
        <w:t xml:space="preserve"> (ITTC 32)</w:t>
      </w:r>
      <w:r w:rsidR="00D24877" w:rsidRPr="000A52EC">
        <w:rPr>
          <w:rFonts w:cs="Times New Roman"/>
        </w:rPr>
        <w:t xml:space="preserve">, it adopted a decision on forest law enforcement in Africa, </w:t>
      </w:r>
      <w:r w:rsidR="00F15FFD" w:rsidRPr="000A52EC">
        <w:rPr>
          <w:rFonts w:cs="Times New Roman"/>
        </w:rPr>
        <w:t>for</w:t>
      </w:r>
      <w:r w:rsidR="00D24877" w:rsidRPr="000A52EC">
        <w:rPr>
          <w:rFonts w:cs="Times New Roman"/>
        </w:rPr>
        <w:t xml:space="preserve"> ameliorating forest management, and especially the management of protected areas. </w:t>
      </w:r>
      <w:r w:rsidR="006A7A37" w:rsidRPr="000A52EC">
        <w:rPr>
          <w:rFonts w:cs="Times New Roman"/>
        </w:rPr>
        <w:t xml:space="preserve">At a regional level, the World Bank coordinated regional programmes on forest law enforcement </w:t>
      </w:r>
      <w:r w:rsidR="009722A2" w:rsidRPr="000A52EC">
        <w:rPr>
          <w:rFonts w:cs="Times New Roman"/>
        </w:rPr>
        <w:t xml:space="preserve">and governance </w:t>
      </w:r>
      <w:r w:rsidR="006A7A37" w:rsidRPr="000A52EC">
        <w:rPr>
          <w:rFonts w:cs="Times New Roman"/>
        </w:rPr>
        <w:t>in Asia and Africa</w:t>
      </w:r>
      <w:r w:rsidR="009722A2" w:rsidRPr="000A52EC">
        <w:rPr>
          <w:rFonts w:cs="Times New Roman"/>
        </w:rPr>
        <w:t xml:space="preserve"> (Rayner et al. 2010: 116)</w:t>
      </w:r>
      <w:r w:rsidR="006A7A37" w:rsidRPr="000A52EC">
        <w:rPr>
          <w:rFonts w:cs="Times New Roman"/>
        </w:rPr>
        <w:t xml:space="preserve">. The 2001 Bali meeting issued a Ministerial Declaration </w:t>
      </w:r>
      <w:r w:rsidR="009722A2" w:rsidRPr="000A52EC">
        <w:rPr>
          <w:rFonts w:cs="Times New Roman"/>
        </w:rPr>
        <w:t xml:space="preserve">(Rayner et al. 2010: 116) </w:t>
      </w:r>
      <w:r w:rsidR="006A7A37" w:rsidRPr="000A52EC">
        <w:rPr>
          <w:rFonts w:cs="Times New Roman"/>
        </w:rPr>
        <w:t xml:space="preserve">that is considered a major </w:t>
      </w:r>
      <w:r w:rsidR="00764E02" w:rsidRPr="000A52EC">
        <w:rPr>
          <w:rFonts w:cs="Times New Roman"/>
        </w:rPr>
        <w:t>step forward</w:t>
      </w:r>
      <w:r w:rsidR="006A7A37" w:rsidRPr="000A52EC">
        <w:rPr>
          <w:rFonts w:cs="Times New Roman"/>
        </w:rPr>
        <w:t xml:space="preserve"> for EU FLEGT </w:t>
      </w:r>
      <w:r w:rsidR="00C8629B" w:rsidRPr="000A52EC">
        <w:rPr>
          <w:rFonts w:cs="Times New Roman"/>
        </w:rPr>
        <w:t>initiative</w:t>
      </w:r>
      <w:r w:rsidR="00981C3D" w:rsidRPr="000A52EC">
        <w:rPr>
          <w:rFonts w:cs="Times New Roman"/>
        </w:rPr>
        <w:t xml:space="preserve"> (</w:t>
      </w:r>
      <w:r w:rsidR="009C5802">
        <w:rPr>
          <w:rFonts w:cs="Times New Roman"/>
        </w:rPr>
        <w:t>1</w:t>
      </w:r>
      <w:r w:rsidR="00981C3D" w:rsidRPr="000A52EC">
        <w:rPr>
          <w:rFonts w:cs="Times New Roman"/>
        </w:rPr>
        <w:t xml:space="preserve">, </w:t>
      </w:r>
      <w:r w:rsidR="009C5802">
        <w:rPr>
          <w:rFonts w:cs="Times New Roman"/>
        </w:rPr>
        <w:t>3</w:t>
      </w:r>
      <w:r w:rsidR="00981C3D" w:rsidRPr="000A52EC">
        <w:rPr>
          <w:rFonts w:cs="Times New Roman"/>
        </w:rPr>
        <w:t>,</w:t>
      </w:r>
      <w:r w:rsidR="00604BAB" w:rsidRPr="000A52EC">
        <w:rPr>
          <w:rFonts w:cs="Times New Roman"/>
        </w:rPr>
        <w:t xml:space="preserve"> </w:t>
      </w:r>
      <w:r w:rsidR="009C5802">
        <w:rPr>
          <w:rFonts w:cs="Times New Roman"/>
        </w:rPr>
        <w:t>4</w:t>
      </w:r>
      <w:r w:rsidR="00604BAB" w:rsidRPr="000A52EC">
        <w:rPr>
          <w:rFonts w:cs="Times New Roman"/>
        </w:rPr>
        <w:t xml:space="preserve">, </w:t>
      </w:r>
      <w:r w:rsidR="009C5802">
        <w:rPr>
          <w:rFonts w:cs="Times New Roman"/>
        </w:rPr>
        <w:t>5</w:t>
      </w:r>
      <w:r w:rsidR="001B7C8E" w:rsidRPr="000A52EC">
        <w:rPr>
          <w:rFonts w:cs="Times New Roman"/>
        </w:rPr>
        <w:t xml:space="preserve">, </w:t>
      </w:r>
      <w:r w:rsidR="00F12ED8">
        <w:rPr>
          <w:rFonts w:cs="Times New Roman"/>
        </w:rPr>
        <w:t xml:space="preserve">8, </w:t>
      </w:r>
      <w:r w:rsidR="009C5802">
        <w:rPr>
          <w:rFonts w:cs="Times New Roman"/>
        </w:rPr>
        <w:t>14</w:t>
      </w:r>
      <w:r w:rsidR="00981C3D" w:rsidRPr="000A52EC">
        <w:rPr>
          <w:rFonts w:cs="Times New Roman"/>
        </w:rPr>
        <w:t>)</w:t>
      </w:r>
      <w:r w:rsidR="006A7A37" w:rsidRPr="000A52EC">
        <w:rPr>
          <w:rFonts w:cs="Times New Roman"/>
        </w:rPr>
        <w:t xml:space="preserve">. The Bali Declaration, resulting in an Asia FLEG </w:t>
      </w:r>
      <w:r w:rsidR="002E630D" w:rsidRPr="000A52EC">
        <w:rPr>
          <w:rFonts w:cs="Times New Roman"/>
        </w:rPr>
        <w:t xml:space="preserve">(without a T) </w:t>
      </w:r>
      <w:r w:rsidR="006A7A37" w:rsidRPr="000A52EC">
        <w:rPr>
          <w:rFonts w:cs="Times New Roman"/>
        </w:rPr>
        <w:t xml:space="preserve">Task Force, stated that both producers and consumers had responsibilities in </w:t>
      </w:r>
      <w:r w:rsidR="00981C3D" w:rsidRPr="000A52EC">
        <w:rPr>
          <w:rFonts w:cs="Times New Roman"/>
        </w:rPr>
        <w:t xml:space="preserve">forest crime and that illegal logging and illegal trade can be tackled only by acting on both sides. </w:t>
      </w:r>
      <w:r w:rsidR="00F15FFD" w:rsidRPr="000A52EC">
        <w:rPr>
          <w:rFonts w:cs="Times New Roman"/>
        </w:rPr>
        <w:t xml:space="preserve">All these initiatives testify that the EU was not the only actor striving for FLEGT objectives. I even suspect that </w:t>
      </w:r>
      <w:r w:rsidR="002E630D" w:rsidRPr="000A52EC">
        <w:rPr>
          <w:rFonts w:cs="Times New Roman"/>
        </w:rPr>
        <w:t xml:space="preserve">such external </w:t>
      </w:r>
      <w:r w:rsidR="00765EBB" w:rsidRPr="000A52EC">
        <w:rPr>
          <w:rFonts w:cs="Times New Roman"/>
        </w:rPr>
        <w:t>kindling</w:t>
      </w:r>
      <w:r w:rsidR="00F15FFD" w:rsidRPr="000A52EC">
        <w:rPr>
          <w:rFonts w:cs="Times New Roman"/>
        </w:rPr>
        <w:t xml:space="preserve"> hastened EU process. </w:t>
      </w:r>
    </w:p>
    <w:p w14:paraId="6A155940" w14:textId="63C458C6" w:rsidR="003B0FF6" w:rsidRPr="000A52EC" w:rsidRDefault="003B0FF6" w:rsidP="003B0FF6">
      <w:pPr>
        <w:spacing w:after="120" w:line="360" w:lineRule="auto"/>
        <w:jc w:val="both"/>
        <w:rPr>
          <w:rFonts w:cs="Times New Roman"/>
        </w:rPr>
      </w:pPr>
      <w:r w:rsidRPr="000A52EC">
        <w:rPr>
          <w:rFonts w:cs="Times New Roman"/>
        </w:rPr>
        <w:t>The Commission set out its intention to tackle illegal logging and related trade in its Communication towards partnership on sustainable development (</w:t>
      </w:r>
      <w:proofErr w:type="gramStart"/>
      <w:r w:rsidRPr="000A52EC">
        <w:rPr>
          <w:rFonts w:cs="Times New Roman"/>
        </w:rPr>
        <w:t>COM(</w:t>
      </w:r>
      <w:proofErr w:type="gramEnd"/>
      <w:r w:rsidRPr="000A52EC">
        <w:rPr>
          <w:rFonts w:cs="Times New Roman"/>
        </w:rPr>
        <w:t>2002)82). During the World Summit</w:t>
      </w:r>
      <w:r w:rsidR="00765EBB" w:rsidRPr="000A52EC">
        <w:rPr>
          <w:rFonts w:cs="Times New Roman"/>
        </w:rPr>
        <w:t xml:space="preserve"> for Sustainable Development (Johannesburg, 2002)</w:t>
      </w:r>
      <w:r w:rsidRPr="000A52EC">
        <w:rPr>
          <w:rFonts w:cs="Times New Roman"/>
        </w:rPr>
        <w:t xml:space="preserve"> the Commission made it</w:t>
      </w:r>
      <w:r w:rsidR="00B76846">
        <w:rPr>
          <w:rFonts w:cs="Times New Roman"/>
        </w:rPr>
        <w:t>s endeavour</w:t>
      </w:r>
      <w:r w:rsidRPr="000A52EC">
        <w:rPr>
          <w:rFonts w:cs="Times New Roman"/>
        </w:rPr>
        <w:t xml:space="preserve"> explicit by presenting it</w:t>
      </w:r>
      <w:r w:rsidR="00C8629B" w:rsidRPr="000A52EC">
        <w:rPr>
          <w:rFonts w:cs="Times New Roman"/>
        </w:rPr>
        <w:t xml:space="preserve"> to the </w:t>
      </w:r>
      <w:r w:rsidR="00765EBB" w:rsidRPr="000A52EC">
        <w:rPr>
          <w:rFonts w:cs="Times New Roman"/>
        </w:rPr>
        <w:t>international community</w:t>
      </w:r>
      <w:r w:rsidRPr="000A52EC">
        <w:rPr>
          <w:rFonts w:cs="Times New Roman"/>
        </w:rPr>
        <w:t xml:space="preserve">. Meanwhile, Denmark presidency </w:t>
      </w:r>
      <w:r w:rsidR="0024335F" w:rsidRPr="000A52EC">
        <w:rPr>
          <w:rFonts w:cs="Times New Roman"/>
        </w:rPr>
        <w:t>and the Commission hosted</w:t>
      </w:r>
      <w:r w:rsidRPr="000A52EC">
        <w:rPr>
          <w:rFonts w:cs="Times New Roman"/>
        </w:rPr>
        <w:t xml:space="preserve"> a side event on tackling illegal logging</w:t>
      </w:r>
      <w:r w:rsidR="0024335F" w:rsidRPr="000A52EC">
        <w:rPr>
          <w:rFonts w:cs="Times New Roman"/>
        </w:rPr>
        <w:t xml:space="preserve"> (</w:t>
      </w:r>
      <w:r w:rsidR="00337964" w:rsidRPr="000A52EC">
        <w:rPr>
          <w:rFonts w:cs="Times New Roman"/>
        </w:rPr>
        <w:t xml:space="preserve">Commission Staff Working Document 11656/04 Annex 3, </w:t>
      </w:r>
      <w:proofErr w:type="gramStart"/>
      <w:r w:rsidR="00B76846">
        <w:rPr>
          <w:rFonts w:cs="Times New Roman"/>
        </w:rPr>
        <w:t>COM(</w:t>
      </w:r>
      <w:proofErr w:type="gramEnd"/>
      <w:r w:rsidR="00B76846">
        <w:rPr>
          <w:rFonts w:cs="Times New Roman"/>
        </w:rPr>
        <w:t>2003)251: 11</w:t>
      </w:r>
      <w:r w:rsidR="0024335F" w:rsidRPr="000A52EC">
        <w:rPr>
          <w:rFonts w:cs="Times New Roman"/>
        </w:rPr>
        <w:t>), attesting EU commitment to forest governance related to trade</w:t>
      </w:r>
      <w:r w:rsidRPr="000A52EC">
        <w:rPr>
          <w:rFonts w:cs="Times New Roman"/>
        </w:rPr>
        <w:t>. Timber producers and consumers were both represented. It seems that all participants agreed on the need for the producers and consumers to work hand in hand to tackle illegal logging and related trade (</w:t>
      </w:r>
      <w:proofErr w:type="gramStart"/>
      <w:r w:rsidRPr="000A52EC">
        <w:rPr>
          <w:rFonts w:cs="Times New Roman"/>
        </w:rPr>
        <w:t>COM(</w:t>
      </w:r>
      <w:proofErr w:type="gramEnd"/>
      <w:r w:rsidRPr="000A52EC">
        <w:rPr>
          <w:rFonts w:cs="Times New Roman"/>
        </w:rPr>
        <w:t xml:space="preserve">2003)251: 24). </w:t>
      </w:r>
      <w:r w:rsidR="0024335F" w:rsidRPr="000A52EC">
        <w:rPr>
          <w:rFonts w:cs="Times New Roman"/>
        </w:rPr>
        <w:t>The EU eventually adopted the FLEGT AP</w:t>
      </w:r>
      <w:r w:rsidRPr="000A52EC">
        <w:rPr>
          <w:rFonts w:cs="Times New Roman"/>
        </w:rPr>
        <w:t xml:space="preserve"> in 2003.</w:t>
      </w:r>
    </w:p>
    <w:p w14:paraId="1D6D803C" w14:textId="0840A9C4" w:rsidR="00B85BB4" w:rsidRPr="000A52EC" w:rsidRDefault="00B85BB4" w:rsidP="00B85BB4">
      <w:pPr>
        <w:spacing w:after="120" w:line="360" w:lineRule="auto"/>
        <w:jc w:val="both"/>
        <w:rPr>
          <w:rFonts w:cs="Times New Roman"/>
        </w:rPr>
      </w:pPr>
      <w:r w:rsidRPr="000A52EC">
        <w:rPr>
          <w:rFonts w:cs="Times New Roman"/>
        </w:rPr>
        <w:t>The involvement of Asia</w:t>
      </w:r>
      <w:r w:rsidR="00077419">
        <w:rPr>
          <w:rFonts w:cs="Times New Roman"/>
        </w:rPr>
        <w:t>n</w:t>
      </w:r>
      <w:r w:rsidRPr="000A52EC">
        <w:rPr>
          <w:rFonts w:cs="Times New Roman"/>
        </w:rPr>
        <w:t xml:space="preserve"> and Africa</w:t>
      </w:r>
      <w:r w:rsidR="00077419">
        <w:rPr>
          <w:rFonts w:cs="Times New Roman"/>
        </w:rPr>
        <w:t>n</w:t>
      </w:r>
      <w:r w:rsidR="00765EBB" w:rsidRPr="000A52EC">
        <w:rPr>
          <w:rFonts w:cs="Times New Roman"/>
        </w:rPr>
        <w:t xml:space="preserve"> countries</w:t>
      </w:r>
      <w:r w:rsidR="00077419">
        <w:rPr>
          <w:rFonts w:cs="Times New Roman"/>
        </w:rPr>
        <w:t xml:space="preserve"> to the side event</w:t>
      </w:r>
      <w:r w:rsidRPr="000A52EC">
        <w:rPr>
          <w:rFonts w:cs="Times New Roman"/>
        </w:rPr>
        <w:t>, but also of other international actor</w:t>
      </w:r>
      <w:r w:rsidR="00765EBB" w:rsidRPr="000A52EC">
        <w:rPr>
          <w:rFonts w:cs="Times New Roman"/>
        </w:rPr>
        <w:t>s such as NGOs</w:t>
      </w:r>
      <w:r w:rsidR="00337964" w:rsidRPr="000A52EC">
        <w:rPr>
          <w:rFonts w:cs="Times New Roman"/>
        </w:rPr>
        <w:t xml:space="preserve"> (Commission Staff Working Document 11656/04 Annex 3)</w:t>
      </w:r>
      <w:r w:rsidRPr="000A52EC">
        <w:rPr>
          <w:rFonts w:cs="Times New Roman"/>
        </w:rPr>
        <w:t xml:space="preserve">, </w:t>
      </w:r>
      <w:r w:rsidR="00765EBB" w:rsidRPr="000A52EC">
        <w:rPr>
          <w:rFonts w:cs="Times New Roman"/>
        </w:rPr>
        <w:t>shows</w:t>
      </w:r>
      <w:r w:rsidRPr="000A52EC">
        <w:rPr>
          <w:rFonts w:cs="Times New Roman"/>
        </w:rPr>
        <w:t xml:space="preserve"> that the EU had allies in the international forest regime. </w:t>
      </w:r>
      <w:r w:rsidR="00C8629B" w:rsidRPr="000A52EC">
        <w:rPr>
          <w:rFonts w:cs="Times New Roman"/>
        </w:rPr>
        <w:t xml:space="preserve">At the time of creation of the </w:t>
      </w:r>
      <w:r w:rsidR="00C8629B" w:rsidRPr="000A52EC">
        <w:rPr>
          <w:rFonts w:cs="Times New Roman"/>
        </w:rPr>
        <w:lastRenderedPageBreak/>
        <w:t xml:space="preserve">FLEGT </w:t>
      </w:r>
      <w:r w:rsidR="00077419">
        <w:rPr>
          <w:rFonts w:cs="Times New Roman"/>
        </w:rPr>
        <w:t>AP</w:t>
      </w:r>
      <w:r w:rsidR="00C8629B" w:rsidRPr="000A52EC">
        <w:rPr>
          <w:rFonts w:cs="Times New Roman"/>
        </w:rPr>
        <w:t>, t</w:t>
      </w:r>
      <w:r w:rsidRPr="000A52EC">
        <w:rPr>
          <w:rFonts w:cs="Times New Roman"/>
        </w:rPr>
        <w:t xml:space="preserve">he EU built alliances with countries in a rather consistent manner through external action forest venues, revealing that the EU was not isolated on the international forest regime complex. Interviews </w:t>
      </w:r>
      <w:r w:rsidR="00C6061C" w:rsidRPr="000A52EC">
        <w:rPr>
          <w:rFonts w:cs="Times New Roman"/>
        </w:rPr>
        <w:t>indicate</w:t>
      </w:r>
      <w:r w:rsidRPr="000A52EC">
        <w:rPr>
          <w:rFonts w:cs="Times New Roman"/>
        </w:rPr>
        <w:t xml:space="preserve"> that the </w:t>
      </w:r>
      <w:r w:rsidR="00765EBB" w:rsidRPr="000A52EC">
        <w:rPr>
          <w:rFonts w:cs="Times New Roman"/>
        </w:rPr>
        <w:t>EU belonged</w:t>
      </w:r>
      <w:r w:rsidRPr="000A52EC">
        <w:rPr>
          <w:rFonts w:cs="Times New Roman"/>
        </w:rPr>
        <w:t xml:space="preserve"> to alliances of like-minded countries in most venues of the international forest regime complex (</w:t>
      </w:r>
      <w:r w:rsidR="009C5802">
        <w:rPr>
          <w:rFonts w:cs="Times New Roman"/>
        </w:rPr>
        <w:t>8</w:t>
      </w:r>
      <w:r w:rsidRPr="000A52EC">
        <w:rPr>
          <w:rFonts w:cs="Times New Roman"/>
        </w:rPr>
        <w:t xml:space="preserve">, </w:t>
      </w:r>
      <w:r w:rsidR="00F12ED8">
        <w:rPr>
          <w:rFonts w:cs="Times New Roman"/>
        </w:rPr>
        <w:t>9</w:t>
      </w:r>
      <w:r w:rsidRPr="000A52EC">
        <w:rPr>
          <w:rFonts w:cs="Times New Roman"/>
        </w:rPr>
        <w:t xml:space="preserve">, </w:t>
      </w:r>
      <w:r w:rsidR="009C5802">
        <w:rPr>
          <w:rFonts w:cs="Times New Roman"/>
        </w:rPr>
        <w:t>11</w:t>
      </w:r>
      <w:r w:rsidRPr="000A52EC">
        <w:rPr>
          <w:rFonts w:cs="Times New Roman"/>
        </w:rPr>
        <w:t xml:space="preserve">, </w:t>
      </w:r>
      <w:r w:rsidR="009C5802">
        <w:rPr>
          <w:rFonts w:cs="Times New Roman"/>
        </w:rPr>
        <w:t>12</w:t>
      </w:r>
      <w:r w:rsidRPr="000A52EC">
        <w:rPr>
          <w:rFonts w:cs="Times New Roman"/>
        </w:rPr>
        <w:t xml:space="preserve">, </w:t>
      </w:r>
      <w:r w:rsidR="00F12ED8">
        <w:rPr>
          <w:rFonts w:cs="Times New Roman"/>
        </w:rPr>
        <w:t xml:space="preserve">14, </w:t>
      </w:r>
      <w:r w:rsidR="009C5802">
        <w:rPr>
          <w:rFonts w:cs="Times New Roman"/>
        </w:rPr>
        <w:t>15</w:t>
      </w:r>
      <w:r w:rsidRPr="000A52EC">
        <w:rPr>
          <w:rFonts w:cs="Times New Roman"/>
        </w:rPr>
        <w:t>), principally the ITTC, the UNFF,</w:t>
      </w:r>
      <w:r w:rsidR="00C8629B" w:rsidRPr="000A52EC">
        <w:rPr>
          <w:rFonts w:cs="Times New Roman"/>
        </w:rPr>
        <w:t xml:space="preserve"> </w:t>
      </w:r>
      <w:r w:rsidRPr="000A52EC">
        <w:rPr>
          <w:rFonts w:cs="Times New Roman"/>
        </w:rPr>
        <w:t>the CBD</w:t>
      </w:r>
      <w:r w:rsidR="00C8629B" w:rsidRPr="000A52EC">
        <w:rPr>
          <w:rFonts w:cs="Times New Roman"/>
        </w:rPr>
        <w:t>, and Forest Europe to a lesser extent</w:t>
      </w:r>
      <w:r w:rsidRPr="000A52EC">
        <w:rPr>
          <w:rFonts w:cs="Times New Roman"/>
        </w:rPr>
        <w:t xml:space="preserve">. These countries are consistently the same, </w:t>
      </w:r>
      <w:r w:rsidR="00C8629B" w:rsidRPr="000A52EC">
        <w:rPr>
          <w:rFonts w:cs="Times New Roman"/>
        </w:rPr>
        <w:t>that gather under the labels</w:t>
      </w:r>
      <w:r w:rsidRPr="000A52EC">
        <w:rPr>
          <w:rFonts w:cs="Times New Roman"/>
        </w:rPr>
        <w:t xml:space="preserve"> ‘North countries’, JUSCANZ or ‘timber </w:t>
      </w:r>
      <w:proofErr w:type="gramStart"/>
      <w:r w:rsidR="00765EBB" w:rsidRPr="000A52EC">
        <w:rPr>
          <w:rFonts w:cs="Times New Roman"/>
        </w:rPr>
        <w:t>consumers’</w:t>
      </w:r>
      <w:proofErr w:type="gramEnd"/>
      <w:r w:rsidRPr="000A52EC">
        <w:rPr>
          <w:rFonts w:cs="Times New Roman"/>
        </w:rPr>
        <w:t xml:space="preserve">. In these venues, the EU </w:t>
      </w:r>
      <w:r w:rsidR="00C8629B" w:rsidRPr="000A52EC">
        <w:rPr>
          <w:rFonts w:cs="Times New Roman"/>
        </w:rPr>
        <w:t>was</w:t>
      </w:r>
      <w:r w:rsidRPr="000A52EC">
        <w:rPr>
          <w:rFonts w:cs="Times New Roman"/>
        </w:rPr>
        <w:t xml:space="preserve"> also able to reach out to South countries, the most important timber producers, Brazil being a systematic exception (</w:t>
      </w:r>
      <w:r w:rsidR="009C5802">
        <w:rPr>
          <w:rFonts w:cs="Times New Roman"/>
        </w:rPr>
        <w:t>1</w:t>
      </w:r>
      <w:r w:rsidRPr="000A52EC">
        <w:rPr>
          <w:rFonts w:cs="Times New Roman"/>
        </w:rPr>
        <w:t xml:space="preserve">, </w:t>
      </w:r>
      <w:r w:rsidR="009C5802">
        <w:rPr>
          <w:rFonts w:cs="Times New Roman"/>
        </w:rPr>
        <w:t>8</w:t>
      </w:r>
      <w:r w:rsidRPr="000A52EC">
        <w:rPr>
          <w:rFonts w:cs="Times New Roman"/>
        </w:rPr>
        <w:t xml:space="preserve">, </w:t>
      </w:r>
      <w:r w:rsidR="00F12ED8">
        <w:rPr>
          <w:rFonts w:cs="Times New Roman"/>
        </w:rPr>
        <w:t>9</w:t>
      </w:r>
      <w:r w:rsidR="005F7EE4" w:rsidRPr="000A52EC">
        <w:rPr>
          <w:rFonts w:cs="Times New Roman"/>
        </w:rPr>
        <w:t xml:space="preserve">, </w:t>
      </w:r>
      <w:r w:rsidR="00EA2421">
        <w:rPr>
          <w:rFonts w:cs="Times New Roman"/>
        </w:rPr>
        <w:t>17</w:t>
      </w:r>
      <w:r w:rsidR="00F12ED8">
        <w:rPr>
          <w:rFonts w:cs="Times New Roman"/>
        </w:rPr>
        <w:t>,</w:t>
      </w:r>
      <w:r w:rsidRPr="000A52EC">
        <w:rPr>
          <w:rFonts w:cs="Times New Roman"/>
        </w:rPr>
        <w:t xml:space="preserve"> ENB). </w:t>
      </w:r>
      <w:r w:rsidR="00C8629B" w:rsidRPr="000A52EC">
        <w:rPr>
          <w:rFonts w:cs="Times New Roman"/>
        </w:rPr>
        <w:t xml:space="preserve">The limit of EU reach out lied in the </w:t>
      </w:r>
      <w:proofErr w:type="gramStart"/>
      <w:r w:rsidR="00C8629B" w:rsidRPr="000A52EC">
        <w:rPr>
          <w:rFonts w:cs="Times New Roman"/>
        </w:rPr>
        <w:t>two bloc</w:t>
      </w:r>
      <w:proofErr w:type="gramEnd"/>
      <w:r w:rsidR="00C8629B" w:rsidRPr="000A52EC">
        <w:rPr>
          <w:rFonts w:cs="Times New Roman"/>
        </w:rPr>
        <w:t xml:space="preserve"> dynamic of most international venues on forests. Even if n</w:t>
      </w:r>
      <w:r w:rsidRPr="000A52EC">
        <w:rPr>
          <w:rFonts w:cs="Times New Roman"/>
        </w:rPr>
        <w:t xml:space="preserve">ot all issues were shared by all EU allies, but it never isolated the EU. I deduce that EU (lack of) isolation does not contribute to explaining the creation of the FLEGT AP. </w:t>
      </w:r>
    </w:p>
    <w:p w14:paraId="40F5EB08" w14:textId="31E75C7C" w:rsidR="00981C3D" w:rsidRPr="000A52EC" w:rsidRDefault="00765EBB" w:rsidP="00981C3D">
      <w:pPr>
        <w:spacing w:after="120" w:line="360" w:lineRule="auto"/>
        <w:jc w:val="both"/>
        <w:rPr>
          <w:rFonts w:cs="Times New Roman"/>
        </w:rPr>
      </w:pPr>
      <w:r w:rsidRPr="000A52EC">
        <w:rPr>
          <w:rFonts w:cs="Times New Roman"/>
        </w:rPr>
        <w:t xml:space="preserve">Transnational </w:t>
      </w:r>
      <w:r w:rsidR="00661D25" w:rsidRPr="000A52EC">
        <w:rPr>
          <w:rFonts w:cs="Times New Roman"/>
        </w:rPr>
        <w:t>NGOs</w:t>
      </w:r>
      <w:r w:rsidR="00231D7B" w:rsidRPr="000A52EC">
        <w:rPr>
          <w:rFonts w:cs="Times New Roman"/>
        </w:rPr>
        <w:t xml:space="preserve"> and the timber industry</w:t>
      </w:r>
      <w:r w:rsidR="00661D25" w:rsidRPr="000A52EC">
        <w:rPr>
          <w:rFonts w:cs="Times New Roman"/>
        </w:rPr>
        <w:t xml:space="preserve"> were also proactive to lead the EU</w:t>
      </w:r>
      <w:r w:rsidRPr="000A52EC">
        <w:rPr>
          <w:rFonts w:cs="Times New Roman"/>
        </w:rPr>
        <w:t xml:space="preserve"> towards the adoption of the FLE</w:t>
      </w:r>
      <w:r w:rsidR="00661D25" w:rsidRPr="000A52EC">
        <w:rPr>
          <w:rFonts w:cs="Times New Roman"/>
        </w:rPr>
        <w:t xml:space="preserve">GT </w:t>
      </w:r>
      <w:r w:rsidR="00AC3ECD" w:rsidRPr="000A52EC">
        <w:rPr>
          <w:rFonts w:cs="Times New Roman"/>
        </w:rPr>
        <w:t>AP</w:t>
      </w:r>
      <w:r w:rsidR="00661D25" w:rsidRPr="000A52EC">
        <w:rPr>
          <w:rFonts w:cs="Times New Roman"/>
        </w:rPr>
        <w:t xml:space="preserve">. </w:t>
      </w:r>
      <w:r w:rsidR="00981C3D" w:rsidRPr="000A52EC">
        <w:rPr>
          <w:rFonts w:cs="Times New Roman"/>
        </w:rPr>
        <w:t>It was a deliberate effort from NGOs to push the issue to EU</w:t>
      </w:r>
      <w:r w:rsidR="00661D25" w:rsidRPr="000A52EC">
        <w:rPr>
          <w:rFonts w:cs="Times New Roman"/>
        </w:rPr>
        <w:t>’s agenda</w:t>
      </w:r>
      <w:r w:rsidR="00981C3D" w:rsidRPr="000A52EC">
        <w:rPr>
          <w:rFonts w:cs="Times New Roman"/>
        </w:rPr>
        <w:t xml:space="preserve"> to take action to combat deforestation </w:t>
      </w:r>
      <w:r w:rsidRPr="000A52EC">
        <w:rPr>
          <w:rFonts w:cs="Times New Roman"/>
        </w:rPr>
        <w:t xml:space="preserve">and related timber trade </w:t>
      </w:r>
      <w:r w:rsidR="00981C3D" w:rsidRPr="000A52EC">
        <w:rPr>
          <w:rFonts w:cs="Times New Roman"/>
        </w:rPr>
        <w:t>(</w:t>
      </w:r>
      <w:r w:rsidR="009C5802">
        <w:rPr>
          <w:rFonts w:cs="Times New Roman"/>
        </w:rPr>
        <w:t>1</w:t>
      </w:r>
      <w:r w:rsidR="00981C3D" w:rsidRPr="000A52EC">
        <w:rPr>
          <w:rFonts w:cs="Times New Roman"/>
        </w:rPr>
        <w:t xml:space="preserve">, </w:t>
      </w:r>
      <w:r w:rsidR="009C5802">
        <w:rPr>
          <w:rFonts w:cs="Times New Roman"/>
        </w:rPr>
        <w:t>2</w:t>
      </w:r>
      <w:r w:rsidR="00981C3D" w:rsidRPr="000A52EC">
        <w:rPr>
          <w:rFonts w:cs="Times New Roman"/>
        </w:rPr>
        <w:t xml:space="preserve">, </w:t>
      </w:r>
      <w:r w:rsidR="009C5802">
        <w:rPr>
          <w:rFonts w:cs="Times New Roman"/>
        </w:rPr>
        <w:t>3</w:t>
      </w:r>
      <w:r w:rsidR="00046430" w:rsidRPr="000A52EC">
        <w:rPr>
          <w:rFonts w:cs="Times New Roman"/>
        </w:rPr>
        <w:t xml:space="preserve">, </w:t>
      </w:r>
      <w:r w:rsidR="009C5802">
        <w:rPr>
          <w:rFonts w:cs="Times New Roman"/>
        </w:rPr>
        <w:t>4</w:t>
      </w:r>
      <w:r w:rsidR="00604BAB" w:rsidRPr="000A52EC">
        <w:rPr>
          <w:rFonts w:cs="Times New Roman"/>
        </w:rPr>
        <w:t xml:space="preserve">, </w:t>
      </w:r>
      <w:r w:rsidR="009C5802">
        <w:rPr>
          <w:rFonts w:cs="Times New Roman"/>
        </w:rPr>
        <w:t>5</w:t>
      </w:r>
      <w:r w:rsidR="00F12ED8">
        <w:rPr>
          <w:rFonts w:cs="Times New Roman"/>
        </w:rPr>
        <w:t>, 8</w:t>
      </w:r>
      <w:r w:rsidR="00981C3D" w:rsidRPr="000A52EC">
        <w:rPr>
          <w:rFonts w:cs="Times New Roman"/>
        </w:rPr>
        <w:t>)</w:t>
      </w:r>
      <w:r w:rsidR="00231D7B" w:rsidRPr="000A52EC">
        <w:rPr>
          <w:rFonts w:cs="Times New Roman"/>
        </w:rPr>
        <w:t xml:space="preserve">, not only in the form of an action plan (which is basically a </w:t>
      </w:r>
      <w:r w:rsidR="00F15FFD" w:rsidRPr="000A52EC">
        <w:rPr>
          <w:rFonts w:cs="Times New Roman"/>
        </w:rPr>
        <w:t>Communication</w:t>
      </w:r>
      <w:r w:rsidR="00231D7B" w:rsidRPr="000A52EC">
        <w:rPr>
          <w:rFonts w:cs="Times New Roman"/>
        </w:rPr>
        <w:t>), but mostly though adopting le</w:t>
      </w:r>
      <w:r w:rsidR="00F15FFD" w:rsidRPr="000A52EC">
        <w:rPr>
          <w:rFonts w:cs="Times New Roman"/>
        </w:rPr>
        <w:t>g</w:t>
      </w:r>
      <w:r w:rsidR="00231D7B" w:rsidRPr="000A52EC">
        <w:rPr>
          <w:rFonts w:cs="Times New Roman"/>
        </w:rPr>
        <w:t xml:space="preserve">al instruments </w:t>
      </w:r>
      <w:r w:rsidR="00C8629B" w:rsidRPr="000A52EC">
        <w:rPr>
          <w:rFonts w:cs="Times New Roman"/>
        </w:rPr>
        <w:t xml:space="preserve">to </w:t>
      </w:r>
      <w:r w:rsidR="00F15FFD" w:rsidRPr="000A52EC">
        <w:rPr>
          <w:rFonts w:cs="Times New Roman"/>
        </w:rPr>
        <w:t>implement</w:t>
      </w:r>
      <w:r w:rsidR="00231D7B" w:rsidRPr="000A52EC">
        <w:rPr>
          <w:rFonts w:cs="Times New Roman"/>
        </w:rPr>
        <w:t xml:space="preserve"> it</w:t>
      </w:r>
      <w:r w:rsidR="00981C3D" w:rsidRPr="000A52EC">
        <w:rPr>
          <w:rFonts w:cs="Times New Roman"/>
        </w:rPr>
        <w:t xml:space="preserve">. </w:t>
      </w:r>
      <w:r w:rsidR="009B7E0E" w:rsidRPr="000A52EC">
        <w:rPr>
          <w:rFonts w:cs="Times New Roman"/>
        </w:rPr>
        <w:t xml:space="preserve">The ITTO could have been lobbied as well, considering its </w:t>
      </w:r>
      <w:r w:rsidR="00F15FFD" w:rsidRPr="000A52EC">
        <w:rPr>
          <w:rFonts w:cs="Times New Roman"/>
        </w:rPr>
        <w:t>functional scope</w:t>
      </w:r>
      <w:r w:rsidR="002672E3" w:rsidRPr="000A52EC">
        <w:rPr>
          <w:rFonts w:cs="Times New Roman"/>
        </w:rPr>
        <w:t xml:space="preserve"> and apparent interest in forest law enforcement and governance</w:t>
      </w:r>
      <w:r w:rsidR="009B7E0E" w:rsidRPr="000A52EC">
        <w:rPr>
          <w:rFonts w:cs="Times New Roman"/>
        </w:rPr>
        <w:t xml:space="preserve">. It was thought </w:t>
      </w:r>
      <w:r w:rsidR="00F15FFD" w:rsidRPr="000A52EC">
        <w:rPr>
          <w:rFonts w:cs="Times New Roman"/>
        </w:rPr>
        <w:t xml:space="preserve">by NGOs </w:t>
      </w:r>
      <w:r w:rsidR="009B7E0E" w:rsidRPr="000A52EC">
        <w:rPr>
          <w:rFonts w:cs="Times New Roman"/>
        </w:rPr>
        <w:t xml:space="preserve">to be too close to </w:t>
      </w:r>
      <w:proofErr w:type="gramStart"/>
      <w:r w:rsidR="009B7E0E" w:rsidRPr="000A52EC">
        <w:rPr>
          <w:rFonts w:cs="Times New Roman"/>
        </w:rPr>
        <w:t>industry, and</w:t>
      </w:r>
      <w:proofErr w:type="gramEnd"/>
      <w:r w:rsidR="009B7E0E" w:rsidRPr="000A52EC">
        <w:rPr>
          <w:rFonts w:cs="Times New Roman"/>
        </w:rPr>
        <w:t xml:space="preserve"> had a poor reputation when it comes to environmental standards (</w:t>
      </w:r>
      <w:r w:rsidR="009C5802">
        <w:rPr>
          <w:rFonts w:cs="Times New Roman"/>
        </w:rPr>
        <w:t>1</w:t>
      </w:r>
      <w:r w:rsidR="00F15FFD" w:rsidRPr="000A52EC">
        <w:rPr>
          <w:rFonts w:cs="Times New Roman"/>
        </w:rPr>
        <w:t xml:space="preserve">, </w:t>
      </w:r>
      <w:r w:rsidR="009C5802">
        <w:rPr>
          <w:rFonts w:cs="Times New Roman"/>
        </w:rPr>
        <w:t>4</w:t>
      </w:r>
      <w:r w:rsidR="00552F53" w:rsidRPr="000A52EC">
        <w:rPr>
          <w:rFonts w:cs="Times New Roman"/>
        </w:rPr>
        <w:t xml:space="preserve">, </w:t>
      </w:r>
      <w:r w:rsidR="00EA2421">
        <w:rPr>
          <w:rFonts w:cs="Times New Roman"/>
        </w:rPr>
        <w:t>17</w:t>
      </w:r>
      <w:r w:rsidR="009B7E0E" w:rsidRPr="000A52EC">
        <w:rPr>
          <w:rFonts w:cs="Times New Roman"/>
        </w:rPr>
        <w:t xml:space="preserve">). </w:t>
      </w:r>
      <w:r w:rsidR="00981C3D" w:rsidRPr="000A52EC">
        <w:rPr>
          <w:rFonts w:cs="Times New Roman"/>
        </w:rPr>
        <w:t>The Chatham House</w:t>
      </w:r>
      <w:r w:rsidR="00552F53" w:rsidRPr="000A52EC">
        <w:rPr>
          <w:rStyle w:val="FootnoteReference"/>
          <w:rFonts w:cs="Times New Roman"/>
        </w:rPr>
        <w:footnoteReference w:id="6"/>
      </w:r>
      <w:r w:rsidR="00981C3D" w:rsidRPr="000A52EC">
        <w:rPr>
          <w:rFonts w:cs="Times New Roman"/>
        </w:rPr>
        <w:t xml:space="preserve"> and Fern</w:t>
      </w:r>
      <w:r w:rsidR="00552F53" w:rsidRPr="000A52EC">
        <w:rPr>
          <w:rStyle w:val="FootnoteReference"/>
          <w:rFonts w:cs="Times New Roman"/>
        </w:rPr>
        <w:footnoteReference w:id="7"/>
      </w:r>
      <w:r w:rsidR="00981C3D" w:rsidRPr="000A52EC">
        <w:rPr>
          <w:rFonts w:cs="Times New Roman"/>
        </w:rPr>
        <w:t xml:space="preserve"> adopted in 2000 report</w:t>
      </w:r>
      <w:r w:rsidR="00AC3ECD" w:rsidRPr="000A52EC">
        <w:rPr>
          <w:rFonts w:cs="Times New Roman"/>
        </w:rPr>
        <w:t>s</w:t>
      </w:r>
      <w:r w:rsidR="00981C3D" w:rsidRPr="000A52EC">
        <w:rPr>
          <w:rFonts w:cs="Times New Roman"/>
        </w:rPr>
        <w:t xml:space="preserve"> pushing the EU to tackle not only illegal logging, but also timber consumption as drivers of deforestation. As an EU policy officer put it: ‘Timber trade and timber demand </w:t>
      </w:r>
      <w:r w:rsidR="00F15FFD" w:rsidRPr="000A52EC">
        <w:rPr>
          <w:rFonts w:cs="Times New Roman"/>
        </w:rPr>
        <w:t>[</w:t>
      </w:r>
      <w:r w:rsidR="00981C3D" w:rsidRPr="000A52EC">
        <w:rPr>
          <w:rFonts w:cs="Times New Roman"/>
        </w:rPr>
        <w:t>w</w:t>
      </w:r>
      <w:r w:rsidR="00F15FFD" w:rsidRPr="000A52EC">
        <w:rPr>
          <w:rFonts w:cs="Times New Roman"/>
        </w:rPr>
        <w:t>ere]</w:t>
      </w:r>
      <w:r w:rsidR="00981C3D" w:rsidRPr="000A52EC">
        <w:rPr>
          <w:rFonts w:cs="Times New Roman"/>
        </w:rPr>
        <w:t xml:space="preserve"> identified as part of deforestation problem, therefor they </w:t>
      </w:r>
      <w:r w:rsidR="00077419">
        <w:rPr>
          <w:rFonts w:cs="Times New Roman"/>
        </w:rPr>
        <w:t>[could]</w:t>
      </w:r>
      <w:r w:rsidR="00981C3D" w:rsidRPr="000A52EC">
        <w:rPr>
          <w:rFonts w:cs="Times New Roman"/>
        </w:rPr>
        <w:t xml:space="preserve"> be part of the solution’ (</w:t>
      </w:r>
      <w:r w:rsidR="009C5802">
        <w:rPr>
          <w:rFonts w:cs="Times New Roman"/>
        </w:rPr>
        <w:t>1</w:t>
      </w:r>
      <w:r w:rsidR="00981C3D" w:rsidRPr="000A52EC">
        <w:rPr>
          <w:rFonts w:cs="Times New Roman"/>
        </w:rPr>
        <w:t>). The EU being a net importer of tropical timber, this report put the EU in a position of responsibility</w:t>
      </w:r>
      <w:r w:rsidR="00F15FFD" w:rsidRPr="000A52EC">
        <w:rPr>
          <w:rFonts w:cs="Times New Roman"/>
        </w:rPr>
        <w:t xml:space="preserve"> (</w:t>
      </w:r>
      <w:r w:rsidR="009C5802">
        <w:rPr>
          <w:rFonts w:cs="Times New Roman"/>
        </w:rPr>
        <w:t>2</w:t>
      </w:r>
      <w:r w:rsidR="00F15FFD" w:rsidRPr="000A52EC">
        <w:rPr>
          <w:rFonts w:cs="Times New Roman"/>
        </w:rPr>
        <w:t xml:space="preserve">, </w:t>
      </w:r>
      <w:r w:rsidR="009C5802">
        <w:rPr>
          <w:rFonts w:cs="Times New Roman"/>
        </w:rPr>
        <w:t>4</w:t>
      </w:r>
      <w:r w:rsidR="00F15FFD" w:rsidRPr="000A52EC">
        <w:rPr>
          <w:rFonts w:cs="Times New Roman"/>
        </w:rPr>
        <w:t>)</w:t>
      </w:r>
      <w:r w:rsidR="00981C3D" w:rsidRPr="000A52EC">
        <w:rPr>
          <w:rFonts w:cs="Times New Roman"/>
        </w:rPr>
        <w:t xml:space="preserve">. It was called to do something about the impact of its imports on deforestation. It adopted the same perspective as the Bali Declaration: deforestation linked to timber trade, as opposed to deforestation linked to </w:t>
      </w:r>
      <w:r w:rsidR="00B25F50">
        <w:rPr>
          <w:rFonts w:cs="Times New Roman"/>
        </w:rPr>
        <w:t xml:space="preserve">only </w:t>
      </w:r>
      <w:r w:rsidR="00981C3D" w:rsidRPr="000A52EC">
        <w:rPr>
          <w:rFonts w:cs="Times New Roman"/>
        </w:rPr>
        <w:t xml:space="preserve">illegal logging. </w:t>
      </w:r>
      <w:r w:rsidR="002E5FB3" w:rsidRPr="00B25F50">
        <w:rPr>
          <w:rFonts w:cs="Times New Roman"/>
        </w:rPr>
        <w:t xml:space="preserve">Most generally, </w:t>
      </w:r>
      <w:r w:rsidR="0022341D" w:rsidRPr="00B25F50">
        <w:rPr>
          <w:rFonts w:cs="Times New Roman"/>
        </w:rPr>
        <w:t>t</w:t>
      </w:r>
      <w:r w:rsidR="002E5FB3" w:rsidRPr="00B25F50">
        <w:rPr>
          <w:rFonts w:cs="Times New Roman"/>
        </w:rPr>
        <w:t xml:space="preserve">he FLEGT </w:t>
      </w:r>
      <w:r w:rsidR="00077419">
        <w:rPr>
          <w:rFonts w:cs="Times New Roman"/>
        </w:rPr>
        <w:t>AP</w:t>
      </w:r>
      <w:r w:rsidR="002E5FB3" w:rsidRPr="00B25F50">
        <w:rPr>
          <w:rFonts w:cs="Times New Roman"/>
        </w:rPr>
        <w:t xml:space="preserve"> and its VPAs gave a much sharper focus to EU external action on forests.</w:t>
      </w:r>
      <w:r w:rsidR="002E5FB3" w:rsidRPr="000A52EC">
        <w:rPr>
          <w:rFonts w:cs="Times New Roman"/>
        </w:rPr>
        <w:t xml:space="preserve"> As compared to what existed at the time (</w:t>
      </w:r>
      <w:r w:rsidR="00552F53" w:rsidRPr="000A52EC">
        <w:rPr>
          <w:rFonts w:cs="Times New Roman"/>
        </w:rPr>
        <w:t xml:space="preserve">under </w:t>
      </w:r>
      <w:r w:rsidR="002E5FB3" w:rsidRPr="000A52EC">
        <w:rPr>
          <w:rFonts w:cs="Times New Roman"/>
        </w:rPr>
        <w:t xml:space="preserve">the UNFF, the FAO, the Rio Conventions, the ITTO), the FLEGT </w:t>
      </w:r>
      <w:r w:rsidR="00B76846">
        <w:rPr>
          <w:rFonts w:cs="Times New Roman"/>
        </w:rPr>
        <w:t>AP</w:t>
      </w:r>
      <w:r w:rsidR="002E5FB3" w:rsidRPr="000A52EC">
        <w:rPr>
          <w:rFonts w:cs="Times New Roman"/>
        </w:rPr>
        <w:t xml:space="preserve"> engaged the EU in a clear</w:t>
      </w:r>
      <w:r w:rsidR="002672E3" w:rsidRPr="000A52EC">
        <w:rPr>
          <w:rFonts w:cs="Times New Roman"/>
        </w:rPr>
        <w:t xml:space="preserve"> and more ambitious</w:t>
      </w:r>
      <w:r w:rsidR="002E5FB3" w:rsidRPr="000A52EC">
        <w:rPr>
          <w:rFonts w:cs="Times New Roman"/>
        </w:rPr>
        <w:t xml:space="preserve"> manner. </w:t>
      </w:r>
      <w:r w:rsidR="00981C3D" w:rsidRPr="000A52EC">
        <w:rPr>
          <w:rFonts w:cs="Times New Roman"/>
        </w:rPr>
        <w:lastRenderedPageBreak/>
        <w:t xml:space="preserve">The Indonesian Minister for Forestry even paid a visit to Brussels to meet DG </w:t>
      </w:r>
      <w:proofErr w:type="spellStart"/>
      <w:r w:rsidR="00981C3D" w:rsidRPr="000A52EC">
        <w:rPr>
          <w:rFonts w:cs="Times New Roman"/>
        </w:rPr>
        <w:t>Relex</w:t>
      </w:r>
      <w:proofErr w:type="spellEnd"/>
      <w:r w:rsidR="00981C3D" w:rsidRPr="000A52EC">
        <w:rPr>
          <w:rFonts w:cs="Times New Roman"/>
        </w:rPr>
        <w:t xml:space="preserve">, DG Trade and DG </w:t>
      </w:r>
      <w:proofErr w:type="spellStart"/>
      <w:r w:rsidR="00981C3D" w:rsidRPr="000A52EC">
        <w:rPr>
          <w:rFonts w:cs="Times New Roman"/>
        </w:rPr>
        <w:t>Devco</w:t>
      </w:r>
      <w:proofErr w:type="spellEnd"/>
      <w:r w:rsidR="00981C3D" w:rsidRPr="000A52EC">
        <w:rPr>
          <w:rFonts w:cs="Times New Roman"/>
        </w:rPr>
        <w:t>, in order to influence EU commitments to FLEGT (</w:t>
      </w:r>
      <w:r w:rsidR="009C5802">
        <w:rPr>
          <w:rFonts w:cs="Times New Roman"/>
        </w:rPr>
        <w:t>3</w:t>
      </w:r>
      <w:r w:rsidR="00981C3D" w:rsidRPr="000A52EC">
        <w:rPr>
          <w:rFonts w:cs="Times New Roman"/>
        </w:rPr>
        <w:t xml:space="preserve">), following UK engagement to tackle deforestation in Indonesia partly from its timber demand standpoint. Stemming from this, DG </w:t>
      </w:r>
      <w:proofErr w:type="spellStart"/>
      <w:r w:rsidR="00981C3D" w:rsidRPr="000A52EC">
        <w:rPr>
          <w:rFonts w:cs="Times New Roman"/>
        </w:rPr>
        <w:t>Relex</w:t>
      </w:r>
      <w:proofErr w:type="spellEnd"/>
      <w:r w:rsidR="00981C3D" w:rsidRPr="000A52EC">
        <w:rPr>
          <w:rFonts w:cs="Times New Roman"/>
        </w:rPr>
        <w:t xml:space="preserve"> crystallised EU commitments to tackle illegal logging (</w:t>
      </w:r>
      <w:r w:rsidR="009C5802">
        <w:rPr>
          <w:rFonts w:cs="Times New Roman"/>
        </w:rPr>
        <w:t>3</w:t>
      </w:r>
      <w:r w:rsidR="00981C3D" w:rsidRPr="000A52EC">
        <w:rPr>
          <w:rFonts w:cs="Times New Roman"/>
        </w:rPr>
        <w:t>).</w:t>
      </w:r>
      <w:r w:rsidR="009B7E0E" w:rsidRPr="000A52EC">
        <w:rPr>
          <w:rFonts w:cs="Times New Roman"/>
        </w:rPr>
        <w:t xml:space="preserve"> </w:t>
      </w:r>
    </w:p>
    <w:p w14:paraId="18454F7C" w14:textId="16B1785B" w:rsidR="009B7E0E" w:rsidRPr="00077419" w:rsidRDefault="00B248CB" w:rsidP="009B7E0E">
      <w:pPr>
        <w:spacing w:after="120" w:line="360" w:lineRule="auto"/>
        <w:jc w:val="both"/>
        <w:rPr>
          <w:rFonts w:cs="Times New Roman"/>
          <w:color w:val="4472C4" w:themeColor="accent1"/>
        </w:rPr>
      </w:pPr>
      <w:r w:rsidRPr="000A52EC">
        <w:rPr>
          <w:rFonts w:cs="Times New Roman"/>
        </w:rPr>
        <w:t xml:space="preserve">DG </w:t>
      </w:r>
      <w:proofErr w:type="spellStart"/>
      <w:r w:rsidRPr="000A52EC">
        <w:rPr>
          <w:rFonts w:cs="Times New Roman"/>
        </w:rPr>
        <w:t>Relex</w:t>
      </w:r>
      <w:proofErr w:type="spellEnd"/>
      <w:r w:rsidRPr="000A52EC">
        <w:rPr>
          <w:rFonts w:cs="Times New Roman"/>
        </w:rPr>
        <w:t xml:space="preserve"> sta</w:t>
      </w:r>
      <w:r w:rsidR="00BE1AB2" w:rsidRPr="000A52EC">
        <w:rPr>
          <w:rFonts w:cs="Times New Roman"/>
        </w:rPr>
        <w:t>r</w:t>
      </w:r>
      <w:r w:rsidRPr="000A52EC">
        <w:rPr>
          <w:rFonts w:cs="Times New Roman"/>
        </w:rPr>
        <w:t>ted as a ‘</w:t>
      </w:r>
      <w:r w:rsidRPr="000A52EC">
        <w:rPr>
          <w:rFonts w:cs="Times New Roman"/>
          <w:i/>
        </w:rPr>
        <w:t>chef de fil</w:t>
      </w:r>
      <w:r w:rsidRPr="000A52EC">
        <w:rPr>
          <w:rFonts w:cs="Times New Roman"/>
        </w:rPr>
        <w:t>e’ (</w:t>
      </w:r>
      <w:r w:rsidR="009C5802">
        <w:rPr>
          <w:rFonts w:cs="Times New Roman"/>
        </w:rPr>
        <w:t>3</w:t>
      </w:r>
      <w:r w:rsidRPr="000A52EC">
        <w:rPr>
          <w:rFonts w:cs="Times New Roman"/>
        </w:rPr>
        <w:t xml:space="preserve">) in Commission internal negotiations. Antagonisms between DGs </w:t>
      </w:r>
      <w:proofErr w:type="spellStart"/>
      <w:r w:rsidRPr="000A52EC">
        <w:rPr>
          <w:rFonts w:cs="Times New Roman"/>
        </w:rPr>
        <w:t>Devco</w:t>
      </w:r>
      <w:proofErr w:type="spellEnd"/>
      <w:r w:rsidRPr="000A52EC">
        <w:rPr>
          <w:rFonts w:cs="Times New Roman"/>
        </w:rPr>
        <w:t xml:space="preserve">, Trade, Industry, </w:t>
      </w:r>
      <w:proofErr w:type="spellStart"/>
      <w:r w:rsidRPr="000A52EC">
        <w:rPr>
          <w:rFonts w:cs="Times New Roman"/>
        </w:rPr>
        <w:t>Taxud</w:t>
      </w:r>
      <w:proofErr w:type="spellEnd"/>
      <w:r w:rsidRPr="000A52EC">
        <w:rPr>
          <w:rFonts w:cs="Times New Roman"/>
        </w:rPr>
        <w:t xml:space="preserve"> and Customs needed to be streamlined. While DG </w:t>
      </w:r>
      <w:proofErr w:type="spellStart"/>
      <w:r w:rsidRPr="000A52EC">
        <w:rPr>
          <w:rFonts w:cs="Times New Roman"/>
        </w:rPr>
        <w:t>Taxud</w:t>
      </w:r>
      <w:proofErr w:type="spellEnd"/>
      <w:r w:rsidRPr="000A52EC">
        <w:rPr>
          <w:rFonts w:cs="Times New Roman"/>
        </w:rPr>
        <w:t xml:space="preserve"> </w:t>
      </w:r>
      <w:r w:rsidR="00BE1AB2" w:rsidRPr="000A52EC">
        <w:rPr>
          <w:rFonts w:cs="Times New Roman"/>
        </w:rPr>
        <w:t xml:space="preserve">showed some scepticism </w:t>
      </w:r>
      <w:r w:rsidRPr="000A52EC">
        <w:rPr>
          <w:rFonts w:cs="Times New Roman"/>
        </w:rPr>
        <w:t xml:space="preserve">regarding the FLEGT AP initiative, DG Trade disagreed with the initial mandatory </w:t>
      </w:r>
      <w:r w:rsidR="00077419">
        <w:rPr>
          <w:rFonts w:cs="Times New Roman"/>
        </w:rPr>
        <w:t xml:space="preserve">character </w:t>
      </w:r>
      <w:r w:rsidRPr="000A52EC">
        <w:rPr>
          <w:rFonts w:cs="Times New Roman"/>
        </w:rPr>
        <w:t xml:space="preserve">initiative, as proposed by DG </w:t>
      </w:r>
      <w:proofErr w:type="spellStart"/>
      <w:r w:rsidRPr="000A52EC">
        <w:rPr>
          <w:rFonts w:cs="Times New Roman"/>
        </w:rPr>
        <w:t>Relex</w:t>
      </w:r>
      <w:proofErr w:type="spellEnd"/>
      <w:r w:rsidRPr="000A52EC">
        <w:rPr>
          <w:rFonts w:cs="Times New Roman"/>
        </w:rPr>
        <w:t>. DG Trade preferred a voluntary (yet binding) initiative.</w:t>
      </w:r>
      <w:r w:rsidR="00BE1AB2" w:rsidRPr="000A52EC">
        <w:rPr>
          <w:rFonts w:cs="Times New Roman"/>
        </w:rPr>
        <w:t xml:space="preserve"> </w:t>
      </w:r>
      <w:r w:rsidR="000E6D6A">
        <w:rPr>
          <w:rFonts w:cs="Times New Roman"/>
        </w:rPr>
        <w:t>An interviewee noticed that the participation of DG Trade in forest-related issue is actually quite rare. The interviewee explained it by the potential impact of the F</w:t>
      </w:r>
      <w:r w:rsidR="00AC5218">
        <w:rPr>
          <w:rFonts w:cs="Times New Roman"/>
        </w:rPr>
        <w:t>LE</w:t>
      </w:r>
      <w:r w:rsidR="000E6D6A">
        <w:rPr>
          <w:rFonts w:cs="Times New Roman"/>
        </w:rPr>
        <w:t xml:space="preserve">GT AP on EU trade (9). Still, DG Trade was not worried by the FLEGT AP nor in the leading seat. </w:t>
      </w:r>
      <w:r w:rsidRPr="000A52EC">
        <w:rPr>
          <w:rFonts w:cs="Times New Roman"/>
        </w:rPr>
        <w:t xml:space="preserve">DG </w:t>
      </w:r>
      <w:proofErr w:type="spellStart"/>
      <w:r w:rsidRPr="000A52EC">
        <w:rPr>
          <w:rFonts w:cs="Times New Roman"/>
        </w:rPr>
        <w:t>Relex</w:t>
      </w:r>
      <w:proofErr w:type="spellEnd"/>
      <w:r w:rsidRPr="000A52EC">
        <w:rPr>
          <w:rFonts w:cs="Times New Roman"/>
        </w:rPr>
        <w:t xml:space="preserve"> organised </w:t>
      </w:r>
      <w:r w:rsidR="00F52DA6" w:rsidRPr="000A52EC">
        <w:rPr>
          <w:rFonts w:cs="Times New Roman"/>
        </w:rPr>
        <w:t>stakeholders’</w:t>
      </w:r>
      <w:r w:rsidRPr="000A52EC">
        <w:rPr>
          <w:rFonts w:cs="Times New Roman"/>
        </w:rPr>
        <w:t xml:space="preserve"> participation in a workshop th</w:t>
      </w:r>
      <w:r w:rsidR="00AC3ECD" w:rsidRPr="000A52EC">
        <w:rPr>
          <w:rFonts w:cs="Times New Roman"/>
        </w:rPr>
        <w:t>a</w:t>
      </w:r>
      <w:r w:rsidRPr="000A52EC">
        <w:rPr>
          <w:rFonts w:cs="Times New Roman"/>
        </w:rPr>
        <w:t xml:space="preserve">t took place in Brussels in </w:t>
      </w:r>
      <w:r w:rsidR="002D585C" w:rsidRPr="000A52EC">
        <w:rPr>
          <w:rFonts w:cs="Times New Roman"/>
        </w:rPr>
        <w:t>April</w:t>
      </w:r>
      <w:r w:rsidRPr="000A52EC">
        <w:rPr>
          <w:rFonts w:cs="Times New Roman"/>
        </w:rPr>
        <w:t xml:space="preserve"> 2002</w:t>
      </w:r>
      <w:r w:rsidR="002D585C" w:rsidRPr="000A52EC">
        <w:rPr>
          <w:rFonts w:cs="Times New Roman"/>
        </w:rPr>
        <w:t xml:space="preserve"> (Decision 1600/2002/EC</w:t>
      </w:r>
      <w:r w:rsidR="008D48E6" w:rsidRPr="000A52EC">
        <w:rPr>
          <w:rFonts w:cs="Times New Roman"/>
        </w:rPr>
        <w:t xml:space="preserve">, </w:t>
      </w:r>
      <w:r w:rsidR="00337964" w:rsidRPr="000A52EC">
        <w:rPr>
          <w:rFonts w:cs="Times New Roman"/>
        </w:rPr>
        <w:t>Commission staff working document 11656/04</w:t>
      </w:r>
      <w:r w:rsidR="002D585C" w:rsidRPr="000A52EC">
        <w:rPr>
          <w:rFonts w:cs="Times New Roman"/>
        </w:rPr>
        <w:t>)</w:t>
      </w:r>
      <w:r w:rsidRPr="000A52EC">
        <w:rPr>
          <w:rFonts w:cs="Times New Roman"/>
        </w:rPr>
        <w:t xml:space="preserve">. Following, DGs </w:t>
      </w:r>
      <w:proofErr w:type="spellStart"/>
      <w:r w:rsidRPr="000A52EC">
        <w:rPr>
          <w:rFonts w:cs="Times New Roman"/>
        </w:rPr>
        <w:t>Devco</w:t>
      </w:r>
      <w:proofErr w:type="spellEnd"/>
      <w:r w:rsidR="00BE1AB2" w:rsidRPr="000A52EC">
        <w:rPr>
          <w:rStyle w:val="FootnoteReference"/>
          <w:rFonts w:cs="Times New Roman"/>
        </w:rPr>
        <w:footnoteReference w:id="8"/>
      </w:r>
      <w:r w:rsidRPr="000A52EC">
        <w:rPr>
          <w:rFonts w:cs="Times New Roman"/>
        </w:rPr>
        <w:t xml:space="preserve"> and </w:t>
      </w:r>
      <w:proofErr w:type="spellStart"/>
      <w:r w:rsidRPr="000A52EC">
        <w:rPr>
          <w:rFonts w:cs="Times New Roman"/>
        </w:rPr>
        <w:t>Envi</w:t>
      </w:r>
      <w:proofErr w:type="spellEnd"/>
      <w:r w:rsidR="002D585C" w:rsidRPr="000A52EC">
        <w:rPr>
          <w:rFonts w:cs="Times New Roman"/>
        </w:rPr>
        <w:t xml:space="preserve"> took the lead to </w:t>
      </w:r>
      <w:r w:rsidR="00552F53" w:rsidRPr="000A52EC">
        <w:rPr>
          <w:rFonts w:cs="Times New Roman"/>
        </w:rPr>
        <w:t>complete</w:t>
      </w:r>
      <w:r w:rsidR="002D585C" w:rsidRPr="000A52EC">
        <w:rPr>
          <w:rFonts w:cs="Times New Roman"/>
        </w:rPr>
        <w:t xml:space="preserve"> the Commission initiative</w:t>
      </w:r>
      <w:r w:rsidR="00BE1AB2" w:rsidRPr="000A52EC">
        <w:rPr>
          <w:rFonts w:cs="Times New Roman"/>
        </w:rPr>
        <w:t xml:space="preserve"> (</w:t>
      </w:r>
      <w:r w:rsidR="009C5802">
        <w:rPr>
          <w:rFonts w:cs="Times New Roman"/>
        </w:rPr>
        <w:t>1</w:t>
      </w:r>
      <w:r w:rsidR="00BE1AB2" w:rsidRPr="000A52EC">
        <w:rPr>
          <w:rFonts w:cs="Times New Roman"/>
        </w:rPr>
        <w:t xml:space="preserve">, </w:t>
      </w:r>
      <w:r w:rsidR="009C5802">
        <w:rPr>
          <w:rFonts w:cs="Times New Roman"/>
        </w:rPr>
        <w:t>3</w:t>
      </w:r>
      <w:r w:rsidR="00BE1AB2" w:rsidRPr="000A52EC">
        <w:rPr>
          <w:rFonts w:cs="Times New Roman"/>
        </w:rPr>
        <w:t xml:space="preserve">, </w:t>
      </w:r>
      <w:r w:rsidR="00F12ED8">
        <w:rPr>
          <w:rFonts w:cs="Times New Roman"/>
        </w:rPr>
        <w:t xml:space="preserve">5, </w:t>
      </w:r>
      <w:proofErr w:type="gramStart"/>
      <w:r w:rsidR="00BE1AB2" w:rsidRPr="000A52EC">
        <w:rPr>
          <w:rFonts w:cs="Times New Roman"/>
        </w:rPr>
        <w:t>COM(</w:t>
      </w:r>
      <w:proofErr w:type="gramEnd"/>
      <w:r w:rsidR="00BE1AB2" w:rsidRPr="000A52EC">
        <w:rPr>
          <w:rFonts w:cs="Times New Roman"/>
        </w:rPr>
        <w:t>2003)251)</w:t>
      </w:r>
      <w:r w:rsidR="002D585C" w:rsidRPr="000A52EC">
        <w:rPr>
          <w:rFonts w:cs="Times New Roman"/>
        </w:rPr>
        <w:t>, relying o</w:t>
      </w:r>
      <w:r w:rsidR="00C91504" w:rsidRPr="000A52EC">
        <w:rPr>
          <w:rFonts w:cs="Times New Roman"/>
        </w:rPr>
        <w:t>n a network of nationally developed forest projects</w:t>
      </w:r>
      <w:r w:rsidR="002D585C" w:rsidRPr="000A52EC">
        <w:rPr>
          <w:rStyle w:val="FootnoteReference"/>
          <w:rFonts w:cs="Times New Roman"/>
        </w:rPr>
        <w:footnoteReference w:id="9"/>
      </w:r>
      <w:r w:rsidR="002D585C" w:rsidRPr="000A52EC">
        <w:rPr>
          <w:rFonts w:cs="Times New Roman"/>
        </w:rPr>
        <w:t xml:space="preserve"> and complemented that with EU action on trade. </w:t>
      </w:r>
      <w:r w:rsidR="00F52DA6" w:rsidRPr="000A52EC">
        <w:rPr>
          <w:rFonts w:cs="Times New Roman"/>
        </w:rPr>
        <w:t>The added value of relying on member states initiatives is their flexibility and swiftness in reaction (</w:t>
      </w:r>
      <w:r w:rsidR="009C5802">
        <w:rPr>
          <w:rFonts w:cs="Times New Roman"/>
        </w:rPr>
        <w:t>3</w:t>
      </w:r>
      <w:r w:rsidR="00F52DA6" w:rsidRPr="000A52EC">
        <w:rPr>
          <w:rFonts w:cs="Times New Roman"/>
        </w:rPr>
        <w:t xml:space="preserve">). </w:t>
      </w:r>
      <w:r w:rsidR="00BE1AB2" w:rsidRPr="000A52EC">
        <w:rPr>
          <w:rFonts w:cs="Times New Roman"/>
        </w:rPr>
        <w:t>The Commission issued a communication for a proposal on an action plan on FLEGT (</w:t>
      </w:r>
      <w:proofErr w:type="gramStart"/>
      <w:r w:rsidR="00BE1AB2" w:rsidRPr="000A52EC">
        <w:rPr>
          <w:rFonts w:cs="Times New Roman"/>
        </w:rPr>
        <w:t>COM(</w:t>
      </w:r>
      <w:proofErr w:type="gramEnd"/>
      <w:r w:rsidR="00BE1AB2" w:rsidRPr="000A52EC">
        <w:rPr>
          <w:rFonts w:cs="Times New Roman"/>
        </w:rPr>
        <w:t xml:space="preserve">2003)0251) to </w:t>
      </w:r>
      <w:r w:rsidR="00BE1AB2" w:rsidRPr="00696D91">
        <w:rPr>
          <w:rFonts w:cs="Times New Roman"/>
          <w:color w:val="000000" w:themeColor="text1"/>
        </w:rPr>
        <w:t>set out mechanisms linking governance reforms in</w:t>
      </w:r>
      <w:r w:rsidR="00B76846">
        <w:rPr>
          <w:rFonts w:cs="Times New Roman"/>
          <w:color w:val="000000" w:themeColor="text1"/>
        </w:rPr>
        <w:t xml:space="preserve"> timber</w:t>
      </w:r>
      <w:r w:rsidR="00BE1AB2" w:rsidRPr="00696D91">
        <w:rPr>
          <w:rFonts w:cs="Times New Roman"/>
          <w:color w:val="000000" w:themeColor="text1"/>
        </w:rPr>
        <w:t xml:space="preserve"> producing countries to EU internal market</w:t>
      </w:r>
      <w:r w:rsidR="009B7E0E" w:rsidRPr="00696D91">
        <w:rPr>
          <w:rFonts w:cs="Times New Roman"/>
          <w:color w:val="000000" w:themeColor="text1"/>
        </w:rPr>
        <w:t xml:space="preserve">. </w:t>
      </w:r>
      <w:r w:rsidR="00077419" w:rsidRPr="00696D91">
        <w:rPr>
          <w:rFonts w:cs="Times New Roman"/>
          <w:color w:val="000000" w:themeColor="text1"/>
        </w:rPr>
        <w:t xml:space="preserve">I suspect the EU to have added a trade component to the initial international FLEG (without a T) discussion to ameliorate its bargaining power and make forest governance and law enforcement appealing. EU market power is at the core of some tropical forest countries’ economies. The EU consequently played its market power to convince negotiation partners to enhance the governance of their forests (Pirlot et. al. 2018). </w:t>
      </w:r>
      <w:r w:rsidR="009B7E0E" w:rsidRPr="00696D91">
        <w:rPr>
          <w:rFonts w:cs="Times New Roman"/>
          <w:color w:val="000000" w:themeColor="text1"/>
        </w:rPr>
        <w:t xml:space="preserve">Coordination between these Commission bodies was smooth. The only resistance met concerned technical issues </w:t>
      </w:r>
      <w:r w:rsidR="009B7E0E" w:rsidRPr="000A52EC">
        <w:rPr>
          <w:rFonts w:cs="Times New Roman"/>
        </w:rPr>
        <w:t xml:space="preserve">from DG Trade and DG </w:t>
      </w:r>
      <w:proofErr w:type="spellStart"/>
      <w:r w:rsidR="009B7E0E" w:rsidRPr="000A52EC">
        <w:rPr>
          <w:rFonts w:cs="Times New Roman"/>
        </w:rPr>
        <w:t>Taxud</w:t>
      </w:r>
      <w:proofErr w:type="spellEnd"/>
      <w:r w:rsidR="009B7E0E" w:rsidRPr="000A52EC">
        <w:rPr>
          <w:rFonts w:cs="Times New Roman"/>
        </w:rPr>
        <w:t xml:space="preserve">, dealt with at cabinet level. But their stance was more intrigued by the </w:t>
      </w:r>
      <w:r w:rsidR="009B7E0E" w:rsidRPr="000A52EC">
        <w:rPr>
          <w:rFonts w:cs="Times New Roman"/>
        </w:rPr>
        <w:lastRenderedPageBreak/>
        <w:t>FLEGT approach than against it. They stood to ‘wait and see’ (</w:t>
      </w:r>
      <w:r w:rsidR="009C5802">
        <w:rPr>
          <w:rFonts w:cs="Times New Roman"/>
        </w:rPr>
        <w:t>1</w:t>
      </w:r>
      <w:r w:rsidR="009B7E0E" w:rsidRPr="000A52EC">
        <w:rPr>
          <w:rFonts w:cs="Times New Roman"/>
        </w:rPr>
        <w:t>). Overall, Commission preferences was</w:t>
      </w:r>
      <w:r w:rsidR="00337964" w:rsidRPr="000A52EC">
        <w:rPr>
          <w:rFonts w:cs="Times New Roman"/>
        </w:rPr>
        <w:t xml:space="preserve"> ra</w:t>
      </w:r>
      <w:r w:rsidR="003D76D0" w:rsidRPr="000A52EC">
        <w:rPr>
          <w:rFonts w:cs="Times New Roman"/>
        </w:rPr>
        <w:t>t</w:t>
      </w:r>
      <w:r w:rsidR="00337964" w:rsidRPr="000A52EC">
        <w:rPr>
          <w:rFonts w:cs="Times New Roman"/>
        </w:rPr>
        <w:t>h</w:t>
      </w:r>
      <w:r w:rsidR="003D76D0" w:rsidRPr="000A52EC">
        <w:rPr>
          <w:rFonts w:cs="Times New Roman"/>
        </w:rPr>
        <w:t>er</w:t>
      </w:r>
      <w:r w:rsidR="009B7E0E" w:rsidRPr="000A52EC">
        <w:rPr>
          <w:rFonts w:cs="Times New Roman"/>
        </w:rPr>
        <w:t xml:space="preserve"> unitary.</w:t>
      </w:r>
    </w:p>
    <w:p w14:paraId="05547789" w14:textId="6516B16F" w:rsidR="00AC3ECD" w:rsidRPr="000A52EC" w:rsidRDefault="009B7E0E" w:rsidP="009B7E0E">
      <w:pPr>
        <w:spacing w:after="120" w:line="360" w:lineRule="auto"/>
        <w:jc w:val="both"/>
        <w:rPr>
          <w:rFonts w:cs="Times New Roman"/>
        </w:rPr>
      </w:pPr>
      <w:r w:rsidRPr="000A52EC">
        <w:rPr>
          <w:rFonts w:cs="Times New Roman"/>
        </w:rPr>
        <w:t xml:space="preserve">From the beginning, </w:t>
      </w:r>
      <w:r w:rsidR="00550F47" w:rsidRPr="000A52EC">
        <w:rPr>
          <w:rFonts w:cs="Times New Roman"/>
        </w:rPr>
        <w:t xml:space="preserve">DG </w:t>
      </w:r>
      <w:proofErr w:type="spellStart"/>
      <w:r w:rsidR="00550F47" w:rsidRPr="000A52EC">
        <w:rPr>
          <w:rFonts w:cs="Times New Roman"/>
        </w:rPr>
        <w:t>Devco</w:t>
      </w:r>
      <w:proofErr w:type="spellEnd"/>
      <w:r w:rsidR="003D76D0" w:rsidRPr="000A52EC">
        <w:rPr>
          <w:rFonts w:cs="Times New Roman"/>
        </w:rPr>
        <w:t xml:space="preserve"> cooperated </w:t>
      </w:r>
      <w:r w:rsidR="00077419">
        <w:rPr>
          <w:rFonts w:cs="Times New Roman"/>
        </w:rPr>
        <w:t>closely</w:t>
      </w:r>
      <w:r w:rsidR="003D76D0" w:rsidRPr="000A52EC">
        <w:rPr>
          <w:rFonts w:cs="Times New Roman"/>
        </w:rPr>
        <w:t xml:space="preserve"> with EU</w:t>
      </w:r>
      <w:r w:rsidRPr="000A52EC">
        <w:rPr>
          <w:rFonts w:cs="Times New Roman"/>
        </w:rPr>
        <w:t xml:space="preserve"> member states (</w:t>
      </w:r>
      <w:r w:rsidR="009C5802">
        <w:rPr>
          <w:rFonts w:cs="Times New Roman"/>
        </w:rPr>
        <w:t>1</w:t>
      </w:r>
      <w:r w:rsidRPr="000A52EC">
        <w:rPr>
          <w:rFonts w:cs="Times New Roman"/>
        </w:rPr>
        <w:t xml:space="preserve">). </w:t>
      </w:r>
      <w:r w:rsidR="00C10602" w:rsidRPr="000A52EC">
        <w:rPr>
          <w:rFonts w:cs="Times New Roman"/>
        </w:rPr>
        <w:t>It first conceived an ad hoc group that met in an informal manner for resolving political contentions before they could proceed to technical discussions (</w:t>
      </w:r>
      <w:r w:rsidR="009C5802">
        <w:rPr>
          <w:rFonts w:cs="Times New Roman"/>
        </w:rPr>
        <w:t>3</w:t>
      </w:r>
      <w:r w:rsidR="00C10602" w:rsidRPr="000A52EC">
        <w:rPr>
          <w:rFonts w:cs="Times New Roman"/>
        </w:rPr>
        <w:t xml:space="preserve">). </w:t>
      </w:r>
      <w:r w:rsidR="00AC3ECD" w:rsidRPr="000A52EC">
        <w:rPr>
          <w:rFonts w:cs="Times New Roman"/>
        </w:rPr>
        <w:t xml:space="preserve">The AP was discussed in the Council working parties on Forestry (WPF), on Environment (WPE) and on Development cooperation (WPDC). The Italian presidency appointed the WPF coordinator (draft Council conclusion 12906/03). </w:t>
      </w:r>
    </w:p>
    <w:p w14:paraId="2B79D551" w14:textId="0152E724" w:rsidR="00F52DA6" w:rsidRPr="000A52EC" w:rsidRDefault="00AC3ECD" w:rsidP="00F52DA6">
      <w:pPr>
        <w:spacing w:after="120" w:line="360" w:lineRule="auto"/>
        <w:jc w:val="both"/>
        <w:rPr>
          <w:rFonts w:cs="Times New Roman"/>
        </w:rPr>
      </w:pPr>
      <w:r w:rsidRPr="000A52EC">
        <w:rPr>
          <w:rFonts w:cs="Times New Roman"/>
        </w:rPr>
        <w:t xml:space="preserve">In these groups, along with </w:t>
      </w:r>
      <w:r w:rsidR="00C10602" w:rsidRPr="000A52EC">
        <w:rPr>
          <w:rFonts w:cs="Times New Roman"/>
        </w:rPr>
        <w:t xml:space="preserve">the Commission, </w:t>
      </w:r>
      <w:r w:rsidR="00F52DA6" w:rsidRPr="000A52EC">
        <w:rPr>
          <w:rFonts w:cs="Times New Roman"/>
        </w:rPr>
        <w:t xml:space="preserve">national experts from </w:t>
      </w:r>
      <w:r w:rsidR="00C10602" w:rsidRPr="000A52EC">
        <w:rPr>
          <w:rFonts w:cs="Times New Roman"/>
        </w:rPr>
        <w:t>the UK, France, Germany, Finland, Sweden, Spain and the Netherlands were present</w:t>
      </w:r>
      <w:r w:rsidR="004222A8" w:rsidRPr="000A52EC">
        <w:rPr>
          <w:rFonts w:cs="Times New Roman"/>
        </w:rPr>
        <w:t xml:space="preserve"> (</w:t>
      </w:r>
      <w:r w:rsidR="009C5802">
        <w:rPr>
          <w:rFonts w:cs="Times New Roman"/>
        </w:rPr>
        <w:t>2</w:t>
      </w:r>
      <w:r w:rsidR="00F12ED8">
        <w:rPr>
          <w:rFonts w:cs="Times New Roman"/>
        </w:rPr>
        <w:t>, 3</w:t>
      </w:r>
      <w:r w:rsidR="004222A8" w:rsidRPr="000A52EC">
        <w:rPr>
          <w:rFonts w:cs="Times New Roman"/>
        </w:rPr>
        <w:t>)</w:t>
      </w:r>
      <w:r w:rsidR="00C10602" w:rsidRPr="000A52EC">
        <w:rPr>
          <w:rFonts w:cs="Times New Roman"/>
        </w:rPr>
        <w:t xml:space="preserve">. </w:t>
      </w:r>
      <w:r w:rsidR="00BE1AB2" w:rsidRPr="000A52EC">
        <w:rPr>
          <w:rFonts w:cs="Times New Roman"/>
        </w:rPr>
        <w:t xml:space="preserve">EU member states generally indicated enthusiasm regarding the FLEGT AP. </w:t>
      </w:r>
      <w:r w:rsidR="00C10602" w:rsidRPr="000A52EC">
        <w:rPr>
          <w:rFonts w:cs="Times New Roman"/>
        </w:rPr>
        <w:t>They saw the value of working on timber legality and appreciated the signal it sent to the EU and other inte</w:t>
      </w:r>
      <w:r w:rsidRPr="000A52EC">
        <w:rPr>
          <w:rFonts w:cs="Times New Roman"/>
        </w:rPr>
        <w:t>rna</w:t>
      </w:r>
      <w:r w:rsidR="00C10602" w:rsidRPr="000A52EC">
        <w:rPr>
          <w:rFonts w:cs="Times New Roman"/>
        </w:rPr>
        <w:t>tional in</w:t>
      </w:r>
      <w:r w:rsidR="00F52DA6" w:rsidRPr="000A52EC">
        <w:rPr>
          <w:rFonts w:cs="Times New Roman"/>
        </w:rPr>
        <w:t>stitutions</w:t>
      </w:r>
      <w:r w:rsidR="00C10602" w:rsidRPr="000A52EC">
        <w:rPr>
          <w:rFonts w:cs="Times New Roman"/>
        </w:rPr>
        <w:t xml:space="preserve">. </w:t>
      </w:r>
      <w:r w:rsidR="00550F47" w:rsidRPr="000A52EC">
        <w:rPr>
          <w:rFonts w:cs="Times New Roman"/>
        </w:rPr>
        <w:t>In particular, the UK, Germany, France, Belgium, the Netherlands, Denmark, Finland, Sweden and Poland were vocal enthusiasts (</w:t>
      </w:r>
      <w:r w:rsidR="00F12ED8">
        <w:rPr>
          <w:rFonts w:cs="Times New Roman"/>
        </w:rPr>
        <w:t>1, 2, 3, 4</w:t>
      </w:r>
      <w:r w:rsidR="00550F47" w:rsidRPr="000A52EC">
        <w:rPr>
          <w:rFonts w:cs="Times New Roman"/>
        </w:rPr>
        <w:t>). Eastern member states showed little interest in the process</w:t>
      </w:r>
      <w:r w:rsidR="008A1168" w:rsidRPr="000A52EC">
        <w:rPr>
          <w:rFonts w:cs="Times New Roman"/>
        </w:rPr>
        <w:t xml:space="preserve"> and remained passive</w:t>
      </w:r>
      <w:r w:rsidR="004222A8" w:rsidRPr="000A52EC">
        <w:rPr>
          <w:rFonts w:cs="Times New Roman"/>
        </w:rPr>
        <w:t xml:space="preserve"> (</w:t>
      </w:r>
      <w:r w:rsidR="009C5802">
        <w:rPr>
          <w:rFonts w:cs="Times New Roman"/>
        </w:rPr>
        <w:t>1</w:t>
      </w:r>
      <w:r w:rsidR="004222A8" w:rsidRPr="000A52EC">
        <w:rPr>
          <w:rFonts w:cs="Times New Roman"/>
        </w:rPr>
        <w:t xml:space="preserve">). This is due to the fact that the FLEGT Regulation essentially puts a system which other countries have to deal with, but it has no domestic impact when it comes to implementation. </w:t>
      </w:r>
      <w:r w:rsidR="003C50DB">
        <w:rPr>
          <w:rFonts w:cs="Times New Roman"/>
        </w:rPr>
        <w:t>Still, D</w:t>
      </w:r>
      <w:r w:rsidR="00550F47" w:rsidRPr="000A52EC">
        <w:rPr>
          <w:rFonts w:cs="Times New Roman"/>
        </w:rPr>
        <w:t xml:space="preserve">enmark, Finland and Poland expressed reservations. To their views, the EU was moving on too fast, or at least lacked a relevant time frame. Denmark also showed reservations about the voluntary nature of the AP. Their views were taken into account and a time-frame was made explicit in the </w:t>
      </w:r>
      <w:r w:rsidR="003C50DB">
        <w:rPr>
          <w:rFonts w:cs="Times New Roman"/>
        </w:rPr>
        <w:t xml:space="preserve">FLEGT </w:t>
      </w:r>
      <w:r w:rsidR="00550F47" w:rsidRPr="000A52EC">
        <w:rPr>
          <w:rFonts w:cs="Times New Roman"/>
        </w:rPr>
        <w:t xml:space="preserve">Regulation. </w:t>
      </w:r>
      <w:r w:rsidRPr="000A52EC">
        <w:rPr>
          <w:rFonts w:cs="Times New Roman"/>
        </w:rPr>
        <w:t xml:space="preserve">It is the only way that the regulation draft </w:t>
      </w:r>
      <w:proofErr w:type="gramStart"/>
      <w:r w:rsidRPr="000A52EC">
        <w:rPr>
          <w:rFonts w:cs="Times New Roman"/>
        </w:rPr>
        <w:t>were</w:t>
      </w:r>
      <w:proofErr w:type="gramEnd"/>
      <w:r w:rsidRPr="000A52EC">
        <w:rPr>
          <w:rFonts w:cs="Times New Roman"/>
        </w:rPr>
        <w:t xml:space="preserve"> modified.</w:t>
      </w:r>
      <w:r w:rsidR="00337964" w:rsidRPr="000A52EC">
        <w:rPr>
          <w:rFonts w:cs="Times New Roman"/>
        </w:rPr>
        <w:t xml:space="preserve"> </w:t>
      </w:r>
      <w:r w:rsidR="00F52DA6" w:rsidRPr="000A52EC">
        <w:rPr>
          <w:rFonts w:cs="Times New Roman"/>
        </w:rPr>
        <w:t>An EU policy officer summarised internal negotiations this way: ‘it actually brought together quite a coalition of the Commission and member states. It aligned trade policy, which is an EU competence, with development in a powerful way. It played to the strength of the EU working as a whole’ (</w:t>
      </w:r>
      <w:r w:rsidR="009C5802">
        <w:rPr>
          <w:rFonts w:cs="Times New Roman"/>
        </w:rPr>
        <w:t>3</w:t>
      </w:r>
      <w:r w:rsidR="00F52DA6" w:rsidRPr="000A52EC">
        <w:rPr>
          <w:rFonts w:cs="Times New Roman"/>
        </w:rPr>
        <w:t>).</w:t>
      </w:r>
    </w:p>
    <w:p w14:paraId="179A5F58" w14:textId="27DC4E52" w:rsidR="00F52DA6" w:rsidRPr="000A52EC" w:rsidRDefault="00F52DA6" w:rsidP="00F52DA6">
      <w:pPr>
        <w:spacing w:after="120" w:line="360" w:lineRule="auto"/>
        <w:jc w:val="both"/>
        <w:rPr>
          <w:rFonts w:cs="Times New Roman"/>
        </w:rPr>
      </w:pPr>
      <w:r w:rsidRPr="000A52EC">
        <w:rPr>
          <w:rFonts w:cs="Times New Roman"/>
        </w:rPr>
        <w:t xml:space="preserve">Once the AP was adopted, the </w:t>
      </w:r>
      <w:r w:rsidR="004222A8" w:rsidRPr="000A52EC">
        <w:rPr>
          <w:rFonts w:cs="Times New Roman"/>
        </w:rPr>
        <w:t>FL</w:t>
      </w:r>
      <w:r w:rsidRPr="000A52EC">
        <w:rPr>
          <w:rFonts w:cs="Times New Roman"/>
        </w:rPr>
        <w:t>EGT dynamic was taken forward by the Netherlands (July-December 2004), the Luxembourg (January-June 2005) and the UK (July-December 2005) presidencies (</w:t>
      </w:r>
      <w:r w:rsidR="009C5802">
        <w:rPr>
          <w:rFonts w:cs="Times New Roman"/>
        </w:rPr>
        <w:t>3</w:t>
      </w:r>
      <w:r w:rsidRPr="000A52EC">
        <w:rPr>
          <w:rFonts w:cs="Times New Roman"/>
        </w:rPr>
        <w:t>). The Netherlands and the UK were particularly active in the design and implementation of the FLEGT Regulation (</w:t>
      </w:r>
      <w:r w:rsidR="009C5802">
        <w:rPr>
          <w:rFonts w:cs="Times New Roman"/>
        </w:rPr>
        <w:t>1</w:t>
      </w:r>
      <w:r w:rsidRPr="000A52EC">
        <w:rPr>
          <w:rFonts w:cs="Times New Roman"/>
        </w:rPr>
        <w:t xml:space="preserve">, </w:t>
      </w:r>
      <w:r w:rsidR="009C5802">
        <w:rPr>
          <w:rFonts w:cs="Times New Roman"/>
        </w:rPr>
        <w:t>2</w:t>
      </w:r>
      <w:r w:rsidRPr="000A52EC">
        <w:rPr>
          <w:rFonts w:cs="Times New Roman"/>
        </w:rPr>
        <w:t xml:space="preserve">). Both already had bilateral agreements with timber exporting countries that aimed at ameliorating their forest governance and facilitated their access to respective UK and Dutch market. Once at the presidency, the two countries could engage actively in the FLEGT issue that they were already familiar with. Caught between </w:t>
      </w:r>
      <w:r w:rsidRPr="000A52EC">
        <w:rPr>
          <w:rFonts w:cs="Times New Roman"/>
        </w:rPr>
        <w:lastRenderedPageBreak/>
        <w:t>the UK and the Netherlands, Luxembourg got on board. The ad hoc group completed the process in 2005, adopting a package of three documents: the FLEGT Regulation, the Impact Assessment and a Negotiation Mandate. Overall, EU ad hoc group negotiations were smooth</w:t>
      </w:r>
      <w:r w:rsidR="00543221" w:rsidRPr="000A52EC">
        <w:rPr>
          <w:rFonts w:cs="Times New Roman"/>
        </w:rPr>
        <w:t xml:space="preserve">. </w:t>
      </w:r>
      <w:r w:rsidR="00DE0F3E">
        <w:rPr>
          <w:rFonts w:cs="Times New Roman"/>
        </w:rPr>
        <w:t>Nonetheless</w:t>
      </w:r>
      <w:r w:rsidR="00543221" w:rsidRPr="000A52EC">
        <w:rPr>
          <w:rFonts w:cs="Times New Roman"/>
        </w:rPr>
        <w:t xml:space="preserve">, I would not call EU preference unitary. The passivity of some member states can </w:t>
      </w:r>
      <w:r w:rsidR="00DE0F3E">
        <w:rPr>
          <w:rFonts w:cs="Times New Roman"/>
        </w:rPr>
        <w:t>be accounted only for tacit support.</w:t>
      </w:r>
      <w:r w:rsidR="00543221" w:rsidRPr="000A52EC">
        <w:rPr>
          <w:rFonts w:cs="Times New Roman"/>
        </w:rPr>
        <w:t xml:space="preserve"> </w:t>
      </w:r>
    </w:p>
    <w:p w14:paraId="1A2772AD" w14:textId="7740FA77" w:rsidR="00D17573" w:rsidRPr="000A52EC" w:rsidRDefault="00DE0F3E" w:rsidP="00D46084">
      <w:pPr>
        <w:spacing w:after="120" w:line="360" w:lineRule="auto"/>
        <w:jc w:val="both"/>
        <w:rPr>
          <w:rFonts w:cs="Times New Roman"/>
        </w:rPr>
      </w:pPr>
      <w:r>
        <w:rPr>
          <w:rFonts w:cs="Times New Roman"/>
        </w:rPr>
        <w:t>Going back to the international scene</w:t>
      </w:r>
      <w:r w:rsidR="004222A8" w:rsidRPr="000A52EC">
        <w:rPr>
          <w:rFonts w:cs="Times New Roman"/>
        </w:rPr>
        <w:t>, other non-</w:t>
      </w:r>
      <w:r w:rsidR="00D2175C" w:rsidRPr="000A52EC">
        <w:rPr>
          <w:rFonts w:cs="Times New Roman"/>
        </w:rPr>
        <w:t xml:space="preserve">EU </w:t>
      </w:r>
      <w:r w:rsidR="004222A8" w:rsidRPr="000A52EC">
        <w:rPr>
          <w:rFonts w:cs="Times New Roman"/>
        </w:rPr>
        <w:t xml:space="preserve">countries adopted measures aiming at tackling deforestation acting on </w:t>
      </w:r>
      <w:r w:rsidR="00543221" w:rsidRPr="000A52EC">
        <w:rPr>
          <w:rFonts w:cs="Times New Roman"/>
        </w:rPr>
        <w:t xml:space="preserve">forest </w:t>
      </w:r>
      <w:r w:rsidR="004222A8" w:rsidRPr="000A52EC">
        <w:rPr>
          <w:rFonts w:cs="Times New Roman"/>
        </w:rPr>
        <w:t>law enforcement</w:t>
      </w:r>
      <w:r w:rsidR="00D2175C" w:rsidRPr="000A52EC">
        <w:rPr>
          <w:rFonts w:cs="Times New Roman"/>
        </w:rPr>
        <w:t xml:space="preserve">, </w:t>
      </w:r>
      <w:r w:rsidR="004222A8" w:rsidRPr="000A52EC">
        <w:rPr>
          <w:rFonts w:cs="Times New Roman"/>
        </w:rPr>
        <w:t>governance</w:t>
      </w:r>
      <w:r w:rsidR="00D2175C" w:rsidRPr="000A52EC">
        <w:rPr>
          <w:rFonts w:cs="Times New Roman"/>
        </w:rPr>
        <w:t xml:space="preserve"> and trade</w:t>
      </w:r>
      <w:r w:rsidR="004222A8" w:rsidRPr="000A52EC">
        <w:rPr>
          <w:rFonts w:cs="Times New Roman"/>
        </w:rPr>
        <w:t>. The US amended the Lacy Act, and Australia</w:t>
      </w:r>
      <w:r w:rsidR="000F0E37" w:rsidRPr="000A52EC">
        <w:rPr>
          <w:rFonts w:cs="Times New Roman"/>
        </w:rPr>
        <w:t xml:space="preserve"> and </w:t>
      </w:r>
      <w:r w:rsidR="004222A8" w:rsidRPr="000A52EC">
        <w:rPr>
          <w:rFonts w:cs="Times New Roman"/>
        </w:rPr>
        <w:t xml:space="preserve">Japan initiated forest law enforcement and governance </w:t>
      </w:r>
      <w:r w:rsidR="00AD6A1C" w:rsidRPr="000A52EC">
        <w:rPr>
          <w:rFonts w:cs="Times New Roman"/>
        </w:rPr>
        <w:t>national law aiming at impacting on the way timber logging and forest governance are handled in producing countries</w:t>
      </w:r>
      <w:r w:rsidR="004222A8" w:rsidRPr="000A52EC">
        <w:rPr>
          <w:rFonts w:cs="Times New Roman"/>
        </w:rPr>
        <w:t xml:space="preserve">. </w:t>
      </w:r>
      <w:r w:rsidR="00565DDB" w:rsidRPr="000A52EC">
        <w:rPr>
          <w:rFonts w:cs="Times New Roman"/>
        </w:rPr>
        <w:t xml:space="preserve">However, </w:t>
      </w:r>
      <w:r w:rsidR="00543221" w:rsidRPr="000A52EC">
        <w:rPr>
          <w:rFonts w:cs="Times New Roman"/>
        </w:rPr>
        <w:t>the FLEGT Regulation</w:t>
      </w:r>
      <w:r w:rsidR="00565DDB" w:rsidRPr="000A52EC">
        <w:rPr>
          <w:rFonts w:cs="Times New Roman"/>
        </w:rPr>
        <w:t xml:space="preserve"> </w:t>
      </w:r>
      <w:r w:rsidR="00543221" w:rsidRPr="000A52EC">
        <w:rPr>
          <w:rFonts w:cs="Times New Roman"/>
        </w:rPr>
        <w:t xml:space="preserve">and related VPAs </w:t>
      </w:r>
      <w:r w:rsidR="00565DDB" w:rsidRPr="000A52EC">
        <w:rPr>
          <w:rFonts w:cs="Times New Roman"/>
        </w:rPr>
        <w:t xml:space="preserve">take external action one step further than the rest does. In that sense, the EU is more ambitious and demanding than other international actors that adopted law enforcement and governance actions to tackle deforestation. </w:t>
      </w:r>
      <w:r w:rsidR="004222A8" w:rsidRPr="000A52EC">
        <w:rPr>
          <w:rFonts w:cs="Times New Roman"/>
        </w:rPr>
        <w:t xml:space="preserve">The main difference lies in </w:t>
      </w:r>
      <w:r w:rsidR="00D2175C" w:rsidRPr="000A52EC">
        <w:rPr>
          <w:rFonts w:cs="Times New Roman"/>
        </w:rPr>
        <w:t>the prominence given to partner countries</w:t>
      </w:r>
      <w:r w:rsidR="008455A1" w:rsidRPr="000A52EC">
        <w:rPr>
          <w:rFonts w:cs="Times New Roman"/>
        </w:rPr>
        <w:t xml:space="preserve"> (the involvement of their local communities in VPA design and implementation, and the central place given to national forest law and tackling their implementation gaps) in the case of FLEGT VPAs</w:t>
      </w:r>
      <w:r w:rsidR="00D2175C" w:rsidRPr="000A52EC">
        <w:rPr>
          <w:rFonts w:cs="Times New Roman"/>
        </w:rPr>
        <w:t>.</w:t>
      </w:r>
      <w:r w:rsidR="00337964" w:rsidRPr="000A52EC">
        <w:rPr>
          <w:rFonts w:cs="Times New Roman"/>
        </w:rPr>
        <w:t xml:space="preserve"> </w:t>
      </w:r>
      <w:r w:rsidR="00D2175C" w:rsidRPr="000A52EC">
        <w:rPr>
          <w:rFonts w:cs="Times New Roman"/>
        </w:rPr>
        <w:t xml:space="preserve">Two </w:t>
      </w:r>
      <w:r>
        <w:rPr>
          <w:rFonts w:cs="Times New Roman"/>
        </w:rPr>
        <w:t>elements</w:t>
      </w:r>
      <w:r w:rsidR="00D2175C" w:rsidRPr="000A52EC">
        <w:rPr>
          <w:rFonts w:cs="Times New Roman"/>
        </w:rPr>
        <w:t xml:space="preserve"> are striking. First, FLEGT VPAs rely on national law compliance. FLEGT licences testify of </w:t>
      </w:r>
      <w:r w:rsidR="00565DDB" w:rsidRPr="000A52EC">
        <w:rPr>
          <w:rFonts w:cs="Times New Roman"/>
        </w:rPr>
        <w:t xml:space="preserve">good forest governance and trade of legal timber, automatically </w:t>
      </w:r>
      <w:r w:rsidR="00F81B44" w:rsidRPr="000A52EC">
        <w:rPr>
          <w:rFonts w:cs="Times New Roman"/>
        </w:rPr>
        <w:t>complying with</w:t>
      </w:r>
      <w:r w:rsidR="00565DDB" w:rsidRPr="000A52EC">
        <w:rPr>
          <w:rFonts w:cs="Times New Roman"/>
        </w:rPr>
        <w:t xml:space="preserve"> the Timber Regulation</w:t>
      </w:r>
      <w:r w:rsidR="00F81B44" w:rsidRPr="000A52EC">
        <w:rPr>
          <w:rFonts w:cs="Times New Roman"/>
        </w:rPr>
        <w:t xml:space="preserve"> requirements</w:t>
      </w:r>
      <w:r>
        <w:rPr>
          <w:rStyle w:val="FootnoteReference"/>
          <w:rFonts w:cs="Times New Roman"/>
        </w:rPr>
        <w:footnoteReference w:id="10"/>
      </w:r>
      <w:r w:rsidR="00565DDB" w:rsidRPr="000A52EC">
        <w:rPr>
          <w:rFonts w:cs="Times New Roman"/>
        </w:rPr>
        <w:t xml:space="preserve">. Access to EU market then relies on national law enforcement. For their part, other governance and legal timber trade initiatives rely on timber legality under importer law. </w:t>
      </w:r>
      <w:r w:rsidR="004222A8" w:rsidRPr="000A52EC">
        <w:rPr>
          <w:rFonts w:cs="Times New Roman"/>
        </w:rPr>
        <w:t xml:space="preserve">For instance, US Lacey Act compels non-US timber producers to respect American law for their product to be exported </w:t>
      </w:r>
      <w:r w:rsidR="00565DDB" w:rsidRPr="000A52EC">
        <w:rPr>
          <w:rFonts w:cs="Times New Roman"/>
        </w:rPr>
        <w:t>to</w:t>
      </w:r>
      <w:r w:rsidR="004222A8" w:rsidRPr="000A52EC">
        <w:rPr>
          <w:rFonts w:cs="Times New Roman"/>
        </w:rPr>
        <w:t xml:space="preserve"> the US</w:t>
      </w:r>
      <w:r w:rsidR="00565DDB" w:rsidRPr="000A52EC">
        <w:rPr>
          <w:rFonts w:cs="Times New Roman"/>
        </w:rPr>
        <w:t xml:space="preserve">. American standards are too stringent for most timber producing countries, creating imbalance in timber trade, </w:t>
      </w:r>
      <w:r w:rsidR="00D2175C" w:rsidRPr="000A52EC">
        <w:rPr>
          <w:rFonts w:cs="Times New Roman"/>
        </w:rPr>
        <w:t xml:space="preserve">to the disadvantage of timber producers. </w:t>
      </w:r>
      <w:r w:rsidR="00565DDB" w:rsidRPr="000A52EC">
        <w:rPr>
          <w:rFonts w:cs="Times New Roman"/>
        </w:rPr>
        <w:t>Second</w:t>
      </w:r>
      <w:r w:rsidR="00D2175C" w:rsidRPr="000A52EC">
        <w:rPr>
          <w:rFonts w:cs="Times New Roman"/>
        </w:rPr>
        <w:t>, the European Parliament ensures that local communities are actively participating to VPA negotiation to end up with a deal that suits them</w:t>
      </w:r>
      <w:r w:rsidR="00565DDB" w:rsidRPr="000A52EC">
        <w:rPr>
          <w:rFonts w:cs="Times New Roman"/>
        </w:rPr>
        <w:t xml:space="preserve"> (</w:t>
      </w:r>
      <w:r w:rsidR="009C5802">
        <w:rPr>
          <w:rFonts w:cs="Times New Roman"/>
        </w:rPr>
        <w:t>2</w:t>
      </w:r>
      <w:r w:rsidR="00565DDB" w:rsidRPr="000A52EC">
        <w:rPr>
          <w:rFonts w:cs="Times New Roman"/>
        </w:rPr>
        <w:t xml:space="preserve">, </w:t>
      </w:r>
      <w:r w:rsidR="009C5802">
        <w:rPr>
          <w:rFonts w:cs="Times New Roman"/>
        </w:rPr>
        <w:t>4</w:t>
      </w:r>
      <w:r w:rsidR="00565DDB" w:rsidRPr="000A52EC">
        <w:rPr>
          <w:rFonts w:cs="Times New Roman"/>
        </w:rPr>
        <w:t xml:space="preserve">), which is not the case of other countries initiatives. </w:t>
      </w:r>
      <w:r w:rsidR="004222A8" w:rsidRPr="000A52EC">
        <w:rPr>
          <w:rFonts w:cs="Times New Roman"/>
        </w:rPr>
        <w:t>The EU was also a frontrunner. The Lacey Act was amended in 2008, the Australia illegal logging prohibition act dates back from 2012</w:t>
      </w:r>
      <w:r w:rsidR="00B1505E" w:rsidRPr="000A52EC">
        <w:rPr>
          <w:rFonts w:cs="Times New Roman"/>
        </w:rPr>
        <w:t>, and the Japan clean wood act to 2017</w:t>
      </w:r>
      <w:r w:rsidR="004222A8" w:rsidRPr="000A52EC">
        <w:rPr>
          <w:rFonts w:cs="Times New Roman"/>
        </w:rPr>
        <w:t xml:space="preserve">. </w:t>
      </w:r>
    </w:p>
    <w:p w14:paraId="07F5047E" w14:textId="71059EFD" w:rsidR="00A35C83" w:rsidRDefault="00A35C83" w:rsidP="00A35C83">
      <w:pPr>
        <w:spacing w:after="120" w:line="360" w:lineRule="auto"/>
        <w:jc w:val="both"/>
        <w:rPr>
          <w:rFonts w:cs="Times New Roman"/>
        </w:rPr>
      </w:pPr>
    </w:p>
    <w:p w14:paraId="313192F9" w14:textId="0D81E92D" w:rsidR="008455A1" w:rsidRDefault="00D4358C" w:rsidP="008455A1">
      <w:pPr>
        <w:pStyle w:val="ListParagraph"/>
        <w:numPr>
          <w:ilvl w:val="0"/>
          <w:numId w:val="1"/>
        </w:numPr>
        <w:spacing w:after="120" w:line="360" w:lineRule="auto"/>
        <w:jc w:val="both"/>
      </w:pPr>
      <w:r>
        <w:lastRenderedPageBreak/>
        <w:t>Results</w:t>
      </w:r>
    </w:p>
    <w:p w14:paraId="48854129" w14:textId="68D17875" w:rsidR="00FC53E7" w:rsidRPr="006D5292" w:rsidRDefault="008455A1" w:rsidP="00A35C83">
      <w:pPr>
        <w:spacing w:after="120" w:line="360" w:lineRule="auto"/>
        <w:jc w:val="both"/>
        <w:rPr>
          <w:color w:val="000000" w:themeColor="text1"/>
        </w:rPr>
      </w:pPr>
      <w:r w:rsidRPr="00696D91">
        <w:rPr>
          <w:color w:val="000000" w:themeColor="text1"/>
        </w:rPr>
        <w:t xml:space="preserve">The empirical analysis revealed that </w:t>
      </w:r>
      <w:r w:rsidR="00FE7DEB" w:rsidRPr="00696D91">
        <w:rPr>
          <w:color w:val="000000" w:themeColor="text1"/>
        </w:rPr>
        <w:t>t</w:t>
      </w:r>
      <w:r w:rsidR="000A52EC" w:rsidRPr="00696D91">
        <w:rPr>
          <w:color w:val="000000" w:themeColor="text1"/>
        </w:rPr>
        <w:t>hree</w:t>
      </w:r>
      <w:r w:rsidR="00FE7DEB" w:rsidRPr="00696D91">
        <w:rPr>
          <w:color w:val="000000" w:themeColor="text1"/>
        </w:rPr>
        <w:t xml:space="preserve"> out of four causal relations are confirmed. </w:t>
      </w:r>
      <w:r w:rsidR="00FC53E7" w:rsidRPr="00696D91">
        <w:rPr>
          <w:color w:val="000000" w:themeColor="text1"/>
        </w:rPr>
        <w:t>Table 1 summarises the findings.</w:t>
      </w:r>
      <w:r w:rsidR="00696D91">
        <w:rPr>
          <w:color w:val="000000" w:themeColor="text1"/>
        </w:rPr>
        <w:t xml:space="preserve"> The second line of the table re</w:t>
      </w:r>
      <w:r w:rsidR="00EA2421">
        <w:rPr>
          <w:color w:val="000000" w:themeColor="text1"/>
        </w:rPr>
        <w:t>calls the causal expectations: h</w:t>
      </w:r>
      <w:r w:rsidR="00696D91">
        <w:rPr>
          <w:color w:val="000000" w:themeColor="text1"/>
        </w:rPr>
        <w:t xml:space="preserve">igh ambition, high isolation, low relative bargaining power and high unity are expected to </w:t>
      </w:r>
      <w:r w:rsidR="00EA2421">
        <w:rPr>
          <w:color w:val="000000" w:themeColor="text1"/>
        </w:rPr>
        <w:t>contribute to F</w:t>
      </w:r>
      <w:r w:rsidR="00AC5218">
        <w:rPr>
          <w:color w:val="000000" w:themeColor="text1"/>
        </w:rPr>
        <w:t>LE</w:t>
      </w:r>
      <w:r w:rsidR="00EA2421">
        <w:rPr>
          <w:color w:val="000000" w:themeColor="text1"/>
        </w:rPr>
        <w:t>GT AP creation</w:t>
      </w:r>
      <w:r w:rsidR="00696D91" w:rsidRPr="006D5292">
        <w:rPr>
          <w:color w:val="000000" w:themeColor="text1"/>
        </w:rPr>
        <w:t xml:space="preserve">. The last line summarises the empirical findings about the causes. </w:t>
      </w:r>
    </w:p>
    <w:tbl>
      <w:tblPr>
        <w:tblStyle w:val="TableGrid"/>
        <w:tblpPr w:leftFromText="141" w:rightFromText="141" w:vertAnchor="text" w:horzAnchor="margin" w:tblpY="257"/>
        <w:tblW w:w="0" w:type="auto"/>
        <w:tblLook w:val="04A0" w:firstRow="1" w:lastRow="0" w:firstColumn="1" w:lastColumn="0" w:noHBand="0" w:noVBand="1"/>
      </w:tblPr>
      <w:tblGrid>
        <w:gridCol w:w="1785"/>
        <w:gridCol w:w="1785"/>
        <w:gridCol w:w="1785"/>
        <w:gridCol w:w="1785"/>
        <w:gridCol w:w="1786"/>
      </w:tblGrid>
      <w:tr w:rsidR="006D5292" w:rsidRPr="006D5292" w14:paraId="5EF200A8" w14:textId="77777777" w:rsidTr="000A52EC">
        <w:tc>
          <w:tcPr>
            <w:tcW w:w="1785" w:type="dxa"/>
            <w:tcBorders>
              <w:bottom w:val="single" w:sz="18" w:space="0" w:color="auto"/>
              <w:right w:val="single" w:sz="18" w:space="0" w:color="auto"/>
            </w:tcBorders>
            <w:vAlign w:val="center"/>
          </w:tcPr>
          <w:p w14:paraId="5491D9CD" w14:textId="195D102B" w:rsidR="00FC53E7" w:rsidRPr="006D5292" w:rsidRDefault="00FC53E7" w:rsidP="00FC53E7">
            <w:pPr>
              <w:spacing w:after="120" w:line="360" w:lineRule="auto"/>
              <w:jc w:val="center"/>
              <w:rPr>
                <w:color w:val="000000" w:themeColor="text1"/>
              </w:rPr>
            </w:pPr>
            <w:r w:rsidRPr="006D5292">
              <w:rPr>
                <w:color w:val="000000" w:themeColor="text1"/>
              </w:rPr>
              <w:t>Causes</w:t>
            </w:r>
          </w:p>
        </w:tc>
        <w:tc>
          <w:tcPr>
            <w:tcW w:w="1785" w:type="dxa"/>
            <w:tcBorders>
              <w:left w:val="single" w:sz="18" w:space="0" w:color="auto"/>
              <w:bottom w:val="single" w:sz="18" w:space="0" w:color="auto"/>
            </w:tcBorders>
            <w:vAlign w:val="center"/>
          </w:tcPr>
          <w:p w14:paraId="7A5D7372" w14:textId="24B4D295" w:rsidR="00FC53E7" w:rsidRPr="006D5292" w:rsidRDefault="003C50DB" w:rsidP="00FC53E7">
            <w:pPr>
              <w:spacing w:after="120" w:line="360" w:lineRule="auto"/>
              <w:jc w:val="center"/>
              <w:rPr>
                <w:color w:val="000000" w:themeColor="text1"/>
              </w:rPr>
            </w:pPr>
            <w:r w:rsidRPr="006D5292">
              <w:rPr>
                <w:color w:val="000000" w:themeColor="text1"/>
              </w:rPr>
              <w:t>Ambition</w:t>
            </w:r>
          </w:p>
        </w:tc>
        <w:tc>
          <w:tcPr>
            <w:tcW w:w="1785" w:type="dxa"/>
            <w:tcBorders>
              <w:bottom w:val="single" w:sz="18" w:space="0" w:color="auto"/>
            </w:tcBorders>
            <w:vAlign w:val="center"/>
          </w:tcPr>
          <w:p w14:paraId="6E22E4C8" w14:textId="2A2C1652" w:rsidR="00FC53E7" w:rsidRPr="006D5292" w:rsidRDefault="003C50DB" w:rsidP="00FC53E7">
            <w:pPr>
              <w:spacing w:after="120" w:line="360" w:lineRule="auto"/>
              <w:jc w:val="center"/>
              <w:rPr>
                <w:color w:val="000000" w:themeColor="text1"/>
              </w:rPr>
            </w:pPr>
            <w:r w:rsidRPr="006D5292">
              <w:rPr>
                <w:color w:val="000000" w:themeColor="text1"/>
              </w:rPr>
              <w:t>Isolation</w:t>
            </w:r>
          </w:p>
        </w:tc>
        <w:tc>
          <w:tcPr>
            <w:tcW w:w="1785" w:type="dxa"/>
            <w:tcBorders>
              <w:bottom w:val="single" w:sz="18" w:space="0" w:color="auto"/>
            </w:tcBorders>
            <w:vAlign w:val="center"/>
          </w:tcPr>
          <w:p w14:paraId="4BAFBCF9" w14:textId="08D2E9E5" w:rsidR="00FC53E7" w:rsidRPr="006D5292" w:rsidRDefault="003C50DB" w:rsidP="00FC53E7">
            <w:pPr>
              <w:spacing w:after="120" w:line="360" w:lineRule="auto"/>
              <w:jc w:val="center"/>
              <w:rPr>
                <w:color w:val="000000" w:themeColor="text1"/>
              </w:rPr>
            </w:pPr>
            <w:r w:rsidRPr="006D5292">
              <w:rPr>
                <w:color w:val="000000" w:themeColor="text1"/>
              </w:rPr>
              <w:t>Relative bargaining power</w:t>
            </w:r>
          </w:p>
        </w:tc>
        <w:tc>
          <w:tcPr>
            <w:tcW w:w="1786" w:type="dxa"/>
            <w:tcBorders>
              <w:bottom w:val="single" w:sz="18" w:space="0" w:color="auto"/>
            </w:tcBorders>
            <w:vAlign w:val="center"/>
          </w:tcPr>
          <w:p w14:paraId="2FF18116" w14:textId="40B5E662" w:rsidR="00FC53E7" w:rsidRPr="006D5292" w:rsidRDefault="003C50DB" w:rsidP="00FC53E7">
            <w:pPr>
              <w:spacing w:after="120" w:line="360" w:lineRule="auto"/>
              <w:jc w:val="center"/>
              <w:rPr>
                <w:color w:val="000000" w:themeColor="text1"/>
              </w:rPr>
            </w:pPr>
            <w:r w:rsidRPr="006D5292">
              <w:rPr>
                <w:color w:val="000000" w:themeColor="text1"/>
              </w:rPr>
              <w:t>Unity</w:t>
            </w:r>
          </w:p>
        </w:tc>
      </w:tr>
      <w:tr w:rsidR="006D5292" w:rsidRPr="006D5292" w14:paraId="57119AA4" w14:textId="77777777" w:rsidTr="000A52EC">
        <w:tc>
          <w:tcPr>
            <w:tcW w:w="1785" w:type="dxa"/>
            <w:tcBorders>
              <w:top w:val="single" w:sz="18" w:space="0" w:color="auto"/>
              <w:right w:val="single" w:sz="18" w:space="0" w:color="auto"/>
            </w:tcBorders>
            <w:vAlign w:val="center"/>
          </w:tcPr>
          <w:p w14:paraId="05101ACE" w14:textId="77777777" w:rsidR="00FC53E7" w:rsidRPr="006D5292" w:rsidRDefault="00FC53E7" w:rsidP="00FC53E7">
            <w:pPr>
              <w:spacing w:after="120" w:line="360" w:lineRule="auto"/>
              <w:jc w:val="center"/>
              <w:rPr>
                <w:color w:val="000000" w:themeColor="text1"/>
              </w:rPr>
            </w:pPr>
            <w:r w:rsidRPr="006D5292">
              <w:rPr>
                <w:color w:val="000000" w:themeColor="text1"/>
              </w:rPr>
              <w:t>Theoretical expectation</w:t>
            </w:r>
          </w:p>
        </w:tc>
        <w:tc>
          <w:tcPr>
            <w:tcW w:w="1785" w:type="dxa"/>
            <w:tcBorders>
              <w:top w:val="single" w:sz="18" w:space="0" w:color="auto"/>
              <w:left w:val="single" w:sz="18" w:space="0" w:color="auto"/>
            </w:tcBorders>
            <w:vAlign w:val="center"/>
          </w:tcPr>
          <w:p w14:paraId="55E10848" w14:textId="77777777" w:rsidR="00FC53E7" w:rsidRPr="006D5292" w:rsidRDefault="00FC53E7" w:rsidP="00FC53E7">
            <w:pPr>
              <w:spacing w:after="120" w:line="360" w:lineRule="auto"/>
              <w:jc w:val="center"/>
              <w:rPr>
                <w:color w:val="000000" w:themeColor="text1"/>
              </w:rPr>
            </w:pPr>
            <w:r w:rsidRPr="006D5292">
              <w:rPr>
                <w:color w:val="000000" w:themeColor="text1"/>
              </w:rPr>
              <w:t>High</w:t>
            </w:r>
          </w:p>
        </w:tc>
        <w:tc>
          <w:tcPr>
            <w:tcW w:w="1785" w:type="dxa"/>
            <w:tcBorders>
              <w:top w:val="single" w:sz="18" w:space="0" w:color="auto"/>
            </w:tcBorders>
            <w:vAlign w:val="center"/>
          </w:tcPr>
          <w:p w14:paraId="35079BE2" w14:textId="6C13F9C8" w:rsidR="00FC53E7" w:rsidRPr="006D5292" w:rsidRDefault="003C50DB" w:rsidP="00FC53E7">
            <w:pPr>
              <w:spacing w:after="120" w:line="360" w:lineRule="auto"/>
              <w:jc w:val="center"/>
              <w:rPr>
                <w:color w:val="000000" w:themeColor="text1"/>
              </w:rPr>
            </w:pPr>
            <w:r w:rsidRPr="006D5292">
              <w:rPr>
                <w:color w:val="000000" w:themeColor="text1"/>
              </w:rPr>
              <w:t>High</w:t>
            </w:r>
          </w:p>
        </w:tc>
        <w:tc>
          <w:tcPr>
            <w:tcW w:w="1785" w:type="dxa"/>
            <w:tcBorders>
              <w:top w:val="single" w:sz="18" w:space="0" w:color="auto"/>
            </w:tcBorders>
            <w:vAlign w:val="center"/>
          </w:tcPr>
          <w:p w14:paraId="7FF3EBE3" w14:textId="57A1355A" w:rsidR="00FC53E7" w:rsidRPr="006D5292" w:rsidRDefault="00366BBF" w:rsidP="00FC53E7">
            <w:pPr>
              <w:spacing w:after="120" w:line="360" w:lineRule="auto"/>
              <w:jc w:val="center"/>
              <w:rPr>
                <w:color w:val="000000" w:themeColor="text1"/>
              </w:rPr>
            </w:pPr>
            <w:r w:rsidRPr="006D5292">
              <w:rPr>
                <w:color w:val="000000" w:themeColor="text1"/>
              </w:rPr>
              <w:t>Low</w:t>
            </w:r>
          </w:p>
        </w:tc>
        <w:tc>
          <w:tcPr>
            <w:tcW w:w="1786" w:type="dxa"/>
            <w:tcBorders>
              <w:top w:val="single" w:sz="18" w:space="0" w:color="auto"/>
            </w:tcBorders>
            <w:vAlign w:val="center"/>
          </w:tcPr>
          <w:p w14:paraId="4BAD6BE9" w14:textId="77777777" w:rsidR="00FC53E7" w:rsidRPr="006D5292" w:rsidRDefault="00FC53E7" w:rsidP="00FC53E7">
            <w:pPr>
              <w:spacing w:after="120" w:line="360" w:lineRule="auto"/>
              <w:jc w:val="center"/>
              <w:rPr>
                <w:color w:val="000000" w:themeColor="text1"/>
              </w:rPr>
            </w:pPr>
            <w:r w:rsidRPr="006D5292">
              <w:rPr>
                <w:color w:val="000000" w:themeColor="text1"/>
              </w:rPr>
              <w:t>High</w:t>
            </w:r>
          </w:p>
        </w:tc>
      </w:tr>
      <w:tr w:rsidR="006D5292" w:rsidRPr="006D5292" w14:paraId="053C2D22" w14:textId="77777777" w:rsidTr="000A52EC">
        <w:tc>
          <w:tcPr>
            <w:tcW w:w="1785" w:type="dxa"/>
            <w:tcBorders>
              <w:right w:val="single" w:sz="18" w:space="0" w:color="auto"/>
            </w:tcBorders>
            <w:vAlign w:val="center"/>
          </w:tcPr>
          <w:p w14:paraId="59666CFA" w14:textId="77777777" w:rsidR="00FC53E7" w:rsidRPr="006D5292" w:rsidRDefault="00FC53E7" w:rsidP="00FC53E7">
            <w:pPr>
              <w:spacing w:after="120" w:line="360" w:lineRule="auto"/>
              <w:jc w:val="center"/>
              <w:rPr>
                <w:color w:val="000000" w:themeColor="text1"/>
              </w:rPr>
            </w:pPr>
            <w:r w:rsidRPr="006D5292">
              <w:rPr>
                <w:color w:val="000000" w:themeColor="text1"/>
              </w:rPr>
              <w:t>Empirical observation</w:t>
            </w:r>
          </w:p>
        </w:tc>
        <w:tc>
          <w:tcPr>
            <w:tcW w:w="1785" w:type="dxa"/>
            <w:tcBorders>
              <w:left w:val="single" w:sz="18" w:space="0" w:color="auto"/>
            </w:tcBorders>
            <w:vAlign w:val="center"/>
          </w:tcPr>
          <w:p w14:paraId="496FA622" w14:textId="02DA340D" w:rsidR="00FC53E7" w:rsidRPr="006D5292" w:rsidRDefault="003C50DB" w:rsidP="00FC53E7">
            <w:pPr>
              <w:spacing w:after="120" w:line="360" w:lineRule="auto"/>
              <w:jc w:val="center"/>
              <w:rPr>
                <w:color w:val="000000" w:themeColor="text1"/>
              </w:rPr>
            </w:pPr>
            <w:r w:rsidRPr="006D5292">
              <w:rPr>
                <w:color w:val="000000" w:themeColor="text1"/>
              </w:rPr>
              <w:t>High</w:t>
            </w:r>
          </w:p>
        </w:tc>
        <w:tc>
          <w:tcPr>
            <w:tcW w:w="1785" w:type="dxa"/>
            <w:vAlign w:val="center"/>
          </w:tcPr>
          <w:p w14:paraId="5B455518" w14:textId="1E1D7E06" w:rsidR="00FC53E7" w:rsidRPr="006D5292" w:rsidRDefault="00A53145" w:rsidP="00FC53E7">
            <w:pPr>
              <w:spacing w:after="120" w:line="360" w:lineRule="auto"/>
              <w:jc w:val="center"/>
              <w:rPr>
                <w:color w:val="000000" w:themeColor="text1"/>
              </w:rPr>
            </w:pPr>
            <w:r w:rsidRPr="006D5292">
              <w:rPr>
                <w:color w:val="000000" w:themeColor="text1"/>
              </w:rPr>
              <w:t>Low</w:t>
            </w:r>
          </w:p>
        </w:tc>
        <w:tc>
          <w:tcPr>
            <w:tcW w:w="1785" w:type="dxa"/>
            <w:vAlign w:val="center"/>
          </w:tcPr>
          <w:p w14:paraId="0DDE6565" w14:textId="2AF90A9C" w:rsidR="00FC53E7" w:rsidRPr="006D5292" w:rsidRDefault="00366BBF" w:rsidP="00FC53E7">
            <w:pPr>
              <w:spacing w:after="120" w:line="360" w:lineRule="auto"/>
              <w:jc w:val="center"/>
              <w:rPr>
                <w:color w:val="000000" w:themeColor="text1"/>
              </w:rPr>
            </w:pPr>
            <w:r w:rsidRPr="006D5292">
              <w:rPr>
                <w:color w:val="000000" w:themeColor="text1"/>
              </w:rPr>
              <w:t>Low</w:t>
            </w:r>
          </w:p>
        </w:tc>
        <w:tc>
          <w:tcPr>
            <w:tcW w:w="1786" w:type="dxa"/>
            <w:vAlign w:val="center"/>
          </w:tcPr>
          <w:p w14:paraId="27E487D8" w14:textId="77777777" w:rsidR="00FC53E7" w:rsidRPr="006D5292" w:rsidRDefault="00FC53E7" w:rsidP="00FC53E7">
            <w:pPr>
              <w:spacing w:after="120" w:line="360" w:lineRule="auto"/>
              <w:jc w:val="center"/>
              <w:rPr>
                <w:color w:val="000000" w:themeColor="text1"/>
              </w:rPr>
            </w:pPr>
            <w:r w:rsidRPr="006D5292">
              <w:rPr>
                <w:color w:val="000000" w:themeColor="text1"/>
              </w:rPr>
              <w:t>High</w:t>
            </w:r>
          </w:p>
        </w:tc>
      </w:tr>
    </w:tbl>
    <w:p w14:paraId="20A948DD" w14:textId="02623E93" w:rsidR="00FC53E7" w:rsidRPr="006D5292" w:rsidRDefault="00FC53E7" w:rsidP="00FC53E7">
      <w:pPr>
        <w:pStyle w:val="Caption"/>
        <w:keepNext/>
        <w:rPr>
          <w:color w:val="000000" w:themeColor="text1"/>
        </w:rPr>
      </w:pPr>
      <w:r w:rsidRPr="006D5292">
        <w:rPr>
          <w:color w:val="000000" w:themeColor="text1"/>
        </w:rPr>
        <w:t xml:space="preserve">Table </w:t>
      </w:r>
      <w:r w:rsidRPr="006D5292">
        <w:rPr>
          <w:color w:val="000000" w:themeColor="text1"/>
        </w:rPr>
        <w:fldChar w:fldCharType="begin"/>
      </w:r>
      <w:r w:rsidRPr="006D5292">
        <w:rPr>
          <w:color w:val="000000" w:themeColor="text1"/>
        </w:rPr>
        <w:instrText xml:space="preserve"> SEQ Table \* ARABIC </w:instrText>
      </w:r>
      <w:r w:rsidRPr="006D5292">
        <w:rPr>
          <w:color w:val="000000" w:themeColor="text1"/>
        </w:rPr>
        <w:fldChar w:fldCharType="separate"/>
      </w:r>
      <w:r w:rsidRPr="006D5292">
        <w:rPr>
          <w:noProof/>
          <w:color w:val="000000" w:themeColor="text1"/>
        </w:rPr>
        <w:t>1</w:t>
      </w:r>
      <w:r w:rsidRPr="006D5292">
        <w:rPr>
          <w:color w:val="000000" w:themeColor="text1"/>
        </w:rPr>
        <w:fldChar w:fldCharType="end"/>
      </w:r>
      <w:r w:rsidRPr="006D5292">
        <w:rPr>
          <w:color w:val="000000" w:themeColor="text1"/>
        </w:rPr>
        <w:t xml:space="preserve"> theoretically expected causes </w:t>
      </w:r>
      <w:r w:rsidR="00E8778A" w:rsidRPr="006D5292">
        <w:rPr>
          <w:color w:val="000000" w:themeColor="text1"/>
        </w:rPr>
        <w:t>and actual</w:t>
      </w:r>
      <w:r w:rsidRPr="006D5292">
        <w:rPr>
          <w:color w:val="000000" w:themeColor="text1"/>
        </w:rPr>
        <w:t xml:space="preserve"> empirical observations</w:t>
      </w:r>
    </w:p>
    <w:p w14:paraId="16264D07" w14:textId="77777777" w:rsidR="00FC53E7" w:rsidRPr="006D5292" w:rsidRDefault="00FC53E7" w:rsidP="00A35C83">
      <w:pPr>
        <w:spacing w:after="120" w:line="360" w:lineRule="auto"/>
        <w:jc w:val="both"/>
        <w:rPr>
          <w:color w:val="000000" w:themeColor="text1"/>
        </w:rPr>
      </w:pPr>
    </w:p>
    <w:p w14:paraId="51F92109" w14:textId="76AD7778" w:rsidR="00A53145" w:rsidRPr="006D5292" w:rsidRDefault="00FE7DEB" w:rsidP="00A53145">
      <w:pPr>
        <w:spacing w:after="120" w:line="360" w:lineRule="auto"/>
        <w:jc w:val="both"/>
        <w:rPr>
          <w:color w:val="000000" w:themeColor="text1"/>
        </w:rPr>
      </w:pPr>
      <w:r w:rsidRPr="006D5292">
        <w:rPr>
          <w:color w:val="000000" w:themeColor="text1"/>
        </w:rPr>
        <w:t xml:space="preserve">First, </w:t>
      </w:r>
      <w:r w:rsidR="00E8778A" w:rsidRPr="006D5292">
        <w:rPr>
          <w:color w:val="000000" w:themeColor="text1"/>
        </w:rPr>
        <w:t xml:space="preserve">I expected that EU high ambition would participate to explaining the creation of the FLEGT AP. </w:t>
      </w:r>
      <w:r w:rsidR="006D5292" w:rsidRPr="006D5292">
        <w:rPr>
          <w:color w:val="000000" w:themeColor="text1"/>
        </w:rPr>
        <w:t>Empirical observations reveal that t</w:t>
      </w:r>
      <w:r w:rsidRPr="006D5292">
        <w:rPr>
          <w:color w:val="000000" w:themeColor="text1"/>
        </w:rPr>
        <w:t>he EU had high ambitions regarding the creation of the FLEGT. It was clear at the creation of the bilateral scheme</w:t>
      </w:r>
      <w:r w:rsidR="006D5292" w:rsidRPr="006D5292">
        <w:rPr>
          <w:color w:val="000000" w:themeColor="text1"/>
        </w:rPr>
        <w:t xml:space="preserve">. The international context was keen on tackling deforestation through better forest </w:t>
      </w:r>
      <w:r w:rsidR="00EA2421">
        <w:rPr>
          <w:color w:val="000000" w:themeColor="text1"/>
        </w:rPr>
        <w:t xml:space="preserve">governance and law enforcement, but the EU was particularly active in this regard, and gave a sharper focus on forest governance issues. </w:t>
      </w:r>
      <w:r w:rsidR="006D5292" w:rsidRPr="006D5292">
        <w:rPr>
          <w:color w:val="000000" w:themeColor="text1"/>
        </w:rPr>
        <w:t>Besides, the EU was a first mover and only the EU linked it to partner national law, as the comparison with the US, Australian and Japan efforts reveals</w:t>
      </w:r>
      <w:r w:rsidRPr="006D5292">
        <w:rPr>
          <w:color w:val="000000" w:themeColor="text1"/>
        </w:rPr>
        <w:t xml:space="preserve">. </w:t>
      </w:r>
      <w:r w:rsidR="006D5292" w:rsidRPr="006D5292">
        <w:rPr>
          <w:color w:val="000000" w:themeColor="text1"/>
        </w:rPr>
        <w:t>The causal</w:t>
      </w:r>
      <w:r w:rsidRPr="006D5292">
        <w:rPr>
          <w:color w:val="000000" w:themeColor="text1"/>
        </w:rPr>
        <w:t xml:space="preserve"> </w:t>
      </w:r>
      <w:r w:rsidR="006D5292" w:rsidRPr="006D5292">
        <w:rPr>
          <w:color w:val="000000" w:themeColor="text1"/>
        </w:rPr>
        <w:t xml:space="preserve">expectation is consequently confirmed. </w:t>
      </w:r>
    </w:p>
    <w:p w14:paraId="73B683AC" w14:textId="5A89ADA9" w:rsidR="00366BBF" w:rsidRPr="00EA2421" w:rsidRDefault="00366BBF" w:rsidP="00366BBF">
      <w:pPr>
        <w:spacing w:after="120" w:line="360" w:lineRule="auto"/>
        <w:jc w:val="both"/>
        <w:rPr>
          <w:color w:val="000000" w:themeColor="text1"/>
        </w:rPr>
      </w:pPr>
      <w:r w:rsidRPr="006D5292">
        <w:rPr>
          <w:color w:val="000000" w:themeColor="text1"/>
        </w:rPr>
        <w:t xml:space="preserve">Second, </w:t>
      </w:r>
      <w:r w:rsidR="006D5292" w:rsidRPr="006D5292">
        <w:rPr>
          <w:color w:val="000000" w:themeColor="text1"/>
        </w:rPr>
        <w:t xml:space="preserve">I expected that high isolation from the international scene would contribute to the creation of the FLEGT AP. Empirical observation revealed that EU was clearly not isolated (hence ‘Low isolation’ in the table above) in its effort. Proof is the number of international initiatives that have bloomed since early 2000, and that the EU kept negotiating forest governance issues in multilateral tracks. It consequently does not participate to explaining FLEGT AP creation. The causal expectation is consequently disconfirmed. </w:t>
      </w:r>
      <w:r w:rsidRPr="006D5292">
        <w:rPr>
          <w:color w:val="000000" w:themeColor="text1"/>
        </w:rPr>
        <w:t xml:space="preserve">I assume that the lack of isolation could not offset EU low </w:t>
      </w:r>
      <w:r w:rsidR="00625833" w:rsidRPr="006D5292">
        <w:rPr>
          <w:color w:val="000000" w:themeColor="text1"/>
        </w:rPr>
        <w:t xml:space="preserve">relative </w:t>
      </w:r>
      <w:r w:rsidRPr="006D5292">
        <w:rPr>
          <w:color w:val="000000" w:themeColor="text1"/>
        </w:rPr>
        <w:t xml:space="preserve">bargaining power, especially </w:t>
      </w:r>
      <w:r w:rsidR="00625833" w:rsidRPr="006D5292">
        <w:rPr>
          <w:color w:val="000000" w:themeColor="text1"/>
        </w:rPr>
        <w:t xml:space="preserve">regarding who </w:t>
      </w:r>
      <w:r w:rsidR="00625833" w:rsidRPr="006D5292">
        <w:rPr>
          <w:color w:val="000000" w:themeColor="text1"/>
        </w:rPr>
        <w:lastRenderedPageBreak/>
        <w:t xml:space="preserve">the negotiation partners were. In </w:t>
      </w:r>
      <w:r w:rsidR="00EA2421">
        <w:rPr>
          <w:color w:val="000000" w:themeColor="text1"/>
        </w:rPr>
        <w:t>venues that had potential to endorse an initiative similar to FLEGT AP</w:t>
      </w:r>
      <w:r w:rsidR="00625833" w:rsidRPr="006D5292">
        <w:rPr>
          <w:color w:val="000000" w:themeColor="text1"/>
        </w:rPr>
        <w:t xml:space="preserve">, the EU shared its views with other ‘North’ countries. Just like the EU, these countries and their forests (when they have forests) do not lack forest law enforcement and governance. The potential FLEGT initiative then would not apply to them, lowering their credibility on the matter. </w:t>
      </w:r>
      <w:r w:rsidR="00EA2421">
        <w:rPr>
          <w:color w:val="000000" w:themeColor="text1"/>
        </w:rPr>
        <w:t xml:space="preserve">In this regard, I also assume that tackling forest governance issues bilaterally allowed the EU to evacuate the Brazil dissent, that generally blocks international forest discussions. It is also only bilaterally that the EU could provide a trade incentive </w:t>
      </w:r>
      <w:r w:rsidR="00625833" w:rsidRPr="006D5292">
        <w:rPr>
          <w:color w:val="000000" w:themeColor="text1"/>
        </w:rPr>
        <w:t xml:space="preserve">to reach out to timber producing countries. </w:t>
      </w:r>
    </w:p>
    <w:p w14:paraId="7F04E0A8" w14:textId="6918D5A1" w:rsidR="003C50DB" w:rsidRPr="006D5292" w:rsidRDefault="00366BBF" w:rsidP="00A35C83">
      <w:pPr>
        <w:spacing w:after="120" w:line="360" w:lineRule="auto"/>
        <w:jc w:val="both"/>
        <w:rPr>
          <w:color w:val="000000" w:themeColor="text1"/>
        </w:rPr>
      </w:pPr>
      <w:r w:rsidRPr="006D5292">
        <w:rPr>
          <w:color w:val="000000" w:themeColor="text1"/>
        </w:rPr>
        <w:t>Third</w:t>
      </w:r>
      <w:r w:rsidR="00E8778A" w:rsidRPr="006D5292">
        <w:rPr>
          <w:color w:val="000000" w:themeColor="text1"/>
        </w:rPr>
        <w:t xml:space="preserve">, </w:t>
      </w:r>
      <w:r w:rsidR="003C50DB" w:rsidRPr="006D5292">
        <w:rPr>
          <w:color w:val="000000" w:themeColor="text1"/>
        </w:rPr>
        <w:t>EU bargaining power was expected to be low in venues that could have hosted a FLEGT initiative. This was clearly the case when we look at the number of negotiation partners in venues that have discussed FLEGT</w:t>
      </w:r>
      <w:r w:rsidR="006D5292" w:rsidRPr="006D5292">
        <w:rPr>
          <w:color w:val="000000" w:themeColor="text1"/>
        </w:rPr>
        <w:t xml:space="preserve"> related issues</w:t>
      </w:r>
      <w:r w:rsidR="003C50DB" w:rsidRPr="006D5292">
        <w:rPr>
          <w:color w:val="000000" w:themeColor="text1"/>
        </w:rPr>
        <w:t xml:space="preserve"> (ITTO, WB, G8 and UNFF). EU bargaining power is diluted in multilateral venues. This is even amplified by the forest profile of negotiation partners in multilateral venues. Addressing forest issues with frosted countries that can coalesce to strengthen their argument against the EU ended up profitable for forested countries, detrimental to the EU. Addressing these countries one by one allows the EU to adopt tailor made solutions that do not raise concerns among the most forested countries. Besides, blocking countries such as Brazil are left out of the equation, rising the bargaining power of the EU. </w:t>
      </w:r>
      <w:r w:rsidR="006D5292" w:rsidRPr="006D5292">
        <w:rPr>
          <w:color w:val="000000" w:themeColor="text1"/>
        </w:rPr>
        <w:t>The causal expectation is confirmed.</w:t>
      </w:r>
    </w:p>
    <w:p w14:paraId="15495A65" w14:textId="36DF345D" w:rsidR="003C50DB" w:rsidRPr="006D5292" w:rsidRDefault="00366BBF" w:rsidP="00A35C83">
      <w:pPr>
        <w:spacing w:after="120" w:line="360" w:lineRule="auto"/>
        <w:jc w:val="both"/>
        <w:rPr>
          <w:color w:val="000000" w:themeColor="text1"/>
        </w:rPr>
      </w:pPr>
      <w:r w:rsidRPr="006D5292">
        <w:rPr>
          <w:color w:val="000000" w:themeColor="text1"/>
        </w:rPr>
        <w:t>Finally,</w:t>
      </w:r>
      <w:r w:rsidR="000A52EC" w:rsidRPr="006D5292">
        <w:rPr>
          <w:color w:val="000000" w:themeColor="text1"/>
        </w:rPr>
        <w:t xml:space="preserve"> </w:t>
      </w:r>
      <w:r w:rsidR="003C50DB" w:rsidRPr="006D5292">
        <w:rPr>
          <w:color w:val="000000" w:themeColor="text1"/>
        </w:rPr>
        <w:t xml:space="preserve">EU unity was also expected to contribute to explaining the creation of FLEGT AP. EU actors was overall united. In the Commission, disagreements were more grounded in perplexity than in real conflict of interest. They were not as different as irreconcilable. In the Council, member states were generally positive about the FLEGT AP. The only dissention was emanating from a lack of interest rather than from conflict of interest. </w:t>
      </w:r>
    </w:p>
    <w:p w14:paraId="0BF6A9ED" w14:textId="77777777" w:rsidR="00804361" w:rsidRDefault="00804361" w:rsidP="005066B9">
      <w:pPr>
        <w:spacing w:after="120" w:line="360" w:lineRule="auto"/>
        <w:jc w:val="both"/>
      </w:pPr>
    </w:p>
    <w:p w14:paraId="10E19396" w14:textId="77777777" w:rsidR="00804361" w:rsidRPr="008B7FDE" w:rsidRDefault="00A35C83" w:rsidP="006E4409">
      <w:pPr>
        <w:pStyle w:val="ListParagraph"/>
        <w:numPr>
          <w:ilvl w:val="0"/>
          <w:numId w:val="1"/>
        </w:numPr>
        <w:spacing w:after="120" w:line="360" w:lineRule="auto"/>
        <w:jc w:val="both"/>
        <w:rPr>
          <w:color w:val="000000" w:themeColor="text1"/>
        </w:rPr>
      </w:pPr>
      <w:r w:rsidRPr="008B7FDE">
        <w:rPr>
          <w:color w:val="000000" w:themeColor="text1"/>
        </w:rPr>
        <w:t>Conclusion</w:t>
      </w:r>
    </w:p>
    <w:p w14:paraId="2E3D5F4B" w14:textId="50920408" w:rsidR="00EB7D8C" w:rsidRDefault="00826ABA" w:rsidP="005066B9">
      <w:pPr>
        <w:spacing w:after="120" w:line="360" w:lineRule="auto"/>
        <w:jc w:val="both"/>
        <w:rPr>
          <w:color w:val="000000" w:themeColor="text1"/>
        </w:rPr>
      </w:pPr>
      <w:r w:rsidRPr="008B7FDE">
        <w:rPr>
          <w:color w:val="000000" w:themeColor="text1"/>
        </w:rPr>
        <w:t>Going</w:t>
      </w:r>
      <w:r w:rsidR="004516CA" w:rsidRPr="008B7FDE">
        <w:rPr>
          <w:color w:val="000000" w:themeColor="text1"/>
        </w:rPr>
        <w:t xml:space="preserve"> back to the initial puzzles, this </w:t>
      </w:r>
      <w:r w:rsidR="00B63FB6">
        <w:rPr>
          <w:color w:val="000000" w:themeColor="text1"/>
        </w:rPr>
        <w:t>paper</w:t>
      </w:r>
      <w:r w:rsidR="00E8778A" w:rsidRPr="008B7FDE">
        <w:rPr>
          <w:color w:val="000000" w:themeColor="text1"/>
        </w:rPr>
        <w:t xml:space="preserve"> contributes to </w:t>
      </w:r>
      <w:r w:rsidR="00827052" w:rsidRPr="008B7FDE">
        <w:rPr>
          <w:color w:val="000000" w:themeColor="text1"/>
        </w:rPr>
        <w:t>disperse</w:t>
      </w:r>
      <w:r w:rsidR="004516CA" w:rsidRPr="008B7FDE">
        <w:rPr>
          <w:color w:val="000000" w:themeColor="text1"/>
        </w:rPr>
        <w:t xml:space="preserve"> </w:t>
      </w:r>
      <w:r w:rsidR="001643C7" w:rsidRPr="008B7FDE">
        <w:rPr>
          <w:color w:val="000000" w:themeColor="text1"/>
        </w:rPr>
        <w:t xml:space="preserve">clouds </w:t>
      </w:r>
      <w:r w:rsidR="00827052" w:rsidRPr="008B7FDE">
        <w:rPr>
          <w:color w:val="000000" w:themeColor="text1"/>
        </w:rPr>
        <w:t>surrounding</w:t>
      </w:r>
      <w:r w:rsidR="001643C7" w:rsidRPr="008B7FDE">
        <w:rPr>
          <w:color w:val="000000" w:themeColor="text1"/>
        </w:rPr>
        <w:t xml:space="preserve"> the creation of the FLEGT AP</w:t>
      </w:r>
      <w:r w:rsidR="006D5292" w:rsidRPr="008B7FDE">
        <w:rPr>
          <w:color w:val="000000" w:themeColor="text1"/>
        </w:rPr>
        <w:t>.</w:t>
      </w:r>
      <w:r w:rsidR="008B7FDE" w:rsidRPr="008B7FDE">
        <w:rPr>
          <w:color w:val="000000" w:themeColor="text1"/>
        </w:rPr>
        <w:t xml:space="preserve"> </w:t>
      </w:r>
      <w:r w:rsidRPr="008B7FDE">
        <w:rPr>
          <w:color w:val="000000" w:themeColor="text1"/>
        </w:rPr>
        <w:t>Relying on minimalist process-tracing, the analysis reveals that some causes contributed to the creation of the FLEGT AP</w:t>
      </w:r>
      <w:r w:rsidR="00907F80">
        <w:rPr>
          <w:color w:val="000000" w:themeColor="text1"/>
        </w:rPr>
        <w:t xml:space="preserve"> (relative bargaining power, ambition and internal unity)</w:t>
      </w:r>
      <w:r w:rsidRPr="008B7FDE">
        <w:rPr>
          <w:color w:val="000000" w:themeColor="text1"/>
        </w:rPr>
        <w:t xml:space="preserve">, </w:t>
      </w:r>
      <w:r w:rsidR="00907F80">
        <w:rPr>
          <w:color w:val="000000" w:themeColor="text1"/>
        </w:rPr>
        <w:t>another did not (isolation)</w:t>
      </w:r>
      <w:r w:rsidRPr="008B7FDE">
        <w:rPr>
          <w:color w:val="000000" w:themeColor="text1"/>
        </w:rPr>
        <w:t>. Despite keen interest from the international community and shared ambitions, the EU did not manage to reach multilateral FLEG</w:t>
      </w:r>
      <w:r w:rsidR="00D77289">
        <w:rPr>
          <w:color w:val="000000" w:themeColor="text1"/>
        </w:rPr>
        <w:t>T</w:t>
      </w:r>
      <w:r w:rsidRPr="008B7FDE">
        <w:rPr>
          <w:color w:val="000000" w:themeColor="text1"/>
        </w:rPr>
        <w:t xml:space="preserve"> </w:t>
      </w:r>
      <w:r w:rsidRPr="008B7FDE">
        <w:rPr>
          <w:color w:val="000000" w:themeColor="text1"/>
        </w:rPr>
        <w:lastRenderedPageBreak/>
        <w:t xml:space="preserve">agreement. EU low relative bargaining power in the international forest regime complex was offset by engaging in </w:t>
      </w:r>
      <w:r w:rsidRPr="00EB7D8C">
        <w:rPr>
          <w:color w:val="000000" w:themeColor="text1"/>
          <w:u w:val="single"/>
        </w:rPr>
        <w:t>bilateral</w:t>
      </w:r>
      <w:r w:rsidRPr="00EB7D8C">
        <w:rPr>
          <w:color w:val="000000" w:themeColor="text1"/>
        </w:rPr>
        <w:t xml:space="preserve"> </w:t>
      </w:r>
      <w:r w:rsidRPr="00EB7D8C">
        <w:rPr>
          <w:color w:val="000000" w:themeColor="text1"/>
          <w:u w:val="single"/>
        </w:rPr>
        <w:t>trade</w:t>
      </w:r>
      <w:r w:rsidRPr="008B7FDE">
        <w:rPr>
          <w:color w:val="000000" w:themeColor="text1"/>
        </w:rPr>
        <w:t xml:space="preserve"> agreements. The EU engaged in a way it is an interesting partner for forested countries</w:t>
      </w:r>
      <w:r w:rsidR="00BF58A7">
        <w:rPr>
          <w:color w:val="000000" w:themeColor="text1"/>
        </w:rPr>
        <w:t>, in two respects</w:t>
      </w:r>
      <w:r w:rsidRPr="008B7FDE">
        <w:rPr>
          <w:color w:val="000000" w:themeColor="text1"/>
        </w:rPr>
        <w:t xml:space="preserve">. </w:t>
      </w:r>
      <w:r w:rsidR="00BF58A7">
        <w:rPr>
          <w:color w:val="000000" w:themeColor="text1"/>
        </w:rPr>
        <w:t>On the one hand, b</w:t>
      </w:r>
      <w:r w:rsidR="0011591D" w:rsidRPr="008B7FDE">
        <w:rPr>
          <w:color w:val="000000" w:themeColor="text1"/>
        </w:rPr>
        <w:t>ilateralism enables EU interests not to be di</w:t>
      </w:r>
      <w:r w:rsidR="00D77289">
        <w:rPr>
          <w:color w:val="000000" w:themeColor="text1"/>
        </w:rPr>
        <w:t>luted in a sea of interests</w:t>
      </w:r>
      <w:r w:rsidR="00BF58A7">
        <w:rPr>
          <w:color w:val="000000" w:themeColor="text1"/>
        </w:rPr>
        <w:t xml:space="preserve"> and evacuate the most problematic negotiation partners in multilateral venues</w:t>
      </w:r>
      <w:r w:rsidR="00D77289">
        <w:rPr>
          <w:color w:val="000000" w:themeColor="text1"/>
        </w:rPr>
        <w:t xml:space="preserve">. </w:t>
      </w:r>
      <w:r w:rsidR="00BF58A7">
        <w:rPr>
          <w:color w:val="000000" w:themeColor="text1"/>
        </w:rPr>
        <w:t>On the other hand,</w:t>
      </w:r>
      <w:r w:rsidR="0011591D" w:rsidRPr="008B7FDE">
        <w:rPr>
          <w:color w:val="000000" w:themeColor="text1"/>
        </w:rPr>
        <w:t xml:space="preserve"> the EU is an important trade partner to most timber producing countries. The EU takes advantage of its market power to incentivise partner countries to better forest governance and law enforcement. </w:t>
      </w:r>
      <w:r w:rsidR="00EB7D8C" w:rsidRPr="008B7FDE">
        <w:rPr>
          <w:color w:val="000000" w:themeColor="text1"/>
        </w:rPr>
        <w:t xml:space="preserve">Knowing that, it is not surprising anymore that the EU adopted a bilateral path. Its relative bargaining power is higher in bilateral settings, its </w:t>
      </w:r>
      <w:r w:rsidR="00EB7D8C">
        <w:rPr>
          <w:color w:val="000000" w:themeColor="text1"/>
        </w:rPr>
        <w:t xml:space="preserve">(trade partner) </w:t>
      </w:r>
      <w:r w:rsidR="00EB7D8C" w:rsidRPr="008B7FDE">
        <w:rPr>
          <w:color w:val="000000" w:themeColor="text1"/>
        </w:rPr>
        <w:t>profile is more convincing</w:t>
      </w:r>
      <w:r w:rsidR="00EB7D8C">
        <w:rPr>
          <w:color w:val="000000" w:themeColor="text1"/>
        </w:rPr>
        <w:t xml:space="preserve">, and the negotiation and implementation burden is low. </w:t>
      </w:r>
      <w:r w:rsidR="00EB7D8C" w:rsidRPr="008B7FDE">
        <w:rPr>
          <w:color w:val="000000" w:themeColor="text1"/>
        </w:rPr>
        <w:t xml:space="preserve">EU </w:t>
      </w:r>
      <w:r w:rsidR="00EB7D8C">
        <w:rPr>
          <w:color w:val="000000" w:themeColor="text1"/>
        </w:rPr>
        <w:t>well-accepted will to adopt ‘multilateral solutions to common problems’</w:t>
      </w:r>
      <w:r w:rsidR="00EB7D8C" w:rsidRPr="008B7FDE">
        <w:rPr>
          <w:color w:val="000000" w:themeColor="text1"/>
        </w:rPr>
        <w:t xml:space="preserve"> identity ends up questioned. The analysis also sheds light on the international forest regime complex. It seems that the commonly accepted multilateralism when it comes to solving common problems is not </w:t>
      </w:r>
      <w:r w:rsidR="00EB7D8C">
        <w:rPr>
          <w:color w:val="000000" w:themeColor="text1"/>
        </w:rPr>
        <w:t>always a road the international community can take</w:t>
      </w:r>
      <w:r w:rsidR="00EB7D8C" w:rsidRPr="008B7FDE">
        <w:rPr>
          <w:color w:val="000000" w:themeColor="text1"/>
        </w:rPr>
        <w:t xml:space="preserve">. When I look at world forest politics overtime (from the early 90s until today), I </w:t>
      </w:r>
      <w:r w:rsidR="00EB7D8C">
        <w:rPr>
          <w:color w:val="000000" w:themeColor="text1"/>
        </w:rPr>
        <w:t xml:space="preserve">notice that multilateral forest negotiations reach ineffective outcomes, and </w:t>
      </w:r>
      <w:r w:rsidR="00EB7D8C" w:rsidRPr="008B7FDE">
        <w:rPr>
          <w:color w:val="000000" w:themeColor="text1"/>
        </w:rPr>
        <w:t>see a shift from large multilateral negotiations to small groups of negotiations, su</w:t>
      </w:r>
      <w:r w:rsidR="00EB7D8C">
        <w:rPr>
          <w:color w:val="000000" w:themeColor="text1"/>
        </w:rPr>
        <w:t xml:space="preserve">rrounding specific interests or perspective on forests (such as trade, climate), </w:t>
      </w:r>
      <w:r w:rsidR="00EB7D8C" w:rsidRPr="008B7FDE">
        <w:rPr>
          <w:color w:val="000000" w:themeColor="text1"/>
        </w:rPr>
        <w:t xml:space="preserve">a limited number of actors (such at the FLEGT AP) or geographical acquaintance, that produce more tangible </w:t>
      </w:r>
      <w:r w:rsidR="00EB7D8C">
        <w:rPr>
          <w:color w:val="000000" w:themeColor="text1"/>
        </w:rPr>
        <w:t>outcomes that the regime in a large sense. Effective policy making ends up solely relying on the most concerned stakeholders, that share a problem or cause a problem. The rest of the international community is left out, which is basically what the EU does while engaging bilaterally under FLEGT.</w:t>
      </w:r>
    </w:p>
    <w:p w14:paraId="68A5FCCB" w14:textId="0A1E34BD" w:rsidR="00355AF4" w:rsidRDefault="00490796" w:rsidP="005066B9">
      <w:pPr>
        <w:spacing w:after="120" w:line="360" w:lineRule="auto"/>
        <w:jc w:val="both"/>
        <w:rPr>
          <w:color w:val="000000" w:themeColor="text1"/>
        </w:rPr>
      </w:pPr>
      <w:r>
        <w:rPr>
          <w:color w:val="000000" w:themeColor="text1"/>
        </w:rPr>
        <w:t>T</w:t>
      </w:r>
      <w:r w:rsidR="00006E89">
        <w:rPr>
          <w:color w:val="000000" w:themeColor="text1"/>
        </w:rPr>
        <w:t xml:space="preserve">he </w:t>
      </w:r>
      <w:r>
        <w:rPr>
          <w:color w:val="000000" w:themeColor="text1"/>
        </w:rPr>
        <w:t>idea that the problem of illegal logging was not only emanating from timber producing countries but was also timber importer responsibility</w:t>
      </w:r>
      <w:r w:rsidR="00355AF4">
        <w:rPr>
          <w:color w:val="000000" w:themeColor="text1"/>
        </w:rPr>
        <w:t xml:space="preserve"> </w:t>
      </w:r>
      <w:r>
        <w:rPr>
          <w:color w:val="000000" w:themeColor="text1"/>
        </w:rPr>
        <w:t>changed t</w:t>
      </w:r>
      <w:r w:rsidR="00355AF4">
        <w:rPr>
          <w:color w:val="000000" w:themeColor="text1"/>
        </w:rPr>
        <w:t>he</w:t>
      </w:r>
      <w:r>
        <w:rPr>
          <w:color w:val="000000" w:themeColor="text1"/>
        </w:rPr>
        <w:t xml:space="preserve"> political focus of forest law enforcement and governance discussions. </w:t>
      </w:r>
      <w:r w:rsidR="00BF58A7">
        <w:rPr>
          <w:color w:val="000000" w:themeColor="text1"/>
        </w:rPr>
        <w:t xml:space="preserve">Not only timber producers are labelled as cause of the problem of deforestation. Timber consumers are as well. Sharing the deforestation </w:t>
      </w:r>
      <w:proofErr w:type="gramStart"/>
      <w:r w:rsidR="00BF58A7">
        <w:rPr>
          <w:color w:val="000000" w:themeColor="text1"/>
        </w:rPr>
        <w:t>cause</w:t>
      </w:r>
      <w:proofErr w:type="gramEnd"/>
      <w:r w:rsidR="00BF58A7">
        <w:rPr>
          <w:color w:val="000000" w:themeColor="text1"/>
        </w:rPr>
        <w:t xml:space="preserve"> load is, to my eyes, an important breakthrough</w:t>
      </w:r>
      <w:r w:rsidR="00487AFD">
        <w:rPr>
          <w:color w:val="000000" w:themeColor="text1"/>
        </w:rPr>
        <w:t xml:space="preserve"> in the international forest regime. I feel that there has been frustration emanating from timber producing countries to be named and shamed for poor forest governance by countries that commercially benefit from it. Even if the FLEGT AP does not constrain the EU in any way, EU involvement through FLEGT actions </w:t>
      </w:r>
      <w:r w:rsidR="00487AFD">
        <w:rPr>
          <w:color w:val="000000" w:themeColor="text1"/>
        </w:rPr>
        <w:lastRenderedPageBreak/>
        <w:t xml:space="preserve">provided the EU with a clearer partner profile, discharging the EU from </w:t>
      </w:r>
      <w:r w:rsidR="00EB7D8C">
        <w:rPr>
          <w:color w:val="000000" w:themeColor="text1"/>
        </w:rPr>
        <w:t>its</w:t>
      </w:r>
      <w:r w:rsidR="00487AFD">
        <w:rPr>
          <w:color w:val="000000" w:themeColor="text1"/>
        </w:rPr>
        <w:t xml:space="preserve"> discrediting condescending </w:t>
      </w:r>
      <w:r w:rsidR="00355AF4">
        <w:rPr>
          <w:color w:val="000000" w:themeColor="text1"/>
        </w:rPr>
        <w:t>approach to sustainable forest management</w:t>
      </w:r>
      <w:r w:rsidR="00487AFD">
        <w:rPr>
          <w:color w:val="000000" w:themeColor="text1"/>
        </w:rPr>
        <w:t xml:space="preserve">. </w:t>
      </w:r>
    </w:p>
    <w:p w14:paraId="61A8C476" w14:textId="17DD06C4" w:rsidR="00907F80" w:rsidRDefault="00355AF4" w:rsidP="005066B9">
      <w:pPr>
        <w:spacing w:after="120" w:line="360" w:lineRule="auto"/>
        <w:jc w:val="both"/>
        <w:rPr>
          <w:color w:val="000000" w:themeColor="text1"/>
        </w:rPr>
      </w:pPr>
      <w:r>
        <w:rPr>
          <w:color w:val="000000" w:themeColor="text1"/>
        </w:rPr>
        <w:t>International FLEGT</w:t>
      </w:r>
      <w:r w:rsidR="0075545B">
        <w:rPr>
          <w:color w:val="000000" w:themeColor="text1"/>
        </w:rPr>
        <w:t xml:space="preserve"> </w:t>
      </w:r>
      <w:r>
        <w:rPr>
          <w:color w:val="000000" w:themeColor="text1"/>
        </w:rPr>
        <w:t xml:space="preserve">discussions </w:t>
      </w:r>
      <w:r w:rsidR="0075545B">
        <w:rPr>
          <w:color w:val="000000" w:themeColor="text1"/>
        </w:rPr>
        <w:t>could have logically taken this path: gathering around the negotiation table timber producers and timber consumers exclusively. The ITTO would seem an a</w:t>
      </w:r>
      <w:r w:rsidR="00EB7D8C">
        <w:rPr>
          <w:color w:val="000000" w:themeColor="text1"/>
        </w:rPr>
        <w:t>ppropriate</w:t>
      </w:r>
      <w:r w:rsidR="0075545B">
        <w:rPr>
          <w:color w:val="000000" w:themeColor="text1"/>
        </w:rPr>
        <w:t xml:space="preserve"> venue to tackle this issue, as it</w:t>
      </w:r>
      <w:r w:rsidR="00EB7D8C">
        <w:rPr>
          <w:color w:val="000000" w:themeColor="text1"/>
        </w:rPr>
        <w:t>s 63</w:t>
      </w:r>
      <w:r w:rsidR="0075545B">
        <w:rPr>
          <w:color w:val="000000" w:themeColor="text1"/>
        </w:rPr>
        <w:t xml:space="preserve"> </w:t>
      </w:r>
      <w:r w:rsidR="00EB7D8C">
        <w:rPr>
          <w:color w:val="000000" w:themeColor="text1"/>
        </w:rPr>
        <w:t>members are divided into</w:t>
      </w:r>
      <w:r w:rsidR="0075545B">
        <w:rPr>
          <w:color w:val="000000" w:themeColor="text1"/>
        </w:rPr>
        <w:t xml:space="preserve"> two caucuses: timber producers and timber consumers. All parts of the FLEGT issue, and only them, are around ITTO table. Hence, a multilateral venue to tackle FLEGT issues could still be ITTO. This is particularly true sine ITTO actions articulate around specific projects that do not necessarily involve all ITTO members. The EU could have engaged in FLEGT actions with specific countries through ITTO. Still, the EU took a bilateral path. </w:t>
      </w:r>
      <w:r w:rsidR="00907F80">
        <w:rPr>
          <w:color w:val="000000" w:themeColor="text1"/>
        </w:rPr>
        <w:t xml:space="preserve">Intuitively, I would argue that this puzzle solution lies in the presence at ITTO of a </w:t>
      </w:r>
      <w:r w:rsidR="0075545B">
        <w:rPr>
          <w:color w:val="000000" w:themeColor="text1"/>
        </w:rPr>
        <w:t>couple of countries whose interests go against EU interests</w:t>
      </w:r>
      <w:r w:rsidR="00907F80">
        <w:rPr>
          <w:color w:val="000000" w:themeColor="text1"/>
        </w:rPr>
        <w:t xml:space="preserve">. It </w:t>
      </w:r>
      <w:r w:rsidR="0075545B">
        <w:rPr>
          <w:color w:val="000000" w:themeColor="text1"/>
        </w:rPr>
        <w:t>is decisive</w:t>
      </w:r>
      <w:r w:rsidR="00907F80">
        <w:rPr>
          <w:color w:val="000000" w:themeColor="text1"/>
        </w:rPr>
        <w:t xml:space="preserve"> </w:t>
      </w:r>
      <w:r w:rsidR="0075545B">
        <w:rPr>
          <w:color w:val="000000" w:themeColor="text1"/>
        </w:rPr>
        <w:t xml:space="preserve">for two reasons: they can block negotiations, and they can </w:t>
      </w:r>
      <w:r w:rsidR="00907F80">
        <w:rPr>
          <w:color w:val="000000" w:themeColor="text1"/>
        </w:rPr>
        <w:t xml:space="preserve">surround themselves and build their own coalition. </w:t>
      </w:r>
      <w:r w:rsidR="00EB7D8C">
        <w:rPr>
          <w:color w:val="000000" w:themeColor="text1"/>
        </w:rPr>
        <w:t xml:space="preserve">On top of that, the negotiation burden of creating FLEGT AP was probably less important that the </w:t>
      </w:r>
      <w:proofErr w:type="gramStart"/>
      <w:r w:rsidR="00EB7D8C">
        <w:rPr>
          <w:color w:val="000000" w:themeColor="text1"/>
        </w:rPr>
        <w:t>one of</w:t>
      </w:r>
      <w:proofErr w:type="gramEnd"/>
      <w:r w:rsidR="00EB7D8C">
        <w:rPr>
          <w:color w:val="000000" w:themeColor="text1"/>
        </w:rPr>
        <w:t xml:space="preserve"> engaging actively in overcoming bargaining power shortfall to adopt a similar FLEGT initiative under </w:t>
      </w:r>
      <w:r w:rsidR="00523599">
        <w:rPr>
          <w:color w:val="000000" w:themeColor="text1"/>
        </w:rPr>
        <w:t xml:space="preserve">ITTO or any </w:t>
      </w:r>
      <w:r w:rsidR="00EB7D8C">
        <w:rPr>
          <w:color w:val="000000" w:themeColor="text1"/>
        </w:rPr>
        <w:t xml:space="preserve">another umbrella. </w:t>
      </w:r>
    </w:p>
    <w:p w14:paraId="5BDED735" w14:textId="3754A4D9" w:rsidR="001643C7" w:rsidRPr="008B7FDE" w:rsidRDefault="00523599" w:rsidP="005066B9">
      <w:pPr>
        <w:spacing w:after="120" w:line="360" w:lineRule="auto"/>
        <w:jc w:val="both"/>
        <w:rPr>
          <w:color w:val="000000" w:themeColor="text1"/>
        </w:rPr>
      </w:pPr>
      <w:r>
        <w:rPr>
          <w:color w:val="000000" w:themeColor="text1"/>
        </w:rPr>
        <w:t>Finally</w:t>
      </w:r>
      <w:r w:rsidR="001643C7" w:rsidRPr="008B7FDE">
        <w:rPr>
          <w:color w:val="000000" w:themeColor="text1"/>
        </w:rPr>
        <w:t xml:space="preserve">, forests were clearly not on top of EU political agenda. </w:t>
      </w:r>
      <w:r>
        <w:rPr>
          <w:color w:val="000000" w:themeColor="text1"/>
        </w:rPr>
        <w:t xml:space="preserve">The EU created the FLEGT AP anyway. </w:t>
      </w:r>
      <w:r w:rsidR="00D77289">
        <w:rPr>
          <w:color w:val="000000" w:themeColor="text1"/>
        </w:rPr>
        <w:t xml:space="preserve">Two points deserve attention. </w:t>
      </w:r>
      <w:proofErr w:type="gramStart"/>
      <w:r w:rsidR="004E4683">
        <w:rPr>
          <w:color w:val="000000" w:themeColor="text1"/>
        </w:rPr>
        <w:t>First</w:t>
      </w:r>
      <w:proofErr w:type="gramEnd"/>
      <w:r w:rsidR="004E4683">
        <w:rPr>
          <w:color w:val="000000" w:themeColor="text1"/>
        </w:rPr>
        <w:t xml:space="preserve"> </w:t>
      </w:r>
      <w:r w:rsidR="001643C7" w:rsidRPr="008B7FDE">
        <w:rPr>
          <w:color w:val="000000" w:themeColor="text1"/>
        </w:rPr>
        <w:t xml:space="preserve">I </w:t>
      </w:r>
      <w:r w:rsidR="008B7FDE" w:rsidRPr="008B7FDE">
        <w:rPr>
          <w:color w:val="000000" w:themeColor="text1"/>
        </w:rPr>
        <w:t>consider</w:t>
      </w:r>
      <w:r w:rsidR="001643C7" w:rsidRPr="008B7FDE">
        <w:rPr>
          <w:color w:val="000000" w:themeColor="text1"/>
        </w:rPr>
        <w:t xml:space="preserve"> that the low </w:t>
      </w:r>
      <w:r w:rsidR="0011591D" w:rsidRPr="008B7FDE">
        <w:rPr>
          <w:color w:val="000000" w:themeColor="text1"/>
        </w:rPr>
        <w:t>political importance</w:t>
      </w:r>
      <w:r w:rsidR="001643C7" w:rsidRPr="008B7FDE">
        <w:rPr>
          <w:color w:val="000000" w:themeColor="text1"/>
        </w:rPr>
        <w:t xml:space="preserve"> </w:t>
      </w:r>
      <w:r w:rsidR="000B610F" w:rsidRPr="008B7FDE">
        <w:rPr>
          <w:color w:val="000000" w:themeColor="text1"/>
        </w:rPr>
        <w:t xml:space="preserve">actually </w:t>
      </w:r>
      <w:r>
        <w:rPr>
          <w:color w:val="000000" w:themeColor="text1"/>
        </w:rPr>
        <w:t>facilitated</w:t>
      </w:r>
      <w:r w:rsidR="001643C7" w:rsidRPr="008B7FDE">
        <w:rPr>
          <w:color w:val="000000" w:themeColor="text1"/>
        </w:rPr>
        <w:t xml:space="preserve"> the EU to </w:t>
      </w:r>
      <w:r w:rsidR="000B610F" w:rsidRPr="008B7FDE">
        <w:rPr>
          <w:color w:val="000000" w:themeColor="text1"/>
        </w:rPr>
        <w:t xml:space="preserve">adopt the FLEGT AP. Internally, the negotiation burden was not cumbersome, and most EU actors had little interest in its development. What mattered </w:t>
      </w:r>
      <w:r>
        <w:rPr>
          <w:color w:val="000000" w:themeColor="text1"/>
        </w:rPr>
        <w:t xml:space="preserve">to EU actors </w:t>
      </w:r>
      <w:r w:rsidR="000B610F" w:rsidRPr="008B7FDE">
        <w:rPr>
          <w:color w:val="000000" w:themeColor="text1"/>
        </w:rPr>
        <w:t>was to design something that would not jeopardise EU internal and external policies. The FLEGT AP only applies outside EU boarders (and actually costs nearly nothing</w:t>
      </w:r>
      <w:r w:rsidR="0011591D" w:rsidRPr="008B7FDE">
        <w:rPr>
          <w:color w:val="000000" w:themeColor="text1"/>
        </w:rPr>
        <w:t xml:space="preserve"> to be implemented</w:t>
      </w:r>
      <w:r w:rsidR="000B610F" w:rsidRPr="008B7FDE">
        <w:rPr>
          <w:color w:val="000000" w:themeColor="text1"/>
        </w:rPr>
        <w:t>), so this has not been an issue. On the contrary,</w:t>
      </w:r>
      <w:r w:rsidR="004E4683">
        <w:rPr>
          <w:color w:val="000000" w:themeColor="text1"/>
        </w:rPr>
        <w:t xml:space="preserve"> constituting my second observation,</w:t>
      </w:r>
      <w:r w:rsidR="000B610F" w:rsidRPr="008B7FDE">
        <w:rPr>
          <w:color w:val="000000" w:themeColor="text1"/>
        </w:rPr>
        <w:t xml:space="preserve"> the EU played its market power card to ensure timber imports and convince at the same time negotiation partners to agree on voluntary partnerships. The focus on trade, which is of high importance for both the EU and negotiation partners, rose the profile of </w:t>
      </w:r>
      <w:r w:rsidR="008B7FDE" w:rsidRPr="008B7FDE">
        <w:rPr>
          <w:color w:val="000000" w:themeColor="text1"/>
        </w:rPr>
        <w:t xml:space="preserve">forest governance </w:t>
      </w:r>
      <w:r w:rsidR="000B610F" w:rsidRPr="008B7FDE">
        <w:rPr>
          <w:color w:val="000000" w:themeColor="text1"/>
        </w:rPr>
        <w:t>both within the EU and in the rest of the world.</w:t>
      </w:r>
      <w:r w:rsidR="004E4683">
        <w:rPr>
          <w:color w:val="000000" w:themeColor="text1"/>
        </w:rPr>
        <w:t xml:space="preserve"> However, it did not aim to contribute as such to forest ecosystem services. </w:t>
      </w:r>
    </w:p>
    <w:p w14:paraId="524B8A23" w14:textId="43D85D8D" w:rsidR="00804361" w:rsidRDefault="00804361" w:rsidP="005066B9">
      <w:pPr>
        <w:spacing w:after="120" w:line="360" w:lineRule="auto"/>
        <w:jc w:val="both"/>
        <w:rPr>
          <w:color w:val="4472C4" w:themeColor="accent1"/>
        </w:rPr>
      </w:pPr>
    </w:p>
    <w:p w14:paraId="5E89C4CF" w14:textId="66502A30" w:rsidR="00E858ED" w:rsidRDefault="00E858ED">
      <w:r>
        <w:br w:type="page"/>
      </w:r>
    </w:p>
    <w:p w14:paraId="36FF536E" w14:textId="77777777" w:rsidR="00804361" w:rsidRDefault="00804361" w:rsidP="005066B9">
      <w:pPr>
        <w:spacing w:after="120" w:line="360" w:lineRule="auto"/>
        <w:jc w:val="both"/>
      </w:pPr>
    </w:p>
    <w:p w14:paraId="7C308051" w14:textId="5A0E2861" w:rsidR="00804361" w:rsidRDefault="00804361" w:rsidP="005066B9">
      <w:pPr>
        <w:spacing w:after="120" w:line="360" w:lineRule="auto"/>
        <w:jc w:val="both"/>
      </w:pPr>
      <w:r>
        <w:t>References</w:t>
      </w:r>
    </w:p>
    <w:p w14:paraId="6C2FFCC2" w14:textId="106071E8" w:rsidR="00AA0B29" w:rsidRDefault="00AA0B29" w:rsidP="005066B9">
      <w:pPr>
        <w:spacing w:after="120" w:line="360" w:lineRule="auto"/>
        <w:jc w:val="both"/>
      </w:pPr>
      <w:proofErr w:type="spellStart"/>
      <w:r>
        <w:t>Bäckstrand</w:t>
      </w:r>
      <w:proofErr w:type="spellEnd"/>
      <w:r>
        <w:t xml:space="preserve">, K., </w:t>
      </w:r>
      <w:proofErr w:type="spellStart"/>
      <w:r>
        <w:t>Elgström</w:t>
      </w:r>
      <w:proofErr w:type="spellEnd"/>
      <w:r>
        <w:t>, O. (2013). The EU’s role in climate change negotiations: from leader to ‘</w:t>
      </w:r>
      <w:proofErr w:type="spellStart"/>
      <w:r>
        <w:t>leadiator</w:t>
      </w:r>
      <w:proofErr w:type="spellEnd"/>
      <w:r>
        <w:t>’. Journal of European Public Policy 20(10): 1369-1386.</w:t>
      </w:r>
    </w:p>
    <w:p w14:paraId="3782373E" w14:textId="77777777" w:rsidR="0040497B" w:rsidRPr="0003139B" w:rsidRDefault="0040497B" w:rsidP="0003139B">
      <w:pPr>
        <w:spacing w:after="120" w:line="276" w:lineRule="auto"/>
        <w:jc w:val="both"/>
        <w:rPr>
          <w:color w:val="000000" w:themeColor="text1"/>
        </w:rPr>
      </w:pPr>
      <w:r w:rsidRPr="0003139B">
        <w:rPr>
          <w:color w:val="000000" w:themeColor="text1"/>
        </w:rPr>
        <w:t xml:space="preserve">Beach, D. and R. B. Pedersen. 2019. Process Tracing Methods: Foundations and Guidelines. Ann </w:t>
      </w:r>
      <w:proofErr w:type="spellStart"/>
      <w:r w:rsidRPr="0003139B">
        <w:rPr>
          <w:color w:val="000000" w:themeColor="text1"/>
        </w:rPr>
        <w:t>Arbor</w:t>
      </w:r>
      <w:proofErr w:type="spellEnd"/>
      <w:r w:rsidRPr="0003139B">
        <w:rPr>
          <w:color w:val="000000" w:themeColor="text1"/>
        </w:rPr>
        <w:t>: University of Michigan Press.</w:t>
      </w:r>
    </w:p>
    <w:p w14:paraId="72B57CD0" w14:textId="5C5E1700" w:rsidR="0040497B" w:rsidRPr="0003139B" w:rsidRDefault="0040497B" w:rsidP="0003139B">
      <w:pPr>
        <w:pStyle w:val="NormalWeb"/>
        <w:spacing w:after="120" w:afterAutospacing="0" w:line="276" w:lineRule="auto"/>
        <w:rPr>
          <w:rFonts w:asciiTheme="minorHAnsi" w:hAnsiTheme="minorHAnsi"/>
          <w:color w:val="000000" w:themeColor="text1"/>
        </w:rPr>
      </w:pPr>
      <w:r w:rsidRPr="0003139B">
        <w:rPr>
          <w:rFonts w:asciiTheme="minorHAnsi" w:hAnsiTheme="minorHAnsi"/>
          <w:color w:val="000000" w:themeColor="text1"/>
        </w:rPr>
        <w:t xml:space="preserve">Beach, D. and Brun Pedersen, R. 2016. Causal Case Study Methods. Foundations and Guidelines for Comparing, Matching, and Tracing. University of Michigan Press. </w:t>
      </w:r>
    </w:p>
    <w:p w14:paraId="3DEC6F99" w14:textId="2C2E0262" w:rsidR="00FD1FA7" w:rsidRPr="0003139B" w:rsidRDefault="00FD1FA7" w:rsidP="0003139B">
      <w:pPr>
        <w:pStyle w:val="NormalWeb"/>
        <w:spacing w:after="120" w:afterAutospacing="0" w:line="276" w:lineRule="auto"/>
        <w:rPr>
          <w:rFonts w:asciiTheme="minorHAnsi" w:hAnsiTheme="minorHAnsi"/>
          <w:color w:val="000000" w:themeColor="text1"/>
        </w:rPr>
      </w:pPr>
      <w:proofErr w:type="spellStart"/>
      <w:r w:rsidRPr="0003139B">
        <w:rPr>
          <w:rFonts w:asciiTheme="minorHAnsi" w:hAnsiTheme="minorHAnsi"/>
          <w:color w:val="000000" w:themeColor="text1"/>
        </w:rPr>
        <w:t>Boncina</w:t>
      </w:r>
      <w:proofErr w:type="spellEnd"/>
      <w:r w:rsidRPr="0003139B">
        <w:rPr>
          <w:rFonts w:asciiTheme="minorHAnsi" w:hAnsiTheme="minorHAnsi"/>
          <w:color w:val="000000" w:themeColor="text1"/>
        </w:rPr>
        <w:t xml:space="preserve">, A. 2011. Conceptual approaches to integrate nature conservation into forest management: </w:t>
      </w:r>
      <w:proofErr w:type="gramStart"/>
      <w:r w:rsidRPr="0003139B">
        <w:rPr>
          <w:rFonts w:asciiTheme="minorHAnsi" w:hAnsiTheme="minorHAnsi"/>
          <w:color w:val="000000" w:themeColor="text1"/>
        </w:rPr>
        <w:t>a</w:t>
      </w:r>
      <w:proofErr w:type="gramEnd"/>
      <w:r w:rsidRPr="0003139B">
        <w:rPr>
          <w:rFonts w:asciiTheme="minorHAnsi" w:hAnsiTheme="minorHAnsi"/>
          <w:color w:val="000000" w:themeColor="text1"/>
        </w:rPr>
        <w:t xml:space="preserve"> Central European perspective. The International Forestry Review 13(1): 13-22.</w:t>
      </w:r>
    </w:p>
    <w:p w14:paraId="7C1E44C9" w14:textId="48100144" w:rsidR="00FD1FA7" w:rsidRPr="0003139B" w:rsidRDefault="00FD1FA7" w:rsidP="0003139B">
      <w:pPr>
        <w:pStyle w:val="NormalWeb"/>
        <w:spacing w:after="120" w:afterAutospacing="0" w:line="276" w:lineRule="auto"/>
        <w:rPr>
          <w:rFonts w:asciiTheme="minorHAnsi" w:hAnsiTheme="minorHAnsi"/>
          <w:color w:val="000000" w:themeColor="text1"/>
        </w:rPr>
      </w:pPr>
      <w:proofErr w:type="spellStart"/>
      <w:r w:rsidRPr="0003139B">
        <w:rPr>
          <w:rFonts w:asciiTheme="minorHAnsi" w:hAnsiTheme="minorHAnsi"/>
          <w:color w:val="000000" w:themeColor="text1"/>
        </w:rPr>
        <w:t>Cassatella</w:t>
      </w:r>
      <w:proofErr w:type="spellEnd"/>
      <w:r w:rsidRPr="0003139B">
        <w:rPr>
          <w:rFonts w:asciiTheme="minorHAnsi" w:hAnsiTheme="minorHAnsi"/>
          <w:color w:val="000000" w:themeColor="text1"/>
        </w:rPr>
        <w:t xml:space="preserve">, C., </w:t>
      </w:r>
      <w:proofErr w:type="spellStart"/>
      <w:r w:rsidRPr="0003139B">
        <w:rPr>
          <w:rFonts w:asciiTheme="minorHAnsi" w:hAnsiTheme="minorHAnsi"/>
          <w:color w:val="000000" w:themeColor="text1"/>
        </w:rPr>
        <w:t>Seardo</w:t>
      </w:r>
      <w:proofErr w:type="spellEnd"/>
      <w:r w:rsidRPr="0003139B">
        <w:rPr>
          <w:rFonts w:asciiTheme="minorHAnsi" w:hAnsiTheme="minorHAnsi"/>
          <w:color w:val="000000" w:themeColor="text1"/>
        </w:rPr>
        <w:t xml:space="preserve">, B. M. 2014. In Search for Multifunctionality: </w:t>
      </w:r>
      <w:proofErr w:type="gramStart"/>
      <w:r w:rsidRPr="0003139B">
        <w:rPr>
          <w:rFonts w:asciiTheme="minorHAnsi" w:hAnsiTheme="minorHAnsi"/>
          <w:color w:val="000000" w:themeColor="text1"/>
        </w:rPr>
        <w:t>the</w:t>
      </w:r>
      <w:proofErr w:type="gramEnd"/>
      <w:r w:rsidRPr="0003139B">
        <w:rPr>
          <w:rFonts w:asciiTheme="minorHAnsi" w:hAnsiTheme="minorHAnsi"/>
          <w:color w:val="000000" w:themeColor="text1"/>
        </w:rPr>
        <w:t xml:space="preserve"> Contribution of Scenic Landscape Assessment. In: </w:t>
      </w:r>
      <w:proofErr w:type="spellStart"/>
      <w:r w:rsidRPr="0003139B">
        <w:rPr>
          <w:rFonts w:asciiTheme="minorHAnsi" w:hAnsiTheme="minorHAnsi"/>
          <w:color w:val="000000" w:themeColor="text1"/>
        </w:rPr>
        <w:t>Rega</w:t>
      </w:r>
      <w:proofErr w:type="spellEnd"/>
      <w:r w:rsidRPr="0003139B">
        <w:rPr>
          <w:rFonts w:asciiTheme="minorHAnsi" w:hAnsiTheme="minorHAnsi"/>
          <w:color w:val="000000" w:themeColor="text1"/>
        </w:rPr>
        <w:t xml:space="preserve">, C. (ed.), Landscape Planning and Rural Development. Key Issues and Options Towards Integration. Springer, pp. 61-88. </w:t>
      </w:r>
    </w:p>
    <w:p w14:paraId="0E0BEEAC" w14:textId="77777777" w:rsidR="00921BF5" w:rsidRPr="00531EBC" w:rsidRDefault="00921BF5" w:rsidP="00C91504">
      <w:pPr>
        <w:pStyle w:val="NormalWeb"/>
        <w:spacing w:after="120" w:afterAutospacing="0" w:line="276" w:lineRule="auto"/>
        <w:rPr>
          <w:rFonts w:asciiTheme="minorHAnsi" w:hAnsiTheme="minorHAnsi" w:cstheme="minorHAnsi"/>
        </w:rPr>
      </w:pPr>
      <w:r w:rsidRPr="00531EBC">
        <w:rPr>
          <w:rFonts w:asciiTheme="minorHAnsi" w:hAnsiTheme="minorHAnsi" w:cstheme="minorHAnsi"/>
        </w:rPr>
        <w:t>Council Regulation (EC) No 2173/2005 of 20 December 2005 on the establishment of a FLEGT licensing scheme for imports of timber into the European Community</w:t>
      </w:r>
    </w:p>
    <w:p w14:paraId="4BC33F1C" w14:textId="69A366F8" w:rsidR="005F7EE4" w:rsidRPr="00C91504" w:rsidRDefault="005F7EE4" w:rsidP="00C91504">
      <w:pPr>
        <w:pStyle w:val="NormalWeb"/>
        <w:spacing w:after="120" w:afterAutospacing="0" w:line="276" w:lineRule="auto"/>
        <w:rPr>
          <w:rFonts w:asciiTheme="minorHAnsi" w:hAnsiTheme="minorHAnsi"/>
          <w:color w:val="000000" w:themeColor="text1"/>
          <w:lang w:val="en-US"/>
        </w:rPr>
      </w:pPr>
      <w:r w:rsidRPr="00C91504">
        <w:rPr>
          <w:rFonts w:asciiTheme="minorHAnsi" w:hAnsiTheme="minorHAnsi"/>
          <w:color w:val="000000" w:themeColor="text1"/>
          <w:lang w:val="en-US"/>
        </w:rPr>
        <w:t>Decision 1600/2002/EC</w:t>
      </w:r>
      <w:r w:rsidR="00C91504" w:rsidRPr="00C91504">
        <w:rPr>
          <w:rFonts w:asciiTheme="minorHAnsi" w:hAnsiTheme="minorHAnsi"/>
          <w:color w:val="000000" w:themeColor="text1"/>
          <w:lang w:val="en-US"/>
        </w:rPr>
        <w:t xml:space="preserve"> </w:t>
      </w:r>
      <w:r w:rsidR="00C91504" w:rsidRPr="00C91504">
        <w:rPr>
          <w:rFonts w:asciiTheme="minorHAnsi" w:hAnsiTheme="minorHAnsi"/>
          <w:lang w:val="en-US"/>
        </w:rPr>
        <w:t xml:space="preserve">of the European Parliament and of the Council of 22 July 2002 laying down the Sixth Community Environment Action </w:t>
      </w:r>
      <w:proofErr w:type="spellStart"/>
      <w:r w:rsidR="00C91504" w:rsidRPr="00C91504">
        <w:rPr>
          <w:rFonts w:asciiTheme="minorHAnsi" w:hAnsiTheme="minorHAnsi"/>
          <w:lang w:val="en-US"/>
        </w:rPr>
        <w:t>Programme</w:t>
      </w:r>
      <w:proofErr w:type="spellEnd"/>
    </w:p>
    <w:p w14:paraId="2A8FEEBA" w14:textId="1D2D3051" w:rsidR="005C49C3" w:rsidRPr="00C91504" w:rsidRDefault="00C91504" w:rsidP="0003139B">
      <w:pPr>
        <w:pStyle w:val="NormalWeb"/>
        <w:spacing w:after="120" w:afterAutospacing="0" w:line="276" w:lineRule="auto"/>
        <w:rPr>
          <w:rFonts w:asciiTheme="minorHAnsi" w:hAnsiTheme="minorHAnsi"/>
          <w:color w:val="000000" w:themeColor="text1"/>
        </w:rPr>
      </w:pPr>
      <w:r w:rsidRPr="00C91504">
        <w:rPr>
          <w:rFonts w:asciiTheme="minorHAnsi" w:hAnsiTheme="minorHAnsi" w:cs="Arial"/>
        </w:rPr>
        <w:t>Communication from the Commission to the Council and the European Parliament on Forest Law Enforcement, Governance and Trade (FLEGT). Proposal for an EU Action Plan</w:t>
      </w:r>
      <w:r w:rsidRPr="00C91504">
        <w:rPr>
          <w:rFonts w:asciiTheme="minorHAnsi" w:hAnsiTheme="minorHAnsi"/>
          <w:color w:val="000000" w:themeColor="text1"/>
          <w:lang w:val="en-US"/>
        </w:rPr>
        <w:t xml:space="preserve"> </w:t>
      </w:r>
      <w:r>
        <w:rPr>
          <w:rFonts w:asciiTheme="minorHAnsi" w:hAnsiTheme="minorHAnsi"/>
          <w:color w:val="000000" w:themeColor="text1"/>
          <w:lang w:val="en-US"/>
        </w:rPr>
        <w:t>- D</w:t>
      </w:r>
      <w:r w:rsidRPr="00C91504">
        <w:rPr>
          <w:rFonts w:asciiTheme="minorHAnsi" w:hAnsiTheme="minorHAnsi"/>
          <w:color w:val="000000" w:themeColor="text1"/>
        </w:rPr>
        <w:t>raft Council conclusion 12906/03</w:t>
      </w:r>
    </w:p>
    <w:p w14:paraId="62DDD908" w14:textId="0C054C58" w:rsidR="005F7EE4" w:rsidRPr="0003139B" w:rsidRDefault="00C91504" w:rsidP="0003139B">
      <w:pPr>
        <w:spacing w:after="120" w:line="276" w:lineRule="auto"/>
        <w:jc w:val="both"/>
        <w:rPr>
          <w:rFonts w:cs="Times New Roman"/>
          <w:color w:val="000000" w:themeColor="text1"/>
        </w:rPr>
      </w:pPr>
      <w:r>
        <w:t xml:space="preserve">Communication from the Commission to the European Parliament, the Council, the Economic and Social Committee and the Committee of the Regions - Towards a global partnership for sustainable development - </w:t>
      </w:r>
      <w:proofErr w:type="gramStart"/>
      <w:r w:rsidR="005F7EE4" w:rsidRPr="0003139B">
        <w:rPr>
          <w:rFonts w:cs="Times New Roman"/>
          <w:color w:val="000000" w:themeColor="text1"/>
        </w:rPr>
        <w:t>COM(</w:t>
      </w:r>
      <w:proofErr w:type="gramEnd"/>
      <w:r w:rsidR="005F7EE4" w:rsidRPr="0003139B">
        <w:rPr>
          <w:rFonts w:cs="Times New Roman"/>
          <w:color w:val="000000" w:themeColor="text1"/>
        </w:rPr>
        <w:t>2002)82</w:t>
      </w:r>
    </w:p>
    <w:p w14:paraId="45347401" w14:textId="321C953F" w:rsidR="005F7EE4" w:rsidRDefault="00C91504" w:rsidP="0003139B">
      <w:pPr>
        <w:spacing w:after="120" w:line="276" w:lineRule="auto"/>
        <w:jc w:val="both"/>
        <w:rPr>
          <w:color w:val="000000" w:themeColor="text1"/>
        </w:rPr>
      </w:pPr>
      <w:r>
        <w:t xml:space="preserve">Communication from the Commission to the Council and the European Parliament - Forest Law Enforcement, Governance and Trade (FLEGT) - Proposal for an EU Action Plan - </w:t>
      </w:r>
      <w:proofErr w:type="gramStart"/>
      <w:r w:rsidR="005F7EE4" w:rsidRPr="0003139B">
        <w:rPr>
          <w:color w:val="000000" w:themeColor="text1"/>
        </w:rPr>
        <w:t>COM(</w:t>
      </w:r>
      <w:proofErr w:type="gramEnd"/>
      <w:r w:rsidR="005F7EE4" w:rsidRPr="0003139B">
        <w:rPr>
          <w:color w:val="000000" w:themeColor="text1"/>
        </w:rPr>
        <w:t>2003)251</w:t>
      </w:r>
    </w:p>
    <w:p w14:paraId="528B82FA" w14:textId="77777777" w:rsidR="00921BF5" w:rsidRPr="00337964" w:rsidRDefault="00921BF5" w:rsidP="0003139B">
      <w:pPr>
        <w:spacing w:after="120" w:line="276" w:lineRule="auto"/>
        <w:jc w:val="both"/>
      </w:pPr>
      <w:r>
        <w:t xml:space="preserve">Commission Regulation (EC) No 1024/2008 of 17 October 2008 laying down detailed measures for the implementation of Council Regulation (EC) No 2173/2005 on the establishment of a FLEGT licensing scheme for imports of timber into the European </w:t>
      </w:r>
      <w:r w:rsidRPr="00337964">
        <w:t>Community</w:t>
      </w:r>
    </w:p>
    <w:p w14:paraId="5E04DBFC" w14:textId="7C68A164" w:rsidR="00337964" w:rsidRPr="001B44C2" w:rsidRDefault="00337964" w:rsidP="001B44C2">
      <w:pPr>
        <w:spacing w:after="120" w:line="360" w:lineRule="auto"/>
        <w:jc w:val="both"/>
        <w:rPr>
          <w:rFonts w:cstheme="minorHAnsi"/>
          <w:color w:val="000000" w:themeColor="text1"/>
        </w:rPr>
      </w:pPr>
      <w:r w:rsidRPr="00337964">
        <w:rPr>
          <w:rFonts w:cs="Arial"/>
        </w:rPr>
        <w:lastRenderedPageBreak/>
        <w:t>C</w:t>
      </w:r>
      <w:r w:rsidR="00531EBC">
        <w:rPr>
          <w:rFonts w:cs="Arial"/>
        </w:rPr>
        <w:t xml:space="preserve">ommission Staff Working Document </w:t>
      </w:r>
      <w:r>
        <w:rPr>
          <w:rFonts w:cs="Arial"/>
        </w:rPr>
        <w:t xml:space="preserve">11656/04 - </w:t>
      </w:r>
      <w:r w:rsidRPr="00337964">
        <w:rPr>
          <w:rFonts w:cs="Arial"/>
        </w:rPr>
        <w:t xml:space="preserve">Proposal for a Council Regulation concerning the establishment of a voluntary FLEGT licensing scheme for imports of timber </w:t>
      </w:r>
      <w:r w:rsidRPr="001B44C2">
        <w:rPr>
          <w:rFonts w:cstheme="minorHAnsi"/>
          <w:color w:val="000000" w:themeColor="text1"/>
        </w:rPr>
        <w:t>into the European Community</w:t>
      </w:r>
      <w:r w:rsidR="001B44C2" w:rsidRPr="001B44C2">
        <w:rPr>
          <w:rFonts w:cstheme="minorHAnsi"/>
          <w:color w:val="000000" w:themeColor="text1"/>
        </w:rPr>
        <w:t>.</w:t>
      </w:r>
    </w:p>
    <w:p w14:paraId="096D5106" w14:textId="7E3D4EE6" w:rsidR="00921BF5" w:rsidRPr="00921BF5" w:rsidRDefault="00921BF5" w:rsidP="00921BF5">
      <w:pPr>
        <w:pStyle w:val="NormalWeb"/>
        <w:spacing w:after="120" w:afterAutospacing="0" w:line="276" w:lineRule="auto"/>
        <w:rPr>
          <w:rFonts w:asciiTheme="minorHAnsi" w:hAnsiTheme="minorHAnsi"/>
          <w:color w:val="000000" w:themeColor="text1"/>
        </w:rPr>
      </w:pPr>
      <w:r>
        <w:rPr>
          <w:rFonts w:asciiTheme="minorHAnsi" w:hAnsiTheme="minorHAnsi"/>
          <w:color w:val="000000" w:themeColor="text1"/>
        </w:rPr>
        <w:t xml:space="preserve">Da </w:t>
      </w:r>
      <w:proofErr w:type="spellStart"/>
      <w:r>
        <w:rPr>
          <w:rFonts w:asciiTheme="minorHAnsi" w:hAnsiTheme="minorHAnsi"/>
          <w:color w:val="000000" w:themeColor="text1"/>
        </w:rPr>
        <w:t>Conceição-Heldt</w:t>
      </w:r>
      <w:proofErr w:type="spellEnd"/>
      <w:r>
        <w:rPr>
          <w:rFonts w:asciiTheme="minorHAnsi" w:hAnsiTheme="minorHAnsi"/>
          <w:color w:val="000000" w:themeColor="text1"/>
        </w:rPr>
        <w:t xml:space="preserve">, E., Meunier, S. (2014). Speaking with a single voice: internal cohesiveness and external effectiveness of the EU in global governance. Journal of European Public Policy 21(7): 961-979. </w:t>
      </w:r>
    </w:p>
    <w:p w14:paraId="1CF209EA" w14:textId="77777777" w:rsidR="00921BF5" w:rsidRPr="0003139B" w:rsidRDefault="00921BF5" w:rsidP="00921BF5">
      <w:pPr>
        <w:pStyle w:val="NormalWeb"/>
        <w:spacing w:after="120" w:afterAutospacing="0" w:line="276" w:lineRule="auto"/>
        <w:rPr>
          <w:rFonts w:asciiTheme="minorHAnsi" w:hAnsiTheme="minorHAnsi"/>
          <w:color w:val="000000" w:themeColor="text1"/>
        </w:rPr>
      </w:pPr>
      <w:r>
        <w:rPr>
          <w:rFonts w:asciiTheme="minorHAnsi" w:hAnsiTheme="minorHAnsi"/>
          <w:color w:val="000000" w:themeColor="text1"/>
        </w:rPr>
        <w:t>Delreux, T. (2009). The EU in Environmental Negotiations in UNECE: An Analysis of its Role in the Aarhus Convention and the SEA Protocol Negotiations. Review of European Community &amp; International Environmental Law 18(3): 328-337.</w:t>
      </w:r>
    </w:p>
    <w:p w14:paraId="71A68966" w14:textId="1108C6A4" w:rsidR="00921BF5" w:rsidRPr="00921BF5" w:rsidRDefault="00921BF5" w:rsidP="0003139B">
      <w:pPr>
        <w:spacing w:after="120" w:line="276" w:lineRule="auto"/>
        <w:jc w:val="both"/>
        <w:rPr>
          <w:color w:val="000000" w:themeColor="text1"/>
        </w:rPr>
      </w:pPr>
      <w:proofErr w:type="spellStart"/>
      <w:r w:rsidRPr="0003139B">
        <w:rPr>
          <w:color w:val="000000" w:themeColor="text1"/>
        </w:rPr>
        <w:t>Derous</w:t>
      </w:r>
      <w:proofErr w:type="spellEnd"/>
      <w:r w:rsidRPr="0003139B">
        <w:rPr>
          <w:color w:val="000000" w:themeColor="text1"/>
        </w:rPr>
        <w:t xml:space="preserve">, M., </w:t>
      </w:r>
      <w:proofErr w:type="spellStart"/>
      <w:r w:rsidRPr="0003139B">
        <w:rPr>
          <w:color w:val="000000" w:themeColor="text1"/>
        </w:rPr>
        <w:t>Verhaeghe</w:t>
      </w:r>
      <w:proofErr w:type="spellEnd"/>
      <w:r w:rsidRPr="0003139B">
        <w:rPr>
          <w:color w:val="000000" w:themeColor="text1"/>
        </w:rPr>
        <w:t>, E., 2019. When P stands for politics. The role of the EU in the VPAs: A research agenda. Forest Policy and Economics 101: 81-87.</w:t>
      </w:r>
    </w:p>
    <w:p w14:paraId="1E62E333" w14:textId="4D2C8317" w:rsidR="0040497B" w:rsidRDefault="0040497B" w:rsidP="0003139B">
      <w:pPr>
        <w:spacing w:after="120" w:line="276" w:lineRule="auto"/>
        <w:jc w:val="both"/>
        <w:rPr>
          <w:color w:val="000000" w:themeColor="text1"/>
        </w:rPr>
      </w:pPr>
      <w:r w:rsidRPr="0003139B">
        <w:rPr>
          <w:color w:val="000000" w:themeColor="text1"/>
        </w:rPr>
        <w:t xml:space="preserve">George, A. L. and A. Bennett. 2005. </w:t>
      </w:r>
      <w:r w:rsidRPr="0003139B">
        <w:rPr>
          <w:rStyle w:val="Emphasis"/>
          <w:color w:val="000000" w:themeColor="text1"/>
        </w:rPr>
        <w:t>Case studies and theory development in the social sciences</w:t>
      </w:r>
      <w:r w:rsidRPr="0003139B">
        <w:rPr>
          <w:color w:val="000000" w:themeColor="text1"/>
        </w:rPr>
        <w:t>. Cambridge, MA/London: MIT Press.</w:t>
      </w:r>
    </w:p>
    <w:p w14:paraId="7C534846" w14:textId="2566E456" w:rsidR="00015DA3" w:rsidRPr="0003139B" w:rsidRDefault="00015DA3" w:rsidP="0003139B">
      <w:pPr>
        <w:spacing w:after="120" w:line="276" w:lineRule="auto"/>
        <w:jc w:val="both"/>
        <w:rPr>
          <w:color w:val="000000" w:themeColor="text1"/>
        </w:rPr>
      </w:pPr>
      <w:proofErr w:type="spellStart"/>
      <w:r>
        <w:rPr>
          <w:color w:val="000000" w:themeColor="text1"/>
        </w:rPr>
        <w:t>Jørgensen</w:t>
      </w:r>
      <w:proofErr w:type="spellEnd"/>
      <w:r>
        <w:rPr>
          <w:color w:val="000000" w:themeColor="text1"/>
        </w:rPr>
        <w:t xml:space="preserve">, K. E. (2009). </w:t>
      </w:r>
      <w:r w:rsidR="008504EB">
        <w:rPr>
          <w:color w:val="000000" w:themeColor="text1"/>
        </w:rPr>
        <w:t>The European Union and International Organisations. London: Routledge.</w:t>
      </w:r>
    </w:p>
    <w:p w14:paraId="1DEE77D6" w14:textId="5EFE9BE9" w:rsidR="005F7EE4" w:rsidRDefault="0003139B" w:rsidP="0003139B">
      <w:pPr>
        <w:spacing w:after="120" w:line="276" w:lineRule="auto"/>
        <w:jc w:val="both"/>
        <w:rPr>
          <w:color w:val="000000" w:themeColor="text1"/>
        </w:rPr>
      </w:pPr>
      <w:r w:rsidRPr="0003139B">
        <w:rPr>
          <w:color w:val="000000" w:themeColor="text1"/>
        </w:rPr>
        <w:t>Keohane, R. O., Victor, D.G. (2011). The Regime Complex for Climate Change. Perspective on Politics 9(1): 7-23.</w:t>
      </w:r>
    </w:p>
    <w:p w14:paraId="68B0102F" w14:textId="032C9EC3" w:rsidR="00AA0B29" w:rsidRDefault="00AA0B29" w:rsidP="0003139B">
      <w:pPr>
        <w:spacing w:after="120" w:line="276" w:lineRule="auto"/>
        <w:jc w:val="both"/>
        <w:rPr>
          <w:color w:val="000000" w:themeColor="text1"/>
        </w:rPr>
      </w:pPr>
      <w:r>
        <w:rPr>
          <w:color w:val="000000" w:themeColor="text1"/>
        </w:rPr>
        <w:t xml:space="preserve">Kissack, R. (2011). The Performance of the European Union in the </w:t>
      </w:r>
      <w:proofErr w:type="spellStart"/>
      <w:r>
        <w:rPr>
          <w:color w:val="000000" w:themeColor="text1"/>
        </w:rPr>
        <w:t>Intrantional</w:t>
      </w:r>
      <w:proofErr w:type="spellEnd"/>
      <w:r>
        <w:rPr>
          <w:color w:val="000000" w:themeColor="text1"/>
        </w:rPr>
        <w:t xml:space="preserve"> Labour Organization. Journal of European Integration 33(6): 651-665.</w:t>
      </w:r>
    </w:p>
    <w:p w14:paraId="61D35995" w14:textId="629CFE5D" w:rsidR="00AA0B29" w:rsidRPr="00D4358C" w:rsidRDefault="00AA0B29" w:rsidP="0003139B">
      <w:pPr>
        <w:spacing w:after="120" w:line="276" w:lineRule="auto"/>
        <w:jc w:val="both"/>
        <w:rPr>
          <w:color w:val="000000" w:themeColor="text1"/>
          <w:lang w:val="fr-BE"/>
        </w:rPr>
      </w:pPr>
      <w:proofErr w:type="spellStart"/>
      <w:r>
        <w:rPr>
          <w:color w:val="000000" w:themeColor="text1"/>
        </w:rPr>
        <w:t>Macaj</w:t>
      </w:r>
      <w:proofErr w:type="spellEnd"/>
      <w:r>
        <w:rPr>
          <w:color w:val="000000" w:themeColor="text1"/>
        </w:rPr>
        <w:t xml:space="preserve">, G., </w:t>
      </w:r>
      <w:proofErr w:type="spellStart"/>
      <w:r>
        <w:rPr>
          <w:color w:val="000000" w:themeColor="text1"/>
        </w:rPr>
        <w:t>Nicolaïdis</w:t>
      </w:r>
      <w:proofErr w:type="spellEnd"/>
      <w:r>
        <w:rPr>
          <w:color w:val="000000" w:themeColor="text1"/>
        </w:rPr>
        <w:t xml:space="preserve">, K. (2014). Beyond “once voice”? Global Europe’s engagement with its own diversity. </w:t>
      </w:r>
      <w:r w:rsidRPr="00D4358C">
        <w:rPr>
          <w:color w:val="000000" w:themeColor="text1"/>
          <w:lang w:val="fr-BE"/>
        </w:rPr>
        <w:t xml:space="preserve">Journal of </w:t>
      </w:r>
      <w:proofErr w:type="spellStart"/>
      <w:r w:rsidRPr="00D4358C">
        <w:rPr>
          <w:color w:val="000000" w:themeColor="text1"/>
          <w:lang w:val="fr-BE"/>
        </w:rPr>
        <w:t>European</w:t>
      </w:r>
      <w:proofErr w:type="spellEnd"/>
      <w:r w:rsidRPr="00D4358C">
        <w:rPr>
          <w:color w:val="000000" w:themeColor="text1"/>
          <w:lang w:val="fr-BE"/>
        </w:rPr>
        <w:t xml:space="preserve"> Public Policy 21(7): 1067-1083.</w:t>
      </w:r>
    </w:p>
    <w:p w14:paraId="572A8E73" w14:textId="308F6AF4" w:rsidR="000E0351" w:rsidRPr="00D4358C" w:rsidRDefault="005F7EE4" w:rsidP="0003139B">
      <w:pPr>
        <w:spacing w:after="120" w:line="276" w:lineRule="auto"/>
        <w:jc w:val="both"/>
        <w:rPr>
          <w:color w:val="000000" w:themeColor="text1"/>
          <w:lang w:val="fr-BE"/>
        </w:rPr>
      </w:pPr>
      <w:proofErr w:type="spellStart"/>
      <w:r w:rsidRPr="00D4358C">
        <w:rPr>
          <w:color w:val="000000" w:themeColor="text1"/>
          <w:lang w:val="fr-BE"/>
        </w:rPr>
        <w:t>Montouroy</w:t>
      </w:r>
      <w:proofErr w:type="spellEnd"/>
      <w:r w:rsidR="0003139B" w:rsidRPr="00D4358C">
        <w:rPr>
          <w:color w:val="000000" w:themeColor="text1"/>
          <w:lang w:val="fr-BE"/>
        </w:rPr>
        <w:t>, Y.(</w:t>
      </w:r>
      <w:r w:rsidRPr="00D4358C">
        <w:rPr>
          <w:color w:val="000000" w:themeColor="text1"/>
          <w:lang w:val="fr-BE"/>
        </w:rPr>
        <w:t>2014</w:t>
      </w:r>
      <w:r w:rsidR="0003139B" w:rsidRPr="00D4358C">
        <w:rPr>
          <w:color w:val="000000" w:themeColor="text1"/>
          <w:lang w:val="fr-BE"/>
        </w:rPr>
        <w:t xml:space="preserve">). Le changement dans la gouvernance globale des forêts. La recentralisation de l’action européenne contre le bois </w:t>
      </w:r>
      <w:proofErr w:type="spellStart"/>
      <w:r w:rsidR="0003139B" w:rsidRPr="00D4358C">
        <w:rPr>
          <w:color w:val="000000" w:themeColor="text1"/>
          <w:lang w:val="fr-BE"/>
        </w:rPr>
        <w:t>illegal</w:t>
      </w:r>
      <w:proofErr w:type="spellEnd"/>
      <w:r w:rsidR="0003139B" w:rsidRPr="00D4358C">
        <w:rPr>
          <w:color w:val="000000" w:themeColor="text1"/>
          <w:lang w:val="fr-BE"/>
        </w:rPr>
        <w:t xml:space="preserve">. Gouvernement et action publique 1(1): 107-128. </w:t>
      </w:r>
    </w:p>
    <w:p w14:paraId="124C90FD" w14:textId="3BD72282" w:rsidR="0040497B" w:rsidRDefault="000E0351" w:rsidP="0003139B">
      <w:pPr>
        <w:spacing w:after="120" w:line="276" w:lineRule="auto"/>
        <w:jc w:val="both"/>
        <w:rPr>
          <w:color w:val="000000" w:themeColor="text1"/>
        </w:rPr>
      </w:pPr>
      <w:r w:rsidRPr="0003139B">
        <w:rPr>
          <w:color w:val="000000" w:themeColor="text1"/>
        </w:rPr>
        <w:t>Muñoz, M., Thrasher, R.</w:t>
      </w:r>
      <w:r w:rsidR="006D2C5C" w:rsidRPr="0003139B">
        <w:rPr>
          <w:color w:val="000000" w:themeColor="text1"/>
        </w:rPr>
        <w:t xml:space="preserve">, Najam, A., 2009. Measuring the Negotiation Burden of Multilateral Environmental Agreements. Global Environmental Politic 9(4). </w:t>
      </w:r>
    </w:p>
    <w:p w14:paraId="47539E35" w14:textId="01A4A12D" w:rsidR="00AA0B29" w:rsidRPr="00531EBC" w:rsidRDefault="00AA0B29" w:rsidP="00531EBC">
      <w:pPr>
        <w:spacing w:after="120" w:line="276" w:lineRule="auto"/>
        <w:jc w:val="both"/>
        <w:rPr>
          <w:color w:val="000000" w:themeColor="text1"/>
        </w:rPr>
      </w:pPr>
      <w:r>
        <w:rPr>
          <w:color w:val="000000" w:themeColor="text1"/>
        </w:rPr>
        <w:t xml:space="preserve">Oberthür, S., Rabitz, F. (2013). On the EU’s performance and leadership in global environmental governance: the case of the Nagoya Protocol. Journal of European Public </w:t>
      </w:r>
      <w:r w:rsidRPr="00531EBC">
        <w:rPr>
          <w:color w:val="000000" w:themeColor="text1"/>
        </w:rPr>
        <w:t>Policy 21(1):39-57.</w:t>
      </w:r>
    </w:p>
    <w:p w14:paraId="46CEB596" w14:textId="43598213" w:rsidR="00531EBC" w:rsidRDefault="00531EBC" w:rsidP="00531EBC">
      <w:pPr>
        <w:spacing w:after="120" w:line="276" w:lineRule="auto"/>
        <w:jc w:val="both"/>
        <w:rPr>
          <w:rFonts w:eastAsia="Times New Roman" w:cs="Times New Roman"/>
          <w:color w:val="000000" w:themeColor="text1"/>
          <w:lang w:val="en-US"/>
        </w:rPr>
      </w:pPr>
      <w:r w:rsidRPr="00531EBC">
        <w:rPr>
          <w:rFonts w:eastAsia="Times New Roman" w:cs="Times New Roman"/>
          <w:color w:val="000000" w:themeColor="text1"/>
          <w:lang w:val="en-US"/>
        </w:rPr>
        <w:t xml:space="preserve">Ochieng, R.M., 2010. </w:t>
      </w:r>
      <w:proofErr w:type="spellStart"/>
      <w:r w:rsidRPr="00531EBC">
        <w:rPr>
          <w:rFonts w:eastAsia="Times New Roman" w:cs="Times New Roman"/>
          <w:color w:val="000000" w:themeColor="text1"/>
          <w:lang w:val="en-US"/>
        </w:rPr>
        <w:t>REDD+Readiness</w:t>
      </w:r>
      <w:proofErr w:type="spellEnd"/>
      <w:r w:rsidRPr="00531EBC">
        <w:rPr>
          <w:rFonts w:eastAsia="Times New Roman" w:cs="Times New Roman"/>
          <w:color w:val="000000" w:themeColor="text1"/>
          <w:lang w:val="en-US"/>
        </w:rPr>
        <w:t xml:space="preserve"> in Africa: an analysis of stakeholder participation in the national REDD+ process of Ghana. MSc thesis, Forest and Nature Conservation Policy Group, Wageningen University and Research Centre, The Netherlands.</w:t>
      </w:r>
    </w:p>
    <w:p w14:paraId="5BDFD909" w14:textId="57D8EACF" w:rsidR="00531EBC" w:rsidRPr="00531EBC" w:rsidRDefault="00531EBC" w:rsidP="00531EBC">
      <w:pPr>
        <w:pStyle w:val="FootnoteText"/>
        <w:spacing w:after="120" w:line="276" w:lineRule="auto"/>
        <w:jc w:val="both"/>
        <w:rPr>
          <w:color w:val="000000" w:themeColor="text1"/>
          <w:sz w:val="24"/>
          <w:szCs w:val="24"/>
        </w:rPr>
      </w:pPr>
      <w:r w:rsidRPr="00531EBC">
        <w:rPr>
          <w:color w:val="000000" w:themeColor="text1"/>
          <w:sz w:val="24"/>
          <w:szCs w:val="24"/>
        </w:rPr>
        <w:t xml:space="preserve">Ochieng R. M., </w:t>
      </w:r>
      <w:proofErr w:type="spellStart"/>
      <w:r w:rsidRPr="00531EBC">
        <w:rPr>
          <w:color w:val="000000" w:themeColor="text1"/>
          <w:sz w:val="24"/>
          <w:szCs w:val="24"/>
        </w:rPr>
        <w:t>Visseren-Hamakers</w:t>
      </w:r>
      <w:proofErr w:type="spellEnd"/>
      <w:r w:rsidRPr="00531EBC">
        <w:rPr>
          <w:color w:val="000000" w:themeColor="text1"/>
          <w:sz w:val="24"/>
          <w:szCs w:val="24"/>
        </w:rPr>
        <w:t xml:space="preserve"> I. J. and </w:t>
      </w:r>
      <w:proofErr w:type="spellStart"/>
      <w:r w:rsidRPr="00531EBC">
        <w:rPr>
          <w:color w:val="000000" w:themeColor="text1"/>
          <w:sz w:val="24"/>
          <w:szCs w:val="24"/>
        </w:rPr>
        <w:t>Nketiah</w:t>
      </w:r>
      <w:proofErr w:type="spellEnd"/>
      <w:r w:rsidRPr="00531EBC">
        <w:rPr>
          <w:color w:val="000000" w:themeColor="text1"/>
          <w:sz w:val="24"/>
          <w:szCs w:val="24"/>
        </w:rPr>
        <w:t xml:space="preserve"> K. S., 2013. Interaction between the FLEGT-VPA and REDD+ in Ghana: Recommendations for interaction management. Forest Policy and Economics</w:t>
      </w:r>
    </w:p>
    <w:p w14:paraId="23C7E5FC" w14:textId="239AEC83" w:rsidR="00531EBC" w:rsidRPr="00531EBC" w:rsidRDefault="00531EBC" w:rsidP="00531EBC">
      <w:pPr>
        <w:spacing w:after="120" w:line="276" w:lineRule="auto"/>
        <w:jc w:val="both"/>
        <w:rPr>
          <w:rFonts w:eastAsia="Times New Roman" w:cs="Times New Roman"/>
          <w:color w:val="000000" w:themeColor="text1"/>
          <w:lang w:val="en-US"/>
        </w:rPr>
      </w:pPr>
      <w:r w:rsidRPr="00531EBC">
        <w:rPr>
          <w:rFonts w:eastAsia="Times New Roman" w:cs="Times New Roman"/>
          <w:color w:val="000000" w:themeColor="text1"/>
          <w:lang w:val="en-US"/>
        </w:rPr>
        <w:lastRenderedPageBreak/>
        <w:t>Owusu, B. 2009. The Dynamics of Multi-stakeholder Processes in the Negotiations of Voluntary Partnership Agreement in Ghana. MSc thesis, Department of Social Sciences, Wageningen University and Research Centre, The Netherlands.</w:t>
      </w:r>
    </w:p>
    <w:p w14:paraId="00EA53C5" w14:textId="3647584C" w:rsidR="00AE66A6" w:rsidRPr="0003139B" w:rsidRDefault="00AE66A6" w:rsidP="00531EBC">
      <w:pPr>
        <w:spacing w:after="120" w:line="276" w:lineRule="auto"/>
        <w:jc w:val="both"/>
        <w:rPr>
          <w:color w:val="000000" w:themeColor="text1"/>
        </w:rPr>
      </w:pPr>
      <w:r w:rsidRPr="0003139B">
        <w:rPr>
          <w:color w:val="000000" w:themeColor="text1"/>
        </w:rPr>
        <w:t xml:space="preserve">Pirlot, P., 2019. Fragmented Forest Policy: Asset or Concern? In: </w:t>
      </w:r>
      <w:r w:rsidR="009C5802">
        <w:rPr>
          <w:color w:val="000000" w:themeColor="text1"/>
        </w:rPr>
        <w:t>15</w:t>
      </w:r>
      <w:r w:rsidRPr="0003139B">
        <w:rPr>
          <w:color w:val="000000" w:themeColor="text1"/>
        </w:rPr>
        <w:t xml:space="preserve">, C., Martinez de </w:t>
      </w:r>
      <w:proofErr w:type="spellStart"/>
      <w:r w:rsidRPr="0003139B">
        <w:rPr>
          <w:color w:val="000000" w:themeColor="text1"/>
        </w:rPr>
        <w:t>Arano</w:t>
      </w:r>
      <w:proofErr w:type="spellEnd"/>
      <w:r w:rsidRPr="0003139B">
        <w:rPr>
          <w:color w:val="000000" w:themeColor="text1"/>
        </w:rPr>
        <w:t>, I., Rojas-Briales, E. (Eds.), Forestry in the Midst of Global Change. CRC Press, pp. 381-399.</w:t>
      </w:r>
    </w:p>
    <w:p w14:paraId="73885B4E" w14:textId="14B69DBB" w:rsidR="005F7EE4" w:rsidRDefault="005F7EE4" w:rsidP="00531EBC">
      <w:pPr>
        <w:spacing w:after="120" w:line="276" w:lineRule="auto"/>
        <w:jc w:val="both"/>
        <w:rPr>
          <w:rFonts w:cs="Times New Roman"/>
          <w:color w:val="000000" w:themeColor="text1"/>
        </w:rPr>
      </w:pPr>
      <w:proofErr w:type="spellStart"/>
      <w:r w:rsidRPr="0003139B">
        <w:rPr>
          <w:rFonts w:cs="Times New Roman"/>
          <w:color w:val="000000" w:themeColor="text1"/>
        </w:rPr>
        <w:t>Rametsteiner</w:t>
      </w:r>
      <w:proofErr w:type="spellEnd"/>
      <w:r w:rsidR="0003139B">
        <w:rPr>
          <w:rFonts w:cs="Times New Roman"/>
          <w:color w:val="000000" w:themeColor="text1"/>
        </w:rPr>
        <w:t xml:space="preserve">, E., </w:t>
      </w:r>
      <w:r w:rsidRPr="0003139B">
        <w:rPr>
          <w:rFonts w:cs="Times New Roman"/>
          <w:color w:val="000000" w:themeColor="text1"/>
        </w:rPr>
        <w:fldChar w:fldCharType="begin"/>
      </w:r>
      <w:r w:rsidRPr="0003139B">
        <w:rPr>
          <w:rFonts w:cs="Times New Roman"/>
          <w:color w:val="000000" w:themeColor="text1"/>
        </w:rPr>
        <w:instrText xml:space="preserve"> ADDIN EN.CITE &lt;EndNote&gt;&lt;Cite ExcludeAuth="1" ExcludeYear="1" Hidden="1"&gt;&lt;Author&gt;European Commission&lt;/Author&gt;&lt;Year&gt;2003&lt;/Year&gt;&lt;RecNum&gt;667&lt;/RecNum&gt;&lt;record&gt;&lt;rec-number&gt;667&lt;/rec-number&gt;&lt;foreign-keys&gt;&lt;key app="EN" db-id="5sx9s2wpfwxfs6effrk5dp0hdwrrzfwxafx0" timestamp="1465568573"&gt;667&lt;/key&gt;&lt;/foreign-keys&gt;&lt;ref-type name="Legal Rule or Regulation"&gt;50&lt;/ref-type&gt;&lt;contributors&gt;&lt;authors&gt;&lt;author&gt;European Commission,&lt;/author&gt;&lt;/authors&gt;&lt;/contributors&gt;&lt;titles&gt;&lt;title&gt;Communication from the Commission to the Council and the European Parliament. Forest Law Enforcement, Governance and Trade (FLEGT) proposal for an EU Action Plan COM (2003) 251 final&lt;/title&gt;&lt;/titles&gt;&lt;dates&gt;&lt;year&gt;2003&lt;/year&gt;&lt;/dates&gt;&lt;urls&gt;&lt;/urls&gt;&lt;/record&gt;&lt;/Cite&gt;&lt;Cite ExcludeAuth="1" ExcludeYear="1" Hidden="1"&gt;&lt;Author&gt;Council of the European Union&lt;/Author&gt;&lt;Year&gt;1992&lt;/Year&gt;&lt;RecNum&gt;610&lt;/RecNum&gt;&lt;record&gt;&lt;rec-number&gt;610&lt;/rec-number&gt;&lt;foreign-keys&gt;&lt;key app="EN" db-id="5sx9s2wpfwxfs6effrk5dp0hdwrrzfwxafx0" timestamp="1461243871"&gt;610&lt;/key&gt;&lt;/foreign-keys&gt;&lt;ref-type name="Legal Rule or Regulation"&gt;50&lt;/ref-type&gt;&lt;contributors&gt;&lt;authors&gt;&lt;author&gt;Council of the European Union, &lt;/author&gt;&lt;/authors&gt;&lt;/contributors&gt;&lt;titles&gt;&lt;title&gt;Council Directive 92/43/EEC of 21 May 1992 on the conservation of natral habitats and of wild flora and fauna&lt;/title&gt;&lt;/titles&gt;&lt;dates&gt;&lt;year&gt;1992&lt;/year&gt;&lt;/dates&gt;&lt;urls&gt;&lt;/urls&gt;&lt;/record&gt;&lt;/Cite&gt;&lt;Cite ExcludeAuth="1" ExcludeYear="1" Hidden="1"&gt;&lt;Author&gt;Council of the European Union&lt;/Author&gt;&lt;Year&gt;1979&lt;/Year&gt;&lt;RecNum&gt;669&lt;/RecNum&gt;&lt;record&gt;&lt;rec-number&gt;669&lt;/rec-number&gt;&lt;foreign-keys&gt;&lt;key app="EN" db-id="5sx9s2wpfwxfs6effrk5dp0hdwrrzfwxafx0" timestamp="1465568794"&gt;669&lt;/key&gt;&lt;/foreign-keys&gt;&lt;ref-type name="Journal Article"&gt;17&lt;/ref-type&gt;&lt;contributors&gt;&lt;authors&gt;&lt;author&gt;Council of the European Union, &lt;/author&gt;&lt;/authors&gt;&lt;/contributors&gt;&lt;titles&gt;&lt;title&gt;Council Directive 79/409/EEC of 2 April 1979 on the conservation of wild birds&lt;/title&gt;&lt;/titles&gt;&lt;dates&gt;&lt;year&gt;1979&lt;/year&gt;&lt;/dates&gt;&lt;urls&gt;&lt;/urls&gt;&lt;/record&gt;&lt;/Cite&gt;&lt;/EndNote&gt;</w:instrText>
      </w:r>
      <w:r w:rsidRPr="0003139B">
        <w:rPr>
          <w:rFonts w:cs="Times New Roman"/>
          <w:color w:val="000000" w:themeColor="text1"/>
        </w:rPr>
        <w:fldChar w:fldCharType="end"/>
      </w:r>
      <w:proofErr w:type="spellStart"/>
      <w:r w:rsidRPr="0003139B">
        <w:rPr>
          <w:rFonts w:cs="Times New Roman"/>
          <w:color w:val="000000" w:themeColor="text1"/>
        </w:rPr>
        <w:t>Simula</w:t>
      </w:r>
      <w:proofErr w:type="spellEnd"/>
      <w:r w:rsidR="0003139B">
        <w:rPr>
          <w:rFonts w:cs="Times New Roman"/>
          <w:color w:val="000000" w:themeColor="text1"/>
        </w:rPr>
        <w:t>, M. (</w:t>
      </w:r>
      <w:r w:rsidRPr="0003139B">
        <w:rPr>
          <w:rFonts w:cs="Times New Roman"/>
          <w:color w:val="000000" w:themeColor="text1"/>
        </w:rPr>
        <w:t>2003</w:t>
      </w:r>
      <w:r w:rsidR="0003139B">
        <w:rPr>
          <w:rFonts w:cs="Times New Roman"/>
          <w:color w:val="000000" w:themeColor="text1"/>
        </w:rPr>
        <w:t xml:space="preserve">). Forest certification – an instrument to promote sustainable forest management? Journal of Environmental Management 67: 87-98. </w:t>
      </w:r>
    </w:p>
    <w:p w14:paraId="3CCDD418" w14:textId="0E4C2692" w:rsidR="0093249B" w:rsidRPr="0003139B" w:rsidRDefault="0093249B" w:rsidP="0003139B">
      <w:pPr>
        <w:spacing w:after="120" w:line="276" w:lineRule="auto"/>
        <w:jc w:val="both"/>
        <w:rPr>
          <w:rFonts w:cs="Times New Roman"/>
          <w:color w:val="000000" w:themeColor="text1"/>
        </w:rPr>
      </w:pPr>
      <w:proofErr w:type="spellStart"/>
      <w:r>
        <w:rPr>
          <w:rFonts w:cs="Times New Roman"/>
          <w:color w:val="000000" w:themeColor="text1"/>
        </w:rPr>
        <w:t>Raustiala</w:t>
      </w:r>
      <w:proofErr w:type="spellEnd"/>
      <w:r>
        <w:rPr>
          <w:rFonts w:cs="Times New Roman"/>
          <w:color w:val="000000" w:themeColor="text1"/>
        </w:rPr>
        <w:t xml:space="preserve">, K. (2013). Institutional proliferation and the international legal order. In (Eds.) J. L. </w:t>
      </w:r>
      <w:proofErr w:type="spellStart"/>
      <w:r>
        <w:rPr>
          <w:rFonts w:cs="Times New Roman"/>
          <w:color w:val="000000" w:themeColor="text1"/>
        </w:rPr>
        <w:t>Dunoff</w:t>
      </w:r>
      <w:proofErr w:type="spellEnd"/>
      <w:r>
        <w:rPr>
          <w:rFonts w:cs="Times New Roman"/>
          <w:color w:val="000000" w:themeColor="text1"/>
        </w:rPr>
        <w:t xml:space="preserve">, M. A. Pollack. Interdisciplinary perspectives on international law and international relations: The state of the art. Cambridge: Cambridge University Press, 293-320. </w:t>
      </w:r>
    </w:p>
    <w:p w14:paraId="34FB3097" w14:textId="309AC3D1" w:rsidR="005F7EE4" w:rsidRPr="0003139B" w:rsidRDefault="005F7EE4" w:rsidP="0003139B">
      <w:pPr>
        <w:spacing w:after="120" w:line="276" w:lineRule="auto"/>
        <w:jc w:val="both"/>
        <w:rPr>
          <w:rFonts w:cs="Times New Roman"/>
          <w:color w:val="000000" w:themeColor="text1"/>
        </w:rPr>
      </w:pPr>
      <w:r w:rsidRPr="0003139B">
        <w:rPr>
          <w:rFonts w:cs="Times New Roman"/>
          <w:color w:val="000000" w:themeColor="text1"/>
        </w:rPr>
        <w:t>Rayner</w:t>
      </w:r>
      <w:r w:rsidR="0003139B">
        <w:rPr>
          <w:rFonts w:cs="Times New Roman"/>
          <w:color w:val="000000" w:themeColor="text1"/>
        </w:rPr>
        <w:t xml:space="preserve">, J., Buck, A., Katila, P. (2014). Embracing Complexity: Meeting the Challenge of International Forest Governance. A Global Forest Expert Panel on the International Forest Regime. International Union of Forest Research Organizations, Vienna. </w:t>
      </w:r>
    </w:p>
    <w:p w14:paraId="7384F983" w14:textId="09701E2F" w:rsidR="005F7EE4" w:rsidRDefault="005F7EE4" w:rsidP="0003139B">
      <w:pPr>
        <w:spacing w:after="120" w:line="276" w:lineRule="auto"/>
        <w:jc w:val="both"/>
        <w:rPr>
          <w:color w:val="000000" w:themeColor="text1"/>
        </w:rPr>
      </w:pPr>
      <w:proofErr w:type="spellStart"/>
      <w:r w:rsidRPr="0003139B">
        <w:rPr>
          <w:color w:val="000000" w:themeColor="text1"/>
        </w:rPr>
        <w:t>Savaresi</w:t>
      </w:r>
      <w:proofErr w:type="spellEnd"/>
      <w:r w:rsidR="0003139B">
        <w:rPr>
          <w:color w:val="000000" w:themeColor="text1"/>
        </w:rPr>
        <w:t>, A.</w:t>
      </w:r>
      <w:r w:rsidRPr="0003139B">
        <w:rPr>
          <w:color w:val="000000" w:themeColor="text1"/>
        </w:rPr>
        <w:t xml:space="preserve"> </w:t>
      </w:r>
      <w:r w:rsidR="0003139B">
        <w:rPr>
          <w:color w:val="000000" w:themeColor="text1"/>
        </w:rPr>
        <w:t>(</w:t>
      </w:r>
      <w:r w:rsidRPr="0003139B">
        <w:rPr>
          <w:color w:val="000000" w:themeColor="text1"/>
        </w:rPr>
        <w:t>2012</w:t>
      </w:r>
      <w:r w:rsidR="0003139B">
        <w:rPr>
          <w:color w:val="000000" w:themeColor="text1"/>
        </w:rPr>
        <w:t xml:space="preserve">). EU external action on forests: FLEGT and the development of international law. In 9ed.) E. </w:t>
      </w:r>
      <w:proofErr w:type="spellStart"/>
      <w:r w:rsidR="0003139B">
        <w:rPr>
          <w:color w:val="000000" w:themeColor="text1"/>
        </w:rPr>
        <w:t>Morgera</w:t>
      </w:r>
      <w:proofErr w:type="spellEnd"/>
      <w:r w:rsidR="0003139B">
        <w:rPr>
          <w:color w:val="000000" w:themeColor="text1"/>
        </w:rPr>
        <w:t xml:space="preserve"> The External Environmental Policy of the European Union. EU and International Law Perspectives. Cambridge, Cambridge University Press, 149-173.</w:t>
      </w:r>
    </w:p>
    <w:p w14:paraId="6E3CE316" w14:textId="77777777" w:rsidR="00531EBC" w:rsidRPr="00531EBC" w:rsidRDefault="00531EBC" w:rsidP="00531EBC">
      <w:pPr>
        <w:pStyle w:val="FootnoteText"/>
        <w:spacing w:after="120" w:line="276" w:lineRule="auto"/>
        <w:jc w:val="both"/>
        <w:rPr>
          <w:color w:val="000000" w:themeColor="text1"/>
          <w:sz w:val="24"/>
          <w:szCs w:val="24"/>
        </w:rPr>
      </w:pPr>
      <w:proofErr w:type="spellStart"/>
      <w:r w:rsidRPr="00531EBC">
        <w:rPr>
          <w:color w:val="000000" w:themeColor="text1"/>
          <w:sz w:val="24"/>
          <w:szCs w:val="24"/>
        </w:rPr>
        <w:t>Tegegne</w:t>
      </w:r>
      <w:proofErr w:type="spellEnd"/>
      <w:r w:rsidRPr="00531EBC">
        <w:rPr>
          <w:color w:val="000000" w:themeColor="text1"/>
          <w:sz w:val="24"/>
          <w:szCs w:val="24"/>
        </w:rPr>
        <w:t xml:space="preserve">, Y. T., </w:t>
      </w:r>
      <w:proofErr w:type="spellStart"/>
      <w:r w:rsidRPr="00531EBC">
        <w:rPr>
          <w:color w:val="000000" w:themeColor="text1"/>
          <w:sz w:val="24"/>
          <w:szCs w:val="24"/>
        </w:rPr>
        <w:t>Chieng</w:t>
      </w:r>
      <w:proofErr w:type="spellEnd"/>
      <w:r w:rsidRPr="00531EBC">
        <w:rPr>
          <w:color w:val="000000" w:themeColor="text1"/>
          <w:sz w:val="24"/>
          <w:szCs w:val="24"/>
        </w:rPr>
        <w:t xml:space="preserve">, R. M., </w:t>
      </w:r>
      <w:proofErr w:type="spellStart"/>
      <w:r w:rsidRPr="00531EBC">
        <w:rPr>
          <w:color w:val="000000" w:themeColor="text1"/>
          <w:sz w:val="24"/>
          <w:szCs w:val="24"/>
        </w:rPr>
        <w:t>Visseren-Hamakers</w:t>
      </w:r>
      <w:proofErr w:type="spellEnd"/>
      <w:r w:rsidRPr="00531EBC">
        <w:rPr>
          <w:color w:val="000000" w:themeColor="text1"/>
          <w:sz w:val="24"/>
          <w:szCs w:val="24"/>
        </w:rPr>
        <w:t xml:space="preserve"> I. J., Lindner M., </w:t>
      </w:r>
      <w:proofErr w:type="spellStart"/>
      <w:r w:rsidRPr="00531EBC">
        <w:rPr>
          <w:color w:val="000000" w:themeColor="text1"/>
          <w:sz w:val="24"/>
          <w:szCs w:val="24"/>
        </w:rPr>
        <w:t>Fobissie</w:t>
      </w:r>
      <w:proofErr w:type="spellEnd"/>
      <w:r w:rsidRPr="00531EBC">
        <w:rPr>
          <w:color w:val="000000" w:themeColor="text1"/>
          <w:sz w:val="24"/>
          <w:szCs w:val="24"/>
        </w:rPr>
        <w:t xml:space="preserve"> K.B., 2014. Comparative analysis of the interactions between the FLEGT and REDD+ regimes in Cameroon and the Republic of Congo. International Forestry Review 16(6): 602-614;</w:t>
      </w:r>
    </w:p>
    <w:p w14:paraId="2D429438" w14:textId="36434E3A" w:rsidR="00531EBC" w:rsidRPr="00531EBC" w:rsidRDefault="00531EBC" w:rsidP="00531EBC">
      <w:pPr>
        <w:pStyle w:val="FootnoteText"/>
        <w:spacing w:after="120" w:line="276" w:lineRule="auto"/>
        <w:jc w:val="both"/>
        <w:rPr>
          <w:color w:val="000000" w:themeColor="text1"/>
          <w:sz w:val="24"/>
          <w:szCs w:val="24"/>
        </w:rPr>
      </w:pPr>
      <w:proofErr w:type="spellStart"/>
      <w:r w:rsidRPr="00531EBC">
        <w:rPr>
          <w:color w:val="000000" w:themeColor="text1"/>
          <w:sz w:val="24"/>
          <w:szCs w:val="24"/>
        </w:rPr>
        <w:t>Tegegne</w:t>
      </w:r>
      <w:proofErr w:type="spellEnd"/>
      <w:r w:rsidRPr="00531EBC">
        <w:rPr>
          <w:color w:val="000000" w:themeColor="text1"/>
          <w:sz w:val="24"/>
          <w:szCs w:val="24"/>
        </w:rPr>
        <w:t xml:space="preserve"> Y. T., </w:t>
      </w:r>
      <w:proofErr w:type="spellStart"/>
      <w:r w:rsidRPr="00531EBC">
        <w:rPr>
          <w:color w:val="000000" w:themeColor="text1"/>
          <w:sz w:val="24"/>
          <w:szCs w:val="24"/>
        </w:rPr>
        <w:t>Ramcilovic-Suominen</w:t>
      </w:r>
      <w:proofErr w:type="spellEnd"/>
      <w:r w:rsidRPr="00531EBC">
        <w:rPr>
          <w:color w:val="000000" w:themeColor="text1"/>
          <w:sz w:val="24"/>
          <w:szCs w:val="24"/>
        </w:rPr>
        <w:t xml:space="preserve"> S., </w:t>
      </w:r>
      <w:proofErr w:type="spellStart"/>
      <w:r w:rsidRPr="00531EBC">
        <w:rPr>
          <w:color w:val="000000" w:themeColor="text1"/>
          <w:sz w:val="24"/>
          <w:szCs w:val="24"/>
        </w:rPr>
        <w:t>Fobissies</w:t>
      </w:r>
      <w:proofErr w:type="spellEnd"/>
      <w:r w:rsidRPr="00531EBC">
        <w:rPr>
          <w:color w:val="000000" w:themeColor="text1"/>
          <w:sz w:val="24"/>
          <w:szCs w:val="24"/>
        </w:rPr>
        <w:t xml:space="preserve"> K., </w:t>
      </w:r>
      <w:proofErr w:type="spellStart"/>
      <w:r w:rsidRPr="00531EBC">
        <w:rPr>
          <w:color w:val="000000" w:themeColor="text1"/>
          <w:sz w:val="24"/>
          <w:szCs w:val="24"/>
        </w:rPr>
        <w:t>Visseren-Hamakers</w:t>
      </w:r>
      <w:proofErr w:type="spellEnd"/>
      <w:r w:rsidRPr="00531EBC">
        <w:rPr>
          <w:color w:val="000000" w:themeColor="text1"/>
          <w:sz w:val="24"/>
          <w:szCs w:val="24"/>
        </w:rPr>
        <w:t xml:space="preserve"> I. J., Lindner M., and </w:t>
      </w:r>
      <w:proofErr w:type="spellStart"/>
      <w:r w:rsidRPr="00531EBC">
        <w:rPr>
          <w:color w:val="000000" w:themeColor="text1"/>
          <w:sz w:val="24"/>
          <w:szCs w:val="24"/>
        </w:rPr>
        <w:t>Kanninen</w:t>
      </w:r>
      <w:proofErr w:type="spellEnd"/>
      <w:r w:rsidRPr="00531EBC">
        <w:rPr>
          <w:color w:val="000000" w:themeColor="text1"/>
          <w:sz w:val="24"/>
          <w:szCs w:val="24"/>
        </w:rPr>
        <w:t xml:space="preserve"> M., 2017. Synergies among social safeguards in FLEGT and REDD+ in Cameroon.</w:t>
      </w:r>
    </w:p>
    <w:p w14:paraId="5D4D7517" w14:textId="7F91D00A" w:rsidR="009C37DB" w:rsidRDefault="009C37DB" w:rsidP="005066B9">
      <w:pPr>
        <w:spacing w:after="120" w:line="360" w:lineRule="auto"/>
        <w:jc w:val="both"/>
      </w:pPr>
    </w:p>
    <w:p w14:paraId="17E703ED" w14:textId="622A3F55" w:rsidR="009C37DB" w:rsidRDefault="00EA2421" w:rsidP="005066B9">
      <w:pPr>
        <w:spacing w:after="120" w:line="360" w:lineRule="auto"/>
        <w:jc w:val="both"/>
      </w:pPr>
      <w:r>
        <w:t xml:space="preserve">List of interviews: </w:t>
      </w:r>
    </w:p>
    <w:tbl>
      <w:tblPr>
        <w:tblStyle w:val="TableGrid"/>
        <w:tblW w:w="9493" w:type="dxa"/>
        <w:tblLook w:val="04A0" w:firstRow="1" w:lastRow="0" w:firstColumn="1" w:lastColumn="0" w:noHBand="0" w:noVBand="1"/>
      </w:tblPr>
      <w:tblGrid>
        <w:gridCol w:w="1413"/>
        <w:gridCol w:w="2977"/>
        <w:gridCol w:w="2126"/>
        <w:gridCol w:w="2977"/>
      </w:tblGrid>
      <w:tr w:rsidR="009C5802" w14:paraId="29AFE05F" w14:textId="77777777" w:rsidTr="009145C5">
        <w:tc>
          <w:tcPr>
            <w:tcW w:w="1413" w:type="dxa"/>
            <w:tcBorders>
              <w:bottom w:val="single" w:sz="18" w:space="0" w:color="000000"/>
            </w:tcBorders>
          </w:tcPr>
          <w:p w14:paraId="2E516180" w14:textId="5B3F74BD" w:rsidR="009C5802" w:rsidRDefault="009C5802" w:rsidP="005066B9">
            <w:pPr>
              <w:spacing w:after="120" w:line="360" w:lineRule="auto"/>
              <w:jc w:val="both"/>
            </w:pPr>
            <w:r>
              <w:t>Interviewee</w:t>
            </w:r>
          </w:p>
        </w:tc>
        <w:tc>
          <w:tcPr>
            <w:tcW w:w="2977" w:type="dxa"/>
            <w:tcBorders>
              <w:bottom w:val="single" w:sz="18" w:space="0" w:color="000000"/>
            </w:tcBorders>
          </w:tcPr>
          <w:p w14:paraId="031631C9" w14:textId="2C6E5F26" w:rsidR="009C5802" w:rsidRDefault="009C5802" w:rsidP="005066B9">
            <w:pPr>
              <w:spacing w:after="120" w:line="360" w:lineRule="auto"/>
              <w:jc w:val="both"/>
            </w:pPr>
            <w:r>
              <w:t>Affiliation</w:t>
            </w:r>
          </w:p>
        </w:tc>
        <w:tc>
          <w:tcPr>
            <w:tcW w:w="2126" w:type="dxa"/>
            <w:tcBorders>
              <w:bottom w:val="single" w:sz="18" w:space="0" w:color="000000"/>
            </w:tcBorders>
          </w:tcPr>
          <w:p w14:paraId="0580AE09" w14:textId="214506EE" w:rsidR="009C5802" w:rsidRDefault="009C5802" w:rsidP="005066B9">
            <w:pPr>
              <w:spacing w:after="120" w:line="360" w:lineRule="auto"/>
              <w:jc w:val="both"/>
            </w:pPr>
            <w:r>
              <w:t>Date of interview</w:t>
            </w:r>
          </w:p>
        </w:tc>
        <w:tc>
          <w:tcPr>
            <w:tcW w:w="2977" w:type="dxa"/>
            <w:tcBorders>
              <w:bottom w:val="single" w:sz="18" w:space="0" w:color="000000"/>
            </w:tcBorders>
          </w:tcPr>
          <w:p w14:paraId="34A143B9" w14:textId="1EA58109" w:rsidR="009C5802" w:rsidRDefault="00F12ED8" w:rsidP="005066B9">
            <w:pPr>
              <w:spacing w:after="120" w:line="360" w:lineRule="auto"/>
              <w:jc w:val="both"/>
            </w:pPr>
            <w:r>
              <w:t>Political venue</w:t>
            </w:r>
            <w:r w:rsidR="009C5802">
              <w:t xml:space="preserve"> </w:t>
            </w:r>
            <w:r>
              <w:t>discussed</w:t>
            </w:r>
          </w:p>
        </w:tc>
      </w:tr>
      <w:tr w:rsidR="00DA1611" w14:paraId="7DD270C7" w14:textId="67F711B2" w:rsidTr="009145C5">
        <w:tc>
          <w:tcPr>
            <w:tcW w:w="1413" w:type="dxa"/>
            <w:tcBorders>
              <w:top w:val="single" w:sz="18" w:space="0" w:color="000000"/>
            </w:tcBorders>
          </w:tcPr>
          <w:p w14:paraId="0E8C1BAA" w14:textId="11ED5EAD" w:rsidR="00DA1611" w:rsidRDefault="009C5802" w:rsidP="005066B9">
            <w:pPr>
              <w:spacing w:after="120" w:line="360" w:lineRule="auto"/>
              <w:jc w:val="both"/>
            </w:pPr>
            <w:r>
              <w:t>1</w:t>
            </w:r>
          </w:p>
        </w:tc>
        <w:tc>
          <w:tcPr>
            <w:tcW w:w="2977" w:type="dxa"/>
            <w:tcBorders>
              <w:top w:val="single" w:sz="18" w:space="0" w:color="000000"/>
            </w:tcBorders>
          </w:tcPr>
          <w:p w14:paraId="300DFD0F" w14:textId="131F5E04" w:rsidR="00DA1611" w:rsidRDefault="00DE0F3E" w:rsidP="005066B9">
            <w:pPr>
              <w:spacing w:after="120" w:line="360" w:lineRule="auto"/>
              <w:jc w:val="both"/>
            </w:pPr>
            <w:r>
              <w:t>EU</w:t>
            </w:r>
          </w:p>
        </w:tc>
        <w:tc>
          <w:tcPr>
            <w:tcW w:w="2126" w:type="dxa"/>
            <w:tcBorders>
              <w:top w:val="single" w:sz="18" w:space="0" w:color="000000"/>
            </w:tcBorders>
          </w:tcPr>
          <w:p w14:paraId="23B1FA0C" w14:textId="2EB01580" w:rsidR="00DA1611" w:rsidRDefault="00DA1611" w:rsidP="005066B9">
            <w:pPr>
              <w:spacing w:after="120" w:line="360" w:lineRule="auto"/>
              <w:jc w:val="both"/>
            </w:pPr>
            <w:r>
              <w:t>21 Nov 2017</w:t>
            </w:r>
          </w:p>
        </w:tc>
        <w:tc>
          <w:tcPr>
            <w:tcW w:w="2977" w:type="dxa"/>
            <w:tcBorders>
              <w:top w:val="single" w:sz="18" w:space="0" w:color="000000"/>
            </w:tcBorders>
          </w:tcPr>
          <w:p w14:paraId="0C6EB83A" w14:textId="1836D64F" w:rsidR="00DA1611" w:rsidRDefault="00A370AB" w:rsidP="005066B9">
            <w:pPr>
              <w:spacing w:after="120" w:line="360" w:lineRule="auto"/>
              <w:jc w:val="both"/>
            </w:pPr>
            <w:r>
              <w:t>FLEGT AP</w:t>
            </w:r>
          </w:p>
        </w:tc>
      </w:tr>
      <w:tr w:rsidR="00DA1611" w14:paraId="4D7815B2" w14:textId="0E9E4564" w:rsidTr="009145C5">
        <w:tc>
          <w:tcPr>
            <w:tcW w:w="1413" w:type="dxa"/>
          </w:tcPr>
          <w:p w14:paraId="0D3D7B02" w14:textId="6AF365EC" w:rsidR="00DA1611" w:rsidRDefault="009C5802" w:rsidP="005066B9">
            <w:pPr>
              <w:spacing w:after="120" w:line="360" w:lineRule="auto"/>
              <w:jc w:val="both"/>
            </w:pPr>
            <w:r>
              <w:t>2</w:t>
            </w:r>
          </w:p>
        </w:tc>
        <w:tc>
          <w:tcPr>
            <w:tcW w:w="2977" w:type="dxa"/>
          </w:tcPr>
          <w:p w14:paraId="0AA4A0D2" w14:textId="780A3BAF" w:rsidR="00DA1611" w:rsidRDefault="00213F2F" w:rsidP="005066B9">
            <w:pPr>
              <w:spacing w:after="120" w:line="360" w:lineRule="auto"/>
              <w:jc w:val="both"/>
            </w:pPr>
            <w:r>
              <w:t>NGO</w:t>
            </w:r>
          </w:p>
        </w:tc>
        <w:tc>
          <w:tcPr>
            <w:tcW w:w="2126" w:type="dxa"/>
          </w:tcPr>
          <w:p w14:paraId="68BA4864" w14:textId="06DD4FC8" w:rsidR="00DA1611" w:rsidRDefault="00213F2F" w:rsidP="005066B9">
            <w:pPr>
              <w:spacing w:after="120" w:line="360" w:lineRule="auto"/>
              <w:jc w:val="both"/>
            </w:pPr>
            <w:r>
              <w:t>5 Dec 2017</w:t>
            </w:r>
          </w:p>
        </w:tc>
        <w:tc>
          <w:tcPr>
            <w:tcW w:w="2977" w:type="dxa"/>
          </w:tcPr>
          <w:p w14:paraId="68D8C945" w14:textId="1399597E" w:rsidR="00DA1611" w:rsidRDefault="00A370AB" w:rsidP="005066B9">
            <w:pPr>
              <w:spacing w:after="120" w:line="360" w:lineRule="auto"/>
              <w:jc w:val="both"/>
            </w:pPr>
            <w:r>
              <w:t>FLEGT AP</w:t>
            </w:r>
          </w:p>
        </w:tc>
      </w:tr>
      <w:tr w:rsidR="00DA1611" w14:paraId="2AB646D2" w14:textId="5FAE41E4" w:rsidTr="009145C5">
        <w:tc>
          <w:tcPr>
            <w:tcW w:w="1413" w:type="dxa"/>
          </w:tcPr>
          <w:p w14:paraId="12E520B0" w14:textId="5E126296" w:rsidR="00DA1611" w:rsidRDefault="009C5802" w:rsidP="005066B9">
            <w:pPr>
              <w:spacing w:after="120" w:line="360" w:lineRule="auto"/>
              <w:jc w:val="both"/>
            </w:pPr>
            <w:r>
              <w:t>3</w:t>
            </w:r>
          </w:p>
        </w:tc>
        <w:tc>
          <w:tcPr>
            <w:tcW w:w="2977" w:type="dxa"/>
          </w:tcPr>
          <w:p w14:paraId="7B23BD4D" w14:textId="23A15AC2" w:rsidR="00DA1611" w:rsidRDefault="009145C5" w:rsidP="00E7484F">
            <w:pPr>
              <w:tabs>
                <w:tab w:val="center" w:pos="955"/>
              </w:tabs>
              <w:spacing w:after="120" w:line="360" w:lineRule="auto"/>
              <w:jc w:val="both"/>
            </w:pPr>
            <w:r>
              <w:t>EU</w:t>
            </w:r>
            <w:r w:rsidR="00E7484F">
              <w:t>/</w:t>
            </w:r>
            <w:r>
              <w:t>International institution</w:t>
            </w:r>
          </w:p>
        </w:tc>
        <w:tc>
          <w:tcPr>
            <w:tcW w:w="2126" w:type="dxa"/>
          </w:tcPr>
          <w:p w14:paraId="25222A1C" w14:textId="14F1020C" w:rsidR="00DA1611" w:rsidRDefault="00E65F87" w:rsidP="005066B9">
            <w:pPr>
              <w:spacing w:after="120" w:line="360" w:lineRule="auto"/>
              <w:jc w:val="both"/>
            </w:pPr>
            <w:r>
              <w:t>14 Dec 2017</w:t>
            </w:r>
          </w:p>
        </w:tc>
        <w:tc>
          <w:tcPr>
            <w:tcW w:w="2977" w:type="dxa"/>
          </w:tcPr>
          <w:p w14:paraId="3B22C243" w14:textId="04972DC7" w:rsidR="00DA1611" w:rsidRDefault="00A370AB" w:rsidP="005066B9">
            <w:pPr>
              <w:spacing w:after="120" w:line="360" w:lineRule="auto"/>
              <w:jc w:val="both"/>
            </w:pPr>
            <w:r>
              <w:t>FLEGT AP</w:t>
            </w:r>
          </w:p>
        </w:tc>
      </w:tr>
      <w:tr w:rsidR="00DA1611" w14:paraId="661C70B9" w14:textId="3F835689" w:rsidTr="009145C5">
        <w:tc>
          <w:tcPr>
            <w:tcW w:w="1413" w:type="dxa"/>
          </w:tcPr>
          <w:p w14:paraId="2DC7A72E" w14:textId="419F522B" w:rsidR="00DA1611" w:rsidRDefault="009C5802" w:rsidP="005066B9">
            <w:pPr>
              <w:spacing w:after="120" w:line="360" w:lineRule="auto"/>
              <w:jc w:val="both"/>
            </w:pPr>
            <w:r>
              <w:t>4</w:t>
            </w:r>
          </w:p>
        </w:tc>
        <w:tc>
          <w:tcPr>
            <w:tcW w:w="2977" w:type="dxa"/>
          </w:tcPr>
          <w:p w14:paraId="5F654EB9" w14:textId="16D54603" w:rsidR="00DA1611" w:rsidRDefault="001B3E81" w:rsidP="005066B9">
            <w:pPr>
              <w:spacing w:after="120" w:line="360" w:lineRule="auto"/>
              <w:jc w:val="both"/>
            </w:pPr>
            <w:r>
              <w:t>NGO</w:t>
            </w:r>
          </w:p>
        </w:tc>
        <w:tc>
          <w:tcPr>
            <w:tcW w:w="2126" w:type="dxa"/>
          </w:tcPr>
          <w:p w14:paraId="4C8A0631" w14:textId="177FCE3B" w:rsidR="00DA1611" w:rsidRDefault="001B3E81" w:rsidP="005066B9">
            <w:pPr>
              <w:spacing w:after="120" w:line="360" w:lineRule="auto"/>
              <w:jc w:val="both"/>
            </w:pPr>
            <w:r>
              <w:t>30 April 2018</w:t>
            </w:r>
          </w:p>
        </w:tc>
        <w:tc>
          <w:tcPr>
            <w:tcW w:w="2977" w:type="dxa"/>
          </w:tcPr>
          <w:p w14:paraId="2C9BA993" w14:textId="2F3BC1B2" w:rsidR="00DA1611" w:rsidRDefault="00A370AB" w:rsidP="005066B9">
            <w:pPr>
              <w:spacing w:after="120" w:line="360" w:lineRule="auto"/>
              <w:jc w:val="both"/>
            </w:pPr>
            <w:r>
              <w:t>FLEGT AP</w:t>
            </w:r>
          </w:p>
        </w:tc>
      </w:tr>
      <w:tr w:rsidR="00DA1611" w14:paraId="75BC0F96" w14:textId="6AC54424" w:rsidTr="009145C5">
        <w:tc>
          <w:tcPr>
            <w:tcW w:w="1413" w:type="dxa"/>
          </w:tcPr>
          <w:p w14:paraId="6C1D4AC3" w14:textId="2A06792E" w:rsidR="00DA1611" w:rsidRDefault="009C5802" w:rsidP="005066B9">
            <w:pPr>
              <w:spacing w:after="120" w:line="360" w:lineRule="auto"/>
              <w:jc w:val="both"/>
            </w:pPr>
            <w:r>
              <w:t>5</w:t>
            </w:r>
          </w:p>
        </w:tc>
        <w:tc>
          <w:tcPr>
            <w:tcW w:w="2977" w:type="dxa"/>
          </w:tcPr>
          <w:p w14:paraId="3ACA07B6" w14:textId="3FCAB2EE" w:rsidR="00DA1611" w:rsidRDefault="00DE0F3E" w:rsidP="005066B9">
            <w:pPr>
              <w:spacing w:after="120" w:line="360" w:lineRule="auto"/>
              <w:jc w:val="both"/>
            </w:pPr>
            <w:r>
              <w:t>EU</w:t>
            </w:r>
          </w:p>
        </w:tc>
        <w:tc>
          <w:tcPr>
            <w:tcW w:w="2126" w:type="dxa"/>
          </w:tcPr>
          <w:p w14:paraId="7396A81B" w14:textId="1603324C" w:rsidR="00DA1611" w:rsidRDefault="00A370AB" w:rsidP="005066B9">
            <w:pPr>
              <w:spacing w:after="120" w:line="360" w:lineRule="auto"/>
              <w:jc w:val="both"/>
            </w:pPr>
            <w:r>
              <w:t>24 Nov 2017</w:t>
            </w:r>
          </w:p>
        </w:tc>
        <w:tc>
          <w:tcPr>
            <w:tcW w:w="2977" w:type="dxa"/>
          </w:tcPr>
          <w:p w14:paraId="2CD40DD1" w14:textId="76B336B4" w:rsidR="00DA1611" w:rsidRDefault="00A370AB" w:rsidP="005066B9">
            <w:pPr>
              <w:spacing w:after="120" w:line="360" w:lineRule="auto"/>
              <w:jc w:val="both"/>
            </w:pPr>
            <w:r>
              <w:t>FLEGT AP</w:t>
            </w:r>
          </w:p>
        </w:tc>
      </w:tr>
      <w:tr w:rsidR="00DA1611" w14:paraId="1C02A145" w14:textId="5E22E4C3" w:rsidTr="009145C5">
        <w:tc>
          <w:tcPr>
            <w:tcW w:w="1413" w:type="dxa"/>
          </w:tcPr>
          <w:p w14:paraId="4AAEF064" w14:textId="0582EF46" w:rsidR="00DA1611" w:rsidRDefault="009C5802" w:rsidP="005066B9">
            <w:pPr>
              <w:spacing w:after="120" w:line="360" w:lineRule="auto"/>
              <w:jc w:val="both"/>
            </w:pPr>
            <w:r>
              <w:t>6</w:t>
            </w:r>
          </w:p>
        </w:tc>
        <w:tc>
          <w:tcPr>
            <w:tcW w:w="2977" w:type="dxa"/>
          </w:tcPr>
          <w:p w14:paraId="344912C2" w14:textId="06F2A33A" w:rsidR="00DA1611" w:rsidRDefault="00DE0F3E" w:rsidP="00E7484F">
            <w:pPr>
              <w:tabs>
                <w:tab w:val="center" w:pos="955"/>
              </w:tabs>
              <w:spacing w:after="120" w:line="360" w:lineRule="auto"/>
              <w:jc w:val="both"/>
            </w:pPr>
            <w:r>
              <w:t>EU</w:t>
            </w:r>
          </w:p>
        </w:tc>
        <w:tc>
          <w:tcPr>
            <w:tcW w:w="2126" w:type="dxa"/>
          </w:tcPr>
          <w:p w14:paraId="72615B90" w14:textId="62952BD8" w:rsidR="00DA1611" w:rsidRDefault="00A370AB" w:rsidP="005066B9">
            <w:pPr>
              <w:spacing w:after="120" w:line="360" w:lineRule="auto"/>
              <w:jc w:val="both"/>
            </w:pPr>
            <w:r>
              <w:t>18 May 2018</w:t>
            </w:r>
          </w:p>
        </w:tc>
        <w:tc>
          <w:tcPr>
            <w:tcW w:w="2977" w:type="dxa"/>
          </w:tcPr>
          <w:p w14:paraId="7BAF04DF" w14:textId="7D1D565B" w:rsidR="00DA1611" w:rsidRDefault="00A370AB" w:rsidP="005066B9">
            <w:pPr>
              <w:spacing w:after="120" w:line="360" w:lineRule="auto"/>
              <w:jc w:val="both"/>
            </w:pPr>
            <w:r>
              <w:t>FLEGT AP</w:t>
            </w:r>
          </w:p>
        </w:tc>
      </w:tr>
      <w:tr w:rsidR="00DA1611" w14:paraId="5D38FCAB" w14:textId="045ADEC5" w:rsidTr="009145C5">
        <w:tc>
          <w:tcPr>
            <w:tcW w:w="1413" w:type="dxa"/>
          </w:tcPr>
          <w:p w14:paraId="2BF19495" w14:textId="3E992CA7" w:rsidR="00DA1611" w:rsidRDefault="009C5802" w:rsidP="005066B9">
            <w:pPr>
              <w:spacing w:after="120" w:line="360" w:lineRule="auto"/>
              <w:jc w:val="both"/>
            </w:pPr>
            <w:r>
              <w:t>7</w:t>
            </w:r>
          </w:p>
        </w:tc>
        <w:tc>
          <w:tcPr>
            <w:tcW w:w="2977" w:type="dxa"/>
          </w:tcPr>
          <w:p w14:paraId="6DDDDAAA" w14:textId="256CA849" w:rsidR="00DA1611" w:rsidRDefault="00E7484F" w:rsidP="005066B9">
            <w:pPr>
              <w:spacing w:after="120" w:line="360" w:lineRule="auto"/>
              <w:jc w:val="both"/>
            </w:pPr>
            <w:r>
              <w:t>International institution</w:t>
            </w:r>
          </w:p>
        </w:tc>
        <w:tc>
          <w:tcPr>
            <w:tcW w:w="2126" w:type="dxa"/>
          </w:tcPr>
          <w:p w14:paraId="731A90FC" w14:textId="06A01B42" w:rsidR="00DA1611" w:rsidRDefault="00A370AB" w:rsidP="005066B9">
            <w:pPr>
              <w:spacing w:after="120" w:line="360" w:lineRule="auto"/>
              <w:jc w:val="both"/>
            </w:pPr>
            <w:r>
              <w:t>18 Oct 2017</w:t>
            </w:r>
          </w:p>
        </w:tc>
        <w:tc>
          <w:tcPr>
            <w:tcW w:w="2977" w:type="dxa"/>
          </w:tcPr>
          <w:p w14:paraId="2D20D381" w14:textId="38801C7B" w:rsidR="00DA1611" w:rsidRDefault="00A370AB" w:rsidP="005066B9">
            <w:pPr>
              <w:spacing w:after="120" w:line="360" w:lineRule="auto"/>
              <w:jc w:val="both"/>
            </w:pPr>
            <w:r>
              <w:t>FLEGT AP</w:t>
            </w:r>
          </w:p>
        </w:tc>
      </w:tr>
      <w:tr w:rsidR="00DA1611" w14:paraId="14AEA0D2" w14:textId="5F5ECE95" w:rsidTr="009145C5">
        <w:tc>
          <w:tcPr>
            <w:tcW w:w="1413" w:type="dxa"/>
          </w:tcPr>
          <w:p w14:paraId="6E422654" w14:textId="10D36FE7" w:rsidR="00DA1611" w:rsidRDefault="009C5802" w:rsidP="005066B9">
            <w:pPr>
              <w:spacing w:after="120" w:line="360" w:lineRule="auto"/>
              <w:jc w:val="both"/>
            </w:pPr>
            <w:r>
              <w:lastRenderedPageBreak/>
              <w:t>8</w:t>
            </w:r>
          </w:p>
        </w:tc>
        <w:tc>
          <w:tcPr>
            <w:tcW w:w="2977" w:type="dxa"/>
          </w:tcPr>
          <w:p w14:paraId="7AC5482B" w14:textId="5FE2E7CE" w:rsidR="00DA1611" w:rsidRDefault="00DE0F3E" w:rsidP="00E7484F">
            <w:pPr>
              <w:tabs>
                <w:tab w:val="left" w:pos="680"/>
              </w:tabs>
              <w:spacing w:after="120" w:line="360" w:lineRule="auto"/>
              <w:jc w:val="both"/>
            </w:pPr>
            <w:r>
              <w:t>EU</w:t>
            </w:r>
          </w:p>
        </w:tc>
        <w:tc>
          <w:tcPr>
            <w:tcW w:w="2126" w:type="dxa"/>
          </w:tcPr>
          <w:p w14:paraId="7D6E89EF" w14:textId="3B547687" w:rsidR="00DA1611" w:rsidRDefault="00A370AB" w:rsidP="005066B9">
            <w:pPr>
              <w:spacing w:after="120" w:line="360" w:lineRule="auto"/>
              <w:jc w:val="both"/>
            </w:pPr>
            <w:r>
              <w:t>10 July 2017</w:t>
            </w:r>
          </w:p>
        </w:tc>
        <w:tc>
          <w:tcPr>
            <w:tcW w:w="2977" w:type="dxa"/>
          </w:tcPr>
          <w:p w14:paraId="53281859" w14:textId="74ACB991" w:rsidR="00DA1611" w:rsidRDefault="00EA2421" w:rsidP="005066B9">
            <w:pPr>
              <w:spacing w:after="120" w:line="360" w:lineRule="auto"/>
              <w:jc w:val="both"/>
            </w:pPr>
            <w:r>
              <w:t>UNFF</w:t>
            </w:r>
          </w:p>
        </w:tc>
      </w:tr>
      <w:tr w:rsidR="00DA1611" w14:paraId="6B5F10C0" w14:textId="443AEF97" w:rsidTr="009145C5">
        <w:tc>
          <w:tcPr>
            <w:tcW w:w="1413" w:type="dxa"/>
          </w:tcPr>
          <w:p w14:paraId="0A5C49AC" w14:textId="03A5C6D5" w:rsidR="00DA1611" w:rsidRDefault="009C5802" w:rsidP="005066B9">
            <w:pPr>
              <w:spacing w:after="120" w:line="360" w:lineRule="auto"/>
              <w:jc w:val="both"/>
            </w:pPr>
            <w:r>
              <w:t>9</w:t>
            </w:r>
          </w:p>
        </w:tc>
        <w:tc>
          <w:tcPr>
            <w:tcW w:w="2977" w:type="dxa"/>
          </w:tcPr>
          <w:p w14:paraId="1182F380" w14:textId="09E066F6" w:rsidR="00DA1611" w:rsidRDefault="00DE0F3E" w:rsidP="005066B9">
            <w:pPr>
              <w:spacing w:after="120" w:line="360" w:lineRule="auto"/>
              <w:jc w:val="both"/>
            </w:pPr>
            <w:r>
              <w:t>EU</w:t>
            </w:r>
          </w:p>
        </w:tc>
        <w:tc>
          <w:tcPr>
            <w:tcW w:w="2126" w:type="dxa"/>
          </w:tcPr>
          <w:p w14:paraId="67C428D3" w14:textId="6F035273" w:rsidR="00DA1611" w:rsidRDefault="00A370AB" w:rsidP="005066B9">
            <w:pPr>
              <w:spacing w:after="120" w:line="360" w:lineRule="auto"/>
              <w:jc w:val="both"/>
            </w:pPr>
            <w:r>
              <w:t xml:space="preserve">19 </w:t>
            </w:r>
            <w:proofErr w:type="gramStart"/>
            <w:r>
              <w:t>sept</w:t>
            </w:r>
            <w:proofErr w:type="gramEnd"/>
            <w:r>
              <w:t xml:space="preserve"> 2017</w:t>
            </w:r>
          </w:p>
        </w:tc>
        <w:tc>
          <w:tcPr>
            <w:tcW w:w="2977" w:type="dxa"/>
          </w:tcPr>
          <w:p w14:paraId="240644DB" w14:textId="5E50BA19" w:rsidR="00DA1611" w:rsidRDefault="00A370AB" w:rsidP="005066B9">
            <w:pPr>
              <w:spacing w:after="120" w:line="360" w:lineRule="auto"/>
              <w:jc w:val="both"/>
            </w:pPr>
            <w:r>
              <w:t>FLEGT AP</w:t>
            </w:r>
            <w:r w:rsidR="009C5802">
              <w:t>, UNFF</w:t>
            </w:r>
          </w:p>
        </w:tc>
      </w:tr>
      <w:tr w:rsidR="00DA1611" w14:paraId="2D736087" w14:textId="1F8C4699" w:rsidTr="009145C5">
        <w:tc>
          <w:tcPr>
            <w:tcW w:w="1413" w:type="dxa"/>
          </w:tcPr>
          <w:p w14:paraId="39127762" w14:textId="5B14230A" w:rsidR="00DA1611" w:rsidRDefault="00EA2421" w:rsidP="005066B9">
            <w:pPr>
              <w:spacing w:after="120" w:line="360" w:lineRule="auto"/>
              <w:jc w:val="both"/>
            </w:pPr>
            <w:r>
              <w:t>10</w:t>
            </w:r>
          </w:p>
        </w:tc>
        <w:tc>
          <w:tcPr>
            <w:tcW w:w="2977" w:type="dxa"/>
          </w:tcPr>
          <w:p w14:paraId="147AB828" w14:textId="3E6DB1FC" w:rsidR="00DA1611" w:rsidRDefault="00A370AB" w:rsidP="005066B9">
            <w:pPr>
              <w:spacing w:after="120" w:line="360" w:lineRule="auto"/>
              <w:jc w:val="both"/>
            </w:pPr>
            <w:r>
              <w:t>Non-EU</w:t>
            </w:r>
            <w:r w:rsidR="00F12ED8">
              <w:t xml:space="preserve"> state</w:t>
            </w:r>
          </w:p>
        </w:tc>
        <w:tc>
          <w:tcPr>
            <w:tcW w:w="2126" w:type="dxa"/>
          </w:tcPr>
          <w:p w14:paraId="42F789EF" w14:textId="32255C3F" w:rsidR="00DA1611" w:rsidRDefault="009C5802" w:rsidP="005066B9">
            <w:pPr>
              <w:spacing w:after="120" w:line="360" w:lineRule="auto"/>
              <w:jc w:val="both"/>
            </w:pPr>
            <w:r>
              <w:t>Autumn 2015</w:t>
            </w:r>
          </w:p>
        </w:tc>
        <w:tc>
          <w:tcPr>
            <w:tcW w:w="2977" w:type="dxa"/>
          </w:tcPr>
          <w:p w14:paraId="637D2888" w14:textId="787EB108" w:rsidR="00DA1611" w:rsidRDefault="005F7EE4" w:rsidP="005066B9">
            <w:pPr>
              <w:spacing w:after="120" w:line="360" w:lineRule="auto"/>
              <w:jc w:val="both"/>
            </w:pPr>
            <w:r>
              <w:t>UNFF, Forest Europe</w:t>
            </w:r>
          </w:p>
        </w:tc>
      </w:tr>
      <w:tr w:rsidR="00E7484F" w14:paraId="24E99A9D" w14:textId="77777777" w:rsidTr="009145C5">
        <w:tc>
          <w:tcPr>
            <w:tcW w:w="1413" w:type="dxa"/>
          </w:tcPr>
          <w:p w14:paraId="07860A14" w14:textId="025A2542" w:rsidR="00E7484F" w:rsidRDefault="009C5802" w:rsidP="005066B9">
            <w:pPr>
              <w:spacing w:after="120" w:line="360" w:lineRule="auto"/>
              <w:jc w:val="both"/>
            </w:pPr>
            <w:r>
              <w:t>11</w:t>
            </w:r>
          </w:p>
        </w:tc>
        <w:tc>
          <w:tcPr>
            <w:tcW w:w="2977" w:type="dxa"/>
          </w:tcPr>
          <w:p w14:paraId="3C3D5770" w14:textId="5547B6AB" w:rsidR="00E7484F" w:rsidRDefault="00DE0F3E" w:rsidP="00DE0F3E">
            <w:pPr>
              <w:spacing w:after="120" w:line="360" w:lineRule="auto"/>
              <w:jc w:val="both"/>
            </w:pPr>
            <w:r>
              <w:t>EU</w:t>
            </w:r>
          </w:p>
        </w:tc>
        <w:tc>
          <w:tcPr>
            <w:tcW w:w="2126" w:type="dxa"/>
          </w:tcPr>
          <w:p w14:paraId="18504A0B" w14:textId="7BCCD5F5" w:rsidR="00E7484F" w:rsidRDefault="009C5802" w:rsidP="005066B9">
            <w:pPr>
              <w:spacing w:after="120" w:line="360" w:lineRule="auto"/>
              <w:jc w:val="both"/>
            </w:pPr>
            <w:r>
              <w:t>6 March 2019</w:t>
            </w:r>
          </w:p>
        </w:tc>
        <w:tc>
          <w:tcPr>
            <w:tcW w:w="2977" w:type="dxa"/>
          </w:tcPr>
          <w:p w14:paraId="5B35401E" w14:textId="35B3B1D7" w:rsidR="00E7484F" w:rsidRDefault="005F7EE4" w:rsidP="005066B9">
            <w:pPr>
              <w:spacing w:after="120" w:line="360" w:lineRule="auto"/>
              <w:jc w:val="both"/>
            </w:pPr>
            <w:r>
              <w:t>ITTO</w:t>
            </w:r>
          </w:p>
        </w:tc>
      </w:tr>
      <w:tr w:rsidR="00E7484F" w14:paraId="4EDE8304" w14:textId="77777777" w:rsidTr="009145C5">
        <w:tc>
          <w:tcPr>
            <w:tcW w:w="1413" w:type="dxa"/>
          </w:tcPr>
          <w:p w14:paraId="19F2C17E" w14:textId="76C76373" w:rsidR="00E7484F" w:rsidRDefault="009C5802" w:rsidP="005066B9">
            <w:pPr>
              <w:spacing w:after="120" w:line="360" w:lineRule="auto"/>
              <w:jc w:val="both"/>
            </w:pPr>
            <w:r>
              <w:t>12</w:t>
            </w:r>
          </w:p>
        </w:tc>
        <w:tc>
          <w:tcPr>
            <w:tcW w:w="2977" w:type="dxa"/>
          </w:tcPr>
          <w:p w14:paraId="10F5B6C0" w14:textId="35575243" w:rsidR="00E7484F" w:rsidRDefault="00DE0F3E" w:rsidP="00DE0F3E">
            <w:pPr>
              <w:spacing w:after="120" w:line="360" w:lineRule="auto"/>
              <w:jc w:val="both"/>
            </w:pPr>
            <w:r>
              <w:t>EU</w:t>
            </w:r>
          </w:p>
        </w:tc>
        <w:tc>
          <w:tcPr>
            <w:tcW w:w="2126" w:type="dxa"/>
          </w:tcPr>
          <w:p w14:paraId="3D708B2A" w14:textId="6E270025" w:rsidR="00E7484F" w:rsidRDefault="009C5802" w:rsidP="005066B9">
            <w:pPr>
              <w:spacing w:after="120" w:line="360" w:lineRule="auto"/>
              <w:jc w:val="both"/>
            </w:pPr>
            <w:r>
              <w:t>5 March 2019</w:t>
            </w:r>
          </w:p>
        </w:tc>
        <w:tc>
          <w:tcPr>
            <w:tcW w:w="2977" w:type="dxa"/>
          </w:tcPr>
          <w:p w14:paraId="21979291" w14:textId="0EE04B4C" w:rsidR="00E7484F" w:rsidRDefault="005F7EE4" w:rsidP="005066B9">
            <w:pPr>
              <w:spacing w:after="120" w:line="360" w:lineRule="auto"/>
              <w:jc w:val="both"/>
            </w:pPr>
            <w:r>
              <w:t>ITTO, FAO</w:t>
            </w:r>
          </w:p>
        </w:tc>
      </w:tr>
      <w:tr w:rsidR="009C5802" w14:paraId="559EA39A" w14:textId="77777777" w:rsidTr="009145C5">
        <w:tc>
          <w:tcPr>
            <w:tcW w:w="1413" w:type="dxa"/>
          </w:tcPr>
          <w:p w14:paraId="611569AB" w14:textId="60167B9E" w:rsidR="009C5802" w:rsidRDefault="009C5802" w:rsidP="005066B9">
            <w:pPr>
              <w:spacing w:after="120" w:line="360" w:lineRule="auto"/>
              <w:jc w:val="both"/>
            </w:pPr>
            <w:r>
              <w:t>13</w:t>
            </w:r>
          </w:p>
        </w:tc>
        <w:tc>
          <w:tcPr>
            <w:tcW w:w="2977" w:type="dxa"/>
          </w:tcPr>
          <w:p w14:paraId="0D83A9C1" w14:textId="43AC6946" w:rsidR="009C5802" w:rsidRDefault="009C5802" w:rsidP="00DE0F3E">
            <w:pPr>
              <w:spacing w:after="120" w:line="360" w:lineRule="auto"/>
              <w:jc w:val="both"/>
            </w:pPr>
            <w:r>
              <w:t>EU</w:t>
            </w:r>
          </w:p>
        </w:tc>
        <w:tc>
          <w:tcPr>
            <w:tcW w:w="2126" w:type="dxa"/>
          </w:tcPr>
          <w:p w14:paraId="0F14026B" w14:textId="484F8483" w:rsidR="009C5802" w:rsidRDefault="009C5802" w:rsidP="005066B9">
            <w:pPr>
              <w:spacing w:after="120" w:line="360" w:lineRule="auto"/>
              <w:jc w:val="both"/>
            </w:pPr>
            <w:r>
              <w:t>14 March 2019</w:t>
            </w:r>
          </w:p>
        </w:tc>
        <w:tc>
          <w:tcPr>
            <w:tcW w:w="2977" w:type="dxa"/>
          </w:tcPr>
          <w:p w14:paraId="0DAD8A48" w14:textId="0FC43187" w:rsidR="009C5802" w:rsidRDefault="00EA2421" w:rsidP="005066B9">
            <w:pPr>
              <w:spacing w:after="120" w:line="360" w:lineRule="auto"/>
              <w:jc w:val="both"/>
            </w:pPr>
            <w:r>
              <w:t>ITTO</w:t>
            </w:r>
          </w:p>
        </w:tc>
      </w:tr>
      <w:tr w:rsidR="00E7484F" w14:paraId="577EDCE0" w14:textId="77777777" w:rsidTr="009145C5">
        <w:tc>
          <w:tcPr>
            <w:tcW w:w="1413" w:type="dxa"/>
          </w:tcPr>
          <w:p w14:paraId="692D2628" w14:textId="2F0D3767" w:rsidR="00E7484F" w:rsidRDefault="009C5802" w:rsidP="005066B9">
            <w:pPr>
              <w:spacing w:after="120" w:line="360" w:lineRule="auto"/>
              <w:jc w:val="both"/>
            </w:pPr>
            <w:r>
              <w:t>14</w:t>
            </w:r>
          </w:p>
        </w:tc>
        <w:tc>
          <w:tcPr>
            <w:tcW w:w="2977" w:type="dxa"/>
          </w:tcPr>
          <w:p w14:paraId="041DC76B" w14:textId="125A74FF" w:rsidR="00E7484F" w:rsidRDefault="00DE0F3E" w:rsidP="005066B9">
            <w:pPr>
              <w:spacing w:after="120" w:line="360" w:lineRule="auto"/>
              <w:jc w:val="both"/>
            </w:pPr>
            <w:r>
              <w:t>EU</w:t>
            </w:r>
          </w:p>
        </w:tc>
        <w:tc>
          <w:tcPr>
            <w:tcW w:w="2126" w:type="dxa"/>
          </w:tcPr>
          <w:p w14:paraId="05780328" w14:textId="5A00296C" w:rsidR="00E7484F" w:rsidRDefault="009C5802" w:rsidP="005066B9">
            <w:pPr>
              <w:spacing w:after="120" w:line="360" w:lineRule="auto"/>
              <w:jc w:val="both"/>
            </w:pPr>
            <w:r>
              <w:t>Autumn 2015</w:t>
            </w:r>
          </w:p>
        </w:tc>
        <w:tc>
          <w:tcPr>
            <w:tcW w:w="2977" w:type="dxa"/>
          </w:tcPr>
          <w:p w14:paraId="681DBA3E" w14:textId="1C37D4BA" w:rsidR="00E7484F" w:rsidRDefault="005F7EE4" w:rsidP="005066B9">
            <w:pPr>
              <w:spacing w:after="120" w:line="360" w:lineRule="auto"/>
              <w:jc w:val="both"/>
            </w:pPr>
            <w:r>
              <w:t>UNFF</w:t>
            </w:r>
          </w:p>
        </w:tc>
      </w:tr>
      <w:tr w:rsidR="00E7484F" w14:paraId="6907B28F" w14:textId="77777777" w:rsidTr="009145C5">
        <w:tc>
          <w:tcPr>
            <w:tcW w:w="1413" w:type="dxa"/>
          </w:tcPr>
          <w:p w14:paraId="14152827" w14:textId="6A6C7E4F" w:rsidR="00E7484F" w:rsidRDefault="009C5802" w:rsidP="005066B9">
            <w:pPr>
              <w:spacing w:after="120" w:line="360" w:lineRule="auto"/>
              <w:jc w:val="both"/>
            </w:pPr>
            <w:r>
              <w:t>15</w:t>
            </w:r>
          </w:p>
        </w:tc>
        <w:tc>
          <w:tcPr>
            <w:tcW w:w="2977" w:type="dxa"/>
          </w:tcPr>
          <w:p w14:paraId="0AB21E36" w14:textId="1D0B7938" w:rsidR="00E7484F" w:rsidRDefault="00DE0F3E" w:rsidP="005066B9">
            <w:pPr>
              <w:spacing w:after="120" w:line="360" w:lineRule="auto"/>
              <w:jc w:val="both"/>
            </w:pPr>
            <w:r>
              <w:t>EU</w:t>
            </w:r>
          </w:p>
        </w:tc>
        <w:tc>
          <w:tcPr>
            <w:tcW w:w="2126" w:type="dxa"/>
          </w:tcPr>
          <w:p w14:paraId="6E3DC060" w14:textId="2D9B6684" w:rsidR="00E7484F" w:rsidRDefault="009C5802" w:rsidP="005066B9">
            <w:pPr>
              <w:spacing w:after="120" w:line="360" w:lineRule="auto"/>
              <w:jc w:val="both"/>
            </w:pPr>
            <w:r>
              <w:t>29 March 2019</w:t>
            </w:r>
          </w:p>
        </w:tc>
        <w:tc>
          <w:tcPr>
            <w:tcW w:w="2977" w:type="dxa"/>
          </w:tcPr>
          <w:p w14:paraId="520A1D02" w14:textId="3DB89006" w:rsidR="00E7484F" w:rsidRDefault="005F7EE4" w:rsidP="005066B9">
            <w:pPr>
              <w:spacing w:after="120" w:line="360" w:lineRule="auto"/>
              <w:jc w:val="both"/>
            </w:pPr>
            <w:r>
              <w:t>Forest Europe</w:t>
            </w:r>
            <w:r w:rsidR="009C5802">
              <w:t>, FAO, UNFF</w:t>
            </w:r>
          </w:p>
        </w:tc>
      </w:tr>
      <w:tr w:rsidR="00E7484F" w14:paraId="5C0F849A" w14:textId="77777777" w:rsidTr="009145C5">
        <w:tc>
          <w:tcPr>
            <w:tcW w:w="1413" w:type="dxa"/>
          </w:tcPr>
          <w:p w14:paraId="3364E2A9" w14:textId="7C4FC175" w:rsidR="00E7484F" w:rsidRDefault="009C5802" w:rsidP="005066B9">
            <w:pPr>
              <w:spacing w:after="120" w:line="360" w:lineRule="auto"/>
              <w:jc w:val="both"/>
            </w:pPr>
            <w:r>
              <w:t xml:space="preserve">16 </w:t>
            </w:r>
          </w:p>
        </w:tc>
        <w:tc>
          <w:tcPr>
            <w:tcW w:w="2977" w:type="dxa"/>
          </w:tcPr>
          <w:p w14:paraId="40583D32" w14:textId="2CB3C3A8" w:rsidR="00E7484F" w:rsidRDefault="00E7484F" w:rsidP="005066B9">
            <w:pPr>
              <w:spacing w:after="120" w:line="360" w:lineRule="auto"/>
              <w:jc w:val="both"/>
            </w:pPr>
            <w:r>
              <w:t>NGO</w:t>
            </w:r>
          </w:p>
        </w:tc>
        <w:tc>
          <w:tcPr>
            <w:tcW w:w="2126" w:type="dxa"/>
          </w:tcPr>
          <w:p w14:paraId="14306BCD" w14:textId="38A342B0" w:rsidR="00E7484F" w:rsidRDefault="009C5802" w:rsidP="005066B9">
            <w:pPr>
              <w:spacing w:after="120" w:line="360" w:lineRule="auto"/>
              <w:jc w:val="both"/>
            </w:pPr>
            <w:r>
              <w:t>20 July 2017</w:t>
            </w:r>
          </w:p>
        </w:tc>
        <w:tc>
          <w:tcPr>
            <w:tcW w:w="2977" w:type="dxa"/>
          </w:tcPr>
          <w:p w14:paraId="20A459A3" w14:textId="2B125BEE" w:rsidR="00E7484F" w:rsidRDefault="00EA2421" w:rsidP="005066B9">
            <w:pPr>
              <w:spacing w:after="120" w:line="360" w:lineRule="auto"/>
              <w:jc w:val="both"/>
            </w:pPr>
            <w:r>
              <w:t>FLEGT AP, CBD</w:t>
            </w:r>
          </w:p>
        </w:tc>
      </w:tr>
      <w:tr w:rsidR="005F7EE4" w14:paraId="47FAE724" w14:textId="77777777" w:rsidTr="009145C5">
        <w:tc>
          <w:tcPr>
            <w:tcW w:w="1413" w:type="dxa"/>
          </w:tcPr>
          <w:p w14:paraId="7CA1219A" w14:textId="70E639CB" w:rsidR="005F7EE4" w:rsidRDefault="00EA2421" w:rsidP="005066B9">
            <w:pPr>
              <w:spacing w:after="120" w:line="360" w:lineRule="auto"/>
              <w:jc w:val="both"/>
            </w:pPr>
            <w:r>
              <w:t>17</w:t>
            </w:r>
          </w:p>
        </w:tc>
        <w:tc>
          <w:tcPr>
            <w:tcW w:w="2977" w:type="dxa"/>
          </w:tcPr>
          <w:p w14:paraId="4C9303CF" w14:textId="7347439C" w:rsidR="005F7EE4" w:rsidRDefault="00DE0F3E" w:rsidP="005066B9">
            <w:pPr>
              <w:spacing w:after="120" w:line="360" w:lineRule="auto"/>
              <w:jc w:val="both"/>
            </w:pPr>
            <w:r>
              <w:t>EU</w:t>
            </w:r>
          </w:p>
        </w:tc>
        <w:tc>
          <w:tcPr>
            <w:tcW w:w="2126" w:type="dxa"/>
          </w:tcPr>
          <w:p w14:paraId="3F060792" w14:textId="44DADEF8" w:rsidR="005F7EE4" w:rsidRDefault="005F7EE4" w:rsidP="005066B9">
            <w:pPr>
              <w:spacing w:after="120" w:line="360" w:lineRule="auto"/>
              <w:jc w:val="both"/>
            </w:pPr>
            <w:r>
              <w:t xml:space="preserve">28 </w:t>
            </w:r>
            <w:proofErr w:type="gramStart"/>
            <w:r>
              <w:t>march</w:t>
            </w:r>
            <w:proofErr w:type="gramEnd"/>
            <w:r>
              <w:t xml:space="preserve"> 2019</w:t>
            </w:r>
          </w:p>
        </w:tc>
        <w:tc>
          <w:tcPr>
            <w:tcW w:w="2977" w:type="dxa"/>
          </w:tcPr>
          <w:p w14:paraId="655D510A" w14:textId="7E842EC0" w:rsidR="005F7EE4" w:rsidRDefault="005F7EE4" w:rsidP="005066B9">
            <w:pPr>
              <w:spacing w:after="120" w:line="360" w:lineRule="auto"/>
              <w:jc w:val="both"/>
            </w:pPr>
            <w:r>
              <w:t>ITTO</w:t>
            </w:r>
          </w:p>
        </w:tc>
      </w:tr>
      <w:tr w:rsidR="00DE0F3E" w14:paraId="58D5E6B6" w14:textId="77777777" w:rsidTr="009145C5">
        <w:tc>
          <w:tcPr>
            <w:tcW w:w="1413" w:type="dxa"/>
          </w:tcPr>
          <w:p w14:paraId="5DF3002C" w14:textId="12A336C4" w:rsidR="00DE0F3E" w:rsidRDefault="00EA2421" w:rsidP="005066B9">
            <w:pPr>
              <w:spacing w:after="120" w:line="360" w:lineRule="auto"/>
              <w:jc w:val="both"/>
            </w:pPr>
            <w:r>
              <w:t>18</w:t>
            </w:r>
          </w:p>
        </w:tc>
        <w:tc>
          <w:tcPr>
            <w:tcW w:w="2977" w:type="dxa"/>
          </w:tcPr>
          <w:p w14:paraId="4E5A6F93" w14:textId="0DE0719C" w:rsidR="00DE0F3E" w:rsidRDefault="009C5802" w:rsidP="005066B9">
            <w:pPr>
              <w:spacing w:after="120" w:line="360" w:lineRule="auto"/>
              <w:jc w:val="both"/>
            </w:pPr>
            <w:r>
              <w:t>Non-EU</w:t>
            </w:r>
            <w:r w:rsidR="00F12ED8">
              <w:t xml:space="preserve"> state</w:t>
            </w:r>
          </w:p>
        </w:tc>
        <w:tc>
          <w:tcPr>
            <w:tcW w:w="2126" w:type="dxa"/>
          </w:tcPr>
          <w:p w14:paraId="7E774133" w14:textId="3562DC0B" w:rsidR="00DE0F3E" w:rsidRDefault="00DE0F3E" w:rsidP="005066B9">
            <w:pPr>
              <w:spacing w:after="120" w:line="360" w:lineRule="auto"/>
              <w:jc w:val="both"/>
            </w:pPr>
            <w:r>
              <w:t>5 April 2019</w:t>
            </w:r>
          </w:p>
        </w:tc>
        <w:tc>
          <w:tcPr>
            <w:tcW w:w="2977" w:type="dxa"/>
          </w:tcPr>
          <w:p w14:paraId="400D49D2" w14:textId="2E911AF7" w:rsidR="00DE0F3E" w:rsidRDefault="00EA2421" w:rsidP="005066B9">
            <w:pPr>
              <w:spacing w:after="120" w:line="360" w:lineRule="auto"/>
              <w:jc w:val="both"/>
            </w:pPr>
            <w:r>
              <w:t>Forest Europe</w:t>
            </w:r>
          </w:p>
        </w:tc>
      </w:tr>
    </w:tbl>
    <w:p w14:paraId="2A0BE410" w14:textId="2157F25A" w:rsidR="00054891" w:rsidRPr="00EA2421" w:rsidRDefault="00054891" w:rsidP="00EA2421">
      <w:pPr>
        <w:spacing w:after="120" w:line="360" w:lineRule="auto"/>
        <w:jc w:val="both"/>
        <w:rPr>
          <w:rFonts w:cs="Times New Roman"/>
        </w:rPr>
      </w:pPr>
    </w:p>
    <w:sectPr w:rsidR="00054891" w:rsidRPr="00EA2421" w:rsidSect="00E567A5">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73928" w14:textId="77777777" w:rsidR="00326F64" w:rsidRDefault="00326F64" w:rsidP="005066B9">
      <w:r>
        <w:separator/>
      </w:r>
    </w:p>
  </w:endnote>
  <w:endnote w:type="continuationSeparator" w:id="0">
    <w:p w14:paraId="399B90F1" w14:textId="77777777" w:rsidR="00326F64" w:rsidRDefault="00326F64" w:rsidP="0050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7026539"/>
      <w:docPartObj>
        <w:docPartGallery w:val="Page Numbers (Bottom of Page)"/>
        <w:docPartUnique/>
      </w:docPartObj>
    </w:sdtPr>
    <w:sdtEndPr>
      <w:rPr>
        <w:rStyle w:val="PageNumber"/>
      </w:rPr>
    </w:sdtEndPr>
    <w:sdtContent>
      <w:p w14:paraId="276D3EA4" w14:textId="77777777" w:rsidR="00EA2421" w:rsidRDefault="00EA2421" w:rsidP="00600B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8E209" w14:textId="77777777" w:rsidR="00EA2421" w:rsidRDefault="00EA2421" w:rsidP="005066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9480169"/>
      <w:docPartObj>
        <w:docPartGallery w:val="Page Numbers (Bottom of Page)"/>
        <w:docPartUnique/>
      </w:docPartObj>
    </w:sdtPr>
    <w:sdtEndPr>
      <w:rPr>
        <w:rStyle w:val="PageNumber"/>
      </w:rPr>
    </w:sdtEndPr>
    <w:sdtContent>
      <w:p w14:paraId="4996B440" w14:textId="77777777" w:rsidR="00EA2421" w:rsidRDefault="00EA2421" w:rsidP="00600B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3F97">
          <w:rPr>
            <w:rStyle w:val="PageNumber"/>
            <w:noProof/>
          </w:rPr>
          <w:t>21</w:t>
        </w:r>
        <w:r>
          <w:rPr>
            <w:rStyle w:val="PageNumber"/>
          </w:rPr>
          <w:fldChar w:fldCharType="end"/>
        </w:r>
      </w:p>
    </w:sdtContent>
  </w:sdt>
  <w:p w14:paraId="358DE5A6" w14:textId="77777777" w:rsidR="00EA2421" w:rsidRDefault="00EA2421" w:rsidP="005066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F50D6" w14:textId="77777777" w:rsidR="00326F64" w:rsidRDefault="00326F64" w:rsidP="005066B9">
      <w:r>
        <w:separator/>
      </w:r>
    </w:p>
  </w:footnote>
  <w:footnote w:type="continuationSeparator" w:id="0">
    <w:p w14:paraId="43D08A9A" w14:textId="77777777" w:rsidR="00326F64" w:rsidRDefault="00326F64" w:rsidP="005066B9">
      <w:r>
        <w:continuationSeparator/>
      </w:r>
    </w:p>
  </w:footnote>
  <w:footnote w:id="1">
    <w:p w14:paraId="6207215A" w14:textId="65ACE9F4" w:rsidR="00EA2421" w:rsidRDefault="00EA2421" w:rsidP="00077419">
      <w:pPr>
        <w:jc w:val="both"/>
        <w:rPr>
          <w:rFonts w:cs="Times New Roman"/>
          <w:sz w:val="20"/>
        </w:rPr>
      </w:pPr>
      <w:r w:rsidRPr="00077419">
        <w:rPr>
          <w:rStyle w:val="FootnoteReference"/>
          <w:sz w:val="20"/>
        </w:rPr>
        <w:footnoteRef/>
      </w:r>
      <w:r w:rsidRPr="00077419">
        <w:rPr>
          <w:sz w:val="20"/>
        </w:rPr>
        <w:t xml:space="preserve"> The aim of the FLEGT AP is to tackle deforestation by addressing governance and law enforcement in non-EU timber producing countries. The strictly external part of the F</w:t>
      </w:r>
      <w:r>
        <w:rPr>
          <w:sz w:val="20"/>
        </w:rPr>
        <w:t>LEGT AP is the FLEGT Regulation</w:t>
      </w:r>
      <w:r w:rsidRPr="00077419">
        <w:rPr>
          <w:sz w:val="20"/>
        </w:rPr>
        <w:t>, that frames the conduction of Voluntary Partnership Agreements</w:t>
      </w:r>
      <w:r w:rsidRPr="00077419">
        <w:rPr>
          <w:rFonts w:cs="Times New Roman"/>
          <w:sz w:val="20"/>
        </w:rPr>
        <w:t xml:space="preserve"> (VPA) (Council 2005; European Commission 2008</w:t>
      </w:r>
      <w:r w:rsidRPr="00077419">
        <w:rPr>
          <w:rFonts w:cs="Times New Roman"/>
          <w:sz w:val="20"/>
        </w:rPr>
        <w:fldChar w:fldCharType="begin"/>
      </w:r>
      <w:r w:rsidRPr="00077419">
        <w:rPr>
          <w:rFonts w:cs="Times New Roman"/>
          <w:sz w:val="20"/>
        </w:rPr>
        <w:instrText xml:space="preserve"> ADDIN EN.CITE &lt;EndNote&gt;&lt;Cite ExcludeAuth="1" ExcludeYear="1" Hidden="1"&gt;&lt;Author&gt;European Commission&lt;/Author&gt;&lt;Year&gt;2008&lt;/Year&gt;&lt;RecNum&gt;603&lt;/RecNum&gt;&lt;record&gt;&lt;rec-number&gt;603&lt;/rec-number&gt;&lt;foreign-keys&gt;&lt;key app="EN" db-id="5sx9s2wpfwxfs6effrk5dp0hdwrrzfwxafx0" timestamp="1461066699"&gt;603&lt;/key&gt;&lt;/foreign-keys&gt;&lt;ref-type name="Legal Rule or Regulation"&gt;50&lt;/ref-type&gt;&lt;contributors&gt;&lt;authors&gt;&lt;author&gt;European Commission, &lt;/author&gt;&lt;/authors&gt;&lt;/contributors&gt;&lt;titles&gt;&lt;title&gt;Commission Regulation (EC) No 1024/2008 of 17 October 2008 laying down detailed measures for the implementation of the Council Regulation (EC) No 2173/2005 on the establishment of a FLEGT licensing scheme for imports of timber into the European Community&lt;/title&gt;&lt;secondary-title&gt;(EC) No 1024/2088&lt;/secondary-title&gt;&lt;/titles&gt;&lt;volume&gt;(EC) No 1024/2088&lt;/volume&gt;&lt;dates&gt;&lt;year&gt;2008&lt;/year&gt;&lt;/dates&gt;&lt;urls&gt;&lt;/urls&gt;&lt;/record&gt;&lt;/Cite&gt;&lt;Cite ExcludeAuth="1" ExcludeYear="1" Hidden="1"&gt;&lt;Author&gt;Council of the European Union&lt;/Author&gt;&lt;Year&gt;2005&lt;/Year&gt;&lt;RecNum&gt;238&lt;/RecNum&gt;&lt;record&gt;&lt;rec-number&gt;238&lt;/rec-number&gt;&lt;foreign-keys&gt;&lt;key app="EN" db-id="5sx9s2wpfwxfs6effrk5dp0hdwrrzfwxafx0" timestamp="1423140257"&gt;238&lt;/key&gt;&lt;/foreign-keys&gt;&lt;ref-type name="Legal Rule or Regulation"&gt;50&lt;/ref-type&gt;&lt;contributors&gt;&lt;authors&gt;&lt;author&gt;Council of the European Union,&lt;/author&gt;&lt;/authors&gt;&lt;/contributors&gt;&lt;titles&gt;&lt;title&gt;Council regulationon the establishment of a FLEGT licensing scheme for the import of timber in the EU (EC) 2173/2005. 20 December 2005&lt;/title&gt;&lt;/titles&gt;&lt;volume&gt;(EC) 2173/2005 &lt;/volume&gt;&lt;dates&gt;&lt;year&gt;2005&lt;/year&gt;&lt;pub-dates&gt;&lt;date&gt;20 December 2005&lt;/date&gt;&lt;/pub-dates&gt;&lt;/dates&gt;&lt;pub-location&gt;Brussels&lt;/pub-location&gt;&lt;urls&gt;&lt;/urls&gt;&lt;/record&gt;&lt;/Cite&gt;&lt;/EndNote&gt;</w:instrText>
      </w:r>
      <w:r w:rsidRPr="00077419">
        <w:rPr>
          <w:rFonts w:cs="Times New Roman"/>
          <w:sz w:val="20"/>
        </w:rPr>
        <w:fldChar w:fldCharType="end"/>
      </w:r>
      <w:r w:rsidRPr="00077419">
        <w:rPr>
          <w:rFonts w:cs="Times New Roman"/>
          <w:sz w:val="20"/>
        </w:rPr>
        <w:t xml:space="preserve">). </w:t>
      </w:r>
      <w:r>
        <w:rPr>
          <w:rFonts w:cs="Times New Roman"/>
          <w:sz w:val="20"/>
        </w:rPr>
        <w:t>It is the FLET AP and subsequent FLEGT Regulation that I study here. I use the terminology ‘FLEGT AP’ to refer to the F</w:t>
      </w:r>
      <w:r w:rsidR="00AC5218">
        <w:rPr>
          <w:rFonts w:cs="Times New Roman"/>
          <w:sz w:val="20"/>
        </w:rPr>
        <w:t>LE</w:t>
      </w:r>
      <w:r>
        <w:rPr>
          <w:rFonts w:cs="Times New Roman"/>
          <w:sz w:val="20"/>
        </w:rPr>
        <w:t>GT approach in general.</w:t>
      </w:r>
    </w:p>
    <w:p w14:paraId="66825D8B" w14:textId="46976418" w:rsidR="00EA2421" w:rsidRPr="00077419" w:rsidRDefault="00EA2421" w:rsidP="00077419">
      <w:pPr>
        <w:jc w:val="both"/>
        <w:rPr>
          <w:rFonts w:cs="Times New Roman"/>
          <w:sz w:val="20"/>
        </w:rPr>
      </w:pPr>
      <w:r w:rsidRPr="00077419">
        <w:rPr>
          <w:rFonts w:cs="Times New Roman"/>
          <w:sz w:val="20"/>
        </w:rPr>
        <w:t>The two VPA objectives are reflected in the two main elements of the policy: trade on the one hand, and governance and law enforcement on the other hand (respectively T and LEG in FLEGT). The VPAs assure that the exported timber from a VPA country to the EU is legal. The EU assists partner countries to tackle illegal logging by improving local governance and national forest policies (</w:t>
      </w:r>
      <w:r w:rsidRPr="00077419">
        <w:rPr>
          <w:rFonts w:cs="Times New Roman"/>
          <w:sz w:val="20"/>
        </w:rPr>
        <w:fldChar w:fldCharType="begin"/>
      </w:r>
      <w:r w:rsidRPr="00077419">
        <w:rPr>
          <w:rFonts w:cs="Times New Roman"/>
          <w:sz w:val="20"/>
        </w:rPr>
        <w:instrText xml:space="preserve"> ADDIN EN.CITE &lt;EndNote&gt;&lt;Cite ExcludeAuth="1" ExcludeYear="1" Hidden="1"&gt;&lt;Author&gt;Fishman&lt;/Author&gt;&lt;Year&gt;2014&lt;/Year&gt;&lt;RecNum&gt;138&lt;/RecNum&gt;&lt;record&gt;&lt;rec-number&gt;138&lt;/rec-number&gt;&lt;foreign-keys&gt;&lt;key app="EN" db-id="5sx9s2wpfwxfs6effrk5dp0hdwrrzfwxafx0" timestamp="1415092825"&gt;138&lt;/key&gt;&lt;/foreign-keys&gt;&lt;ref-type name="Journal Article"&gt;17&lt;/ref-type&gt;&lt;contributors&gt;&lt;authors&gt;&lt;author&gt;Fishman, Akiva&lt;/author&gt;&lt;author&gt;Obidzinski, Krystof&lt;/author&gt;&lt;/authors&gt;&lt;/contributors&gt;&lt;titles&gt;&lt;title&gt;European Union Timber Regulation: Is It Legal?&lt;/title&gt;&lt;secondary-title&gt;Review of European, Comparative &amp;amp; International Environmental Law&lt;/secondary-title&gt;&lt;/titles&gt;&lt;periodical&gt;&lt;full-title&gt;Review of European, Comparative &amp;amp; International Environmental Law&lt;/full-title&gt;&lt;/periodical&gt;&lt;pages&gt;258-274&lt;/pages&gt;&lt;volume&gt;23&lt;/volume&gt;&lt;number&gt;2&lt;/number&gt;&lt;dates&gt;&lt;year&gt;2014&lt;/year&gt;&lt;/dates&gt;&lt;isbn&gt;2050-0394&lt;/isbn&gt;&lt;urls&gt;&lt;related-urls&gt;&lt;url&gt;http://dx.doi.org/10.1111/reel.12060&lt;/url&gt;&lt;/related-urls&gt;&lt;/urls&gt;&lt;electronic-resource-num&gt;10.1111/reel.12060&lt;/electronic-resource-num&gt;&lt;/record&gt;&lt;/Cite&gt;&lt;Cite&gt;&lt;Author&gt;Fishman&lt;/Author&gt;&lt;Year&gt;2014&lt;/Year&gt;&lt;RecNum&gt;138&lt;/RecNum&gt;&lt;record&gt;&lt;rec-number&gt;138&lt;/rec-number&gt;&lt;foreign-keys&gt;&lt;key app="EN" db-id="5sx9s2wpfwxfs6effrk5dp0hdwrrzfwxafx0" timestamp="1415092825"&gt;138&lt;/key&gt;&lt;/foreign-keys&gt;&lt;ref-type name="Journal Article"&gt;17&lt;/ref-type&gt;&lt;contributors&gt;&lt;authors&gt;&lt;author&gt;Fishman, Akiva&lt;/author&gt;&lt;author&gt;Obidzinski, Krystof&lt;/author&gt;&lt;/authors&gt;&lt;/contributors&gt;&lt;titles&gt;&lt;title&gt;European Union Timber Regulation: Is It Legal?&lt;/title&gt;&lt;secondary-title&gt;Review of European, Comparative &amp;amp; International Environmental Law&lt;/secondary-title&gt;&lt;/titles&gt;&lt;periodical&gt;&lt;full-title&gt;Review of European, Comparative &amp;amp; International Environmental Law&lt;/full-title&gt;&lt;/periodical&gt;&lt;pages&gt;258-274&lt;/pages&gt;&lt;volume&gt;23&lt;/volume&gt;&lt;number&gt;2&lt;/number&gt;&lt;dates&gt;&lt;year&gt;2014&lt;/year&gt;&lt;/dates&gt;&lt;isbn&gt;2050-0394&lt;/isbn&gt;&lt;urls&gt;&lt;related-urls&gt;&lt;url&gt;http://dx.doi.org/10.1111/reel.12060&lt;/url&gt;&lt;/related-urls&gt;&lt;/urls&gt;&lt;electronic-resource-num&gt;10.1111/reel.12060&lt;/electronic-resource-num&gt;&lt;/record&gt;&lt;/Cite&gt;&lt;/EndNote&gt;</w:instrText>
      </w:r>
      <w:r w:rsidRPr="00077419">
        <w:rPr>
          <w:rFonts w:cs="Times New Roman"/>
          <w:sz w:val="20"/>
        </w:rPr>
        <w:fldChar w:fldCharType="end"/>
      </w:r>
      <w:r w:rsidRPr="00077419">
        <w:rPr>
          <w:rFonts w:cs="Times New Roman"/>
          <w:sz w:val="20"/>
        </w:rPr>
        <w:t>Fishman and Obidzinski 2014).</w:t>
      </w:r>
      <w:r w:rsidRPr="00077419">
        <w:rPr>
          <w:sz w:val="20"/>
        </w:rPr>
        <w:t xml:space="preserve"> </w:t>
      </w:r>
      <w:r w:rsidRPr="00077419">
        <w:rPr>
          <w:rFonts w:cs="Times New Roman"/>
          <w:sz w:val="20"/>
        </w:rPr>
        <w:t>VPA partner countries that testify their good forest governance are provided with a licence. In turn, the EU provides eased access to its market to licenced producers.</w:t>
      </w:r>
    </w:p>
    <w:p w14:paraId="324B8BDE" w14:textId="77777777" w:rsidR="00EA2421" w:rsidRPr="00077419" w:rsidRDefault="00EA2421" w:rsidP="00077419">
      <w:pPr>
        <w:jc w:val="both"/>
        <w:rPr>
          <w:sz w:val="20"/>
        </w:rPr>
      </w:pPr>
      <w:r w:rsidRPr="00077419">
        <w:rPr>
          <w:rFonts w:cs="Times New Roman"/>
          <w:sz w:val="20"/>
        </w:rPr>
        <w:t xml:space="preserve">Each VPA defines what </w:t>
      </w:r>
      <w:r w:rsidRPr="00077419">
        <w:rPr>
          <w:rFonts w:cs="Times New Roman"/>
          <w:i/>
          <w:sz w:val="20"/>
        </w:rPr>
        <w:t>legal</w:t>
      </w:r>
      <w:r w:rsidRPr="00077419">
        <w:rPr>
          <w:rFonts w:cs="Times New Roman"/>
          <w:sz w:val="20"/>
        </w:rPr>
        <w:t xml:space="preserve"> timber means, based upon the law of the partner country and reflecting the specificities of local settings. As VPA countries can only export their timber products to the EU if they implement policy reforms and meet EU standards, the rationale behind this bilateral policy venue is that VPA countries will enforce these standards and eventually internalise them (</w:t>
      </w:r>
      <w:proofErr w:type="spellStart"/>
      <w:r w:rsidRPr="00077419">
        <w:rPr>
          <w:rFonts w:cs="Times New Roman"/>
          <w:sz w:val="20"/>
        </w:rPr>
        <w:fldChar w:fldCharType="begin"/>
      </w:r>
      <w:r w:rsidRPr="00077419">
        <w:rPr>
          <w:rFonts w:cs="Times New Roman"/>
          <w:sz w:val="20"/>
        </w:rPr>
        <w:instrText xml:space="preserve"> ADDIN EN.CITE &lt;EndNote&gt;&lt;Cite ExcludeAuth="1" ExcludeYear="1" Hidden="1"&gt;&lt;Author&gt;Rametsteiner&lt;/Author&gt;&lt;Year&gt;2003&lt;/Year&gt;&lt;RecNum&gt;1&lt;/RecNum&gt;&lt;record&gt;&lt;rec-number&gt;1&lt;/rec-number&gt;&lt;foreign-keys&gt;&lt;key app="EN" db-id="2waxf9d2mdv55ee20asxvtrdat5r2dxv0sva" timestamp="1465567730"&gt;1&lt;/key&gt;&lt;/foreign-keys&gt;&lt;ref-type name="Journal Article"&gt;17&lt;/ref-type&gt;&lt;contributors&gt;&lt;authors&gt;&lt;author&gt;Rametsteiner, Ewald&lt;/author&gt;&lt;author&gt;Simula, Markku&lt;/author&gt;&lt;/authors&gt;&lt;/contributors&gt;&lt;titles&gt;&lt;title&gt;Forest certification - an instrument to promote sustainable forest management?&lt;/title&gt;&lt;secondary-title&gt;Journal of Environmental Management&lt;/secondary-title&gt;&lt;/titles&gt;&lt;pages&gt;87-98&lt;/pages&gt;&lt;volume&gt;67&lt;/volume&gt;&lt;dates&gt;&lt;year&gt;2003&lt;/year&gt;&lt;/dates&gt;&lt;urls&gt;&lt;/urls&gt;&lt;/record&gt;&lt;/Cite&gt;&lt;/EndNote&gt;</w:instrText>
      </w:r>
      <w:r w:rsidRPr="00077419">
        <w:rPr>
          <w:rFonts w:cs="Times New Roman"/>
          <w:sz w:val="20"/>
        </w:rPr>
        <w:fldChar w:fldCharType="end"/>
      </w:r>
      <w:r w:rsidRPr="00077419">
        <w:rPr>
          <w:rFonts w:cs="Times New Roman"/>
          <w:sz w:val="20"/>
        </w:rPr>
        <w:t>Rametsteiner</w:t>
      </w:r>
      <w:proofErr w:type="spellEnd"/>
      <w:r w:rsidRPr="00077419">
        <w:rPr>
          <w:rFonts w:cs="Times New Roman"/>
          <w:sz w:val="20"/>
        </w:rPr>
        <w:t xml:space="preserve"> and </w:t>
      </w:r>
      <w:r w:rsidRPr="00077419">
        <w:rPr>
          <w:rFonts w:cs="Times New Roman"/>
          <w:sz w:val="20"/>
        </w:rPr>
        <w:fldChar w:fldCharType="begin"/>
      </w:r>
      <w:r w:rsidRPr="00077419">
        <w:rPr>
          <w:rFonts w:cs="Times New Roman"/>
          <w:sz w:val="20"/>
        </w:rPr>
        <w:instrText xml:space="preserve"> ADDIN EN.CITE &lt;EndNote&gt;&lt;Cite ExcludeAuth="1" ExcludeYear="1" Hidden="1"&gt;&lt;Author&gt;European Commission&lt;/Author&gt;&lt;Year&gt;2003&lt;/Year&gt;&lt;RecNum&gt;667&lt;/RecNum&gt;&lt;record&gt;&lt;rec-number&gt;667&lt;/rec-number&gt;&lt;foreign-keys&gt;&lt;key app="EN" db-id="5sx9s2wpfwxfs6effrk5dp0hdwrrzfwxafx0" timestamp="1465568573"&gt;667&lt;/key&gt;&lt;/foreign-keys&gt;&lt;ref-type name="Legal Rule or Regulation"&gt;50&lt;/ref-type&gt;&lt;contributors&gt;&lt;authors&gt;&lt;author&gt;European Commission,&lt;/author&gt;&lt;/authors&gt;&lt;/contributors&gt;&lt;titles&gt;&lt;title&gt;Communication from the Commission to the Council and the European Parliament. Forest Law Enforcement, Governance and Trade (FLEGT) proposal for an EU Action Plan COM (2003) 251 final&lt;/title&gt;&lt;/titles&gt;&lt;dates&gt;&lt;year&gt;2003&lt;/year&gt;&lt;/dates&gt;&lt;urls&gt;&lt;/urls&gt;&lt;/record&gt;&lt;/Cite&gt;&lt;Cite ExcludeAuth="1" ExcludeYear="1" Hidden="1"&gt;&lt;Author&gt;Council of the European Union&lt;/Author&gt;&lt;Year&gt;1992&lt;/Year&gt;&lt;RecNum&gt;610&lt;/RecNum&gt;&lt;record&gt;&lt;rec-number&gt;610&lt;/rec-number&gt;&lt;foreign-keys&gt;&lt;key app="EN" db-id="5sx9s2wpfwxfs6effrk5dp0hdwrrzfwxafx0" timestamp="1461243871"&gt;610&lt;/key&gt;&lt;/foreign-keys&gt;&lt;ref-type name="Legal Rule or Regulation"&gt;50&lt;/ref-type&gt;&lt;contributors&gt;&lt;authors&gt;&lt;author&gt;Council of the European Union, &lt;/author&gt;&lt;/authors&gt;&lt;/contributors&gt;&lt;titles&gt;&lt;title&gt;Council Directive 92/43/EEC of 21 May 1992 on the conservation of natral habitats and of wild flora and fauna&lt;/title&gt;&lt;/titles&gt;&lt;dates&gt;&lt;year&gt;1992&lt;/year&gt;&lt;/dates&gt;&lt;urls&gt;&lt;/urls&gt;&lt;/record&gt;&lt;/Cite&gt;&lt;Cite ExcludeAuth="1" ExcludeYear="1" Hidden="1"&gt;&lt;Author&gt;Council of the European Union&lt;/Author&gt;&lt;Year&gt;1979&lt;/Year&gt;&lt;RecNum&gt;669&lt;/RecNum&gt;&lt;record&gt;&lt;rec-number&gt;669&lt;/rec-number&gt;&lt;foreign-keys&gt;&lt;key app="EN" db-id="5sx9s2wpfwxfs6effrk5dp0hdwrrzfwxafx0" timestamp="1465568794"&gt;669&lt;/key&gt;&lt;/foreign-keys&gt;&lt;ref-type name="Journal Article"&gt;17&lt;/ref-type&gt;&lt;contributors&gt;&lt;authors&gt;&lt;author&gt;Council of the European Union, &lt;/author&gt;&lt;/authors&gt;&lt;/contributors&gt;&lt;titles&gt;&lt;title&gt;Council Directive 79/409/EEC of 2 April 1979 on the conservation of wild birds&lt;/title&gt;&lt;/titles&gt;&lt;dates&gt;&lt;year&gt;1979&lt;/year&gt;&lt;/dates&gt;&lt;urls&gt;&lt;/urls&gt;&lt;/record&gt;&lt;/Cite&gt;&lt;/EndNote&gt;</w:instrText>
      </w:r>
      <w:r w:rsidRPr="00077419">
        <w:rPr>
          <w:rFonts w:cs="Times New Roman"/>
          <w:sz w:val="20"/>
        </w:rPr>
        <w:fldChar w:fldCharType="end"/>
      </w:r>
      <w:proofErr w:type="spellStart"/>
      <w:r w:rsidRPr="00077419">
        <w:rPr>
          <w:rFonts w:cs="Times New Roman"/>
          <w:sz w:val="20"/>
        </w:rPr>
        <w:t>Simula</w:t>
      </w:r>
      <w:proofErr w:type="spellEnd"/>
      <w:r w:rsidRPr="00077419">
        <w:rPr>
          <w:rFonts w:cs="Times New Roman"/>
          <w:sz w:val="20"/>
        </w:rPr>
        <w:t xml:space="preserve"> 2003; </w:t>
      </w:r>
      <w:proofErr w:type="spellStart"/>
      <w:r w:rsidRPr="00077419">
        <w:rPr>
          <w:rFonts w:cs="Times New Roman"/>
          <w:sz w:val="20"/>
        </w:rPr>
        <w:t>Montouroy</w:t>
      </w:r>
      <w:proofErr w:type="spellEnd"/>
      <w:r w:rsidRPr="00077419">
        <w:rPr>
          <w:rFonts w:cs="Times New Roman"/>
          <w:sz w:val="20"/>
        </w:rPr>
        <w:t xml:space="preserve"> 2014: 116; </w:t>
      </w:r>
      <w:proofErr w:type="spellStart"/>
      <w:r w:rsidRPr="00077419">
        <w:rPr>
          <w:rFonts w:cs="Times New Roman"/>
          <w:sz w:val="20"/>
        </w:rPr>
        <w:t>Savaresi</w:t>
      </w:r>
      <w:proofErr w:type="spellEnd"/>
      <w:r w:rsidRPr="00077419">
        <w:rPr>
          <w:rFonts w:cs="Times New Roman"/>
          <w:sz w:val="20"/>
        </w:rPr>
        <w:t xml:space="preserve"> 2012: 157). </w:t>
      </w:r>
    </w:p>
    <w:p w14:paraId="79C528B3" w14:textId="631CE4CC" w:rsidR="00EA2421" w:rsidRDefault="00EA2421">
      <w:pPr>
        <w:pStyle w:val="FootnoteText"/>
      </w:pPr>
    </w:p>
  </w:footnote>
  <w:footnote w:id="2">
    <w:p w14:paraId="7ACAE905" w14:textId="1E9EFD2F" w:rsidR="00EA2421" w:rsidRDefault="00EA2421">
      <w:pPr>
        <w:pStyle w:val="FootnoteText"/>
      </w:pPr>
      <w:r w:rsidRPr="004753DD">
        <w:rPr>
          <w:rStyle w:val="FootnoteReference"/>
        </w:rPr>
        <w:footnoteRef/>
      </w:r>
      <w:r>
        <w:t xml:space="preserve"> Between 2015 and 2019, I carried out 25</w:t>
      </w:r>
      <w:r w:rsidRPr="004753DD">
        <w:t xml:space="preserve"> interviews with persons from the EU and </w:t>
      </w:r>
      <w:r>
        <w:t>its member states, 4 with NGOs and 5</w:t>
      </w:r>
      <w:r w:rsidRPr="004753DD">
        <w:t xml:space="preserve"> with </w:t>
      </w:r>
      <w:r>
        <w:t>non-EU states. Overall, 8</w:t>
      </w:r>
      <w:r w:rsidRPr="004753DD">
        <w:t xml:space="preserve"> interviews were specifically focused on the FLEGT Action Plan (that includes the FLEGT Regulation and the Timber Regulation</w:t>
      </w:r>
      <w:r>
        <w:t xml:space="preserve">), 9 tackled the international forest regime complex in relation to the FLEGT Regulation. </w:t>
      </w:r>
    </w:p>
  </w:footnote>
  <w:footnote w:id="3">
    <w:p w14:paraId="4D5AFECD" w14:textId="3F0BB10D" w:rsidR="000E6D6A" w:rsidRDefault="000E6D6A">
      <w:pPr>
        <w:pStyle w:val="FootnoteText"/>
      </w:pPr>
      <w:r>
        <w:rPr>
          <w:rStyle w:val="FootnoteReference"/>
        </w:rPr>
        <w:footnoteRef/>
      </w:r>
      <w:r>
        <w:t xml:space="preserve"> From now on, single number (that range from 1 to 18) appearing in brackets refer to the interviews </w:t>
      </w:r>
      <w:r w:rsidR="00F12ED8">
        <w:t xml:space="preserve">listed after the list of references. For example, interview 1 in the table is referred to as ‘(1)’ in the text. </w:t>
      </w:r>
    </w:p>
  </w:footnote>
  <w:footnote w:id="4">
    <w:p w14:paraId="276FDD33" w14:textId="77777777" w:rsidR="00EA2421" w:rsidRDefault="00EA2421" w:rsidP="00C215DA">
      <w:pPr>
        <w:pStyle w:val="FootnoteText"/>
      </w:pPr>
      <w:r>
        <w:rPr>
          <w:rStyle w:val="FootnoteReference"/>
        </w:rPr>
        <w:footnoteRef/>
      </w:r>
      <w:r>
        <w:t xml:space="preserve"> The ITTA encourages the development of national frameworks ensuring the sustainable use of forests (ITTA 1983), the trade of sustainably managed forests (ITTA 1994) and legally harvested timber (ITTA 2006) in tropical timber producing countries. </w:t>
      </w:r>
    </w:p>
  </w:footnote>
  <w:footnote w:id="5">
    <w:p w14:paraId="25AD21E1" w14:textId="3A91ACF2" w:rsidR="00EA2421" w:rsidRPr="00531EBC" w:rsidRDefault="00EA2421" w:rsidP="00531EBC">
      <w:pPr>
        <w:rPr>
          <w:color w:val="000000" w:themeColor="text1"/>
          <w:sz w:val="20"/>
          <w:szCs w:val="20"/>
        </w:rPr>
      </w:pPr>
      <w:r w:rsidRPr="004753DD">
        <w:rPr>
          <w:rStyle w:val="FootnoteReference"/>
          <w:color w:val="000000" w:themeColor="text1"/>
          <w:sz w:val="20"/>
          <w:szCs w:val="20"/>
        </w:rPr>
        <w:footnoteRef/>
      </w:r>
      <w:r w:rsidRPr="004753DD">
        <w:rPr>
          <w:color w:val="000000" w:themeColor="text1"/>
          <w:sz w:val="20"/>
          <w:szCs w:val="20"/>
        </w:rPr>
        <w:t xml:space="preserve"> </w:t>
      </w:r>
      <w:r w:rsidRPr="00531EBC">
        <w:rPr>
          <w:color w:val="000000" w:themeColor="text1"/>
          <w:sz w:val="20"/>
          <w:szCs w:val="20"/>
        </w:rPr>
        <w:t xml:space="preserve">For more information on FLEGT-REDD synergies, see for example Ochieng 2010, Owusu 2009, Ochieng et al. 2013, </w:t>
      </w:r>
      <w:proofErr w:type="spellStart"/>
      <w:r w:rsidRPr="00531EBC">
        <w:rPr>
          <w:color w:val="000000" w:themeColor="text1"/>
          <w:sz w:val="20"/>
          <w:szCs w:val="20"/>
        </w:rPr>
        <w:t>Tegegne</w:t>
      </w:r>
      <w:proofErr w:type="spellEnd"/>
      <w:r w:rsidRPr="00531EBC">
        <w:rPr>
          <w:color w:val="000000" w:themeColor="text1"/>
          <w:sz w:val="20"/>
          <w:szCs w:val="20"/>
        </w:rPr>
        <w:t xml:space="preserve"> et al 2014 and </w:t>
      </w:r>
      <w:proofErr w:type="spellStart"/>
      <w:r w:rsidRPr="00531EBC">
        <w:rPr>
          <w:color w:val="000000" w:themeColor="text1"/>
          <w:sz w:val="20"/>
          <w:szCs w:val="20"/>
        </w:rPr>
        <w:t>Tegegne</w:t>
      </w:r>
      <w:proofErr w:type="spellEnd"/>
      <w:r w:rsidRPr="00531EBC">
        <w:rPr>
          <w:color w:val="000000" w:themeColor="text1"/>
          <w:sz w:val="20"/>
          <w:szCs w:val="20"/>
        </w:rPr>
        <w:t xml:space="preserve"> et al 2017. But </w:t>
      </w:r>
      <w:proofErr w:type="gramStart"/>
      <w:r w:rsidRPr="00531EBC">
        <w:rPr>
          <w:color w:val="000000" w:themeColor="text1"/>
          <w:sz w:val="20"/>
          <w:szCs w:val="20"/>
        </w:rPr>
        <w:t>also</w:t>
      </w:r>
      <w:proofErr w:type="gramEnd"/>
      <w:r w:rsidRPr="00531EBC">
        <w:rPr>
          <w:color w:val="000000" w:themeColor="text1"/>
          <w:sz w:val="20"/>
          <w:szCs w:val="20"/>
        </w:rPr>
        <w:t xml:space="preserve"> technical reports from the European Forest Institute and the EU FLEGT Facility, or the Analysis of linkages and opportunities for synergies between FLEGT, REDD and national forest programme in Ghana (E. Marfo, E. Danso and S. K. Nketiah, 2013).</w:t>
      </w:r>
    </w:p>
  </w:footnote>
  <w:footnote w:id="6">
    <w:p w14:paraId="17054668" w14:textId="2F07309C" w:rsidR="00EA2421" w:rsidRDefault="00EA2421">
      <w:pPr>
        <w:pStyle w:val="FootnoteText"/>
      </w:pPr>
      <w:r>
        <w:rPr>
          <w:rStyle w:val="FootnoteReference"/>
        </w:rPr>
        <w:footnoteRef/>
      </w:r>
      <w:r>
        <w:t xml:space="preserve"> NGO analysing major international issues.</w:t>
      </w:r>
    </w:p>
  </w:footnote>
  <w:footnote w:id="7">
    <w:p w14:paraId="2407EDF7" w14:textId="4B76FE50" w:rsidR="00EA2421" w:rsidRDefault="00EA2421">
      <w:pPr>
        <w:pStyle w:val="FootnoteText"/>
      </w:pPr>
      <w:r>
        <w:rPr>
          <w:rStyle w:val="FootnoteReference"/>
        </w:rPr>
        <w:footnoteRef/>
      </w:r>
      <w:r>
        <w:t xml:space="preserve"> EU NGO focusing on environmental and social justice specifically in their links to forests.</w:t>
      </w:r>
    </w:p>
  </w:footnote>
  <w:footnote w:id="8">
    <w:p w14:paraId="6F76648B" w14:textId="77777777" w:rsidR="00EA2421" w:rsidRDefault="00EA2421" w:rsidP="00BE1AB2">
      <w:pPr>
        <w:pStyle w:val="FootnoteText"/>
      </w:pPr>
      <w:r>
        <w:rPr>
          <w:rStyle w:val="FootnoteReference"/>
        </w:rPr>
        <w:footnoteRef/>
      </w:r>
      <w:r>
        <w:t xml:space="preserve"> This could explain why some VPA countries and potential VPA countries tend to see FLEGT VPAs as development cooperation programmes, while it clearly is a negotiated agreement. </w:t>
      </w:r>
    </w:p>
  </w:footnote>
  <w:footnote w:id="9">
    <w:p w14:paraId="031ABFB6" w14:textId="454F2A2C" w:rsidR="00EA2421" w:rsidRDefault="00EA2421">
      <w:pPr>
        <w:pStyle w:val="FootnoteText"/>
      </w:pPr>
      <w:r>
        <w:rPr>
          <w:rStyle w:val="FootnoteReference"/>
        </w:rPr>
        <w:footnoteRef/>
      </w:r>
      <w:r>
        <w:t xml:space="preserve"> Some member states had memoranda of understanding with timber producing countries (the UK with Indonesia, the Netherlands with Malaysia and Germany with Cameroon) recognising that EU timber importers were part of the problem of illegal logging, not just the producing country failure to control the supply. </w:t>
      </w:r>
    </w:p>
  </w:footnote>
  <w:footnote w:id="10">
    <w:p w14:paraId="39933612" w14:textId="7E4FDE8F" w:rsidR="00EA2421" w:rsidRPr="00DE0F3E" w:rsidRDefault="00EA2421">
      <w:pPr>
        <w:pStyle w:val="FootnoteText"/>
        <w:rPr>
          <w:lang w:val="en-US"/>
        </w:rPr>
      </w:pPr>
      <w:r>
        <w:rPr>
          <w:rStyle w:val="FootnoteReference"/>
        </w:rPr>
        <w:footnoteRef/>
      </w:r>
      <w:r>
        <w:t xml:space="preserve"> </w:t>
      </w:r>
      <w:r>
        <w:rPr>
          <w:lang w:val="en-US"/>
        </w:rPr>
        <w:t>Whic</w:t>
      </w:r>
      <w:r w:rsidRPr="00DE0F3E">
        <w:rPr>
          <w:lang w:val="en-US"/>
        </w:rPr>
        <w:t xml:space="preserve">h </w:t>
      </w:r>
      <w:proofErr w:type="gramStart"/>
      <w:r w:rsidRPr="00DE0F3E">
        <w:rPr>
          <w:lang w:val="en-US"/>
        </w:rPr>
        <w:t>outlaws</w:t>
      </w:r>
      <w:proofErr w:type="gramEnd"/>
      <w:r w:rsidRPr="00DE0F3E">
        <w:rPr>
          <w:lang w:val="en-US"/>
        </w:rPr>
        <w:t xml:space="preserve"> placement of illegal timber on EU market.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7EC"/>
    <w:multiLevelType w:val="hybridMultilevel"/>
    <w:tmpl w:val="E2CEA28E"/>
    <w:lvl w:ilvl="0" w:tplc="AEE64C0C">
      <w:start w:val="1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CA0952"/>
    <w:multiLevelType w:val="multilevel"/>
    <w:tmpl w:val="AB602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7158C2"/>
    <w:multiLevelType w:val="hybridMultilevel"/>
    <w:tmpl w:val="3AFE926E"/>
    <w:lvl w:ilvl="0" w:tplc="7792BD00">
      <w:start w:val="3"/>
      <w:numFmt w:val="bullet"/>
      <w:lvlText w:val="-"/>
      <w:lvlJc w:val="left"/>
      <w:pPr>
        <w:ind w:left="720" w:hanging="360"/>
      </w:pPr>
      <w:rPr>
        <w:rFonts w:ascii="Calibri" w:eastAsia="Times New Roman" w:hAnsi="Calibri" w:cs="Times New Roman" w:hint="default"/>
        <w:color w:val="3232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27F4A"/>
    <w:multiLevelType w:val="multilevel"/>
    <w:tmpl w:val="AB602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D1E2C96"/>
    <w:multiLevelType w:val="hybridMultilevel"/>
    <w:tmpl w:val="7F30B96C"/>
    <w:lvl w:ilvl="0" w:tplc="B44673BC">
      <w:start w:val="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C6"/>
    <w:rsid w:val="000001CC"/>
    <w:rsid w:val="00003EB8"/>
    <w:rsid w:val="00006E89"/>
    <w:rsid w:val="00010F32"/>
    <w:rsid w:val="00015DA3"/>
    <w:rsid w:val="0002594C"/>
    <w:rsid w:val="0003139B"/>
    <w:rsid w:val="0003226A"/>
    <w:rsid w:val="000424EB"/>
    <w:rsid w:val="0004491E"/>
    <w:rsid w:val="00046430"/>
    <w:rsid w:val="0005031E"/>
    <w:rsid w:val="00052306"/>
    <w:rsid w:val="00054891"/>
    <w:rsid w:val="00055010"/>
    <w:rsid w:val="00063598"/>
    <w:rsid w:val="00066D8C"/>
    <w:rsid w:val="00067612"/>
    <w:rsid w:val="00077419"/>
    <w:rsid w:val="00085055"/>
    <w:rsid w:val="000A2B92"/>
    <w:rsid w:val="000A5182"/>
    <w:rsid w:val="000A52EC"/>
    <w:rsid w:val="000B610F"/>
    <w:rsid w:val="000C395E"/>
    <w:rsid w:val="000C69D3"/>
    <w:rsid w:val="000D41FF"/>
    <w:rsid w:val="000D48EF"/>
    <w:rsid w:val="000D72D2"/>
    <w:rsid w:val="000E0351"/>
    <w:rsid w:val="000E6D6A"/>
    <w:rsid w:val="000F0E37"/>
    <w:rsid w:val="00103BD3"/>
    <w:rsid w:val="00113BF1"/>
    <w:rsid w:val="0011591D"/>
    <w:rsid w:val="00115DEC"/>
    <w:rsid w:val="00133F6B"/>
    <w:rsid w:val="00153E0E"/>
    <w:rsid w:val="001643C7"/>
    <w:rsid w:val="00164593"/>
    <w:rsid w:val="00174D21"/>
    <w:rsid w:val="001B3E81"/>
    <w:rsid w:val="001B44C2"/>
    <w:rsid w:val="001B7C8E"/>
    <w:rsid w:val="001C5FE7"/>
    <w:rsid w:val="001E31E5"/>
    <w:rsid w:val="00207239"/>
    <w:rsid w:val="00213F2F"/>
    <w:rsid w:val="0021596F"/>
    <w:rsid w:val="0022341D"/>
    <w:rsid w:val="00231D7B"/>
    <w:rsid w:val="0024335F"/>
    <w:rsid w:val="00244384"/>
    <w:rsid w:val="00262AFD"/>
    <w:rsid w:val="002672E3"/>
    <w:rsid w:val="002B278E"/>
    <w:rsid w:val="002B3994"/>
    <w:rsid w:val="002C3232"/>
    <w:rsid w:val="002D585C"/>
    <w:rsid w:val="002E5FAB"/>
    <w:rsid w:val="002E5FB3"/>
    <w:rsid w:val="002E630D"/>
    <w:rsid w:val="00303A5B"/>
    <w:rsid w:val="00305B1C"/>
    <w:rsid w:val="00306F6F"/>
    <w:rsid w:val="00326F64"/>
    <w:rsid w:val="00337964"/>
    <w:rsid w:val="00355AF4"/>
    <w:rsid w:val="00366BBF"/>
    <w:rsid w:val="003A1CBA"/>
    <w:rsid w:val="003A273E"/>
    <w:rsid w:val="003B0FF6"/>
    <w:rsid w:val="003C2C17"/>
    <w:rsid w:val="003C50DB"/>
    <w:rsid w:val="003C61F7"/>
    <w:rsid w:val="003D0D8A"/>
    <w:rsid w:val="003D76D0"/>
    <w:rsid w:val="003E2AD6"/>
    <w:rsid w:val="0040497B"/>
    <w:rsid w:val="004062A0"/>
    <w:rsid w:val="004222A8"/>
    <w:rsid w:val="004516CA"/>
    <w:rsid w:val="0046221D"/>
    <w:rsid w:val="00463692"/>
    <w:rsid w:val="004753DD"/>
    <w:rsid w:val="00483D14"/>
    <w:rsid w:val="004862A3"/>
    <w:rsid w:val="00487AFD"/>
    <w:rsid w:val="00490796"/>
    <w:rsid w:val="004B6A3F"/>
    <w:rsid w:val="004D702A"/>
    <w:rsid w:val="004D7325"/>
    <w:rsid w:val="004E4683"/>
    <w:rsid w:val="004E5BB1"/>
    <w:rsid w:val="004F3561"/>
    <w:rsid w:val="004F6073"/>
    <w:rsid w:val="004F7301"/>
    <w:rsid w:val="00501FDF"/>
    <w:rsid w:val="005066B9"/>
    <w:rsid w:val="005174A2"/>
    <w:rsid w:val="00517857"/>
    <w:rsid w:val="00523599"/>
    <w:rsid w:val="00531EBC"/>
    <w:rsid w:val="005325C4"/>
    <w:rsid w:val="0054231C"/>
    <w:rsid w:val="00543221"/>
    <w:rsid w:val="00546F5D"/>
    <w:rsid w:val="00550F47"/>
    <w:rsid w:val="00552F53"/>
    <w:rsid w:val="0055368E"/>
    <w:rsid w:val="00565DDB"/>
    <w:rsid w:val="005969A8"/>
    <w:rsid w:val="005A2359"/>
    <w:rsid w:val="005A5269"/>
    <w:rsid w:val="005B13D7"/>
    <w:rsid w:val="005C2910"/>
    <w:rsid w:val="005C49C3"/>
    <w:rsid w:val="005C5121"/>
    <w:rsid w:val="005E3C0F"/>
    <w:rsid w:val="005F725D"/>
    <w:rsid w:val="005F7EE4"/>
    <w:rsid w:val="00600B96"/>
    <w:rsid w:val="00602F49"/>
    <w:rsid w:val="00604BAB"/>
    <w:rsid w:val="00615C21"/>
    <w:rsid w:val="00623787"/>
    <w:rsid w:val="00625833"/>
    <w:rsid w:val="00634055"/>
    <w:rsid w:val="00655330"/>
    <w:rsid w:val="00661D25"/>
    <w:rsid w:val="00664B1B"/>
    <w:rsid w:val="006824A6"/>
    <w:rsid w:val="00696D91"/>
    <w:rsid w:val="006A266A"/>
    <w:rsid w:val="006A7A37"/>
    <w:rsid w:val="006B1038"/>
    <w:rsid w:val="006B206B"/>
    <w:rsid w:val="006C1C2A"/>
    <w:rsid w:val="006D2C5C"/>
    <w:rsid w:val="006D5292"/>
    <w:rsid w:val="006E3DDB"/>
    <w:rsid w:val="006E4409"/>
    <w:rsid w:val="006F023B"/>
    <w:rsid w:val="00700359"/>
    <w:rsid w:val="007017AC"/>
    <w:rsid w:val="00705DB3"/>
    <w:rsid w:val="0072139B"/>
    <w:rsid w:val="00734A36"/>
    <w:rsid w:val="0074048D"/>
    <w:rsid w:val="00742157"/>
    <w:rsid w:val="007539BC"/>
    <w:rsid w:val="0075545B"/>
    <w:rsid w:val="00761A95"/>
    <w:rsid w:val="00764E02"/>
    <w:rsid w:val="00765EBB"/>
    <w:rsid w:val="00782600"/>
    <w:rsid w:val="007A48AF"/>
    <w:rsid w:val="007A4C39"/>
    <w:rsid w:val="007D3141"/>
    <w:rsid w:val="007E036A"/>
    <w:rsid w:val="007E4CF5"/>
    <w:rsid w:val="007F1612"/>
    <w:rsid w:val="00804361"/>
    <w:rsid w:val="00810782"/>
    <w:rsid w:val="00826ABA"/>
    <w:rsid w:val="00827052"/>
    <w:rsid w:val="008455A1"/>
    <w:rsid w:val="008504EB"/>
    <w:rsid w:val="00853F37"/>
    <w:rsid w:val="008550A4"/>
    <w:rsid w:val="00857DCB"/>
    <w:rsid w:val="0087282F"/>
    <w:rsid w:val="008729C6"/>
    <w:rsid w:val="008A1168"/>
    <w:rsid w:val="008B40E0"/>
    <w:rsid w:val="008B4699"/>
    <w:rsid w:val="008B7FDE"/>
    <w:rsid w:val="008D2854"/>
    <w:rsid w:val="008D48E6"/>
    <w:rsid w:val="008E6F47"/>
    <w:rsid w:val="008E777C"/>
    <w:rsid w:val="0090085D"/>
    <w:rsid w:val="00905514"/>
    <w:rsid w:val="0090706A"/>
    <w:rsid w:val="00907F80"/>
    <w:rsid w:val="009145C5"/>
    <w:rsid w:val="00921BF5"/>
    <w:rsid w:val="0093249B"/>
    <w:rsid w:val="0094776C"/>
    <w:rsid w:val="00966099"/>
    <w:rsid w:val="00971E4E"/>
    <w:rsid w:val="009722A2"/>
    <w:rsid w:val="00981C3D"/>
    <w:rsid w:val="00983F59"/>
    <w:rsid w:val="00987160"/>
    <w:rsid w:val="009A274C"/>
    <w:rsid w:val="009A718E"/>
    <w:rsid w:val="009B7E0E"/>
    <w:rsid w:val="009C159A"/>
    <w:rsid w:val="009C37DB"/>
    <w:rsid w:val="009C5802"/>
    <w:rsid w:val="009D074A"/>
    <w:rsid w:val="009D1337"/>
    <w:rsid w:val="009D772A"/>
    <w:rsid w:val="009E56F7"/>
    <w:rsid w:val="009F3350"/>
    <w:rsid w:val="00A04F15"/>
    <w:rsid w:val="00A1642C"/>
    <w:rsid w:val="00A247DB"/>
    <w:rsid w:val="00A3467C"/>
    <w:rsid w:val="00A35C83"/>
    <w:rsid w:val="00A370AB"/>
    <w:rsid w:val="00A43333"/>
    <w:rsid w:val="00A46AC4"/>
    <w:rsid w:val="00A53145"/>
    <w:rsid w:val="00A60505"/>
    <w:rsid w:val="00A71EBF"/>
    <w:rsid w:val="00A7785A"/>
    <w:rsid w:val="00A92440"/>
    <w:rsid w:val="00AA0B29"/>
    <w:rsid w:val="00AA564F"/>
    <w:rsid w:val="00AA5C3C"/>
    <w:rsid w:val="00AB088A"/>
    <w:rsid w:val="00AB21CD"/>
    <w:rsid w:val="00AB5B94"/>
    <w:rsid w:val="00AC3ECD"/>
    <w:rsid w:val="00AC3EE9"/>
    <w:rsid w:val="00AC5218"/>
    <w:rsid w:val="00AD2502"/>
    <w:rsid w:val="00AD6A1C"/>
    <w:rsid w:val="00AE2DC1"/>
    <w:rsid w:val="00AE4724"/>
    <w:rsid w:val="00AE6027"/>
    <w:rsid w:val="00AE66A6"/>
    <w:rsid w:val="00AF0BC4"/>
    <w:rsid w:val="00B07CD4"/>
    <w:rsid w:val="00B130CE"/>
    <w:rsid w:val="00B1382C"/>
    <w:rsid w:val="00B1505E"/>
    <w:rsid w:val="00B2338A"/>
    <w:rsid w:val="00B248CB"/>
    <w:rsid w:val="00B25F50"/>
    <w:rsid w:val="00B329F5"/>
    <w:rsid w:val="00B409E3"/>
    <w:rsid w:val="00B521A9"/>
    <w:rsid w:val="00B54EA0"/>
    <w:rsid w:val="00B63FB6"/>
    <w:rsid w:val="00B72EB4"/>
    <w:rsid w:val="00B738DD"/>
    <w:rsid w:val="00B76846"/>
    <w:rsid w:val="00B80C05"/>
    <w:rsid w:val="00B85BB4"/>
    <w:rsid w:val="00BA2E39"/>
    <w:rsid w:val="00BC298F"/>
    <w:rsid w:val="00BC363B"/>
    <w:rsid w:val="00BE1AB2"/>
    <w:rsid w:val="00BF4425"/>
    <w:rsid w:val="00BF58A7"/>
    <w:rsid w:val="00C10602"/>
    <w:rsid w:val="00C215DA"/>
    <w:rsid w:val="00C55A26"/>
    <w:rsid w:val="00C6061C"/>
    <w:rsid w:val="00C60C92"/>
    <w:rsid w:val="00C6223F"/>
    <w:rsid w:val="00C6708F"/>
    <w:rsid w:val="00C6794B"/>
    <w:rsid w:val="00C70FF6"/>
    <w:rsid w:val="00C8629B"/>
    <w:rsid w:val="00C91504"/>
    <w:rsid w:val="00CA5757"/>
    <w:rsid w:val="00CC7140"/>
    <w:rsid w:val="00CE7F10"/>
    <w:rsid w:val="00CF6EB4"/>
    <w:rsid w:val="00D03F97"/>
    <w:rsid w:val="00D14569"/>
    <w:rsid w:val="00D17573"/>
    <w:rsid w:val="00D2175C"/>
    <w:rsid w:val="00D24877"/>
    <w:rsid w:val="00D254EB"/>
    <w:rsid w:val="00D27C6F"/>
    <w:rsid w:val="00D3007F"/>
    <w:rsid w:val="00D32596"/>
    <w:rsid w:val="00D34658"/>
    <w:rsid w:val="00D3488E"/>
    <w:rsid w:val="00D4274D"/>
    <w:rsid w:val="00D4358C"/>
    <w:rsid w:val="00D46084"/>
    <w:rsid w:val="00D46A9D"/>
    <w:rsid w:val="00D50442"/>
    <w:rsid w:val="00D74E92"/>
    <w:rsid w:val="00D77289"/>
    <w:rsid w:val="00D85301"/>
    <w:rsid w:val="00DA1611"/>
    <w:rsid w:val="00DA5CD8"/>
    <w:rsid w:val="00DA7E8F"/>
    <w:rsid w:val="00DD4938"/>
    <w:rsid w:val="00DD51BE"/>
    <w:rsid w:val="00DE0F3E"/>
    <w:rsid w:val="00DF31D9"/>
    <w:rsid w:val="00E00C29"/>
    <w:rsid w:val="00E055D0"/>
    <w:rsid w:val="00E114BF"/>
    <w:rsid w:val="00E25AA2"/>
    <w:rsid w:val="00E27022"/>
    <w:rsid w:val="00E273FC"/>
    <w:rsid w:val="00E51FAE"/>
    <w:rsid w:val="00E567A5"/>
    <w:rsid w:val="00E60438"/>
    <w:rsid w:val="00E65F87"/>
    <w:rsid w:val="00E7484F"/>
    <w:rsid w:val="00E75B45"/>
    <w:rsid w:val="00E858ED"/>
    <w:rsid w:val="00E8778A"/>
    <w:rsid w:val="00E90759"/>
    <w:rsid w:val="00EA2421"/>
    <w:rsid w:val="00EB7D8C"/>
    <w:rsid w:val="00EE1198"/>
    <w:rsid w:val="00EE1F1D"/>
    <w:rsid w:val="00EE40D4"/>
    <w:rsid w:val="00EE64C5"/>
    <w:rsid w:val="00EF4258"/>
    <w:rsid w:val="00F013F4"/>
    <w:rsid w:val="00F10AFD"/>
    <w:rsid w:val="00F12ED8"/>
    <w:rsid w:val="00F15FFD"/>
    <w:rsid w:val="00F33A71"/>
    <w:rsid w:val="00F34F11"/>
    <w:rsid w:val="00F375DC"/>
    <w:rsid w:val="00F40DED"/>
    <w:rsid w:val="00F47F1C"/>
    <w:rsid w:val="00F52DA6"/>
    <w:rsid w:val="00F54906"/>
    <w:rsid w:val="00F609B6"/>
    <w:rsid w:val="00F60BC2"/>
    <w:rsid w:val="00F64C2D"/>
    <w:rsid w:val="00F8146B"/>
    <w:rsid w:val="00F81B44"/>
    <w:rsid w:val="00F82612"/>
    <w:rsid w:val="00FA05E5"/>
    <w:rsid w:val="00FB12D9"/>
    <w:rsid w:val="00FB6A85"/>
    <w:rsid w:val="00FB7580"/>
    <w:rsid w:val="00FC09AF"/>
    <w:rsid w:val="00FC3538"/>
    <w:rsid w:val="00FC53E7"/>
    <w:rsid w:val="00FD1FA7"/>
    <w:rsid w:val="00FE7DEB"/>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ACC6"/>
  <w15:chartTrackingRefBased/>
  <w15:docId w15:val="{90B4CAFD-687F-D042-9629-6801D186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C91504"/>
    <w:pPr>
      <w:spacing w:before="100" w:beforeAutospacing="1" w:after="100" w:afterAutospacing="1"/>
      <w:outlineLvl w:val="0"/>
    </w:pPr>
    <w:rPr>
      <w:rFonts w:ascii="Times New Roman" w:eastAsia="Times New Roman" w:hAnsi="Times New Roman" w:cs="Times New Roman"/>
      <w:b/>
      <w:bCs/>
      <w:kern w:val="36"/>
      <w:sz w:val="48"/>
      <w:szCs w:val="48"/>
      <w:lang w:val="fr-BE" w:eastAsia="fr-BE"/>
    </w:rPr>
  </w:style>
  <w:style w:type="paragraph" w:styleId="Heading3">
    <w:name w:val="heading 3"/>
    <w:basedOn w:val="Normal"/>
    <w:next w:val="Normal"/>
    <w:link w:val="Heading3Char"/>
    <w:uiPriority w:val="9"/>
    <w:unhideWhenUsed/>
    <w:qFormat/>
    <w:rsid w:val="00DA7E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6B9"/>
    <w:pPr>
      <w:tabs>
        <w:tab w:val="center" w:pos="4680"/>
        <w:tab w:val="right" w:pos="9360"/>
      </w:tabs>
    </w:pPr>
  </w:style>
  <w:style w:type="character" w:customStyle="1" w:styleId="FooterChar">
    <w:name w:val="Footer Char"/>
    <w:basedOn w:val="DefaultParagraphFont"/>
    <w:link w:val="Footer"/>
    <w:uiPriority w:val="99"/>
    <w:rsid w:val="005066B9"/>
    <w:rPr>
      <w:lang w:val="en-GB"/>
    </w:rPr>
  </w:style>
  <w:style w:type="character" w:styleId="PageNumber">
    <w:name w:val="page number"/>
    <w:basedOn w:val="DefaultParagraphFont"/>
    <w:uiPriority w:val="99"/>
    <w:semiHidden/>
    <w:unhideWhenUsed/>
    <w:rsid w:val="005066B9"/>
  </w:style>
  <w:style w:type="paragraph" w:styleId="FootnoteText">
    <w:name w:val="footnote text"/>
    <w:basedOn w:val="Normal"/>
    <w:link w:val="FootnoteTextChar"/>
    <w:uiPriority w:val="99"/>
    <w:unhideWhenUsed/>
    <w:rsid w:val="005174A2"/>
    <w:rPr>
      <w:sz w:val="20"/>
      <w:szCs w:val="20"/>
    </w:rPr>
  </w:style>
  <w:style w:type="character" w:customStyle="1" w:styleId="FootnoteTextChar">
    <w:name w:val="Footnote Text Char"/>
    <w:basedOn w:val="DefaultParagraphFont"/>
    <w:link w:val="FootnoteText"/>
    <w:uiPriority w:val="99"/>
    <w:rsid w:val="005174A2"/>
    <w:rPr>
      <w:sz w:val="20"/>
      <w:szCs w:val="20"/>
      <w:lang w:val="en-GB"/>
    </w:rPr>
  </w:style>
  <w:style w:type="character" w:styleId="FootnoteReference">
    <w:name w:val="footnote reference"/>
    <w:basedOn w:val="DefaultParagraphFont"/>
    <w:uiPriority w:val="99"/>
    <w:semiHidden/>
    <w:unhideWhenUsed/>
    <w:rsid w:val="005174A2"/>
    <w:rPr>
      <w:vertAlign w:val="superscript"/>
    </w:rPr>
  </w:style>
  <w:style w:type="paragraph" w:styleId="ListParagraph">
    <w:name w:val="List Paragraph"/>
    <w:basedOn w:val="Normal"/>
    <w:uiPriority w:val="34"/>
    <w:qFormat/>
    <w:rsid w:val="00AE4724"/>
    <w:pPr>
      <w:ind w:left="720"/>
      <w:contextualSpacing/>
    </w:pPr>
  </w:style>
  <w:style w:type="character" w:styleId="CommentReference">
    <w:name w:val="annotation reference"/>
    <w:basedOn w:val="DefaultParagraphFont"/>
    <w:uiPriority w:val="99"/>
    <w:semiHidden/>
    <w:unhideWhenUsed/>
    <w:rsid w:val="00D46084"/>
    <w:rPr>
      <w:sz w:val="16"/>
      <w:szCs w:val="16"/>
    </w:rPr>
  </w:style>
  <w:style w:type="paragraph" w:styleId="CommentText">
    <w:name w:val="annotation text"/>
    <w:basedOn w:val="Normal"/>
    <w:link w:val="CommentTextChar"/>
    <w:uiPriority w:val="99"/>
    <w:unhideWhenUsed/>
    <w:rsid w:val="00D46084"/>
    <w:rPr>
      <w:sz w:val="20"/>
      <w:szCs w:val="20"/>
    </w:rPr>
  </w:style>
  <w:style w:type="character" w:customStyle="1" w:styleId="CommentTextChar">
    <w:name w:val="Comment Text Char"/>
    <w:basedOn w:val="DefaultParagraphFont"/>
    <w:link w:val="CommentText"/>
    <w:uiPriority w:val="99"/>
    <w:rsid w:val="00D46084"/>
    <w:rPr>
      <w:sz w:val="20"/>
      <w:szCs w:val="20"/>
      <w:lang w:val="en-GB"/>
    </w:rPr>
  </w:style>
  <w:style w:type="paragraph" w:styleId="CommentSubject">
    <w:name w:val="annotation subject"/>
    <w:basedOn w:val="CommentText"/>
    <w:next w:val="CommentText"/>
    <w:link w:val="CommentSubjectChar"/>
    <w:uiPriority w:val="99"/>
    <w:semiHidden/>
    <w:unhideWhenUsed/>
    <w:rsid w:val="00D46084"/>
    <w:rPr>
      <w:b/>
      <w:bCs/>
    </w:rPr>
  </w:style>
  <w:style w:type="character" w:customStyle="1" w:styleId="CommentSubjectChar">
    <w:name w:val="Comment Subject Char"/>
    <w:basedOn w:val="CommentTextChar"/>
    <w:link w:val="CommentSubject"/>
    <w:uiPriority w:val="99"/>
    <w:semiHidden/>
    <w:rsid w:val="00D46084"/>
    <w:rPr>
      <w:b/>
      <w:bCs/>
      <w:sz w:val="20"/>
      <w:szCs w:val="20"/>
      <w:lang w:val="en-GB"/>
    </w:rPr>
  </w:style>
  <w:style w:type="paragraph" w:styleId="BalloonText">
    <w:name w:val="Balloon Text"/>
    <w:basedOn w:val="Normal"/>
    <w:link w:val="BalloonTextChar"/>
    <w:uiPriority w:val="99"/>
    <w:semiHidden/>
    <w:unhideWhenUsed/>
    <w:rsid w:val="00D460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084"/>
    <w:rPr>
      <w:rFonts w:ascii="Times New Roman" w:hAnsi="Times New Roman" w:cs="Times New Roman"/>
      <w:sz w:val="18"/>
      <w:szCs w:val="18"/>
      <w:lang w:val="en-GB"/>
    </w:rPr>
  </w:style>
  <w:style w:type="table" w:styleId="TableGrid">
    <w:name w:val="Table Grid"/>
    <w:basedOn w:val="TableNormal"/>
    <w:uiPriority w:val="39"/>
    <w:rsid w:val="00D4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738DD"/>
    <w:pPr>
      <w:spacing w:after="200" w:line="360" w:lineRule="auto"/>
      <w:jc w:val="both"/>
    </w:pPr>
    <w:rPr>
      <w:i/>
      <w:iCs/>
      <w:color w:val="44546A" w:themeColor="text2"/>
      <w:sz w:val="18"/>
      <w:szCs w:val="18"/>
    </w:rPr>
  </w:style>
  <w:style w:type="paragraph" w:styleId="NormalWeb">
    <w:name w:val="Normal (Web)"/>
    <w:basedOn w:val="Normal"/>
    <w:uiPriority w:val="99"/>
    <w:unhideWhenUsed/>
    <w:rsid w:val="0040497B"/>
    <w:pPr>
      <w:spacing w:before="100" w:beforeAutospacing="1" w:after="100" w:afterAutospacing="1" w:line="360" w:lineRule="auto"/>
      <w:jc w:val="both"/>
    </w:pPr>
    <w:rPr>
      <w:rFonts w:ascii="Times New Roman" w:hAnsi="Times New Roman" w:cs="Times New Roman"/>
      <w:lang w:eastAsia="en-GB"/>
    </w:rPr>
  </w:style>
  <w:style w:type="character" w:styleId="Emphasis">
    <w:name w:val="Emphasis"/>
    <w:basedOn w:val="DefaultParagraphFont"/>
    <w:uiPriority w:val="20"/>
    <w:qFormat/>
    <w:rsid w:val="0040497B"/>
    <w:rPr>
      <w:i/>
      <w:iCs/>
    </w:rPr>
  </w:style>
  <w:style w:type="character" w:customStyle="1" w:styleId="Heading1Char">
    <w:name w:val="Heading 1 Char"/>
    <w:basedOn w:val="DefaultParagraphFont"/>
    <w:link w:val="Heading1"/>
    <w:uiPriority w:val="9"/>
    <w:rsid w:val="00C91504"/>
    <w:rPr>
      <w:rFonts w:ascii="Times New Roman" w:eastAsia="Times New Roman" w:hAnsi="Times New Roman" w:cs="Times New Roman"/>
      <w:b/>
      <w:bCs/>
      <w:kern w:val="36"/>
      <w:sz w:val="48"/>
      <w:szCs w:val="48"/>
      <w:lang w:val="fr-BE" w:eastAsia="fr-BE"/>
    </w:rPr>
  </w:style>
  <w:style w:type="character" w:customStyle="1" w:styleId="Heading3Char">
    <w:name w:val="Heading 3 Char"/>
    <w:basedOn w:val="DefaultParagraphFont"/>
    <w:link w:val="Heading3"/>
    <w:uiPriority w:val="9"/>
    <w:rsid w:val="00DA7E8F"/>
    <w:rPr>
      <w:rFonts w:asciiTheme="majorHAnsi" w:eastAsiaTheme="majorEastAsia" w:hAnsiTheme="majorHAnsi" w:cstheme="majorBidi"/>
      <w:color w:val="1F3763" w:themeColor="accent1" w:themeShade="7F"/>
      <w:lang w:val="en-GB"/>
    </w:rPr>
  </w:style>
  <w:style w:type="character" w:styleId="Hyperlink">
    <w:name w:val="Hyperlink"/>
    <w:basedOn w:val="DefaultParagraphFont"/>
    <w:uiPriority w:val="99"/>
    <w:unhideWhenUsed/>
    <w:rsid w:val="0054231C"/>
    <w:rPr>
      <w:color w:val="0563C1" w:themeColor="hyperlink"/>
      <w:u w:val="single"/>
    </w:rPr>
  </w:style>
  <w:style w:type="character" w:styleId="UnresolvedMention">
    <w:name w:val="Unresolved Mention"/>
    <w:basedOn w:val="DefaultParagraphFont"/>
    <w:uiPriority w:val="99"/>
    <w:semiHidden/>
    <w:unhideWhenUsed/>
    <w:rsid w:val="00542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40052">
      <w:bodyDiv w:val="1"/>
      <w:marLeft w:val="0"/>
      <w:marRight w:val="0"/>
      <w:marTop w:val="0"/>
      <w:marBottom w:val="0"/>
      <w:divBdr>
        <w:top w:val="none" w:sz="0" w:space="0" w:color="auto"/>
        <w:left w:val="none" w:sz="0" w:space="0" w:color="auto"/>
        <w:bottom w:val="none" w:sz="0" w:space="0" w:color="auto"/>
        <w:right w:val="none" w:sz="0" w:space="0" w:color="auto"/>
      </w:divBdr>
    </w:div>
    <w:div w:id="430200917">
      <w:bodyDiv w:val="1"/>
      <w:marLeft w:val="0"/>
      <w:marRight w:val="0"/>
      <w:marTop w:val="0"/>
      <w:marBottom w:val="0"/>
      <w:divBdr>
        <w:top w:val="none" w:sz="0" w:space="0" w:color="auto"/>
        <w:left w:val="none" w:sz="0" w:space="0" w:color="auto"/>
        <w:bottom w:val="none" w:sz="0" w:space="0" w:color="auto"/>
        <w:right w:val="none" w:sz="0" w:space="0" w:color="auto"/>
      </w:divBdr>
    </w:div>
    <w:div w:id="541788582">
      <w:bodyDiv w:val="1"/>
      <w:marLeft w:val="0"/>
      <w:marRight w:val="0"/>
      <w:marTop w:val="0"/>
      <w:marBottom w:val="0"/>
      <w:divBdr>
        <w:top w:val="none" w:sz="0" w:space="0" w:color="auto"/>
        <w:left w:val="none" w:sz="0" w:space="0" w:color="auto"/>
        <w:bottom w:val="none" w:sz="0" w:space="0" w:color="auto"/>
        <w:right w:val="none" w:sz="0" w:space="0" w:color="auto"/>
      </w:divBdr>
    </w:div>
    <w:div w:id="936450689">
      <w:bodyDiv w:val="1"/>
      <w:marLeft w:val="0"/>
      <w:marRight w:val="0"/>
      <w:marTop w:val="0"/>
      <w:marBottom w:val="0"/>
      <w:divBdr>
        <w:top w:val="none" w:sz="0" w:space="0" w:color="auto"/>
        <w:left w:val="none" w:sz="0" w:space="0" w:color="auto"/>
        <w:bottom w:val="none" w:sz="0" w:space="0" w:color="auto"/>
        <w:right w:val="none" w:sz="0" w:space="0" w:color="auto"/>
      </w:divBdr>
    </w:div>
    <w:div w:id="1207644739">
      <w:bodyDiv w:val="1"/>
      <w:marLeft w:val="0"/>
      <w:marRight w:val="0"/>
      <w:marTop w:val="0"/>
      <w:marBottom w:val="0"/>
      <w:divBdr>
        <w:top w:val="none" w:sz="0" w:space="0" w:color="auto"/>
        <w:left w:val="none" w:sz="0" w:space="0" w:color="auto"/>
        <w:bottom w:val="none" w:sz="0" w:space="0" w:color="auto"/>
        <w:right w:val="none" w:sz="0" w:space="0" w:color="auto"/>
      </w:divBdr>
    </w:div>
    <w:div w:id="1226838605">
      <w:bodyDiv w:val="1"/>
      <w:marLeft w:val="0"/>
      <w:marRight w:val="0"/>
      <w:marTop w:val="0"/>
      <w:marBottom w:val="0"/>
      <w:divBdr>
        <w:top w:val="none" w:sz="0" w:space="0" w:color="auto"/>
        <w:left w:val="none" w:sz="0" w:space="0" w:color="auto"/>
        <w:bottom w:val="none" w:sz="0" w:space="0" w:color="auto"/>
        <w:right w:val="none" w:sz="0" w:space="0" w:color="auto"/>
      </w:divBdr>
    </w:div>
    <w:div w:id="16245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pirlot@uclouvain.be"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6ADB0A-9258-0E4F-B470-96CB127658F7}" type="doc">
      <dgm:prSet loTypeId="urn:microsoft.com/office/officeart/2005/8/layout/process1" loCatId="" qsTypeId="urn:microsoft.com/office/officeart/2005/8/quickstyle/simple1" qsCatId="simple" csTypeId="urn:microsoft.com/office/officeart/2005/8/colors/accent1_2" csCatId="accent1" phldr="1"/>
      <dgm:spPr/>
    </dgm:pt>
    <dgm:pt modelId="{AD2D7C90-84ED-694D-AE34-A35B7EC1B6B1}">
      <dgm:prSet phldrT="[Text]"/>
      <dgm:spPr/>
      <dgm:t>
        <a:bodyPr/>
        <a:lstStyle/>
        <a:p>
          <a:r>
            <a:rPr lang="en-US"/>
            <a:t>Cause</a:t>
          </a:r>
        </a:p>
      </dgm:t>
    </dgm:pt>
    <dgm:pt modelId="{0C841B54-D5A9-1040-96E3-99A60F21EDF8}" type="parTrans" cxnId="{BD68F6C7-9C90-2E4C-ABBF-908E2A339DAC}">
      <dgm:prSet/>
      <dgm:spPr/>
      <dgm:t>
        <a:bodyPr/>
        <a:lstStyle/>
        <a:p>
          <a:endParaRPr lang="en-US"/>
        </a:p>
      </dgm:t>
    </dgm:pt>
    <dgm:pt modelId="{48229AD4-4ADB-6C45-B9D9-2776A09F0852}" type="sibTrans" cxnId="{BD68F6C7-9C90-2E4C-ABBF-908E2A339DAC}">
      <dgm:prSet/>
      <dgm:spPr/>
      <dgm:t>
        <a:bodyPr/>
        <a:lstStyle/>
        <a:p>
          <a:endParaRPr lang="en-US"/>
        </a:p>
      </dgm:t>
    </dgm:pt>
    <dgm:pt modelId="{98246C43-A8A7-4C4E-8D9B-7090D3E6A5E1}">
      <dgm:prSet phldrT="[Text]"/>
      <dgm:spPr/>
      <dgm:t>
        <a:bodyPr/>
        <a:lstStyle/>
        <a:p>
          <a:r>
            <a:rPr lang="en-US"/>
            <a:t>Rest of causal chain</a:t>
          </a:r>
        </a:p>
        <a:p>
          <a:r>
            <a:rPr lang="en-US"/>
            <a:t>(not investigated)</a:t>
          </a:r>
        </a:p>
      </dgm:t>
    </dgm:pt>
    <dgm:pt modelId="{CDC71B4E-C9AD-7F42-AB88-22D69EBBBDEA}" type="parTrans" cxnId="{D9778141-990A-2844-AD43-EB64F9146283}">
      <dgm:prSet/>
      <dgm:spPr/>
      <dgm:t>
        <a:bodyPr/>
        <a:lstStyle/>
        <a:p>
          <a:endParaRPr lang="en-US"/>
        </a:p>
      </dgm:t>
    </dgm:pt>
    <dgm:pt modelId="{7FA919AC-6073-8248-9006-B0FEBE4662D9}" type="sibTrans" cxnId="{D9778141-990A-2844-AD43-EB64F9146283}">
      <dgm:prSet/>
      <dgm:spPr/>
      <dgm:t>
        <a:bodyPr/>
        <a:lstStyle/>
        <a:p>
          <a:endParaRPr lang="en-US"/>
        </a:p>
      </dgm:t>
    </dgm:pt>
    <dgm:pt modelId="{8FFE59DB-9366-164C-92B4-A664149ABA4D}">
      <dgm:prSet phldrT="[Text]"/>
      <dgm:spPr/>
      <dgm:t>
        <a:bodyPr/>
        <a:lstStyle/>
        <a:p>
          <a:r>
            <a:rPr lang="en-US"/>
            <a:t>Outcome</a:t>
          </a:r>
        </a:p>
      </dgm:t>
    </dgm:pt>
    <dgm:pt modelId="{8C07E43B-C29C-EE41-95EB-0DF4B3CFB045}" type="parTrans" cxnId="{73527690-CBC3-5044-8CB9-06996BB3AF51}">
      <dgm:prSet/>
      <dgm:spPr/>
      <dgm:t>
        <a:bodyPr/>
        <a:lstStyle/>
        <a:p>
          <a:endParaRPr lang="en-US"/>
        </a:p>
      </dgm:t>
    </dgm:pt>
    <dgm:pt modelId="{135A6367-505E-CD42-B2D0-5A5E6BD722D3}" type="sibTrans" cxnId="{73527690-CBC3-5044-8CB9-06996BB3AF51}">
      <dgm:prSet/>
      <dgm:spPr/>
      <dgm:t>
        <a:bodyPr/>
        <a:lstStyle/>
        <a:p>
          <a:endParaRPr lang="en-US"/>
        </a:p>
      </dgm:t>
    </dgm:pt>
    <dgm:pt modelId="{39CE1514-6A34-8B4B-8729-7B808614F38A}" type="pres">
      <dgm:prSet presAssocID="{8F6ADB0A-9258-0E4F-B470-96CB127658F7}" presName="Name0" presStyleCnt="0">
        <dgm:presLayoutVars>
          <dgm:dir/>
          <dgm:resizeHandles val="exact"/>
        </dgm:presLayoutVars>
      </dgm:prSet>
      <dgm:spPr/>
    </dgm:pt>
    <dgm:pt modelId="{46DAA842-2493-9C4C-9B83-856A34243041}" type="pres">
      <dgm:prSet presAssocID="{AD2D7C90-84ED-694D-AE34-A35B7EC1B6B1}" presName="node" presStyleLbl="node1" presStyleIdx="0" presStyleCnt="3">
        <dgm:presLayoutVars>
          <dgm:bulletEnabled val="1"/>
        </dgm:presLayoutVars>
      </dgm:prSet>
      <dgm:spPr/>
    </dgm:pt>
    <dgm:pt modelId="{0850D0ED-5E69-FC4A-B063-73508CD769BC}" type="pres">
      <dgm:prSet presAssocID="{48229AD4-4ADB-6C45-B9D9-2776A09F0852}" presName="sibTrans" presStyleLbl="sibTrans2D1" presStyleIdx="0" presStyleCnt="2"/>
      <dgm:spPr/>
    </dgm:pt>
    <dgm:pt modelId="{D461DCD9-7822-104B-A2D0-47301EE180D6}" type="pres">
      <dgm:prSet presAssocID="{48229AD4-4ADB-6C45-B9D9-2776A09F0852}" presName="connectorText" presStyleLbl="sibTrans2D1" presStyleIdx="0" presStyleCnt="2"/>
      <dgm:spPr/>
    </dgm:pt>
    <dgm:pt modelId="{469AB2B1-4430-5C47-AFD6-1B86A791CECB}" type="pres">
      <dgm:prSet presAssocID="{98246C43-A8A7-4C4E-8D9B-7090D3E6A5E1}" presName="node" presStyleLbl="node1" presStyleIdx="1" presStyleCnt="3">
        <dgm:presLayoutVars>
          <dgm:bulletEnabled val="1"/>
        </dgm:presLayoutVars>
      </dgm:prSet>
      <dgm:spPr/>
    </dgm:pt>
    <dgm:pt modelId="{DDA2F428-B538-7B4E-AAC5-A9FE5B3335FB}" type="pres">
      <dgm:prSet presAssocID="{7FA919AC-6073-8248-9006-B0FEBE4662D9}" presName="sibTrans" presStyleLbl="sibTrans2D1" presStyleIdx="1" presStyleCnt="2"/>
      <dgm:spPr/>
    </dgm:pt>
    <dgm:pt modelId="{F9BECA96-47BC-BE46-841C-EBB44BBA66F0}" type="pres">
      <dgm:prSet presAssocID="{7FA919AC-6073-8248-9006-B0FEBE4662D9}" presName="connectorText" presStyleLbl="sibTrans2D1" presStyleIdx="1" presStyleCnt="2"/>
      <dgm:spPr/>
    </dgm:pt>
    <dgm:pt modelId="{0AE3DBAF-DC53-2F42-AD31-C802CD34FB76}" type="pres">
      <dgm:prSet presAssocID="{8FFE59DB-9366-164C-92B4-A664149ABA4D}" presName="node" presStyleLbl="node1" presStyleIdx="2" presStyleCnt="3">
        <dgm:presLayoutVars>
          <dgm:bulletEnabled val="1"/>
        </dgm:presLayoutVars>
      </dgm:prSet>
      <dgm:spPr/>
    </dgm:pt>
  </dgm:ptLst>
  <dgm:cxnLst>
    <dgm:cxn modelId="{011BD83D-6834-4371-B263-3067864F4CA2}" type="presOf" srcId="{8FFE59DB-9366-164C-92B4-A664149ABA4D}" destId="{0AE3DBAF-DC53-2F42-AD31-C802CD34FB76}" srcOrd="0" destOrd="0" presId="urn:microsoft.com/office/officeart/2005/8/layout/process1"/>
    <dgm:cxn modelId="{EB2F0D3F-2698-4052-A894-8F57A152E035}" type="presOf" srcId="{48229AD4-4ADB-6C45-B9D9-2776A09F0852}" destId="{0850D0ED-5E69-FC4A-B063-73508CD769BC}" srcOrd="0" destOrd="0" presId="urn:microsoft.com/office/officeart/2005/8/layout/process1"/>
    <dgm:cxn modelId="{D9778141-990A-2844-AD43-EB64F9146283}" srcId="{8F6ADB0A-9258-0E4F-B470-96CB127658F7}" destId="{98246C43-A8A7-4C4E-8D9B-7090D3E6A5E1}" srcOrd="1" destOrd="0" parTransId="{CDC71B4E-C9AD-7F42-AB88-22D69EBBBDEA}" sibTransId="{7FA919AC-6073-8248-9006-B0FEBE4662D9}"/>
    <dgm:cxn modelId="{C0BB8C4A-3677-43CF-AD9F-EDC501A15FD4}" type="presOf" srcId="{7FA919AC-6073-8248-9006-B0FEBE4662D9}" destId="{DDA2F428-B538-7B4E-AAC5-A9FE5B3335FB}" srcOrd="0" destOrd="0" presId="urn:microsoft.com/office/officeart/2005/8/layout/process1"/>
    <dgm:cxn modelId="{B704FA67-29A8-4999-A254-723D1C371B85}" type="presOf" srcId="{7FA919AC-6073-8248-9006-B0FEBE4662D9}" destId="{F9BECA96-47BC-BE46-841C-EBB44BBA66F0}" srcOrd="1" destOrd="0" presId="urn:microsoft.com/office/officeart/2005/8/layout/process1"/>
    <dgm:cxn modelId="{73527690-CBC3-5044-8CB9-06996BB3AF51}" srcId="{8F6ADB0A-9258-0E4F-B470-96CB127658F7}" destId="{8FFE59DB-9366-164C-92B4-A664149ABA4D}" srcOrd="2" destOrd="0" parTransId="{8C07E43B-C29C-EE41-95EB-0DF4B3CFB045}" sibTransId="{135A6367-505E-CD42-B2D0-5A5E6BD722D3}"/>
    <dgm:cxn modelId="{E95D10B2-2C69-4A1E-8B90-155979F50D2F}" type="presOf" srcId="{AD2D7C90-84ED-694D-AE34-A35B7EC1B6B1}" destId="{46DAA842-2493-9C4C-9B83-856A34243041}" srcOrd="0" destOrd="0" presId="urn:microsoft.com/office/officeart/2005/8/layout/process1"/>
    <dgm:cxn modelId="{FFB623BA-C151-4EF5-B3CB-9C11B35B524B}" type="presOf" srcId="{48229AD4-4ADB-6C45-B9D9-2776A09F0852}" destId="{D461DCD9-7822-104B-A2D0-47301EE180D6}" srcOrd="1" destOrd="0" presId="urn:microsoft.com/office/officeart/2005/8/layout/process1"/>
    <dgm:cxn modelId="{BD68F6C7-9C90-2E4C-ABBF-908E2A339DAC}" srcId="{8F6ADB0A-9258-0E4F-B470-96CB127658F7}" destId="{AD2D7C90-84ED-694D-AE34-A35B7EC1B6B1}" srcOrd="0" destOrd="0" parTransId="{0C841B54-D5A9-1040-96E3-99A60F21EDF8}" sibTransId="{48229AD4-4ADB-6C45-B9D9-2776A09F0852}"/>
    <dgm:cxn modelId="{906DDDD0-FEE5-4FBF-8A09-A707DD9D030C}" type="presOf" srcId="{8F6ADB0A-9258-0E4F-B470-96CB127658F7}" destId="{39CE1514-6A34-8B4B-8729-7B808614F38A}" srcOrd="0" destOrd="0" presId="urn:microsoft.com/office/officeart/2005/8/layout/process1"/>
    <dgm:cxn modelId="{3578F5D6-CA1C-419B-85C7-2F03D0C05D54}" type="presOf" srcId="{98246C43-A8A7-4C4E-8D9B-7090D3E6A5E1}" destId="{469AB2B1-4430-5C47-AFD6-1B86A791CECB}" srcOrd="0" destOrd="0" presId="urn:microsoft.com/office/officeart/2005/8/layout/process1"/>
    <dgm:cxn modelId="{A7537F48-12EE-49AA-84A5-E9BF57C935A9}" type="presParOf" srcId="{39CE1514-6A34-8B4B-8729-7B808614F38A}" destId="{46DAA842-2493-9C4C-9B83-856A34243041}" srcOrd="0" destOrd="0" presId="urn:microsoft.com/office/officeart/2005/8/layout/process1"/>
    <dgm:cxn modelId="{6469C124-EC3A-47EE-9447-B167983806D9}" type="presParOf" srcId="{39CE1514-6A34-8B4B-8729-7B808614F38A}" destId="{0850D0ED-5E69-FC4A-B063-73508CD769BC}" srcOrd="1" destOrd="0" presId="urn:microsoft.com/office/officeart/2005/8/layout/process1"/>
    <dgm:cxn modelId="{E105AF4C-ACDA-4ED2-AF24-279B9A13D865}" type="presParOf" srcId="{0850D0ED-5E69-FC4A-B063-73508CD769BC}" destId="{D461DCD9-7822-104B-A2D0-47301EE180D6}" srcOrd="0" destOrd="0" presId="urn:microsoft.com/office/officeart/2005/8/layout/process1"/>
    <dgm:cxn modelId="{5C8766D0-6ED6-4C48-B3DD-3859CD7496F7}" type="presParOf" srcId="{39CE1514-6A34-8B4B-8729-7B808614F38A}" destId="{469AB2B1-4430-5C47-AFD6-1B86A791CECB}" srcOrd="2" destOrd="0" presId="urn:microsoft.com/office/officeart/2005/8/layout/process1"/>
    <dgm:cxn modelId="{97C616A2-0855-4616-A218-5D302CC0D639}" type="presParOf" srcId="{39CE1514-6A34-8B4B-8729-7B808614F38A}" destId="{DDA2F428-B538-7B4E-AAC5-A9FE5B3335FB}" srcOrd="3" destOrd="0" presId="urn:microsoft.com/office/officeart/2005/8/layout/process1"/>
    <dgm:cxn modelId="{B91E8170-1936-42F0-B800-983323A2BAAC}" type="presParOf" srcId="{DDA2F428-B538-7B4E-AAC5-A9FE5B3335FB}" destId="{F9BECA96-47BC-BE46-841C-EBB44BBA66F0}" srcOrd="0" destOrd="0" presId="urn:microsoft.com/office/officeart/2005/8/layout/process1"/>
    <dgm:cxn modelId="{B62B2022-F0DD-44CC-82D2-47CC9374F4DD}" type="presParOf" srcId="{39CE1514-6A34-8B4B-8729-7B808614F38A}" destId="{0AE3DBAF-DC53-2F42-AD31-C802CD34FB76}"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DAA842-2493-9C4C-9B83-856A34243041}">
      <dsp:nvSpPr>
        <dsp:cNvPr id="0" name=""/>
        <dsp:cNvSpPr/>
      </dsp:nvSpPr>
      <dsp:spPr>
        <a:xfrm>
          <a:off x="4822" y="159595"/>
          <a:ext cx="1441251" cy="13511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Cause</a:t>
          </a:r>
        </a:p>
      </dsp:txBody>
      <dsp:txXfrm>
        <a:off x="44397" y="199170"/>
        <a:ext cx="1362101" cy="1272023"/>
      </dsp:txXfrm>
    </dsp:sp>
    <dsp:sp modelId="{0850D0ED-5E69-FC4A-B063-73508CD769BC}">
      <dsp:nvSpPr>
        <dsp:cNvPr id="0" name=""/>
        <dsp:cNvSpPr/>
      </dsp:nvSpPr>
      <dsp:spPr>
        <a:xfrm>
          <a:off x="1590198" y="656466"/>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90198" y="727952"/>
        <a:ext cx="213882" cy="214458"/>
      </dsp:txXfrm>
    </dsp:sp>
    <dsp:sp modelId="{469AB2B1-4430-5C47-AFD6-1B86A791CECB}">
      <dsp:nvSpPr>
        <dsp:cNvPr id="0" name=""/>
        <dsp:cNvSpPr/>
      </dsp:nvSpPr>
      <dsp:spPr>
        <a:xfrm>
          <a:off x="2022574" y="159595"/>
          <a:ext cx="1441251" cy="13511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Rest of causal chain</a:t>
          </a:r>
        </a:p>
        <a:p>
          <a:pPr marL="0" lvl="0" indent="0" algn="ctr" defTabSz="800100">
            <a:lnSpc>
              <a:spcPct val="90000"/>
            </a:lnSpc>
            <a:spcBef>
              <a:spcPct val="0"/>
            </a:spcBef>
            <a:spcAft>
              <a:spcPct val="35000"/>
            </a:spcAft>
            <a:buNone/>
          </a:pPr>
          <a:r>
            <a:rPr lang="en-US" sz="1800" kern="1200"/>
            <a:t>(not investigated)</a:t>
          </a:r>
        </a:p>
      </dsp:txBody>
      <dsp:txXfrm>
        <a:off x="2062149" y="199170"/>
        <a:ext cx="1362101" cy="1272023"/>
      </dsp:txXfrm>
    </dsp:sp>
    <dsp:sp modelId="{DDA2F428-B538-7B4E-AAC5-A9FE5B3335FB}">
      <dsp:nvSpPr>
        <dsp:cNvPr id="0" name=""/>
        <dsp:cNvSpPr/>
      </dsp:nvSpPr>
      <dsp:spPr>
        <a:xfrm>
          <a:off x="3607950" y="656466"/>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607950" y="727952"/>
        <a:ext cx="213882" cy="214458"/>
      </dsp:txXfrm>
    </dsp:sp>
    <dsp:sp modelId="{0AE3DBAF-DC53-2F42-AD31-C802CD34FB76}">
      <dsp:nvSpPr>
        <dsp:cNvPr id="0" name=""/>
        <dsp:cNvSpPr/>
      </dsp:nvSpPr>
      <dsp:spPr>
        <a:xfrm>
          <a:off x="4040326" y="159595"/>
          <a:ext cx="1441251" cy="13511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Outcome</a:t>
          </a:r>
        </a:p>
      </dsp:txBody>
      <dsp:txXfrm>
        <a:off x="4079901" y="199170"/>
        <a:ext cx="1362101" cy="12720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968B-BC3D-3E48-B941-DF9B3301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8602</Words>
  <Characters>49038</Characters>
  <Application>Microsoft Office Word</Application>
  <DocSecurity>0</DocSecurity>
  <Lines>408</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2019-03-13T13:44:00Z</cp:lastPrinted>
  <dcterms:created xsi:type="dcterms:W3CDTF">2019-04-30T09:00:00Z</dcterms:created>
  <dcterms:modified xsi:type="dcterms:W3CDTF">2019-04-30T09:00:00Z</dcterms:modified>
</cp:coreProperties>
</file>