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67" w:rsidRPr="002526E1" w:rsidRDefault="00F82B98" w:rsidP="00A5556D">
      <w:pPr>
        <w:spacing w:after="0" w:line="240" w:lineRule="auto"/>
        <w:contextualSpacing/>
        <w:jc w:val="both"/>
        <w:rPr>
          <w:rFonts w:ascii="Arial" w:hAnsi="Arial" w:cs="Arial"/>
          <w:b/>
        </w:rPr>
      </w:pPr>
      <w:bookmarkStart w:id="0" w:name="_GoBack"/>
      <w:r w:rsidRPr="00F82B98">
        <w:rPr>
          <w:rFonts w:ascii="Arial" w:hAnsi="Arial" w:cs="Arial"/>
          <w:b/>
        </w:rPr>
        <w:t>People get ready!  The European Union (Withdrawal) Act and the incorporation of EU Law into UK Law</w:t>
      </w:r>
    </w:p>
    <w:p w:rsidR="00A5556D" w:rsidRPr="002526E1" w:rsidRDefault="00A5556D" w:rsidP="00A5556D">
      <w:pPr>
        <w:spacing w:after="0" w:line="240" w:lineRule="auto"/>
        <w:contextualSpacing/>
        <w:jc w:val="both"/>
        <w:rPr>
          <w:rFonts w:ascii="Arial" w:hAnsi="Arial" w:cs="Arial"/>
          <w:b/>
        </w:rPr>
      </w:pPr>
    </w:p>
    <w:p w:rsidR="00A5556D" w:rsidRPr="00F82B98" w:rsidRDefault="00F82B98" w:rsidP="00A5556D">
      <w:pPr>
        <w:spacing w:after="0" w:line="240" w:lineRule="auto"/>
        <w:contextualSpacing/>
        <w:jc w:val="both"/>
        <w:rPr>
          <w:rFonts w:ascii="Arial" w:hAnsi="Arial" w:cs="Arial"/>
        </w:rPr>
      </w:pPr>
      <w:r w:rsidRPr="00F82B98">
        <w:rPr>
          <w:rFonts w:ascii="Arial" w:hAnsi="Arial" w:cs="Arial"/>
          <w:b/>
        </w:rPr>
        <w:t>Richard Lang</w:t>
      </w:r>
      <w:r>
        <w:rPr>
          <w:rStyle w:val="FootnoteReference"/>
          <w:rFonts w:ascii="Arial" w:hAnsi="Arial" w:cs="Arial"/>
          <w:b/>
        </w:rPr>
        <w:footnoteReference w:id="1"/>
      </w:r>
    </w:p>
    <w:p w:rsidR="00F82B98" w:rsidRDefault="00F82B98" w:rsidP="00A5556D">
      <w:pPr>
        <w:spacing w:after="0" w:line="240" w:lineRule="auto"/>
        <w:contextualSpacing/>
        <w:jc w:val="both"/>
        <w:rPr>
          <w:rFonts w:ascii="Arial" w:hAnsi="Arial" w:cs="Arial"/>
        </w:rPr>
      </w:pPr>
    </w:p>
    <w:p w:rsidR="004F462C" w:rsidRPr="00B25EF1" w:rsidRDefault="004F462C" w:rsidP="00A5556D">
      <w:pPr>
        <w:spacing w:after="0" w:line="240" w:lineRule="auto"/>
        <w:contextualSpacing/>
        <w:jc w:val="both"/>
        <w:rPr>
          <w:rFonts w:ascii="Arial" w:hAnsi="Arial" w:cs="Arial"/>
          <w:b/>
        </w:rPr>
      </w:pPr>
      <w:r w:rsidRPr="00B25EF1">
        <w:rPr>
          <w:rFonts w:ascii="Arial" w:hAnsi="Arial" w:cs="Arial"/>
          <w:b/>
        </w:rPr>
        <w:t>Introduction</w:t>
      </w:r>
    </w:p>
    <w:p w:rsidR="004F462C" w:rsidRDefault="004F462C" w:rsidP="00A5556D">
      <w:pPr>
        <w:spacing w:after="0" w:line="240" w:lineRule="auto"/>
        <w:contextualSpacing/>
        <w:jc w:val="both"/>
        <w:rPr>
          <w:rFonts w:ascii="Arial" w:hAnsi="Arial" w:cs="Arial"/>
        </w:rPr>
      </w:pPr>
    </w:p>
    <w:p w:rsidR="000C2493" w:rsidRDefault="00A5556D" w:rsidP="00A5556D">
      <w:pPr>
        <w:spacing w:after="0" w:line="240" w:lineRule="auto"/>
        <w:contextualSpacing/>
        <w:jc w:val="both"/>
        <w:rPr>
          <w:rFonts w:ascii="Arial" w:hAnsi="Arial" w:cs="Arial"/>
        </w:rPr>
      </w:pPr>
      <w:r>
        <w:rPr>
          <w:rFonts w:ascii="Arial" w:hAnsi="Arial" w:cs="Arial"/>
        </w:rPr>
        <w:t>The United Kingdom’s preeminent post-war judge, Lord Denning, famously described the arrival of European Union Law into British law a</w:t>
      </w:r>
      <w:r w:rsidR="000C2493">
        <w:rPr>
          <w:rFonts w:ascii="Arial" w:hAnsi="Arial" w:cs="Arial"/>
        </w:rPr>
        <w:t>s ‘an incoming tide:’</w:t>
      </w:r>
    </w:p>
    <w:p w:rsidR="000C2493" w:rsidRDefault="000C2493" w:rsidP="00A5556D">
      <w:pPr>
        <w:spacing w:after="0" w:line="240" w:lineRule="auto"/>
        <w:contextualSpacing/>
        <w:jc w:val="both"/>
        <w:rPr>
          <w:rFonts w:ascii="Arial" w:hAnsi="Arial" w:cs="Arial"/>
        </w:rPr>
      </w:pPr>
    </w:p>
    <w:p w:rsidR="000C2493" w:rsidRDefault="000C2493" w:rsidP="000C2493">
      <w:pPr>
        <w:spacing w:after="0" w:line="240" w:lineRule="auto"/>
        <w:ind w:firstLine="720"/>
        <w:contextualSpacing/>
        <w:jc w:val="both"/>
        <w:rPr>
          <w:rFonts w:ascii="Arial" w:hAnsi="Arial" w:cs="Arial"/>
        </w:rPr>
      </w:pPr>
      <w:r w:rsidRPr="000C2493">
        <w:rPr>
          <w:rFonts w:ascii="Arial" w:hAnsi="Arial" w:cs="Arial"/>
          <w:i/>
        </w:rPr>
        <w:t>It flows into the estuaries and up the rivers.  It cannot be held back.</w:t>
      </w:r>
      <w:r>
        <w:rPr>
          <w:rStyle w:val="FootnoteReference"/>
          <w:rFonts w:ascii="Arial" w:hAnsi="Arial" w:cs="Arial"/>
        </w:rPr>
        <w:footnoteReference w:id="2"/>
      </w:r>
    </w:p>
    <w:p w:rsidR="000C2493" w:rsidRDefault="000C2493" w:rsidP="00A5556D">
      <w:pPr>
        <w:spacing w:after="0" w:line="240" w:lineRule="auto"/>
        <w:contextualSpacing/>
        <w:jc w:val="both"/>
        <w:rPr>
          <w:rFonts w:ascii="Arial" w:hAnsi="Arial" w:cs="Arial"/>
        </w:rPr>
      </w:pPr>
    </w:p>
    <w:p w:rsidR="00A5556D" w:rsidRDefault="00A5556D" w:rsidP="00A5556D">
      <w:pPr>
        <w:spacing w:after="0" w:line="240" w:lineRule="auto"/>
        <w:contextualSpacing/>
        <w:jc w:val="both"/>
        <w:rPr>
          <w:rFonts w:ascii="Arial" w:hAnsi="Arial" w:cs="Arial"/>
        </w:rPr>
      </w:pPr>
      <w:r>
        <w:rPr>
          <w:rFonts w:ascii="Arial" w:hAnsi="Arial" w:cs="Arial"/>
        </w:rPr>
        <w:t xml:space="preserve">While commenting on the European Communities Act 1972, the legislative stopcock which </w:t>
      </w:r>
      <w:r w:rsidR="00EB3E1C">
        <w:rPr>
          <w:rFonts w:ascii="Arial" w:hAnsi="Arial" w:cs="Arial"/>
        </w:rPr>
        <w:t>attempted to govern this apparent flood</w:t>
      </w:r>
      <w:r>
        <w:rPr>
          <w:rFonts w:ascii="Arial" w:hAnsi="Arial" w:cs="Arial"/>
        </w:rPr>
        <w:t xml:space="preserve">, Professor Hood Phillips </w:t>
      </w:r>
      <w:r w:rsidR="002526E1">
        <w:rPr>
          <w:rFonts w:ascii="Arial" w:hAnsi="Arial" w:cs="Arial"/>
        </w:rPr>
        <w:t>noted in 1979</w:t>
      </w:r>
      <w:r w:rsidR="000C2493">
        <w:rPr>
          <w:rFonts w:ascii="Arial" w:hAnsi="Arial" w:cs="Arial"/>
        </w:rPr>
        <w:t xml:space="preserve"> that the incoming tide had rea</w:t>
      </w:r>
      <w:r w:rsidR="00A07983">
        <w:rPr>
          <w:rFonts w:ascii="Arial" w:hAnsi="Arial" w:cs="Arial"/>
        </w:rPr>
        <w:t>ched the Palace of Westminster.</w:t>
      </w:r>
      <w:bookmarkStart w:id="1" w:name="O_Hood_Phillips_Westminster"/>
      <w:r w:rsidR="00B53672">
        <w:rPr>
          <w:rStyle w:val="FootnoteReference"/>
          <w:rFonts w:ascii="Arial" w:hAnsi="Arial" w:cs="Arial"/>
        </w:rPr>
        <w:footnoteReference w:id="3"/>
      </w:r>
      <w:bookmarkEnd w:id="1"/>
      <w:r w:rsidR="00A07983">
        <w:rPr>
          <w:rFonts w:ascii="Arial" w:hAnsi="Arial" w:cs="Arial"/>
        </w:rPr>
        <w:t xml:space="preserve">  F</w:t>
      </w:r>
      <w:r w:rsidR="00DC0A5A">
        <w:rPr>
          <w:rFonts w:ascii="Arial" w:hAnsi="Arial" w:cs="Arial"/>
        </w:rPr>
        <w:t xml:space="preserve">inally, </w:t>
      </w:r>
      <w:r w:rsidR="00B53672">
        <w:rPr>
          <w:rFonts w:ascii="Arial" w:hAnsi="Arial" w:cs="Arial"/>
        </w:rPr>
        <w:t xml:space="preserve">in 1980, </w:t>
      </w:r>
      <w:r w:rsidR="00DC0A5A">
        <w:rPr>
          <w:rFonts w:ascii="Arial" w:hAnsi="Arial" w:cs="Arial"/>
        </w:rPr>
        <w:t xml:space="preserve">while discussing the discrimination case of </w:t>
      </w:r>
      <w:proofErr w:type="spellStart"/>
      <w:r w:rsidR="00DC0A5A" w:rsidRPr="00B53672">
        <w:rPr>
          <w:rFonts w:ascii="Arial" w:hAnsi="Arial" w:cs="Arial"/>
          <w:i/>
        </w:rPr>
        <w:t>Macarthys</w:t>
      </w:r>
      <w:proofErr w:type="spellEnd"/>
      <w:r w:rsidR="00DC0A5A" w:rsidRPr="00B53672">
        <w:rPr>
          <w:rFonts w:ascii="Arial" w:hAnsi="Arial" w:cs="Arial"/>
          <w:i/>
        </w:rPr>
        <w:t xml:space="preserve"> v Smith</w:t>
      </w:r>
      <w:r w:rsidR="00822D11">
        <w:rPr>
          <w:rFonts w:ascii="Arial" w:hAnsi="Arial" w:cs="Arial"/>
        </w:rPr>
        <w:t xml:space="preserve"> (another Denning appearance),</w:t>
      </w:r>
      <w:bookmarkStart w:id="2" w:name="Macarthys_v_Smith"/>
      <w:r w:rsidR="00FE6F1C">
        <w:rPr>
          <w:rStyle w:val="FootnoteReference"/>
          <w:rFonts w:ascii="Arial" w:hAnsi="Arial" w:cs="Arial"/>
        </w:rPr>
        <w:footnoteReference w:id="4"/>
      </w:r>
      <w:bookmarkEnd w:id="2"/>
      <w:r w:rsidR="00DC0A5A">
        <w:rPr>
          <w:rFonts w:ascii="Arial" w:hAnsi="Arial" w:cs="Arial"/>
        </w:rPr>
        <w:t xml:space="preserve"> </w:t>
      </w:r>
      <w:r w:rsidR="00B53672">
        <w:rPr>
          <w:rFonts w:ascii="Arial" w:hAnsi="Arial" w:cs="Arial"/>
        </w:rPr>
        <w:t>he declared</w:t>
      </w:r>
      <w:r w:rsidR="0097193A">
        <w:rPr>
          <w:rFonts w:ascii="Arial" w:hAnsi="Arial" w:cs="Arial"/>
        </w:rPr>
        <w:t>: ‘High tide in the Strand</w:t>
      </w:r>
      <w:r>
        <w:rPr>
          <w:rFonts w:ascii="Arial" w:hAnsi="Arial" w:cs="Arial"/>
        </w:rPr>
        <w:t>.</w:t>
      </w:r>
      <w:r w:rsidR="0097193A">
        <w:rPr>
          <w:rFonts w:ascii="Arial" w:hAnsi="Arial" w:cs="Arial"/>
        </w:rPr>
        <w:t>’</w:t>
      </w:r>
      <w:r w:rsidR="00497358">
        <w:rPr>
          <w:rStyle w:val="FootnoteReference"/>
          <w:rFonts w:ascii="Arial" w:hAnsi="Arial" w:cs="Arial"/>
        </w:rPr>
        <w:footnoteReference w:id="5"/>
      </w:r>
      <w:r>
        <w:rPr>
          <w:rFonts w:ascii="Arial" w:hAnsi="Arial" w:cs="Arial"/>
        </w:rPr>
        <w:t xml:space="preserve">  Given the presumed unidirectional nature of the influx of EU Law, it might have been thought that Denning’s tidal metaphor was inappropriate.  However, following the result of 2016’s EU referendum, it now appears that we must add prognostication to the already considerable list of the famous Law Lord’s attributes.</w:t>
      </w:r>
    </w:p>
    <w:p w:rsidR="00B25EF1" w:rsidRDefault="00B25EF1" w:rsidP="00A5556D">
      <w:pPr>
        <w:spacing w:after="0" w:line="240" w:lineRule="auto"/>
        <w:contextualSpacing/>
        <w:jc w:val="both"/>
        <w:rPr>
          <w:rFonts w:ascii="Arial" w:hAnsi="Arial" w:cs="Arial"/>
        </w:rPr>
      </w:pPr>
    </w:p>
    <w:p w:rsidR="00834360" w:rsidRDefault="00B12FB4" w:rsidP="00AF060B">
      <w:pPr>
        <w:spacing w:after="0" w:line="240" w:lineRule="auto"/>
        <w:contextualSpacing/>
        <w:jc w:val="both"/>
        <w:rPr>
          <w:rFonts w:ascii="Arial" w:hAnsi="Arial" w:cs="Arial"/>
        </w:rPr>
      </w:pPr>
      <w:r>
        <w:rPr>
          <w:rFonts w:ascii="Arial" w:hAnsi="Arial" w:cs="Arial"/>
        </w:rPr>
        <w:t xml:space="preserve">The United Kingdom’s withdrawal from the EU necessitates the repealing of the </w:t>
      </w:r>
      <w:r w:rsidR="00834360">
        <w:rPr>
          <w:rFonts w:ascii="Arial" w:hAnsi="Arial" w:cs="Arial"/>
        </w:rPr>
        <w:t>European Communities Act 1972, but the statute by which this was to be achieved has had a most lengthy gestation.  A</w:t>
      </w:r>
      <w:r w:rsidR="00F44AEA">
        <w:rPr>
          <w:rFonts w:ascii="Arial" w:hAnsi="Arial" w:cs="Arial"/>
        </w:rPr>
        <w:t>fter some one thousand four hundred amendments, a record in recent times, and two hundred and fifty hours of Parliamentary debate,</w:t>
      </w:r>
      <w:r w:rsidR="00E810EA">
        <w:rPr>
          <w:rStyle w:val="FootnoteReference"/>
          <w:rFonts w:ascii="Arial" w:hAnsi="Arial" w:cs="Arial"/>
        </w:rPr>
        <w:footnoteReference w:id="6"/>
      </w:r>
      <w:r w:rsidR="00F44AEA">
        <w:rPr>
          <w:rFonts w:ascii="Arial" w:hAnsi="Arial" w:cs="Arial"/>
        </w:rPr>
        <w:t xml:space="preserve"> </w:t>
      </w:r>
      <w:r w:rsidR="00AF060B" w:rsidRPr="00AF060B">
        <w:rPr>
          <w:rFonts w:ascii="Arial" w:hAnsi="Arial" w:cs="Arial"/>
        </w:rPr>
        <w:t xml:space="preserve">Royal Assent was </w:t>
      </w:r>
      <w:r w:rsidR="00F44AEA">
        <w:rPr>
          <w:rFonts w:ascii="Arial" w:hAnsi="Arial" w:cs="Arial"/>
        </w:rPr>
        <w:t xml:space="preserve">finally </w:t>
      </w:r>
      <w:r w:rsidR="00AF060B" w:rsidRPr="00AF060B">
        <w:rPr>
          <w:rFonts w:ascii="Arial" w:hAnsi="Arial" w:cs="Arial"/>
        </w:rPr>
        <w:t>given to the European Union (Withdrawal) Act</w:t>
      </w:r>
      <w:r w:rsidR="00FA5129">
        <w:rPr>
          <w:rFonts w:ascii="Arial" w:hAnsi="Arial" w:cs="Arial"/>
        </w:rPr>
        <w:t xml:space="preserve"> </w:t>
      </w:r>
      <w:r w:rsidR="00AF060B" w:rsidRPr="00AF060B">
        <w:rPr>
          <w:rFonts w:ascii="Arial" w:hAnsi="Arial" w:cs="Arial"/>
        </w:rPr>
        <w:t>on 26 June 2018</w:t>
      </w:r>
      <w:r w:rsidR="00FA5129">
        <w:rPr>
          <w:rFonts w:ascii="Arial" w:hAnsi="Arial" w:cs="Arial"/>
        </w:rPr>
        <w:t xml:space="preserve"> (henceforth: the Act or the 2018 Act)</w:t>
      </w:r>
      <w:r w:rsidR="00AF060B" w:rsidRPr="00AF060B">
        <w:rPr>
          <w:rFonts w:ascii="Arial" w:hAnsi="Arial" w:cs="Arial"/>
        </w:rPr>
        <w:t>.</w:t>
      </w:r>
      <w:r w:rsidR="00587CAD">
        <w:rPr>
          <w:rStyle w:val="FootnoteReference"/>
          <w:rFonts w:ascii="Arial" w:hAnsi="Arial" w:cs="Arial"/>
        </w:rPr>
        <w:footnoteReference w:id="7"/>
      </w:r>
      <w:r w:rsidR="00AF060B" w:rsidRPr="00AF060B">
        <w:rPr>
          <w:rFonts w:ascii="Arial" w:hAnsi="Arial" w:cs="Arial"/>
        </w:rPr>
        <w:t xml:space="preserve">  </w:t>
      </w:r>
      <w:r w:rsidR="00834360">
        <w:rPr>
          <w:rFonts w:ascii="Arial" w:hAnsi="Arial" w:cs="Arial"/>
        </w:rPr>
        <w:t>The reason for the delay was that as well as reversing the past, the statute also needed to articulate the future.  Thus</w:t>
      </w:r>
      <w:r w:rsidR="00AF060B" w:rsidRPr="00AF060B">
        <w:rPr>
          <w:rFonts w:ascii="Arial" w:hAnsi="Arial" w:cs="Arial"/>
        </w:rPr>
        <w:t xml:space="preserve"> it was </w:t>
      </w:r>
      <w:r w:rsidR="00834360">
        <w:rPr>
          <w:rFonts w:ascii="Arial" w:hAnsi="Arial" w:cs="Arial"/>
        </w:rPr>
        <w:t>decided</w:t>
      </w:r>
      <w:r w:rsidR="00AF060B" w:rsidRPr="00AF060B">
        <w:rPr>
          <w:rFonts w:ascii="Arial" w:hAnsi="Arial" w:cs="Arial"/>
        </w:rPr>
        <w:t xml:space="preserve"> that all existing European Union Law, in its English version, would be incorporated within UK Law following Brexit.</w:t>
      </w:r>
      <w:r w:rsidR="00F44AEA">
        <w:rPr>
          <w:rFonts w:ascii="Arial" w:hAnsi="Arial" w:cs="Arial"/>
        </w:rPr>
        <w:t xml:space="preserve">  </w:t>
      </w:r>
    </w:p>
    <w:p w:rsidR="00293711" w:rsidRDefault="00293711" w:rsidP="00AF060B">
      <w:pPr>
        <w:spacing w:after="0" w:line="240" w:lineRule="auto"/>
        <w:contextualSpacing/>
        <w:jc w:val="both"/>
        <w:rPr>
          <w:rFonts w:ascii="Arial" w:hAnsi="Arial" w:cs="Arial"/>
        </w:rPr>
      </w:pPr>
    </w:p>
    <w:p w:rsidR="00293711" w:rsidRPr="00AF229D" w:rsidRDefault="007C3457" w:rsidP="00AF060B">
      <w:pPr>
        <w:spacing w:after="0" w:line="240" w:lineRule="auto"/>
        <w:contextualSpacing/>
        <w:jc w:val="both"/>
        <w:rPr>
          <w:rFonts w:ascii="Arial" w:hAnsi="Arial" w:cs="Arial"/>
          <w:b/>
          <w:lang w:val="en-US"/>
        </w:rPr>
      </w:pPr>
      <w:r w:rsidRPr="007C3457">
        <w:rPr>
          <w:rFonts w:ascii="Arial" w:hAnsi="Arial" w:cs="Arial"/>
          <w:b/>
          <w:lang w:val="en-US"/>
        </w:rPr>
        <w:t>Outline and strategy of the 2018 Act</w:t>
      </w:r>
    </w:p>
    <w:p w:rsidR="00024C55" w:rsidRPr="00AF229D" w:rsidRDefault="00024C55" w:rsidP="00AF060B">
      <w:pPr>
        <w:spacing w:after="0" w:line="240" w:lineRule="auto"/>
        <w:contextualSpacing/>
        <w:jc w:val="both"/>
        <w:rPr>
          <w:rFonts w:ascii="Arial" w:hAnsi="Arial" w:cs="Arial"/>
          <w:b/>
          <w:lang w:val="en-US"/>
        </w:rPr>
      </w:pPr>
    </w:p>
    <w:p w:rsidR="00A91D45" w:rsidRDefault="00E3411D" w:rsidP="00AF060B">
      <w:pPr>
        <w:spacing w:after="0" w:line="240" w:lineRule="auto"/>
        <w:contextualSpacing/>
        <w:jc w:val="both"/>
        <w:rPr>
          <w:rFonts w:ascii="Arial" w:hAnsi="Arial" w:cs="Arial"/>
          <w:lang w:val="en-US"/>
        </w:rPr>
      </w:pPr>
      <w:r>
        <w:rPr>
          <w:rFonts w:ascii="Arial" w:hAnsi="Arial" w:cs="Arial"/>
          <w:lang w:val="en-US"/>
        </w:rPr>
        <w:t>Reac</w:t>
      </w:r>
      <w:r w:rsidR="00024C55">
        <w:rPr>
          <w:rFonts w:ascii="Arial" w:hAnsi="Arial" w:cs="Arial"/>
          <w:lang w:val="en-US"/>
        </w:rPr>
        <w:t xml:space="preserve">tive, </w:t>
      </w:r>
      <w:r>
        <w:rPr>
          <w:rFonts w:ascii="Arial" w:hAnsi="Arial" w:cs="Arial"/>
          <w:lang w:val="en-US"/>
        </w:rPr>
        <w:t>and only partially</w:t>
      </w:r>
      <w:r w:rsidR="00024C55">
        <w:rPr>
          <w:rFonts w:ascii="Arial" w:hAnsi="Arial" w:cs="Arial"/>
          <w:lang w:val="en-US"/>
        </w:rPr>
        <w:t xml:space="preserve"> </w:t>
      </w:r>
      <w:r w:rsidR="0021205B">
        <w:rPr>
          <w:rFonts w:ascii="Arial" w:hAnsi="Arial" w:cs="Arial"/>
          <w:lang w:val="en-US"/>
        </w:rPr>
        <w:t>reassuring</w:t>
      </w:r>
      <w:r w:rsidR="00024C55">
        <w:rPr>
          <w:rFonts w:ascii="Arial" w:hAnsi="Arial" w:cs="Arial"/>
          <w:lang w:val="en-US"/>
        </w:rPr>
        <w:t xml:space="preserve">, the European Union (Withdrawal) Act 2018 </w:t>
      </w:r>
      <w:r w:rsidR="0021205B">
        <w:rPr>
          <w:rFonts w:ascii="Arial" w:hAnsi="Arial" w:cs="Arial"/>
          <w:lang w:val="en-US"/>
        </w:rPr>
        <w:t>– ‘an exceptional piece of legislation, necessitated by the extraordinary circumstances of Brexit’</w:t>
      </w:r>
      <w:bookmarkStart w:id="3" w:name="Consti_Committee_Interim_March_17_Report"/>
      <w:r>
        <w:rPr>
          <w:rStyle w:val="FootnoteReference"/>
          <w:rFonts w:ascii="Arial" w:hAnsi="Arial" w:cs="Arial"/>
          <w:lang w:val="en-US"/>
        </w:rPr>
        <w:footnoteReference w:id="8"/>
      </w:r>
      <w:bookmarkEnd w:id="3"/>
      <w:r w:rsidR="0021205B">
        <w:rPr>
          <w:rFonts w:ascii="Arial" w:hAnsi="Arial" w:cs="Arial"/>
          <w:lang w:val="en-US"/>
        </w:rPr>
        <w:t xml:space="preserve"> – serves numerous purposes</w:t>
      </w:r>
      <w:r w:rsidR="00E025F3">
        <w:rPr>
          <w:rFonts w:ascii="Arial" w:hAnsi="Arial" w:cs="Arial"/>
          <w:lang w:val="en-US"/>
        </w:rPr>
        <w:t xml:space="preserve">.  </w:t>
      </w:r>
      <w:r w:rsidR="00A91D45">
        <w:rPr>
          <w:rFonts w:ascii="Arial" w:hAnsi="Arial" w:cs="Arial"/>
          <w:lang w:val="en-US"/>
        </w:rPr>
        <w:t>In terms of overview, the Act’s own Explanatory Notes offer the following:</w:t>
      </w:r>
    </w:p>
    <w:p w:rsidR="00A91D45" w:rsidRDefault="00A91D45" w:rsidP="00AF060B">
      <w:pPr>
        <w:spacing w:after="0" w:line="240" w:lineRule="auto"/>
        <w:contextualSpacing/>
        <w:jc w:val="both"/>
        <w:rPr>
          <w:rFonts w:ascii="Arial" w:hAnsi="Arial" w:cs="Arial"/>
          <w:lang w:val="en-US"/>
        </w:rPr>
      </w:pPr>
    </w:p>
    <w:p w:rsidR="004861B1" w:rsidRDefault="007C3457">
      <w:pPr>
        <w:spacing w:after="0" w:line="240" w:lineRule="auto"/>
        <w:ind w:left="720"/>
        <w:contextualSpacing/>
        <w:rPr>
          <w:rFonts w:ascii="Arial" w:hAnsi="Arial" w:cs="Arial"/>
          <w:lang w:val="en-US"/>
        </w:rPr>
      </w:pPr>
      <w:r w:rsidRPr="007C3457">
        <w:rPr>
          <w:rFonts w:ascii="Arial" w:hAnsi="Arial" w:cs="Arial"/>
          <w:i/>
          <w:lang w:val="en-US"/>
        </w:rPr>
        <w:lastRenderedPageBreak/>
        <w:t>The Act ends the supremacy of European Union (EU) law in UK law, converts EU law as it stands at the moment of exit into domestic law, and preserves laws made in the UK to implement EU obligations…</w:t>
      </w:r>
      <w:bookmarkStart w:id="4" w:name="E_N_II"/>
      <w:r w:rsidR="00A91D45">
        <w:rPr>
          <w:rStyle w:val="FootnoteReference"/>
          <w:rFonts w:ascii="Arial" w:hAnsi="Arial" w:cs="Arial"/>
          <w:lang w:val="en-US"/>
        </w:rPr>
        <w:footnoteReference w:id="9"/>
      </w:r>
      <w:bookmarkEnd w:id="4"/>
    </w:p>
    <w:p w:rsidR="00DE65FA" w:rsidRDefault="00DE65FA" w:rsidP="00AF060B">
      <w:pPr>
        <w:spacing w:after="0" w:line="240" w:lineRule="auto"/>
        <w:contextualSpacing/>
        <w:jc w:val="both"/>
        <w:rPr>
          <w:rFonts w:ascii="Arial" w:hAnsi="Arial" w:cs="Arial"/>
          <w:lang w:val="en-US"/>
        </w:rPr>
      </w:pPr>
    </w:p>
    <w:p w:rsidR="00C43D37" w:rsidRDefault="00DE65FA" w:rsidP="00AF060B">
      <w:pPr>
        <w:spacing w:after="0" w:line="240" w:lineRule="auto"/>
        <w:contextualSpacing/>
        <w:jc w:val="both"/>
        <w:rPr>
          <w:rFonts w:ascii="Arial" w:hAnsi="Arial" w:cs="Arial"/>
          <w:lang w:val="en-US"/>
        </w:rPr>
      </w:pPr>
      <w:r>
        <w:rPr>
          <w:rFonts w:ascii="Arial" w:hAnsi="Arial" w:cs="Arial"/>
          <w:lang w:val="en-US"/>
        </w:rPr>
        <w:t>The Act further gives Ministers powers to lay statutory instruments with a view to making the country’s domestic legal system operational after Exit Day, and, assuming the signing of a Withdrawal Agreement at the end of the Article 50 process</w:t>
      </w:r>
      <w:r w:rsidR="00713330">
        <w:rPr>
          <w:rStyle w:val="FootnoteReference"/>
          <w:rFonts w:ascii="Arial" w:hAnsi="Arial" w:cs="Arial"/>
          <w:lang w:val="en-US"/>
        </w:rPr>
        <w:footnoteReference w:id="10"/>
      </w:r>
      <w:r>
        <w:rPr>
          <w:rFonts w:ascii="Arial" w:hAnsi="Arial" w:cs="Arial"/>
          <w:lang w:val="en-US"/>
        </w:rPr>
        <w:t xml:space="preserve"> and the ratifying of same – via separate statute – by Parliament,</w:t>
      </w:r>
      <w:r w:rsidR="007C4B49">
        <w:rPr>
          <w:rStyle w:val="FootnoteReference"/>
          <w:rFonts w:ascii="Arial" w:hAnsi="Arial" w:cs="Arial"/>
          <w:lang w:val="en-US"/>
        </w:rPr>
        <w:footnoteReference w:id="11"/>
      </w:r>
      <w:r>
        <w:rPr>
          <w:rFonts w:ascii="Arial" w:hAnsi="Arial" w:cs="Arial"/>
          <w:lang w:val="en-US"/>
        </w:rPr>
        <w:t xml:space="preserve"> </w:t>
      </w:r>
      <w:r w:rsidR="00C43D37">
        <w:rPr>
          <w:rFonts w:ascii="Arial" w:hAnsi="Arial" w:cs="Arial"/>
          <w:lang w:val="en-US"/>
        </w:rPr>
        <w:t>the Act also empowers Ministers to ‘implement’ this Agreement by making such further changes as may be needed to domestic law.</w:t>
      </w:r>
      <w:r w:rsidR="00BE5E5E">
        <w:rPr>
          <w:rFonts w:ascii="Arial" w:hAnsi="Arial" w:cs="Arial"/>
          <w:lang w:val="en-US"/>
        </w:rPr>
        <w:t xml:space="preserve">  Special arrangements are set out for the exercising of these powers in matters currently within the competence of the devolved authorities</w:t>
      </w:r>
      <w:r w:rsidR="00155807">
        <w:rPr>
          <w:rFonts w:ascii="Arial" w:hAnsi="Arial" w:cs="Arial"/>
          <w:lang w:val="en-US"/>
        </w:rPr>
        <w:t>, including the power on the part of Westminster Ministers to pass controversial ‘freezing’ regulations, temporarily limiting the powers of the devolved administrations</w:t>
      </w:r>
      <w:r w:rsidR="00BE5E5E">
        <w:rPr>
          <w:rFonts w:ascii="Arial" w:hAnsi="Arial" w:cs="Arial"/>
          <w:lang w:val="en-US"/>
        </w:rPr>
        <w:t xml:space="preserve">.  </w:t>
      </w:r>
    </w:p>
    <w:p w:rsidR="00C43D37" w:rsidRDefault="00C43D37" w:rsidP="00AF060B">
      <w:pPr>
        <w:spacing w:after="0" w:line="240" w:lineRule="auto"/>
        <w:contextualSpacing/>
        <w:jc w:val="both"/>
        <w:rPr>
          <w:rFonts w:ascii="Arial" w:hAnsi="Arial" w:cs="Arial"/>
          <w:lang w:val="en-US"/>
        </w:rPr>
      </w:pPr>
    </w:p>
    <w:p w:rsidR="00155807" w:rsidRDefault="00E025F3" w:rsidP="00AF060B">
      <w:pPr>
        <w:spacing w:after="0" w:line="240" w:lineRule="auto"/>
        <w:contextualSpacing/>
        <w:jc w:val="both"/>
        <w:rPr>
          <w:rFonts w:ascii="Arial" w:hAnsi="Arial" w:cs="Arial"/>
          <w:lang w:val="en-US"/>
        </w:rPr>
      </w:pPr>
      <w:r>
        <w:rPr>
          <w:rFonts w:ascii="Arial" w:hAnsi="Arial" w:cs="Arial"/>
          <w:lang w:val="en-US"/>
        </w:rPr>
        <w:t xml:space="preserve">First and foremost, </w:t>
      </w:r>
      <w:r w:rsidR="001A65FA">
        <w:rPr>
          <w:rFonts w:ascii="Arial" w:hAnsi="Arial" w:cs="Arial"/>
          <w:lang w:val="en-US"/>
        </w:rPr>
        <w:t xml:space="preserve">then, </w:t>
      </w:r>
      <w:r>
        <w:rPr>
          <w:rFonts w:ascii="Arial" w:hAnsi="Arial" w:cs="Arial"/>
          <w:lang w:val="en-US"/>
        </w:rPr>
        <w:t>that ‘masterpiece of drafting,’</w:t>
      </w:r>
      <w:r w:rsidR="0077578C">
        <w:rPr>
          <w:rStyle w:val="FootnoteReference"/>
          <w:rFonts w:ascii="Arial" w:hAnsi="Arial" w:cs="Arial"/>
          <w:lang w:val="en-US"/>
        </w:rPr>
        <w:footnoteReference w:id="12"/>
      </w:r>
      <w:r>
        <w:rPr>
          <w:rFonts w:ascii="Arial" w:hAnsi="Arial" w:cs="Arial"/>
          <w:lang w:val="en-US"/>
        </w:rPr>
        <w:t xml:space="preserve"> t</w:t>
      </w:r>
      <w:r w:rsidR="00024C55">
        <w:rPr>
          <w:rFonts w:ascii="Arial" w:hAnsi="Arial" w:cs="Arial"/>
          <w:lang w:val="en-US"/>
        </w:rPr>
        <w:t>he European Communities Act 1972 (henceforth: the 1972 Act)</w:t>
      </w:r>
      <w:r>
        <w:rPr>
          <w:rFonts w:ascii="Arial" w:hAnsi="Arial" w:cs="Arial"/>
          <w:lang w:val="en-US"/>
        </w:rPr>
        <w:t>,</w:t>
      </w:r>
      <w:r w:rsidR="00024C55">
        <w:rPr>
          <w:rFonts w:ascii="Arial" w:hAnsi="Arial" w:cs="Arial"/>
          <w:lang w:val="en-US"/>
        </w:rPr>
        <w:t xml:space="preserve"> </w:t>
      </w:r>
      <w:r>
        <w:rPr>
          <w:rFonts w:ascii="Arial" w:hAnsi="Arial" w:cs="Arial"/>
          <w:lang w:val="en-US"/>
        </w:rPr>
        <w:t xml:space="preserve">is to </w:t>
      </w:r>
      <w:r w:rsidR="0077578C">
        <w:rPr>
          <w:rFonts w:ascii="Arial" w:hAnsi="Arial" w:cs="Arial"/>
          <w:lang w:val="en-US"/>
        </w:rPr>
        <w:t>be silenced for good;</w:t>
      </w:r>
      <w:r>
        <w:rPr>
          <w:rFonts w:ascii="Arial" w:hAnsi="Arial" w:cs="Arial"/>
          <w:lang w:val="en-US"/>
        </w:rPr>
        <w:t xml:space="preserve"> s</w:t>
      </w:r>
      <w:r w:rsidR="00024C55">
        <w:rPr>
          <w:rFonts w:ascii="Arial" w:hAnsi="Arial" w:cs="Arial"/>
          <w:lang w:val="en-US"/>
        </w:rPr>
        <w:t xml:space="preserve">ection 1 </w:t>
      </w:r>
      <w:r>
        <w:rPr>
          <w:rFonts w:ascii="Arial" w:hAnsi="Arial" w:cs="Arial"/>
          <w:lang w:val="en-US"/>
        </w:rPr>
        <w:t xml:space="preserve">of the 2018 Act </w:t>
      </w:r>
      <w:r w:rsidR="00024C55">
        <w:rPr>
          <w:rFonts w:ascii="Arial" w:hAnsi="Arial" w:cs="Arial"/>
          <w:lang w:val="en-US"/>
        </w:rPr>
        <w:t xml:space="preserve">brings the 1972 Act </w:t>
      </w:r>
      <w:r w:rsidR="0077578C">
        <w:rPr>
          <w:rFonts w:ascii="Arial" w:hAnsi="Arial" w:cs="Arial"/>
          <w:lang w:val="en-US"/>
        </w:rPr>
        <w:t xml:space="preserve">to an end </w:t>
      </w:r>
      <w:r w:rsidR="00024C55">
        <w:rPr>
          <w:rFonts w:ascii="Arial" w:hAnsi="Arial" w:cs="Arial"/>
          <w:lang w:val="en-US"/>
        </w:rPr>
        <w:t>on Exit Day</w:t>
      </w:r>
      <w:r w:rsidR="00D074A4">
        <w:rPr>
          <w:rFonts w:ascii="Arial" w:hAnsi="Arial" w:cs="Arial"/>
          <w:lang w:val="en-US"/>
        </w:rPr>
        <w:t xml:space="preserve"> </w:t>
      </w:r>
      <w:r w:rsidR="00B86A12" w:rsidRPr="00155807">
        <w:rPr>
          <w:rFonts w:ascii="Arial" w:hAnsi="Arial" w:cs="Arial"/>
          <w:lang w:val="en-US"/>
        </w:rPr>
        <w:t>thu</w:t>
      </w:r>
      <w:r w:rsidR="00155807">
        <w:rPr>
          <w:rFonts w:ascii="Arial" w:hAnsi="Arial" w:cs="Arial"/>
          <w:lang w:val="en-US"/>
        </w:rPr>
        <w:t>s</w:t>
      </w:r>
    </w:p>
    <w:p w:rsidR="00155807" w:rsidRDefault="00155807" w:rsidP="00AF060B">
      <w:pPr>
        <w:spacing w:after="0" w:line="240" w:lineRule="auto"/>
        <w:contextualSpacing/>
        <w:jc w:val="both"/>
        <w:rPr>
          <w:rFonts w:ascii="Arial" w:hAnsi="Arial" w:cs="Arial"/>
          <w:lang w:val="en-US"/>
        </w:rPr>
      </w:pPr>
    </w:p>
    <w:p w:rsidR="004861B1" w:rsidRDefault="007C3457">
      <w:pPr>
        <w:spacing w:after="0" w:line="240" w:lineRule="auto"/>
        <w:ind w:left="720"/>
        <w:contextualSpacing/>
        <w:rPr>
          <w:rFonts w:ascii="Arial" w:hAnsi="Arial" w:cs="Arial"/>
          <w:i/>
          <w:lang w:val="en-US"/>
        </w:rPr>
      </w:pPr>
      <w:proofErr w:type="gramStart"/>
      <w:r w:rsidRPr="007C3457">
        <w:rPr>
          <w:rFonts w:ascii="Arial" w:hAnsi="Arial" w:cs="Arial"/>
          <w:i/>
          <w:lang w:val="en-US"/>
        </w:rPr>
        <w:t>removing</w:t>
      </w:r>
      <w:proofErr w:type="gramEnd"/>
      <w:r w:rsidRPr="007C3457">
        <w:rPr>
          <w:rFonts w:ascii="Arial" w:hAnsi="Arial" w:cs="Arial"/>
          <w:i/>
          <w:lang w:val="en-US"/>
        </w:rPr>
        <w:t xml:space="preserve"> the mechanism for the automatic flow of EU law into UK law (through section 2(1) of the [1972 Act]) and removing the power to implement EU obligations (under section 2(2)…)</w:t>
      </w:r>
      <w:r w:rsidR="00193C06">
        <w:rPr>
          <w:rStyle w:val="FootnoteReference"/>
          <w:rFonts w:ascii="Arial" w:hAnsi="Arial" w:cs="Arial"/>
          <w:i/>
          <w:lang w:val="en-US"/>
        </w:rPr>
        <w:footnoteReference w:id="13"/>
      </w:r>
    </w:p>
    <w:p w:rsidR="00155807" w:rsidRPr="00193C06" w:rsidRDefault="00155807" w:rsidP="00AF060B">
      <w:pPr>
        <w:spacing w:after="0" w:line="240" w:lineRule="auto"/>
        <w:contextualSpacing/>
        <w:jc w:val="both"/>
        <w:rPr>
          <w:rFonts w:ascii="Arial" w:hAnsi="Arial" w:cs="Arial"/>
          <w:i/>
          <w:lang w:val="en-US"/>
        </w:rPr>
      </w:pPr>
    </w:p>
    <w:p w:rsidR="00155807" w:rsidRPr="003F6B8D" w:rsidRDefault="00A068DF" w:rsidP="00AF060B">
      <w:pPr>
        <w:spacing w:after="0" w:line="240" w:lineRule="auto"/>
        <w:contextualSpacing/>
        <w:jc w:val="both"/>
        <w:rPr>
          <w:rFonts w:ascii="Arial" w:hAnsi="Arial" w:cs="Arial"/>
        </w:rPr>
      </w:pPr>
      <w:r>
        <w:rPr>
          <w:rFonts w:ascii="Arial" w:hAnsi="Arial" w:cs="Arial"/>
          <w:lang w:val="en-US"/>
        </w:rPr>
        <w:t xml:space="preserve">It is true that </w:t>
      </w:r>
      <w:r>
        <w:rPr>
          <w:rFonts w:ascii="Arial" w:hAnsi="Arial" w:cs="Arial"/>
        </w:rPr>
        <w:t>t</w:t>
      </w:r>
      <w:r w:rsidRPr="00A068DF">
        <w:rPr>
          <w:rFonts w:ascii="Arial" w:hAnsi="Arial" w:cs="Arial"/>
        </w:rPr>
        <w:t xml:space="preserve">echnically, even if the 1972 Act were not repealed, the withdrawal, on exit, of the UK from the EU Treaties would, as </w:t>
      </w:r>
      <w:r w:rsidR="00301041">
        <w:rPr>
          <w:rFonts w:ascii="Arial" w:hAnsi="Arial" w:cs="Arial"/>
        </w:rPr>
        <w:t>the eight Law Lords making up the majority</w:t>
      </w:r>
      <w:r w:rsidRPr="00A068DF">
        <w:rPr>
          <w:rFonts w:ascii="Arial" w:hAnsi="Arial" w:cs="Arial"/>
        </w:rPr>
        <w:t xml:space="preserve"> pointed out in the Supreme Court’s </w:t>
      </w:r>
      <w:r w:rsidRPr="00A068DF">
        <w:rPr>
          <w:rFonts w:ascii="Arial" w:hAnsi="Arial" w:cs="Arial"/>
          <w:i/>
        </w:rPr>
        <w:t>Miller</w:t>
      </w:r>
      <w:r w:rsidRPr="00A068DF">
        <w:rPr>
          <w:rFonts w:ascii="Arial" w:hAnsi="Arial" w:cs="Arial"/>
        </w:rPr>
        <w:t xml:space="preserve"> ruling, abrogate domestic rights created by the 1972 Act of any effect</w:t>
      </w:r>
      <w:r w:rsidR="00521AD1">
        <w:rPr>
          <w:rFonts w:ascii="Arial" w:hAnsi="Arial" w:cs="Arial"/>
        </w:rPr>
        <w:t>.</w:t>
      </w:r>
      <w:bookmarkStart w:id="5" w:name="Miller_SC"/>
      <w:r>
        <w:rPr>
          <w:rStyle w:val="FootnoteReference"/>
          <w:rFonts w:ascii="Arial" w:hAnsi="Arial" w:cs="Arial"/>
        </w:rPr>
        <w:footnoteReference w:id="14"/>
      </w:r>
      <w:bookmarkEnd w:id="5"/>
      <w:r w:rsidR="00D31870">
        <w:rPr>
          <w:rFonts w:ascii="Arial" w:hAnsi="Arial" w:cs="Arial"/>
        </w:rPr>
        <w:t xml:space="preserve"> </w:t>
      </w:r>
      <w:r w:rsidR="00521AD1">
        <w:rPr>
          <w:rFonts w:ascii="Arial" w:hAnsi="Arial" w:cs="Arial"/>
        </w:rPr>
        <w:t xml:space="preserve"> They found some assistance in a metaphor of </w:t>
      </w:r>
      <w:r w:rsidR="00521AD1" w:rsidRPr="00521AD1">
        <w:rPr>
          <w:rFonts w:ascii="Arial" w:hAnsi="Arial" w:cs="Arial"/>
          <w:lang w:val="en-US"/>
        </w:rPr>
        <w:t xml:space="preserve">Professor </w:t>
      </w:r>
      <w:proofErr w:type="spellStart"/>
      <w:r w:rsidR="00521AD1" w:rsidRPr="00521AD1">
        <w:rPr>
          <w:rFonts w:ascii="Arial" w:hAnsi="Arial" w:cs="Arial"/>
          <w:lang w:val="en-US"/>
        </w:rPr>
        <w:t>Finnis</w:t>
      </w:r>
      <w:proofErr w:type="spellEnd"/>
      <w:r w:rsidR="00521AD1">
        <w:rPr>
          <w:rFonts w:ascii="Arial" w:hAnsi="Arial" w:cs="Arial"/>
          <w:lang w:val="en-US"/>
        </w:rPr>
        <w:t xml:space="preserve">’ </w:t>
      </w:r>
      <w:r w:rsidR="00284A8C">
        <w:rPr>
          <w:rFonts w:ascii="Arial" w:hAnsi="Arial" w:cs="Arial"/>
          <w:lang w:val="en-US"/>
        </w:rPr>
        <w:t xml:space="preserve">in which </w:t>
      </w:r>
      <w:r w:rsidR="004D7904">
        <w:rPr>
          <w:rFonts w:ascii="Arial" w:hAnsi="Arial" w:cs="Arial"/>
          <w:lang w:val="en-US"/>
        </w:rPr>
        <w:t>(</w:t>
      </w:r>
      <w:r w:rsidR="00521AD1" w:rsidRPr="00521AD1">
        <w:rPr>
          <w:rFonts w:ascii="Arial" w:hAnsi="Arial" w:cs="Arial"/>
          <w:lang w:val="en-US"/>
        </w:rPr>
        <w:t xml:space="preserve">perhaps channeling Lord Denning’s aquatic </w:t>
      </w:r>
      <w:r w:rsidR="00521AD1">
        <w:rPr>
          <w:rFonts w:ascii="Arial" w:hAnsi="Arial" w:cs="Arial"/>
          <w:lang w:val="en-US"/>
        </w:rPr>
        <w:t>theme</w:t>
      </w:r>
      <w:r w:rsidR="004D7904">
        <w:rPr>
          <w:rFonts w:ascii="Arial" w:hAnsi="Arial" w:cs="Arial"/>
          <w:lang w:val="en-US"/>
        </w:rPr>
        <w:t xml:space="preserve">) he </w:t>
      </w:r>
      <w:r w:rsidR="00521AD1" w:rsidRPr="00521AD1">
        <w:rPr>
          <w:rFonts w:ascii="Arial" w:hAnsi="Arial" w:cs="Arial"/>
          <w:lang w:val="en-US"/>
        </w:rPr>
        <w:t xml:space="preserve">described </w:t>
      </w:r>
      <w:r w:rsidR="00A5139F">
        <w:rPr>
          <w:rFonts w:ascii="Arial" w:hAnsi="Arial" w:cs="Arial"/>
          <w:lang w:val="en-US"/>
        </w:rPr>
        <w:t xml:space="preserve">section 2(1) of </w:t>
      </w:r>
      <w:r w:rsidR="00521AD1" w:rsidRPr="00521AD1">
        <w:rPr>
          <w:rFonts w:ascii="Arial" w:hAnsi="Arial" w:cs="Arial"/>
          <w:lang w:val="en-US"/>
        </w:rPr>
        <w:t>the 1972 Act as a ‘conduit</w:t>
      </w:r>
      <w:r w:rsidR="00A5139F">
        <w:rPr>
          <w:rFonts w:ascii="Arial" w:hAnsi="Arial" w:cs="Arial"/>
          <w:lang w:val="en-US"/>
        </w:rPr>
        <w:t xml:space="preserve">’ pipe </w:t>
      </w:r>
      <w:r w:rsidR="00521AD1" w:rsidRPr="00521AD1">
        <w:rPr>
          <w:rFonts w:ascii="Arial" w:hAnsi="Arial" w:cs="Arial"/>
          <w:lang w:val="en-US"/>
        </w:rPr>
        <w:t>delivering EU law into the UK legal system</w:t>
      </w:r>
      <w:r w:rsidR="004D7904">
        <w:rPr>
          <w:rFonts w:ascii="Arial" w:hAnsi="Arial" w:cs="Arial"/>
        </w:rPr>
        <w:t>.</w:t>
      </w:r>
      <w:r w:rsidR="00E47D3C">
        <w:rPr>
          <w:rStyle w:val="FootnoteReference"/>
          <w:rFonts w:ascii="Arial" w:hAnsi="Arial" w:cs="Arial"/>
        </w:rPr>
        <w:footnoteReference w:id="15"/>
      </w:r>
      <w:r w:rsidR="004D7904">
        <w:rPr>
          <w:rFonts w:ascii="Arial" w:hAnsi="Arial" w:cs="Arial"/>
        </w:rPr>
        <w:t xml:space="preserve">  Withdrawal from the Treaties would empty </w:t>
      </w:r>
      <w:r w:rsidR="00D31870">
        <w:rPr>
          <w:rFonts w:ascii="Arial" w:hAnsi="Arial" w:cs="Arial"/>
        </w:rPr>
        <w:t>the conduit pipe of ‘the contents which flow through it</w:t>
      </w:r>
      <w:r w:rsidR="004D7904">
        <w:rPr>
          <w:rFonts w:ascii="Arial" w:hAnsi="Arial" w:cs="Arial"/>
        </w:rPr>
        <w:t>,</w:t>
      </w:r>
      <w:r w:rsidR="00D31870">
        <w:rPr>
          <w:rFonts w:ascii="Arial" w:hAnsi="Arial" w:cs="Arial"/>
        </w:rPr>
        <w:t>’</w:t>
      </w:r>
      <w:r w:rsidR="00D31870">
        <w:rPr>
          <w:rStyle w:val="FootnoteReference"/>
          <w:rFonts w:ascii="Arial" w:hAnsi="Arial" w:cs="Arial"/>
        </w:rPr>
        <w:footnoteReference w:id="16"/>
      </w:r>
      <w:r w:rsidR="00D31870">
        <w:rPr>
          <w:rFonts w:ascii="Arial" w:hAnsi="Arial" w:cs="Arial"/>
        </w:rPr>
        <w:t xml:space="preserve"> </w:t>
      </w:r>
      <w:r w:rsidR="003F6B8D">
        <w:rPr>
          <w:rFonts w:ascii="Arial" w:hAnsi="Arial" w:cs="Arial"/>
        </w:rPr>
        <w:t>and</w:t>
      </w:r>
      <w:r w:rsidR="00FA2090">
        <w:rPr>
          <w:rFonts w:ascii="Arial" w:hAnsi="Arial" w:cs="Arial"/>
        </w:rPr>
        <w:t xml:space="preserve"> </w:t>
      </w:r>
      <w:r w:rsidR="004D7904">
        <w:rPr>
          <w:rFonts w:ascii="Arial" w:hAnsi="Arial" w:cs="Arial"/>
        </w:rPr>
        <w:t>devalu</w:t>
      </w:r>
      <w:r w:rsidR="00FA2090">
        <w:rPr>
          <w:rFonts w:ascii="Arial" w:hAnsi="Arial" w:cs="Arial"/>
        </w:rPr>
        <w:t>e</w:t>
      </w:r>
      <w:r w:rsidR="004D7904">
        <w:rPr>
          <w:rFonts w:ascii="Arial" w:hAnsi="Arial" w:cs="Arial"/>
        </w:rPr>
        <w:t xml:space="preserve"> to nil any contents already having made the journey.</w:t>
      </w:r>
      <w:r w:rsidR="00D31870">
        <w:rPr>
          <w:rFonts w:ascii="Arial" w:hAnsi="Arial" w:cs="Arial"/>
        </w:rPr>
        <w:t xml:space="preserve"> </w:t>
      </w:r>
      <w:r w:rsidR="00FA2090">
        <w:rPr>
          <w:rFonts w:ascii="Arial" w:hAnsi="Arial" w:cs="Arial"/>
        </w:rPr>
        <w:t>By s</w:t>
      </w:r>
      <w:r w:rsidR="007B5F2E">
        <w:rPr>
          <w:rFonts w:ascii="Arial" w:hAnsi="Arial" w:cs="Arial"/>
        </w:rPr>
        <w:t>ection 1 of the 2018 Act, h</w:t>
      </w:r>
      <w:r w:rsidR="00D31870">
        <w:rPr>
          <w:rFonts w:ascii="Arial" w:hAnsi="Arial" w:cs="Arial"/>
        </w:rPr>
        <w:t>oweve</w:t>
      </w:r>
      <w:r w:rsidR="007070B9">
        <w:rPr>
          <w:rFonts w:ascii="Arial" w:hAnsi="Arial" w:cs="Arial"/>
        </w:rPr>
        <w:t>r</w:t>
      </w:r>
      <w:r w:rsidR="00FA2090">
        <w:rPr>
          <w:rFonts w:ascii="Arial" w:hAnsi="Arial" w:cs="Arial"/>
        </w:rPr>
        <w:t xml:space="preserve">, Parliament takes the </w:t>
      </w:r>
      <w:r w:rsidR="003F6B8D">
        <w:rPr>
          <w:rFonts w:ascii="Arial" w:hAnsi="Arial" w:cs="Arial"/>
        </w:rPr>
        <w:t xml:space="preserve">extra, </w:t>
      </w:r>
      <w:r w:rsidR="00EF4765">
        <w:rPr>
          <w:rFonts w:ascii="Arial" w:hAnsi="Arial" w:cs="Arial"/>
        </w:rPr>
        <w:t>final</w:t>
      </w:r>
      <w:r w:rsidR="00FA2090">
        <w:rPr>
          <w:rFonts w:ascii="Arial" w:hAnsi="Arial" w:cs="Arial"/>
        </w:rPr>
        <w:t xml:space="preserve"> precaution of </w:t>
      </w:r>
      <w:r w:rsidR="00E67458">
        <w:rPr>
          <w:rFonts w:ascii="Arial" w:hAnsi="Arial" w:cs="Arial"/>
        </w:rPr>
        <w:t xml:space="preserve">itself </w:t>
      </w:r>
      <w:r w:rsidR="00D31870">
        <w:rPr>
          <w:rFonts w:ascii="Arial" w:hAnsi="Arial" w:cs="Arial"/>
        </w:rPr>
        <w:t>terminating the ‘existence of the... pipe’</w:t>
      </w:r>
      <w:r w:rsidR="00FA2090">
        <w:rPr>
          <w:rFonts w:ascii="Arial" w:hAnsi="Arial" w:cs="Arial"/>
        </w:rPr>
        <w:t>,</w:t>
      </w:r>
      <w:r w:rsidR="00284A8C">
        <w:rPr>
          <w:rStyle w:val="FootnoteReference"/>
          <w:rFonts w:ascii="Arial" w:hAnsi="Arial" w:cs="Arial"/>
        </w:rPr>
        <w:footnoteReference w:id="17"/>
      </w:r>
      <w:r w:rsidR="00FA2090">
        <w:rPr>
          <w:rFonts w:ascii="Arial" w:hAnsi="Arial" w:cs="Arial"/>
        </w:rPr>
        <w:t xml:space="preserve"> presumably so as to </w:t>
      </w:r>
      <w:r w:rsidR="008C20F3">
        <w:rPr>
          <w:rFonts w:ascii="Arial" w:hAnsi="Arial" w:cs="Arial"/>
        </w:rPr>
        <w:t xml:space="preserve">preclude </w:t>
      </w:r>
      <w:r w:rsidR="00FA2090">
        <w:rPr>
          <w:rFonts w:ascii="Arial" w:hAnsi="Arial" w:cs="Arial"/>
        </w:rPr>
        <w:t xml:space="preserve">even the possibility of </w:t>
      </w:r>
      <w:r w:rsidR="008C20F3">
        <w:rPr>
          <w:rFonts w:ascii="Arial" w:hAnsi="Arial" w:cs="Arial"/>
        </w:rPr>
        <w:t>any future flo</w:t>
      </w:r>
      <w:r w:rsidR="00FA2090">
        <w:rPr>
          <w:rFonts w:ascii="Arial" w:hAnsi="Arial" w:cs="Arial"/>
        </w:rPr>
        <w:t>w, this act less about law and more about ‘symbolism.’</w:t>
      </w:r>
      <w:bookmarkStart w:id="6" w:name="Clifford_Chance_GRP"/>
      <w:r w:rsidR="00284A8C">
        <w:rPr>
          <w:rStyle w:val="FootnoteReference"/>
          <w:rFonts w:ascii="Arial" w:hAnsi="Arial" w:cs="Arial"/>
        </w:rPr>
        <w:footnoteReference w:id="18"/>
      </w:r>
      <w:bookmarkEnd w:id="6"/>
    </w:p>
    <w:p w:rsidR="00155807" w:rsidRPr="00155807" w:rsidRDefault="00155807" w:rsidP="00AF060B">
      <w:pPr>
        <w:spacing w:after="0" w:line="240" w:lineRule="auto"/>
        <w:contextualSpacing/>
        <w:jc w:val="both"/>
        <w:rPr>
          <w:rFonts w:ascii="Arial" w:hAnsi="Arial" w:cs="Arial"/>
          <w:lang w:val="en-US"/>
        </w:rPr>
      </w:pPr>
    </w:p>
    <w:p w:rsidR="008A4B0B" w:rsidRDefault="007C3457" w:rsidP="004D3D9F">
      <w:pPr>
        <w:spacing w:after="0" w:line="240" w:lineRule="auto"/>
        <w:contextualSpacing/>
        <w:jc w:val="both"/>
        <w:rPr>
          <w:rFonts w:ascii="Arial" w:hAnsi="Arial" w:cs="Arial"/>
        </w:rPr>
      </w:pPr>
      <w:r w:rsidRPr="007C3457">
        <w:rPr>
          <w:rFonts w:ascii="Arial" w:hAnsi="Arial" w:cs="Arial"/>
          <w:lang w:val="en-US"/>
        </w:rPr>
        <w:t>By section 2</w:t>
      </w:r>
      <w:r w:rsidR="0079036A">
        <w:rPr>
          <w:rFonts w:ascii="Arial" w:hAnsi="Arial" w:cs="Arial"/>
          <w:lang w:val="en-US"/>
        </w:rPr>
        <w:t xml:space="preserve"> of the 2018 Act</w:t>
      </w:r>
      <w:r w:rsidRPr="007C3457">
        <w:rPr>
          <w:rFonts w:ascii="Arial" w:hAnsi="Arial" w:cs="Arial"/>
          <w:lang w:val="en-US"/>
        </w:rPr>
        <w:t>, current UK legislation implementing EU law survives the UK’s withdrawal from the Union.  This is what is known as a savings clause, and is needed because ‘[g]</w:t>
      </w:r>
      <w:proofErr w:type="spellStart"/>
      <w:r w:rsidRPr="007C3457">
        <w:rPr>
          <w:rFonts w:ascii="Arial" w:hAnsi="Arial" w:cs="Arial"/>
          <w:lang w:val="en-US"/>
        </w:rPr>
        <w:t>enerally</w:t>
      </w:r>
      <w:proofErr w:type="spellEnd"/>
      <w:r w:rsidRPr="007C3457">
        <w:rPr>
          <w:rFonts w:ascii="Arial" w:hAnsi="Arial" w:cs="Arial"/>
          <w:lang w:val="en-US"/>
        </w:rPr>
        <w:t>’ UK delegated legislation ceases to exist as soon as its parent statute</w:t>
      </w:r>
      <w:r w:rsidR="003230BD">
        <w:rPr>
          <w:rFonts w:ascii="Arial" w:hAnsi="Arial" w:cs="Arial"/>
          <w:lang w:val="en-US"/>
        </w:rPr>
        <w:t>, in this case the 1972 Act,</w:t>
      </w:r>
      <w:r w:rsidRPr="007C3457">
        <w:rPr>
          <w:rFonts w:ascii="Arial" w:hAnsi="Arial" w:cs="Arial"/>
          <w:lang w:val="en-US"/>
        </w:rPr>
        <w:t xml:space="preserve"> is repealed.</w:t>
      </w:r>
      <w:r w:rsidR="00D334A1">
        <w:rPr>
          <w:rStyle w:val="FootnoteReference"/>
          <w:rFonts w:ascii="Arial" w:hAnsi="Arial" w:cs="Arial"/>
          <w:lang w:val="en-US"/>
        </w:rPr>
        <w:footnoteReference w:id="19"/>
      </w:r>
      <w:r w:rsidR="0079036A">
        <w:rPr>
          <w:rFonts w:ascii="Arial" w:hAnsi="Arial" w:cs="Arial"/>
          <w:lang w:val="en-US"/>
        </w:rPr>
        <w:t xml:space="preserve">  </w:t>
      </w:r>
      <w:r w:rsidRPr="007C3457">
        <w:rPr>
          <w:rFonts w:ascii="Arial" w:hAnsi="Arial" w:cs="Arial"/>
          <w:lang w:val="en-US"/>
        </w:rPr>
        <w:t>Section 3</w:t>
      </w:r>
      <w:r w:rsidR="0079036A">
        <w:rPr>
          <w:rFonts w:ascii="Arial" w:hAnsi="Arial" w:cs="Arial"/>
          <w:lang w:val="en-US"/>
        </w:rPr>
        <w:t xml:space="preserve"> </w:t>
      </w:r>
      <w:r w:rsidR="00B86A12" w:rsidRPr="008A2C70">
        <w:rPr>
          <w:rFonts w:ascii="Arial" w:hAnsi="Arial" w:cs="Arial"/>
          <w:lang w:val="en-US"/>
        </w:rPr>
        <w:t xml:space="preserve">then intends to incorporate into UK law all </w:t>
      </w:r>
      <w:r w:rsidR="008A2C70">
        <w:rPr>
          <w:rFonts w:ascii="Arial" w:hAnsi="Arial" w:cs="Arial"/>
          <w:lang w:val="en-US"/>
        </w:rPr>
        <w:t>of what has</w:t>
      </w:r>
      <w:r w:rsidR="00B86A12" w:rsidRPr="008A2C70">
        <w:rPr>
          <w:rFonts w:ascii="Arial" w:hAnsi="Arial" w:cs="Arial"/>
          <w:lang w:val="en-US"/>
        </w:rPr>
        <w:t xml:space="preserve"> been up until </w:t>
      </w:r>
      <w:r w:rsidR="0079036A">
        <w:rPr>
          <w:rFonts w:ascii="Arial" w:hAnsi="Arial" w:cs="Arial"/>
          <w:lang w:val="en-US"/>
        </w:rPr>
        <w:t>this point</w:t>
      </w:r>
      <w:r w:rsidR="00B86A12" w:rsidRPr="008A2C70">
        <w:rPr>
          <w:rFonts w:ascii="Arial" w:hAnsi="Arial" w:cs="Arial"/>
          <w:lang w:val="en-US"/>
        </w:rPr>
        <w:t xml:space="preserve"> directly applicable EU Law.  </w:t>
      </w:r>
      <w:r w:rsidRPr="007C3457">
        <w:rPr>
          <w:rFonts w:ascii="Arial" w:hAnsi="Arial" w:cs="Arial"/>
          <w:lang w:val="en-US"/>
        </w:rPr>
        <w:t xml:space="preserve">Now it </w:t>
      </w:r>
      <w:proofErr w:type="spellStart"/>
      <w:r w:rsidRPr="007C3457">
        <w:rPr>
          <w:rFonts w:ascii="Arial" w:hAnsi="Arial" w:cs="Arial"/>
          <w:lang w:val="en-US"/>
        </w:rPr>
        <w:t>it</w:t>
      </w:r>
      <w:proofErr w:type="spellEnd"/>
      <w:r w:rsidRPr="007C3457">
        <w:rPr>
          <w:rFonts w:ascii="Arial" w:hAnsi="Arial" w:cs="Arial"/>
          <w:lang w:val="en-US"/>
        </w:rPr>
        <w:t xml:space="preserve"> is clear that l</w:t>
      </w:r>
      <w:r w:rsidR="00B86A12" w:rsidRPr="008A2C70">
        <w:rPr>
          <w:rFonts w:ascii="Arial" w:hAnsi="Arial" w:cs="Arial"/>
          <w:lang w:val="en-US"/>
        </w:rPr>
        <w:t xml:space="preserve">aws to which a country subscribes as part of its international obligations are </w:t>
      </w:r>
      <w:r w:rsidRPr="007C3457">
        <w:rPr>
          <w:rFonts w:ascii="Arial" w:hAnsi="Arial" w:cs="Arial"/>
          <w:i/>
          <w:lang w:val="en-US"/>
        </w:rPr>
        <w:t>ipso facto</w:t>
      </w:r>
      <w:r w:rsidR="00B86A12" w:rsidRPr="008A2C70">
        <w:rPr>
          <w:rFonts w:ascii="Arial" w:hAnsi="Arial" w:cs="Arial"/>
          <w:lang w:val="en-US"/>
        </w:rPr>
        <w:t xml:space="preserve"> not p</w:t>
      </w:r>
      <w:r w:rsidRPr="007C3457">
        <w:rPr>
          <w:rFonts w:ascii="Arial" w:hAnsi="Arial" w:cs="Arial"/>
          <w:lang w:val="en-US"/>
        </w:rPr>
        <w:t>art of the national legal code (</w:t>
      </w:r>
      <w:r w:rsidR="00B86A12" w:rsidRPr="008A2C70">
        <w:rPr>
          <w:rFonts w:ascii="Arial" w:hAnsi="Arial" w:cs="Arial"/>
          <w:lang w:val="en-US"/>
        </w:rPr>
        <w:t>although this may make little difference in practice to those on whom it imposes obligations or those for whom it creates rights</w:t>
      </w:r>
      <w:r w:rsidRPr="007C3457">
        <w:rPr>
          <w:rFonts w:ascii="Arial" w:hAnsi="Arial" w:cs="Arial"/>
          <w:lang w:val="en-US"/>
        </w:rPr>
        <w:t>)</w:t>
      </w:r>
      <w:r w:rsidR="00B86A12" w:rsidRPr="008A2C70">
        <w:rPr>
          <w:rFonts w:ascii="Arial" w:hAnsi="Arial" w:cs="Arial"/>
          <w:lang w:val="en-US"/>
        </w:rPr>
        <w:t xml:space="preserve">.  However, </w:t>
      </w:r>
      <w:r w:rsidRPr="007C3457">
        <w:rPr>
          <w:rFonts w:ascii="Arial" w:hAnsi="Arial" w:cs="Arial"/>
          <w:lang w:val="en-US"/>
        </w:rPr>
        <w:t xml:space="preserve">section 3 does much more than simply retain the </w:t>
      </w:r>
      <w:r w:rsidRPr="007C3457">
        <w:rPr>
          <w:rFonts w:ascii="Arial" w:hAnsi="Arial" w:cs="Arial"/>
          <w:i/>
          <w:lang w:val="en-US"/>
        </w:rPr>
        <w:t>status quo</w:t>
      </w:r>
      <w:r w:rsidRPr="007C3457">
        <w:rPr>
          <w:rFonts w:ascii="Arial" w:hAnsi="Arial" w:cs="Arial"/>
          <w:lang w:val="en-US"/>
        </w:rPr>
        <w:t xml:space="preserve"> by renewing</w:t>
      </w:r>
      <w:r w:rsidR="00B86A12" w:rsidRPr="008A2C70">
        <w:rPr>
          <w:rFonts w:ascii="Arial" w:hAnsi="Arial" w:cs="Arial"/>
          <w:lang w:val="en-US"/>
        </w:rPr>
        <w:t xml:space="preserve"> the subscription</w:t>
      </w:r>
      <w:r w:rsidRPr="007C3457">
        <w:rPr>
          <w:rFonts w:ascii="Arial" w:hAnsi="Arial" w:cs="Arial"/>
          <w:lang w:val="en-US"/>
        </w:rPr>
        <w:t xml:space="preserve"> cancelled by section 1; the moniker ‘continuance clause’ somewhat undersells it.</w:t>
      </w:r>
      <w:r w:rsidRPr="007C3457">
        <w:rPr>
          <w:rStyle w:val="FootnoteReference"/>
          <w:rFonts w:ascii="Arial" w:hAnsi="Arial" w:cs="Arial"/>
          <w:lang w:val="en-US"/>
        </w:rPr>
        <w:footnoteReference w:id="20"/>
      </w:r>
      <w:r w:rsidRPr="007C3457">
        <w:rPr>
          <w:rFonts w:ascii="Arial" w:hAnsi="Arial" w:cs="Arial"/>
          <w:lang w:val="en-US"/>
        </w:rPr>
        <w:t xml:space="preserve">  In fact, section 3 </w:t>
      </w:r>
      <w:r w:rsidRPr="007C3457">
        <w:rPr>
          <w:rFonts w:ascii="Arial" w:hAnsi="Arial" w:cs="Arial"/>
          <w:i/>
          <w:lang w:val="en-US"/>
        </w:rPr>
        <w:t>imports</w:t>
      </w:r>
      <w:r w:rsidRPr="007C3457">
        <w:rPr>
          <w:rFonts w:ascii="Arial" w:hAnsi="Arial" w:cs="Arial"/>
          <w:lang w:val="en-US"/>
        </w:rPr>
        <w:t xml:space="preserve"> the ‘lost’</w:t>
      </w:r>
      <w:r w:rsidR="00B86A12" w:rsidRPr="008A2C70">
        <w:rPr>
          <w:rFonts w:ascii="Arial" w:hAnsi="Arial" w:cs="Arial"/>
          <w:lang w:val="en-US"/>
        </w:rPr>
        <w:t xml:space="preserve"> directly applicable EU legislation </w:t>
      </w:r>
      <w:r w:rsidRPr="007C3457">
        <w:rPr>
          <w:rFonts w:ascii="Arial" w:hAnsi="Arial" w:cs="Arial"/>
          <w:lang w:val="en-US"/>
        </w:rPr>
        <w:t>wholesale into UK law, considerably swelling</w:t>
      </w:r>
      <w:r w:rsidR="00B86A12" w:rsidRPr="008A2C70">
        <w:rPr>
          <w:rFonts w:ascii="Arial" w:hAnsi="Arial" w:cs="Arial"/>
          <w:lang w:val="en-US"/>
        </w:rPr>
        <w:t xml:space="preserve"> the </w:t>
      </w:r>
      <w:r w:rsidRPr="007C3457">
        <w:rPr>
          <w:rFonts w:ascii="Arial" w:hAnsi="Arial" w:cs="Arial"/>
          <w:lang w:val="en-US"/>
        </w:rPr>
        <w:t xml:space="preserve">UK’s </w:t>
      </w:r>
      <w:r w:rsidR="00B86A12" w:rsidRPr="008A2C70">
        <w:rPr>
          <w:rFonts w:ascii="Arial" w:hAnsi="Arial" w:cs="Arial"/>
          <w:lang w:val="en-US"/>
        </w:rPr>
        <w:t>statute book</w:t>
      </w:r>
      <w:r w:rsidRPr="007C3457">
        <w:rPr>
          <w:rFonts w:ascii="Arial" w:hAnsi="Arial" w:cs="Arial"/>
          <w:lang w:val="en-US"/>
        </w:rPr>
        <w:t xml:space="preserve"> as it does so</w:t>
      </w:r>
      <w:r w:rsidR="00B86A12" w:rsidRPr="008A2C70">
        <w:rPr>
          <w:rFonts w:ascii="Arial" w:hAnsi="Arial" w:cs="Arial"/>
          <w:lang w:val="en-US"/>
        </w:rPr>
        <w:t xml:space="preserve">.  </w:t>
      </w:r>
      <w:r w:rsidR="008A2C70">
        <w:rPr>
          <w:rFonts w:ascii="Arial" w:hAnsi="Arial" w:cs="Arial"/>
          <w:lang w:val="en-US"/>
        </w:rPr>
        <w:t>Some have referred to it as an ‘</w:t>
      </w:r>
      <w:proofErr w:type="spellStart"/>
      <w:r w:rsidR="008A2C70">
        <w:rPr>
          <w:rFonts w:ascii="Arial" w:hAnsi="Arial" w:cs="Arial"/>
          <w:lang w:val="en-US"/>
        </w:rPr>
        <w:t>onshoring</w:t>
      </w:r>
      <w:proofErr w:type="spellEnd"/>
      <w:r w:rsidR="008A2C70">
        <w:rPr>
          <w:rFonts w:ascii="Arial" w:hAnsi="Arial" w:cs="Arial"/>
          <w:lang w:val="en-US"/>
        </w:rPr>
        <w:t xml:space="preserve"> process.’</w:t>
      </w:r>
      <w:r w:rsidR="008A2C70">
        <w:rPr>
          <w:rStyle w:val="FootnoteReference"/>
          <w:rFonts w:ascii="Arial" w:hAnsi="Arial" w:cs="Arial"/>
          <w:lang w:val="en-US"/>
        </w:rPr>
        <w:footnoteReference w:id="21"/>
      </w:r>
      <w:r w:rsidR="008A2C70">
        <w:rPr>
          <w:rFonts w:ascii="Arial" w:hAnsi="Arial" w:cs="Arial"/>
          <w:lang w:val="en-US"/>
        </w:rPr>
        <w:t xml:space="preserve">  </w:t>
      </w:r>
      <w:r w:rsidR="00B86A12" w:rsidRPr="008A2C70">
        <w:rPr>
          <w:rFonts w:ascii="Arial" w:hAnsi="Arial" w:cs="Arial"/>
          <w:lang w:val="en-US"/>
        </w:rPr>
        <w:t xml:space="preserve">It is to be hoped that Cicero was not right when he said </w:t>
      </w:r>
      <w:proofErr w:type="spellStart"/>
      <w:r w:rsidRPr="007C3457">
        <w:rPr>
          <w:rFonts w:ascii="Arial" w:hAnsi="Arial" w:cs="Arial"/>
          <w:i/>
          <w:lang w:val="en-US"/>
        </w:rPr>
        <w:t>summum</w:t>
      </w:r>
      <w:proofErr w:type="spellEnd"/>
      <w:r w:rsidRPr="007C3457">
        <w:rPr>
          <w:rFonts w:ascii="Arial" w:hAnsi="Arial" w:cs="Arial"/>
          <w:i/>
          <w:lang w:val="en-US"/>
        </w:rPr>
        <w:t xml:space="preserve"> </w:t>
      </w:r>
      <w:proofErr w:type="spellStart"/>
      <w:r w:rsidRPr="007C3457">
        <w:rPr>
          <w:rFonts w:ascii="Arial" w:hAnsi="Arial" w:cs="Arial"/>
          <w:i/>
          <w:lang w:val="en-US"/>
        </w:rPr>
        <w:t>ius</w:t>
      </w:r>
      <w:proofErr w:type="spellEnd"/>
      <w:r w:rsidRPr="007C3457">
        <w:rPr>
          <w:rFonts w:ascii="Arial" w:hAnsi="Arial" w:cs="Arial"/>
          <w:i/>
          <w:lang w:val="en-US"/>
        </w:rPr>
        <w:t xml:space="preserve">, summa </w:t>
      </w:r>
      <w:proofErr w:type="spellStart"/>
      <w:r w:rsidRPr="007C3457">
        <w:rPr>
          <w:rFonts w:ascii="Arial" w:hAnsi="Arial" w:cs="Arial"/>
          <w:i/>
          <w:lang w:val="en-US"/>
        </w:rPr>
        <w:t>iniuria</w:t>
      </w:r>
      <w:proofErr w:type="spellEnd"/>
      <w:r w:rsidR="00B86A12" w:rsidRPr="008A2C70">
        <w:rPr>
          <w:rFonts w:ascii="Arial" w:hAnsi="Arial" w:cs="Arial"/>
          <w:lang w:val="en-US"/>
        </w:rPr>
        <w:t xml:space="preserve">, which in this </w:t>
      </w:r>
      <w:r w:rsidR="008A2C70">
        <w:rPr>
          <w:rFonts w:ascii="Arial" w:hAnsi="Arial" w:cs="Arial"/>
          <w:lang w:val="en-US"/>
        </w:rPr>
        <w:t>context might be translated as ‘</w:t>
      </w:r>
      <w:r w:rsidR="00B86A12" w:rsidRPr="008A2C70">
        <w:rPr>
          <w:rFonts w:ascii="Arial" w:hAnsi="Arial" w:cs="Arial"/>
          <w:lang w:val="en-US"/>
        </w:rPr>
        <w:t>the more law you have, the worse things get</w:t>
      </w:r>
      <w:r w:rsidR="008A2C70">
        <w:rPr>
          <w:rFonts w:ascii="Arial" w:hAnsi="Arial" w:cs="Arial"/>
          <w:lang w:val="en-US"/>
        </w:rPr>
        <w:t>’.</w:t>
      </w:r>
      <w:r w:rsidR="0079036A">
        <w:rPr>
          <w:rFonts w:ascii="Arial" w:hAnsi="Arial" w:cs="Arial"/>
          <w:lang w:val="en-US"/>
        </w:rPr>
        <w:t xml:space="preserve">  The House of Lords Constitution Committee </w:t>
      </w:r>
      <w:r w:rsidR="004D3D9F">
        <w:rPr>
          <w:rFonts w:ascii="Arial" w:hAnsi="Arial" w:cs="Arial"/>
          <w:lang w:val="en-US"/>
        </w:rPr>
        <w:t>quickly</w:t>
      </w:r>
      <w:r w:rsidR="0079036A">
        <w:rPr>
          <w:rFonts w:ascii="Arial" w:hAnsi="Arial" w:cs="Arial"/>
          <w:lang w:val="en-US"/>
        </w:rPr>
        <w:t xml:space="preserve"> flag</w:t>
      </w:r>
      <w:r w:rsidR="004D3D9F">
        <w:rPr>
          <w:rFonts w:ascii="Arial" w:hAnsi="Arial" w:cs="Arial"/>
          <w:lang w:val="en-US"/>
        </w:rPr>
        <w:t>ged</w:t>
      </w:r>
      <w:r w:rsidR="0079036A">
        <w:rPr>
          <w:rFonts w:ascii="Arial" w:hAnsi="Arial" w:cs="Arial"/>
          <w:lang w:val="en-US"/>
        </w:rPr>
        <w:t xml:space="preserve"> up</w:t>
      </w:r>
      <w:r w:rsidR="0079036A">
        <w:rPr>
          <w:rFonts w:ascii="Arial" w:hAnsi="Arial" w:cs="Arial"/>
        </w:rPr>
        <w:t xml:space="preserve"> ‘</w:t>
      </w:r>
      <w:r w:rsidR="008A4B0B" w:rsidRPr="008A4B0B">
        <w:rPr>
          <w:rFonts w:ascii="Arial" w:hAnsi="Arial" w:cs="Arial"/>
        </w:rPr>
        <w:t>the degree of uncertainty as</w:t>
      </w:r>
      <w:r w:rsidR="0079036A">
        <w:rPr>
          <w:rFonts w:ascii="Arial" w:hAnsi="Arial" w:cs="Arial"/>
        </w:rPr>
        <w:t xml:space="preserve"> </w:t>
      </w:r>
      <w:r w:rsidR="008A4B0B" w:rsidRPr="008A4B0B">
        <w:rPr>
          <w:rFonts w:ascii="Arial" w:hAnsi="Arial" w:cs="Arial"/>
        </w:rPr>
        <w:t xml:space="preserve">to what exactly the process of converting </w:t>
      </w:r>
      <w:r w:rsidR="0079036A">
        <w:rPr>
          <w:rFonts w:ascii="Arial" w:hAnsi="Arial" w:cs="Arial"/>
        </w:rPr>
        <w:t>EU law into UK law will involve’</w:t>
      </w:r>
      <w:r w:rsidR="004D3D9F">
        <w:rPr>
          <w:rFonts w:ascii="Arial" w:hAnsi="Arial" w:cs="Arial"/>
        </w:rPr>
        <w:t xml:space="preserve"> and correctly predicted ‘</w:t>
      </w:r>
      <w:r w:rsidR="008A4B0B" w:rsidRPr="008A4B0B">
        <w:rPr>
          <w:rFonts w:ascii="Arial" w:hAnsi="Arial" w:cs="Arial"/>
        </w:rPr>
        <w:t>the granting of</w:t>
      </w:r>
      <w:r w:rsidR="004D3D9F">
        <w:rPr>
          <w:rFonts w:ascii="Arial" w:hAnsi="Arial" w:cs="Arial"/>
        </w:rPr>
        <w:t xml:space="preserve"> </w:t>
      </w:r>
      <w:r w:rsidR="008A4B0B" w:rsidRPr="008A4B0B">
        <w:rPr>
          <w:rFonts w:ascii="Arial" w:hAnsi="Arial" w:cs="Arial"/>
        </w:rPr>
        <w:t xml:space="preserve">relatively wide delegated </w:t>
      </w:r>
      <w:r w:rsidR="004D3D9F">
        <w:rPr>
          <w:rFonts w:ascii="Arial" w:hAnsi="Arial" w:cs="Arial"/>
        </w:rPr>
        <w:t>powers to amend existing EU law.’</w:t>
      </w:r>
      <w:r w:rsidR="00C50C14">
        <w:rPr>
          <w:rStyle w:val="FootnoteReference"/>
          <w:rFonts w:ascii="Arial" w:hAnsi="Arial" w:cs="Arial"/>
        </w:rPr>
        <w:footnoteReference w:id="22"/>
      </w:r>
      <w:r w:rsidR="004D3D9F">
        <w:rPr>
          <w:rFonts w:ascii="Arial" w:hAnsi="Arial" w:cs="Arial"/>
        </w:rPr>
        <w:t xml:space="preserve">  Indeed, much of the rest of the statute is taken up with the granting, and attempted control, of e</w:t>
      </w:r>
      <w:r w:rsidR="00E03AC5">
        <w:rPr>
          <w:rFonts w:ascii="Arial" w:hAnsi="Arial" w:cs="Arial"/>
        </w:rPr>
        <w:t xml:space="preserve">xactly such powers.  </w:t>
      </w:r>
      <w:r w:rsidR="004D3D9F">
        <w:rPr>
          <w:rFonts w:ascii="Arial" w:hAnsi="Arial" w:cs="Arial"/>
        </w:rPr>
        <w:t>Th</w:t>
      </w:r>
      <w:r w:rsidR="003230BD">
        <w:rPr>
          <w:rFonts w:ascii="Arial" w:hAnsi="Arial" w:cs="Arial"/>
        </w:rPr>
        <w:t>e</w:t>
      </w:r>
      <w:r w:rsidR="004D3D9F">
        <w:rPr>
          <w:rFonts w:ascii="Arial" w:hAnsi="Arial" w:cs="Arial"/>
        </w:rPr>
        <w:t xml:space="preserve"> vital opening quartet of sections, which represents the nerve centre of the entire Act, is completed by section 4, a further savings clause entitled, ‘Saving for rights etc. u</w:t>
      </w:r>
      <w:r w:rsidR="003230BD">
        <w:rPr>
          <w:rFonts w:ascii="Arial" w:hAnsi="Arial" w:cs="Arial"/>
        </w:rPr>
        <w:t>nder</w:t>
      </w:r>
      <w:r w:rsidR="004D3D9F">
        <w:rPr>
          <w:rFonts w:ascii="Arial" w:hAnsi="Arial" w:cs="Arial"/>
        </w:rPr>
        <w:t xml:space="preserve"> section 2(1) of the ECA</w:t>
      </w:r>
      <w:r w:rsidR="003230BD">
        <w:rPr>
          <w:rFonts w:ascii="Arial" w:hAnsi="Arial" w:cs="Arial"/>
        </w:rPr>
        <w:t>.’</w:t>
      </w:r>
    </w:p>
    <w:p w:rsidR="00CD52C5" w:rsidRDefault="00CD52C5" w:rsidP="004D3D9F">
      <w:pPr>
        <w:spacing w:after="0" w:line="240" w:lineRule="auto"/>
        <w:contextualSpacing/>
        <w:jc w:val="both"/>
        <w:rPr>
          <w:rFonts w:ascii="Arial" w:hAnsi="Arial" w:cs="Arial"/>
        </w:rPr>
      </w:pPr>
    </w:p>
    <w:p w:rsidR="009D2A91" w:rsidRDefault="006449AA" w:rsidP="00587CAD">
      <w:pPr>
        <w:spacing w:after="0" w:line="240" w:lineRule="auto"/>
        <w:contextualSpacing/>
        <w:jc w:val="both"/>
        <w:rPr>
          <w:rFonts w:ascii="Arial" w:hAnsi="Arial" w:cs="Arial"/>
        </w:rPr>
      </w:pPr>
      <w:r>
        <w:rPr>
          <w:rFonts w:ascii="Arial" w:hAnsi="Arial" w:cs="Arial"/>
        </w:rPr>
        <w:t xml:space="preserve">Let us </w:t>
      </w:r>
      <w:r w:rsidR="0088310B">
        <w:rPr>
          <w:rFonts w:ascii="Arial" w:hAnsi="Arial" w:cs="Arial"/>
        </w:rPr>
        <w:t>examine</w:t>
      </w:r>
      <w:r w:rsidR="00834360">
        <w:rPr>
          <w:rFonts w:ascii="Arial" w:hAnsi="Arial" w:cs="Arial"/>
        </w:rPr>
        <w:t xml:space="preserve"> this in slightly more detail</w:t>
      </w:r>
      <w:r>
        <w:rPr>
          <w:rFonts w:ascii="Arial" w:hAnsi="Arial" w:cs="Arial"/>
        </w:rPr>
        <w:t>.  L</w:t>
      </w:r>
      <w:r w:rsidR="00AF060B" w:rsidRPr="00AF060B">
        <w:rPr>
          <w:rFonts w:ascii="Arial" w:hAnsi="Arial" w:cs="Arial"/>
        </w:rPr>
        <w:t>eaving aside the pre-existing domestic impleme</w:t>
      </w:r>
      <w:r>
        <w:rPr>
          <w:rFonts w:ascii="Arial" w:hAnsi="Arial" w:cs="Arial"/>
        </w:rPr>
        <w:t xml:space="preserve">ntations of EU Law (specifically EU directives) </w:t>
      </w:r>
      <w:r w:rsidR="00F44AEA">
        <w:rPr>
          <w:rFonts w:ascii="Arial" w:hAnsi="Arial" w:cs="Arial"/>
        </w:rPr>
        <w:t xml:space="preserve">which are ‘saved’ </w:t>
      </w:r>
      <w:r w:rsidR="006428F7">
        <w:rPr>
          <w:rFonts w:ascii="Arial" w:hAnsi="Arial" w:cs="Arial"/>
        </w:rPr>
        <w:t>by s</w:t>
      </w:r>
      <w:r w:rsidR="00FA5129">
        <w:rPr>
          <w:rFonts w:ascii="Arial" w:hAnsi="Arial" w:cs="Arial"/>
        </w:rPr>
        <w:t xml:space="preserve">ection 2, </w:t>
      </w:r>
      <w:r w:rsidR="003230BD">
        <w:rPr>
          <w:rFonts w:ascii="Arial" w:hAnsi="Arial" w:cs="Arial"/>
        </w:rPr>
        <w:t xml:space="preserve">the Act informs us that </w:t>
      </w:r>
      <w:r w:rsidR="00AF060B" w:rsidRPr="00AF060B">
        <w:rPr>
          <w:rFonts w:ascii="Arial" w:hAnsi="Arial" w:cs="Arial"/>
        </w:rPr>
        <w:t xml:space="preserve">there are </w:t>
      </w:r>
      <w:r w:rsidR="003230BD">
        <w:rPr>
          <w:rFonts w:ascii="Arial" w:hAnsi="Arial" w:cs="Arial"/>
        </w:rPr>
        <w:t xml:space="preserve">to be </w:t>
      </w:r>
      <w:r w:rsidR="00AF060B" w:rsidRPr="00AF060B">
        <w:rPr>
          <w:rFonts w:ascii="Arial" w:hAnsi="Arial" w:cs="Arial"/>
        </w:rPr>
        <w:t>three categories of so-called Retained EU Law, two of them deriving from s</w:t>
      </w:r>
      <w:r w:rsidR="00FA5129">
        <w:rPr>
          <w:rFonts w:ascii="Arial" w:hAnsi="Arial" w:cs="Arial"/>
        </w:rPr>
        <w:t xml:space="preserve">ection </w:t>
      </w:r>
      <w:r w:rsidR="00AF060B" w:rsidRPr="00AF060B">
        <w:rPr>
          <w:rFonts w:ascii="Arial" w:hAnsi="Arial" w:cs="Arial"/>
        </w:rPr>
        <w:t>3 of the Act and the third from s</w:t>
      </w:r>
      <w:r w:rsidR="00FA5129">
        <w:rPr>
          <w:rFonts w:ascii="Arial" w:hAnsi="Arial" w:cs="Arial"/>
        </w:rPr>
        <w:t xml:space="preserve">ection </w:t>
      </w:r>
      <w:r w:rsidR="00AF060B" w:rsidRPr="00AF060B">
        <w:rPr>
          <w:rFonts w:ascii="Arial" w:hAnsi="Arial" w:cs="Arial"/>
        </w:rPr>
        <w:t xml:space="preserve">4 of the Act.  </w:t>
      </w:r>
      <w:r w:rsidR="00FA5129">
        <w:rPr>
          <w:rFonts w:ascii="Arial" w:hAnsi="Arial" w:cs="Arial"/>
        </w:rPr>
        <w:t>The</w:t>
      </w:r>
      <w:r w:rsidR="00AF060B" w:rsidRPr="00AF060B">
        <w:rPr>
          <w:rFonts w:ascii="Arial" w:hAnsi="Arial" w:cs="Arial"/>
        </w:rPr>
        <w:t xml:space="preserve"> two from s</w:t>
      </w:r>
      <w:r w:rsidR="00FA5129">
        <w:rPr>
          <w:rFonts w:ascii="Arial" w:hAnsi="Arial" w:cs="Arial"/>
        </w:rPr>
        <w:t>ection 3 are collectively known as ‘Retained direct EU legislation</w:t>
      </w:r>
      <w:r w:rsidR="008945D2">
        <w:rPr>
          <w:rFonts w:ascii="Arial" w:hAnsi="Arial" w:cs="Arial"/>
        </w:rPr>
        <w:t>,</w:t>
      </w:r>
      <w:r w:rsidR="00FA5129">
        <w:rPr>
          <w:rFonts w:ascii="Arial" w:hAnsi="Arial" w:cs="Arial"/>
        </w:rPr>
        <w:t xml:space="preserve">’ </w:t>
      </w:r>
      <w:r w:rsidR="008945D2">
        <w:rPr>
          <w:rFonts w:ascii="Arial" w:hAnsi="Arial" w:cs="Arial"/>
        </w:rPr>
        <w:t xml:space="preserve">and this encompasses </w:t>
      </w:r>
      <w:r w:rsidR="002E4966">
        <w:rPr>
          <w:rFonts w:ascii="Arial" w:hAnsi="Arial" w:cs="Arial"/>
        </w:rPr>
        <w:t>most</w:t>
      </w:r>
      <w:r w:rsidR="008945D2">
        <w:rPr>
          <w:rFonts w:ascii="Arial" w:hAnsi="Arial" w:cs="Arial"/>
        </w:rPr>
        <w:t xml:space="preserve"> EU legal measures which are directly applicable, with the exception of Treaty provisions.</w:t>
      </w:r>
      <w:r w:rsidR="002E4966">
        <w:rPr>
          <w:rFonts w:ascii="Arial" w:hAnsi="Arial" w:cs="Arial"/>
        </w:rPr>
        <w:t xml:space="preserve">  According to section 7(6) of the Act, ‘</w:t>
      </w:r>
      <w:r w:rsidR="0098208C">
        <w:rPr>
          <w:rFonts w:ascii="Arial" w:hAnsi="Arial" w:cs="Arial"/>
        </w:rPr>
        <w:t xml:space="preserve">Retained direct principal EU legislation’ will </w:t>
      </w:r>
      <w:r w:rsidR="002E4966">
        <w:rPr>
          <w:rFonts w:ascii="Arial" w:hAnsi="Arial" w:cs="Arial"/>
        </w:rPr>
        <w:t>encompass most EU regulations</w:t>
      </w:r>
      <w:r w:rsidR="009D2A91">
        <w:rPr>
          <w:rFonts w:ascii="Arial" w:hAnsi="Arial" w:cs="Arial"/>
        </w:rPr>
        <w:t>,</w:t>
      </w:r>
      <w:r w:rsidR="002E4966">
        <w:rPr>
          <w:rStyle w:val="FootnoteReference"/>
          <w:rFonts w:ascii="Arial" w:hAnsi="Arial" w:cs="Arial"/>
        </w:rPr>
        <w:footnoteReference w:id="23"/>
      </w:r>
      <w:r w:rsidR="009D2A91">
        <w:rPr>
          <w:rFonts w:ascii="Arial" w:hAnsi="Arial" w:cs="Arial"/>
        </w:rPr>
        <w:t xml:space="preserve"> while ‘</w:t>
      </w:r>
      <w:r w:rsidR="00AF060B" w:rsidRPr="00AF060B">
        <w:rPr>
          <w:rFonts w:ascii="Arial" w:hAnsi="Arial" w:cs="Arial"/>
        </w:rPr>
        <w:t>Reta</w:t>
      </w:r>
      <w:r w:rsidR="009D2A91">
        <w:rPr>
          <w:rFonts w:ascii="Arial" w:hAnsi="Arial" w:cs="Arial"/>
        </w:rPr>
        <w:t>ined d</w:t>
      </w:r>
      <w:r w:rsidR="00AF060B" w:rsidRPr="00AF060B">
        <w:rPr>
          <w:rFonts w:ascii="Arial" w:hAnsi="Arial" w:cs="Arial"/>
        </w:rPr>
        <w:t xml:space="preserve">irect </w:t>
      </w:r>
      <w:r w:rsidR="009D2A91">
        <w:rPr>
          <w:rFonts w:ascii="Arial" w:hAnsi="Arial" w:cs="Arial"/>
        </w:rPr>
        <w:t xml:space="preserve">minor </w:t>
      </w:r>
      <w:r w:rsidR="00AF060B" w:rsidRPr="00AF060B">
        <w:rPr>
          <w:rFonts w:ascii="Arial" w:hAnsi="Arial" w:cs="Arial"/>
        </w:rPr>
        <w:t xml:space="preserve">EU </w:t>
      </w:r>
      <w:r w:rsidR="009D2A91">
        <w:rPr>
          <w:rFonts w:ascii="Arial" w:hAnsi="Arial" w:cs="Arial"/>
        </w:rPr>
        <w:t>legislation’ is a residual category covering all of the other types of directly applicable measure</w:t>
      </w:r>
      <w:r w:rsidR="00AF060B" w:rsidRPr="00AF060B">
        <w:rPr>
          <w:rFonts w:ascii="Arial" w:hAnsi="Arial" w:cs="Arial"/>
        </w:rPr>
        <w:t>, EU decisions for example, an</w:t>
      </w:r>
      <w:r w:rsidR="009D2A91">
        <w:rPr>
          <w:rFonts w:ascii="Arial" w:hAnsi="Arial" w:cs="Arial"/>
        </w:rPr>
        <w:t>d also EU tertiary legislation.  T</w:t>
      </w:r>
      <w:r w:rsidR="00AF060B" w:rsidRPr="00AF060B">
        <w:rPr>
          <w:rFonts w:ascii="Arial" w:hAnsi="Arial" w:cs="Arial"/>
        </w:rPr>
        <w:t xml:space="preserve">he third </w:t>
      </w:r>
      <w:r w:rsidR="001609C3">
        <w:rPr>
          <w:rFonts w:ascii="Arial" w:hAnsi="Arial" w:cs="Arial"/>
        </w:rPr>
        <w:t xml:space="preserve">category of Retained EU Law </w:t>
      </w:r>
      <w:r w:rsidR="00AF060B" w:rsidRPr="00AF060B">
        <w:rPr>
          <w:rFonts w:ascii="Arial" w:hAnsi="Arial" w:cs="Arial"/>
        </w:rPr>
        <w:t>comes from s</w:t>
      </w:r>
      <w:r w:rsidR="001609C3">
        <w:rPr>
          <w:rFonts w:ascii="Arial" w:hAnsi="Arial" w:cs="Arial"/>
        </w:rPr>
        <w:t xml:space="preserve">ection 4 of the Act and, according to the Explanatory Notes to the Act, this category will encompass </w:t>
      </w:r>
      <w:r w:rsidR="001609C3" w:rsidRPr="00D853FB">
        <w:rPr>
          <w:rFonts w:ascii="Arial" w:hAnsi="Arial" w:cs="Arial"/>
          <w:i/>
        </w:rPr>
        <w:t>inter alia</w:t>
      </w:r>
      <w:r w:rsidR="001609C3">
        <w:rPr>
          <w:rFonts w:ascii="Arial" w:hAnsi="Arial" w:cs="Arial"/>
        </w:rPr>
        <w:t xml:space="preserve"> </w:t>
      </w:r>
      <w:r w:rsidR="00D853FB">
        <w:rPr>
          <w:rFonts w:ascii="Arial" w:hAnsi="Arial" w:cs="Arial"/>
        </w:rPr>
        <w:t>‘</w:t>
      </w:r>
      <w:r w:rsidR="00D853FB" w:rsidRPr="00D853FB">
        <w:rPr>
          <w:rFonts w:ascii="Arial" w:hAnsi="Arial" w:cs="Arial"/>
        </w:rPr>
        <w:t>directly effective righ</w:t>
      </w:r>
      <w:r w:rsidR="00D853FB">
        <w:rPr>
          <w:rFonts w:ascii="Arial" w:hAnsi="Arial" w:cs="Arial"/>
        </w:rPr>
        <w:t>ts contained within EU treaties.’</w:t>
      </w:r>
      <w:bookmarkStart w:id="7" w:name="Ex_Notes"/>
      <w:r w:rsidR="007349A6">
        <w:rPr>
          <w:rStyle w:val="FootnoteReference"/>
          <w:rFonts w:ascii="Arial" w:hAnsi="Arial" w:cs="Arial"/>
        </w:rPr>
        <w:footnoteReference w:id="24"/>
      </w:r>
      <w:bookmarkEnd w:id="7"/>
      <w:r w:rsidR="007349A6">
        <w:rPr>
          <w:rFonts w:ascii="Arial" w:hAnsi="Arial" w:cs="Arial"/>
        </w:rPr>
        <w:t xml:space="preserve"> </w:t>
      </w:r>
      <w:r w:rsidR="00D853FB">
        <w:rPr>
          <w:rFonts w:ascii="Arial" w:hAnsi="Arial" w:cs="Arial"/>
        </w:rPr>
        <w:t xml:space="preserve">  However, other directly effective rights, such as those which can be derived from directives where these have not been properly implemented, are included, as long as they have already been declared directly effective by the European Court of Justice prior to Exit Day.  </w:t>
      </w:r>
      <w:r w:rsidR="009D2A91">
        <w:rPr>
          <w:rFonts w:ascii="Arial" w:hAnsi="Arial" w:cs="Arial"/>
        </w:rPr>
        <w:t>T</w:t>
      </w:r>
      <w:r w:rsidR="009D2A91" w:rsidRPr="00AF060B">
        <w:rPr>
          <w:rFonts w:ascii="Arial" w:hAnsi="Arial" w:cs="Arial"/>
        </w:rPr>
        <w:t xml:space="preserve">here is no guidance at the moment as to whether any given </w:t>
      </w:r>
      <w:r w:rsidR="00D853FB">
        <w:rPr>
          <w:rFonts w:ascii="Arial" w:hAnsi="Arial" w:cs="Arial"/>
        </w:rPr>
        <w:t>piece of Retained EU Law</w:t>
      </w:r>
      <w:r w:rsidR="009D2A91">
        <w:rPr>
          <w:rFonts w:ascii="Arial" w:hAnsi="Arial" w:cs="Arial"/>
        </w:rPr>
        <w:t xml:space="preserve"> will be treated by P</w:t>
      </w:r>
      <w:r w:rsidR="009D2A91" w:rsidRPr="00AF060B">
        <w:rPr>
          <w:rFonts w:ascii="Arial" w:hAnsi="Arial" w:cs="Arial"/>
        </w:rPr>
        <w:t xml:space="preserve">arliament and indeed the </w:t>
      </w:r>
      <w:r w:rsidR="009D2A91" w:rsidRPr="00AF060B">
        <w:rPr>
          <w:rFonts w:ascii="Arial" w:hAnsi="Arial" w:cs="Arial"/>
        </w:rPr>
        <w:lastRenderedPageBreak/>
        <w:t xml:space="preserve">courts as an Act of Parliament or as a Statutory Instrument, or even </w:t>
      </w:r>
      <w:r w:rsidR="00E810EA">
        <w:rPr>
          <w:rFonts w:ascii="Arial" w:hAnsi="Arial" w:cs="Arial"/>
        </w:rPr>
        <w:t xml:space="preserve">as </w:t>
      </w:r>
      <w:r w:rsidR="009D2A91" w:rsidRPr="00AF060B">
        <w:rPr>
          <w:rFonts w:ascii="Arial" w:hAnsi="Arial" w:cs="Arial"/>
        </w:rPr>
        <w:t>something else entirely.</w:t>
      </w:r>
      <w:r w:rsidR="003C6FC0">
        <w:rPr>
          <w:rStyle w:val="FootnoteReference"/>
          <w:rFonts w:ascii="Arial" w:hAnsi="Arial" w:cs="Arial"/>
        </w:rPr>
        <w:footnoteReference w:id="25"/>
      </w:r>
      <w:r w:rsidR="009D2A91">
        <w:rPr>
          <w:rFonts w:ascii="Arial" w:hAnsi="Arial" w:cs="Arial"/>
        </w:rPr>
        <w:t xml:space="preserve">  </w:t>
      </w:r>
    </w:p>
    <w:p w:rsidR="006449AA" w:rsidRDefault="006449AA" w:rsidP="00587CAD">
      <w:pPr>
        <w:spacing w:after="0" w:line="240" w:lineRule="auto"/>
        <w:contextualSpacing/>
        <w:jc w:val="both"/>
        <w:rPr>
          <w:rFonts w:ascii="Arial" w:hAnsi="Arial" w:cs="Arial"/>
        </w:rPr>
      </w:pPr>
    </w:p>
    <w:p w:rsidR="00A5556D" w:rsidRDefault="006449AA" w:rsidP="00587CAD">
      <w:pPr>
        <w:jc w:val="both"/>
        <w:rPr>
          <w:rFonts w:ascii="Arial" w:hAnsi="Arial" w:cs="Arial"/>
        </w:rPr>
      </w:pPr>
      <w:r w:rsidRPr="0088310B">
        <w:rPr>
          <w:rFonts w:ascii="Arial" w:hAnsi="Arial" w:cs="Arial"/>
        </w:rPr>
        <w:t xml:space="preserve">In the present article, it is intended to </w:t>
      </w:r>
      <w:r w:rsidR="0088310B" w:rsidRPr="0088310B">
        <w:rPr>
          <w:rFonts w:ascii="Arial" w:hAnsi="Arial" w:cs="Arial"/>
        </w:rPr>
        <w:t xml:space="preserve">consider the prospects for this ambitious incorporation project.  The analysis will proceed via the interrogation of two propositions.  The first proposition is that </w:t>
      </w:r>
      <w:r w:rsidR="0088310B">
        <w:rPr>
          <w:rFonts w:ascii="Arial" w:hAnsi="Arial" w:cs="Arial"/>
        </w:rPr>
        <w:t>the</w:t>
      </w:r>
      <w:r w:rsidR="0088310B" w:rsidRPr="0088310B">
        <w:rPr>
          <w:rFonts w:ascii="Arial" w:hAnsi="Arial" w:cs="Arial"/>
        </w:rPr>
        <w:t xml:space="preserve"> doctrine of implied repeal will quickly render the codex of ex-EU law unworkable</w:t>
      </w:r>
      <w:r w:rsidR="0088310B">
        <w:rPr>
          <w:rFonts w:ascii="Arial" w:hAnsi="Arial" w:cs="Arial"/>
        </w:rPr>
        <w:t>, and</w:t>
      </w:r>
      <w:r w:rsidR="00587CAD">
        <w:rPr>
          <w:rFonts w:ascii="Arial" w:hAnsi="Arial" w:cs="Arial"/>
        </w:rPr>
        <w:t xml:space="preserve"> the second proposition is that, e</w:t>
      </w:r>
      <w:r w:rsidR="00587CAD" w:rsidRPr="00587CAD">
        <w:rPr>
          <w:rFonts w:ascii="Arial" w:hAnsi="Arial" w:cs="Arial"/>
        </w:rPr>
        <w:t>ven in the absence of the doctrine of indirect effect, national courts will still have to interpret pre-Brexit national law in line with EU law</w:t>
      </w:r>
      <w:r w:rsidR="00587CAD">
        <w:rPr>
          <w:rFonts w:ascii="Arial" w:hAnsi="Arial" w:cs="Arial"/>
        </w:rPr>
        <w:t>.</w:t>
      </w:r>
    </w:p>
    <w:p w:rsidR="00985067" w:rsidRDefault="009242EB" w:rsidP="009242EB">
      <w:pPr>
        <w:spacing w:after="0" w:line="240" w:lineRule="auto"/>
        <w:contextualSpacing/>
        <w:jc w:val="both"/>
        <w:rPr>
          <w:rFonts w:ascii="Arial" w:hAnsi="Arial" w:cs="Arial"/>
          <w:b/>
        </w:rPr>
      </w:pPr>
      <w:r>
        <w:rPr>
          <w:rFonts w:ascii="Arial" w:hAnsi="Arial" w:cs="Arial"/>
          <w:b/>
        </w:rPr>
        <w:t xml:space="preserve">First proposition: </w:t>
      </w:r>
      <w:r w:rsidR="00280A9D">
        <w:rPr>
          <w:rFonts w:ascii="Arial" w:hAnsi="Arial" w:cs="Arial"/>
          <w:b/>
        </w:rPr>
        <w:t>The d</w:t>
      </w:r>
      <w:r w:rsidR="00985067" w:rsidRPr="00985067">
        <w:rPr>
          <w:rFonts w:ascii="Arial" w:hAnsi="Arial" w:cs="Arial"/>
          <w:b/>
        </w:rPr>
        <w:t>octrine of implied repeal will quickly render the codex of ex-EU law unworkable</w:t>
      </w:r>
    </w:p>
    <w:p w:rsidR="00ED2EF2" w:rsidRDefault="00ED2EF2" w:rsidP="009242EB">
      <w:pPr>
        <w:spacing w:after="0" w:line="240" w:lineRule="auto"/>
        <w:contextualSpacing/>
        <w:jc w:val="both"/>
        <w:rPr>
          <w:rFonts w:ascii="Arial" w:hAnsi="Arial" w:cs="Arial"/>
          <w:b/>
        </w:rPr>
      </w:pPr>
    </w:p>
    <w:p w:rsidR="004F10E5" w:rsidRDefault="00293711" w:rsidP="004F10E5">
      <w:pPr>
        <w:contextualSpacing/>
        <w:jc w:val="both"/>
        <w:rPr>
          <w:rFonts w:ascii="Arial" w:hAnsi="Arial" w:cs="Arial"/>
          <w:lang w:val="en-US"/>
        </w:rPr>
      </w:pPr>
      <w:r>
        <w:rPr>
          <w:rFonts w:ascii="Arial" w:hAnsi="Arial" w:cs="Arial"/>
          <w:lang w:val="en-US"/>
        </w:rPr>
        <w:t>A</w:t>
      </w:r>
      <w:r w:rsidRPr="00293711">
        <w:rPr>
          <w:rFonts w:ascii="Arial" w:hAnsi="Arial" w:cs="Arial"/>
          <w:lang w:val="en-US"/>
        </w:rPr>
        <w:t xml:space="preserve"> discussion is </w:t>
      </w:r>
      <w:r>
        <w:rPr>
          <w:rFonts w:ascii="Arial" w:hAnsi="Arial" w:cs="Arial"/>
          <w:lang w:val="en-US"/>
        </w:rPr>
        <w:t>now</w:t>
      </w:r>
      <w:r w:rsidRPr="00293711">
        <w:rPr>
          <w:rFonts w:ascii="Arial" w:hAnsi="Arial" w:cs="Arial"/>
          <w:lang w:val="en-US"/>
        </w:rPr>
        <w:t xml:space="preserve"> </w:t>
      </w:r>
      <w:r>
        <w:rPr>
          <w:rFonts w:ascii="Arial" w:hAnsi="Arial" w:cs="Arial"/>
          <w:lang w:val="en-US"/>
        </w:rPr>
        <w:t>underway</w:t>
      </w:r>
      <w:r w:rsidRPr="00293711">
        <w:rPr>
          <w:rFonts w:ascii="Arial" w:hAnsi="Arial" w:cs="Arial"/>
          <w:lang w:val="en-US"/>
        </w:rPr>
        <w:t xml:space="preserve"> in the UK about implied repeal of EU law after the entry into force of the Act</w:t>
      </w:r>
      <w:r>
        <w:rPr>
          <w:rFonts w:ascii="Arial" w:hAnsi="Arial" w:cs="Arial"/>
          <w:lang w:val="en-US"/>
        </w:rPr>
        <w:t xml:space="preserve">.  </w:t>
      </w:r>
      <w:r w:rsidR="004F10E5" w:rsidRPr="004F10E5">
        <w:rPr>
          <w:rFonts w:ascii="Arial" w:hAnsi="Arial" w:cs="Arial"/>
          <w:lang w:val="en-US"/>
        </w:rPr>
        <w:t>The opening contribution to this discussion was arguably in a submission by Dr Lock to the Finance and Constitution Committee of the Scottish Parliament, which launched a call for evidence on the impact of the European Union (Withdrawal) Bill (as it then was) on Scotland’s devolution settlement in mid-July 2017.  Dr Lock eloquently articulated a number of important questions raised by the Bill, including the following:</w:t>
      </w:r>
    </w:p>
    <w:p w:rsidR="004F10E5" w:rsidRDefault="004F10E5" w:rsidP="004F10E5">
      <w:pPr>
        <w:contextualSpacing/>
        <w:jc w:val="both"/>
        <w:rPr>
          <w:rFonts w:ascii="Arial" w:hAnsi="Arial" w:cs="Arial"/>
          <w:lang w:val="en-US"/>
        </w:rPr>
      </w:pPr>
    </w:p>
    <w:p w:rsidR="004861B1" w:rsidRDefault="007C3457">
      <w:pPr>
        <w:ind w:left="720"/>
        <w:contextualSpacing/>
        <w:rPr>
          <w:rFonts w:ascii="Arial" w:hAnsi="Arial" w:cs="Arial"/>
          <w:lang w:val="en-US"/>
        </w:rPr>
      </w:pPr>
      <w:r w:rsidRPr="007C3457">
        <w:rPr>
          <w:rFonts w:ascii="Arial" w:hAnsi="Arial" w:cs="Arial"/>
          <w:i/>
        </w:rPr>
        <w:t>[M]</w:t>
      </w:r>
      <w:proofErr w:type="spellStart"/>
      <w:r w:rsidRPr="007C3457">
        <w:rPr>
          <w:rFonts w:ascii="Arial" w:hAnsi="Arial" w:cs="Arial"/>
          <w:i/>
        </w:rPr>
        <w:t>ust</w:t>
      </w:r>
      <w:proofErr w:type="spellEnd"/>
      <w:r w:rsidRPr="007C3457">
        <w:rPr>
          <w:rFonts w:ascii="Arial" w:hAnsi="Arial" w:cs="Arial"/>
          <w:i/>
        </w:rPr>
        <w:t xml:space="preserve"> one assume that post-Brexit legislation overrides all contradictory retained EU law by virtue of the doctrine of implied repeal?</w:t>
      </w:r>
      <w:r w:rsidR="004F10E5">
        <w:rPr>
          <w:rStyle w:val="FootnoteReference"/>
          <w:rFonts w:ascii="Arial" w:hAnsi="Arial" w:cs="Arial"/>
          <w:i/>
        </w:rPr>
        <w:footnoteReference w:id="26"/>
      </w:r>
    </w:p>
    <w:p w:rsidR="004F10E5" w:rsidRPr="004F10E5" w:rsidRDefault="004F10E5" w:rsidP="004F10E5">
      <w:pPr>
        <w:contextualSpacing/>
        <w:jc w:val="both"/>
        <w:rPr>
          <w:rFonts w:ascii="Arial" w:hAnsi="Arial" w:cs="Arial"/>
        </w:rPr>
      </w:pPr>
    </w:p>
    <w:p w:rsidR="00B227D4" w:rsidRDefault="004F10E5" w:rsidP="00985067">
      <w:pPr>
        <w:spacing w:after="0" w:line="240" w:lineRule="auto"/>
        <w:contextualSpacing/>
        <w:jc w:val="both"/>
        <w:rPr>
          <w:rFonts w:ascii="Arial" w:hAnsi="Arial" w:cs="Arial"/>
        </w:rPr>
      </w:pPr>
      <w:r>
        <w:rPr>
          <w:rFonts w:ascii="Arial" w:hAnsi="Arial" w:cs="Arial"/>
          <w:lang w:val="en-US"/>
        </w:rPr>
        <w:t>So far as the present author can gather, t</w:t>
      </w:r>
      <w:r w:rsidR="00293711">
        <w:rPr>
          <w:rFonts w:ascii="Arial" w:hAnsi="Arial" w:cs="Arial"/>
          <w:lang w:val="en-US"/>
        </w:rPr>
        <w:t xml:space="preserve">he </w:t>
      </w:r>
      <w:r>
        <w:rPr>
          <w:rFonts w:ascii="Arial" w:hAnsi="Arial" w:cs="Arial"/>
          <w:lang w:val="en-US"/>
        </w:rPr>
        <w:t>next</w:t>
      </w:r>
      <w:r w:rsidR="00293711">
        <w:rPr>
          <w:rFonts w:ascii="Arial" w:hAnsi="Arial" w:cs="Arial"/>
          <w:lang w:val="en-US"/>
        </w:rPr>
        <w:t xml:space="preserve"> contribution to this discussion was </w:t>
      </w:r>
      <w:r w:rsidR="00657664">
        <w:rPr>
          <w:rFonts w:ascii="Arial" w:hAnsi="Arial" w:cs="Arial"/>
          <w:lang w:val="en-US"/>
        </w:rPr>
        <w:t>a House of Commons Library Briefing Paper from November 2017,</w:t>
      </w:r>
      <w:bookmarkStart w:id="8" w:name="Caird_and_Miller"/>
      <w:bookmarkStart w:id="9" w:name="Caird_and_Miller_and_Cowie"/>
      <w:r w:rsidR="00B227D4">
        <w:rPr>
          <w:rStyle w:val="FootnoteReference"/>
          <w:rFonts w:ascii="Arial" w:hAnsi="Arial" w:cs="Arial"/>
          <w:lang w:val="en-US"/>
        </w:rPr>
        <w:footnoteReference w:id="27"/>
      </w:r>
      <w:bookmarkEnd w:id="8"/>
      <w:bookmarkEnd w:id="9"/>
      <w:r w:rsidR="00657664">
        <w:rPr>
          <w:rFonts w:ascii="Arial" w:hAnsi="Arial" w:cs="Arial"/>
          <w:lang w:val="en-US"/>
        </w:rPr>
        <w:t xml:space="preserve"> which </w:t>
      </w:r>
      <w:r>
        <w:rPr>
          <w:rFonts w:ascii="Arial" w:hAnsi="Arial" w:cs="Arial"/>
          <w:lang w:val="en-US"/>
        </w:rPr>
        <w:t xml:space="preserve">again </w:t>
      </w:r>
      <w:r w:rsidR="00657664">
        <w:rPr>
          <w:rFonts w:ascii="Arial" w:hAnsi="Arial" w:cs="Arial"/>
          <w:lang w:val="en-US"/>
        </w:rPr>
        <w:t>broached the topic and even suggested that, since the Act was ‘likely to be’</w:t>
      </w:r>
      <w:r w:rsidR="0005758C">
        <w:rPr>
          <w:rStyle w:val="FootnoteReference"/>
          <w:rFonts w:ascii="Arial" w:hAnsi="Arial" w:cs="Arial"/>
          <w:lang w:val="en-US"/>
        </w:rPr>
        <w:footnoteReference w:id="28"/>
      </w:r>
      <w:r w:rsidR="00657664">
        <w:rPr>
          <w:rFonts w:ascii="Arial" w:hAnsi="Arial" w:cs="Arial"/>
          <w:lang w:val="en-US"/>
        </w:rPr>
        <w:t xml:space="preserve"> a constitutional statute in the sense in which Laws LJ had used this phrase in </w:t>
      </w:r>
      <w:proofErr w:type="spellStart"/>
      <w:r w:rsidR="007C3457" w:rsidRPr="007C3457">
        <w:rPr>
          <w:rFonts w:ascii="Arial" w:hAnsi="Arial" w:cs="Arial"/>
          <w:i/>
          <w:lang w:val="en-US"/>
        </w:rPr>
        <w:t>Thoburn</w:t>
      </w:r>
      <w:proofErr w:type="spellEnd"/>
      <w:r w:rsidR="00C20FFB">
        <w:rPr>
          <w:rFonts w:ascii="Arial" w:hAnsi="Arial" w:cs="Arial"/>
          <w:i/>
          <w:lang w:val="en-US"/>
        </w:rPr>
        <w:t xml:space="preserve"> v Sunderland City Council</w:t>
      </w:r>
      <w:r w:rsidR="00657664">
        <w:rPr>
          <w:rFonts w:ascii="Arial" w:hAnsi="Arial" w:cs="Arial"/>
          <w:lang w:val="en-US"/>
        </w:rPr>
        <w:t>,</w:t>
      </w:r>
      <w:bookmarkStart w:id="10" w:name="Thoburn_full_ref"/>
      <w:r w:rsidR="0005758C">
        <w:rPr>
          <w:rStyle w:val="FootnoteReference"/>
          <w:rFonts w:ascii="Arial" w:hAnsi="Arial" w:cs="Arial"/>
          <w:lang w:val="en-US"/>
        </w:rPr>
        <w:footnoteReference w:id="29"/>
      </w:r>
      <w:bookmarkEnd w:id="10"/>
      <w:r w:rsidR="00657664">
        <w:rPr>
          <w:rFonts w:ascii="Arial" w:hAnsi="Arial" w:cs="Arial"/>
          <w:lang w:val="en-US"/>
        </w:rPr>
        <w:t xml:space="preserve"> then retained EU law converted by sections 3 and 4</w:t>
      </w:r>
      <w:r w:rsidR="00C20FFB">
        <w:rPr>
          <w:rFonts w:ascii="Arial" w:hAnsi="Arial" w:cs="Arial"/>
          <w:lang w:val="en-US"/>
        </w:rPr>
        <w:t xml:space="preserve"> thereof might also be afforded some ‘degree of constitutional protection</w:t>
      </w:r>
      <w:r w:rsidR="005942FA">
        <w:rPr>
          <w:rFonts w:ascii="Arial" w:hAnsi="Arial" w:cs="Arial"/>
          <w:lang w:val="en-US"/>
        </w:rPr>
        <w:t>.</w:t>
      </w:r>
      <w:r w:rsidR="00C20FFB">
        <w:rPr>
          <w:rFonts w:ascii="Arial" w:hAnsi="Arial" w:cs="Arial"/>
          <w:lang w:val="en-US"/>
        </w:rPr>
        <w:t>’</w:t>
      </w:r>
      <w:r w:rsidR="00CD64A6">
        <w:rPr>
          <w:rStyle w:val="FootnoteReference"/>
          <w:rFonts w:ascii="Arial" w:hAnsi="Arial" w:cs="Arial"/>
          <w:lang w:val="en-US"/>
        </w:rPr>
        <w:footnoteReference w:id="30"/>
      </w:r>
      <w:r w:rsidR="005942FA">
        <w:rPr>
          <w:rFonts w:ascii="Arial" w:hAnsi="Arial" w:cs="Arial"/>
          <w:lang w:val="en-US"/>
        </w:rPr>
        <w:t xml:space="preserve">  As will be explored more fully hereafter, given the leading role played by chronology in a legal system based on parliamentary sovereignty, one law needs all the reinforcement it can get if it is to survive the knockout blow delivered – advertently but more often inadvertently – by a later one.  </w:t>
      </w:r>
      <w:r w:rsidR="0086338D">
        <w:rPr>
          <w:rFonts w:ascii="Arial" w:hAnsi="Arial" w:cs="Arial"/>
          <w:lang w:val="en-US"/>
        </w:rPr>
        <w:t xml:space="preserve">Nevertheless it would seem to be counter intuitive to domesticate a certain body of law with a view to amending it, only to render it invulnerable to amendment by cladding it in a suit of </w:t>
      </w:r>
      <w:proofErr w:type="spellStart"/>
      <w:r w:rsidR="0086338D">
        <w:rPr>
          <w:rFonts w:ascii="Arial" w:hAnsi="Arial" w:cs="Arial"/>
          <w:lang w:val="en-US"/>
        </w:rPr>
        <w:t>armour</w:t>
      </w:r>
      <w:proofErr w:type="spellEnd"/>
      <w:r w:rsidR="0086338D">
        <w:rPr>
          <w:rFonts w:ascii="Arial" w:hAnsi="Arial" w:cs="Arial"/>
          <w:lang w:val="en-US"/>
        </w:rPr>
        <w:t xml:space="preserve"> on arrival.</w:t>
      </w:r>
      <w:r w:rsidR="00B227D4">
        <w:rPr>
          <w:rFonts w:ascii="Arial" w:hAnsi="Arial" w:cs="Arial"/>
          <w:lang w:val="en-US"/>
        </w:rPr>
        <w:t xml:space="preserve">  </w:t>
      </w:r>
      <w:r w:rsidR="0086338D">
        <w:rPr>
          <w:rFonts w:ascii="Arial" w:hAnsi="Arial" w:cs="Arial"/>
          <w:lang w:val="en-US"/>
        </w:rPr>
        <w:t xml:space="preserve">The </w:t>
      </w:r>
      <w:r>
        <w:rPr>
          <w:rFonts w:ascii="Arial" w:hAnsi="Arial" w:cs="Arial"/>
          <w:lang w:val="en-US"/>
        </w:rPr>
        <w:t>most recent</w:t>
      </w:r>
      <w:r w:rsidR="0086338D">
        <w:rPr>
          <w:rFonts w:ascii="Arial" w:hAnsi="Arial" w:cs="Arial"/>
          <w:lang w:val="en-US"/>
        </w:rPr>
        <w:t xml:space="preserve"> contribution to the discussion</w:t>
      </w:r>
      <w:r w:rsidR="00601F28">
        <w:rPr>
          <w:rFonts w:ascii="Arial" w:hAnsi="Arial" w:cs="Arial"/>
          <w:lang w:val="en-US"/>
        </w:rPr>
        <w:t>, again as far as this author can gather,</w:t>
      </w:r>
      <w:r w:rsidR="0086338D">
        <w:rPr>
          <w:rFonts w:ascii="Arial" w:hAnsi="Arial" w:cs="Arial"/>
          <w:lang w:val="en-US"/>
        </w:rPr>
        <w:t xml:space="preserve"> was a</w:t>
      </w:r>
      <w:r w:rsidR="00293711">
        <w:rPr>
          <w:rFonts w:ascii="Arial" w:hAnsi="Arial" w:cs="Arial"/>
          <w:lang w:val="en-US"/>
        </w:rPr>
        <w:t xml:space="preserve"> blog post by Professor </w:t>
      </w:r>
      <w:r w:rsidR="00293711">
        <w:rPr>
          <w:rFonts w:ascii="Arial" w:hAnsi="Arial" w:cs="Arial"/>
        </w:rPr>
        <w:t xml:space="preserve">Young </w:t>
      </w:r>
      <w:r w:rsidR="0086338D">
        <w:rPr>
          <w:rFonts w:ascii="Arial" w:hAnsi="Arial" w:cs="Arial"/>
        </w:rPr>
        <w:t xml:space="preserve">from </w:t>
      </w:r>
      <w:r w:rsidR="0086338D">
        <w:rPr>
          <w:rFonts w:ascii="Arial" w:hAnsi="Arial" w:cs="Arial"/>
        </w:rPr>
        <w:lastRenderedPageBreak/>
        <w:t xml:space="preserve">May 2018 </w:t>
      </w:r>
      <w:r w:rsidR="00293711">
        <w:rPr>
          <w:rFonts w:ascii="Arial" w:hAnsi="Arial" w:cs="Arial"/>
        </w:rPr>
        <w:t xml:space="preserve">in which she expertly </w:t>
      </w:r>
      <w:r w:rsidR="004B12D3">
        <w:rPr>
          <w:rFonts w:ascii="Arial" w:hAnsi="Arial" w:cs="Arial"/>
        </w:rPr>
        <w:t>explored</w:t>
      </w:r>
      <w:r w:rsidR="00293711">
        <w:rPr>
          <w:rFonts w:ascii="Arial" w:hAnsi="Arial" w:cs="Arial"/>
        </w:rPr>
        <w:t xml:space="preserve"> the </w:t>
      </w:r>
      <w:r w:rsidR="00B227D4">
        <w:rPr>
          <w:rFonts w:ascii="Arial" w:hAnsi="Arial" w:cs="Arial"/>
        </w:rPr>
        <w:t xml:space="preserve">same </w:t>
      </w:r>
      <w:r w:rsidR="000C7CC9">
        <w:rPr>
          <w:rFonts w:ascii="Arial" w:hAnsi="Arial" w:cs="Arial"/>
        </w:rPr>
        <w:t>hypothesis</w:t>
      </w:r>
      <w:r w:rsidR="00B227D4">
        <w:rPr>
          <w:rFonts w:ascii="Arial" w:hAnsi="Arial" w:cs="Arial"/>
        </w:rPr>
        <w:t xml:space="preserve">: </w:t>
      </w:r>
      <w:r w:rsidR="00293711">
        <w:rPr>
          <w:rFonts w:ascii="Arial" w:hAnsi="Arial" w:cs="Arial"/>
        </w:rPr>
        <w:t>t</w:t>
      </w:r>
      <w:r w:rsidR="0016204B">
        <w:rPr>
          <w:rFonts w:ascii="Arial" w:hAnsi="Arial" w:cs="Arial"/>
        </w:rPr>
        <w:t xml:space="preserve">hat new legislation passed by Parliament on or after Exit Day may impliedly repeal </w:t>
      </w:r>
      <w:r w:rsidR="00F74FE1">
        <w:rPr>
          <w:rFonts w:ascii="Arial" w:hAnsi="Arial" w:cs="Arial"/>
        </w:rPr>
        <w:t>retained direct EU legislation.</w:t>
      </w:r>
      <w:r w:rsidR="00587CAD">
        <w:rPr>
          <w:rStyle w:val="FootnoteReference"/>
          <w:rFonts w:ascii="Arial" w:hAnsi="Arial" w:cs="Arial"/>
        </w:rPr>
        <w:footnoteReference w:id="31"/>
      </w:r>
    </w:p>
    <w:p w:rsidR="00B227D4" w:rsidRDefault="00B227D4" w:rsidP="00985067">
      <w:pPr>
        <w:spacing w:after="0" w:line="240" w:lineRule="auto"/>
        <w:contextualSpacing/>
        <w:jc w:val="both"/>
        <w:rPr>
          <w:rFonts w:ascii="Arial" w:hAnsi="Arial" w:cs="Arial"/>
        </w:rPr>
      </w:pPr>
    </w:p>
    <w:p w:rsidR="000E5988" w:rsidRPr="00B227D4" w:rsidRDefault="00F74FE1" w:rsidP="00985067">
      <w:pPr>
        <w:spacing w:after="0" w:line="240" w:lineRule="auto"/>
        <w:contextualSpacing/>
        <w:jc w:val="both"/>
        <w:rPr>
          <w:rFonts w:ascii="Arial" w:hAnsi="Arial" w:cs="Arial"/>
          <w:lang w:val="en-US"/>
        </w:rPr>
      </w:pPr>
      <w:r>
        <w:rPr>
          <w:rFonts w:ascii="Arial" w:hAnsi="Arial" w:cs="Arial"/>
        </w:rPr>
        <w:t>This first proposition investigate</w:t>
      </w:r>
      <w:r w:rsidR="00B227D4">
        <w:rPr>
          <w:rFonts w:ascii="Arial" w:hAnsi="Arial" w:cs="Arial"/>
        </w:rPr>
        <w:t>s</w:t>
      </w:r>
      <w:r>
        <w:rPr>
          <w:rFonts w:ascii="Arial" w:hAnsi="Arial" w:cs="Arial"/>
        </w:rPr>
        <w:t xml:space="preserve"> how serious the threat to EU Law is, principally by means of a case-study</w:t>
      </w:r>
      <w:r w:rsidR="00C05B9F">
        <w:rPr>
          <w:rFonts w:ascii="Arial" w:hAnsi="Arial" w:cs="Arial"/>
        </w:rPr>
        <w:t xml:space="preserve"> based on some real-life legislation which is currently before Parliament.  </w:t>
      </w:r>
      <w:r w:rsidR="002218EC">
        <w:rPr>
          <w:rFonts w:ascii="Arial" w:hAnsi="Arial" w:cs="Arial"/>
        </w:rPr>
        <w:t xml:space="preserve">The case-study will, however, deal with a </w:t>
      </w:r>
      <w:r w:rsidR="002218EC" w:rsidRPr="00AC5A0D">
        <w:rPr>
          <w:rFonts w:ascii="Arial" w:hAnsi="Arial" w:cs="Arial"/>
          <w:i/>
        </w:rPr>
        <w:t>Treaty</w:t>
      </w:r>
      <w:r w:rsidR="002218EC">
        <w:rPr>
          <w:rFonts w:ascii="Arial" w:hAnsi="Arial" w:cs="Arial"/>
        </w:rPr>
        <w:t xml:space="preserve"> right, which is not retained direct EU legislation under section 3 of the Act, but </w:t>
      </w:r>
      <w:r w:rsidR="00AC5A0D">
        <w:rPr>
          <w:rFonts w:ascii="Arial" w:hAnsi="Arial" w:cs="Arial"/>
        </w:rPr>
        <w:t xml:space="preserve">rather </w:t>
      </w:r>
      <w:r w:rsidR="000F23E1">
        <w:rPr>
          <w:rFonts w:ascii="Arial" w:hAnsi="Arial" w:cs="Arial"/>
        </w:rPr>
        <w:t xml:space="preserve">EU Law which is retained by virtue of section 4 of the Act, </w:t>
      </w:r>
      <w:r w:rsidR="000E5988">
        <w:rPr>
          <w:rFonts w:ascii="Arial" w:hAnsi="Arial" w:cs="Arial"/>
        </w:rPr>
        <w:t>referred to simply as ‘directly effective rights’ in t</w:t>
      </w:r>
      <w:r w:rsidR="002218EC">
        <w:rPr>
          <w:rFonts w:ascii="Arial" w:hAnsi="Arial" w:cs="Arial"/>
        </w:rPr>
        <w:t>he Explanatory Notes.</w:t>
      </w:r>
      <w:r w:rsidR="00BE6C72">
        <w:rPr>
          <w:rStyle w:val="FootnoteReference"/>
          <w:rFonts w:ascii="Arial" w:hAnsi="Arial" w:cs="Arial"/>
        </w:rPr>
        <w:footnoteReference w:id="32"/>
      </w:r>
      <w:r w:rsidR="00AC5A0D">
        <w:rPr>
          <w:rFonts w:ascii="Arial" w:hAnsi="Arial" w:cs="Arial"/>
        </w:rPr>
        <w:t xml:space="preserve">  In the present author’s opinion, such law </w:t>
      </w:r>
      <w:r w:rsidR="000E5988">
        <w:rPr>
          <w:rFonts w:ascii="Arial" w:hAnsi="Arial" w:cs="Arial"/>
        </w:rPr>
        <w:t>could be equally vulnerable to implied repeal, though, and that is so even if, as the Explanatory Notes warn, ‘</w:t>
      </w:r>
      <w:r w:rsidR="000E5988" w:rsidRPr="000E5988">
        <w:rPr>
          <w:rFonts w:ascii="Arial" w:hAnsi="Arial" w:cs="Arial"/>
        </w:rPr>
        <w:t>it is the right which is retained, not the text of the Article itself</w:t>
      </w:r>
      <w:r w:rsidR="000E5988">
        <w:rPr>
          <w:rFonts w:ascii="Arial" w:hAnsi="Arial" w:cs="Arial"/>
        </w:rPr>
        <w:t>’</w:t>
      </w:r>
      <w:r w:rsidR="000E5988" w:rsidRPr="000E5988">
        <w:rPr>
          <w:rFonts w:ascii="Arial" w:hAnsi="Arial" w:cs="Arial"/>
        </w:rPr>
        <w:t>.</w:t>
      </w:r>
      <w:r w:rsidR="00BE6C72">
        <w:rPr>
          <w:rStyle w:val="FootnoteReference"/>
          <w:rFonts w:ascii="Arial" w:hAnsi="Arial" w:cs="Arial"/>
        </w:rPr>
        <w:footnoteReference w:id="33"/>
      </w:r>
      <w:r w:rsidR="0048664C">
        <w:rPr>
          <w:rFonts w:ascii="Arial" w:hAnsi="Arial" w:cs="Arial"/>
        </w:rPr>
        <w:t xml:space="preserve">  This is not the place for a discussion of whether rights can exist without law, although Parliament’s </w:t>
      </w:r>
      <w:r w:rsidR="00484245">
        <w:rPr>
          <w:rFonts w:ascii="Arial" w:hAnsi="Arial" w:cs="Arial"/>
        </w:rPr>
        <w:t>decision to exclude the text – if the Notes may be trusted on this point</w:t>
      </w:r>
      <w:bookmarkStart w:id="11" w:name="No_text_footnote"/>
      <w:r w:rsidR="004D2E90">
        <w:rPr>
          <w:rStyle w:val="FootnoteReference"/>
          <w:rFonts w:ascii="Arial" w:hAnsi="Arial" w:cs="Arial"/>
        </w:rPr>
        <w:footnoteReference w:id="34"/>
      </w:r>
      <w:bookmarkEnd w:id="11"/>
      <w:r w:rsidR="00484245">
        <w:rPr>
          <w:rFonts w:ascii="Arial" w:hAnsi="Arial" w:cs="Arial"/>
        </w:rPr>
        <w:t xml:space="preserve"> – is deeply problematic as some of the rights are complex and it is unthinkable that British judges would not have recourse </w:t>
      </w:r>
      <w:r w:rsidR="00BE6C72">
        <w:rPr>
          <w:rFonts w:ascii="Arial" w:hAnsi="Arial" w:cs="Arial"/>
        </w:rPr>
        <w:t xml:space="preserve">to </w:t>
      </w:r>
      <w:r w:rsidR="00484245">
        <w:rPr>
          <w:rFonts w:ascii="Arial" w:hAnsi="Arial" w:cs="Arial"/>
        </w:rPr>
        <w:t>the words ‘behind’ the rights when enforcing them from the Bench.  These words may then clash with future words to be written by Parliament.  If the result of the clash must be described as ‘implied vitiation’ rather than ‘implied repeal,’ then so be it.</w:t>
      </w:r>
    </w:p>
    <w:p w:rsidR="000E5988" w:rsidRDefault="000E5988" w:rsidP="00985067">
      <w:pPr>
        <w:spacing w:after="0" w:line="240" w:lineRule="auto"/>
        <w:contextualSpacing/>
        <w:jc w:val="both"/>
        <w:rPr>
          <w:rFonts w:ascii="Arial" w:hAnsi="Arial" w:cs="Arial"/>
        </w:rPr>
      </w:pPr>
    </w:p>
    <w:p w:rsidR="002218EC" w:rsidRPr="00300B83" w:rsidRDefault="00300B83" w:rsidP="00985067">
      <w:pPr>
        <w:spacing w:after="0" w:line="240" w:lineRule="auto"/>
        <w:contextualSpacing/>
        <w:jc w:val="both"/>
        <w:rPr>
          <w:rFonts w:ascii="Arial" w:hAnsi="Arial" w:cs="Arial"/>
          <w:b/>
        </w:rPr>
      </w:pPr>
      <w:r w:rsidRPr="00300B83">
        <w:rPr>
          <w:rFonts w:ascii="Arial" w:hAnsi="Arial" w:cs="Arial"/>
          <w:b/>
        </w:rPr>
        <w:t>The ban on cold-calling in the pensions sector as a case-study</w:t>
      </w:r>
    </w:p>
    <w:p w:rsidR="002218EC" w:rsidRPr="00300B83" w:rsidRDefault="002218EC" w:rsidP="00985067">
      <w:pPr>
        <w:spacing w:after="0" w:line="240" w:lineRule="auto"/>
        <w:contextualSpacing/>
        <w:jc w:val="both"/>
        <w:rPr>
          <w:rFonts w:ascii="Arial" w:hAnsi="Arial" w:cs="Arial"/>
          <w:b/>
        </w:rPr>
      </w:pPr>
    </w:p>
    <w:p w:rsidR="003852D2" w:rsidRDefault="00CD508F" w:rsidP="00985067">
      <w:pPr>
        <w:spacing w:after="0" w:line="240" w:lineRule="auto"/>
        <w:contextualSpacing/>
        <w:jc w:val="both"/>
        <w:rPr>
          <w:rFonts w:ascii="Arial" w:hAnsi="Arial" w:cs="Arial"/>
        </w:rPr>
      </w:pPr>
      <w:r>
        <w:rPr>
          <w:rFonts w:ascii="Arial" w:hAnsi="Arial" w:cs="Arial"/>
        </w:rPr>
        <w:t>At the time of writing, the UK government is committed to passing a ban on so-called ‘cold calling’ in the pensions sector, so as to eliminate the threat of pension scams which often cost victims their life savings</w:t>
      </w:r>
      <w:r w:rsidR="001F5C04">
        <w:rPr>
          <w:rFonts w:ascii="Arial" w:hAnsi="Arial" w:cs="Arial"/>
        </w:rPr>
        <w:t>.</w:t>
      </w:r>
      <w:r w:rsidR="001F5C04">
        <w:rPr>
          <w:rStyle w:val="FootnoteReference"/>
          <w:rFonts w:ascii="Arial" w:hAnsi="Arial" w:cs="Arial"/>
        </w:rPr>
        <w:footnoteReference w:id="35"/>
      </w:r>
      <w:r>
        <w:rPr>
          <w:rFonts w:ascii="Arial" w:hAnsi="Arial" w:cs="Arial"/>
        </w:rPr>
        <w:t xml:space="preserve">  Meanwhile, it may be remembered that when the Dutch government attempted such a ban in </w:t>
      </w:r>
      <w:r w:rsidR="0021342C">
        <w:rPr>
          <w:rFonts w:ascii="Arial" w:hAnsi="Arial" w:cs="Arial"/>
        </w:rPr>
        <w:t>1991</w:t>
      </w:r>
      <w:r>
        <w:rPr>
          <w:rFonts w:ascii="Arial" w:hAnsi="Arial" w:cs="Arial"/>
        </w:rPr>
        <w:t>, the Court of Justice ruled that, at least in principle, this was a violation of the freedom to provide services.</w:t>
      </w:r>
      <w:bookmarkStart w:id="12" w:name="Alpine"/>
      <w:r w:rsidR="003852D2">
        <w:rPr>
          <w:rStyle w:val="FootnoteReference"/>
          <w:rFonts w:ascii="Arial" w:hAnsi="Arial" w:cs="Arial"/>
        </w:rPr>
        <w:footnoteReference w:id="36"/>
      </w:r>
      <w:bookmarkEnd w:id="12"/>
      <w:r>
        <w:rPr>
          <w:rFonts w:ascii="Arial" w:hAnsi="Arial" w:cs="Arial"/>
        </w:rPr>
        <w:t xml:space="preserve">  </w:t>
      </w:r>
      <w:r w:rsidR="002B44E8">
        <w:rPr>
          <w:rFonts w:ascii="Arial" w:hAnsi="Arial" w:cs="Arial"/>
        </w:rPr>
        <w:t>A Statutory I</w:t>
      </w:r>
      <w:r w:rsidR="00022891">
        <w:rPr>
          <w:rFonts w:ascii="Arial" w:hAnsi="Arial" w:cs="Arial"/>
        </w:rPr>
        <w:t xml:space="preserve">nstrument providing for the UK ban, to be entitled the </w:t>
      </w:r>
      <w:r w:rsidR="00E47230">
        <w:rPr>
          <w:rFonts w:ascii="Arial" w:hAnsi="Arial" w:cs="Arial"/>
        </w:rPr>
        <w:t xml:space="preserve">Privacy and </w:t>
      </w:r>
      <w:r w:rsidR="00022891" w:rsidRPr="00985067">
        <w:rPr>
          <w:rFonts w:ascii="Arial" w:hAnsi="Arial" w:cs="Arial"/>
          <w:lang w:val="en-US"/>
        </w:rPr>
        <w:t xml:space="preserve">Electronic Communications (Amendment) </w:t>
      </w:r>
      <w:r w:rsidR="00022891">
        <w:rPr>
          <w:rFonts w:ascii="Arial" w:hAnsi="Arial" w:cs="Arial"/>
          <w:lang w:val="en-US"/>
        </w:rPr>
        <w:t xml:space="preserve">(No 2) </w:t>
      </w:r>
      <w:r w:rsidR="00022891" w:rsidRPr="00985067">
        <w:rPr>
          <w:rFonts w:ascii="Arial" w:hAnsi="Arial" w:cs="Arial"/>
          <w:lang w:val="en-US"/>
        </w:rPr>
        <w:t>Regulations</w:t>
      </w:r>
      <w:r w:rsidR="00022891">
        <w:rPr>
          <w:rFonts w:ascii="Arial" w:hAnsi="Arial" w:cs="Arial"/>
          <w:lang w:val="en-US"/>
        </w:rPr>
        <w:t>,</w:t>
      </w:r>
      <w:r w:rsidR="00022891">
        <w:rPr>
          <w:rFonts w:ascii="Arial" w:hAnsi="Arial" w:cs="Arial"/>
        </w:rPr>
        <w:t xml:space="preserve"> is anticipated shortly, and one imagines that it could be challenged</w:t>
      </w:r>
      <w:r w:rsidR="00671ACD">
        <w:rPr>
          <w:rFonts w:ascii="Arial" w:hAnsi="Arial" w:cs="Arial"/>
        </w:rPr>
        <w:t xml:space="preserve"> in the UK</w:t>
      </w:r>
      <w:r w:rsidR="00022891">
        <w:rPr>
          <w:rFonts w:ascii="Arial" w:hAnsi="Arial" w:cs="Arial"/>
        </w:rPr>
        <w:t>, on the basis of an alleged breach of Article 56 TFEU, once passed.  Ho</w:t>
      </w:r>
      <w:r w:rsidR="003852D2">
        <w:rPr>
          <w:rFonts w:ascii="Arial" w:hAnsi="Arial" w:cs="Arial"/>
        </w:rPr>
        <w:t>w</w:t>
      </w:r>
      <w:r w:rsidR="00022891">
        <w:rPr>
          <w:rFonts w:ascii="Arial" w:hAnsi="Arial" w:cs="Arial"/>
        </w:rPr>
        <w:t xml:space="preserve">ever, for the purposes of this section, I would like to imagine that the British regulations are not in fact passed until after </w:t>
      </w:r>
      <w:r w:rsidR="004E1725">
        <w:rPr>
          <w:rFonts w:ascii="Arial" w:hAnsi="Arial" w:cs="Arial"/>
        </w:rPr>
        <w:t>Exit Day</w:t>
      </w:r>
      <w:r w:rsidR="00022891">
        <w:rPr>
          <w:rFonts w:ascii="Arial" w:hAnsi="Arial" w:cs="Arial"/>
        </w:rPr>
        <w:t xml:space="preserve">, the day on which Article 56 TFEU </w:t>
      </w:r>
      <w:r w:rsidR="002403C7">
        <w:rPr>
          <w:rFonts w:ascii="Arial" w:hAnsi="Arial" w:cs="Arial"/>
        </w:rPr>
        <w:t xml:space="preserve">becomes part of </w:t>
      </w:r>
      <w:r w:rsidR="00022891">
        <w:rPr>
          <w:rFonts w:ascii="Arial" w:hAnsi="Arial" w:cs="Arial"/>
        </w:rPr>
        <w:t>domestic law.</w:t>
      </w:r>
      <w:r w:rsidR="00A61A3F">
        <w:rPr>
          <w:rStyle w:val="FootnoteReference"/>
          <w:rFonts w:ascii="Arial" w:hAnsi="Arial" w:cs="Arial"/>
        </w:rPr>
        <w:footnoteReference w:id="37"/>
      </w:r>
      <w:r w:rsidR="00022891">
        <w:rPr>
          <w:rFonts w:ascii="Arial" w:hAnsi="Arial" w:cs="Arial"/>
        </w:rPr>
        <w:t xml:space="preserve">  </w:t>
      </w:r>
    </w:p>
    <w:p w:rsidR="003852D2" w:rsidRDefault="003852D2" w:rsidP="00985067">
      <w:pPr>
        <w:spacing w:after="0" w:line="240" w:lineRule="auto"/>
        <w:contextualSpacing/>
        <w:jc w:val="both"/>
        <w:rPr>
          <w:rFonts w:ascii="Arial" w:hAnsi="Arial" w:cs="Arial"/>
        </w:rPr>
      </w:pPr>
    </w:p>
    <w:p w:rsidR="00985067" w:rsidRDefault="00985067" w:rsidP="00985067">
      <w:pPr>
        <w:spacing w:after="0" w:line="240" w:lineRule="auto"/>
        <w:contextualSpacing/>
        <w:jc w:val="both"/>
        <w:rPr>
          <w:rFonts w:ascii="Arial" w:hAnsi="Arial" w:cs="Arial"/>
          <w:lang w:val="en-US"/>
        </w:rPr>
      </w:pPr>
      <w:r w:rsidRPr="00985067">
        <w:rPr>
          <w:rFonts w:ascii="Arial" w:hAnsi="Arial" w:cs="Arial"/>
        </w:rPr>
        <w:t xml:space="preserve">So let us suppose now </w:t>
      </w:r>
      <w:r w:rsidR="003852D2">
        <w:rPr>
          <w:rFonts w:ascii="Arial" w:hAnsi="Arial" w:cs="Arial"/>
        </w:rPr>
        <w:t xml:space="preserve">that it is after </w:t>
      </w:r>
      <w:r w:rsidR="004E1725">
        <w:rPr>
          <w:rFonts w:ascii="Arial" w:hAnsi="Arial" w:cs="Arial"/>
        </w:rPr>
        <w:t>Exit Day</w:t>
      </w:r>
      <w:r w:rsidR="003852D2">
        <w:rPr>
          <w:rFonts w:ascii="Arial" w:hAnsi="Arial" w:cs="Arial"/>
        </w:rPr>
        <w:t xml:space="preserve">, and </w:t>
      </w:r>
      <w:r w:rsidRPr="00985067">
        <w:rPr>
          <w:rFonts w:ascii="Arial" w:hAnsi="Arial" w:cs="Arial"/>
        </w:rPr>
        <w:t xml:space="preserve">that the </w:t>
      </w:r>
      <w:r w:rsidRPr="00985067">
        <w:rPr>
          <w:rFonts w:ascii="Arial" w:hAnsi="Arial" w:cs="Arial"/>
          <w:lang w:val="en-US"/>
        </w:rPr>
        <w:t xml:space="preserve">Privacy and Electronic Communications (Amendment) </w:t>
      </w:r>
      <w:r w:rsidR="00CD508F">
        <w:rPr>
          <w:rFonts w:ascii="Arial" w:hAnsi="Arial" w:cs="Arial"/>
          <w:lang w:val="en-US"/>
        </w:rPr>
        <w:t xml:space="preserve">(No 2) </w:t>
      </w:r>
      <w:r w:rsidRPr="00985067">
        <w:rPr>
          <w:rFonts w:ascii="Arial" w:hAnsi="Arial" w:cs="Arial"/>
          <w:lang w:val="en-US"/>
        </w:rPr>
        <w:t xml:space="preserve">Regulations </w:t>
      </w:r>
      <w:r w:rsidR="003852D2">
        <w:rPr>
          <w:rFonts w:ascii="Arial" w:hAnsi="Arial" w:cs="Arial"/>
          <w:lang w:val="en-US"/>
        </w:rPr>
        <w:t xml:space="preserve">2019 have just come into force.  </w:t>
      </w:r>
      <w:r w:rsidRPr="00985067">
        <w:rPr>
          <w:rFonts w:ascii="Arial" w:hAnsi="Arial" w:cs="Arial"/>
          <w:lang w:val="en-US"/>
        </w:rPr>
        <w:t xml:space="preserve">A </w:t>
      </w:r>
      <w:r w:rsidR="003F6A81">
        <w:rPr>
          <w:rFonts w:ascii="Arial" w:hAnsi="Arial" w:cs="Arial"/>
          <w:lang w:val="en-US"/>
        </w:rPr>
        <w:t xml:space="preserve">British </w:t>
      </w:r>
      <w:r w:rsidR="003852D2">
        <w:rPr>
          <w:rFonts w:ascii="Arial" w:hAnsi="Arial" w:cs="Arial"/>
          <w:lang w:val="en-US"/>
        </w:rPr>
        <w:t xml:space="preserve">service provider, working in the pensions sector and </w:t>
      </w:r>
      <w:r w:rsidRPr="00985067">
        <w:rPr>
          <w:rFonts w:ascii="Arial" w:hAnsi="Arial" w:cs="Arial"/>
          <w:lang w:val="en-US"/>
        </w:rPr>
        <w:t>wishing to use cold calling as a method of developing their business</w:t>
      </w:r>
      <w:r w:rsidR="003852D2">
        <w:rPr>
          <w:rFonts w:ascii="Arial" w:hAnsi="Arial" w:cs="Arial"/>
          <w:lang w:val="en-US"/>
        </w:rPr>
        <w:t>,</w:t>
      </w:r>
      <w:r w:rsidRPr="00985067">
        <w:rPr>
          <w:rFonts w:ascii="Arial" w:hAnsi="Arial" w:cs="Arial"/>
          <w:lang w:val="en-US"/>
        </w:rPr>
        <w:t xml:space="preserve"> challenges these Regulatio</w:t>
      </w:r>
      <w:r w:rsidR="00EB3E1C">
        <w:rPr>
          <w:rFonts w:ascii="Arial" w:hAnsi="Arial" w:cs="Arial"/>
          <w:lang w:val="en-US"/>
        </w:rPr>
        <w:t xml:space="preserve">ns as </w:t>
      </w:r>
      <w:proofErr w:type="spellStart"/>
      <w:r w:rsidR="00EB3E1C">
        <w:rPr>
          <w:rFonts w:ascii="Arial" w:hAnsi="Arial" w:cs="Arial"/>
          <w:lang w:val="en-US"/>
        </w:rPr>
        <w:t>violative</w:t>
      </w:r>
      <w:proofErr w:type="spellEnd"/>
      <w:r w:rsidR="00EB3E1C">
        <w:rPr>
          <w:rFonts w:ascii="Arial" w:hAnsi="Arial" w:cs="Arial"/>
          <w:lang w:val="en-US"/>
        </w:rPr>
        <w:t xml:space="preserve"> of </w:t>
      </w:r>
      <w:r w:rsidR="00C83767">
        <w:rPr>
          <w:rFonts w:ascii="Arial" w:hAnsi="Arial" w:cs="Arial"/>
          <w:lang w:val="en-US"/>
        </w:rPr>
        <w:t>ex-</w:t>
      </w:r>
      <w:r w:rsidR="00EB3E1C">
        <w:rPr>
          <w:rFonts w:ascii="Arial" w:hAnsi="Arial" w:cs="Arial"/>
          <w:lang w:val="en-US"/>
        </w:rPr>
        <w:t>Article 56</w:t>
      </w:r>
      <w:r w:rsidR="00C83767">
        <w:rPr>
          <w:rFonts w:ascii="Arial" w:hAnsi="Arial" w:cs="Arial"/>
          <w:lang w:val="en-US"/>
        </w:rPr>
        <w:t xml:space="preserve"> </w:t>
      </w:r>
      <w:r w:rsidR="00C83767">
        <w:rPr>
          <w:rFonts w:ascii="Arial" w:hAnsi="Arial" w:cs="Arial"/>
          <w:lang w:val="en-US"/>
        </w:rPr>
        <w:lastRenderedPageBreak/>
        <w:t>TFEU</w:t>
      </w:r>
      <w:r w:rsidR="00671ACD">
        <w:rPr>
          <w:rFonts w:ascii="Arial" w:hAnsi="Arial" w:cs="Arial"/>
          <w:lang w:val="en-US"/>
        </w:rPr>
        <w:t>.</w:t>
      </w:r>
      <w:r w:rsidR="00C83767" w:rsidRPr="00985067">
        <w:rPr>
          <w:rFonts w:ascii="Arial" w:hAnsi="Arial" w:cs="Arial"/>
          <w:vertAlign w:val="superscript"/>
          <w:lang w:val="en-US"/>
        </w:rPr>
        <w:footnoteReference w:id="38"/>
      </w:r>
      <w:r w:rsidR="00671ACD">
        <w:rPr>
          <w:rFonts w:ascii="Arial" w:hAnsi="Arial" w:cs="Arial"/>
          <w:lang w:val="en-US"/>
        </w:rPr>
        <w:t xml:space="preserve">  </w:t>
      </w:r>
      <w:r w:rsidR="003852D2">
        <w:rPr>
          <w:rFonts w:ascii="Arial" w:hAnsi="Arial" w:cs="Arial"/>
          <w:lang w:val="en-US"/>
        </w:rPr>
        <w:t>It is submitted that t</w:t>
      </w:r>
      <w:r w:rsidRPr="00985067">
        <w:rPr>
          <w:rFonts w:ascii="Arial" w:hAnsi="Arial" w:cs="Arial"/>
          <w:lang w:val="en-US"/>
        </w:rPr>
        <w:t xml:space="preserve">hey may fail </w:t>
      </w:r>
      <w:r w:rsidR="00671ACD">
        <w:rPr>
          <w:rFonts w:ascii="Arial" w:hAnsi="Arial" w:cs="Arial"/>
          <w:lang w:val="en-US"/>
        </w:rPr>
        <w:t xml:space="preserve">in this challenge </w:t>
      </w:r>
      <w:r w:rsidRPr="00985067">
        <w:rPr>
          <w:rFonts w:ascii="Arial" w:hAnsi="Arial" w:cs="Arial"/>
          <w:lang w:val="en-US"/>
        </w:rPr>
        <w:t>for two reasons, one obvious but remediable, and the other with more far reaching consequences.</w:t>
      </w:r>
    </w:p>
    <w:p w:rsidR="00D447F0" w:rsidRPr="00985067" w:rsidRDefault="00D447F0" w:rsidP="00985067">
      <w:pPr>
        <w:spacing w:after="0" w:line="240" w:lineRule="auto"/>
        <w:contextualSpacing/>
        <w:jc w:val="both"/>
        <w:rPr>
          <w:rFonts w:ascii="Arial" w:hAnsi="Arial" w:cs="Arial"/>
          <w:lang w:val="en-US"/>
        </w:rPr>
      </w:pPr>
    </w:p>
    <w:p w:rsidR="00985067" w:rsidRDefault="00985067" w:rsidP="00985067">
      <w:pPr>
        <w:spacing w:after="0" w:line="240" w:lineRule="auto"/>
        <w:contextualSpacing/>
        <w:jc w:val="both"/>
        <w:rPr>
          <w:rFonts w:ascii="Arial" w:hAnsi="Arial" w:cs="Arial"/>
          <w:lang w:val="en-US"/>
        </w:rPr>
      </w:pPr>
      <w:r w:rsidRPr="00985067">
        <w:rPr>
          <w:rFonts w:ascii="Arial" w:hAnsi="Arial" w:cs="Arial"/>
          <w:lang w:val="en-US"/>
        </w:rPr>
        <w:t>Dealing with the obviou</w:t>
      </w:r>
      <w:r w:rsidR="00EB3E1C">
        <w:rPr>
          <w:rFonts w:ascii="Arial" w:hAnsi="Arial" w:cs="Arial"/>
          <w:lang w:val="en-US"/>
        </w:rPr>
        <w:t>s but remediable reason first,</w:t>
      </w:r>
      <w:r w:rsidR="00C83767">
        <w:rPr>
          <w:rFonts w:ascii="Arial" w:hAnsi="Arial" w:cs="Arial"/>
          <w:lang w:val="en-US"/>
        </w:rPr>
        <w:t xml:space="preserve"> this concerns the wording of Article 56 TFEU itself:</w:t>
      </w:r>
    </w:p>
    <w:p w:rsidR="00C83767" w:rsidRDefault="00C83767" w:rsidP="00985067">
      <w:pPr>
        <w:spacing w:after="0" w:line="240" w:lineRule="auto"/>
        <w:contextualSpacing/>
        <w:jc w:val="both"/>
        <w:rPr>
          <w:rFonts w:ascii="Arial" w:hAnsi="Arial" w:cs="Arial"/>
          <w:lang w:val="en-US"/>
        </w:rPr>
      </w:pPr>
    </w:p>
    <w:p w:rsidR="00C83767" w:rsidRPr="00C83767" w:rsidRDefault="00C83767" w:rsidP="00C83767">
      <w:pPr>
        <w:spacing w:after="0" w:line="240" w:lineRule="auto"/>
        <w:ind w:left="720"/>
        <w:contextualSpacing/>
        <w:rPr>
          <w:rFonts w:ascii="Arial" w:hAnsi="Arial" w:cs="Arial"/>
          <w:i/>
        </w:rPr>
      </w:pPr>
      <w:r w:rsidRPr="00C83767">
        <w:rPr>
          <w:rFonts w:ascii="Arial" w:hAnsi="Arial" w:cs="Arial"/>
          <w:i/>
        </w:rPr>
        <w:t>Within the framework of the provisions set out below, restrictions on freedom to provide services within the Union shall be prohibited in respect of nationals of Member States who are established in a Member State other than that of the person for whom the services are intended.</w:t>
      </w:r>
    </w:p>
    <w:p w:rsidR="00C83767" w:rsidRPr="00C83767" w:rsidRDefault="00C83767" w:rsidP="00C83767">
      <w:pPr>
        <w:spacing w:after="0" w:line="240" w:lineRule="auto"/>
        <w:ind w:left="720"/>
        <w:contextualSpacing/>
        <w:rPr>
          <w:rFonts w:ascii="Arial" w:hAnsi="Arial" w:cs="Arial"/>
          <w:i/>
        </w:rPr>
      </w:pPr>
    </w:p>
    <w:p w:rsidR="00C83767" w:rsidRPr="00C83767" w:rsidRDefault="00C83767" w:rsidP="00C83767">
      <w:pPr>
        <w:spacing w:after="0" w:line="240" w:lineRule="auto"/>
        <w:ind w:left="720"/>
        <w:contextualSpacing/>
        <w:rPr>
          <w:rFonts w:ascii="Arial" w:hAnsi="Arial" w:cs="Arial"/>
          <w:i/>
        </w:rPr>
      </w:pPr>
      <w:r w:rsidRPr="00C83767">
        <w:rPr>
          <w:rFonts w:ascii="Arial" w:hAnsi="Arial" w:cs="Arial"/>
          <w:i/>
        </w:rPr>
        <w:t>The European Parliament and the Council, acting in accordance with the ordinary legislative procedure, may extend the provisions of the Chapter to nationals of a third country who provide services and who are established within the Union.</w:t>
      </w:r>
    </w:p>
    <w:p w:rsidR="00D447F0" w:rsidRPr="00C83767" w:rsidRDefault="00D447F0" w:rsidP="00985067">
      <w:pPr>
        <w:spacing w:after="0" w:line="240" w:lineRule="auto"/>
        <w:contextualSpacing/>
        <w:jc w:val="both"/>
        <w:rPr>
          <w:rFonts w:ascii="Arial" w:hAnsi="Arial" w:cs="Arial"/>
          <w:i/>
          <w:lang w:val="en-US"/>
        </w:rPr>
      </w:pPr>
    </w:p>
    <w:p w:rsidR="00985067" w:rsidRDefault="00C83767" w:rsidP="00985067">
      <w:pPr>
        <w:spacing w:after="0" w:line="240" w:lineRule="auto"/>
        <w:contextualSpacing/>
        <w:jc w:val="both"/>
        <w:rPr>
          <w:rFonts w:ascii="Arial" w:hAnsi="Arial" w:cs="Arial"/>
          <w:lang w:val="en-US"/>
        </w:rPr>
      </w:pPr>
      <w:r>
        <w:rPr>
          <w:rFonts w:ascii="Arial" w:hAnsi="Arial" w:cs="Arial"/>
          <w:lang w:val="en-US"/>
        </w:rPr>
        <w:t xml:space="preserve">It will be seen that, once domesticated, the (now ex-) Article does not work in the context of the UK, which post Exit Day will no longer </w:t>
      </w:r>
      <w:r w:rsidR="003F6A81">
        <w:rPr>
          <w:rFonts w:ascii="Arial" w:hAnsi="Arial" w:cs="Arial"/>
          <w:lang w:val="en-US"/>
        </w:rPr>
        <w:t xml:space="preserve">be a Member State.  Thus the ex-Article cannot protect our challenger, even if – hypothetically – his or her cold calling, and the follow-up services, if any, are targeted at customers in the EU27, as it will then be.  </w:t>
      </w:r>
      <w:r w:rsidR="001E4771">
        <w:rPr>
          <w:rFonts w:ascii="Arial" w:hAnsi="Arial" w:cs="Arial"/>
          <w:lang w:val="en-US"/>
        </w:rPr>
        <w:t xml:space="preserve">If we assume, then, </w:t>
      </w:r>
      <w:r w:rsidR="00985067" w:rsidRPr="00985067">
        <w:rPr>
          <w:rFonts w:ascii="Arial" w:hAnsi="Arial" w:cs="Arial"/>
          <w:lang w:val="en-US"/>
        </w:rPr>
        <w:t>that between Exit Day and the challenge, the deficiencies of Article 56 had been remedied by a Minister pursuant to the enabling power in s</w:t>
      </w:r>
      <w:r w:rsidR="001E4771">
        <w:rPr>
          <w:rFonts w:ascii="Arial" w:hAnsi="Arial" w:cs="Arial"/>
          <w:lang w:val="en-US"/>
        </w:rPr>
        <w:t xml:space="preserve">ection </w:t>
      </w:r>
      <w:r w:rsidR="00985067" w:rsidRPr="00985067">
        <w:rPr>
          <w:rFonts w:ascii="Arial" w:hAnsi="Arial" w:cs="Arial"/>
          <w:lang w:val="en-US"/>
        </w:rPr>
        <w:t xml:space="preserve">8 of the </w:t>
      </w:r>
      <w:r w:rsidR="001E4771">
        <w:rPr>
          <w:rFonts w:ascii="Arial" w:hAnsi="Arial" w:cs="Arial"/>
          <w:lang w:val="en-US"/>
        </w:rPr>
        <w:t>European Union (</w:t>
      </w:r>
      <w:r w:rsidR="00985067" w:rsidRPr="00985067">
        <w:rPr>
          <w:rFonts w:ascii="Arial" w:hAnsi="Arial" w:cs="Arial"/>
          <w:lang w:val="en-US"/>
        </w:rPr>
        <w:t>Withdrawal</w:t>
      </w:r>
      <w:r w:rsidR="001E4771">
        <w:rPr>
          <w:rFonts w:ascii="Arial" w:hAnsi="Arial" w:cs="Arial"/>
          <w:lang w:val="en-US"/>
        </w:rPr>
        <w:t>)</w:t>
      </w:r>
      <w:r w:rsidR="00985067" w:rsidRPr="00985067">
        <w:rPr>
          <w:rFonts w:ascii="Arial" w:hAnsi="Arial" w:cs="Arial"/>
          <w:lang w:val="en-US"/>
        </w:rPr>
        <w:t xml:space="preserve"> Act</w:t>
      </w:r>
      <w:r w:rsidR="001E4771">
        <w:rPr>
          <w:rFonts w:ascii="Arial" w:hAnsi="Arial" w:cs="Arial"/>
          <w:lang w:val="en-US"/>
        </w:rPr>
        <w:t xml:space="preserve"> 2018</w:t>
      </w:r>
      <w:r w:rsidR="00985067" w:rsidRPr="00985067">
        <w:rPr>
          <w:rFonts w:ascii="Arial" w:hAnsi="Arial" w:cs="Arial"/>
          <w:lang w:val="en-US"/>
        </w:rPr>
        <w:t>,</w:t>
      </w:r>
      <w:r w:rsidR="00985067" w:rsidRPr="00985067">
        <w:rPr>
          <w:rFonts w:ascii="Arial" w:hAnsi="Arial" w:cs="Arial"/>
          <w:vertAlign w:val="superscript"/>
          <w:lang w:val="en-US"/>
        </w:rPr>
        <w:footnoteReference w:id="39"/>
      </w:r>
      <w:r w:rsidR="00985067" w:rsidRPr="00985067">
        <w:rPr>
          <w:rFonts w:ascii="Arial" w:hAnsi="Arial" w:cs="Arial"/>
          <w:lang w:val="en-US"/>
        </w:rPr>
        <w:t xml:space="preserve"> </w:t>
      </w:r>
      <w:r w:rsidR="001E4771">
        <w:rPr>
          <w:rFonts w:ascii="Arial" w:hAnsi="Arial" w:cs="Arial"/>
          <w:lang w:val="en-US"/>
        </w:rPr>
        <w:t xml:space="preserve">with the European provision reworded so as to operate in the UK context, </w:t>
      </w:r>
      <w:r w:rsidR="00985067" w:rsidRPr="00985067">
        <w:rPr>
          <w:rFonts w:ascii="Arial" w:hAnsi="Arial" w:cs="Arial"/>
          <w:lang w:val="en-US"/>
        </w:rPr>
        <w:t xml:space="preserve">then we may turn to the second reason for the challenging service provider’s failure to successfully invoke ex-Article 56 as against the Privacy and Electronic Communications (Amendment) </w:t>
      </w:r>
      <w:r w:rsidR="00671ACD">
        <w:rPr>
          <w:rFonts w:ascii="Arial" w:hAnsi="Arial" w:cs="Arial"/>
          <w:lang w:val="en-US"/>
        </w:rPr>
        <w:t>(No 2) Regulations 2019</w:t>
      </w:r>
      <w:r w:rsidR="00985067" w:rsidRPr="00985067">
        <w:rPr>
          <w:rFonts w:ascii="Arial" w:hAnsi="Arial" w:cs="Arial"/>
          <w:lang w:val="en-US"/>
        </w:rPr>
        <w:t xml:space="preserve">.  This is that the Regulations </w:t>
      </w:r>
      <w:r w:rsidR="001E4771">
        <w:rPr>
          <w:rFonts w:ascii="Arial" w:hAnsi="Arial" w:cs="Arial"/>
          <w:lang w:val="en-US"/>
        </w:rPr>
        <w:t xml:space="preserve">may </w:t>
      </w:r>
      <w:r w:rsidR="00985067" w:rsidRPr="00985067">
        <w:rPr>
          <w:rFonts w:ascii="Arial" w:hAnsi="Arial" w:cs="Arial"/>
          <w:lang w:val="en-US"/>
        </w:rPr>
        <w:t xml:space="preserve">impliedly repeal </w:t>
      </w:r>
      <w:r w:rsidR="001E4771">
        <w:rPr>
          <w:rFonts w:ascii="Arial" w:hAnsi="Arial" w:cs="Arial"/>
          <w:lang w:val="en-US"/>
        </w:rPr>
        <w:t xml:space="preserve">all or part of </w:t>
      </w:r>
      <w:r w:rsidR="00985067" w:rsidRPr="00985067">
        <w:rPr>
          <w:rFonts w:ascii="Arial" w:hAnsi="Arial" w:cs="Arial"/>
          <w:lang w:val="en-US"/>
        </w:rPr>
        <w:t>the ex-Treaty provision.</w:t>
      </w:r>
      <w:r w:rsidR="00DC39E5">
        <w:rPr>
          <w:rStyle w:val="FootnoteReference"/>
          <w:rFonts w:ascii="Arial" w:hAnsi="Arial" w:cs="Arial"/>
          <w:lang w:val="en-US"/>
        </w:rPr>
        <w:footnoteReference w:id="40"/>
      </w:r>
    </w:p>
    <w:p w:rsidR="008E7594" w:rsidRDefault="008E7594" w:rsidP="00985067">
      <w:pPr>
        <w:spacing w:after="0" w:line="240" w:lineRule="auto"/>
        <w:contextualSpacing/>
        <w:jc w:val="both"/>
        <w:rPr>
          <w:rFonts w:ascii="Arial" w:hAnsi="Arial" w:cs="Arial"/>
          <w:lang w:val="en-US"/>
        </w:rPr>
      </w:pPr>
    </w:p>
    <w:p w:rsidR="008E7594" w:rsidRPr="00F54A93" w:rsidRDefault="007C3457" w:rsidP="00985067">
      <w:pPr>
        <w:spacing w:after="0" w:line="240" w:lineRule="auto"/>
        <w:contextualSpacing/>
        <w:jc w:val="both"/>
        <w:rPr>
          <w:rFonts w:ascii="Arial" w:hAnsi="Arial" w:cs="Arial"/>
          <w:b/>
          <w:lang w:val="en-US"/>
        </w:rPr>
      </w:pPr>
      <w:r w:rsidRPr="007C3457">
        <w:rPr>
          <w:rFonts w:ascii="Arial" w:hAnsi="Arial" w:cs="Arial"/>
          <w:b/>
          <w:lang w:val="en-US"/>
        </w:rPr>
        <w:t>The doctrine of implied repeal</w:t>
      </w:r>
      <w:r w:rsidR="00BB56FE">
        <w:rPr>
          <w:rFonts w:ascii="Arial" w:hAnsi="Arial" w:cs="Arial"/>
          <w:b/>
          <w:lang w:val="en-US"/>
        </w:rPr>
        <w:t xml:space="preserve"> (and friends)</w:t>
      </w:r>
    </w:p>
    <w:p w:rsidR="008E7594" w:rsidRDefault="008E7594" w:rsidP="00985067">
      <w:pPr>
        <w:spacing w:after="0" w:line="240" w:lineRule="auto"/>
        <w:contextualSpacing/>
        <w:jc w:val="both"/>
        <w:rPr>
          <w:rFonts w:ascii="Arial" w:hAnsi="Arial" w:cs="Arial"/>
          <w:lang w:val="en-US"/>
        </w:rPr>
      </w:pPr>
    </w:p>
    <w:p w:rsidR="008E7594" w:rsidRDefault="008E7594" w:rsidP="008E7594">
      <w:pPr>
        <w:spacing w:after="0" w:line="240" w:lineRule="auto"/>
        <w:contextualSpacing/>
        <w:jc w:val="both"/>
        <w:rPr>
          <w:rFonts w:ascii="Arial" w:hAnsi="Arial" w:cs="Arial"/>
        </w:rPr>
      </w:pPr>
      <w:r w:rsidRPr="008E7594">
        <w:rPr>
          <w:rFonts w:ascii="Arial" w:hAnsi="Arial" w:cs="Arial"/>
        </w:rPr>
        <w:t xml:space="preserve">The doctrine of implied repeal </w:t>
      </w:r>
      <w:r w:rsidR="00CE2177">
        <w:rPr>
          <w:rFonts w:ascii="Arial" w:hAnsi="Arial" w:cs="Arial"/>
        </w:rPr>
        <w:t xml:space="preserve">in UK constitutional law </w:t>
      </w:r>
      <w:r w:rsidRPr="008E7594">
        <w:rPr>
          <w:rFonts w:ascii="Arial" w:hAnsi="Arial" w:cs="Arial"/>
        </w:rPr>
        <w:t>is often seen as</w:t>
      </w:r>
      <w:r w:rsidR="00717B48">
        <w:rPr>
          <w:rFonts w:ascii="Arial" w:hAnsi="Arial" w:cs="Arial"/>
        </w:rPr>
        <w:t xml:space="preserve"> a</w:t>
      </w:r>
      <w:r w:rsidRPr="008E7594">
        <w:rPr>
          <w:rFonts w:ascii="Arial" w:hAnsi="Arial" w:cs="Arial"/>
        </w:rPr>
        <w:t xml:space="preserve"> ‘corollary’ of the doctrine of parliamentary sovereignty</w:t>
      </w:r>
      <w:r w:rsidR="007C6F35">
        <w:rPr>
          <w:rFonts w:ascii="Arial" w:hAnsi="Arial" w:cs="Arial"/>
        </w:rPr>
        <w:t>.</w:t>
      </w:r>
      <w:bookmarkStart w:id="13" w:name="Kavanagh"/>
      <w:r>
        <w:rPr>
          <w:rStyle w:val="FootnoteReference"/>
          <w:rFonts w:ascii="Arial" w:hAnsi="Arial" w:cs="Arial"/>
        </w:rPr>
        <w:footnoteReference w:id="41"/>
      </w:r>
      <w:bookmarkEnd w:id="13"/>
      <w:r w:rsidRPr="008E7594">
        <w:rPr>
          <w:rFonts w:ascii="Arial" w:hAnsi="Arial" w:cs="Arial"/>
        </w:rPr>
        <w:t xml:space="preserve">  The latter doctrine is that </w:t>
      </w:r>
    </w:p>
    <w:p w:rsidR="008E7594" w:rsidRDefault="008E7594" w:rsidP="008E7594">
      <w:pPr>
        <w:spacing w:after="0" w:line="240" w:lineRule="auto"/>
        <w:contextualSpacing/>
        <w:jc w:val="both"/>
        <w:rPr>
          <w:rFonts w:ascii="Arial" w:hAnsi="Arial" w:cs="Arial"/>
        </w:rPr>
      </w:pPr>
    </w:p>
    <w:p w:rsidR="004861B1" w:rsidRDefault="007C3457">
      <w:pPr>
        <w:spacing w:after="0" w:line="240" w:lineRule="auto"/>
        <w:ind w:left="720"/>
        <w:contextualSpacing/>
        <w:rPr>
          <w:rFonts w:ascii="Arial" w:hAnsi="Arial" w:cs="Arial"/>
        </w:rPr>
      </w:pPr>
      <w:r w:rsidRPr="007C3457">
        <w:rPr>
          <w:rFonts w:ascii="Arial" w:hAnsi="Arial" w:cs="Arial"/>
          <w:i/>
        </w:rPr>
        <w:t xml:space="preserve">no Act of the sovereign legislature (composed of the Queen, Lords and Commons) could be invalid in the eyes of the courts; [...] it was always open to the legislature, so </w:t>
      </w:r>
      <w:r w:rsidRPr="007C3457">
        <w:rPr>
          <w:rFonts w:ascii="Arial" w:hAnsi="Arial" w:cs="Arial"/>
          <w:i/>
        </w:rPr>
        <w:lastRenderedPageBreak/>
        <w:t>constituted, to repeal any previous legislation whatever; [...] therefore no Parliament could bind its successors</w:t>
      </w:r>
      <w:r w:rsidR="007C6F35">
        <w:rPr>
          <w:rFonts w:ascii="Arial" w:hAnsi="Arial" w:cs="Arial"/>
          <w:i/>
        </w:rPr>
        <w:t>.</w:t>
      </w:r>
      <w:r w:rsidR="008E7594">
        <w:rPr>
          <w:rStyle w:val="FootnoteReference"/>
          <w:rFonts w:ascii="Arial" w:hAnsi="Arial" w:cs="Arial"/>
        </w:rPr>
        <w:footnoteReference w:id="42"/>
      </w:r>
    </w:p>
    <w:p w:rsidR="008E7594" w:rsidRDefault="008E7594" w:rsidP="008E7594">
      <w:pPr>
        <w:spacing w:after="0" w:line="240" w:lineRule="auto"/>
        <w:contextualSpacing/>
        <w:jc w:val="both"/>
        <w:rPr>
          <w:rFonts w:ascii="Arial" w:hAnsi="Arial" w:cs="Arial"/>
        </w:rPr>
      </w:pPr>
    </w:p>
    <w:p w:rsidR="007C6F35" w:rsidRDefault="008E7594" w:rsidP="008E7594">
      <w:pPr>
        <w:spacing w:after="0" w:line="240" w:lineRule="auto"/>
        <w:contextualSpacing/>
        <w:jc w:val="both"/>
        <w:rPr>
          <w:rFonts w:ascii="Arial" w:hAnsi="Arial" w:cs="Arial"/>
        </w:rPr>
      </w:pPr>
      <w:r w:rsidRPr="008E7594">
        <w:rPr>
          <w:rFonts w:ascii="Arial" w:hAnsi="Arial" w:cs="Arial"/>
        </w:rPr>
        <w:t>In order for no Parliament to bind its successors, clearly the pronouncements of the later Parliament had to override the pronouncements of the earlier Parliament, and thus, in the event of a conflict, a later Act</w:t>
      </w:r>
      <w:r w:rsidR="007C6F35">
        <w:rPr>
          <w:rFonts w:ascii="Arial" w:hAnsi="Arial" w:cs="Arial"/>
        </w:rPr>
        <w:t xml:space="preserve"> would repeal an earlier one</w:t>
      </w:r>
      <w:r w:rsidRPr="008E7594">
        <w:rPr>
          <w:rFonts w:ascii="Arial" w:hAnsi="Arial" w:cs="Arial"/>
        </w:rPr>
        <w:t>.</w:t>
      </w:r>
      <w:r w:rsidR="007C6F35">
        <w:rPr>
          <w:rStyle w:val="FootnoteReference"/>
          <w:rFonts w:ascii="Arial" w:hAnsi="Arial" w:cs="Arial"/>
        </w:rPr>
        <w:footnoteReference w:id="43"/>
      </w:r>
      <w:r w:rsidRPr="008E7594">
        <w:rPr>
          <w:rFonts w:ascii="Arial" w:hAnsi="Arial" w:cs="Arial"/>
        </w:rPr>
        <w:t xml:space="preserve">  This was mos</w:t>
      </w:r>
      <w:r w:rsidR="007C6F35">
        <w:rPr>
          <w:rFonts w:ascii="Arial" w:hAnsi="Arial" w:cs="Arial"/>
        </w:rPr>
        <w:t>t famously expressed by Dicey:</w:t>
      </w:r>
    </w:p>
    <w:p w:rsidR="007C6F35" w:rsidRDefault="007C6F35" w:rsidP="008E7594">
      <w:pPr>
        <w:spacing w:after="0" w:line="240" w:lineRule="auto"/>
        <w:contextualSpacing/>
        <w:jc w:val="both"/>
        <w:rPr>
          <w:rFonts w:ascii="Arial" w:hAnsi="Arial" w:cs="Arial"/>
        </w:rPr>
      </w:pPr>
    </w:p>
    <w:p w:rsidR="004861B1" w:rsidRDefault="007C3457">
      <w:pPr>
        <w:spacing w:after="0" w:line="240" w:lineRule="auto"/>
        <w:ind w:left="720"/>
        <w:contextualSpacing/>
        <w:rPr>
          <w:rFonts w:ascii="Arial" w:hAnsi="Arial" w:cs="Arial"/>
        </w:rPr>
      </w:pPr>
      <w:r w:rsidRPr="007C3457">
        <w:rPr>
          <w:rFonts w:ascii="Arial" w:hAnsi="Arial" w:cs="Arial"/>
          <w:i/>
        </w:rPr>
        <w:t>Parliament... has, under the English constitution, the right to make or unmake any law whatever; and further, [...] no person or body is recognised.... as having a right to override or set aside the legislation of Parliament.</w:t>
      </w:r>
      <w:r w:rsidR="007C6F35">
        <w:rPr>
          <w:rStyle w:val="FootnoteReference"/>
          <w:rFonts w:ascii="Arial" w:hAnsi="Arial" w:cs="Arial"/>
        </w:rPr>
        <w:footnoteReference w:id="44"/>
      </w:r>
    </w:p>
    <w:p w:rsidR="007C6F35" w:rsidRDefault="007C6F35" w:rsidP="008E7594">
      <w:pPr>
        <w:spacing w:after="0" w:line="240" w:lineRule="auto"/>
        <w:contextualSpacing/>
        <w:jc w:val="both"/>
        <w:rPr>
          <w:rFonts w:ascii="Arial" w:hAnsi="Arial" w:cs="Arial"/>
        </w:rPr>
      </w:pPr>
    </w:p>
    <w:p w:rsidR="00E47FEC" w:rsidRDefault="008E7594" w:rsidP="008E7594">
      <w:pPr>
        <w:spacing w:after="0" w:line="240" w:lineRule="auto"/>
        <w:contextualSpacing/>
        <w:jc w:val="both"/>
        <w:rPr>
          <w:rFonts w:ascii="Arial" w:hAnsi="Arial" w:cs="Arial"/>
        </w:rPr>
      </w:pPr>
      <w:r w:rsidRPr="008E7594">
        <w:rPr>
          <w:rFonts w:ascii="Arial" w:hAnsi="Arial" w:cs="Arial"/>
        </w:rPr>
        <w:t>The first clause, up to ‘any law whatever,’ is regarded as the ‘positive limb’ of the doctrine</w:t>
      </w:r>
      <w:r w:rsidR="007C6F35">
        <w:rPr>
          <w:rFonts w:ascii="Arial" w:hAnsi="Arial" w:cs="Arial"/>
        </w:rPr>
        <w:t>.</w:t>
      </w:r>
      <w:r w:rsidR="007C6F35">
        <w:rPr>
          <w:rStyle w:val="FootnoteReference"/>
          <w:rFonts w:ascii="Arial" w:hAnsi="Arial" w:cs="Arial"/>
        </w:rPr>
        <w:footnoteReference w:id="45"/>
      </w:r>
      <w:r w:rsidR="007C6F35">
        <w:rPr>
          <w:rFonts w:ascii="Arial" w:hAnsi="Arial" w:cs="Arial"/>
        </w:rPr>
        <w:t xml:space="preserve">  </w:t>
      </w:r>
      <w:r w:rsidRPr="008E7594">
        <w:rPr>
          <w:rFonts w:ascii="Arial" w:hAnsi="Arial" w:cs="Arial"/>
        </w:rPr>
        <w:t>Cooke has dubbed thi</w:t>
      </w:r>
      <w:r w:rsidR="007C6F35">
        <w:rPr>
          <w:rFonts w:ascii="Arial" w:hAnsi="Arial" w:cs="Arial"/>
        </w:rPr>
        <w:t>s parliamentary ‘</w:t>
      </w:r>
      <w:proofErr w:type="spellStart"/>
      <w:r w:rsidR="007C6F35">
        <w:rPr>
          <w:rFonts w:ascii="Arial" w:hAnsi="Arial" w:cs="Arial"/>
        </w:rPr>
        <w:t>omnicompetence</w:t>
      </w:r>
      <w:proofErr w:type="spellEnd"/>
      <w:r w:rsidR="007C6F35">
        <w:rPr>
          <w:rFonts w:ascii="Arial" w:hAnsi="Arial" w:cs="Arial"/>
        </w:rPr>
        <w:t>.</w:t>
      </w:r>
      <w:r w:rsidRPr="008E7594">
        <w:rPr>
          <w:rFonts w:ascii="Arial" w:hAnsi="Arial" w:cs="Arial"/>
        </w:rPr>
        <w:t>’</w:t>
      </w:r>
      <w:r w:rsidR="007C6F35">
        <w:rPr>
          <w:rStyle w:val="FootnoteReference"/>
          <w:rFonts w:ascii="Arial" w:hAnsi="Arial" w:cs="Arial"/>
        </w:rPr>
        <w:footnoteReference w:id="46"/>
      </w:r>
      <w:r w:rsidR="007C6F35">
        <w:rPr>
          <w:rFonts w:ascii="Arial" w:hAnsi="Arial" w:cs="Arial"/>
        </w:rPr>
        <w:t xml:space="preserve">  </w:t>
      </w:r>
      <w:r w:rsidRPr="008E7594">
        <w:rPr>
          <w:rFonts w:ascii="Arial" w:hAnsi="Arial" w:cs="Arial"/>
        </w:rPr>
        <w:t>The effect of this limb is that no statute can be entrenched.  The remainder, strictly forbidding disapplication of the legislation produced by sovereign Par</w:t>
      </w:r>
      <w:r w:rsidR="007C6F35">
        <w:rPr>
          <w:rFonts w:ascii="Arial" w:hAnsi="Arial" w:cs="Arial"/>
        </w:rPr>
        <w:t>liament, is the ‘negative limb’</w:t>
      </w:r>
      <w:r w:rsidRPr="008E7594">
        <w:rPr>
          <w:rFonts w:ascii="Arial" w:hAnsi="Arial" w:cs="Arial"/>
        </w:rPr>
        <w:t>.</w:t>
      </w:r>
      <w:r w:rsidR="007C6F35">
        <w:rPr>
          <w:rStyle w:val="FootnoteReference"/>
          <w:rFonts w:ascii="Arial" w:hAnsi="Arial" w:cs="Arial"/>
        </w:rPr>
        <w:footnoteReference w:id="47"/>
      </w:r>
      <w:r w:rsidRPr="008E7594">
        <w:rPr>
          <w:rFonts w:ascii="Arial" w:hAnsi="Arial" w:cs="Arial"/>
        </w:rPr>
        <w:t xml:space="preserve">  From this doctrine, it follows that Parliament must be free to legislate as it pleases, and that in turn means that an earlier Parliament is prevented from tying the hands of a later one by immuni</w:t>
      </w:r>
      <w:r w:rsidR="002E079A">
        <w:rPr>
          <w:rFonts w:ascii="Arial" w:hAnsi="Arial" w:cs="Arial"/>
        </w:rPr>
        <w:t>sing any statute from repeal.  The doctrine of i</w:t>
      </w:r>
      <w:r w:rsidRPr="008E7594">
        <w:rPr>
          <w:rFonts w:ascii="Arial" w:hAnsi="Arial" w:cs="Arial"/>
        </w:rPr>
        <w:t>mplied repeal is the mechanism by which this prevention is brought about.</w:t>
      </w:r>
      <w:bookmarkStart w:id="14" w:name="Bennion_Understanding"/>
      <w:r w:rsidR="00CE2177">
        <w:rPr>
          <w:rStyle w:val="FootnoteReference"/>
          <w:rFonts w:ascii="Arial" w:hAnsi="Arial" w:cs="Arial"/>
        </w:rPr>
        <w:footnoteReference w:id="48"/>
      </w:r>
      <w:bookmarkEnd w:id="14"/>
      <w:r w:rsidR="002E079A">
        <w:rPr>
          <w:rFonts w:ascii="Arial" w:hAnsi="Arial" w:cs="Arial"/>
        </w:rPr>
        <w:t xml:space="preserve">  </w:t>
      </w:r>
    </w:p>
    <w:p w:rsidR="00E47FEC" w:rsidRDefault="00E47FEC" w:rsidP="008E7594">
      <w:pPr>
        <w:spacing w:after="0" w:line="240" w:lineRule="auto"/>
        <w:contextualSpacing/>
        <w:jc w:val="both"/>
        <w:rPr>
          <w:rFonts w:ascii="Arial" w:hAnsi="Arial" w:cs="Arial"/>
        </w:rPr>
      </w:pPr>
    </w:p>
    <w:p w:rsidR="008E7594" w:rsidRDefault="00C20880" w:rsidP="008E7594">
      <w:pPr>
        <w:spacing w:after="0" w:line="240" w:lineRule="auto"/>
        <w:contextualSpacing/>
        <w:jc w:val="both"/>
        <w:rPr>
          <w:rFonts w:ascii="Arial" w:hAnsi="Arial" w:cs="Arial"/>
        </w:rPr>
      </w:pPr>
      <w:r>
        <w:rPr>
          <w:rFonts w:ascii="Arial" w:hAnsi="Arial" w:cs="Arial"/>
        </w:rPr>
        <w:t>An example would be</w:t>
      </w:r>
      <w:r w:rsidR="001C0F6C">
        <w:rPr>
          <w:rFonts w:ascii="Arial" w:hAnsi="Arial" w:cs="Arial"/>
        </w:rPr>
        <w:t xml:space="preserve"> the 1783 case of</w:t>
      </w:r>
      <w:r>
        <w:rPr>
          <w:rFonts w:ascii="Arial" w:hAnsi="Arial" w:cs="Arial"/>
        </w:rPr>
        <w:t xml:space="preserve"> </w:t>
      </w:r>
      <w:r w:rsidR="007C3457" w:rsidRPr="007C3457">
        <w:rPr>
          <w:rFonts w:ascii="Arial" w:hAnsi="Arial" w:cs="Arial"/>
          <w:i/>
        </w:rPr>
        <w:t>R v John Davis</w:t>
      </w:r>
      <w:r>
        <w:rPr>
          <w:rFonts w:ascii="Arial" w:hAnsi="Arial" w:cs="Arial"/>
        </w:rPr>
        <w:t>,</w:t>
      </w:r>
      <w:r>
        <w:rPr>
          <w:rStyle w:val="FootnoteReference"/>
          <w:rFonts w:ascii="Arial" w:hAnsi="Arial" w:cs="Arial"/>
        </w:rPr>
        <w:footnoteReference w:id="49"/>
      </w:r>
      <w:r>
        <w:rPr>
          <w:rFonts w:ascii="Arial" w:hAnsi="Arial" w:cs="Arial"/>
        </w:rPr>
        <w:t xml:space="preserve"> where an individual charged with stealing deer was no doubt pleased to learn that a statute </w:t>
      </w:r>
      <w:r w:rsidR="00CB6F5D">
        <w:rPr>
          <w:rFonts w:ascii="Arial" w:hAnsi="Arial" w:cs="Arial"/>
        </w:rPr>
        <w:t xml:space="preserve">from 1723, classifying the offence as a felony and </w:t>
      </w:r>
      <w:r w:rsidR="00174B2F">
        <w:rPr>
          <w:rFonts w:ascii="Arial" w:hAnsi="Arial" w:cs="Arial"/>
        </w:rPr>
        <w:t xml:space="preserve">imposing the death penalty </w:t>
      </w:r>
      <w:r w:rsidR="00CB6F5D">
        <w:rPr>
          <w:rFonts w:ascii="Arial" w:hAnsi="Arial" w:cs="Arial"/>
        </w:rPr>
        <w:t xml:space="preserve">on those found guilty, </w:t>
      </w:r>
      <w:r w:rsidR="00174B2F">
        <w:rPr>
          <w:rFonts w:ascii="Arial" w:hAnsi="Arial" w:cs="Arial"/>
        </w:rPr>
        <w:t xml:space="preserve">had been impliedly repealed by a statute from </w:t>
      </w:r>
      <w:r w:rsidR="00CB6F5D">
        <w:rPr>
          <w:rFonts w:ascii="Arial" w:hAnsi="Arial" w:cs="Arial"/>
        </w:rPr>
        <w:t xml:space="preserve">1776, downgrading the offence to a </w:t>
      </w:r>
      <w:r w:rsidR="005E3988">
        <w:rPr>
          <w:rFonts w:ascii="Arial" w:hAnsi="Arial" w:cs="Arial"/>
        </w:rPr>
        <w:t xml:space="preserve">misdemeanour to be punished by a £20 fine.  As </w:t>
      </w:r>
      <w:proofErr w:type="spellStart"/>
      <w:r w:rsidR="005E3988">
        <w:rPr>
          <w:rFonts w:ascii="Arial" w:hAnsi="Arial" w:cs="Arial"/>
        </w:rPr>
        <w:t>Bennion</w:t>
      </w:r>
      <w:proofErr w:type="spellEnd"/>
      <w:r w:rsidR="005E3988">
        <w:rPr>
          <w:rFonts w:ascii="Arial" w:hAnsi="Arial" w:cs="Arial"/>
        </w:rPr>
        <w:t xml:space="preserve"> points out, this ‘virtual repeal,’ as the doctrine seemed to be known then</w:t>
      </w:r>
      <w:r w:rsidR="001C0F6C">
        <w:rPr>
          <w:rFonts w:ascii="Arial" w:hAnsi="Arial" w:cs="Arial"/>
        </w:rPr>
        <w:t>,</w:t>
      </w:r>
      <w:r w:rsidR="001C0F6C">
        <w:rPr>
          <w:rStyle w:val="FootnoteReference"/>
          <w:rFonts w:ascii="Arial" w:hAnsi="Arial" w:cs="Arial"/>
        </w:rPr>
        <w:footnoteReference w:id="50"/>
      </w:r>
      <w:r w:rsidR="001C0F6C">
        <w:rPr>
          <w:rFonts w:ascii="Arial" w:hAnsi="Arial" w:cs="Arial"/>
        </w:rPr>
        <w:t xml:space="preserve"> </w:t>
      </w:r>
      <w:r w:rsidR="00456B1A">
        <w:rPr>
          <w:rFonts w:ascii="Arial" w:hAnsi="Arial" w:cs="Arial"/>
        </w:rPr>
        <w:t>could be reduced to</w:t>
      </w:r>
      <w:r w:rsidR="001C0F6C">
        <w:rPr>
          <w:rFonts w:ascii="Arial" w:hAnsi="Arial" w:cs="Arial"/>
        </w:rPr>
        <w:t xml:space="preserve"> the </w:t>
      </w:r>
      <w:proofErr w:type="spellStart"/>
      <w:proofErr w:type="gramStart"/>
      <w:r w:rsidR="001C0F6C">
        <w:rPr>
          <w:rFonts w:ascii="Arial" w:hAnsi="Arial" w:cs="Arial"/>
        </w:rPr>
        <w:t>latin</w:t>
      </w:r>
      <w:proofErr w:type="spellEnd"/>
      <w:proofErr w:type="gramEnd"/>
      <w:r w:rsidR="001C0F6C">
        <w:rPr>
          <w:rFonts w:ascii="Arial" w:hAnsi="Arial" w:cs="Arial"/>
        </w:rPr>
        <w:t xml:space="preserve"> tag: </w:t>
      </w:r>
      <w:proofErr w:type="spellStart"/>
      <w:r w:rsidR="001C0F6C" w:rsidRPr="001C0F6C">
        <w:rPr>
          <w:rFonts w:ascii="Arial" w:hAnsi="Arial" w:cs="Arial"/>
          <w:i/>
          <w:iCs/>
        </w:rPr>
        <w:t>leges</w:t>
      </w:r>
      <w:proofErr w:type="spellEnd"/>
      <w:r w:rsidR="001C0F6C" w:rsidRPr="001C0F6C">
        <w:rPr>
          <w:rFonts w:ascii="Arial" w:hAnsi="Arial" w:cs="Arial"/>
          <w:i/>
          <w:iCs/>
        </w:rPr>
        <w:t xml:space="preserve"> </w:t>
      </w:r>
      <w:proofErr w:type="spellStart"/>
      <w:r w:rsidR="001C0F6C" w:rsidRPr="001C0F6C">
        <w:rPr>
          <w:rFonts w:ascii="Arial" w:hAnsi="Arial" w:cs="Arial"/>
          <w:i/>
          <w:iCs/>
        </w:rPr>
        <w:t>posteriores</w:t>
      </w:r>
      <w:proofErr w:type="spellEnd"/>
      <w:r w:rsidR="001C0F6C" w:rsidRPr="001C0F6C">
        <w:rPr>
          <w:rFonts w:ascii="Arial" w:hAnsi="Arial" w:cs="Arial"/>
          <w:i/>
          <w:iCs/>
        </w:rPr>
        <w:t xml:space="preserve"> </w:t>
      </w:r>
      <w:proofErr w:type="spellStart"/>
      <w:r w:rsidR="001C0F6C" w:rsidRPr="001C0F6C">
        <w:rPr>
          <w:rFonts w:ascii="Arial" w:hAnsi="Arial" w:cs="Arial"/>
          <w:i/>
          <w:iCs/>
        </w:rPr>
        <w:t>priores</w:t>
      </w:r>
      <w:proofErr w:type="spellEnd"/>
      <w:r w:rsidR="001C0F6C" w:rsidRPr="001C0F6C">
        <w:rPr>
          <w:rFonts w:ascii="Arial" w:hAnsi="Arial" w:cs="Arial"/>
          <w:i/>
          <w:iCs/>
        </w:rPr>
        <w:t xml:space="preserve"> </w:t>
      </w:r>
      <w:proofErr w:type="spellStart"/>
      <w:r w:rsidR="001C0F6C" w:rsidRPr="001C0F6C">
        <w:rPr>
          <w:rFonts w:ascii="Arial" w:hAnsi="Arial" w:cs="Arial"/>
          <w:i/>
          <w:iCs/>
        </w:rPr>
        <w:t>contrarias</w:t>
      </w:r>
      <w:proofErr w:type="spellEnd"/>
      <w:r w:rsidR="001C0F6C" w:rsidRPr="001C0F6C">
        <w:rPr>
          <w:rFonts w:ascii="Arial" w:hAnsi="Arial" w:cs="Arial"/>
          <w:i/>
          <w:iCs/>
        </w:rPr>
        <w:t xml:space="preserve"> </w:t>
      </w:r>
      <w:proofErr w:type="spellStart"/>
      <w:r w:rsidR="001C0F6C" w:rsidRPr="001C0F6C">
        <w:rPr>
          <w:rFonts w:ascii="Arial" w:hAnsi="Arial" w:cs="Arial"/>
          <w:i/>
          <w:iCs/>
        </w:rPr>
        <w:t>abrogant</w:t>
      </w:r>
      <w:proofErr w:type="spellEnd"/>
      <w:r w:rsidR="001C0F6C">
        <w:rPr>
          <w:rFonts w:ascii="Arial" w:hAnsi="Arial" w:cs="Arial"/>
          <w:i/>
          <w:iCs/>
        </w:rPr>
        <w:t>.</w:t>
      </w:r>
      <w:bookmarkStart w:id="15" w:name="Bennion_7th_III"/>
      <w:r w:rsidR="007C3457" w:rsidRPr="007C3457">
        <w:rPr>
          <w:rStyle w:val="FootnoteReference"/>
          <w:rFonts w:ascii="Arial" w:hAnsi="Arial" w:cs="Arial"/>
          <w:iCs/>
        </w:rPr>
        <w:footnoteReference w:id="51"/>
      </w:r>
      <w:bookmarkEnd w:id="15"/>
      <w:r w:rsidR="001C0F6C">
        <w:rPr>
          <w:rFonts w:ascii="Arial" w:hAnsi="Arial" w:cs="Arial"/>
          <w:i/>
          <w:iCs/>
        </w:rPr>
        <w:t xml:space="preserve">  </w:t>
      </w:r>
      <w:r w:rsidR="002E079A">
        <w:rPr>
          <w:rFonts w:ascii="Arial" w:hAnsi="Arial" w:cs="Arial"/>
        </w:rPr>
        <w:t xml:space="preserve">However, </w:t>
      </w:r>
      <w:r w:rsidR="00E47FEC">
        <w:rPr>
          <w:rFonts w:ascii="Arial" w:hAnsi="Arial" w:cs="Arial"/>
        </w:rPr>
        <w:t xml:space="preserve">there </w:t>
      </w:r>
      <w:r w:rsidR="00456B1A">
        <w:rPr>
          <w:rFonts w:ascii="Arial" w:hAnsi="Arial" w:cs="Arial"/>
        </w:rPr>
        <w:t>is an</w:t>
      </w:r>
      <w:r w:rsidR="002E079A">
        <w:rPr>
          <w:rFonts w:ascii="Arial" w:hAnsi="Arial" w:cs="Arial"/>
        </w:rPr>
        <w:t xml:space="preserve"> important </w:t>
      </w:r>
      <w:r w:rsidR="001C0F6C">
        <w:rPr>
          <w:rFonts w:ascii="Arial" w:hAnsi="Arial" w:cs="Arial"/>
        </w:rPr>
        <w:t>cavea</w:t>
      </w:r>
      <w:r w:rsidR="00456B1A">
        <w:rPr>
          <w:rFonts w:ascii="Arial" w:hAnsi="Arial" w:cs="Arial"/>
        </w:rPr>
        <w:t xml:space="preserve">t </w:t>
      </w:r>
      <w:r w:rsidR="001C0F6C">
        <w:rPr>
          <w:rFonts w:ascii="Arial" w:hAnsi="Arial" w:cs="Arial"/>
        </w:rPr>
        <w:t>which militate</w:t>
      </w:r>
      <w:r w:rsidR="00456B1A">
        <w:rPr>
          <w:rFonts w:ascii="Arial" w:hAnsi="Arial" w:cs="Arial"/>
        </w:rPr>
        <w:t>s</w:t>
      </w:r>
      <w:r w:rsidR="001C0F6C">
        <w:rPr>
          <w:rFonts w:ascii="Arial" w:hAnsi="Arial" w:cs="Arial"/>
        </w:rPr>
        <w:t xml:space="preserve"> against </w:t>
      </w:r>
      <w:r w:rsidR="00456B1A">
        <w:rPr>
          <w:rFonts w:ascii="Arial" w:hAnsi="Arial" w:cs="Arial"/>
        </w:rPr>
        <w:t xml:space="preserve">this, and that is </w:t>
      </w:r>
      <w:r w:rsidR="002E079A">
        <w:rPr>
          <w:rFonts w:ascii="Arial" w:hAnsi="Arial" w:cs="Arial"/>
        </w:rPr>
        <w:t xml:space="preserve">that judges should be slow to </w:t>
      </w:r>
      <w:r w:rsidR="007219C6">
        <w:rPr>
          <w:rFonts w:ascii="Arial" w:hAnsi="Arial" w:cs="Arial"/>
        </w:rPr>
        <w:t>deploy the doctrine</w:t>
      </w:r>
      <w:r w:rsidR="00456B1A">
        <w:rPr>
          <w:rFonts w:ascii="Arial" w:hAnsi="Arial" w:cs="Arial"/>
        </w:rPr>
        <w:t xml:space="preserve">, and should first attempt to reconcile the </w:t>
      </w:r>
      <w:r w:rsidR="00FE4946">
        <w:rPr>
          <w:rFonts w:ascii="Arial" w:hAnsi="Arial" w:cs="Arial"/>
        </w:rPr>
        <w:t>two laws if they possibly can</w:t>
      </w:r>
      <w:r w:rsidR="007219C6">
        <w:rPr>
          <w:rFonts w:ascii="Arial" w:hAnsi="Arial" w:cs="Arial"/>
        </w:rPr>
        <w:t xml:space="preserve">.  As Arden J. puts it in </w:t>
      </w:r>
      <w:r w:rsidR="007C3457" w:rsidRPr="007C3457">
        <w:rPr>
          <w:rFonts w:ascii="Arial" w:hAnsi="Arial" w:cs="Arial"/>
          <w:i/>
        </w:rPr>
        <w:t xml:space="preserve">Henry Boot v </w:t>
      </w:r>
      <w:proofErr w:type="spellStart"/>
      <w:r w:rsidR="007C3457" w:rsidRPr="007C3457">
        <w:rPr>
          <w:rFonts w:ascii="Arial" w:hAnsi="Arial" w:cs="Arial"/>
          <w:i/>
        </w:rPr>
        <w:t>Malmaison</w:t>
      </w:r>
      <w:proofErr w:type="spellEnd"/>
      <w:r w:rsidR="007C3457" w:rsidRPr="007C3457">
        <w:rPr>
          <w:rFonts w:ascii="Arial" w:hAnsi="Arial" w:cs="Arial"/>
          <w:i/>
        </w:rPr>
        <w:t xml:space="preserve"> Hotel</w:t>
      </w:r>
      <w:r w:rsidR="007219C6">
        <w:rPr>
          <w:rFonts w:ascii="Arial" w:hAnsi="Arial" w:cs="Arial"/>
        </w:rPr>
        <w:t xml:space="preserve">, </w:t>
      </w:r>
    </w:p>
    <w:p w:rsidR="007219C6" w:rsidRDefault="007219C6" w:rsidP="008E7594">
      <w:pPr>
        <w:spacing w:after="0" w:line="240" w:lineRule="auto"/>
        <w:contextualSpacing/>
        <w:jc w:val="both"/>
        <w:rPr>
          <w:rFonts w:ascii="Arial" w:hAnsi="Arial" w:cs="Arial"/>
        </w:rPr>
      </w:pPr>
    </w:p>
    <w:p w:rsidR="004861B1" w:rsidRDefault="007C3457">
      <w:pPr>
        <w:spacing w:after="0" w:line="240" w:lineRule="auto"/>
        <w:ind w:firstLine="720"/>
        <w:contextualSpacing/>
        <w:jc w:val="both"/>
        <w:rPr>
          <w:rFonts w:ascii="Arial" w:hAnsi="Arial" w:cs="Arial"/>
        </w:rPr>
      </w:pPr>
      <w:proofErr w:type="gramStart"/>
      <w:r w:rsidRPr="007C3457">
        <w:rPr>
          <w:rFonts w:ascii="Arial" w:hAnsi="Arial" w:cs="Arial"/>
          <w:i/>
        </w:rPr>
        <w:t>the</w:t>
      </w:r>
      <w:proofErr w:type="gramEnd"/>
      <w:r w:rsidRPr="007C3457">
        <w:rPr>
          <w:rFonts w:ascii="Arial" w:hAnsi="Arial" w:cs="Arial"/>
          <w:i/>
        </w:rPr>
        <w:t xml:space="preserve"> courts presume that Parliament does not intend an implied repeal</w:t>
      </w:r>
      <w:r w:rsidR="007219C6">
        <w:rPr>
          <w:rFonts w:ascii="Arial" w:hAnsi="Arial" w:cs="Arial"/>
          <w:i/>
        </w:rPr>
        <w:t>.</w:t>
      </w:r>
      <w:r w:rsidRPr="007C3457">
        <w:rPr>
          <w:rStyle w:val="FootnoteReference"/>
          <w:rFonts w:ascii="Arial" w:hAnsi="Arial" w:cs="Arial"/>
        </w:rPr>
        <w:footnoteReference w:id="52"/>
      </w:r>
    </w:p>
    <w:p w:rsidR="00CD52C5" w:rsidRDefault="00CD52C5" w:rsidP="00985067">
      <w:pPr>
        <w:spacing w:after="0" w:line="240" w:lineRule="auto"/>
        <w:contextualSpacing/>
        <w:jc w:val="both"/>
        <w:rPr>
          <w:rFonts w:ascii="Arial" w:hAnsi="Arial" w:cs="Arial"/>
          <w:lang w:val="en-US"/>
        </w:rPr>
      </w:pPr>
    </w:p>
    <w:p w:rsidR="005E548B" w:rsidRDefault="005E548B" w:rsidP="00985067">
      <w:pPr>
        <w:spacing w:after="0" w:line="240" w:lineRule="auto"/>
        <w:contextualSpacing/>
        <w:jc w:val="both"/>
        <w:rPr>
          <w:rFonts w:ascii="Arial" w:hAnsi="Arial" w:cs="Arial"/>
          <w:lang w:val="en-US"/>
        </w:rPr>
      </w:pPr>
      <w:proofErr w:type="spellStart"/>
      <w:r>
        <w:rPr>
          <w:rFonts w:ascii="Arial" w:hAnsi="Arial" w:cs="Arial"/>
          <w:lang w:val="en-US"/>
        </w:rPr>
        <w:t>Bennion</w:t>
      </w:r>
      <w:proofErr w:type="spellEnd"/>
      <w:r>
        <w:rPr>
          <w:rFonts w:ascii="Arial" w:hAnsi="Arial" w:cs="Arial"/>
          <w:lang w:val="en-US"/>
        </w:rPr>
        <w:t xml:space="preserve"> adds:</w:t>
      </w:r>
    </w:p>
    <w:p w:rsidR="005E548B" w:rsidRDefault="005E548B" w:rsidP="00985067">
      <w:pPr>
        <w:spacing w:after="0" w:line="240" w:lineRule="auto"/>
        <w:contextualSpacing/>
        <w:jc w:val="both"/>
        <w:rPr>
          <w:rFonts w:ascii="Arial" w:hAnsi="Arial" w:cs="Arial"/>
          <w:lang w:val="en-US"/>
        </w:rPr>
      </w:pPr>
    </w:p>
    <w:p w:rsidR="004861B1" w:rsidRDefault="007C3457">
      <w:pPr>
        <w:spacing w:after="0" w:line="240" w:lineRule="auto"/>
        <w:ind w:left="720"/>
        <w:contextualSpacing/>
        <w:rPr>
          <w:rFonts w:ascii="Arial" w:hAnsi="Arial" w:cs="Arial"/>
          <w:lang w:val="en-US"/>
        </w:rPr>
      </w:pPr>
      <w:r w:rsidRPr="007C3457">
        <w:rPr>
          <w:rFonts w:ascii="Arial" w:hAnsi="Arial" w:cs="Arial"/>
          <w:i/>
          <w:lang w:val="en-US"/>
        </w:rPr>
        <w:t>The effect of the presumption is that courts should, where possible, interpret the provisions of a later Act in a way that is compatible with the earlier one.</w:t>
      </w:r>
      <w:bookmarkStart w:id="16" w:name="Bennion_7th_II"/>
      <w:r w:rsidRPr="007C3457">
        <w:rPr>
          <w:rStyle w:val="FootnoteReference"/>
          <w:rFonts w:ascii="Arial" w:hAnsi="Arial" w:cs="Arial"/>
          <w:lang w:val="en-US"/>
        </w:rPr>
        <w:footnoteReference w:id="53"/>
      </w:r>
      <w:bookmarkEnd w:id="16"/>
    </w:p>
    <w:p w:rsidR="005E548B" w:rsidRPr="005E548B" w:rsidRDefault="005E548B" w:rsidP="00985067">
      <w:pPr>
        <w:spacing w:after="0" w:line="240" w:lineRule="auto"/>
        <w:contextualSpacing/>
        <w:jc w:val="both"/>
        <w:rPr>
          <w:rFonts w:ascii="Arial" w:hAnsi="Arial" w:cs="Arial"/>
          <w:i/>
          <w:lang w:val="en-US"/>
        </w:rPr>
      </w:pPr>
    </w:p>
    <w:p w:rsidR="000455B6" w:rsidRDefault="00FE4946" w:rsidP="00985067">
      <w:pPr>
        <w:spacing w:after="0" w:line="240" w:lineRule="auto"/>
        <w:contextualSpacing/>
        <w:jc w:val="both"/>
        <w:rPr>
          <w:rFonts w:ascii="Arial" w:hAnsi="Arial" w:cs="Arial"/>
        </w:rPr>
      </w:pPr>
      <w:r>
        <w:rPr>
          <w:rFonts w:ascii="Arial" w:hAnsi="Arial" w:cs="Arial"/>
          <w:lang w:val="en-US"/>
        </w:rPr>
        <w:lastRenderedPageBreak/>
        <w:t>A</w:t>
      </w:r>
      <w:r w:rsidR="00E47FEC">
        <w:rPr>
          <w:rFonts w:ascii="Arial" w:hAnsi="Arial" w:cs="Arial"/>
          <w:lang w:val="en-US"/>
        </w:rPr>
        <w:t xml:space="preserve"> second important </w:t>
      </w:r>
      <w:r>
        <w:rPr>
          <w:rFonts w:ascii="Arial" w:hAnsi="Arial" w:cs="Arial"/>
          <w:lang w:val="en-US"/>
        </w:rPr>
        <w:t>point</w:t>
      </w:r>
      <w:r w:rsidR="00E47FEC">
        <w:rPr>
          <w:rFonts w:ascii="Arial" w:hAnsi="Arial" w:cs="Arial"/>
          <w:lang w:val="en-US"/>
        </w:rPr>
        <w:t xml:space="preserve"> to note is that implied repeal </w:t>
      </w:r>
      <w:r w:rsidR="008045C1">
        <w:rPr>
          <w:rFonts w:ascii="Arial" w:hAnsi="Arial" w:cs="Arial"/>
          <w:lang w:val="en-US"/>
        </w:rPr>
        <w:t xml:space="preserve">should not be confused with the maxim </w:t>
      </w:r>
      <w:proofErr w:type="spellStart"/>
      <w:r w:rsidR="007C3457" w:rsidRPr="007C3457">
        <w:rPr>
          <w:rFonts w:ascii="Arial" w:hAnsi="Arial" w:cs="Arial"/>
          <w:i/>
          <w:lang w:val="en-US"/>
        </w:rPr>
        <w:t>generalia</w:t>
      </w:r>
      <w:proofErr w:type="spellEnd"/>
      <w:r w:rsidR="007C3457" w:rsidRPr="007C3457">
        <w:rPr>
          <w:rFonts w:ascii="Arial" w:hAnsi="Arial" w:cs="Arial"/>
          <w:i/>
          <w:lang w:val="en-US"/>
        </w:rPr>
        <w:t xml:space="preserve"> </w:t>
      </w:r>
      <w:proofErr w:type="spellStart"/>
      <w:r w:rsidR="007C3457" w:rsidRPr="007C3457">
        <w:rPr>
          <w:rFonts w:ascii="Arial" w:hAnsi="Arial" w:cs="Arial"/>
          <w:i/>
          <w:lang w:val="en-US"/>
        </w:rPr>
        <w:t>specialibus</w:t>
      </w:r>
      <w:proofErr w:type="spellEnd"/>
      <w:r w:rsidR="007C3457" w:rsidRPr="007C3457">
        <w:rPr>
          <w:rFonts w:ascii="Arial" w:hAnsi="Arial" w:cs="Arial"/>
          <w:i/>
          <w:lang w:val="en-US"/>
        </w:rPr>
        <w:t xml:space="preserve"> non </w:t>
      </w:r>
      <w:proofErr w:type="spellStart"/>
      <w:r w:rsidR="007C3457" w:rsidRPr="007C3457">
        <w:rPr>
          <w:rFonts w:ascii="Arial" w:hAnsi="Arial" w:cs="Arial"/>
          <w:i/>
          <w:lang w:val="en-US"/>
        </w:rPr>
        <w:t>derogant</w:t>
      </w:r>
      <w:proofErr w:type="spellEnd"/>
      <w:r w:rsidR="008045C1">
        <w:rPr>
          <w:rFonts w:ascii="Arial" w:hAnsi="Arial" w:cs="Arial"/>
          <w:lang w:val="en-US"/>
        </w:rPr>
        <w:t>, which as Barber has written is ‘a different principle.’</w:t>
      </w:r>
      <w:bookmarkStart w:id="17" w:name="Barber_and_Young_II"/>
      <w:r w:rsidR="008045C1">
        <w:rPr>
          <w:rStyle w:val="FootnoteReference"/>
          <w:rFonts w:ascii="Arial" w:hAnsi="Arial" w:cs="Arial"/>
          <w:lang w:val="en-US"/>
        </w:rPr>
        <w:footnoteReference w:id="54"/>
      </w:r>
      <w:bookmarkEnd w:id="17"/>
      <w:r w:rsidR="008045C1">
        <w:rPr>
          <w:rFonts w:ascii="Arial" w:hAnsi="Arial" w:cs="Arial"/>
          <w:lang w:val="en-US"/>
        </w:rPr>
        <w:t xml:space="preserve">  According to this maxim, where a later general provision appears to conflict with an earlier specific provision, the general will give way to the specific</w:t>
      </w:r>
      <w:r w:rsidR="00751713">
        <w:rPr>
          <w:rFonts w:ascii="Arial" w:hAnsi="Arial" w:cs="Arial"/>
          <w:lang w:val="en-US"/>
        </w:rPr>
        <w:t xml:space="preserve">.  </w:t>
      </w:r>
      <w:r w:rsidR="00384D9A">
        <w:rPr>
          <w:rFonts w:ascii="Arial" w:hAnsi="Arial" w:cs="Arial"/>
          <w:lang w:val="en-US"/>
        </w:rPr>
        <w:t xml:space="preserve">An example is the case of </w:t>
      </w:r>
      <w:r w:rsidR="007C3457" w:rsidRPr="007C3457">
        <w:rPr>
          <w:rFonts w:ascii="Arial" w:hAnsi="Arial" w:cs="Arial"/>
          <w:i/>
          <w:lang w:val="en-US"/>
        </w:rPr>
        <w:t>Seward v The Vera Cruz (owners).</w:t>
      </w:r>
      <w:r w:rsidR="007C3457" w:rsidRPr="007C3457">
        <w:rPr>
          <w:rStyle w:val="FootnoteReference"/>
          <w:rFonts w:ascii="Arial" w:hAnsi="Arial" w:cs="Arial"/>
          <w:lang w:val="en-US"/>
        </w:rPr>
        <w:footnoteReference w:id="55"/>
      </w:r>
      <w:r w:rsidR="000455B6" w:rsidRPr="008D45E8">
        <w:rPr>
          <w:rFonts w:ascii="Arial" w:hAnsi="Arial" w:cs="Arial"/>
          <w:lang w:val="en-US"/>
        </w:rPr>
        <w:t xml:space="preserve"> </w:t>
      </w:r>
      <w:r w:rsidR="000455B6">
        <w:rPr>
          <w:rFonts w:ascii="Arial" w:hAnsi="Arial" w:cs="Arial"/>
          <w:lang w:val="en-US"/>
        </w:rPr>
        <w:t xml:space="preserve"> </w:t>
      </w:r>
      <w:r w:rsidR="00384D9A" w:rsidRPr="00384D9A">
        <w:rPr>
          <w:rFonts w:ascii="Arial" w:hAnsi="Arial" w:cs="Arial"/>
        </w:rPr>
        <w:t xml:space="preserve">In this case, the Fatal Accidents Act 1846, granting a (then) new claim for loss of life to surviving family members of the deceased, was held not to have been repealed by the Admiralty Court Act 1861 which gave the Court of Admiralty </w:t>
      </w:r>
      <w:r w:rsidR="005C7660">
        <w:rPr>
          <w:rFonts w:ascii="Arial" w:hAnsi="Arial" w:cs="Arial"/>
        </w:rPr>
        <w:t>‘</w:t>
      </w:r>
      <w:r w:rsidR="00384D9A" w:rsidRPr="00384D9A">
        <w:rPr>
          <w:rFonts w:ascii="Arial" w:hAnsi="Arial" w:cs="Arial"/>
        </w:rPr>
        <w:t>jurisdiction over any claim for damage done by any ship.</w:t>
      </w:r>
      <w:r w:rsidR="005C7660">
        <w:rPr>
          <w:rFonts w:ascii="Arial" w:hAnsi="Arial" w:cs="Arial"/>
        </w:rPr>
        <w:t>’</w:t>
      </w:r>
      <w:r w:rsidR="00384D9A" w:rsidRPr="00384D9A">
        <w:rPr>
          <w:rFonts w:ascii="Arial" w:hAnsi="Arial" w:cs="Arial"/>
        </w:rPr>
        <w:t xml:space="preserve">  Thus a </w:t>
      </w:r>
      <w:proofErr w:type="spellStart"/>
      <w:r w:rsidR="00384D9A" w:rsidRPr="00384D9A">
        <w:rPr>
          <w:rFonts w:ascii="Arial" w:hAnsi="Arial" w:cs="Arial"/>
        </w:rPr>
        <w:t>shipowner</w:t>
      </w:r>
      <w:proofErr w:type="spellEnd"/>
      <w:r w:rsidR="00384D9A" w:rsidRPr="00384D9A">
        <w:rPr>
          <w:rFonts w:ascii="Arial" w:hAnsi="Arial" w:cs="Arial"/>
        </w:rPr>
        <w:t xml:space="preserve"> could not dodge a loss of life claim brought by family members of a deceased sailor on the grounds that the later statute overthrew the earlier one, bringing the matter within the jurisdiction of the Court of Admiralty, and considerably restricting the remedies available.  </w:t>
      </w:r>
      <w:r w:rsidR="000455B6">
        <w:rPr>
          <w:rFonts w:ascii="Arial" w:hAnsi="Arial" w:cs="Arial"/>
        </w:rPr>
        <w:t xml:space="preserve">Lord </w:t>
      </w:r>
      <w:proofErr w:type="spellStart"/>
      <w:r w:rsidR="000455B6">
        <w:rPr>
          <w:rFonts w:ascii="Arial" w:hAnsi="Arial" w:cs="Arial"/>
        </w:rPr>
        <w:t>Selborne</w:t>
      </w:r>
      <w:proofErr w:type="spellEnd"/>
      <w:r w:rsidR="000455B6">
        <w:rPr>
          <w:rFonts w:ascii="Arial" w:hAnsi="Arial" w:cs="Arial"/>
        </w:rPr>
        <w:t xml:space="preserve"> L</w:t>
      </w:r>
      <w:r w:rsidR="00C02897">
        <w:rPr>
          <w:rFonts w:ascii="Arial" w:hAnsi="Arial" w:cs="Arial"/>
        </w:rPr>
        <w:t>.</w:t>
      </w:r>
      <w:r w:rsidR="000455B6">
        <w:rPr>
          <w:rFonts w:ascii="Arial" w:hAnsi="Arial" w:cs="Arial"/>
        </w:rPr>
        <w:t>C</w:t>
      </w:r>
      <w:r w:rsidR="00C02897">
        <w:rPr>
          <w:rFonts w:ascii="Arial" w:hAnsi="Arial" w:cs="Arial"/>
        </w:rPr>
        <w:t>.</w:t>
      </w:r>
      <w:r w:rsidR="000455B6">
        <w:rPr>
          <w:rFonts w:ascii="Arial" w:hAnsi="Arial" w:cs="Arial"/>
        </w:rPr>
        <w:t xml:space="preserve"> held:</w:t>
      </w:r>
    </w:p>
    <w:p w:rsidR="000455B6" w:rsidRDefault="000455B6" w:rsidP="00985067">
      <w:pPr>
        <w:spacing w:after="0" w:line="240" w:lineRule="auto"/>
        <w:contextualSpacing/>
        <w:jc w:val="both"/>
        <w:rPr>
          <w:rFonts w:ascii="Arial" w:hAnsi="Arial" w:cs="Arial"/>
        </w:rPr>
      </w:pPr>
    </w:p>
    <w:p w:rsidR="004861B1" w:rsidRDefault="007C3457">
      <w:pPr>
        <w:spacing w:after="0" w:line="240" w:lineRule="auto"/>
        <w:ind w:left="720"/>
        <w:contextualSpacing/>
        <w:rPr>
          <w:rFonts w:ascii="Arial" w:hAnsi="Arial" w:cs="Arial"/>
        </w:rPr>
      </w:pPr>
      <w:r w:rsidRPr="007C3457">
        <w:rPr>
          <w:rFonts w:ascii="Arial" w:hAnsi="Arial" w:cs="Arial"/>
          <w:i/>
        </w:rPr>
        <w:t>Now if anything be certain it is this, that where there are general words in a later Act capable of reasonable and sensible application without extending them to subjects specially dealt with by earlier legislation, you are not to hold that earlier and special legislation indirectly repealed, altered, or derogated from merely by force of such general words, without any indication of a particular intention to do so.</w:t>
      </w:r>
      <w:bookmarkStart w:id="18" w:name="Bennion_7th"/>
      <w:r w:rsidRPr="007C3457">
        <w:rPr>
          <w:rStyle w:val="FootnoteReference"/>
          <w:rFonts w:ascii="Arial" w:hAnsi="Arial" w:cs="Arial"/>
        </w:rPr>
        <w:footnoteReference w:id="56"/>
      </w:r>
      <w:bookmarkEnd w:id="18"/>
    </w:p>
    <w:p w:rsidR="000455B6" w:rsidRPr="000455B6" w:rsidRDefault="000455B6" w:rsidP="00985067">
      <w:pPr>
        <w:spacing w:after="0" w:line="240" w:lineRule="auto"/>
        <w:contextualSpacing/>
        <w:jc w:val="both"/>
        <w:rPr>
          <w:rFonts w:ascii="Arial" w:hAnsi="Arial" w:cs="Arial"/>
          <w:i/>
        </w:rPr>
      </w:pPr>
    </w:p>
    <w:p w:rsidR="008D45E8" w:rsidRDefault="00751713" w:rsidP="00985067">
      <w:pPr>
        <w:spacing w:after="0" w:line="240" w:lineRule="auto"/>
        <w:contextualSpacing/>
        <w:jc w:val="both"/>
        <w:rPr>
          <w:rFonts w:ascii="Arial" w:hAnsi="Arial" w:cs="Arial"/>
          <w:lang w:val="en-US"/>
        </w:rPr>
      </w:pPr>
      <w:r>
        <w:rPr>
          <w:rFonts w:ascii="Arial" w:hAnsi="Arial" w:cs="Arial"/>
          <w:lang w:val="en-US"/>
        </w:rPr>
        <w:t xml:space="preserve">As Goldsworthy explains, the later (general) statute is ‘read down,’ meaning that it is regarded as </w:t>
      </w:r>
      <w:r w:rsidR="007C3457" w:rsidRPr="007C3457">
        <w:rPr>
          <w:rFonts w:ascii="Arial" w:hAnsi="Arial" w:cs="Arial"/>
          <w:i/>
          <w:lang w:val="en-US"/>
        </w:rPr>
        <w:t>inapplicable</w:t>
      </w:r>
      <w:r>
        <w:rPr>
          <w:rFonts w:ascii="Arial" w:hAnsi="Arial" w:cs="Arial"/>
          <w:lang w:val="en-US"/>
        </w:rPr>
        <w:t xml:space="preserve"> to the earlier, specific matter.</w:t>
      </w:r>
      <w:bookmarkStart w:id="19" w:name="Goldsworthy_II"/>
      <w:r w:rsidR="0064532E">
        <w:rPr>
          <w:rStyle w:val="FootnoteReference"/>
          <w:rFonts w:ascii="Arial" w:hAnsi="Arial" w:cs="Arial"/>
          <w:lang w:val="en-US"/>
        </w:rPr>
        <w:footnoteReference w:id="57"/>
      </w:r>
      <w:bookmarkEnd w:id="19"/>
      <w:r>
        <w:rPr>
          <w:rFonts w:ascii="Arial" w:hAnsi="Arial" w:cs="Arial"/>
          <w:lang w:val="en-US"/>
        </w:rPr>
        <w:t xml:space="preserve">  Such inapplicability of the later statute could be viewed as an ‘exception’ to the common law ‘rule’ of implied repeal, as the earlier statute is held invulnerable to the later one.</w:t>
      </w:r>
      <w:r w:rsidR="00A36A9F">
        <w:rPr>
          <w:rStyle w:val="FootnoteReference"/>
          <w:rFonts w:ascii="Arial" w:hAnsi="Arial" w:cs="Arial"/>
          <w:lang w:val="en-US"/>
        </w:rPr>
        <w:footnoteReference w:id="58"/>
      </w:r>
      <w:r>
        <w:rPr>
          <w:rFonts w:ascii="Arial" w:hAnsi="Arial" w:cs="Arial"/>
          <w:lang w:val="en-US"/>
        </w:rPr>
        <w:t xml:space="preserve">  But in reality one could view the earlier, specific law as the settlement of the discreet matter by Parliament, and the later general law as never having been intended to disturb the earlier one, and, in fact, as </w:t>
      </w:r>
      <w:r w:rsidR="000B0BF4">
        <w:rPr>
          <w:rFonts w:ascii="Arial" w:hAnsi="Arial" w:cs="Arial"/>
          <w:lang w:val="en-US"/>
        </w:rPr>
        <w:t xml:space="preserve">being ‘impliedly qualified’ such that no disturbance should be brought about.  </w:t>
      </w:r>
    </w:p>
    <w:p w:rsidR="008D45E8" w:rsidRDefault="008D45E8" w:rsidP="00985067">
      <w:pPr>
        <w:spacing w:after="0" w:line="240" w:lineRule="auto"/>
        <w:contextualSpacing/>
        <w:jc w:val="both"/>
        <w:rPr>
          <w:rFonts w:ascii="Arial" w:hAnsi="Arial" w:cs="Arial"/>
          <w:lang w:val="en-US"/>
        </w:rPr>
      </w:pPr>
    </w:p>
    <w:p w:rsidR="00C74B5E" w:rsidRDefault="00E47FEC" w:rsidP="00985067">
      <w:pPr>
        <w:spacing w:after="0" w:line="240" w:lineRule="auto"/>
        <w:contextualSpacing/>
        <w:jc w:val="both"/>
        <w:rPr>
          <w:rFonts w:ascii="Arial" w:hAnsi="Arial" w:cs="Arial"/>
          <w:lang w:val="en-US"/>
        </w:rPr>
      </w:pPr>
      <w:r>
        <w:rPr>
          <w:rFonts w:ascii="Arial" w:hAnsi="Arial" w:cs="Arial"/>
          <w:lang w:val="en-US"/>
        </w:rPr>
        <w:t>What happens when it is</w:t>
      </w:r>
      <w:r w:rsidR="000B0BF4">
        <w:rPr>
          <w:rFonts w:ascii="Arial" w:hAnsi="Arial" w:cs="Arial"/>
          <w:lang w:val="en-US"/>
        </w:rPr>
        <w:t xml:space="preserve"> the general law which comes first, </w:t>
      </w:r>
      <w:r>
        <w:rPr>
          <w:rFonts w:ascii="Arial" w:hAnsi="Arial" w:cs="Arial"/>
          <w:lang w:val="en-US"/>
        </w:rPr>
        <w:t xml:space="preserve">and the specific law which comes afterwards?  </w:t>
      </w:r>
      <w:r w:rsidR="00C74B5E">
        <w:rPr>
          <w:rFonts w:ascii="Arial" w:hAnsi="Arial" w:cs="Arial"/>
          <w:lang w:val="en-US"/>
        </w:rPr>
        <w:t xml:space="preserve">At its highest, the argument would be that the maxim </w:t>
      </w:r>
      <w:proofErr w:type="spellStart"/>
      <w:r w:rsidR="00C74B5E" w:rsidRPr="00160A24">
        <w:rPr>
          <w:rFonts w:ascii="Arial" w:hAnsi="Arial" w:cs="Arial"/>
          <w:i/>
          <w:lang w:val="en-US"/>
        </w:rPr>
        <w:t>generalia</w:t>
      </w:r>
      <w:proofErr w:type="spellEnd"/>
      <w:r w:rsidR="00C74B5E" w:rsidRPr="00160A24">
        <w:rPr>
          <w:rFonts w:ascii="Arial" w:hAnsi="Arial" w:cs="Arial"/>
          <w:i/>
          <w:lang w:val="en-US"/>
        </w:rPr>
        <w:t xml:space="preserve"> </w:t>
      </w:r>
      <w:proofErr w:type="spellStart"/>
      <w:r w:rsidR="00C74B5E" w:rsidRPr="00160A24">
        <w:rPr>
          <w:rFonts w:ascii="Arial" w:hAnsi="Arial" w:cs="Arial"/>
          <w:i/>
          <w:lang w:val="en-US"/>
        </w:rPr>
        <w:t>specialibus</w:t>
      </w:r>
      <w:proofErr w:type="spellEnd"/>
      <w:r w:rsidR="00C74B5E" w:rsidRPr="00160A24">
        <w:rPr>
          <w:rFonts w:ascii="Arial" w:hAnsi="Arial" w:cs="Arial"/>
          <w:i/>
          <w:lang w:val="en-US"/>
        </w:rPr>
        <w:t xml:space="preserve"> non </w:t>
      </w:r>
      <w:proofErr w:type="spellStart"/>
      <w:r w:rsidR="00C74B5E" w:rsidRPr="00160A24">
        <w:rPr>
          <w:rFonts w:ascii="Arial" w:hAnsi="Arial" w:cs="Arial"/>
          <w:i/>
          <w:lang w:val="en-US"/>
        </w:rPr>
        <w:t>derogant</w:t>
      </w:r>
      <w:proofErr w:type="spellEnd"/>
      <w:r w:rsidR="00C74B5E">
        <w:rPr>
          <w:rFonts w:ascii="Arial" w:hAnsi="Arial" w:cs="Arial"/>
          <w:lang w:val="en-US"/>
        </w:rPr>
        <w:t xml:space="preserve"> – the general does not derogate from the particular – equates to a maxim, </w:t>
      </w:r>
      <w:proofErr w:type="spellStart"/>
      <w:r w:rsidR="00C74B5E" w:rsidRPr="00160A24">
        <w:rPr>
          <w:rFonts w:ascii="Arial" w:hAnsi="Arial" w:cs="Arial"/>
          <w:i/>
          <w:lang w:val="en-US"/>
        </w:rPr>
        <w:t>specialia</w:t>
      </w:r>
      <w:proofErr w:type="spellEnd"/>
      <w:r w:rsidR="00C74B5E" w:rsidRPr="00160A24">
        <w:rPr>
          <w:rFonts w:ascii="Arial" w:hAnsi="Arial" w:cs="Arial"/>
          <w:i/>
          <w:lang w:val="en-US"/>
        </w:rPr>
        <w:t xml:space="preserve"> </w:t>
      </w:r>
      <w:proofErr w:type="spellStart"/>
      <w:r w:rsidR="00C74B5E" w:rsidRPr="00160A24">
        <w:rPr>
          <w:rFonts w:ascii="Arial" w:hAnsi="Arial" w:cs="Arial"/>
          <w:i/>
          <w:lang w:val="en-US"/>
        </w:rPr>
        <w:t>generalibus</w:t>
      </w:r>
      <w:proofErr w:type="spellEnd"/>
      <w:r w:rsidR="00C74B5E" w:rsidRPr="00160A24">
        <w:rPr>
          <w:rFonts w:ascii="Arial" w:hAnsi="Arial" w:cs="Arial"/>
          <w:i/>
          <w:lang w:val="en-US"/>
        </w:rPr>
        <w:t xml:space="preserve"> </w:t>
      </w:r>
      <w:proofErr w:type="spellStart"/>
      <w:r w:rsidR="00C74B5E" w:rsidRPr="00160A24">
        <w:rPr>
          <w:rFonts w:ascii="Arial" w:hAnsi="Arial" w:cs="Arial"/>
          <w:i/>
          <w:lang w:val="en-US"/>
        </w:rPr>
        <w:t>derogant</w:t>
      </w:r>
      <w:proofErr w:type="spellEnd"/>
      <w:r w:rsidR="00C74B5E">
        <w:rPr>
          <w:rFonts w:ascii="Arial" w:hAnsi="Arial" w:cs="Arial"/>
          <w:lang w:val="en-US"/>
        </w:rPr>
        <w:t xml:space="preserve"> – </w:t>
      </w:r>
      <w:proofErr w:type="gramStart"/>
      <w:r w:rsidR="00C74B5E">
        <w:rPr>
          <w:rFonts w:ascii="Arial" w:hAnsi="Arial" w:cs="Arial"/>
          <w:lang w:val="en-US"/>
        </w:rPr>
        <w:t>that</w:t>
      </w:r>
      <w:proofErr w:type="gramEnd"/>
      <w:r w:rsidR="00C74B5E">
        <w:rPr>
          <w:rFonts w:ascii="Arial" w:hAnsi="Arial" w:cs="Arial"/>
          <w:lang w:val="en-US"/>
        </w:rPr>
        <w:t xml:space="preserve"> the particular derogates from the general.  However, although the latter result is the general trend in the case-law,</w:t>
      </w:r>
      <w:r w:rsidR="00A93A3E">
        <w:rPr>
          <w:rStyle w:val="FootnoteReference"/>
          <w:rFonts w:ascii="Arial" w:hAnsi="Arial" w:cs="Arial"/>
          <w:lang w:val="en-US"/>
        </w:rPr>
        <w:footnoteReference w:id="59"/>
      </w:r>
      <w:r w:rsidR="00C74B5E">
        <w:rPr>
          <w:rFonts w:ascii="Arial" w:hAnsi="Arial" w:cs="Arial"/>
          <w:lang w:val="en-US"/>
        </w:rPr>
        <w:t xml:space="preserve"> this would seem to be back on chronological grounds (implied repeal </w:t>
      </w:r>
      <w:proofErr w:type="spellStart"/>
      <w:r w:rsidR="007C3457" w:rsidRPr="007C3457">
        <w:rPr>
          <w:rFonts w:ascii="Arial" w:hAnsi="Arial" w:cs="Arial"/>
          <w:i/>
          <w:lang w:val="en-US"/>
        </w:rPr>
        <w:t>strictu</w:t>
      </w:r>
      <w:proofErr w:type="spellEnd"/>
      <w:r w:rsidR="007C3457" w:rsidRPr="007C3457">
        <w:rPr>
          <w:rFonts w:ascii="Arial" w:hAnsi="Arial" w:cs="Arial"/>
          <w:i/>
          <w:lang w:val="en-US"/>
        </w:rPr>
        <w:t xml:space="preserve"> </w:t>
      </w:r>
      <w:proofErr w:type="spellStart"/>
      <w:r w:rsidR="007C3457" w:rsidRPr="007C3457">
        <w:rPr>
          <w:rFonts w:ascii="Arial" w:hAnsi="Arial" w:cs="Arial"/>
          <w:i/>
          <w:lang w:val="en-US"/>
        </w:rPr>
        <w:t>sensu</w:t>
      </w:r>
      <w:proofErr w:type="spellEnd"/>
      <w:r w:rsidR="00C74B5E">
        <w:rPr>
          <w:rFonts w:ascii="Arial" w:hAnsi="Arial" w:cs="Arial"/>
          <w:lang w:val="en-US"/>
        </w:rPr>
        <w:t xml:space="preserve">), </w:t>
      </w:r>
      <w:r w:rsidR="0016770B">
        <w:rPr>
          <w:rFonts w:ascii="Arial" w:hAnsi="Arial" w:cs="Arial"/>
          <w:lang w:val="en-US"/>
        </w:rPr>
        <w:t>rather than due</w:t>
      </w:r>
      <w:r w:rsidR="00C74B5E">
        <w:rPr>
          <w:rFonts w:ascii="Arial" w:hAnsi="Arial" w:cs="Arial"/>
          <w:lang w:val="en-US"/>
        </w:rPr>
        <w:t xml:space="preserve"> to the purported primacy of the </w:t>
      </w:r>
      <w:r w:rsidR="00962231">
        <w:rPr>
          <w:rFonts w:ascii="Arial" w:hAnsi="Arial" w:cs="Arial"/>
          <w:lang w:val="en-US"/>
        </w:rPr>
        <w:t>specific, or at the very least a combination of the two.</w:t>
      </w:r>
      <w:r w:rsidR="00AF72CB">
        <w:rPr>
          <w:rFonts w:ascii="Arial" w:hAnsi="Arial" w:cs="Arial"/>
          <w:lang w:val="en-US"/>
        </w:rPr>
        <w:t xml:space="preserve">  </w:t>
      </w:r>
      <w:r w:rsidR="007C3457" w:rsidRPr="007C3457">
        <w:rPr>
          <w:rFonts w:ascii="Arial" w:hAnsi="Arial" w:cs="Arial"/>
          <w:i/>
          <w:lang w:val="en-US"/>
        </w:rPr>
        <w:t>Halsbury’s Laws of England</w:t>
      </w:r>
      <w:r w:rsidR="00AF72CB">
        <w:rPr>
          <w:rFonts w:ascii="Arial" w:hAnsi="Arial" w:cs="Arial"/>
          <w:lang w:val="en-US"/>
        </w:rPr>
        <w:t xml:space="preserve"> gives the position thus:</w:t>
      </w:r>
    </w:p>
    <w:p w:rsidR="00AF72CB" w:rsidRDefault="00AF72CB" w:rsidP="00985067">
      <w:pPr>
        <w:spacing w:after="0" w:line="240" w:lineRule="auto"/>
        <w:contextualSpacing/>
        <w:jc w:val="both"/>
        <w:rPr>
          <w:rFonts w:ascii="Arial" w:hAnsi="Arial" w:cs="Arial"/>
          <w:lang w:val="en-US"/>
        </w:rPr>
      </w:pPr>
    </w:p>
    <w:p w:rsidR="004861B1" w:rsidRDefault="007C3457">
      <w:pPr>
        <w:spacing w:after="0" w:line="240" w:lineRule="auto"/>
        <w:ind w:left="720"/>
        <w:rPr>
          <w:rFonts w:ascii="Arial" w:hAnsi="Arial" w:cs="Arial"/>
          <w:lang w:val="en-US"/>
        </w:rPr>
      </w:pPr>
      <w:r w:rsidRPr="007C3457">
        <w:rPr>
          <w:rFonts w:ascii="Arial" w:hAnsi="Arial" w:cs="Arial"/>
          <w:i/>
        </w:rPr>
        <w:t>To the extent that the continued application of a general enactment to a particular case is inconsistent with special provision subsequently made as respects that case, the general enactment is overridden by the particular, the effect of the special provision being to exempt the case in question from the operation of the general enactment or, in other words, impliedly to repeal the general enactment in relation to that case</w:t>
      </w:r>
      <w:r w:rsidR="00F06980">
        <w:rPr>
          <w:rFonts w:ascii="Arial" w:hAnsi="Arial" w:cs="Arial"/>
        </w:rPr>
        <w:t>.</w:t>
      </w:r>
      <w:r w:rsidRPr="007C3457">
        <w:rPr>
          <w:rStyle w:val="FootnoteReference"/>
          <w:rFonts w:ascii="Arial" w:hAnsi="Arial" w:cs="Arial"/>
          <w:lang w:val="en-US"/>
        </w:rPr>
        <w:footnoteReference w:id="60"/>
      </w:r>
    </w:p>
    <w:p w:rsidR="00C74B5E" w:rsidRPr="00AF72CB" w:rsidRDefault="00C74B5E" w:rsidP="00985067">
      <w:pPr>
        <w:spacing w:after="0" w:line="240" w:lineRule="auto"/>
        <w:contextualSpacing/>
        <w:jc w:val="both"/>
        <w:rPr>
          <w:rFonts w:ascii="Arial" w:hAnsi="Arial" w:cs="Arial"/>
          <w:i/>
          <w:lang w:val="en-US"/>
        </w:rPr>
      </w:pPr>
    </w:p>
    <w:p w:rsidR="00DF6687" w:rsidRDefault="0089354B" w:rsidP="00985067">
      <w:pPr>
        <w:spacing w:after="0" w:line="240" w:lineRule="auto"/>
        <w:contextualSpacing/>
        <w:jc w:val="both"/>
        <w:rPr>
          <w:rFonts w:ascii="Arial" w:hAnsi="Arial" w:cs="Arial"/>
          <w:lang w:val="en-US"/>
        </w:rPr>
      </w:pPr>
      <w:r>
        <w:rPr>
          <w:rFonts w:ascii="Arial" w:hAnsi="Arial" w:cs="Arial"/>
          <w:lang w:val="en-US"/>
        </w:rPr>
        <w:t xml:space="preserve">Thus in </w:t>
      </w:r>
      <w:r w:rsidR="001F5D6E">
        <w:rPr>
          <w:rFonts w:ascii="Arial" w:hAnsi="Arial" w:cs="Arial"/>
          <w:lang w:val="en-US"/>
        </w:rPr>
        <w:t>the</w:t>
      </w:r>
      <w:r>
        <w:rPr>
          <w:rFonts w:ascii="Arial" w:hAnsi="Arial" w:cs="Arial"/>
          <w:lang w:val="en-US"/>
        </w:rPr>
        <w:t xml:space="preserve"> New Zealand case </w:t>
      </w:r>
      <w:r w:rsidR="001F5D6E">
        <w:rPr>
          <w:rFonts w:ascii="Arial" w:hAnsi="Arial" w:cs="Arial"/>
          <w:lang w:val="en-US"/>
        </w:rPr>
        <w:t xml:space="preserve">of </w:t>
      </w:r>
      <w:r w:rsidR="007C3457" w:rsidRPr="007C3457">
        <w:rPr>
          <w:rFonts w:ascii="Arial" w:hAnsi="Arial" w:cs="Arial"/>
          <w:i/>
          <w:lang w:val="en-US"/>
        </w:rPr>
        <w:t xml:space="preserve">R. v </w:t>
      </w:r>
      <w:proofErr w:type="spellStart"/>
      <w:r w:rsidR="007C3457" w:rsidRPr="007C3457">
        <w:rPr>
          <w:rFonts w:ascii="Arial" w:hAnsi="Arial" w:cs="Arial"/>
          <w:i/>
          <w:lang w:val="en-US"/>
        </w:rPr>
        <w:t>Pora</w:t>
      </w:r>
      <w:proofErr w:type="spellEnd"/>
      <w:r w:rsidR="001F5D6E">
        <w:rPr>
          <w:rFonts w:ascii="Arial" w:hAnsi="Arial" w:cs="Arial"/>
          <w:lang w:val="en-US"/>
        </w:rPr>
        <w:t>,</w:t>
      </w:r>
      <w:r w:rsidR="001F5D6E">
        <w:rPr>
          <w:rStyle w:val="FootnoteReference"/>
          <w:rFonts w:ascii="Arial" w:hAnsi="Arial" w:cs="Arial"/>
          <w:lang w:val="en-US"/>
        </w:rPr>
        <w:footnoteReference w:id="61"/>
      </w:r>
      <w:r w:rsidR="001F5D6E">
        <w:rPr>
          <w:rFonts w:ascii="Arial" w:hAnsi="Arial" w:cs="Arial"/>
          <w:lang w:val="en-US"/>
        </w:rPr>
        <w:t xml:space="preserve"> in </w:t>
      </w:r>
      <w:r>
        <w:rPr>
          <w:rFonts w:ascii="Arial" w:hAnsi="Arial" w:cs="Arial"/>
          <w:lang w:val="en-US"/>
        </w:rPr>
        <w:t xml:space="preserve">which a later and more specific provision </w:t>
      </w:r>
      <w:r w:rsidR="00580CBB">
        <w:rPr>
          <w:rFonts w:ascii="Arial" w:hAnsi="Arial" w:cs="Arial"/>
          <w:lang w:val="en-US"/>
        </w:rPr>
        <w:t xml:space="preserve">restricted parole eligibility in ‘home invasion’ murder cases, </w:t>
      </w:r>
      <w:r w:rsidR="00442CEC">
        <w:rPr>
          <w:rFonts w:ascii="Arial" w:hAnsi="Arial" w:cs="Arial"/>
          <w:lang w:val="en-US"/>
        </w:rPr>
        <w:t xml:space="preserve">with retroactive effect, </w:t>
      </w:r>
      <w:r w:rsidR="00580CBB">
        <w:rPr>
          <w:rFonts w:ascii="Arial" w:hAnsi="Arial" w:cs="Arial"/>
          <w:lang w:val="en-US"/>
        </w:rPr>
        <w:t xml:space="preserve">a clash was discerned with </w:t>
      </w:r>
      <w:r>
        <w:rPr>
          <w:rFonts w:ascii="Arial" w:hAnsi="Arial" w:cs="Arial"/>
          <w:lang w:val="en-US"/>
        </w:rPr>
        <w:t xml:space="preserve">earlier, </w:t>
      </w:r>
      <w:r w:rsidR="00442CEC">
        <w:rPr>
          <w:rFonts w:ascii="Arial" w:hAnsi="Arial" w:cs="Arial"/>
          <w:lang w:val="en-US"/>
        </w:rPr>
        <w:t xml:space="preserve">more </w:t>
      </w:r>
      <w:r>
        <w:rPr>
          <w:rFonts w:ascii="Arial" w:hAnsi="Arial" w:cs="Arial"/>
          <w:lang w:val="en-US"/>
        </w:rPr>
        <w:t xml:space="preserve">general provisions upholding the notion of </w:t>
      </w:r>
      <w:proofErr w:type="spellStart"/>
      <w:r w:rsidR="007C3457" w:rsidRPr="007C3457">
        <w:rPr>
          <w:rFonts w:ascii="Arial" w:hAnsi="Arial" w:cs="Arial"/>
          <w:i/>
          <w:lang w:val="en-US"/>
        </w:rPr>
        <w:t>nullum</w:t>
      </w:r>
      <w:proofErr w:type="spellEnd"/>
      <w:r w:rsidR="007C3457" w:rsidRPr="007C3457">
        <w:rPr>
          <w:rFonts w:ascii="Arial" w:hAnsi="Arial" w:cs="Arial"/>
          <w:i/>
          <w:lang w:val="en-US"/>
        </w:rPr>
        <w:t xml:space="preserve"> </w:t>
      </w:r>
      <w:proofErr w:type="spellStart"/>
      <w:r w:rsidR="007C3457" w:rsidRPr="007C3457">
        <w:rPr>
          <w:rFonts w:ascii="Arial" w:hAnsi="Arial" w:cs="Arial"/>
          <w:i/>
          <w:lang w:val="en-US"/>
        </w:rPr>
        <w:t>pene</w:t>
      </w:r>
      <w:proofErr w:type="spellEnd"/>
      <w:r w:rsidR="007C3457" w:rsidRPr="007C3457">
        <w:rPr>
          <w:rFonts w:ascii="Arial" w:hAnsi="Arial" w:cs="Arial"/>
          <w:i/>
          <w:lang w:val="en-US"/>
        </w:rPr>
        <w:t xml:space="preserve"> sine </w:t>
      </w:r>
      <w:proofErr w:type="spellStart"/>
      <w:r w:rsidR="007C3457" w:rsidRPr="007C3457">
        <w:rPr>
          <w:rFonts w:ascii="Arial" w:hAnsi="Arial" w:cs="Arial"/>
          <w:i/>
          <w:lang w:val="en-US"/>
        </w:rPr>
        <w:t>lege</w:t>
      </w:r>
      <w:proofErr w:type="spellEnd"/>
      <w:r w:rsidR="00580CBB">
        <w:rPr>
          <w:rFonts w:ascii="Arial" w:hAnsi="Arial" w:cs="Arial"/>
          <w:lang w:val="en-US"/>
        </w:rPr>
        <w:t>, namely, that there should be no punishment without law.</w:t>
      </w:r>
      <w:r w:rsidR="00442CEC">
        <w:rPr>
          <w:rFonts w:ascii="Arial" w:hAnsi="Arial" w:cs="Arial"/>
          <w:lang w:val="en-US"/>
        </w:rPr>
        <w:t xml:space="preserve">  An individual who had committed a murder in the context of a home invasion prior to the adoption of this new law appealed against the sentencing judge’s order that he not be considered for parole for 13 years; the law as it stood at the time of his offence would have allowed for parole after 10 years.  </w:t>
      </w:r>
      <w:r w:rsidR="004F5212">
        <w:rPr>
          <w:rFonts w:ascii="Arial" w:hAnsi="Arial" w:cs="Arial"/>
          <w:lang w:val="en-US"/>
        </w:rPr>
        <w:t>Did</w:t>
      </w:r>
      <w:r w:rsidR="00442CEC">
        <w:rPr>
          <w:rFonts w:ascii="Arial" w:hAnsi="Arial" w:cs="Arial"/>
          <w:lang w:val="en-US"/>
        </w:rPr>
        <w:t xml:space="preserve"> the later specific law </w:t>
      </w:r>
      <w:r w:rsidR="004F5212">
        <w:rPr>
          <w:rFonts w:ascii="Arial" w:hAnsi="Arial" w:cs="Arial"/>
          <w:lang w:val="en-US"/>
        </w:rPr>
        <w:t>override</w:t>
      </w:r>
      <w:r w:rsidR="00442CEC">
        <w:rPr>
          <w:rFonts w:ascii="Arial" w:hAnsi="Arial" w:cs="Arial"/>
          <w:lang w:val="en-US"/>
        </w:rPr>
        <w:t xml:space="preserve"> the earlier, general ones</w:t>
      </w:r>
      <w:r w:rsidR="001918C2">
        <w:rPr>
          <w:rFonts w:ascii="Arial" w:hAnsi="Arial" w:cs="Arial"/>
          <w:lang w:val="en-US"/>
        </w:rPr>
        <w:t xml:space="preserve">?  </w:t>
      </w:r>
      <w:r w:rsidR="0016770B">
        <w:rPr>
          <w:rFonts w:ascii="Arial" w:hAnsi="Arial" w:cs="Arial"/>
          <w:lang w:val="en-US"/>
        </w:rPr>
        <w:t>The majority of the Court of Appeal answered this in the affirmativ</w:t>
      </w:r>
      <w:r w:rsidR="004F5212">
        <w:rPr>
          <w:rFonts w:ascii="Arial" w:hAnsi="Arial" w:cs="Arial"/>
          <w:lang w:val="en-US"/>
        </w:rPr>
        <w:t xml:space="preserve">e.  However, </w:t>
      </w:r>
      <w:r w:rsidR="008700AB">
        <w:rPr>
          <w:rFonts w:ascii="Arial" w:hAnsi="Arial" w:cs="Arial"/>
          <w:lang w:val="en-US"/>
        </w:rPr>
        <w:t xml:space="preserve">dissenting judges </w:t>
      </w:r>
      <w:r w:rsidR="001918C2">
        <w:rPr>
          <w:rFonts w:ascii="Arial" w:hAnsi="Arial" w:cs="Arial"/>
          <w:lang w:val="en-US"/>
        </w:rPr>
        <w:t>Elias C</w:t>
      </w:r>
      <w:r w:rsidR="00581E08">
        <w:rPr>
          <w:rFonts w:ascii="Arial" w:hAnsi="Arial" w:cs="Arial"/>
          <w:lang w:val="en-US"/>
        </w:rPr>
        <w:t>.</w:t>
      </w:r>
      <w:r w:rsidR="001918C2">
        <w:rPr>
          <w:rFonts w:ascii="Arial" w:hAnsi="Arial" w:cs="Arial"/>
          <w:lang w:val="en-US"/>
        </w:rPr>
        <w:t>J</w:t>
      </w:r>
      <w:r w:rsidR="00581E08">
        <w:rPr>
          <w:rFonts w:ascii="Arial" w:hAnsi="Arial" w:cs="Arial"/>
          <w:lang w:val="en-US"/>
        </w:rPr>
        <w:t>.</w:t>
      </w:r>
      <w:r w:rsidR="001918C2">
        <w:rPr>
          <w:rFonts w:ascii="Arial" w:hAnsi="Arial" w:cs="Arial"/>
          <w:lang w:val="en-US"/>
        </w:rPr>
        <w:t xml:space="preserve"> and Tipping J</w:t>
      </w:r>
      <w:r w:rsidR="00581E08">
        <w:rPr>
          <w:rFonts w:ascii="Arial" w:hAnsi="Arial" w:cs="Arial"/>
          <w:lang w:val="en-US"/>
        </w:rPr>
        <w:t>.</w:t>
      </w:r>
      <w:r w:rsidR="001918C2">
        <w:rPr>
          <w:rFonts w:ascii="Arial" w:hAnsi="Arial" w:cs="Arial"/>
          <w:lang w:val="en-US"/>
        </w:rPr>
        <w:t xml:space="preserve"> pointed out that</w:t>
      </w:r>
      <w:r w:rsidR="00581E08">
        <w:rPr>
          <w:rFonts w:ascii="Arial" w:hAnsi="Arial" w:cs="Arial"/>
          <w:lang w:val="en-US"/>
        </w:rPr>
        <w:t>, at least in their opinion,</w:t>
      </w:r>
      <w:r w:rsidR="001918C2">
        <w:rPr>
          <w:rFonts w:ascii="Arial" w:hAnsi="Arial" w:cs="Arial"/>
          <w:lang w:val="en-US"/>
        </w:rPr>
        <w:t xml:space="preserve"> the maxim </w:t>
      </w:r>
      <w:proofErr w:type="spellStart"/>
      <w:r w:rsidR="007C3457" w:rsidRPr="007C3457">
        <w:rPr>
          <w:rFonts w:ascii="Arial" w:hAnsi="Arial" w:cs="Arial"/>
          <w:i/>
          <w:lang w:val="en-US"/>
        </w:rPr>
        <w:t>generalia</w:t>
      </w:r>
      <w:proofErr w:type="spellEnd"/>
      <w:r w:rsidR="007C3457" w:rsidRPr="007C3457">
        <w:rPr>
          <w:rFonts w:ascii="Arial" w:hAnsi="Arial" w:cs="Arial"/>
          <w:i/>
          <w:lang w:val="en-US"/>
        </w:rPr>
        <w:t xml:space="preserve"> </w:t>
      </w:r>
      <w:proofErr w:type="spellStart"/>
      <w:r w:rsidR="007C3457" w:rsidRPr="007C3457">
        <w:rPr>
          <w:rFonts w:ascii="Arial" w:hAnsi="Arial" w:cs="Arial"/>
          <w:i/>
          <w:lang w:val="en-US"/>
        </w:rPr>
        <w:t>specialibus</w:t>
      </w:r>
      <w:proofErr w:type="spellEnd"/>
      <w:r w:rsidR="007C3457" w:rsidRPr="007C3457">
        <w:rPr>
          <w:rFonts w:ascii="Arial" w:hAnsi="Arial" w:cs="Arial"/>
          <w:i/>
          <w:lang w:val="en-US"/>
        </w:rPr>
        <w:t xml:space="preserve"> non </w:t>
      </w:r>
      <w:proofErr w:type="spellStart"/>
      <w:r w:rsidR="007C3457" w:rsidRPr="007C3457">
        <w:rPr>
          <w:rFonts w:ascii="Arial" w:hAnsi="Arial" w:cs="Arial"/>
          <w:i/>
          <w:lang w:val="en-US"/>
        </w:rPr>
        <w:t>derogant</w:t>
      </w:r>
      <w:proofErr w:type="spellEnd"/>
      <w:r w:rsidR="001918C2">
        <w:rPr>
          <w:rFonts w:ascii="Arial" w:hAnsi="Arial" w:cs="Arial"/>
          <w:lang w:val="en-US"/>
        </w:rPr>
        <w:t xml:space="preserve"> did </w:t>
      </w:r>
      <w:r w:rsidR="007C3457" w:rsidRPr="007C3457">
        <w:rPr>
          <w:rFonts w:ascii="Arial" w:hAnsi="Arial" w:cs="Arial"/>
          <w:i/>
          <w:lang w:val="en-US"/>
        </w:rPr>
        <w:t>not</w:t>
      </w:r>
      <w:r w:rsidR="001918C2">
        <w:rPr>
          <w:rFonts w:ascii="Arial" w:hAnsi="Arial" w:cs="Arial"/>
          <w:lang w:val="en-US"/>
        </w:rPr>
        <w:t xml:space="preserve"> equate to a maxim, </w:t>
      </w:r>
      <w:proofErr w:type="spellStart"/>
      <w:r w:rsidR="007C3457" w:rsidRPr="007C3457">
        <w:rPr>
          <w:rFonts w:ascii="Arial" w:hAnsi="Arial" w:cs="Arial"/>
          <w:i/>
          <w:lang w:val="en-US"/>
        </w:rPr>
        <w:t>specialia</w:t>
      </w:r>
      <w:proofErr w:type="spellEnd"/>
      <w:r w:rsidR="007C3457" w:rsidRPr="007C3457">
        <w:rPr>
          <w:rFonts w:ascii="Arial" w:hAnsi="Arial" w:cs="Arial"/>
          <w:i/>
          <w:lang w:val="en-US"/>
        </w:rPr>
        <w:t xml:space="preserve"> </w:t>
      </w:r>
      <w:proofErr w:type="spellStart"/>
      <w:r w:rsidR="007C3457" w:rsidRPr="007C3457">
        <w:rPr>
          <w:rFonts w:ascii="Arial" w:hAnsi="Arial" w:cs="Arial"/>
          <w:i/>
          <w:lang w:val="en-US"/>
        </w:rPr>
        <w:t>generalibus</w:t>
      </w:r>
      <w:proofErr w:type="spellEnd"/>
      <w:r w:rsidR="007C3457" w:rsidRPr="007C3457">
        <w:rPr>
          <w:rFonts w:ascii="Arial" w:hAnsi="Arial" w:cs="Arial"/>
          <w:i/>
          <w:lang w:val="en-US"/>
        </w:rPr>
        <w:t xml:space="preserve"> </w:t>
      </w:r>
      <w:proofErr w:type="spellStart"/>
      <w:r w:rsidR="007C3457" w:rsidRPr="007C3457">
        <w:rPr>
          <w:rFonts w:ascii="Arial" w:hAnsi="Arial" w:cs="Arial"/>
          <w:i/>
          <w:lang w:val="en-US"/>
        </w:rPr>
        <w:t>derogant</w:t>
      </w:r>
      <w:proofErr w:type="spellEnd"/>
      <w:r w:rsidR="00581E08">
        <w:rPr>
          <w:rFonts w:ascii="Arial" w:hAnsi="Arial" w:cs="Arial"/>
          <w:lang w:val="en-US"/>
        </w:rPr>
        <w:t>; they found the latter maxim to be ‘inherently less useful.’</w:t>
      </w:r>
      <w:r w:rsidR="003F7E0C">
        <w:rPr>
          <w:rStyle w:val="FootnoteReference"/>
          <w:rFonts w:ascii="Arial" w:hAnsi="Arial" w:cs="Arial"/>
          <w:lang w:val="en-US"/>
        </w:rPr>
        <w:footnoteReference w:id="62"/>
      </w:r>
      <w:r w:rsidR="0088159D">
        <w:rPr>
          <w:rFonts w:ascii="Arial" w:hAnsi="Arial" w:cs="Arial"/>
          <w:lang w:val="en-US"/>
        </w:rPr>
        <w:t xml:space="preserve">  But if </w:t>
      </w:r>
      <w:r w:rsidR="006B2040">
        <w:rPr>
          <w:rFonts w:ascii="Arial" w:hAnsi="Arial" w:cs="Arial"/>
          <w:lang w:val="en-US"/>
        </w:rPr>
        <w:t xml:space="preserve">that is true, then neither </w:t>
      </w:r>
      <w:r w:rsidR="0088159D">
        <w:rPr>
          <w:rFonts w:ascii="Arial" w:hAnsi="Arial" w:cs="Arial"/>
          <w:lang w:val="en-US"/>
        </w:rPr>
        <w:t xml:space="preserve">level of generality </w:t>
      </w:r>
      <w:r w:rsidR="007C3457" w:rsidRPr="007C3457">
        <w:rPr>
          <w:rFonts w:ascii="Arial" w:hAnsi="Arial" w:cs="Arial"/>
          <w:i/>
          <w:lang w:val="en-US"/>
        </w:rPr>
        <w:t>nor</w:t>
      </w:r>
      <w:r w:rsidR="0088159D">
        <w:rPr>
          <w:rFonts w:ascii="Arial" w:hAnsi="Arial" w:cs="Arial"/>
          <w:lang w:val="en-US"/>
        </w:rPr>
        <w:t xml:space="preserve"> chronological order d</w:t>
      </w:r>
      <w:r w:rsidR="006B2040">
        <w:rPr>
          <w:rFonts w:ascii="Arial" w:hAnsi="Arial" w:cs="Arial"/>
          <w:lang w:val="en-US"/>
        </w:rPr>
        <w:t>efinitively determine primacy</w:t>
      </w:r>
      <w:r w:rsidR="00CA5CD4">
        <w:rPr>
          <w:rFonts w:ascii="Arial" w:hAnsi="Arial" w:cs="Arial"/>
          <w:lang w:val="en-US"/>
        </w:rPr>
        <w:t>.  And</w:t>
      </w:r>
      <w:r w:rsidR="00BB56FE">
        <w:rPr>
          <w:rFonts w:ascii="Arial" w:hAnsi="Arial" w:cs="Arial"/>
          <w:lang w:val="en-US"/>
        </w:rPr>
        <w:t xml:space="preserve"> if </w:t>
      </w:r>
      <w:r w:rsidR="007C3457" w:rsidRPr="007C3457">
        <w:rPr>
          <w:rFonts w:ascii="Arial" w:hAnsi="Arial" w:cs="Arial"/>
          <w:i/>
          <w:lang w:val="en-US"/>
        </w:rPr>
        <w:t>that</w:t>
      </w:r>
      <w:r w:rsidR="00BB56FE">
        <w:rPr>
          <w:rFonts w:ascii="Arial" w:hAnsi="Arial" w:cs="Arial"/>
          <w:lang w:val="en-US"/>
        </w:rPr>
        <w:t xml:space="preserve"> is true, then it would indicate the hidden presenc</w:t>
      </w:r>
      <w:r w:rsidR="00C02897">
        <w:rPr>
          <w:rFonts w:ascii="Arial" w:hAnsi="Arial" w:cs="Arial"/>
          <w:lang w:val="en-US"/>
        </w:rPr>
        <w:t>e of a more flexible ‘third way</w:t>
      </w:r>
      <w:r w:rsidR="00BB56FE">
        <w:rPr>
          <w:rFonts w:ascii="Arial" w:hAnsi="Arial" w:cs="Arial"/>
          <w:lang w:val="en-US"/>
        </w:rPr>
        <w:t xml:space="preserve">’ </w:t>
      </w:r>
      <w:r w:rsidR="00C02897">
        <w:rPr>
          <w:rFonts w:ascii="Arial" w:hAnsi="Arial" w:cs="Arial"/>
          <w:lang w:val="en-US"/>
        </w:rPr>
        <w:t xml:space="preserve">for resolving a conflict between two legislative provisions.  Such a ‘third way’ was arguably </w:t>
      </w:r>
      <w:r w:rsidR="00BB56FE">
        <w:rPr>
          <w:rFonts w:ascii="Arial" w:hAnsi="Arial" w:cs="Arial"/>
          <w:lang w:val="en-US"/>
        </w:rPr>
        <w:t xml:space="preserve">enunciated by </w:t>
      </w:r>
      <w:r w:rsidR="008700AB">
        <w:rPr>
          <w:rFonts w:ascii="Arial" w:hAnsi="Arial" w:cs="Arial"/>
          <w:lang w:val="en-US"/>
        </w:rPr>
        <w:t xml:space="preserve">Lord </w:t>
      </w:r>
      <w:proofErr w:type="spellStart"/>
      <w:r w:rsidR="008700AB">
        <w:rPr>
          <w:rFonts w:ascii="Arial" w:hAnsi="Arial" w:cs="Arial"/>
          <w:lang w:val="en-US"/>
        </w:rPr>
        <w:t>Herschell</w:t>
      </w:r>
      <w:proofErr w:type="spellEnd"/>
      <w:r w:rsidR="00BB56FE">
        <w:rPr>
          <w:rFonts w:ascii="Arial" w:hAnsi="Arial" w:cs="Arial"/>
          <w:lang w:val="en-US"/>
        </w:rPr>
        <w:t xml:space="preserve"> </w:t>
      </w:r>
      <w:r w:rsidR="00C02897">
        <w:rPr>
          <w:rFonts w:ascii="Arial" w:hAnsi="Arial" w:cs="Arial"/>
          <w:lang w:val="en-US"/>
        </w:rPr>
        <w:t xml:space="preserve">L.C. </w:t>
      </w:r>
      <w:r w:rsidR="00BB56FE">
        <w:rPr>
          <w:rFonts w:ascii="Arial" w:hAnsi="Arial" w:cs="Arial"/>
          <w:lang w:val="en-US"/>
        </w:rPr>
        <w:t xml:space="preserve">in </w:t>
      </w:r>
      <w:proofErr w:type="gramStart"/>
      <w:r w:rsidR="007C3457" w:rsidRPr="007C3457">
        <w:rPr>
          <w:rFonts w:ascii="Arial" w:hAnsi="Arial" w:cs="Arial"/>
          <w:i/>
          <w:lang w:val="en-US"/>
        </w:rPr>
        <w:t>Institute of Patent Agents</w:t>
      </w:r>
      <w:proofErr w:type="gramEnd"/>
      <w:r w:rsidR="007C3457" w:rsidRPr="007C3457">
        <w:rPr>
          <w:rFonts w:ascii="Arial" w:hAnsi="Arial" w:cs="Arial"/>
          <w:i/>
          <w:lang w:val="en-US"/>
        </w:rPr>
        <w:t xml:space="preserve"> v Lockwood</w:t>
      </w:r>
      <w:r w:rsidR="00BB56FE">
        <w:rPr>
          <w:rFonts w:ascii="Arial" w:hAnsi="Arial" w:cs="Arial"/>
          <w:lang w:val="en-US"/>
        </w:rPr>
        <w:t>:</w:t>
      </w:r>
      <w:r w:rsidR="00DF6687">
        <w:rPr>
          <w:rStyle w:val="FootnoteReference"/>
          <w:rFonts w:ascii="Arial" w:hAnsi="Arial" w:cs="Arial"/>
          <w:lang w:val="en-US"/>
        </w:rPr>
        <w:footnoteReference w:id="63"/>
      </w:r>
      <w:r w:rsidR="00BB56FE">
        <w:rPr>
          <w:rFonts w:ascii="Arial" w:hAnsi="Arial" w:cs="Arial"/>
          <w:lang w:val="en-US"/>
        </w:rPr>
        <w:t xml:space="preserve"> </w:t>
      </w:r>
    </w:p>
    <w:p w:rsidR="00DF6687" w:rsidRDefault="00DF6687" w:rsidP="00985067">
      <w:pPr>
        <w:spacing w:after="0" w:line="240" w:lineRule="auto"/>
        <w:contextualSpacing/>
        <w:jc w:val="both"/>
        <w:rPr>
          <w:rFonts w:ascii="Arial" w:hAnsi="Arial" w:cs="Arial"/>
          <w:lang w:val="en-US"/>
        </w:rPr>
      </w:pPr>
    </w:p>
    <w:p w:rsidR="004861B1" w:rsidRDefault="007C3457">
      <w:pPr>
        <w:spacing w:after="0" w:line="240" w:lineRule="auto"/>
        <w:ind w:left="720"/>
        <w:contextualSpacing/>
        <w:rPr>
          <w:rFonts w:ascii="Arial" w:hAnsi="Arial" w:cs="Arial"/>
          <w:lang w:val="en-US"/>
        </w:rPr>
      </w:pPr>
      <w:r w:rsidRPr="007C3457">
        <w:rPr>
          <w:rFonts w:ascii="Arial" w:hAnsi="Arial" w:cs="Arial"/>
          <w:i/>
          <w:lang w:val="en-US"/>
        </w:rPr>
        <w:t>You have to try and reconcile them as best you may. If you cannot, you have to determine which is the leading provision and which the subordinate provision, and which must give way to the other.</w:t>
      </w:r>
      <w:r w:rsidR="00C02897">
        <w:rPr>
          <w:rStyle w:val="FootnoteReference"/>
          <w:rFonts w:ascii="Arial" w:hAnsi="Arial" w:cs="Arial"/>
          <w:lang w:val="en-US"/>
        </w:rPr>
        <w:footnoteReference w:id="64"/>
      </w:r>
    </w:p>
    <w:p w:rsidR="00DF6687" w:rsidRDefault="00DF6687" w:rsidP="00985067">
      <w:pPr>
        <w:spacing w:after="0" w:line="240" w:lineRule="auto"/>
        <w:contextualSpacing/>
        <w:jc w:val="both"/>
        <w:rPr>
          <w:rFonts w:ascii="Arial" w:hAnsi="Arial" w:cs="Arial"/>
          <w:lang w:val="en-US"/>
        </w:rPr>
      </w:pPr>
    </w:p>
    <w:p w:rsidR="00DF6687" w:rsidRDefault="00DF6687" w:rsidP="00985067">
      <w:pPr>
        <w:spacing w:after="0" w:line="240" w:lineRule="auto"/>
        <w:contextualSpacing/>
        <w:jc w:val="both"/>
        <w:rPr>
          <w:rFonts w:ascii="Arial" w:hAnsi="Arial" w:cs="Arial"/>
          <w:lang w:val="en-US"/>
        </w:rPr>
      </w:pPr>
      <w:r>
        <w:rPr>
          <w:rFonts w:ascii="Arial" w:hAnsi="Arial" w:cs="Arial"/>
          <w:lang w:val="en-US"/>
        </w:rPr>
        <w:t xml:space="preserve">This ‘leading provision’ theory is greatly preferred by Elias </w:t>
      </w:r>
      <w:proofErr w:type="spellStart"/>
      <w:r>
        <w:rPr>
          <w:rFonts w:ascii="Arial" w:hAnsi="Arial" w:cs="Arial"/>
          <w:lang w:val="en-US"/>
        </w:rPr>
        <w:t>C.J.and</w:t>
      </w:r>
      <w:proofErr w:type="spellEnd"/>
      <w:r>
        <w:rPr>
          <w:rFonts w:ascii="Arial" w:hAnsi="Arial" w:cs="Arial"/>
          <w:lang w:val="en-US"/>
        </w:rPr>
        <w:t xml:space="preserve"> Tipping J. in their dissent in the New Zealand case mentioned immediately above</w:t>
      </w:r>
      <w:r w:rsidR="008D45E8">
        <w:rPr>
          <w:rFonts w:ascii="Arial" w:hAnsi="Arial" w:cs="Arial"/>
          <w:lang w:val="en-US"/>
        </w:rPr>
        <w:t>.</w:t>
      </w:r>
    </w:p>
    <w:p w:rsidR="008D3318" w:rsidRDefault="008D3318" w:rsidP="00985067">
      <w:pPr>
        <w:spacing w:after="0" w:line="240" w:lineRule="auto"/>
        <w:contextualSpacing/>
        <w:jc w:val="both"/>
        <w:rPr>
          <w:rFonts w:ascii="Arial" w:hAnsi="Arial" w:cs="Arial"/>
          <w:lang w:val="en-US"/>
        </w:rPr>
      </w:pPr>
    </w:p>
    <w:p w:rsidR="00A8059C" w:rsidRDefault="00A8059C" w:rsidP="00985067">
      <w:pPr>
        <w:spacing w:after="0" w:line="240" w:lineRule="auto"/>
        <w:contextualSpacing/>
        <w:jc w:val="both"/>
        <w:rPr>
          <w:rFonts w:ascii="Arial" w:hAnsi="Arial" w:cs="Arial"/>
          <w:lang w:val="en-US"/>
        </w:rPr>
      </w:pPr>
      <w:r w:rsidRPr="00300B83">
        <w:rPr>
          <w:rFonts w:ascii="Arial" w:hAnsi="Arial" w:cs="Arial"/>
          <w:b/>
          <w:lang w:val="en-US"/>
        </w:rPr>
        <w:t>Models of implied repeal</w:t>
      </w:r>
    </w:p>
    <w:p w:rsidR="00A8059C" w:rsidRPr="00985067" w:rsidRDefault="00A8059C" w:rsidP="00985067">
      <w:pPr>
        <w:spacing w:after="0" w:line="240" w:lineRule="auto"/>
        <w:contextualSpacing/>
        <w:jc w:val="both"/>
        <w:rPr>
          <w:rFonts w:ascii="Arial" w:hAnsi="Arial" w:cs="Arial"/>
          <w:lang w:val="en-US"/>
        </w:rPr>
      </w:pPr>
    </w:p>
    <w:p w:rsidR="007E7531" w:rsidRDefault="00CE2177" w:rsidP="00985067">
      <w:pPr>
        <w:spacing w:after="0" w:line="240" w:lineRule="auto"/>
        <w:contextualSpacing/>
        <w:jc w:val="both"/>
        <w:rPr>
          <w:rFonts w:ascii="Arial" w:hAnsi="Arial" w:cs="Arial"/>
          <w:lang w:val="en-US"/>
        </w:rPr>
      </w:pPr>
      <w:r>
        <w:rPr>
          <w:rFonts w:ascii="Arial" w:hAnsi="Arial" w:cs="Arial"/>
          <w:lang w:val="en-US"/>
        </w:rPr>
        <w:t>While m</w:t>
      </w:r>
      <w:r w:rsidR="00985067" w:rsidRPr="00985067">
        <w:rPr>
          <w:rFonts w:ascii="Arial" w:hAnsi="Arial" w:cs="Arial"/>
          <w:lang w:val="en-US"/>
        </w:rPr>
        <w:t>uch has been written about the doctrine, surprisingly little seems to actually be known – beyond doubt – about its operation.  Matters are not helped by the fact that most of the literature concerns one particular putative scenario for the doctrine’s application, namely, the scenario wherein a later non-constitutional enactment is purported to have impliedly repealed an earlier constitutional enactment.</w:t>
      </w:r>
      <w:bookmarkStart w:id="20" w:name="Thoburn"/>
      <w:r w:rsidR="00886380">
        <w:rPr>
          <w:rStyle w:val="FootnoteReference"/>
          <w:rFonts w:ascii="Arial" w:hAnsi="Arial" w:cs="Arial"/>
          <w:lang w:val="en-US"/>
        </w:rPr>
        <w:footnoteReference w:id="65"/>
      </w:r>
      <w:bookmarkEnd w:id="20"/>
      <w:r w:rsidR="00985067" w:rsidRPr="00985067">
        <w:rPr>
          <w:rFonts w:ascii="Arial" w:hAnsi="Arial" w:cs="Arial"/>
          <w:lang w:val="en-US"/>
        </w:rPr>
        <w:t xml:space="preserve">  That would not be the situation </w:t>
      </w:r>
      <w:r>
        <w:rPr>
          <w:rFonts w:ascii="Arial" w:hAnsi="Arial" w:cs="Arial"/>
          <w:lang w:val="en-US"/>
        </w:rPr>
        <w:t>in our case study</w:t>
      </w:r>
      <w:r w:rsidR="0081672A">
        <w:rPr>
          <w:rFonts w:ascii="Arial" w:hAnsi="Arial" w:cs="Arial"/>
          <w:lang w:val="en-US"/>
        </w:rPr>
        <w:t xml:space="preserve">.  As commented above, </w:t>
      </w:r>
      <w:r w:rsidR="00985067" w:rsidRPr="00985067">
        <w:rPr>
          <w:rFonts w:ascii="Arial" w:hAnsi="Arial" w:cs="Arial"/>
          <w:lang w:val="en-US"/>
        </w:rPr>
        <w:t xml:space="preserve">it would seem odd indeed if British </w:t>
      </w:r>
      <w:r w:rsidR="001E4771">
        <w:rPr>
          <w:rFonts w:ascii="Arial" w:hAnsi="Arial" w:cs="Arial"/>
          <w:lang w:val="en-US"/>
        </w:rPr>
        <w:t xml:space="preserve">legislators or </w:t>
      </w:r>
      <w:r w:rsidR="00985067" w:rsidRPr="00985067">
        <w:rPr>
          <w:rFonts w:ascii="Arial" w:hAnsi="Arial" w:cs="Arial"/>
          <w:lang w:val="en-US"/>
        </w:rPr>
        <w:t xml:space="preserve">judges chose </w:t>
      </w:r>
      <w:r w:rsidR="001E4771">
        <w:rPr>
          <w:rFonts w:ascii="Arial" w:hAnsi="Arial" w:cs="Arial"/>
          <w:lang w:val="en-US"/>
        </w:rPr>
        <w:t>to immunize incoming EU Law as ‘constitutional,’</w:t>
      </w:r>
      <w:r w:rsidR="00985067" w:rsidRPr="00985067">
        <w:rPr>
          <w:rFonts w:ascii="Arial" w:hAnsi="Arial" w:cs="Arial"/>
          <w:lang w:val="en-US"/>
        </w:rPr>
        <w:t xml:space="preserve"> when the goal of withdrawal from the EU would seem to have been all along precisely to facilitate the amendment or repeal of EU Law, not to make it more difficult.</w:t>
      </w:r>
      <w:r w:rsidR="00985067" w:rsidRPr="00985067">
        <w:rPr>
          <w:rFonts w:ascii="Arial" w:hAnsi="Arial" w:cs="Arial"/>
          <w:vertAlign w:val="superscript"/>
          <w:lang w:val="en-US"/>
        </w:rPr>
        <w:footnoteReference w:id="66"/>
      </w:r>
      <w:r w:rsidR="00985067" w:rsidRPr="00985067">
        <w:rPr>
          <w:rFonts w:ascii="Arial" w:hAnsi="Arial" w:cs="Arial"/>
          <w:lang w:val="en-US"/>
        </w:rPr>
        <w:t xml:space="preserve">  So we need to know, not what happens when a constitutional enactment undergoes implied repeal (if it does</w:t>
      </w:r>
      <w:r w:rsidR="00300B83">
        <w:rPr>
          <w:rFonts w:ascii="Arial" w:hAnsi="Arial" w:cs="Arial"/>
          <w:lang w:val="en-US"/>
        </w:rPr>
        <w:t xml:space="preserve"> at all), but when a common or </w:t>
      </w:r>
      <w:r w:rsidR="00985067" w:rsidRPr="00985067">
        <w:rPr>
          <w:rFonts w:ascii="Arial" w:hAnsi="Arial" w:cs="Arial"/>
          <w:lang w:val="en-US"/>
        </w:rPr>
        <w:t xml:space="preserve">garden one does.  And the answer </w:t>
      </w:r>
      <w:r w:rsidR="007E7531">
        <w:rPr>
          <w:rFonts w:ascii="Arial" w:hAnsi="Arial" w:cs="Arial"/>
          <w:lang w:val="en-US"/>
        </w:rPr>
        <w:t xml:space="preserve">not only </w:t>
      </w:r>
      <w:r w:rsidR="00985067" w:rsidRPr="00985067">
        <w:rPr>
          <w:rFonts w:ascii="Arial" w:hAnsi="Arial" w:cs="Arial"/>
          <w:lang w:val="en-US"/>
        </w:rPr>
        <w:t>depends on the precise nature of the later, supposedly repealing enactment</w:t>
      </w:r>
      <w:r w:rsidR="007E7531">
        <w:rPr>
          <w:rFonts w:ascii="Arial" w:hAnsi="Arial" w:cs="Arial"/>
          <w:lang w:val="en-US"/>
        </w:rPr>
        <w:t>, but also on the model of implied repeal employed.</w:t>
      </w:r>
    </w:p>
    <w:p w:rsidR="007E7531" w:rsidRDefault="007E7531" w:rsidP="00985067">
      <w:pPr>
        <w:spacing w:after="0" w:line="240" w:lineRule="auto"/>
        <w:contextualSpacing/>
        <w:jc w:val="both"/>
        <w:rPr>
          <w:rFonts w:ascii="Arial" w:hAnsi="Arial" w:cs="Arial"/>
          <w:lang w:val="en-US"/>
        </w:rPr>
      </w:pPr>
    </w:p>
    <w:p w:rsidR="00D768AF" w:rsidRDefault="00AC0E75" w:rsidP="00985067">
      <w:pPr>
        <w:spacing w:after="0" w:line="240" w:lineRule="auto"/>
        <w:contextualSpacing/>
        <w:jc w:val="both"/>
        <w:rPr>
          <w:rFonts w:ascii="Arial" w:hAnsi="Arial" w:cs="Arial"/>
          <w:lang w:val="en-US"/>
        </w:rPr>
      </w:pPr>
      <w:r>
        <w:rPr>
          <w:rFonts w:ascii="Arial" w:hAnsi="Arial" w:cs="Arial"/>
          <w:lang w:val="en-US"/>
        </w:rPr>
        <w:t xml:space="preserve">Proponents of the Conflict of Norms Model hold that, where there are two conflicting enactments, an earlier one (call it Act 1) and a later one (call it Act 2), priority is </w:t>
      </w:r>
      <w:r w:rsidRPr="00AC0E75">
        <w:rPr>
          <w:rFonts w:ascii="Arial" w:hAnsi="Arial" w:cs="Arial"/>
          <w:i/>
          <w:lang w:val="en-US"/>
        </w:rPr>
        <w:t>always</w:t>
      </w:r>
      <w:r>
        <w:rPr>
          <w:rFonts w:ascii="Arial" w:hAnsi="Arial" w:cs="Arial"/>
          <w:lang w:val="en-US"/>
        </w:rPr>
        <w:t xml:space="preserve"> to be </w:t>
      </w:r>
      <w:r>
        <w:rPr>
          <w:rFonts w:ascii="Arial" w:hAnsi="Arial" w:cs="Arial"/>
          <w:lang w:val="en-US"/>
        </w:rPr>
        <w:lastRenderedPageBreak/>
        <w:t>given to the norm produced by the later enactment.</w:t>
      </w:r>
      <w:bookmarkStart w:id="21" w:name="Goldsworthy"/>
      <w:bookmarkStart w:id="22" w:name="Barber_and_Young"/>
      <w:r w:rsidR="005B6999">
        <w:rPr>
          <w:rStyle w:val="FootnoteReference"/>
          <w:rFonts w:ascii="Arial" w:hAnsi="Arial" w:cs="Arial"/>
          <w:lang w:val="en-US"/>
        </w:rPr>
        <w:footnoteReference w:id="67"/>
      </w:r>
      <w:bookmarkEnd w:id="21"/>
      <w:r>
        <w:rPr>
          <w:rFonts w:ascii="Arial" w:hAnsi="Arial" w:cs="Arial"/>
          <w:lang w:val="en-US"/>
        </w:rPr>
        <w:t xml:space="preserve"> </w:t>
      </w:r>
      <w:bookmarkEnd w:id="22"/>
      <w:r>
        <w:rPr>
          <w:rFonts w:ascii="Arial" w:hAnsi="Arial" w:cs="Arial"/>
          <w:lang w:val="en-US"/>
        </w:rPr>
        <w:t xml:space="preserve"> However, p</w:t>
      </w:r>
      <w:r w:rsidR="008631A2">
        <w:rPr>
          <w:rFonts w:ascii="Arial" w:hAnsi="Arial" w:cs="Arial"/>
          <w:lang w:val="en-US"/>
        </w:rPr>
        <w:t xml:space="preserve">roponents of the Conflict of Subject-Matter Model hold that </w:t>
      </w:r>
      <w:r>
        <w:rPr>
          <w:rFonts w:ascii="Arial" w:hAnsi="Arial" w:cs="Arial"/>
          <w:lang w:val="en-US"/>
        </w:rPr>
        <w:t xml:space="preserve">the two enactments </w:t>
      </w:r>
      <w:r w:rsidR="008631A2">
        <w:rPr>
          <w:rFonts w:ascii="Arial" w:hAnsi="Arial" w:cs="Arial"/>
          <w:lang w:val="en-US"/>
        </w:rPr>
        <w:t xml:space="preserve">can </w:t>
      </w:r>
      <w:r w:rsidR="005B6999">
        <w:rPr>
          <w:rFonts w:ascii="Arial" w:hAnsi="Arial" w:cs="Arial"/>
          <w:lang w:val="en-US"/>
        </w:rPr>
        <w:t xml:space="preserve">‘operate… </w:t>
      </w:r>
      <w:r w:rsidR="008631A2" w:rsidRPr="005B6999">
        <w:rPr>
          <w:rFonts w:ascii="Arial" w:hAnsi="Arial" w:cs="Arial"/>
          <w:lang w:val="en-US"/>
        </w:rPr>
        <w:t>side by side,</w:t>
      </w:r>
      <w:r w:rsidR="005B6999">
        <w:rPr>
          <w:rFonts w:ascii="Arial" w:hAnsi="Arial" w:cs="Arial"/>
          <w:lang w:val="en-US"/>
        </w:rPr>
        <w:t>’</w:t>
      </w:r>
      <w:r w:rsidR="00EF3CC0">
        <w:rPr>
          <w:rStyle w:val="FootnoteReference"/>
          <w:rFonts w:ascii="Arial" w:hAnsi="Arial" w:cs="Arial"/>
          <w:lang w:val="en-US"/>
        </w:rPr>
        <w:footnoteReference w:id="68"/>
      </w:r>
      <w:r w:rsidR="008631A2">
        <w:rPr>
          <w:rFonts w:ascii="Arial" w:hAnsi="Arial" w:cs="Arial"/>
          <w:lang w:val="en-US"/>
        </w:rPr>
        <w:t xml:space="preserve"> with Act 2 only taking precedence over Act 1 ‘</w:t>
      </w:r>
      <w:r w:rsidR="008631A2" w:rsidRPr="00591ABE">
        <w:rPr>
          <w:rFonts w:ascii="Arial" w:hAnsi="Arial" w:cs="Arial"/>
          <w:lang w:val="en-US"/>
        </w:rPr>
        <w:t>when they stand on the same subject</w:t>
      </w:r>
      <w:r w:rsidR="00591ABE" w:rsidRPr="00591ABE">
        <w:rPr>
          <w:rFonts w:ascii="Arial" w:hAnsi="Arial" w:cs="Arial"/>
          <w:lang w:val="en-US"/>
        </w:rPr>
        <w:t>-</w:t>
      </w:r>
      <w:r w:rsidR="008631A2" w:rsidRPr="00591ABE">
        <w:rPr>
          <w:rFonts w:ascii="Arial" w:hAnsi="Arial" w:cs="Arial"/>
          <w:lang w:val="en-US"/>
        </w:rPr>
        <w:t>matter.’</w:t>
      </w:r>
      <w:r w:rsidR="00591ABE">
        <w:rPr>
          <w:rStyle w:val="FootnoteReference"/>
          <w:rFonts w:ascii="Arial" w:hAnsi="Arial" w:cs="Arial"/>
          <w:lang w:val="en-US"/>
        </w:rPr>
        <w:footnoteReference w:id="69"/>
      </w:r>
      <w:r w:rsidR="00DC1698">
        <w:rPr>
          <w:rFonts w:ascii="Arial" w:hAnsi="Arial" w:cs="Arial"/>
          <w:b/>
          <w:lang w:val="en-US"/>
        </w:rPr>
        <w:t xml:space="preserve">  </w:t>
      </w:r>
      <w:r w:rsidR="00DC1698">
        <w:rPr>
          <w:rFonts w:ascii="Arial" w:hAnsi="Arial" w:cs="Arial"/>
          <w:lang w:val="en-US"/>
        </w:rPr>
        <w:t>In all other circumstances, each should be interpreted after its own fashion, in its own context.</w:t>
      </w:r>
      <w:r w:rsidR="00EB0131">
        <w:rPr>
          <w:rFonts w:ascii="Arial" w:hAnsi="Arial" w:cs="Arial"/>
          <w:lang w:val="en-US"/>
        </w:rPr>
        <w:t xml:space="preserve">  </w:t>
      </w:r>
    </w:p>
    <w:p w:rsidR="00D768AF" w:rsidRDefault="00D768AF" w:rsidP="00985067">
      <w:pPr>
        <w:spacing w:after="0" w:line="240" w:lineRule="auto"/>
        <w:contextualSpacing/>
        <w:jc w:val="both"/>
        <w:rPr>
          <w:rFonts w:ascii="Arial" w:hAnsi="Arial" w:cs="Arial"/>
          <w:lang w:val="en-US"/>
        </w:rPr>
      </w:pPr>
    </w:p>
    <w:p w:rsidR="00EB0131" w:rsidRDefault="00451F16" w:rsidP="00985067">
      <w:pPr>
        <w:spacing w:after="0" w:line="240" w:lineRule="auto"/>
        <w:contextualSpacing/>
        <w:jc w:val="both"/>
        <w:rPr>
          <w:rFonts w:ascii="Arial" w:hAnsi="Arial" w:cs="Arial"/>
          <w:lang w:val="en-US"/>
        </w:rPr>
      </w:pPr>
      <w:r>
        <w:rPr>
          <w:rFonts w:ascii="Arial" w:hAnsi="Arial" w:cs="Arial"/>
          <w:lang w:val="en-US"/>
        </w:rPr>
        <w:t xml:space="preserve">So, in our example, </w:t>
      </w:r>
      <w:r w:rsidR="00985067" w:rsidRPr="00985067">
        <w:rPr>
          <w:rFonts w:ascii="Arial" w:hAnsi="Arial" w:cs="Arial"/>
          <w:lang w:val="en-US"/>
        </w:rPr>
        <w:t xml:space="preserve">if </w:t>
      </w:r>
      <w:r>
        <w:rPr>
          <w:rFonts w:ascii="Arial" w:hAnsi="Arial" w:cs="Arial"/>
          <w:lang w:val="en-US"/>
        </w:rPr>
        <w:t>the Conflict of Norms Model is followed</w:t>
      </w:r>
      <w:r w:rsidR="00985067" w:rsidRPr="00985067">
        <w:rPr>
          <w:rFonts w:ascii="Arial" w:hAnsi="Arial" w:cs="Arial"/>
          <w:lang w:val="en-US"/>
        </w:rPr>
        <w:t xml:space="preserve"> </w:t>
      </w:r>
      <w:r>
        <w:rPr>
          <w:rFonts w:ascii="Arial" w:hAnsi="Arial" w:cs="Arial"/>
          <w:lang w:val="en-US"/>
        </w:rPr>
        <w:t xml:space="preserve">and </w:t>
      </w:r>
      <w:r w:rsidR="00985067" w:rsidRPr="00985067">
        <w:rPr>
          <w:rFonts w:ascii="Arial" w:hAnsi="Arial" w:cs="Arial"/>
          <w:lang w:val="en-US"/>
        </w:rPr>
        <w:t xml:space="preserve">the doctrine of implied repeal </w:t>
      </w:r>
      <w:r w:rsidR="00985067" w:rsidRPr="00985067">
        <w:rPr>
          <w:rFonts w:ascii="Arial" w:hAnsi="Arial" w:cs="Arial"/>
          <w:i/>
          <w:lang w:val="en-US"/>
        </w:rPr>
        <w:t>does</w:t>
      </w:r>
      <w:r w:rsidR="00985067" w:rsidRPr="00985067">
        <w:rPr>
          <w:rFonts w:ascii="Arial" w:hAnsi="Arial" w:cs="Arial"/>
          <w:lang w:val="en-US"/>
        </w:rPr>
        <w:t xml:space="preserve"> apply in cases where the two enactments in contention concern different subject matters, </w:t>
      </w:r>
      <w:r w:rsidR="00B01EA9">
        <w:rPr>
          <w:rFonts w:ascii="Arial" w:hAnsi="Arial" w:cs="Arial"/>
          <w:lang w:val="en-US"/>
        </w:rPr>
        <w:t xml:space="preserve">then </w:t>
      </w:r>
      <w:r w:rsidR="00671ACD">
        <w:rPr>
          <w:rFonts w:ascii="Arial" w:hAnsi="Arial" w:cs="Arial"/>
          <w:lang w:val="en-US"/>
        </w:rPr>
        <w:t>the 2019</w:t>
      </w:r>
      <w:r w:rsidR="00985067" w:rsidRPr="00985067">
        <w:rPr>
          <w:rFonts w:ascii="Arial" w:hAnsi="Arial" w:cs="Arial"/>
          <w:lang w:val="en-US"/>
        </w:rPr>
        <w:t xml:space="preserve"> Regulations, </w:t>
      </w:r>
      <w:r w:rsidR="005C7660">
        <w:rPr>
          <w:rFonts w:ascii="Arial" w:hAnsi="Arial" w:cs="Arial"/>
          <w:lang w:val="en-US"/>
        </w:rPr>
        <w:t xml:space="preserve">although </w:t>
      </w:r>
      <w:r w:rsidR="00985067" w:rsidRPr="00985067">
        <w:rPr>
          <w:rFonts w:ascii="Arial" w:hAnsi="Arial" w:cs="Arial"/>
          <w:lang w:val="en-US"/>
        </w:rPr>
        <w:t>as a statutory instrument rather than a statute</w:t>
      </w:r>
      <w:r w:rsidR="005C7660">
        <w:rPr>
          <w:rFonts w:ascii="Arial" w:hAnsi="Arial" w:cs="Arial"/>
          <w:lang w:val="en-US"/>
        </w:rPr>
        <w:t xml:space="preserve"> they</w:t>
      </w:r>
      <w:r w:rsidR="00985067" w:rsidRPr="00985067">
        <w:rPr>
          <w:rFonts w:ascii="Arial" w:hAnsi="Arial" w:cs="Arial"/>
          <w:lang w:val="en-US"/>
        </w:rPr>
        <w:t xml:space="preserve"> would not be powerful enough to effect a knock-out blow on ex-Article 56, whatever legislative form the latter</w:t>
      </w:r>
      <w:r w:rsidR="00FB0BAB">
        <w:rPr>
          <w:rFonts w:ascii="Arial" w:hAnsi="Arial" w:cs="Arial"/>
          <w:lang w:val="en-US"/>
        </w:rPr>
        <w:t xml:space="preserve"> eventually takes</w:t>
      </w:r>
      <w:r w:rsidR="00985067" w:rsidRPr="00985067">
        <w:rPr>
          <w:rFonts w:ascii="Arial" w:hAnsi="Arial" w:cs="Arial"/>
          <w:lang w:val="en-US"/>
        </w:rPr>
        <w:t>,</w:t>
      </w:r>
      <w:r w:rsidR="00F06C08">
        <w:rPr>
          <w:rStyle w:val="FootnoteReference"/>
          <w:rFonts w:ascii="Arial" w:hAnsi="Arial" w:cs="Arial"/>
          <w:lang w:val="en-US"/>
        </w:rPr>
        <w:footnoteReference w:id="70"/>
      </w:r>
      <w:r w:rsidR="00985067" w:rsidRPr="00985067">
        <w:rPr>
          <w:rFonts w:ascii="Arial" w:hAnsi="Arial" w:cs="Arial"/>
          <w:lang w:val="en-US"/>
        </w:rPr>
        <w:t xml:space="preserve"> </w:t>
      </w:r>
      <w:r w:rsidR="005C7660">
        <w:rPr>
          <w:rFonts w:ascii="Arial" w:hAnsi="Arial" w:cs="Arial"/>
          <w:lang w:val="en-US"/>
        </w:rPr>
        <w:t>they</w:t>
      </w:r>
      <w:r w:rsidR="00985067" w:rsidRPr="00985067">
        <w:rPr>
          <w:rFonts w:ascii="Arial" w:hAnsi="Arial" w:cs="Arial"/>
          <w:lang w:val="en-US"/>
        </w:rPr>
        <w:t xml:space="preserve"> would need to be judicially interpreted so as to be compatible with the ex-Article.  If they could not be so interpreted, then the ex-Article would be impliedly repealed to the extent of the inconsiste</w:t>
      </w:r>
      <w:r w:rsidR="00323162">
        <w:rPr>
          <w:rFonts w:ascii="Arial" w:hAnsi="Arial" w:cs="Arial"/>
          <w:lang w:val="en-US"/>
        </w:rPr>
        <w:t>ncy.  But what does the phrase ’</w:t>
      </w:r>
      <w:r w:rsidR="00985067" w:rsidRPr="00985067">
        <w:rPr>
          <w:rFonts w:ascii="Arial" w:hAnsi="Arial" w:cs="Arial"/>
          <w:lang w:val="en-US"/>
        </w:rPr>
        <w:t xml:space="preserve">to </w:t>
      </w:r>
      <w:r w:rsidR="00323162">
        <w:rPr>
          <w:rFonts w:ascii="Arial" w:hAnsi="Arial" w:cs="Arial"/>
          <w:lang w:val="en-US"/>
        </w:rPr>
        <w:t>the extent of the inconsistency’</w:t>
      </w:r>
      <w:r w:rsidR="00985067" w:rsidRPr="00985067">
        <w:rPr>
          <w:rFonts w:ascii="Arial" w:hAnsi="Arial" w:cs="Arial"/>
          <w:lang w:val="en-US"/>
        </w:rPr>
        <w:t xml:space="preserve"> mean here?  Does it mean, as Lyon suggests in the context</w:t>
      </w:r>
      <w:r w:rsidR="00D228D2">
        <w:rPr>
          <w:rFonts w:ascii="Arial" w:hAnsi="Arial" w:cs="Arial"/>
          <w:lang w:val="en-US"/>
        </w:rPr>
        <w:t xml:space="preserve"> of Section 2 of the European Communities Act 1972</w:t>
      </w:r>
      <w:r w:rsidR="00985067" w:rsidRPr="00985067">
        <w:rPr>
          <w:rFonts w:ascii="Arial" w:hAnsi="Arial" w:cs="Arial"/>
          <w:lang w:val="en-US"/>
        </w:rPr>
        <w:t xml:space="preserve">, that by passing the later enactment Parliament </w:t>
      </w:r>
      <w:r w:rsidR="004051E3">
        <w:rPr>
          <w:rFonts w:ascii="Arial" w:hAnsi="Arial" w:cs="Arial"/>
          <w:lang w:val="en-US"/>
        </w:rPr>
        <w:t>showed</w:t>
      </w:r>
      <w:r w:rsidR="00323162">
        <w:rPr>
          <w:rFonts w:ascii="Arial" w:hAnsi="Arial" w:cs="Arial"/>
          <w:lang w:val="en-US"/>
        </w:rPr>
        <w:t xml:space="preserve"> that it ‘no longer intended’</w:t>
      </w:r>
      <w:r w:rsidR="00985067" w:rsidRPr="00985067">
        <w:rPr>
          <w:rFonts w:ascii="Arial" w:hAnsi="Arial" w:cs="Arial"/>
          <w:lang w:val="en-US"/>
        </w:rPr>
        <w:t xml:space="preserve"> for there to be such a thing as the free movement of services?</w:t>
      </w:r>
      <w:r w:rsidR="00323162">
        <w:rPr>
          <w:rStyle w:val="FootnoteReference"/>
          <w:rFonts w:ascii="Arial" w:hAnsi="Arial" w:cs="Arial"/>
          <w:lang w:val="en-US"/>
        </w:rPr>
        <w:footnoteReference w:id="71"/>
      </w:r>
      <w:r w:rsidR="00323162">
        <w:rPr>
          <w:rFonts w:ascii="Arial" w:hAnsi="Arial" w:cs="Arial"/>
          <w:lang w:val="en-US"/>
        </w:rPr>
        <w:t xml:space="preserve">  If so, then, here, ‘</w:t>
      </w:r>
      <w:r w:rsidR="00985067" w:rsidRPr="00985067">
        <w:rPr>
          <w:rFonts w:ascii="Arial" w:hAnsi="Arial" w:cs="Arial"/>
          <w:lang w:val="en-US"/>
        </w:rPr>
        <w:t xml:space="preserve">to the extent of the </w:t>
      </w:r>
      <w:r w:rsidR="00323162">
        <w:rPr>
          <w:rFonts w:ascii="Arial" w:hAnsi="Arial" w:cs="Arial"/>
          <w:lang w:val="en-US"/>
        </w:rPr>
        <w:t>inconsistency’ would mean ‘altogether.’</w:t>
      </w:r>
      <w:r w:rsidR="00985067" w:rsidRPr="00985067">
        <w:rPr>
          <w:rFonts w:ascii="Arial" w:hAnsi="Arial" w:cs="Arial"/>
          <w:lang w:val="en-US"/>
        </w:rPr>
        <w:t xml:space="preserve">  But if, on the other hand, the repeal is viewed more abstractly – as pertaining to its own context only – then it </w:t>
      </w:r>
      <w:r w:rsidR="008631A2">
        <w:rPr>
          <w:rFonts w:ascii="Arial" w:hAnsi="Arial" w:cs="Arial"/>
          <w:lang w:val="en-US"/>
        </w:rPr>
        <w:t xml:space="preserve">could </w:t>
      </w:r>
      <w:r w:rsidR="00985067" w:rsidRPr="00985067">
        <w:rPr>
          <w:rFonts w:ascii="Arial" w:hAnsi="Arial" w:cs="Arial"/>
          <w:lang w:val="en-US"/>
        </w:rPr>
        <w:t>be said that no actual change to the wording of ex-Article 56 has come about at all, but a change to its interpretation such that future judges should be aware tha</w:t>
      </w:r>
      <w:r w:rsidR="00323162">
        <w:rPr>
          <w:rFonts w:ascii="Arial" w:hAnsi="Arial" w:cs="Arial"/>
          <w:lang w:val="en-US"/>
        </w:rPr>
        <w:t xml:space="preserve">t free movement of services is </w:t>
      </w:r>
      <w:proofErr w:type="spellStart"/>
      <w:r w:rsidR="00323162">
        <w:rPr>
          <w:rFonts w:ascii="Arial" w:hAnsi="Arial" w:cs="Arial"/>
          <w:lang w:val="en-US"/>
        </w:rPr>
        <w:t>disapplied</w:t>
      </w:r>
      <w:proofErr w:type="spellEnd"/>
      <w:r w:rsidR="00323162">
        <w:rPr>
          <w:rFonts w:ascii="Arial" w:hAnsi="Arial" w:cs="Arial"/>
          <w:lang w:val="en-US"/>
        </w:rPr>
        <w:t xml:space="preserve"> </w:t>
      </w:r>
      <w:r w:rsidR="00985067" w:rsidRPr="00985067">
        <w:rPr>
          <w:rFonts w:ascii="Arial" w:hAnsi="Arial" w:cs="Arial"/>
          <w:lang w:val="en-US"/>
        </w:rPr>
        <w:t>w</w:t>
      </w:r>
      <w:r w:rsidR="008631A2">
        <w:rPr>
          <w:rFonts w:ascii="Arial" w:hAnsi="Arial" w:cs="Arial"/>
          <w:lang w:val="en-US"/>
        </w:rPr>
        <w:t>here cold calling was concerned.</w:t>
      </w:r>
      <w:r w:rsidR="00323162">
        <w:rPr>
          <w:rStyle w:val="FootnoteReference"/>
          <w:rFonts w:ascii="Arial" w:hAnsi="Arial" w:cs="Arial"/>
          <w:lang w:val="en-US"/>
        </w:rPr>
        <w:footnoteReference w:id="72"/>
      </w:r>
      <w:r w:rsidR="00EB0131">
        <w:rPr>
          <w:rFonts w:ascii="Arial" w:hAnsi="Arial" w:cs="Arial"/>
          <w:lang w:val="en-US"/>
        </w:rPr>
        <w:t xml:space="preserve">  As </w:t>
      </w:r>
      <w:r w:rsidR="00033381">
        <w:rPr>
          <w:rFonts w:ascii="Arial" w:hAnsi="Arial" w:cs="Arial"/>
          <w:lang w:val="en-US"/>
        </w:rPr>
        <w:t>Dodge</w:t>
      </w:r>
      <w:r w:rsidR="00EB0131">
        <w:rPr>
          <w:rFonts w:ascii="Arial" w:hAnsi="Arial" w:cs="Arial"/>
          <w:lang w:val="en-US"/>
        </w:rPr>
        <w:t xml:space="preserve"> has wisely written in the US context, we need to know ‘the level of abstraction at which implied repeal analysis should occur.’</w:t>
      </w:r>
      <w:r w:rsidR="00EB0131">
        <w:rPr>
          <w:rStyle w:val="FootnoteReference"/>
          <w:rFonts w:ascii="Arial" w:hAnsi="Arial" w:cs="Arial"/>
          <w:lang w:val="en-US"/>
        </w:rPr>
        <w:footnoteReference w:id="73"/>
      </w:r>
      <w:r w:rsidR="00EB0131">
        <w:rPr>
          <w:rFonts w:ascii="Arial" w:hAnsi="Arial" w:cs="Arial"/>
          <w:lang w:val="en-US"/>
        </w:rPr>
        <w:t xml:space="preserve">  </w:t>
      </w:r>
    </w:p>
    <w:p w:rsidR="00EB0131" w:rsidRDefault="00EB0131" w:rsidP="00985067">
      <w:pPr>
        <w:spacing w:after="0" w:line="240" w:lineRule="auto"/>
        <w:contextualSpacing/>
        <w:jc w:val="both"/>
        <w:rPr>
          <w:rFonts w:ascii="Arial" w:hAnsi="Arial" w:cs="Arial"/>
          <w:lang w:val="en-US"/>
        </w:rPr>
      </w:pPr>
    </w:p>
    <w:p w:rsidR="00EB0131" w:rsidRDefault="00EB0131" w:rsidP="00985067">
      <w:pPr>
        <w:spacing w:after="0" w:line="240" w:lineRule="auto"/>
        <w:contextualSpacing/>
        <w:jc w:val="both"/>
        <w:rPr>
          <w:rFonts w:ascii="Arial" w:hAnsi="Arial" w:cs="Arial"/>
          <w:lang w:val="en-US"/>
        </w:rPr>
      </w:pPr>
      <w:r>
        <w:rPr>
          <w:rFonts w:ascii="Arial" w:hAnsi="Arial" w:cs="Arial"/>
          <w:lang w:val="en-US"/>
        </w:rPr>
        <w:t xml:space="preserve">However, given that Brexit is legal </w:t>
      </w:r>
      <w:r w:rsidRPr="00EB0131">
        <w:rPr>
          <w:rFonts w:ascii="Arial" w:hAnsi="Arial" w:cs="Arial"/>
          <w:i/>
          <w:lang w:val="en-US"/>
        </w:rPr>
        <w:t>terra incognita</w:t>
      </w:r>
      <w:r>
        <w:rPr>
          <w:rFonts w:ascii="Arial" w:hAnsi="Arial" w:cs="Arial"/>
          <w:lang w:val="en-US"/>
        </w:rPr>
        <w:t xml:space="preserve"> for both the legislature and the judiciary, one wonders if there might not be another reading of the Conflict of Subject</w:t>
      </w:r>
      <w:r w:rsidR="00B01EA9">
        <w:rPr>
          <w:rFonts w:ascii="Arial" w:hAnsi="Arial" w:cs="Arial"/>
          <w:lang w:val="en-US"/>
        </w:rPr>
        <w:t>-</w:t>
      </w:r>
      <w:r>
        <w:rPr>
          <w:rFonts w:ascii="Arial" w:hAnsi="Arial" w:cs="Arial"/>
          <w:lang w:val="en-US"/>
        </w:rPr>
        <w:t xml:space="preserve">Matter Model in the particular context of retained EU Law.  According to that reading, Act 1 would represent Parliament’s latest thinking on the matter </w:t>
      </w:r>
      <w:r w:rsidRPr="00EB0131">
        <w:rPr>
          <w:rFonts w:ascii="Arial" w:hAnsi="Arial" w:cs="Arial"/>
          <w:i/>
          <w:lang w:val="en-US"/>
        </w:rPr>
        <w:t>with regard to the whole EU</w:t>
      </w:r>
      <w:r>
        <w:rPr>
          <w:rFonts w:ascii="Arial" w:hAnsi="Arial" w:cs="Arial"/>
          <w:lang w:val="en-US"/>
        </w:rPr>
        <w:t xml:space="preserve">, while Act 2 would represent Parliament’s latest thinking on the matter </w:t>
      </w:r>
      <w:r w:rsidRPr="00EB0131">
        <w:rPr>
          <w:rFonts w:ascii="Arial" w:hAnsi="Arial" w:cs="Arial"/>
          <w:i/>
          <w:lang w:val="en-US"/>
        </w:rPr>
        <w:t>with regard to the UK only</w:t>
      </w:r>
      <w:r>
        <w:rPr>
          <w:rFonts w:ascii="Arial" w:hAnsi="Arial" w:cs="Arial"/>
          <w:lang w:val="en-US"/>
        </w:rPr>
        <w:t xml:space="preserve">.  On this reading, two acts dealing with the same subject matter could in fact be reconciled; the </w:t>
      </w:r>
      <w:r w:rsidRPr="00546E28">
        <w:rPr>
          <w:rFonts w:ascii="Arial" w:hAnsi="Arial" w:cs="Arial"/>
          <w:i/>
          <w:lang w:val="en-US"/>
        </w:rPr>
        <w:t>locus</w:t>
      </w:r>
      <w:r>
        <w:rPr>
          <w:rFonts w:ascii="Arial" w:hAnsi="Arial" w:cs="Arial"/>
          <w:lang w:val="en-US"/>
        </w:rPr>
        <w:t xml:space="preserve"> of the conflict, if there can still be said to be a conflict </w:t>
      </w:r>
      <w:r w:rsidR="00546E28">
        <w:rPr>
          <w:rFonts w:ascii="Arial" w:hAnsi="Arial" w:cs="Arial"/>
          <w:lang w:val="en-US"/>
        </w:rPr>
        <w:t xml:space="preserve">following such reconciliation, shifts to the </w:t>
      </w:r>
      <w:r w:rsidR="00546E28" w:rsidRPr="00546E28">
        <w:rPr>
          <w:rFonts w:ascii="Arial" w:hAnsi="Arial" w:cs="Arial"/>
          <w:i/>
          <w:lang w:val="en-US"/>
        </w:rPr>
        <w:t>geographical context</w:t>
      </w:r>
      <w:r w:rsidR="00546E28">
        <w:rPr>
          <w:rFonts w:ascii="Arial" w:hAnsi="Arial" w:cs="Arial"/>
          <w:lang w:val="en-US"/>
        </w:rPr>
        <w:t>.</w:t>
      </w:r>
      <w:r w:rsidR="00060664">
        <w:rPr>
          <w:rStyle w:val="FootnoteReference"/>
          <w:rFonts w:ascii="Arial" w:hAnsi="Arial" w:cs="Arial"/>
          <w:lang w:val="en-US"/>
        </w:rPr>
        <w:footnoteReference w:id="74"/>
      </w:r>
      <w:r w:rsidR="00546E28">
        <w:rPr>
          <w:rFonts w:ascii="Arial" w:hAnsi="Arial" w:cs="Arial"/>
          <w:lang w:val="en-US"/>
        </w:rPr>
        <w:t xml:space="preserve">  New Act 2 would in effect only apply in what EU Lawyers call the </w:t>
      </w:r>
      <w:r w:rsidR="00546E28">
        <w:rPr>
          <w:rFonts w:ascii="Arial" w:hAnsi="Arial" w:cs="Arial"/>
          <w:lang w:val="en-US"/>
        </w:rPr>
        <w:lastRenderedPageBreak/>
        <w:t>Purely Internal Situation, leaving old Act 1 to govern situations occurring across borders.</w:t>
      </w:r>
      <w:r w:rsidR="00546E28">
        <w:rPr>
          <w:rStyle w:val="FootnoteReference"/>
          <w:rFonts w:ascii="Arial" w:hAnsi="Arial" w:cs="Arial"/>
          <w:lang w:val="en-US"/>
        </w:rPr>
        <w:footnoteReference w:id="75"/>
      </w:r>
      <w:r w:rsidR="00546E28">
        <w:rPr>
          <w:rFonts w:ascii="Arial" w:hAnsi="Arial" w:cs="Arial"/>
          <w:lang w:val="en-US"/>
        </w:rPr>
        <w:t xml:space="preserve">  The model would in fact seem to be a reification of the old rule that EU Law should not apply in the Purely Internal Situation.</w:t>
      </w:r>
      <w:r w:rsidR="00D0332B">
        <w:rPr>
          <w:rStyle w:val="FootnoteReference"/>
          <w:rFonts w:ascii="Arial" w:hAnsi="Arial" w:cs="Arial"/>
          <w:lang w:val="en-US"/>
        </w:rPr>
        <w:footnoteReference w:id="76"/>
      </w:r>
    </w:p>
    <w:p w:rsidR="00546E28" w:rsidRDefault="00546E28" w:rsidP="00985067">
      <w:pPr>
        <w:spacing w:after="0" w:line="240" w:lineRule="auto"/>
        <w:contextualSpacing/>
        <w:jc w:val="both"/>
        <w:rPr>
          <w:rFonts w:ascii="Arial" w:hAnsi="Arial" w:cs="Arial"/>
          <w:lang w:val="en-US"/>
        </w:rPr>
      </w:pPr>
    </w:p>
    <w:p w:rsidR="007B7ACD" w:rsidRDefault="00546E28" w:rsidP="00985067">
      <w:pPr>
        <w:spacing w:after="0" w:line="240" w:lineRule="auto"/>
        <w:contextualSpacing/>
        <w:jc w:val="both"/>
        <w:rPr>
          <w:rFonts w:ascii="Arial" w:hAnsi="Arial" w:cs="Arial"/>
        </w:rPr>
      </w:pPr>
      <w:r>
        <w:rPr>
          <w:rFonts w:ascii="Arial" w:hAnsi="Arial" w:cs="Arial"/>
          <w:lang w:val="en-US"/>
        </w:rPr>
        <w:t>Critics will argue that the new model, the Co</w:t>
      </w:r>
      <w:r w:rsidR="00B01EA9">
        <w:rPr>
          <w:rFonts w:ascii="Arial" w:hAnsi="Arial" w:cs="Arial"/>
          <w:lang w:val="en-US"/>
        </w:rPr>
        <w:t>nflict of Geographical Context M</w:t>
      </w:r>
      <w:r>
        <w:rPr>
          <w:rFonts w:ascii="Arial" w:hAnsi="Arial" w:cs="Arial"/>
          <w:lang w:val="en-US"/>
        </w:rPr>
        <w:t>odel</w:t>
      </w:r>
      <w:r w:rsidR="00BF5A5C">
        <w:rPr>
          <w:rFonts w:ascii="Arial" w:hAnsi="Arial" w:cs="Arial"/>
          <w:lang w:val="en-US"/>
        </w:rPr>
        <w:t xml:space="preserve"> perhaps</w:t>
      </w:r>
      <w:r>
        <w:rPr>
          <w:rFonts w:ascii="Arial" w:hAnsi="Arial" w:cs="Arial"/>
          <w:lang w:val="en-US"/>
        </w:rPr>
        <w:t xml:space="preserve">, in fact only replicates the </w:t>
      </w:r>
      <w:r w:rsidRPr="00546E28">
        <w:rPr>
          <w:rFonts w:ascii="Arial" w:hAnsi="Arial" w:cs="Arial"/>
          <w:i/>
          <w:lang w:val="en-US"/>
        </w:rPr>
        <w:t>status quo</w:t>
      </w:r>
      <w:r>
        <w:rPr>
          <w:rFonts w:ascii="Arial" w:hAnsi="Arial" w:cs="Arial"/>
          <w:lang w:val="en-US"/>
        </w:rPr>
        <w:t xml:space="preserve">, where clashes between national law and EU Law are concerned anyway.  However, one must be careful here, as the Purely Internal Situation rule (that EU Law should not apply in such situations), has not been </w:t>
      </w:r>
      <w:proofErr w:type="spellStart"/>
      <w:r>
        <w:rPr>
          <w:rFonts w:ascii="Arial" w:hAnsi="Arial" w:cs="Arial"/>
          <w:lang w:val="en-US"/>
        </w:rPr>
        <w:t>honoured</w:t>
      </w:r>
      <w:proofErr w:type="spellEnd"/>
      <w:r>
        <w:rPr>
          <w:rFonts w:ascii="Arial" w:hAnsi="Arial" w:cs="Arial"/>
          <w:lang w:val="en-US"/>
        </w:rPr>
        <w:t xml:space="preserve"> consistently, and some would say has been mainly </w:t>
      </w:r>
      <w:proofErr w:type="spellStart"/>
      <w:r>
        <w:rPr>
          <w:rFonts w:ascii="Arial" w:hAnsi="Arial" w:cs="Arial"/>
          <w:lang w:val="en-US"/>
        </w:rPr>
        <w:t>honoured</w:t>
      </w:r>
      <w:proofErr w:type="spellEnd"/>
      <w:r>
        <w:rPr>
          <w:rFonts w:ascii="Arial" w:hAnsi="Arial" w:cs="Arial"/>
          <w:lang w:val="en-US"/>
        </w:rPr>
        <w:t xml:space="preserve"> in the breach.  Certainly beer drinkers will know that Germany is still perfectly entitled to impose its famous ‘beer purity’ – or </w:t>
      </w:r>
      <w:proofErr w:type="spellStart"/>
      <w:r w:rsidRPr="00546E28">
        <w:rPr>
          <w:rFonts w:ascii="Arial" w:hAnsi="Arial" w:cs="Arial"/>
          <w:i/>
        </w:rPr>
        <w:t>Reinheitsgebot</w:t>
      </w:r>
      <w:proofErr w:type="spellEnd"/>
      <w:r>
        <w:rPr>
          <w:rFonts w:ascii="Arial" w:hAnsi="Arial" w:cs="Arial"/>
        </w:rPr>
        <w:t xml:space="preserve"> – laws internally, requiring domestic brewers to follow them and indeed to declare that they have done so on the label.  What EU Free Movement Law </w:t>
      </w:r>
      <w:r w:rsidRPr="00546E28">
        <w:rPr>
          <w:rFonts w:ascii="Arial" w:hAnsi="Arial" w:cs="Arial"/>
          <w:i/>
        </w:rPr>
        <w:t>forbids</w:t>
      </w:r>
      <w:r>
        <w:rPr>
          <w:rFonts w:ascii="Arial" w:hAnsi="Arial" w:cs="Arial"/>
        </w:rPr>
        <w:t xml:space="preserve"> is that German shops or bars should exclude those (foreign) beers that have </w:t>
      </w:r>
      <w:r w:rsidRPr="00546E28">
        <w:rPr>
          <w:rFonts w:ascii="Arial" w:hAnsi="Arial" w:cs="Arial"/>
          <w:i/>
        </w:rPr>
        <w:t>not</w:t>
      </w:r>
      <w:r>
        <w:rPr>
          <w:rFonts w:ascii="Arial" w:hAnsi="Arial" w:cs="Arial"/>
        </w:rPr>
        <w:t xml:space="preserve"> done so.</w:t>
      </w:r>
      <w:r w:rsidR="004A4F39">
        <w:rPr>
          <w:rStyle w:val="FootnoteReference"/>
          <w:rFonts w:ascii="Arial" w:hAnsi="Arial" w:cs="Arial"/>
        </w:rPr>
        <w:footnoteReference w:id="77"/>
      </w:r>
      <w:r>
        <w:rPr>
          <w:rFonts w:ascii="Arial" w:hAnsi="Arial" w:cs="Arial"/>
        </w:rPr>
        <w:t xml:space="preserve">  Thus national and EU Law can happily coexist.  Elsewhere in the Free Movement casebook things are not so clear-cut, and the Court of Justice’s fear, even where there were no actual cross-border effects, of hypothetical ones, often led the Court to breach the Purely Internal Situation rule and apply Free Movement law within the host State itself.  Thus a prohibition on mixing brown and golden bees had to be set aside even within one Member State (Denmark).</w:t>
      </w:r>
      <w:r w:rsidR="00ED764E">
        <w:rPr>
          <w:rStyle w:val="FootnoteReference"/>
          <w:rFonts w:ascii="Arial" w:hAnsi="Arial" w:cs="Arial"/>
        </w:rPr>
        <w:footnoteReference w:id="78"/>
      </w:r>
      <w:r>
        <w:rPr>
          <w:rFonts w:ascii="Arial" w:hAnsi="Arial" w:cs="Arial"/>
        </w:rPr>
        <w:t xml:space="preserve">  Bees, once (hypothetically) mixed up by foreigners, are, one would certainly imagine, hard to </w:t>
      </w:r>
      <w:proofErr w:type="spellStart"/>
      <w:r>
        <w:rPr>
          <w:rFonts w:ascii="Arial" w:hAnsi="Arial" w:cs="Arial"/>
        </w:rPr>
        <w:t>unmix</w:t>
      </w:r>
      <w:proofErr w:type="spellEnd"/>
      <w:r>
        <w:rPr>
          <w:rFonts w:ascii="Arial" w:hAnsi="Arial" w:cs="Arial"/>
        </w:rPr>
        <w:t xml:space="preserve">.  And there are many other instances of the Court violating the Purely Internal Situation principle besides this one.  So, if we assume that the effect of </w:t>
      </w:r>
      <w:r w:rsidRPr="007B7ACD">
        <w:rPr>
          <w:rFonts w:ascii="Arial" w:hAnsi="Arial" w:cs="Arial"/>
          <w:i/>
        </w:rPr>
        <w:t>Alpine</w:t>
      </w:r>
      <w:r>
        <w:rPr>
          <w:rFonts w:ascii="Arial" w:hAnsi="Arial" w:cs="Arial"/>
        </w:rPr>
        <w:t xml:space="preserve"> </w:t>
      </w:r>
      <w:r w:rsidR="00DB7179">
        <w:rPr>
          <w:rFonts w:ascii="Arial" w:hAnsi="Arial" w:cs="Arial"/>
        </w:rPr>
        <w:t xml:space="preserve">(the Dutch cold calling case) </w:t>
      </w:r>
      <w:r>
        <w:rPr>
          <w:rFonts w:ascii="Arial" w:hAnsi="Arial" w:cs="Arial"/>
        </w:rPr>
        <w:t xml:space="preserve">is that in EU Law cold calling, as a selling technique, is forbidden both between </w:t>
      </w:r>
      <w:r w:rsidR="007B7ACD" w:rsidRPr="007B7ACD">
        <w:rPr>
          <w:rFonts w:ascii="Arial" w:hAnsi="Arial" w:cs="Arial"/>
          <w:i/>
        </w:rPr>
        <w:t>and within</w:t>
      </w:r>
      <w:r w:rsidR="007B7ACD">
        <w:rPr>
          <w:rFonts w:ascii="Arial" w:hAnsi="Arial" w:cs="Arial"/>
        </w:rPr>
        <w:t xml:space="preserve"> Member States,</w:t>
      </w:r>
      <w:r w:rsidR="00756870">
        <w:rPr>
          <w:rStyle w:val="FootnoteReference"/>
          <w:rFonts w:ascii="Arial" w:hAnsi="Arial" w:cs="Arial"/>
        </w:rPr>
        <w:footnoteReference w:id="79"/>
      </w:r>
      <w:r w:rsidR="007B7ACD">
        <w:rPr>
          <w:rFonts w:ascii="Arial" w:hAnsi="Arial" w:cs="Arial"/>
        </w:rPr>
        <w:t xml:space="preserve"> then in fact such a Conflict of Geographical Context Model of implied repeal –</w:t>
      </w:r>
      <w:r w:rsidR="00866448">
        <w:rPr>
          <w:rFonts w:ascii="Arial" w:hAnsi="Arial" w:cs="Arial"/>
        </w:rPr>
        <w:t xml:space="preserve"> ‘repeal within </w:t>
      </w:r>
      <w:r w:rsidR="007B7ACD">
        <w:rPr>
          <w:rFonts w:ascii="Arial" w:hAnsi="Arial" w:cs="Arial"/>
        </w:rPr>
        <w:t xml:space="preserve">doors, </w:t>
      </w:r>
      <w:r w:rsidR="00866448">
        <w:rPr>
          <w:rFonts w:ascii="Arial" w:hAnsi="Arial" w:cs="Arial"/>
        </w:rPr>
        <w:t xml:space="preserve">and </w:t>
      </w:r>
      <w:r w:rsidR="007B7ACD">
        <w:rPr>
          <w:rFonts w:ascii="Arial" w:hAnsi="Arial" w:cs="Arial"/>
        </w:rPr>
        <w:t>none abroad’</w:t>
      </w:r>
      <w:r w:rsidR="00866448">
        <w:rPr>
          <w:rStyle w:val="FootnoteReference"/>
          <w:rFonts w:ascii="Arial" w:hAnsi="Arial" w:cs="Arial"/>
        </w:rPr>
        <w:footnoteReference w:id="80"/>
      </w:r>
      <w:r w:rsidR="007B7ACD">
        <w:rPr>
          <w:rFonts w:ascii="Arial" w:hAnsi="Arial" w:cs="Arial"/>
        </w:rPr>
        <w:t xml:space="preserve"> – </w:t>
      </w:r>
      <w:r w:rsidR="007C3457" w:rsidRPr="007C3457">
        <w:rPr>
          <w:rFonts w:ascii="Arial" w:hAnsi="Arial" w:cs="Arial"/>
          <w:i/>
        </w:rPr>
        <w:t>would</w:t>
      </w:r>
      <w:r w:rsidR="007B7ACD">
        <w:rPr>
          <w:rFonts w:ascii="Arial" w:hAnsi="Arial" w:cs="Arial"/>
        </w:rPr>
        <w:t xml:space="preserve"> bring about a result different from the </w:t>
      </w:r>
      <w:r w:rsidR="007B7ACD" w:rsidRPr="007B7ACD">
        <w:rPr>
          <w:rFonts w:ascii="Arial" w:hAnsi="Arial" w:cs="Arial"/>
          <w:i/>
        </w:rPr>
        <w:t>status quo</w:t>
      </w:r>
      <w:r w:rsidR="007B7ACD">
        <w:rPr>
          <w:rFonts w:ascii="Arial" w:hAnsi="Arial" w:cs="Arial"/>
        </w:rPr>
        <w:t>, in this and quite possibly many other situations.</w:t>
      </w:r>
    </w:p>
    <w:p w:rsidR="00300B83" w:rsidRDefault="00300B83" w:rsidP="00985067">
      <w:pPr>
        <w:spacing w:after="0" w:line="240" w:lineRule="auto"/>
        <w:contextualSpacing/>
        <w:jc w:val="both"/>
        <w:rPr>
          <w:rFonts w:ascii="Arial" w:hAnsi="Arial" w:cs="Arial"/>
        </w:rPr>
      </w:pPr>
    </w:p>
    <w:p w:rsidR="00300B83" w:rsidRPr="0055278F" w:rsidRDefault="0055278F" w:rsidP="00985067">
      <w:pPr>
        <w:spacing w:after="0" w:line="240" w:lineRule="auto"/>
        <w:contextualSpacing/>
        <w:jc w:val="both"/>
        <w:rPr>
          <w:rFonts w:ascii="Arial" w:hAnsi="Arial" w:cs="Arial"/>
          <w:b/>
        </w:rPr>
      </w:pPr>
      <w:r w:rsidRPr="009A2E4F">
        <w:rPr>
          <w:rFonts w:ascii="Arial" w:hAnsi="Arial" w:cs="Arial"/>
          <w:b/>
        </w:rPr>
        <w:t xml:space="preserve">Conclusion on the </w:t>
      </w:r>
      <w:r w:rsidR="00AF060B">
        <w:rPr>
          <w:rFonts w:ascii="Arial" w:hAnsi="Arial" w:cs="Arial"/>
          <w:b/>
        </w:rPr>
        <w:t>first</w:t>
      </w:r>
      <w:r w:rsidRPr="009A2E4F">
        <w:rPr>
          <w:rFonts w:ascii="Arial" w:hAnsi="Arial" w:cs="Arial"/>
          <w:b/>
        </w:rPr>
        <w:t xml:space="preserve"> proposition</w:t>
      </w:r>
    </w:p>
    <w:p w:rsidR="007B7ACD" w:rsidRDefault="007B7ACD" w:rsidP="00985067">
      <w:pPr>
        <w:spacing w:after="0" w:line="240" w:lineRule="auto"/>
        <w:contextualSpacing/>
        <w:jc w:val="both"/>
        <w:rPr>
          <w:rFonts w:ascii="Arial" w:hAnsi="Arial" w:cs="Arial"/>
        </w:rPr>
      </w:pPr>
    </w:p>
    <w:p w:rsidR="007B7ACD" w:rsidRDefault="00D40201" w:rsidP="00985067">
      <w:pPr>
        <w:spacing w:after="0" w:line="240" w:lineRule="auto"/>
        <w:contextualSpacing/>
        <w:jc w:val="both"/>
        <w:rPr>
          <w:rFonts w:ascii="Arial" w:hAnsi="Arial" w:cs="Arial"/>
        </w:rPr>
      </w:pPr>
      <w:r>
        <w:rPr>
          <w:rFonts w:ascii="Arial" w:hAnsi="Arial" w:cs="Arial"/>
        </w:rPr>
        <w:t>Of the two, and maybe three, models of implied repeal, then, only one really poses a danger of Act 2 ‘knocking out’ Act 1 (the Conflict of Norms Model), and even here there is a degree of doubt</w:t>
      </w:r>
      <w:r w:rsidR="00773A02">
        <w:rPr>
          <w:rFonts w:ascii="Arial" w:hAnsi="Arial" w:cs="Arial"/>
        </w:rPr>
        <w:t xml:space="preserve"> as to whether the whole of the predecessor enactment falls, or just the part with which the successor enactment is in conflict.</w:t>
      </w:r>
      <w:bookmarkStart w:id="23" w:name="Goodwin_v_Phillips"/>
      <w:r>
        <w:rPr>
          <w:rStyle w:val="FootnoteReference"/>
          <w:rFonts w:ascii="Arial" w:hAnsi="Arial" w:cs="Arial"/>
        </w:rPr>
        <w:footnoteReference w:id="81"/>
      </w:r>
      <w:bookmarkEnd w:id="23"/>
    </w:p>
    <w:p w:rsidR="00D40201" w:rsidRDefault="00D40201" w:rsidP="00985067">
      <w:pPr>
        <w:spacing w:after="0" w:line="240" w:lineRule="auto"/>
        <w:contextualSpacing/>
        <w:jc w:val="both"/>
        <w:rPr>
          <w:rFonts w:ascii="Arial" w:hAnsi="Arial" w:cs="Arial"/>
        </w:rPr>
      </w:pPr>
    </w:p>
    <w:p w:rsidR="00D40201" w:rsidRDefault="00D40201" w:rsidP="00985067">
      <w:pPr>
        <w:spacing w:after="0" w:line="240" w:lineRule="auto"/>
        <w:contextualSpacing/>
        <w:jc w:val="both"/>
        <w:rPr>
          <w:rFonts w:ascii="Arial" w:hAnsi="Arial" w:cs="Arial"/>
        </w:rPr>
      </w:pPr>
      <w:r>
        <w:rPr>
          <w:rFonts w:ascii="Arial" w:hAnsi="Arial" w:cs="Arial"/>
        </w:rPr>
        <w:lastRenderedPageBreak/>
        <w:t xml:space="preserve">A tentative conclusion to this proposition, then, would be that, on </w:t>
      </w:r>
      <w:r w:rsidR="00F677C8">
        <w:rPr>
          <w:rFonts w:ascii="Arial" w:hAnsi="Arial" w:cs="Arial"/>
        </w:rPr>
        <w:t xml:space="preserve">only </w:t>
      </w:r>
      <w:r>
        <w:rPr>
          <w:rFonts w:ascii="Arial" w:hAnsi="Arial" w:cs="Arial"/>
        </w:rPr>
        <w:t xml:space="preserve">one reading </w:t>
      </w:r>
      <w:r w:rsidR="00F677C8">
        <w:rPr>
          <w:rFonts w:ascii="Arial" w:hAnsi="Arial" w:cs="Arial"/>
        </w:rPr>
        <w:t xml:space="preserve">of one </w:t>
      </w:r>
      <w:r>
        <w:rPr>
          <w:rFonts w:ascii="Arial" w:hAnsi="Arial" w:cs="Arial"/>
        </w:rPr>
        <w:t>model of the doctrine of implied repeal</w:t>
      </w:r>
      <w:r w:rsidR="00741159">
        <w:rPr>
          <w:rFonts w:ascii="Arial" w:hAnsi="Arial" w:cs="Arial"/>
        </w:rPr>
        <w:t xml:space="preserve"> (the Conflict of Norms M</w:t>
      </w:r>
      <w:r w:rsidR="00221FE0">
        <w:rPr>
          <w:rFonts w:ascii="Arial" w:hAnsi="Arial" w:cs="Arial"/>
        </w:rPr>
        <w:t xml:space="preserve">odel) would </w:t>
      </w:r>
      <w:r w:rsidR="00741159">
        <w:rPr>
          <w:rFonts w:ascii="Arial" w:hAnsi="Arial" w:cs="Arial"/>
        </w:rPr>
        <w:t>the codex of ex-</w:t>
      </w:r>
      <w:r w:rsidR="00221FE0">
        <w:rPr>
          <w:rFonts w:ascii="Arial" w:hAnsi="Arial" w:cs="Arial"/>
        </w:rPr>
        <w:t xml:space="preserve">EU Law known as retained EU Law </w:t>
      </w:r>
      <w:r w:rsidR="00741159">
        <w:rPr>
          <w:rFonts w:ascii="Arial" w:hAnsi="Arial" w:cs="Arial"/>
        </w:rPr>
        <w:t>be rendered u</w:t>
      </w:r>
      <w:r w:rsidR="00F677C8">
        <w:rPr>
          <w:rFonts w:ascii="Arial" w:hAnsi="Arial" w:cs="Arial"/>
        </w:rPr>
        <w:t xml:space="preserve">nworkable, as every subsequent </w:t>
      </w:r>
      <w:r w:rsidR="00741159">
        <w:rPr>
          <w:rFonts w:ascii="Arial" w:hAnsi="Arial" w:cs="Arial"/>
        </w:rPr>
        <w:t xml:space="preserve">enactment would, perhaps inadvertently, knock out </w:t>
      </w:r>
      <w:r w:rsidR="00F677C8">
        <w:rPr>
          <w:rFonts w:ascii="Arial" w:hAnsi="Arial" w:cs="Arial"/>
        </w:rPr>
        <w:t>a previous one with which it clashed.</w:t>
      </w:r>
      <w:r w:rsidR="00741159">
        <w:rPr>
          <w:rFonts w:ascii="Arial" w:hAnsi="Arial" w:cs="Arial"/>
        </w:rPr>
        <w:t xml:space="preserve">  Even on the Conflict of Subject-Matter reading, there will be damages to the body of imported European Law, but rather than a series of knock-out blows, it would be more like death by a t</w:t>
      </w:r>
      <w:r w:rsidR="00FF4974">
        <w:rPr>
          <w:rFonts w:ascii="Arial" w:hAnsi="Arial" w:cs="Arial"/>
        </w:rPr>
        <w:t>housand cuts</w:t>
      </w:r>
      <w:r w:rsidR="00723B32">
        <w:rPr>
          <w:rStyle w:val="FootnoteReference"/>
          <w:rFonts w:ascii="Arial" w:hAnsi="Arial" w:cs="Arial"/>
        </w:rPr>
        <w:footnoteReference w:id="82"/>
      </w:r>
      <w:r w:rsidR="00741159">
        <w:rPr>
          <w:rFonts w:ascii="Arial" w:hAnsi="Arial" w:cs="Arial"/>
        </w:rPr>
        <w:t xml:space="preserve">  </w:t>
      </w:r>
      <w:r w:rsidR="004F5698">
        <w:rPr>
          <w:rFonts w:ascii="Arial" w:hAnsi="Arial" w:cs="Arial"/>
        </w:rPr>
        <w:t xml:space="preserve">This is also what would happen on the more liberal reading of the Conflict of Norms Model.  </w:t>
      </w:r>
      <w:r w:rsidR="00741159">
        <w:rPr>
          <w:rFonts w:ascii="Arial" w:hAnsi="Arial" w:cs="Arial"/>
        </w:rPr>
        <w:t xml:space="preserve"> </w:t>
      </w:r>
      <w:r w:rsidR="00F23909">
        <w:rPr>
          <w:rFonts w:ascii="Arial" w:hAnsi="Arial" w:cs="Arial"/>
        </w:rPr>
        <w:t>O</w:t>
      </w:r>
      <w:r w:rsidR="00741159">
        <w:rPr>
          <w:rFonts w:ascii="Arial" w:hAnsi="Arial" w:cs="Arial"/>
        </w:rPr>
        <w:t>ne imagines this steady, incremental approach to be the more palatable</w:t>
      </w:r>
      <w:r w:rsidR="00F23909">
        <w:rPr>
          <w:rFonts w:ascii="Arial" w:hAnsi="Arial" w:cs="Arial"/>
        </w:rPr>
        <w:t>, even if it brings with it greater threats to legal certainty</w:t>
      </w:r>
      <w:r w:rsidR="00741159">
        <w:rPr>
          <w:rFonts w:ascii="Arial" w:hAnsi="Arial" w:cs="Arial"/>
        </w:rPr>
        <w:t xml:space="preserve">.  </w:t>
      </w:r>
      <w:r w:rsidR="00F23909">
        <w:rPr>
          <w:rFonts w:ascii="Arial" w:hAnsi="Arial" w:cs="Arial"/>
        </w:rPr>
        <w:t>Finally, t</w:t>
      </w:r>
      <w:r w:rsidR="00741159">
        <w:rPr>
          <w:rFonts w:ascii="Arial" w:hAnsi="Arial" w:cs="Arial"/>
        </w:rPr>
        <w:t>he Conflict of Geographical Context Model, if entertained, could prevent damages occurring to the body of retained EU Law alto</w:t>
      </w:r>
      <w:r w:rsidR="00FF4974">
        <w:rPr>
          <w:rFonts w:ascii="Arial" w:hAnsi="Arial" w:cs="Arial"/>
        </w:rPr>
        <w:t>gether, although the purpose of that law would increasingly come into question – intact, yes, but barely enforceable.</w:t>
      </w:r>
    </w:p>
    <w:p w:rsidR="00FF4974" w:rsidRDefault="00FF4974" w:rsidP="00985067">
      <w:pPr>
        <w:spacing w:after="0" w:line="240" w:lineRule="auto"/>
        <w:contextualSpacing/>
        <w:jc w:val="both"/>
        <w:rPr>
          <w:rFonts w:ascii="Arial" w:hAnsi="Arial" w:cs="Arial"/>
        </w:rPr>
      </w:pPr>
    </w:p>
    <w:p w:rsidR="00FF4974" w:rsidRPr="00546E28" w:rsidRDefault="00FF4974" w:rsidP="00985067">
      <w:pPr>
        <w:spacing w:after="0" w:line="240" w:lineRule="auto"/>
        <w:contextualSpacing/>
        <w:jc w:val="both"/>
        <w:rPr>
          <w:rFonts w:ascii="Arial" w:hAnsi="Arial" w:cs="Arial"/>
        </w:rPr>
      </w:pPr>
      <w:r>
        <w:rPr>
          <w:rFonts w:ascii="Arial" w:hAnsi="Arial" w:cs="Arial"/>
        </w:rPr>
        <w:t xml:space="preserve">One way to protect the body of retained EU Law from the </w:t>
      </w:r>
      <w:r w:rsidR="00221FE0">
        <w:rPr>
          <w:rFonts w:ascii="Arial" w:hAnsi="Arial" w:cs="Arial"/>
        </w:rPr>
        <w:t xml:space="preserve">(potential) </w:t>
      </w:r>
      <w:r>
        <w:rPr>
          <w:rFonts w:ascii="Arial" w:hAnsi="Arial" w:cs="Arial"/>
        </w:rPr>
        <w:t>ravages of the Confl</w:t>
      </w:r>
      <w:r w:rsidR="00DF3960">
        <w:rPr>
          <w:rFonts w:ascii="Arial" w:hAnsi="Arial" w:cs="Arial"/>
        </w:rPr>
        <w:t xml:space="preserve">ict of Norms reading would be to reinforce certain pieces of retained EU Law by constitutionalising them.  They would then be immune from implied repeal, and this in turn would force Parliament to be more robust in its repealing: explicit, rather than implicit.  Arguably the inclusion of prospective Henry VIII powers within the European Union (Withdrawal) Act 2018 has also had a strengthening effect on the ex-European laws, by subjugating any future </w:t>
      </w:r>
      <w:r w:rsidR="009A59CF">
        <w:rPr>
          <w:rFonts w:ascii="Arial" w:hAnsi="Arial" w:cs="Arial"/>
        </w:rPr>
        <w:t xml:space="preserve">Acts of Parliament </w:t>
      </w:r>
      <w:r w:rsidR="00DF3960">
        <w:rPr>
          <w:rFonts w:ascii="Arial" w:hAnsi="Arial" w:cs="Arial"/>
        </w:rPr>
        <w:t>by which th</w:t>
      </w:r>
      <w:r w:rsidR="00682897">
        <w:rPr>
          <w:rFonts w:ascii="Arial" w:hAnsi="Arial" w:cs="Arial"/>
        </w:rPr>
        <w:t>e</w:t>
      </w:r>
      <w:r w:rsidR="00DF3960">
        <w:rPr>
          <w:rFonts w:ascii="Arial" w:hAnsi="Arial" w:cs="Arial"/>
        </w:rPr>
        <w:t xml:space="preserve"> government might seek to dilute th</w:t>
      </w:r>
      <w:r w:rsidR="00682897">
        <w:rPr>
          <w:rFonts w:ascii="Arial" w:hAnsi="Arial" w:cs="Arial"/>
        </w:rPr>
        <w:t>e</w:t>
      </w:r>
      <w:r w:rsidR="00DF3960">
        <w:rPr>
          <w:rFonts w:ascii="Arial" w:hAnsi="Arial" w:cs="Arial"/>
        </w:rPr>
        <w:t xml:space="preserve"> EU rights</w:t>
      </w:r>
      <w:r w:rsidR="00682897">
        <w:rPr>
          <w:rFonts w:ascii="Arial" w:hAnsi="Arial" w:cs="Arial"/>
        </w:rPr>
        <w:t xml:space="preserve"> under the yoke of</w:t>
      </w:r>
      <w:r w:rsidR="00DF3960">
        <w:rPr>
          <w:rFonts w:ascii="Arial" w:hAnsi="Arial" w:cs="Arial"/>
        </w:rPr>
        <w:t xml:space="preserve"> possible </w:t>
      </w:r>
      <w:r w:rsidR="00682897">
        <w:rPr>
          <w:rFonts w:ascii="Arial" w:hAnsi="Arial" w:cs="Arial"/>
        </w:rPr>
        <w:t xml:space="preserve">subsequent amendment.  While this is hardly ‘constitutional </w:t>
      </w:r>
      <w:r w:rsidR="00682897" w:rsidRPr="00682897">
        <w:rPr>
          <w:rFonts w:ascii="Arial" w:hAnsi="Arial" w:cs="Arial"/>
          <w:i/>
        </w:rPr>
        <w:t>self</w:t>
      </w:r>
      <w:r w:rsidR="00682897">
        <w:rPr>
          <w:rFonts w:ascii="Arial" w:hAnsi="Arial" w:cs="Arial"/>
        </w:rPr>
        <w:t>-defence,’ to use Barber and Young’s phrase,</w:t>
      </w:r>
      <w:bookmarkStart w:id="24" w:name="Constitutionalization_Paragraph"/>
      <w:r w:rsidR="00221FE0">
        <w:rPr>
          <w:rStyle w:val="FootnoteReference"/>
          <w:rFonts w:ascii="Arial" w:hAnsi="Arial" w:cs="Arial"/>
        </w:rPr>
        <w:footnoteReference w:id="83"/>
      </w:r>
      <w:bookmarkEnd w:id="24"/>
      <w:r w:rsidR="00682897">
        <w:rPr>
          <w:rFonts w:ascii="Arial" w:hAnsi="Arial" w:cs="Arial"/>
        </w:rPr>
        <w:t xml:space="preserve"> it is const</w:t>
      </w:r>
      <w:r w:rsidR="00773A02">
        <w:rPr>
          <w:rFonts w:ascii="Arial" w:hAnsi="Arial" w:cs="Arial"/>
        </w:rPr>
        <w:t xml:space="preserve">itutional defence of some sort.  Might </w:t>
      </w:r>
      <w:r w:rsidR="00682897">
        <w:rPr>
          <w:rFonts w:ascii="Arial" w:hAnsi="Arial" w:cs="Arial"/>
        </w:rPr>
        <w:t xml:space="preserve">Parliament </w:t>
      </w:r>
      <w:r w:rsidR="00773A02">
        <w:rPr>
          <w:rFonts w:ascii="Arial" w:hAnsi="Arial" w:cs="Arial"/>
        </w:rPr>
        <w:t xml:space="preserve">after all be </w:t>
      </w:r>
      <w:r w:rsidR="00682897">
        <w:rPr>
          <w:rFonts w:ascii="Arial" w:hAnsi="Arial" w:cs="Arial"/>
        </w:rPr>
        <w:t xml:space="preserve">trying to future-proof the incoming EU Law </w:t>
      </w:r>
      <w:r w:rsidR="00773A02">
        <w:rPr>
          <w:rFonts w:ascii="Arial" w:hAnsi="Arial" w:cs="Arial"/>
        </w:rPr>
        <w:t>to</w:t>
      </w:r>
      <w:r w:rsidR="00682897">
        <w:rPr>
          <w:rFonts w:ascii="Arial" w:hAnsi="Arial" w:cs="Arial"/>
        </w:rPr>
        <w:t xml:space="preserve"> preserve it </w:t>
      </w:r>
      <w:r w:rsidR="0052203A">
        <w:rPr>
          <w:rFonts w:ascii="Arial" w:hAnsi="Arial" w:cs="Arial"/>
        </w:rPr>
        <w:t>from alteration</w:t>
      </w:r>
      <w:r w:rsidR="00773A02">
        <w:rPr>
          <w:rFonts w:ascii="Arial" w:hAnsi="Arial" w:cs="Arial"/>
        </w:rPr>
        <w:t>,</w:t>
      </w:r>
      <w:r w:rsidR="0052203A">
        <w:rPr>
          <w:rFonts w:ascii="Arial" w:hAnsi="Arial" w:cs="Arial"/>
        </w:rPr>
        <w:t xml:space="preserve"> or </w:t>
      </w:r>
      <w:r w:rsidR="00773A02">
        <w:rPr>
          <w:rFonts w:ascii="Arial" w:hAnsi="Arial" w:cs="Arial"/>
        </w:rPr>
        <w:t xml:space="preserve">even </w:t>
      </w:r>
      <w:r w:rsidR="0052203A">
        <w:rPr>
          <w:rFonts w:ascii="Arial" w:hAnsi="Arial" w:cs="Arial"/>
        </w:rPr>
        <w:t>abolition</w:t>
      </w:r>
      <w:r w:rsidR="00773A02">
        <w:rPr>
          <w:rFonts w:ascii="Arial" w:hAnsi="Arial" w:cs="Arial"/>
        </w:rPr>
        <w:t>, after Exit Day?</w:t>
      </w:r>
      <w:r w:rsidR="00682897">
        <w:rPr>
          <w:rFonts w:ascii="Arial" w:hAnsi="Arial" w:cs="Arial"/>
        </w:rPr>
        <w:t xml:space="preserve"> </w:t>
      </w:r>
    </w:p>
    <w:p w:rsidR="004051E3" w:rsidRPr="00985067" w:rsidRDefault="00060664" w:rsidP="00060664">
      <w:pPr>
        <w:tabs>
          <w:tab w:val="left" w:pos="3135"/>
        </w:tabs>
        <w:spacing w:after="0" w:line="240" w:lineRule="auto"/>
        <w:contextualSpacing/>
        <w:jc w:val="both"/>
        <w:rPr>
          <w:rFonts w:ascii="Arial" w:hAnsi="Arial" w:cs="Arial"/>
          <w:lang w:val="en-US"/>
        </w:rPr>
      </w:pPr>
      <w:r>
        <w:rPr>
          <w:rFonts w:ascii="Arial" w:hAnsi="Arial" w:cs="Arial"/>
          <w:lang w:val="en-US"/>
        </w:rPr>
        <w:tab/>
      </w:r>
    </w:p>
    <w:p w:rsidR="009242EB" w:rsidRDefault="009242EB" w:rsidP="009242EB">
      <w:pPr>
        <w:spacing w:after="0" w:line="240" w:lineRule="auto"/>
        <w:contextualSpacing/>
        <w:jc w:val="both"/>
        <w:rPr>
          <w:rFonts w:ascii="Arial" w:hAnsi="Arial" w:cs="Arial"/>
          <w:b/>
        </w:rPr>
      </w:pPr>
      <w:r>
        <w:rPr>
          <w:rFonts w:ascii="Arial" w:hAnsi="Arial" w:cs="Arial"/>
          <w:b/>
        </w:rPr>
        <w:t xml:space="preserve">Second proposition: </w:t>
      </w:r>
      <w:r w:rsidR="00667C38">
        <w:rPr>
          <w:rFonts w:ascii="Arial" w:hAnsi="Arial" w:cs="Arial"/>
          <w:b/>
        </w:rPr>
        <w:t>Even in the absence of the doctrine of indirect effect, national courts will still have to interpret pre-Brexit national law in line with EU law</w:t>
      </w:r>
    </w:p>
    <w:p w:rsidR="006B7EA9" w:rsidRDefault="006B7EA9" w:rsidP="009242EB">
      <w:pPr>
        <w:spacing w:after="0" w:line="240" w:lineRule="auto"/>
        <w:contextualSpacing/>
        <w:jc w:val="both"/>
        <w:rPr>
          <w:rFonts w:ascii="Arial" w:hAnsi="Arial" w:cs="Arial"/>
          <w:b/>
        </w:rPr>
      </w:pPr>
    </w:p>
    <w:p w:rsidR="00985067" w:rsidRPr="004051E3" w:rsidRDefault="004A5011" w:rsidP="004051E3">
      <w:pPr>
        <w:spacing w:after="0" w:line="240" w:lineRule="auto"/>
        <w:ind w:left="360"/>
        <w:contextualSpacing/>
        <w:rPr>
          <w:rFonts w:ascii="Arial" w:hAnsi="Arial" w:cs="Arial"/>
          <w:i/>
          <w:lang w:val="en-US"/>
        </w:rPr>
      </w:pPr>
      <w:r>
        <w:rPr>
          <w:rFonts w:ascii="Arial" w:hAnsi="Arial" w:cs="Arial"/>
          <w:i/>
          <w:lang w:val="en-US"/>
        </w:rPr>
        <w:t xml:space="preserve">Laws will be… </w:t>
      </w:r>
      <w:r w:rsidR="00985067" w:rsidRPr="004051E3">
        <w:rPr>
          <w:rFonts w:ascii="Arial" w:hAnsi="Arial" w:cs="Arial"/>
          <w:i/>
          <w:lang w:val="en-US"/>
        </w:rPr>
        <w:t>interpreted by our judges, not those in Luxembourg.</w:t>
      </w:r>
    </w:p>
    <w:p w:rsidR="004051E3" w:rsidRPr="00985067" w:rsidRDefault="004051E3" w:rsidP="00985067">
      <w:pPr>
        <w:spacing w:after="0" w:line="240" w:lineRule="auto"/>
        <w:contextualSpacing/>
        <w:jc w:val="both"/>
        <w:rPr>
          <w:rFonts w:ascii="Arial" w:hAnsi="Arial" w:cs="Arial"/>
          <w:lang w:val="en-US"/>
        </w:rPr>
      </w:pPr>
    </w:p>
    <w:p w:rsidR="00985067" w:rsidRDefault="00985067" w:rsidP="00985067">
      <w:pPr>
        <w:spacing w:after="0" w:line="240" w:lineRule="auto"/>
        <w:contextualSpacing/>
        <w:jc w:val="both"/>
        <w:rPr>
          <w:rFonts w:ascii="Arial" w:hAnsi="Arial" w:cs="Arial"/>
          <w:lang w:val="en-US"/>
        </w:rPr>
      </w:pPr>
      <w:r w:rsidRPr="00985067">
        <w:rPr>
          <w:rFonts w:ascii="Arial" w:hAnsi="Arial" w:cs="Arial"/>
          <w:lang w:val="en-US"/>
        </w:rPr>
        <w:t>So said the former Brexit minister, David Davies, in the House of Commons on 17 January 2017.</w:t>
      </w:r>
      <w:r w:rsidRPr="00985067">
        <w:rPr>
          <w:rFonts w:ascii="Arial" w:hAnsi="Arial" w:cs="Arial"/>
          <w:vertAlign w:val="superscript"/>
          <w:lang w:val="en-US"/>
        </w:rPr>
        <w:footnoteReference w:id="84"/>
      </w:r>
      <w:r w:rsidRPr="00985067">
        <w:rPr>
          <w:rFonts w:ascii="Arial" w:hAnsi="Arial" w:cs="Arial"/>
          <w:lang w:val="en-US"/>
        </w:rPr>
        <w:t xml:space="preserve">  </w:t>
      </w:r>
      <w:r w:rsidR="00301EC2">
        <w:rPr>
          <w:rFonts w:ascii="Arial" w:hAnsi="Arial" w:cs="Arial"/>
          <w:lang w:val="en-US"/>
        </w:rPr>
        <w:t xml:space="preserve">He clearly believes that interpretative sovereignty </w:t>
      </w:r>
      <w:r w:rsidR="00301EC2" w:rsidRPr="00985067">
        <w:rPr>
          <w:rFonts w:ascii="Arial" w:hAnsi="Arial" w:cs="Arial"/>
          <w:lang w:val="en-US"/>
        </w:rPr>
        <w:t>will come flooding back into UK domestic courts following Brexit</w:t>
      </w:r>
      <w:r w:rsidR="00301EC2">
        <w:rPr>
          <w:rFonts w:ascii="Arial" w:hAnsi="Arial" w:cs="Arial"/>
          <w:lang w:val="en-US"/>
        </w:rPr>
        <w:t xml:space="preserve"> and the receding of the European tide.  </w:t>
      </w:r>
      <w:r w:rsidR="0048764D">
        <w:rPr>
          <w:rFonts w:ascii="Arial" w:hAnsi="Arial" w:cs="Arial"/>
          <w:lang w:val="en-US"/>
        </w:rPr>
        <w:t>However, his use of the future tense implies that it is only in relation to post-Brexit legislation that th</w:t>
      </w:r>
      <w:r w:rsidR="00301EC2">
        <w:rPr>
          <w:rFonts w:ascii="Arial" w:hAnsi="Arial" w:cs="Arial"/>
          <w:lang w:val="en-US"/>
        </w:rPr>
        <w:t>is</w:t>
      </w:r>
      <w:r w:rsidR="0048764D">
        <w:rPr>
          <w:rFonts w:ascii="Arial" w:hAnsi="Arial" w:cs="Arial"/>
          <w:lang w:val="en-US"/>
        </w:rPr>
        <w:t xml:space="preserve"> new</w:t>
      </w:r>
      <w:r w:rsidR="00301EC2">
        <w:rPr>
          <w:rFonts w:ascii="Arial" w:hAnsi="Arial" w:cs="Arial"/>
          <w:lang w:val="en-US"/>
        </w:rPr>
        <w:t xml:space="preserve"> interpretative sovereignty </w:t>
      </w:r>
      <w:r w:rsidR="0048764D">
        <w:rPr>
          <w:rFonts w:ascii="Arial" w:hAnsi="Arial" w:cs="Arial"/>
          <w:lang w:val="en-US"/>
        </w:rPr>
        <w:t>will apply</w:t>
      </w:r>
      <w:r w:rsidR="00301EC2">
        <w:rPr>
          <w:rFonts w:ascii="Arial" w:hAnsi="Arial" w:cs="Arial"/>
          <w:lang w:val="en-US"/>
        </w:rPr>
        <w:t xml:space="preserve">.  </w:t>
      </w:r>
      <w:r w:rsidR="00AF47FA">
        <w:rPr>
          <w:rFonts w:ascii="Arial" w:hAnsi="Arial" w:cs="Arial"/>
          <w:lang w:val="en-US"/>
        </w:rPr>
        <w:t>With regards to legislation already passed, i</w:t>
      </w:r>
      <w:r w:rsidR="00301EC2">
        <w:rPr>
          <w:rFonts w:ascii="Arial" w:hAnsi="Arial" w:cs="Arial"/>
          <w:lang w:val="en-US"/>
        </w:rPr>
        <w:t xml:space="preserve">t is the UK judges’ own interpretative method, with its focus on the intention of the </w:t>
      </w:r>
      <w:r w:rsidR="00C0745B">
        <w:rPr>
          <w:rFonts w:ascii="Arial" w:hAnsi="Arial" w:cs="Arial"/>
          <w:lang w:val="en-US"/>
        </w:rPr>
        <w:t>legislature</w:t>
      </w:r>
      <w:r w:rsidR="00B25DDC">
        <w:rPr>
          <w:rFonts w:ascii="Arial" w:hAnsi="Arial" w:cs="Arial"/>
          <w:lang w:val="en-US"/>
        </w:rPr>
        <w:t>,</w:t>
      </w:r>
      <w:r w:rsidR="00C0745B">
        <w:rPr>
          <w:rStyle w:val="FootnoteReference"/>
          <w:rFonts w:ascii="Arial" w:hAnsi="Arial" w:cs="Arial"/>
          <w:lang w:val="en-US"/>
        </w:rPr>
        <w:footnoteReference w:id="85"/>
      </w:r>
      <w:r w:rsidR="00301EC2">
        <w:rPr>
          <w:rFonts w:ascii="Arial" w:hAnsi="Arial" w:cs="Arial"/>
          <w:lang w:val="en-US"/>
        </w:rPr>
        <w:t xml:space="preserve"> which may mean that their hands remain tied</w:t>
      </w:r>
      <w:r w:rsidR="00667C38">
        <w:rPr>
          <w:rFonts w:ascii="Arial" w:hAnsi="Arial" w:cs="Arial"/>
          <w:lang w:val="en-US"/>
        </w:rPr>
        <w:t xml:space="preserve"> by EU Law, even in the absence of the </w:t>
      </w:r>
      <w:r w:rsidR="00AF47FA">
        <w:rPr>
          <w:rFonts w:ascii="Arial" w:hAnsi="Arial" w:cs="Arial"/>
          <w:lang w:val="en-US"/>
        </w:rPr>
        <w:t xml:space="preserve">EU </w:t>
      </w:r>
      <w:r w:rsidR="001010D6">
        <w:rPr>
          <w:rFonts w:ascii="Arial" w:hAnsi="Arial" w:cs="Arial"/>
          <w:lang w:val="en-US"/>
        </w:rPr>
        <w:t>legal doctrine of indirect effect</w:t>
      </w:r>
      <w:r w:rsidR="00AF47FA">
        <w:rPr>
          <w:rFonts w:ascii="Arial" w:hAnsi="Arial" w:cs="Arial"/>
          <w:lang w:val="en-US"/>
        </w:rPr>
        <w:t>, for some time to come.  Thus</w:t>
      </w:r>
      <w:r w:rsidRPr="00985067">
        <w:rPr>
          <w:rFonts w:ascii="Arial" w:hAnsi="Arial" w:cs="Arial"/>
          <w:lang w:val="en-US"/>
        </w:rPr>
        <w:t xml:space="preserve">, the </w:t>
      </w:r>
      <w:r w:rsidR="00AF47FA">
        <w:rPr>
          <w:rFonts w:ascii="Arial" w:hAnsi="Arial" w:cs="Arial"/>
          <w:lang w:val="en-US"/>
        </w:rPr>
        <w:t xml:space="preserve">final </w:t>
      </w:r>
      <w:r w:rsidRPr="00985067">
        <w:rPr>
          <w:rFonts w:ascii="Arial" w:hAnsi="Arial" w:cs="Arial"/>
          <w:lang w:val="en-US"/>
        </w:rPr>
        <w:t xml:space="preserve">result may not be all that </w:t>
      </w:r>
      <w:proofErr w:type="spellStart"/>
      <w:r w:rsidRPr="00985067">
        <w:rPr>
          <w:rFonts w:ascii="Arial" w:hAnsi="Arial" w:cs="Arial"/>
          <w:lang w:val="en-US"/>
        </w:rPr>
        <w:t>Mr</w:t>
      </w:r>
      <w:proofErr w:type="spellEnd"/>
      <w:r w:rsidRPr="00985067">
        <w:rPr>
          <w:rFonts w:ascii="Arial" w:hAnsi="Arial" w:cs="Arial"/>
          <w:lang w:val="en-US"/>
        </w:rPr>
        <w:t xml:space="preserve"> Davies hoped.</w:t>
      </w:r>
    </w:p>
    <w:p w:rsidR="005B10BA" w:rsidRDefault="005B10BA" w:rsidP="00985067">
      <w:pPr>
        <w:spacing w:after="0" w:line="240" w:lineRule="auto"/>
        <w:contextualSpacing/>
        <w:jc w:val="both"/>
        <w:rPr>
          <w:rFonts w:ascii="Arial" w:hAnsi="Arial" w:cs="Arial"/>
          <w:lang w:val="en-US"/>
        </w:rPr>
      </w:pPr>
    </w:p>
    <w:p w:rsidR="00C3651B" w:rsidRDefault="00976833" w:rsidP="00C3651B">
      <w:pPr>
        <w:spacing w:after="0" w:line="240" w:lineRule="auto"/>
        <w:contextualSpacing/>
        <w:jc w:val="both"/>
        <w:rPr>
          <w:rFonts w:ascii="Arial" w:hAnsi="Arial" w:cs="Arial"/>
        </w:rPr>
      </w:pPr>
      <w:r>
        <w:rPr>
          <w:rFonts w:ascii="Arial" w:hAnsi="Arial" w:cs="Arial"/>
        </w:rPr>
        <w:t>In</w:t>
      </w:r>
      <w:r w:rsidR="009B5381">
        <w:rPr>
          <w:rFonts w:ascii="Arial" w:hAnsi="Arial" w:cs="Arial"/>
        </w:rPr>
        <w:t xml:space="preserve"> accordance with the doctrine of indirect effect, </w:t>
      </w:r>
      <w:r>
        <w:rPr>
          <w:rFonts w:ascii="Arial" w:hAnsi="Arial" w:cs="Arial"/>
          <w:lang w:val="en-US"/>
        </w:rPr>
        <w:t xml:space="preserve">sometimes called the obligation of harmonious interpretation, or </w:t>
      </w:r>
      <w:r w:rsidR="00614BDC">
        <w:rPr>
          <w:rFonts w:ascii="Arial" w:hAnsi="Arial" w:cs="Arial"/>
          <w:lang w:val="en-US"/>
        </w:rPr>
        <w:t xml:space="preserve">duty </w:t>
      </w:r>
      <w:r>
        <w:rPr>
          <w:rFonts w:ascii="Arial" w:hAnsi="Arial" w:cs="Arial"/>
          <w:lang w:val="en-US"/>
        </w:rPr>
        <w:t xml:space="preserve">of consistent interpretation, </w:t>
      </w:r>
      <w:r w:rsidR="00C3651B">
        <w:rPr>
          <w:rFonts w:ascii="Arial" w:hAnsi="Arial" w:cs="Arial"/>
        </w:rPr>
        <w:t xml:space="preserve">national provisions intended to </w:t>
      </w:r>
      <w:r w:rsidR="00C3651B">
        <w:rPr>
          <w:rFonts w:ascii="Arial" w:hAnsi="Arial" w:cs="Arial"/>
        </w:rPr>
        <w:lastRenderedPageBreak/>
        <w:t xml:space="preserve">implement an EU </w:t>
      </w:r>
      <w:r>
        <w:rPr>
          <w:rFonts w:ascii="Arial" w:hAnsi="Arial" w:cs="Arial"/>
        </w:rPr>
        <w:t>rule</w:t>
      </w:r>
      <w:r w:rsidR="00C3651B">
        <w:rPr>
          <w:rFonts w:ascii="Arial" w:hAnsi="Arial" w:cs="Arial"/>
        </w:rPr>
        <w:t xml:space="preserve"> </w:t>
      </w:r>
      <w:r w:rsidR="009B5381">
        <w:rPr>
          <w:rFonts w:ascii="Arial" w:hAnsi="Arial" w:cs="Arial"/>
        </w:rPr>
        <w:t xml:space="preserve">must be interpreted </w:t>
      </w:r>
      <w:r>
        <w:rPr>
          <w:rFonts w:ascii="Arial" w:hAnsi="Arial" w:cs="Arial"/>
        </w:rPr>
        <w:t>‘</w:t>
      </w:r>
      <w:r w:rsidR="009B5381">
        <w:rPr>
          <w:rFonts w:ascii="Arial" w:hAnsi="Arial" w:cs="Arial"/>
        </w:rPr>
        <w:t xml:space="preserve">in </w:t>
      </w:r>
      <w:r>
        <w:rPr>
          <w:rFonts w:ascii="Arial" w:hAnsi="Arial" w:cs="Arial"/>
        </w:rPr>
        <w:t xml:space="preserve">the </w:t>
      </w:r>
      <w:r w:rsidR="009B5381">
        <w:rPr>
          <w:rFonts w:ascii="Arial" w:hAnsi="Arial" w:cs="Arial"/>
        </w:rPr>
        <w:t>light of</w:t>
      </w:r>
      <w:r>
        <w:rPr>
          <w:rFonts w:ascii="Arial" w:hAnsi="Arial" w:cs="Arial"/>
        </w:rPr>
        <w:t>’</w:t>
      </w:r>
      <w:r w:rsidR="009B5381">
        <w:rPr>
          <w:rFonts w:ascii="Arial" w:hAnsi="Arial" w:cs="Arial"/>
        </w:rPr>
        <w:t xml:space="preserve"> EU </w:t>
      </w:r>
      <w:r>
        <w:rPr>
          <w:rFonts w:ascii="Arial" w:hAnsi="Arial" w:cs="Arial"/>
        </w:rPr>
        <w:t>L</w:t>
      </w:r>
      <w:r w:rsidR="002742C9">
        <w:rPr>
          <w:rFonts w:ascii="Arial" w:hAnsi="Arial" w:cs="Arial"/>
        </w:rPr>
        <w:t>aw.</w:t>
      </w:r>
      <w:r w:rsidR="002C4168">
        <w:rPr>
          <w:rStyle w:val="FootnoteReference"/>
          <w:rFonts w:ascii="Arial" w:hAnsi="Arial" w:cs="Arial"/>
        </w:rPr>
        <w:footnoteReference w:id="86"/>
      </w:r>
      <w:r w:rsidR="002742C9">
        <w:rPr>
          <w:rFonts w:ascii="Arial" w:hAnsi="Arial" w:cs="Arial"/>
        </w:rPr>
        <w:t xml:space="preserve">  T</w:t>
      </w:r>
      <w:r w:rsidR="009B5381">
        <w:rPr>
          <w:rFonts w:ascii="Arial" w:hAnsi="Arial" w:cs="Arial"/>
        </w:rPr>
        <w:t>his means that they must be interpreted in the wa</w:t>
      </w:r>
      <w:r w:rsidR="002742C9">
        <w:rPr>
          <w:rFonts w:ascii="Arial" w:hAnsi="Arial" w:cs="Arial"/>
        </w:rPr>
        <w:t xml:space="preserve">y in which the Court of Justice, if it is later </w:t>
      </w:r>
      <w:r w:rsidR="006B7EA9">
        <w:rPr>
          <w:rFonts w:ascii="Arial" w:hAnsi="Arial" w:cs="Arial"/>
        </w:rPr>
        <w:t>seized</w:t>
      </w:r>
      <w:r w:rsidR="002742C9">
        <w:rPr>
          <w:rFonts w:ascii="Arial" w:hAnsi="Arial" w:cs="Arial"/>
        </w:rPr>
        <w:t xml:space="preserve"> of the matter, rules that they should</w:t>
      </w:r>
      <w:r>
        <w:rPr>
          <w:rFonts w:ascii="Arial" w:hAnsi="Arial" w:cs="Arial"/>
        </w:rPr>
        <w:t xml:space="preserve"> be </w:t>
      </w:r>
      <w:r w:rsidR="009B5381">
        <w:rPr>
          <w:rFonts w:ascii="Arial" w:hAnsi="Arial" w:cs="Arial"/>
        </w:rPr>
        <w:t xml:space="preserve">interpreted.  </w:t>
      </w:r>
      <w:r>
        <w:rPr>
          <w:rFonts w:ascii="Arial" w:hAnsi="Arial" w:cs="Arial"/>
        </w:rPr>
        <w:t xml:space="preserve">However, for a common lawyer, this </w:t>
      </w:r>
      <w:r w:rsidR="002C4168">
        <w:rPr>
          <w:rFonts w:ascii="Arial" w:hAnsi="Arial" w:cs="Arial"/>
        </w:rPr>
        <w:t>may mean</w:t>
      </w:r>
      <w:r>
        <w:rPr>
          <w:rFonts w:ascii="Arial" w:hAnsi="Arial" w:cs="Arial"/>
        </w:rPr>
        <w:t xml:space="preserve"> pretending that </w:t>
      </w:r>
      <w:r w:rsidR="00C3651B">
        <w:rPr>
          <w:rFonts w:ascii="Arial" w:hAnsi="Arial" w:cs="Arial"/>
        </w:rPr>
        <w:t xml:space="preserve">the Court of Justice’s </w:t>
      </w:r>
      <w:r>
        <w:rPr>
          <w:rFonts w:ascii="Arial" w:hAnsi="Arial" w:cs="Arial"/>
        </w:rPr>
        <w:t xml:space="preserve">later </w:t>
      </w:r>
      <w:r w:rsidR="00C3651B">
        <w:rPr>
          <w:rFonts w:ascii="Arial" w:hAnsi="Arial" w:cs="Arial"/>
        </w:rPr>
        <w:t xml:space="preserve">interpretation had been known to the national Parliament at the time of passing the national implementing measure.  </w:t>
      </w:r>
      <w:r w:rsidR="008E7579">
        <w:rPr>
          <w:rFonts w:ascii="Arial" w:hAnsi="Arial" w:cs="Arial"/>
        </w:rPr>
        <w:t>The question for this section then is, a</w:t>
      </w:r>
      <w:r w:rsidR="00C3651B">
        <w:rPr>
          <w:rFonts w:ascii="Arial" w:hAnsi="Arial" w:cs="Arial"/>
        </w:rPr>
        <w:t xml:space="preserve">ssuming that the </w:t>
      </w:r>
      <w:r w:rsidR="009F6FAC">
        <w:rPr>
          <w:rFonts w:ascii="Arial" w:hAnsi="Arial" w:cs="Arial"/>
        </w:rPr>
        <w:t>doctrine</w:t>
      </w:r>
      <w:r w:rsidR="00C3651B">
        <w:rPr>
          <w:rFonts w:ascii="Arial" w:hAnsi="Arial" w:cs="Arial"/>
        </w:rPr>
        <w:t xml:space="preserve"> of </w:t>
      </w:r>
      <w:r w:rsidR="009F6FAC">
        <w:rPr>
          <w:rFonts w:ascii="Arial" w:hAnsi="Arial" w:cs="Arial"/>
        </w:rPr>
        <w:t>indirect effect</w:t>
      </w:r>
      <w:r w:rsidR="00C3651B">
        <w:rPr>
          <w:rFonts w:ascii="Arial" w:hAnsi="Arial" w:cs="Arial"/>
        </w:rPr>
        <w:t xml:space="preserve"> is obliterated by Brexit, surely the national provisions may now be interpreted by reference to Parliament’s </w:t>
      </w:r>
      <w:r w:rsidR="00C3651B" w:rsidRPr="00C3651B">
        <w:rPr>
          <w:rFonts w:ascii="Arial" w:hAnsi="Arial" w:cs="Arial"/>
          <w:i/>
        </w:rPr>
        <w:t>actual</w:t>
      </w:r>
      <w:r w:rsidR="00C3651B">
        <w:rPr>
          <w:rFonts w:ascii="Arial" w:hAnsi="Arial" w:cs="Arial"/>
        </w:rPr>
        <w:t xml:space="preserve"> state of knowledge at the time of passing </w:t>
      </w:r>
      <w:r w:rsidR="002C0668">
        <w:rPr>
          <w:rFonts w:ascii="Arial" w:hAnsi="Arial" w:cs="Arial"/>
        </w:rPr>
        <w:t>said</w:t>
      </w:r>
      <w:r w:rsidR="00C3651B">
        <w:rPr>
          <w:rFonts w:ascii="Arial" w:hAnsi="Arial" w:cs="Arial"/>
        </w:rPr>
        <w:t xml:space="preserve"> measure?</w:t>
      </w:r>
    </w:p>
    <w:p w:rsidR="00C3651B" w:rsidRDefault="00C3651B" w:rsidP="00985067">
      <w:pPr>
        <w:spacing w:after="0" w:line="240" w:lineRule="auto"/>
        <w:contextualSpacing/>
        <w:jc w:val="both"/>
        <w:rPr>
          <w:rFonts w:ascii="Arial" w:hAnsi="Arial" w:cs="Arial"/>
          <w:lang w:val="en-US"/>
        </w:rPr>
      </w:pPr>
    </w:p>
    <w:p w:rsidR="00E9739B" w:rsidRPr="00E9739B" w:rsidRDefault="001C4B50" w:rsidP="00E9739B">
      <w:pPr>
        <w:spacing w:after="0" w:line="240" w:lineRule="auto"/>
        <w:contextualSpacing/>
        <w:jc w:val="both"/>
        <w:rPr>
          <w:rFonts w:ascii="Arial" w:hAnsi="Arial" w:cs="Arial"/>
        </w:rPr>
      </w:pPr>
      <w:r>
        <w:rPr>
          <w:rFonts w:ascii="Arial" w:hAnsi="Arial" w:cs="Arial"/>
          <w:lang w:val="en-US"/>
        </w:rPr>
        <w:t>Suppose</w:t>
      </w:r>
      <w:r w:rsidR="005B10BA">
        <w:rPr>
          <w:rFonts w:ascii="Arial" w:hAnsi="Arial" w:cs="Arial"/>
          <w:lang w:val="en-US"/>
        </w:rPr>
        <w:t xml:space="preserve">, by way of </w:t>
      </w:r>
      <w:proofErr w:type="gramStart"/>
      <w:r w:rsidR="005B10BA">
        <w:rPr>
          <w:rFonts w:ascii="Arial" w:hAnsi="Arial" w:cs="Arial"/>
          <w:lang w:val="en-US"/>
        </w:rPr>
        <w:t>example,</w:t>
      </w:r>
      <w:r w:rsidR="00E9739B">
        <w:rPr>
          <w:rFonts w:ascii="Arial" w:hAnsi="Arial" w:cs="Arial"/>
          <w:lang w:val="en-US"/>
        </w:rPr>
        <w:t xml:space="preserve"> </w:t>
      </w:r>
      <w:r w:rsidR="005B10BA">
        <w:rPr>
          <w:rFonts w:ascii="Arial" w:hAnsi="Arial" w:cs="Arial"/>
          <w:lang w:val="en-US"/>
        </w:rPr>
        <w:t>that</w:t>
      </w:r>
      <w:proofErr w:type="gramEnd"/>
      <w:r w:rsidR="005B10BA">
        <w:rPr>
          <w:rFonts w:ascii="Arial" w:hAnsi="Arial" w:cs="Arial"/>
          <w:lang w:val="en-US"/>
        </w:rPr>
        <w:t xml:space="preserve"> </w:t>
      </w:r>
      <w:r w:rsidR="00E9739B">
        <w:rPr>
          <w:rFonts w:ascii="Arial" w:hAnsi="Arial" w:cs="Arial"/>
          <w:lang w:val="en-US"/>
        </w:rPr>
        <w:t>an</w:t>
      </w:r>
      <w:r w:rsidR="005B10BA">
        <w:rPr>
          <w:rFonts w:ascii="Arial" w:hAnsi="Arial" w:cs="Arial"/>
          <w:lang w:val="en-US"/>
        </w:rPr>
        <w:t xml:space="preserve"> EU </w:t>
      </w:r>
      <w:r w:rsidR="00E9739B">
        <w:rPr>
          <w:rFonts w:ascii="Arial" w:hAnsi="Arial" w:cs="Arial"/>
          <w:lang w:val="en-US"/>
        </w:rPr>
        <w:t xml:space="preserve">Directive </w:t>
      </w:r>
      <w:r w:rsidR="005B10BA">
        <w:rPr>
          <w:rFonts w:ascii="Arial" w:hAnsi="Arial" w:cs="Arial"/>
          <w:lang w:val="en-US"/>
        </w:rPr>
        <w:t xml:space="preserve">had </w:t>
      </w:r>
      <w:r w:rsidR="00E9739B">
        <w:rPr>
          <w:rFonts w:ascii="Arial" w:hAnsi="Arial" w:cs="Arial"/>
          <w:lang w:val="en-US"/>
        </w:rPr>
        <w:t>provided for</w:t>
      </w:r>
      <w:r w:rsidR="005B10BA">
        <w:rPr>
          <w:rFonts w:ascii="Arial" w:hAnsi="Arial" w:cs="Arial"/>
          <w:lang w:val="en-US"/>
        </w:rPr>
        <w:t xml:space="preserve"> </w:t>
      </w:r>
      <w:r>
        <w:rPr>
          <w:rFonts w:ascii="Arial" w:hAnsi="Arial" w:cs="Arial"/>
          <w:lang w:val="en-US"/>
        </w:rPr>
        <w:t xml:space="preserve">what the Court of Justice later regarded as </w:t>
      </w:r>
      <w:r w:rsidR="005B10BA">
        <w:rPr>
          <w:rFonts w:ascii="Arial" w:hAnsi="Arial" w:cs="Arial"/>
          <w:lang w:val="en-US"/>
        </w:rPr>
        <w:t>an objective test for non-liability for defective products</w:t>
      </w:r>
      <w:r w:rsidR="00E9739B">
        <w:rPr>
          <w:rFonts w:ascii="Arial" w:hAnsi="Arial" w:cs="Arial"/>
          <w:lang w:val="en-US"/>
        </w:rPr>
        <w:t xml:space="preserve">, while the UK, in its implementation, had set a subjective </w:t>
      </w:r>
      <w:r>
        <w:rPr>
          <w:rFonts w:ascii="Arial" w:hAnsi="Arial" w:cs="Arial"/>
          <w:lang w:val="en-US"/>
        </w:rPr>
        <w:t>test</w:t>
      </w:r>
      <w:r w:rsidR="00E9739B">
        <w:rPr>
          <w:rFonts w:ascii="Arial" w:hAnsi="Arial" w:cs="Arial"/>
          <w:lang w:val="en-US"/>
        </w:rPr>
        <w:t>.</w:t>
      </w:r>
      <w:r w:rsidR="00986A9E">
        <w:rPr>
          <w:rStyle w:val="FootnoteReference"/>
          <w:rFonts w:ascii="Arial" w:hAnsi="Arial" w:cs="Arial"/>
          <w:lang w:val="en-US"/>
        </w:rPr>
        <w:footnoteReference w:id="87"/>
      </w:r>
      <w:r w:rsidR="00E9739B">
        <w:rPr>
          <w:rFonts w:ascii="Arial" w:hAnsi="Arial" w:cs="Arial"/>
          <w:lang w:val="en-US"/>
        </w:rPr>
        <w:t xml:space="preserve">  As things stand, the </w:t>
      </w:r>
      <w:r w:rsidR="009F6FAC">
        <w:rPr>
          <w:rFonts w:ascii="Arial" w:hAnsi="Arial" w:cs="Arial"/>
          <w:lang w:val="en-US"/>
        </w:rPr>
        <w:t xml:space="preserve">doctrine of indirect effect </w:t>
      </w:r>
      <w:r w:rsidR="00961F51">
        <w:rPr>
          <w:rFonts w:ascii="Arial" w:hAnsi="Arial" w:cs="Arial"/>
          <w:lang w:val="en-US"/>
        </w:rPr>
        <w:t xml:space="preserve">would compel the </w:t>
      </w:r>
      <w:r w:rsidR="00E9739B">
        <w:rPr>
          <w:rFonts w:ascii="Arial" w:hAnsi="Arial" w:cs="Arial"/>
          <w:lang w:val="en-US"/>
        </w:rPr>
        <w:t xml:space="preserve">UK courts to apply the objective test.  However, in a post-Brexit rerun, </w:t>
      </w:r>
      <w:r w:rsidR="008E7579">
        <w:rPr>
          <w:rFonts w:ascii="Arial" w:hAnsi="Arial" w:cs="Arial"/>
          <w:lang w:val="en-US"/>
        </w:rPr>
        <w:t xml:space="preserve">can </w:t>
      </w:r>
      <w:r w:rsidR="00E9739B" w:rsidRPr="00E9739B">
        <w:rPr>
          <w:rFonts w:ascii="Arial" w:hAnsi="Arial" w:cs="Arial"/>
        </w:rPr>
        <w:t xml:space="preserve">it </w:t>
      </w:r>
      <w:r w:rsidR="009F6FAC">
        <w:rPr>
          <w:rFonts w:ascii="Arial" w:hAnsi="Arial" w:cs="Arial"/>
        </w:rPr>
        <w:t xml:space="preserve">seriously </w:t>
      </w:r>
      <w:r w:rsidR="00E9739B" w:rsidRPr="00E9739B">
        <w:rPr>
          <w:rFonts w:ascii="Arial" w:hAnsi="Arial" w:cs="Arial"/>
        </w:rPr>
        <w:t>be predicted that the opposit</w:t>
      </w:r>
      <w:r w:rsidR="008E7579">
        <w:rPr>
          <w:rFonts w:ascii="Arial" w:hAnsi="Arial" w:cs="Arial"/>
        </w:rPr>
        <w:t xml:space="preserve">e conclusion would be reached?  </w:t>
      </w:r>
      <w:r w:rsidR="00961F51">
        <w:rPr>
          <w:rFonts w:ascii="Arial" w:hAnsi="Arial" w:cs="Arial"/>
        </w:rPr>
        <w:t>If indirect effect no longer applied, p</w:t>
      </w:r>
      <w:r w:rsidR="004A38DA">
        <w:rPr>
          <w:rFonts w:ascii="Arial" w:hAnsi="Arial" w:cs="Arial"/>
        </w:rPr>
        <w:t>resumably the UK court would still need to adopt the</w:t>
      </w:r>
      <w:r w:rsidR="00E9739B" w:rsidRPr="00E9739B">
        <w:rPr>
          <w:rFonts w:ascii="Arial" w:hAnsi="Arial" w:cs="Arial"/>
        </w:rPr>
        <w:t xml:space="preserve"> EU court’s traditionally broad teleological method</w:t>
      </w:r>
      <w:r w:rsidR="004A38DA">
        <w:rPr>
          <w:rFonts w:ascii="Arial" w:hAnsi="Arial" w:cs="Arial"/>
        </w:rPr>
        <w:t xml:space="preserve"> in interpreting a domestic implementation of an EU obligation.</w:t>
      </w:r>
      <w:r w:rsidR="00E9739B" w:rsidRPr="00E9739B">
        <w:rPr>
          <w:rFonts w:ascii="Arial" w:hAnsi="Arial" w:cs="Arial"/>
          <w:vertAlign w:val="superscript"/>
        </w:rPr>
        <w:footnoteReference w:id="88"/>
      </w:r>
      <w:r w:rsidR="00E9739B" w:rsidRPr="00E9739B">
        <w:rPr>
          <w:rFonts w:ascii="Arial" w:hAnsi="Arial" w:cs="Arial"/>
        </w:rPr>
        <w:t xml:space="preserve"> </w:t>
      </w:r>
      <w:r w:rsidR="004A38DA">
        <w:rPr>
          <w:rFonts w:ascii="Arial" w:hAnsi="Arial" w:cs="Arial"/>
        </w:rPr>
        <w:t xml:space="preserve">Even if the national judges did feel empowered to swap the teleological approach </w:t>
      </w:r>
      <w:r w:rsidR="00E9739B" w:rsidRPr="00E9739B">
        <w:rPr>
          <w:rFonts w:ascii="Arial" w:hAnsi="Arial" w:cs="Arial"/>
        </w:rPr>
        <w:t>for the English and Welsh</w:t>
      </w:r>
      <w:r w:rsidR="00E9739B" w:rsidRPr="00E9739B">
        <w:rPr>
          <w:rFonts w:ascii="Arial" w:hAnsi="Arial" w:cs="Arial"/>
          <w:vertAlign w:val="superscript"/>
        </w:rPr>
        <w:footnoteReference w:id="89"/>
      </w:r>
      <w:r w:rsidR="00E9739B" w:rsidRPr="00E9739B">
        <w:rPr>
          <w:rFonts w:ascii="Arial" w:hAnsi="Arial" w:cs="Arial"/>
        </w:rPr>
        <w:t xml:space="preserve"> literal and golden rules</w:t>
      </w:r>
      <w:r w:rsidR="001010D6">
        <w:rPr>
          <w:rFonts w:ascii="Arial" w:hAnsi="Arial" w:cs="Arial"/>
        </w:rPr>
        <w:t>,</w:t>
      </w:r>
      <w:bookmarkStart w:id="25" w:name="Bennion_4th_II"/>
      <w:r w:rsidR="00E40171">
        <w:rPr>
          <w:rStyle w:val="FootnoteReference"/>
          <w:rFonts w:ascii="Arial" w:hAnsi="Arial" w:cs="Arial"/>
        </w:rPr>
        <w:footnoteReference w:id="90"/>
      </w:r>
      <w:bookmarkEnd w:id="25"/>
      <w:r w:rsidR="00E9739B" w:rsidRPr="00E9739B">
        <w:rPr>
          <w:rFonts w:ascii="Arial" w:hAnsi="Arial" w:cs="Arial"/>
        </w:rPr>
        <w:t xml:space="preserve"> </w:t>
      </w:r>
      <w:r w:rsidR="001010D6">
        <w:rPr>
          <w:rFonts w:ascii="Arial" w:hAnsi="Arial" w:cs="Arial"/>
        </w:rPr>
        <w:t>giving the words of the UK law their</w:t>
      </w:r>
      <w:r w:rsidR="00E9739B" w:rsidRPr="00E9739B">
        <w:rPr>
          <w:rFonts w:ascii="Arial" w:hAnsi="Arial" w:cs="Arial"/>
        </w:rPr>
        <w:t xml:space="preserve"> ‘plain meaning,’</w:t>
      </w:r>
      <w:r w:rsidR="00E9739B" w:rsidRPr="00E9739B">
        <w:rPr>
          <w:rFonts w:ascii="Arial" w:hAnsi="Arial" w:cs="Arial"/>
          <w:vertAlign w:val="superscript"/>
        </w:rPr>
        <w:footnoteReference w:id="91"/>
      </w:r>
      <w:r w:rsidR="00E9739B" w:rsidRPr="00E9739B">
        <w:rPr>
          <w:rFonts w:ascii="Arial" w:hAnsi="Arial" w:cs="Arial"/>
        </w:rPr>
        <w:t xml:space="preserve"> </w:t>
      </w:r>
      <w:r w:rsidR="001010D6">
        <w:rPr>
          <w:rFonts w:ascii="Arial" w:hAnsi="Arial" w:cs="Arial"/>
        </w:rPr>
        <w:t>and interpreting them in such a way as</w:t>
      </w:r>
      <w:r w:rsidR="00E9739B" w:rsidRPr="00E9739B">
        <w:rPr>
          <w:rFonts w:ascii="Arial" w:hAnsi="Arial" w:cs="Arial"/>
        </w:rPr>
        <w:t xml:space="preserve"> ‘best declare</w:t>
      </w:r>
      <w:r w:rsidR="001010D6">
        <w:rPr>
          <w:rFonts w:ascii="Arial" w:hAnsi="Arial" w:cs="Arial"/>
        </w:rPr>
        <w:t>[s]</w:t>
      </w:r>
      <w:r w:rsidR="00E9739B" w:rsidRPr="00E9739B">
        <w:rPr>
          <w:rFonts w:ascii="Arial" w:hAnsi="Arial" w:cs="Arial"/>
        </w:rPr>
        <w:t xml:space="preserve"> the intention of the lawgiver</w:t>
      </w:r>
      <w:r w:rsidR="001010D6">
        <w:rPr>
          <w:rFonts w:ascii="Arial" w:hAnsi="Arial" w:cs="Arial"/>
        </w:rPr>
        <w:t>,</w:t>
      </w:r>
      <w:r w:rsidR="00E9739B" w:rsidRPr="00E9739B">
        <w:rPr>
          <w:rFonts w:ascii="Arial" w:hAnsi="Arial" w:cs="Arial"/>
        </w:rPr>
        <w:t>’</w:t>
      </w:r>
      <w:r w:rsidR="00E9739B" w:rsidRPr="00E9739B">
        <w:rPr>
          <w:rFonts w:ascii="Arial" w:hAnsi="Arial" w:cs="Arial"/>
          <w:vertAlign w:val="superscript"/>
        </w:rPr>
        <w:footnoteReference w:id="92"/>
      </w:r>
      <w:r w:rsidR="00E9739B" w:rsidRPr="00E9739B">
        <w:rPr>
          <w:rFonts w:ascii="Arial" w:hAnsi="Arial" w:cs="Arial"/>
        </w:rPr>
        <w:t xml:space="preserve">  the question </w:t>
      </w:r>
      <w:r w:rsidR="00961F51">
        <w:rPr>
          <w:rFonts w:ascii="Arial" w:hAnsi="Arial" w:cs="Arial"/>
        </w:rPr>
        <w:t>they</w:t>
      </w:r>
      <w:r w:rsidR="00E9739B" w:rsidRPr="00E9739B">
        <w:rPr>
          <w:rFonts w:ascii="Arial" w:hAnsi="Arial" w:cs="Arial"/>
        </w:rPr>
        <w:t xml:space="preserve"> would have to ask themselves would be, ‘What did Parliament intend when it </w:t>
      </w:r>
      <w:r w:rsidR="00961F51">
        <w:rPr>
          <w:rFonts w:ascii="Arial" w:hAnsi="Arial" w:cs="Arial"/>
        </w:rPr>
        <w:t>passed this law</w:t>
      </w:r>
      <w:r w:rsidR="00E9739B" w:rsidRPr="00E9739B">
        <w:rPr>
          <w:rFonts w:ascii="Arial" w:hAnsi="Arial" w:cs="Arial"/>
        </w:rPr>
        <w:t>?’  And of course what Parliament intended was to implement the Direc</w:t>
      </w:r>
      <w:r w:rsidR="00961F51">
        <w:rPr>
          <w:rFonts w:ascii="Arial" w:hAnsi="Arial" w:cs="Arial"/>
        </w:rPr>
        <w:t xml:space="preserve">tive!  This would arguably lead the national judges </w:t>
      </w:r>
      <w:r w:rsidR="00E9739B" w:rsidRPr="00E9739B">
        <w:rPr>
          <w:rFonts w:ascii="Arial" w:hAnsi="Arial" w:cs="Arial"/>
        </w:rPr>
        <w:t xml:space="preserve">right back to the ‘European’ </w:t>
      </w:r>
      <w:r w:rsidR="00961F51">
        <w:rPr>
          <w:rFonts w:ascii="Arial" w:hAnsi="Arial" w:cs="Arial"/>
        </w:rPr>
        <w:t>understanding o</w:t>
      </w:r>
      <w:r w:rsidR="00B25EF1">
        <w:rPr>
          <w:rFonts w:ascii="Arial" w:hAnsi="Arial" w:cs="Arial"/>
        </w:rPr>
        <w:t>f the test to be perfor</w:t>
      </w:r>
      <w:r w:rsidR="00961F51">
        <w:rPr>
          <w:rFonts w:ascii="Arial" w:hAnsi="Arial" w:cs="Arial"/>
        </w:rPr>
        <w:t>m</w:t>
      </w:r>
      <w:r w:rsidR="00B25EF1">
        <w:rPr>
          <w:rFonts w:ascii="Arial" w:hAnsi="Arial" w:cs="Arial"/>
        </w:rPr>
        <w:t>ed</w:t>
      </w:r>
      <w:r w:rsidR="00961F51">
        <w:rPr>
          <w:rFonts w:ascii="Arial" w:hAnsi="Arial" w:cs="Arial"/>
        </w:rPr>
        <w:t>.</w:t>
      </w:r>
    </w:p>
    <w:p w:rsidR="00E9739B" w:rsidRPr="00E9739B" w:rsidRDefault="00E9739B" w:rsidP="00E9739B">
      <w:pPr>
        <w:spacing w:after="0" w:line="240" w:lineRule="auto"/>
        <w:contextualSpacing/>
        <w:jc w:val="both"/>
        <w:rPr>
          <w:rFonts w:ascii="Arial" w:hAnsi="Arial" w:cs="Arial"/>
        </w:rPr>
      </w:pPr>
    </w:p>
    <w:p w:rsidR="009242EB" w:rsidRDefault="00B25EF1" w:rsidP="00985067">
      <w:pPr>
        <w:spacing w:after="0" w:line="240" w:lineRule="auto"/>
        <w:contextualSpacing/>
        <w:jc w:val="both"/>
        <w:rPr>
          <w:rFonts w:ascii="Arial" w:hAnsi="Arial" w:cs="Arial"/>
        </w:rPr>
      </w:pPr>
      <w:r>
        <w:rPr>
          <w:rFonts w:ascii="Arial" w:hAnsi="Arial" w:cs="Arial"/>
        </w:rPr>
        <w:t>To understand this further, we need to analyse more precisely what ‘legislative intention’ is: what, if anything, does the phrase ‘the in</w:t>
      </w:r>
      <w:r w:rsidR="008E7579">
        <w:rPr>
          <w:rFonts w:ascii="Arial" w:hAnsi="Arial" w:cs="Arial"/>
        </w:rPr>
        <w:t>tention of the lawgiver’ mean?</w:t>
      </w:r>
    </w:p>
    <w:p w:rsidR="008E7579" w:rsidRDefault="008E7579" w:rsidP="00985067">
      <w:pPr>
        <w:spacing w:after="0" w:line="240" w:lineRule="auto"/>
        <w:contextualSpacing/>
        <w:jc w:val="both"/>
        <w:rPr>
          <w:rFonts w:ascii="Arial" w:hAnsi="Arial" w:cs="Arial"/>
        </w:rPr>
      </w:pPr>
    </w:p>
    <w:p w:rsidR="00E47230" w:rsidRPr="009242EB" w:rsidRDefault="009242EB" w:rsidP="00985067">
      <w:pPr>
        <w:spacing w:after="0" w:line="240" w:lineRule="auto"/>
        <w:contextualSpacing/>
        <w:jc w:val="both"/>
        <w:rPr>
          <w:rFonts w:ascii="Arial" w:hAnsi="Arial" w:cs="Arial"/>
        </w:rPr>
      </w:pPr>
      <w:r w:rsidRPr="009242EB">
        <w:rPr>
          <w:rFonts w:ascii="Arial" w:hAnsi="Arial" w:cs="Arial"/>
          <w:b/>
        </w:rPr>
        <w:t>T</w:t>
      </w:r>
      <w:r w:rsidR="00A54CD3">
        <w:rPr>
          <w:rFonts w:ascii="Arial" w:hAnsi="Arial" w:cs="Arial"/>
          <w:b/>
          <w:lang w:val="en-US"/>
        </w:rPr>
        <w:t xml:space="preserve">he </w:t>
      </w:r>
      <w:r w:rsidR="00326151">
        <w:rPr>
          <w:rFonts w:ascii="Arial" w:hAnsi="Arial" w:cs="Arial"/>
          <w:b/>
          <w:lang w:val="en-US"/>
        </w:rPr>
        <w:t>intention of the lawgiver</w:t>
      </w:r>
      <w:r w:rsidR="00D847F9">
        <w:rPr>
          <w:rFonts w:ascii="Arial" w:hAnsi="Arial" w:cs="Arial"/>
          <w:b/>
          <w:lang w:val="en-US"/>
        </w:rPr>
        <w:t>: O</w:t>
      </w:r>
      <w:r w:rsidR="0022245B">
        <w:rPr>
          <w:rFonts w:ascii="Arial" w:hAnsi="Arial" w:cs="Arial"/>
          <w:b/>
          <w:lang w:val="en-US"/>
        </w:rPr>
        <w:t xml:space="preserve">rthodox </w:t>
      </w:r>
      <w:r w:rsidR="0088457C">
        <w:rPr>
          <w:rFonts w:ascii="Arial" w:hAnsi="Arial" w:cs="Arial"/>
          <w:b/>
          <w:lang w:val="en-US"/>
        </w:rPr>
        <w:t xml:space="preserve">and liberal </w:t>
      </w:r>
      <w:r w:rsidR="0022245B">
        <w:rPr>
          <w:rFonts w:ascii="Arial" w:hAnsi="Arial" w:cs="Arial"/>
          <w:b/>
          <w:lang w:val="en-US"/>
        </w:rPr>
        <w:t>position</w:t>
      </w:r>
      <w:r w:rsidR="0088457C">
        <w:rPr>
          <w:rFonts w:ascii="Arial" w:hAnsi="Arial" w:cs="Arial"/>
          <w:b/>
          <w:lang w:val="en-US"/>
        </w:rPr>
        <w:t>s</w:t>
      </w:r>
    </w:p>
    <w:p w:rsidR="00E47230" w:rsidRDefault="00E47230" w:rsidP="00985067">
      <w:pPr>
        <w:spacing w:after="0" w:line="240" w:lineRule="auto"/>
        <w:contextualSpacing/>
        <w:jc w:val="both"/>
        <w:rPr>
          <w:rFonts w:ascii="Arial" w:hAnsi="Arial" w:cs="Arial"/>
          <w:lang w:val="en-US"/>
        </w:rPr>
      </w:pPr>
    </w:p>
    <w:p w:rsidR="005928F4" w:rsidRDefault="00190E11" w:rsidP="00985067">
      <w:pPr>
        <w:spacing w:after="0" w:line="240" w:lineRule="auto"/>
        <w:contextualSpacing/>
        <w:jc w:val="both"/>
        <w:rPr>
          <w:rFonts w:ascii="Arial" w:hAnsi="Arial" w:cs="Arial"/>
          <w:lang w:val="en-US"/>
        </w:rPr>
      </w:pPr>
      <w:r>
        <w:rPr>
          <w:rFonts w:ascii="Arial" w:hAnsi="Arial" w:cs="Arial"/>
          <w:lang w:val="en-US"/>
        </w:rPr>
        <w:t>This phras</w:t>
      </w:r>
      <w:r w:rsidR="00BE42D8">
        <w:rPr>
          <w:rFonts w:ascii="Arial" w:hAnsi="Arial" w:cs="Arial"/>
          <w:lang w:val="en-US"/>
        </w:rPr>
        <w:t>e</w:t>
      </w:r>
      <w:r>
        <w:rPr>
          <w:rFonts w:ascii="Arial" w:hAnsi="Arial" w:cs="Arial"/>
          <w:lang w:val="en-US"/>
        </w:rPr>
        <w:t xml:space="preserve"> is often coined when discussing the judiciary’s obligation, in </w:t>
      </w:r>
      <w:r w:rsidR="005928F4">
        <w:rPr>
          <w:rFonts w:ascii="Arial" w:hAnsi="Arial" w:cs="Arial"/>
          <w:lang w:val="en-US"/>
        </w:rPr>
        <w:t>interpreting</w:t>
      </w:r>
      <w:r>
        <w:rPr>
          <w:rFonts w:ascii="Arial" w:hAnsi="Arial" w:cs="Arial"/>
          <w:lang w:val="en-US"/>
        </w:rPr>
        <w:t xml:space="preserve"> statutes, to giv</w:t>
      </w:r>
      <w:r w:rsidR="00A54CD3">
        <w:rPr>
          <w:rFonts w:ascii="Arial" w:hAnsi="Arial" w:cs="Arial"/>
          <w:lang w:val="en-US"/>
        </w:rPr>
        <w:t>e effect to Parliament’s will.  It is worth quoting Lord Tindal</w:t>
      </w:r>
      <w:r w:rsidR="004210B9">
        <w:rPr>
          <w:rFonts w:ascii="Arial" w:hAnsi="Arial" w:cs="Arial"/>
          <w:lang w:val="en-US"/>
        </w:rPr>
        <w:t>’s dictum</w:t>
      </w:r>
      <w:r w:rsidR="00A54CD3">
        <w:rPr>
          <w:rFonts w:ascii="Arial" w:hAnsi="Arial" w:cs="Arial"/>
          <w:lang w:val="en-US"/>
        </w:rPr>
        <w:t xml:space="preserve"> in the </w:t>
      </w:r>
      <w:r w:rsidR="00A54CD3" w:rsidRPr="00A54CD3">
        <w:rPr>
          <w:rFonts w:ascii="Arial" w:hAnsi="Arial" w:cs="Arial"/>
          <w:i/>
          <w:lang w:val="en-US"/>
        </w:rPr>
        <w:t>Sussex Peerage Case</w:t>
      </w:r>
      <w:r w:rsidR="004210B9">
        <w:rPr>
          <w:rFonts w:ascii="Arial" w:hAnsi="Arial" w:cs="Arial"/>
          <w:lang w:val="en-US"/>
        </w:rPr>
        <w:t>, which might be deemed the orthodox position, in full:</w:t>
      </w:r>
    </w:p>
    <w:p w:rsidR="005928F4" w:rsidRDefault="005928F4" w:rsidP="00985067">
      <w:pPr>
        <w:spacing w:after="0" w:line="240" w:lineRule="auto"/>
        <w:contextualSpacing/>
        <w:jc w:val="both"/>
        <w:rPr>
          <w:rFonts w:ascii="Arial" w:hAnsi="Arial" w:cs="Arial"/>
          <w:lang w:val="en-US"/>
        </w:rPr>
      </w:pPr>
    </w:p>
    <w:p w:rsidR="005928F4" w:rsidRDefault="005928F4" w:rsidP="005928F4">
      <w:pPr>
        <w:spacing w:after="0" w:line="240" w:lineRule="auto"/>
        <w:ind w:left="720"/>
        <w:contextualSpacing/>
        <w:rPr>
          <w:rFonts w:ascii="Arial" w:hAnsi="Arial" w:cs="Arial"/>
          <w:lang w:val="en-US"/>
        </w:rPr>
      </w:pPr>
      <w:r w:rsidRPr="005928F4">
        <w:rPr>
          <w:rFonts w:ascii="Arial" w:hAnsi="Arial" w:cs="Arial"/>
          <w:i/>
        </w:rPr>
        <w:lastRenderedPageBreak/>
        <w:t>The only rule for the construction of Acts of Parliament is that they should be construed according to the intent of the Parliament which passed the Act. If the words of the statute are in themselves precise and unambiguous, then no more can be necessary than to expound those words in their natural and ordinary sense.</w:t>
      </w:r>
      <w:r>
        <w:rPr>
          <w:rFonts w:ascii="Arial" w:hAnsi="Arial" w:cs="Arial"/>
          <w:i/>
        </w:rPr>
        <w:t xml:space="preserve"> </w:t>
      </w:r>
      <w:r w:rsidRPr="005928F4">
        <w:rPr>
          <w:rFonts w:ascii="Arial" w:hAnsi="Arial" w:cs="Arial"/>
          <w:i/>
        </w:rPr>
        <w:t>The words themselves alone do, in such case, best declare the intention of the lawgiver.</w:t>
      </w:r>
      <w:r>
        <w:rPr>
          <w:rStyle w:val="FootnoteReference"/>
          <w:rFonts w:ascii="Arial" w:hAnsi="Arial" w:cs="Arial"/>
        </w:rPr>
        <w:footnoteReference w:id="93"/>
      </w:r>
    </w:p>
    <w:p w:rsidR="005928F4" w:rsidRDefault="005928F4" w:rsidP="00985067">
      <w:pPr>
        <w:spacing w:after="0" w:line="240" w:lineRule="auto"/>
        <w:contextualSpacing/>
        <w:jc w:val="both"/>
        <w:rPr>
          <w:rFonts w:ascii="Arial" w:hAnsi="Arial" w:cs="Arial"/>
          <w:lang w:val="en-US"/>
        </w:rPr>
      </w:pPr>
    </w:p>
    <w:p w:rsidR="0026278E" w:rsidRDefault="004210B9" w:rsidP="00985067">
      <w:pPr>
        <w:spacing w:after="0" w:line="240" w:lineRule="auto"/>
        <w:contextualSpacing/>
        <w:jc w:val="both"/>
        <w:rPr>
          <w:rFonts w:ascii="Arial" w:hAnsi="Arial" w:cs="Arial"/>
          <w:lang w:val="en-US"/>
        </w:rPr>
      </w:pPr>
      <w:r>
        <w:rPr>
          <w:rFonts w:ascii="Arial" w:hAnsi="Arial" w:cs="Arial"/>
          <w:lang w:val="en-US"/>
        </w:rPr>
        <w:t>According to the orthodox position, then, j</w:t>
      </w:r>
      <w:r w:rsidR="00647CFB">
        <w:rPr>
          <w:rFonts w:ascii="Arial" w:hAnsi="Arial" w:cs="Arial"/>
          <w:lang w:val="en-US"/>
        </w:rPr>
        <w:t>udges are expected to give the words emanating from Parliament their literal meaning (the ‘</w:t>
      </w:r>
      <w:proofErr w:type="spellStart"/>
      <w:r w:rsidR="00647CFB">
        <w:rPr>
          <w:rFonts w:ascii="Arial" w:hAnsi="Arial" w:cs="Arial"/>
          <w:lang w:val="en-US"/>
        </w:rPr>
        <w:t>ipsissima</w:t>
      </w:r>
      <w:proofErr w:type="spellEnd"/>
      <w:r w:rsidR="00647CFB">
        <w:rPr>
          <w:rFonts w:ascii="Arial" w:hAnsi="Arial" w:cs="Arial"/>
          <w:lang w:val="en-US"/>
        </w:rPr>
        <w:t xml:space="preserve"> </w:t>
      </w:r>
      <w:proofErr w:type="spellStart"/>
      <w:r w:rsidR="00647CFB">
        <w:rPr>
          <w:rFonts w:ascii="Arial" w:hAnsi="Arial" w:cs="Arial"/>
          <w:lang w:val="en-US"/>
        </w:rPr>
        <w:t>verba</w:t>
      </w:r>
      <w:proofErr w:type="spellEnd"/>
      <w:r w:rsidR="00647CFB">
        <w:rPr>
          <w:rFonts w:ascii="Arial" w:hAnsi="Arial" w:cs="Arial"/>
          <w:lang w:val="en-US"/>
        </w:rPr>
        <w:t>’),</w:t>
      </w:r>
      <w:r w:rsidR="00CD12C5">
        <w:rPr>
          <w:rStyle w:val="FootnoteReference"/>
          <w:rFonts w:ascii="Arial" w:hAnsi="Arial" w:cs="Arial"/>
          <w:lang w:val="en-US"/>
        </w:rPr>
        <w:footnoteReference w:id="94"/>
      </w:r>
      <w:r w:rsidR="00647CFB">
        <w:rPr>
          <w:rFonts w:ascii="Arial" w:hAnsi="Arial" w:cs="Arial"/>
          <w:lang w:val="en-US"/>
        </w:rPr>
        <w:t xml:space="preserve"> and, as </w:t>
      </w:r>
      <w:r w:rsidR="00A54CD3">
        <w:rPr>
          <w:rFonts w:ascii="Arial" w:hAnsi="Arial" w:cs="Arial"/>
          <w:lang w:val="en-US"/>
        </w:rPr>
        <w:t xml:space="preserve">Lord </w:t>
      </w:r>
      <w:r w:rsidR="00647CFB">
        <w:rPr>
          <w:rFonts w:ascii="Arial" w:hAnsi="Arial" w:cs="Arial"/>
          <w:lang w:val="en-US"/>
        </w:rPr>
        <w:t xml:space="preserve">Tindal points out in the quotation above, the words – once given such meaning – are declaratory of Parliament’s will, without more.  </w:t>
      </w:r>
      <w:r w:rsidR="005C3CEC">
        <w:rPr>
          <w:rFonts w:ascii="Arial" w:hAnsi="Arial" w:cs="Arial"/>
          <w:lang w:val="en-US"/>
        </w:rPr>
        <w:t xml:space="preserve">As a result, </w:t>
      </w:r>
      <w:r w:rsidR="003E3FA9">
        <w:rPr>
          <w:rFonts w:ascii="Arial" w:hAnsi="Arial" w:cs="Arial"/>
          <w:lang w:val="en-US"/>
        </w:rPr>
        <w:t>judgment will be given based on that</w:t>
      </w:r>
      <w:r w:rsidR="005C3CEC">
        <w:rPr>
          <w:rFonts w:ascii="Arial" w:hAnsi="Arial" w:cs="Arial"/>
          <w:lang w:val="en-US"/>
        </w:rPr>
        <w:t xml:space="preserve"> meaning</w:t>
      </w:r>
      <w:r w:rsidR="003E3FA9">
        <w:rPr>
          <w:rFonts w:ascii="Arial" w:hAnsi="Arial" w:cs="Arial"/>
          <w:lang w:val="en-US"/>
        </w:rPr>
        <w:t xml:space="preserve"> </w:t>
      </w:r>
      <w:r w:rsidR="00A36D8C">
        <w:rPr>
          <w:rFonts w:ascii="Arial" w:hAnsi="Arial" w:cs="Arial"/>
          <w:lang w:val="en-US"/>
        </w:rPr>
        <w:t>irrespective of the consequences</w:t>
      </w:r>
      <w:r w:rsidR="003E3FA9">
        <w:rPr>
          <w:rFonts w:ascii="Arial" w:hAnsi="Arial" w:cs="Arial"/>
          <w:lang w:val="en-US"/>
        </w:rPr>
        <w:t>.</w:t>
      </w:r>
      <w:r w:rsidR="003E3FA9">
        <w:rPr>
          <w:rStyle w:val="FootnoteReference"/>
          <w:rFonts w:ascii="Arial" w:hAnsi="Arial" w:cs="Arial"/>
          <w:lang w:val="en-US"/>
        </w:rPr>
        <w:footnoteReference w:id="95"/>
      </w:r>
      <w:r w:rsidR="00496413">
        <w:rPr>
          <w:rFonts w:ascii="Arial" w:hAnsi="Arial" w:cs="Arial"/>
          <w:lang w:val="en-US"/>
        </w:rPr>
        <w:t xml:space="preserve">  </w:t>
      </w:r>
      <w:r w:rsidR="00190E11">
        <w:rPr>
          <w:rFonts w:ascii="Arial" w:hAnsi="Arial" w:cs="Arial"/>
          <w:lang w:val="en-US"/>
        </w:rPr>
        <w:t xml:space="preserve">What does </w:t>
      </w:r>
      <w:r w:rsidR="00190E11" w:rsidRPr="005C3CEC">
        <w:rPr>
          <w:rFonts w:ascii="Arial" w:hAnsi="Arial" w:cs="Arial"/>
          <w:i/>
          <w:lang w:val="en-US"/>
        </w:rPr>
        <w:t>not</w:t>
      </w:r>
      <w:r w:rsidR="00190E11">
        <w:rPr>
          <w:rFonts w:ascii="Arial" w:hAnsi="Arial" w:cs="Arial"/>
          <w:lang w:val="en-US"/>
        </w:rPr>
        <w:t xml:space="preserve"> form part of the </w:t>
      </w:r>
      <w:r w:rsidR="005C3CEC">
        <w:rPr>
          <w:rFonts w:ascii="Arial" w:hAnsi="Arial" w:cs="Arial"/>
          <w:lang w:val="en-US"/>
        </w:rPr>
        <w:t xml:space="preserve">judicial </w:t>
      </w:r>
      <w:r w:rsidR="00190E11">
        <w:rPr>
          <w:rFonts w:ascii="Arial" w:hAnsi="Arial" w:cs="Arial"/>
          <w:lang w:val="en-US"/>
        </w:rPr>
        <w:t xml:space="preserve">obligation, though, is working out what </w:t>
      </w:r>
      <w:r w:rsidR="005C3CEC">
        <w:rPr>
          <w:rFonts w:ascii="Arial" w:hAnsi="Arial" w:cs="Arial"/>
          <w:lang w:val="en-US"/>
        </w:rPr>
        <w:t>Parliament’s</w:t>
      </w:r>
      <w:r w:rsidR="00190E11">
        <w:rPr>
          <w:rFonts w:ascii="Arial" w:hAnsi="Arial" w:cs="Arial"/>
          <w:lang w:val="en-US"/>
        </w:rPr>
        <w:t xml:space="preserve"> will </w:t>
      </w:r>
      <w:r w:rsidR="00190E11" w:rsidRPr="005C3CEC">
        <w:rPr>
          <w:rFonts w:ascii="Arial" w:hAnsi="Arial" w:cs="Arial"/>
          <w:i/>
          <w:lang w:val="en-US"/>
        </w:rPr>
        <w:t>in fact was</w:t>
      </w:r>
      <w:r w:rsidR="002343A8">
        <w:rPr>
          <w:rFonts w:ascii="Arial" w:hAnsi="Arial" w:cs="Arial"/>
          <w:lang w:val="en-US"/>
        </w:rPr>
        <w:t>, or at least not where that will is, or is suspected to be, any other than that which is arrived at by ‘</w:t>
      </w:r>
      <w:proofErr w:type="spellStart"/>
      <w:r w:rsidR="002343A8">
        <w:rPr>
          <w:rFonts w:ascii="Arial" w:hAnsi="Arial" w:cs="Arial"/>
          <w:lang w:val="en-US"/>
        </w:rPr>
        <w:t>giv</w:t>
      </w:r>
      <w:proofErr w:type="spellEnd"/>
      <w:r w:rsidR="002343A8">
        <w:rPr>
          <w:rFonts w:ascii="Arial" w:hAnsi="Arial" w:cs="Arial"/>
          <w:lang w:val="en-US"/>
        </w:rPr>
        <w:t>[</w:t>
      </w:r>
      <w:proofErr w:type="spellStart"/>
      <w:r w:rsidR="002343A8">
        <w:rPr>
          <w:rFonts w:ascii="Arial" w:hAnsi="Arial" w:cs="Arial"/>
          <w:lang w:val="en-US"/>
        </w:rPr>
        <w:t>ing</w:t>
      </w:r>
      <w:proofErr w:type="spellEnd"/>
      <w:r w:rsidR="002343A8">
        <w:rPr>
          <w:rFonts w:ascii="Arial" w:hAnsi="Arial" w:cs="Arial"/>
          <w:lang w:val="en-US"/>
        </w:rPr>
        <w:t>] effect to [the statute’s] plain meaning.’</w:t>
      </w:r>
      <w:r w:rsidR="002343A8">
        <w:rPr>
          <w:rStyle w:val="FootnoteReference"/>
          <w:rFonts w:ascii="Arial" w:hAnsi="Arial" w:cs="Arial"/>
          <w:lang w:val="en-US"/>
        </w:rPr>
        <w:footnoteReference w:id="96"/>
      </w:r>
      <w:r w:rsidR="00190E11">
        <w:rPr>
          <w:rFonts w:ascii="Arial" w:hAnsi="Arial" w:cs="Arial"/>
          <w:lang w:val="en-US"/>
        </w:rPr>
        <w:t xml:space="preserve"> </w:t>
      </w:r>
      <w:r w:rsidR="0026278E">
        <w:rPr>
          <w:rFonts w:ascii="Arial" w:hAnsi="Arial" w:cs="Arial"/>
          <w:lang w:val="en-US"/>
        </w:rPr>
        <w:t>As Lord Reid puts it:</w:t>
      </w:r>
    </w:p>
    <w:p w:rsidR="0026278E" w:rsidRDefault="0026278E" w:rsidP="00985067">
      <w:pPr>
        <w:spacing w:after="0" w:line="240" w:lineRule="auto"/>
        <w:contextualSpacing/>
        <w:jc w:val="both"/>
        <w:rPr>
          <w:rFonts w:ascii="Arial" w:hAnsi="Arial" w:cs="Arial"/>
          <w:lang w:val="en-US"/>
        </w:rPr>
      </w:pPr>
    </w:p>
    <w:p w:rsidR="0026278E" w:rsidRPr="00D73704" w:rsidRDefault="0026278E" w:rsidP="0026278E">
      <w:pPr>
        <w:spacing w:after="0" w:line="240" w:lineRule="auto"/>
        <w:ind w:left="720"/>
        <w:contextualSpacing/>
        <w:rPr>
          <w:rFonts w:ascii="Arial" w:hAnsi="Arial" w:cs="Arial"/>
          <w:lang w:val="en-US"/>
        </w:rPr>
      </w:pPr>
      <w:r w:rsidRPr="0026278E">
        <w:rPr>
          <w:rFonts w:ascii="Arial" w:hAnsi="Arial" w:cs="Arial"/>
          <w:i/>
        </w:rPr>
        <w:t>We often say that we are looking for the intention of Parliament, but that is not quite accurate. We are seeking the meaning of the words which Parliament used. We are seeking not what Parliament meant but the true meaning of what they said.</w:t>
      </w:r>
      <w:r w:rsidR="00D73704">
        <w:rPr>
          <w:rStyle w:val="FootnoteReference"/>
          <w:rFonts w:ascii="Arial" w:hAnsi="Arial" w:cs="Arial"/>
          <w:i/>
        </w:rPr>
        <w:footnoteReference w:id="97"/>
      </w:r>
    </w:p>
    <w:p w:rsidR="0026278E" w:rsidRPr="0026278E" w:rsidRDefault="0026278E" w:rsidP="00985067">
      <w:pPr>
        <w:spacing w:after="0" w:line="240" w:lineRule="auto"/>
        <w:contextualSpacing/>
        <w:jc w:val="both"/>
        <w:rPr>
          <w:rFonts w:ascii="Arial" w:hAnsi="Arial" w:cs="Arial"/>
          <w:i/>
          <w:lang w:val="en-US"/>
        </w:rPr>
      </w:pPr>
    </w:p>
    <w:p w:rsidR="00D847F9" w:rsidRDefault="0022245B" w:rsidP="00381797">
      <w:pPr>
        <w:spacing w:after="0" w:line="240" w:lineRule="auto"/>
        <w:contextualSpacing/>
        <w:jc w:val="both"/>
        <w:rPr>
          <w:rFonts w:ascii="Arial" w:hAnsi="Arial" w:cs="Arial"/>
          <w:lang w:val="en-US"/>
        </w:rPr>
      </w:pPr>
      <w:r>
        <w:rPr>
          <w:rFonts w:ascii="Arial" w:hAnsi="Arial" w:cs="Arial"/>
          <w:lang w:val="en-US"/>
        </w:rPr>
        <w:t>It</w:t>
      </w:r>
      <w:r w:rsidR="006B1DCE">
        <w:rPr>
          <w:rFonts w:ascii="Arial" w:hAnsi="Arial" w:cs="Arial"/>
          <w:lang w:val="en-US"/>
        </w:rPr>
        <w:t xml:space="preserve"> is important to point out</w:t>
      </w:r>
      <w:r w:rsidR="008B7A78">
        <w:rPr>
          <w:rFonts w:ascii="Arial" w:hAnsi="Arial" w:cs="Arial"/>
          <w:lang w:val="en-US"/>
        </w:rPr>
        <w:t>, though,</w:t>
      </w:r>
      <w:r w:rsidR="006B1DCE">
        <w:rPr>
          <w:rFonts w:ascii="Arial" w:hAnsi="Arial" w:cs="Arial"/>
          <w:lang w:val="en-US"/>
        </w:rPr>
        <w:t xml:space="preserve"> that the orthodox</w:t>
      </w:r>
      <w:r w:rsidR="004210B9">
        <w:rPr>
          <w:rFonts w:ascii="Arial" w:hAnsi="Arial" w:cs="Arial"/>
          <w:lang w:val="en-US"/>
        </w:rPr>
        <w:t xml:space="preserve"> position is not the only position which it is possible to take.  Others have</w:t>
      </w:r>
      <w:r w:rsidR="00C744BA">
        <w:rPr>
          <w:rFonts w:ascii="Arial" w:hAnsi="Arial" w:cs="Arial"/>
          <w:lang w:val="en-US"/>
        </w:rPr>
        <w:t xml:space="preserve"> been prepared to regard meaning as a much more flexible, fluid tool</w:t>
      </w:r>
      <w:r w:rsidR="006B1DCE">
        <w:rPr>
          <w:rFonts w:ascii="Arial" w:hAnsi="Arial" w:cs="Arial"/>
          <w:lang w:val="en-US"/>
        </w:rPr>
        <w:t xml:space="preserve">.  </w:t>
      </w:r>
      <w:r w:rsidR="00785B52">
        <w:rPr>
          <w:rFonts w:ascii="Arial" w:hAnsi="Arial" w:cs="Arial"/>
          <w:lang w:val="en-US"/>
        </w:rPr>
        <w:t xml:space="preserve">In 1832, the Lord Chancellor in the </w:t>
      </w:r>
      <w:r w:rsidR="00785B52" w:rsidRPr="00CD0D05">
        <w:rPr>
          <w:rFonts w:ascii="Arial" w:hAnsi="Arial" w:cs="Arial"/>
          <w:i/>
          <w:lang w:val="en-US"/>
        </w:rPr>
        <w:t>Earl of Waterford’s Claim</w:t>
      </w:r>
      <w:r w:rsidR="00785B52">
        <w:rPr>
          <w:rFonts w:ascii="Arial" w:hAnsi="Arial" w:cs="Arial"/>
          <w:lang w:val="en-US"/>
        </w:rPr>
        <w:t xml:space="preserve"> noted how the literal meaning of a statute became distorted through the accretion of successive judicial interpretations, </w:t>
      </w:r>
      <w:r w:rsidR="00CD0D05">
        <w:rPr>
          <w:rFonts w:ascii="Arial" w:hAnsi="Arial" w:cs="Arial"/>
          <w:lang w:val="en-US"/>
        </w:rPr>
        <w:t xml:space="preserve">‘each going a little and a little further,’ </w:t>
      </w:r>
      <w:r w:rsidR="00785B52">
        <w:rPr>
          <w:rFonts w:ascii="Arial" w:hAnsi="Arial" w:cs="Arial"/>
          <w:lang w:val="en-US"/>
        </w:rPr>
        <w:t xml:space="preserve">but, far from calling for the literal meaning to be restored, he regarded these successive interpretations as ‘all but imported into the words of the Act,’ even where </w:t>
      </w:r>
      <w:r w:rsidR="00CD0D05">
        <w:rPr>
          <w:rFonts w:ascii="Arial" w:hAnsi="Arial" w:cs="Arial"/>
          <w:lang w:val="en-US"/>
        </w:rPr>
        <w:t>the courts had ended up with a ‘construction widely different’ from the original literal one.</w:t>
      </w:r>
      <w:r w:rsidR="00CD0D05">
        <w:rPr>
          <w:rStyle w:val="FootnoteReference"/>
          <w:rFonts w:ascii="Arial" w:hAnsi="Arial" w:cs="Arial"/>
          <w:lang w:val="en-US"/>
        </w:rPr>
        <w:footnoteReference w:id="98"/>
      </w:r>
      <w:r w:rsidR="00070D8F">
        <w:rPr>
          <w:rFonts w:ascii="Arial" w:hAnsi="Arial" w:cs="Arial"/>
          <w:lang w:val="en-US"/>
        </w:rPr>
        <w:t xml:space="preserve">  This s</w:t>
      </w:r>
      <w:r w:rsidR="00085B30">
        <w:rPr>
          <w:rFonts w:ascii="Arial" w:hAnsi="Arial" w:cs="Arial"/>
          <w:lang w:val="en-US"/>
        </w:rPr>
        <w:t>tep-by-step approach, which Lord Steyn labeled an ‘</w:t>
      </w:r>
      <w:proofErr w:type="spellStart"/>
      <w:r w:rsidR="00085B30">
        <w:rPr>
          <w:rFonts w:ascii="Arial" w:hAnsi="Arial" w:cs="Arial"/>
          <w:lang w:val="en-US"/>
        </w:rPr>
        <w:t>evolutive</w:t>
      </w:r>
      <w:proofErr w:type="spellEnd"/>
      <w:r w:rsidR="00085B30">
        <w:rPr>
          <w:rFonts w:ascii="Arial" w:hAnsi="Arial" w:cs="Arial"/>
          <w:lang w:val="en-US"/>
        </w:rPr>
        <w:t xml:space="preserve"> process,’</w:t>
      </w:r>
      <w:bookmarkStart w:id="26" w:name="Steyn"/>
      <w:r w:rsidR="00085B30">
        <w:rPr>
          <w:rStyle w:val="FootnoteReference"/>
          <w:rFonts w:ascii="Arial" w:hAnsi="Arial" w:cs="Arial"/>
          <w:lang w:val="en-US"/>
        </w:rPr>
        <w:footnoteReference w:id="99"/>
      </w:r>
      <w:bookmarkEnd w:id="26"/>
      <w:r w:rsidR="00085B30">
        <w:rPr>
          <w:rFonts w:ascii="Arial" w:hAnsi="Arial" w:cs="Arial"/>
          <w:lang w:val="en-US"/>
        </w:rPr>
        <w:t xml:space="preserve"> </w:t>
      </w:r>
      <w:r w:rsidR="00070D8F">
        <w:rPr>
          <w:rFonts w:ascii="Arial" w:hAnsi="Arial" w:cs="Arial"/>
          <w:lang w:val="en-US"/>
        </w:rPr>
        <w:t xml:space="preserve">was also alluded to by Hoffmann J in </w:t>
      </w:r>
      <w:r w:rsidR="00070D8F" w:rsidRPr="00070D8F">
        <w:rPr>
          <w:rFonts w:ascii="Arial" w:hAnsi="Arial" w:cs="Arial"/>
          <w:i/>
          <w:lang w:val="en-US"/>
        </w:rPr>
        <w:t>Stoke-on-Trent v B&amp;Q</w:t>
      </w:r>
      <w:r w:rsidR="00070D8F">
        <w:rPr>
          <w:rFonts w:ascii="Arial" w:hAnsi="Arial" w:cs="Arial"/>
          <w:lang w:val="en-US"/>
        </w:rPr>
        <w:t>, where he commented that ‘every decoding is another encoding.’</w:t>
      </w:r>
      <w:r w:rsidR="00070D8F">
        <w:rPr>
          <w:rStyle w:val="FootnoteReference"/>
          <w:rFonts w:ascii="Arial" w:hAnsi="Arial" w:cs="Arial"/>
          <w:lang w:val="en-US"/>
        </w:rPr>
        <w:footnoteReference w:id="100"/>
      </w:r>
      <w:r w:rsidR="00A93B9D">
        <w:rPr>
          <w:rFonts w:ascii="Arial" w:hAnsi="Arial" w:cs="Arial"/>
          <w:lang w:val="en-US"/>
        </w:rPr>
        <w:t xml:space="preserve">  </w:t>
      </w:r>
      <w:proofErr w:type="spellStart"/>
      <w:r w:rsidR="009A3404">
        <w:rPr>
          <w:rFonts w:ascii="Arial" w:hAnsi="Arial" w:cs="Arial"/>
          <w:lang w:val="en-US"/>
        </w:rPr>
        <w:t>Bennion</w:t>
      </w:r>
      <w:proofErr w:type="spellEnd"/>
      <w:r w:rsidR="009A3404">
        <w:rPr>
          <w:rFonts w:ascii="Arial" w:hAnsi="Arial" w:cs="Arial"/>
          <w:lang w:val="en-US"/>
        </w:rPr>
        <w:t xml:space="preserve"> </w:t>
      </w:r>
      <w:r w:rsidR="00D847F9">
        <w:rPr>
          <w:rFonts w:ascii="Arial" w:hAnsi="Arial" w:cs="Arial"/>
          <w:lang w:val="en-US"/>
        </w:rPr>
        <w:t xml:space="preserve">is also an adherent of the liberal position.  In particular, he criticizes Lord Kerr’s dictum in </w:t>
      </w:r>
      <w:r w:rsidR="00D847F9" w:rsidRPr="004210B9">
        <w:rPr>
          <w:rFonts w:ascii="Arial" w:hAnsi="Arial" w:cs="Arial"/>
          <w:i/>
          <w:lang w:val="en-US"/>
        </w:rPr>
        <w:t>R v London Transport Executive</w:t>
      </w:r>
      <w:r w:rsidR="00D847F9">
        <w:rPr>
          <w:rFonts w:ascii="Arial" w:hAnsi="Arial" w:cs="Arial"/>
          <w:lang w:val="en-US"/>
        </w:rPr>
        <w:t xml:space="preserve">, </w:t>
      </w:r>
      <w:r w:rsidR="008B7A78">
        <w:rPr>
          <w:rFonts w:ascii="Arial" w:hAnsi="Arial" w:cs="Arial"/>
          <w:lang w:val="en-US"/>
        </w:rPr>
        <w:t xml:space="preserve">in </w:t>
      </w:r>
      <w:r w:rsidR="008B7A78">
        <w:rPr>
          <w:rFonts w:ascii="Arial" w:hAnsi="Arial" w:cs="Arial"/>
          <w:lang w:val="en-US"/>
        </w:rPr>
        <w:lastRenderedPageBreak/>
        <w:t>which the latter said that</w:t>
      </w:r>
      <w:r w:rsidR="00D847F9">
        <w:rPr>
          <w:rFonts w:ascii="Arial" w:hAnsi="Arial" w:cs="Arial"/>
          <w:lang w:val="en-US"/>
        </w:rPr>
        <w:t xml:space="preserve">, </w:t>
      </w:r>
      <w:r w:rsidR="008B7A78">
        <w:rPr>
          <w:rFonts w:ascii="Arial" w:hAnsi="Arial" w:cs="Arial"/>
          <w:lang w:val="en-US"/>
        </w:rPr>
        <w:t xml:space="preserve">once the court has interpreted the relevant law, </w:t>
      </w:r>
      <w:r w:rsidR="003E2B1E">
        <w:rPr>
          <w:rFonts w:ascii="Arial" w:hAnsi="Arial" w:cs="Arial"/>
          <w:lang w:val="en-US"/>
        </w:rPr>
        <w:t>‘</w:t>
      </w:r>
      <w:r w:rsidR="007C3457" w:rsidRPr="007C3457">
        <w:rPr>
          <w:rFonts w:ascii="Arial" w:hAnsi="Arial" w:cs="Arial"/>
          <w:lang w:val="en-US"/>
        </w:rPr>
        <w:t>any change</w:t>
      </w:r>
      <w:r w:rsidR="003E2B1E">
        <w:rPr>
          <w:rFonts w:ascii="Arial" w:hAnsi="Arial" w:cs="Arial"/>
          <w:lang w:val="en-US"/>
        </w:rPr>
        <w:t xml:space="preserve"> in the law from its definition… </w:t>
      </w:r>
      <w:r w:rsidR="007C3457" w:rsidRPr="007C3457">
        <w:rPr>
          <w:rFonts w:ascii="Arial" w:hAnsi="Arial" w:cs="Arial"/>
          <w:lang w:val="en-US"/>
        </w:rPr>
        <w:t>again devolves to Parliament alone</w:t>
      </w:r>
      <w:r w:rsidR="003E2B1E">
        <w:rPr>
          <w:rFonts w:ascii="Arial" w:hAnsi="Arial" w:cs="Arial"/>
          <w:lang w:val="en-US"/>
        </w:rPr>
        <w:t>’.</w:t>
      </w:r>
      <w:r w:rsidR="003E2B1E">
        <w:rPr>
          <w:rStyle w:val="FootnoteReference"/>
          <w:rFonts w:ascii="Arial" w:hAnsi="Arial" w:cs="Arial"/>
          <w:lang w:val="en-US"/>
        </w:rPr>
        <w:footnoteReference w:id="101"/>
      </w:r>
      <w:r w:rsidR="003E2B1E" w:rsidRPr="003E2B1E">
        <w:rPr>
          <w:rFonts w:ascii="Arial" w:hAnsi="Arial" w:cs="Arial"/>
          <w:lang w:val="en-US"/>
        </w:rPr>
        <w:t xml:space="preserve"> </w:t>
      </w:r>
      <w:r w:rsidR="003E2B1E">
        <w:rPr>
          <w:rFonts w:ascii="Arial" w:hAnsi="Arial" w:cs="Arial"/>
          <w:lang w:val="en-US"/>
        </w:rPr>
        <w:t xml:space="preserve"> </w:t>
      </w:r>
      <w:proofErr w:type="spellStart"/>
      <w:r w:rsidR="003E2B1E">
        <w:rPr>
          <w:rFonts w:ascii="Arial" w:hAnsi="Arial" w:cs="Arial"/>
          <w:lang w:val="en-US"/>
        </w:rPr>
        <w:t>Bennion</w:t>
      </w:r>
      <w:proofErr w:type="spellEnd"/>
      <w:r w:rsidR="003E2B1E">
        <w:rPr>
          <w:rFonts w:ascii="Arial" w:hAnsi="Arial" w:cs="Arial"/>
          <w:lang w:val="en-US"/>
        </w:rPr>
        <w:t xml:space="preserve"> </w:t>
      </w:r>
      <w:r w:rsidR="00D847F9">
        <w:rPr>
          <w:rFonts w:ascii="Arial" w:hAnsi="Arial" w:cs="Arial"/>
          <w:lang w:val="en-US"/>
        </w:rPr>
        <w:t xml:space="preserve">writes that </w:t>
      </w:r>
      <w:r w:rsidR="003E2B1E">
        <w:rPr>
          <w:rFonts w:ascii="Arial" w:hAnsi="Arial" w:cs="Arial"/>
          <w:lang w:val="en-US"/>
        </w:rPr>
        <w:t xml:space="preserve">this </w:t>
      </w:r>
      <w:r w:rsidR="00D847F9">
        <w:rPr>
          <w:rFonts w:ascii="Arial" w:hAnsi="Arial" w:cs="Arial"/>
          <w:lang w:val="en-US"/>
        </w:rPr>
        <w:t>‘</w:t>
      </w:r>
      <w:r w:rsidR="00D847F9" w:rsidRPr="00D847F9">
        <w:rPr>
          <w:rFonts w:ascii="Arial" w:hAnsi="Arial" w:cs="Arial"/>
          <w:lang w:val="en-US"/>
        </w:rPr>
        <w:t>understates the judicial role</w:t>
      </w:r>
      <w:r w:rsidR="00D847F9">
        <w:rPr>
          <w:rFonts w:ascii="Arial" w:hAnsi="Arial" w:cs="Arial"/>
          <w:lang w:val="en-US"/>
        </w:rPr>
        <w:t>.’</w:t>
      </w:r>
      <w:bookmarkStart w:id="27" w:name="Bennion_4th"/>
      <w:r w:rsidR="00D847F9">
        <w:rPr>
          <w:rStyle w:val="FootnoteReference"/>
          <w:rFonts w:ascii="Arial" w:hAnsi="Arial" w:cs="Arial"/>
          <w:lang w:val="en-US"/>
        </w:rPr>
        <w:footnoteReference w:id="102"/>
      </w:r>
      <w:bookmarkEnd w:id="27"/>
    </w:p>
    <w:p w:rsidR="00D847F9" w:rsidRDefault="00D847F9" w:rsidP="00381797">
      <w:pPr>
        <w:spacing w:after="0" w:line="240" w:lineRule="auto"/>
        <w:contextualSpacing/>
        <w:jc w:val="both"/>
        <w:rPr>
          <w:rFonts w:ascii="Arial" w:hAnsi="Arial" w:cs="Arial"/>
          <w:lang w:val="en-US"/>
        </w:rPr>
      </w:pPr>
    </w:p>
    <w:p w:rsidR="00D847F9" w:rsidRPr="00D847F9" w:rsidRDefault="00D847F9" w:rsidP="00381797">
      <w:pPr>
        <w:spacing w:after="0" w:line="240" w:lineRule="auto"/>
        <w:contextualSpacing/>
        <w:jc w:val="both"/>
        <w:rPr>
          <w:rFonts w:ascii="Arial" w:hAnsi="Arial" w:cs="Arial"/>
        </w:rPr>
      </w:pPr>
      <w:r w:rsidRPr="009242EB">
        <w:rPr>
          <w:rFonts w:ascii="Arial" w:hAnsi="Arial" w:cs="Arial"/>
          <w:b/>
        </w:rPr>
        <w:t>T</w:t>
      </w:r>
      <w:r>
        <w:rPr>
          <w:rFonts w:ascii="Arial" w:hAnsi="Arial" w:cs="Arial"/>
          <w:b/>
          <w:lang w:val="en-US"/>
        </w:rPr>
        <w:t>he intention of the lawgiver: Effect of EU Law</w:t>
      </w:r>
      <w:r w:rsidR="003E2B1E">
        <w:rPr>
          <w:rFonts w:ascii="Arial" w:hAnsi="Arial" w:cs="Arial"/>
          <w:b/>
          <w:lang w:val="en-US"/>
        </w:rPr>
        <w:t xml:space="preserve"> and new orthodoxy after </w:t>
      </w:r>
      <w:proofErr w:type="spellStart"/>
      <w:r w:rsidR="007C3457" w:rsidRPr="007C3457">
        <w:rPr>
          <w:rFonts w:ascii="Arial" w:hAnsi="Arial" w:cs="Arial"/>
          <w:b/>
          <w:i/>
          <w:lang w:val="en-US"/>
        </w:rPr>
        <w:t>Factortame</w:t>
      </w:r>
      <w:proofErr w:type="spellEnd"/>
      <w:r w:rsidR="003E2B1E">
        <w:rPr>
          <w:rFonts w:ascii="Arial" w:hAnsi="Arial" w:cs="Arial"/>
          <w:b/>
          <w:lang w:val="en-US"/>
        </w:rPr>
        <w:t xml:space="preserve"> and </w:t>
      </w:r>
      <w:proofErr w:type="spellStart"/>
      <w:r w:rsidR="007C3457" w:rsidRPr="007C3457">
        <w:rPr>
          <w:rFonts w:ascii="Arial" w:hAnsi="Arial" w:cs="Arial"/>
          <w:b/>
          <w:i/>
          <w:lang w:val="en-US"/>
        </w:rPr>
        <w:t>Thoburn</w:t>
      </w:r>
      <w:proofErr w:type="spellEnd"/>
    </w:p>
    <w:p w:rsidR="00D847F9" w:rsidRDefault="00D847F9" w:rsidP="00381797">
      <w:pPr>
        <w:spacing w:after="0" w:line="240" w:lineRule="auto"/>
        <w:contextualSpacing/>
        <w:jc w:val="both"/>
        <w:rPr>
          <w:rFonts w:ascii="Arial" w:hAnsi="Arial" w:cs="Arial"/>
          <w:lang w:val="en-US"/>
        </w:rPr>
      </w:pPr>
    </w:p>
    <w:p w:rsidR="00AA0786" w:rsidRDefault="00281EEC" w:rsidP="00281EEC">
      <w:pPr>
        <w:spacing w:after="0" w:line="240" w:lineRule="auto"/>
        <w:contextualSpacing/>
        <w:jc w:val="both"/>
        <w:rPr>
          <w:rFonts w:ascii="Arial" w:hAnsi="Arial" w:cs="Arial"/>
          <w:lang w:val="en-US"/>
        </w:rPr>
      </w:pPr>
      <w:r>
        <w:rPr>
          <w:rFonts w:ascii="Arial" w:hAnsi="Arial" w:cs="Arial"/>
          <w:lang w:val="en-US"/>
        </w:rPr>
        <w:t>The need to interpret EU Law, and the legislation implementing it within the UK, led to a major revision in the methods of statutory interpretation utilized in the United Kingdom</w:t>
      </w:r>
      <w:r w:rsidR="00035F98">
        <w:rPr>
          <w:rFonts w:ascii="Arial" w:hAnsi="Arial" w:cs="Arial"/>
          <w:lang w:val="en-US"/>
        </w:rPr>
        <w:t>.</w:t>
      </w:r>
      <w:r>
        <w:rPr>
          <w:rFonts w:ascii="Arial" w:hAnsi="Arial" w:cs="Arial"/>
          <w:lang w:val="en-US"/>
        </w:rPr>
        <w:t xml:space="preserve"> </w:t>
      </w:r>
      <w:r w:rsidR="00035F98">
        <w:rPr>
          <w:rFonts w:ascii="Arial" w:hAnsi="Arial" w:cs="Arial"/>
          <w:lang w:val="en-US"/>
        </w:rPr>
        <w:t xml:space="preserve"> </w:t>
      </w:r>
      <w:r w:rsidR="00AA0786">
        <w:rPr>
          <w:rFonts w:ascii="Arial" w:hAnsi="Arial" w:cs="Arial"/>
          <w:lang w:val="en-US"/>
        </w:rPr>
        <w:t xml:space="preserve">The complex relationship between the at that time new legal system, the UK Parliament, and the UK courts, is well set out by Professor Hood </w:t>
      </w:r>
      <w:proofErr w:type="spellStart"/>
      <w:r w:rsidR="00AA0786">
        <w:rPr>
          <w:rFonts w:ascii="Arial" w:hAnsi="Arial" w:cs="Arial"/>
          <w:lang w:val="en-US"/>
        </w:rPr>
        <w:t>Phillipps</w:t>
      </w:r>
      <w:proofErr w:type="spellEnd"/>
      <w:r w:rsidR="00AA0786">
        <w:rPr>
          <w:rFonts w:ascii="Arial" w:hAnsi="Arial" w:cs="Arial"/>
          <w:lang w:val="en-US"/>
        </w:rPr>
        <w:t>:</w:t>
      </w:r>
    </w:p>
    <w:p w:rsidR="00AA0786" w:rsidRDefault="00AA0786" w:rsidP="00281EEC">
      <w:pPr>
        <w:spacing w:after="0" w:line="240" w:lineRule="auto"/>
        <w:contextualSpacing/>
        <w:jc w:val="both"/>
        <w:rPr>
          <w:rFonts w:ascii="Arial" w:hAnsi="Arial" w:cs="Arial"/>
          <w:lang w:val="en-US"/>
        </w:rPr>
      </w:pPr>
    </w:p>
    <w:p w:rsidR="003C6654" w:rsidRDefault="00035F98" w:rsidP="003C6654">
      <w:pPr>
        <w:spacing w:after="0" w:line="240" w:lineRule="auto"/>
        <w:ind w:left="720"/>
        <w:contextualSpacing/>
        <w:rPr>
          <w:rFonts w:ascii="Arial" w:hAnsi="Arial" w:cs="Arial"/>
        </w:rPr>
      </w:pPr>
      <w:r>
        <w:rPr>
          <w:rFonts w:ascii="Arial" w:hAnsi="Arial" w:cs="Arial"/>
          <w:i/>
        </w:rPr>
        <w:t>[T]</w:t>
      </w:r>
      <w:proofErr w:type="gramStart"/>
      <w:r w:rsidR="003C6654" w:rsidRPr="00FC56A8">
        <w:rPr>
          <w:rFonts w:ascii="Arial" w:hAnsi="Arial" w:cs="Arial"/>
          <w:i/>
        </w:rPr>
        <w:t>he</w:t>
      </w:r>
      <w:proofErr w:type="gramEnd"/>
      <w:r w:rsidR="003C6654" w:rsidRPr="00FC56A8">
        <w:rPr>
          <w:rFonts w:ascii="Arial" w:hAnsi="Arial" w:cs="Arial"/>
          <w:i/>
        </w:rPr>
        <w:t xml:space="preserve"> dualist and pluralist theory adopted by British constitutional law requires the courts of the United Kingdom to look at Community law through the medium of Parliament.</w:t>
      </w:r>
      <w:r>
        <w:rPr>
          <w:rFonts w:ascii="Arial" w:hAnsi="Arial" w:cs="Arial"/>
          <w:i/>
        </w:rPr>
        <w:t>..</w:t>
      </w:r>
      <w:r w:rsidR="003C6654" w:rsidRPr="00FC56A8">
        <w:rPr>
          <w:rFonts w:ascii="Arial" w:hAnsi="Arial" w:cs="Arial"/>
          <w:i/>
        </w:rPr>
        <w:t xml:space="preserve">  The expression “supremacy of Community law,” if used in the context of our domestic law, must refer to construction, not legislative power; to judicial interpretation, not review of validity.  </w:t>
      </w:r>
      <w:r w:rsidR="003C6654">
        <w:rPr>
          <w:rStyle w:val="FootnoteReference"/>
          <w:rFonts w:ascii="Arial" w:hAnsi="Arial" w:cs="Arial"/>
        </w:rPr>
        <w:footnoteReference w:id="103"/>
      </w:r>
    </w:p>
    <w:p w:rsidR="003C6654" w:rsidRDefault="003C6654" w:rsidP="003C6654">
      <w:pPr>
        <w:spacing w:after="0" w:line="240" w:lineRule="auto"/>
        <w:contextualSpacing/>
        <w:jc w:val="both"/>
        <w:rPr>
          <w:rFonts w:ascii="Arial" w:hAnsi="Arial" w:cs="Arial"/>
        </w:rPr>
      </w:pPr>
    </w:p>
    <w:p w:rsidR="00591600" w:rsidRDefault="003C6654" w:rsidP="00CD52C5">
      <w:pPr>
        <w:contextualSpacing/>
        <w:jc w:val="both"/>
        <w:rPr>
          <w:rFonts w:ascii="Arial" w:hAnsi="Arial" w:cs="Arial"/>
          <w:lang w:val="en-US"/>
        </w:rPr>
      </w:pPr>
      <w:r>
        <w:rPr>
          <w:rFonts w:ascii="Arial" w:hAnsi="Arial" w:cs="Arial"/>
          <w:lang w:val="en-US"/>
        </w:rPr>
        <w:t>EU Law having been given its qualified Right to Remain, the j</w:t>
      </w:r>
      <w:r w:rsidR="00591600">
        <w:rPr>
          <w:rFonts w:ascii="Arial" w:hAnsi="Arial" w:cs="Arial"/>
          <w:lang w:val="en-US"/>
        </w:rPr>
        <w:t>udges then had to work out how t</w:t>
      </w:r>
      <w:r>
        <w:rPr>
          <w:rFonts w:ascii="Arial" w:hAnsi="Arial" w:cs="Arial"/>
          <w:lang w:val="en-US"/>
        </w:rPr>
        <w:t xml:space="preserve">o deal with this alien legislation, let alone the interpretations given to it by an alien court.  It is worth noting that, up until that point, foreign law was dealt with as a </w:t>
      </w:r>
      <w:r w:rsidR="00E9711B">
        <w:rPr>
          <w:rFonts w:ascii="Arial" w:hAnsi="Arial" w:cs="Arial"/>
          <w:lang w:val="en-US"/>
        </w:rPr>
        <w:t>question</w:t>
      </w:r>
      <w:r>
        <w:rPr>
          <w:rFonts w:ascii="Arial" w:hAnsi="Arial" w:cs="Arial"/>
          <w:lang w:val="en-US"/>
        </w:rPr>
        <w:t xml:space="preserve"> of fact, not law, </w:t>
      </w:r>
      <w:r w:rsidR="00E9711B">
        <w:rPr>
          <w:rFonts w:ascii="Arial" w:hAnsi="Arial" w:cs="Arial"/>
        </w:rPr>
        <w:t>and as such was to be decided by the judge</w:t>
      </w:r>
      <w:bookmarkStart w:id="28" w:name="Alternative_way_of_looking"/>
      <w:r w:rsidR="003155ED">
        <w:rPr>
          <w:rFonts w:ascii="Arial" w:hAnsi="Arial" w:cs="Arial"/>
        </w:rPr>
        <w:t>.</w:t>
      </w:r>
      <w:bookmarkEnd w:id="28"/>
      <w:r w:rsidR="003155ED">
        <w:rPr>
          <w:rFonts w:ascii="Arial" w:hAnsi="Arial" w:cs="Arial"/>
        </w:rPr>
        <w:t xml:space="preserve">  However, in doing so, the judge still had to keep in mind the </w:t>
      </w:r>
      <w:r w:rsidR="003155ED">
        <w:rPr>
          <w:rFonts w:ascii="Arial" w:hAnsi="Arial" w:cs="Arial"/>
          <w:lang w:val="en-US"/>
        </w:rPr>
        <w:t>presumption that Parliament does not intend to act in breach of international law</w:t>
      </w:r>
      <w:r w:rsidR="00E7594E">
        <w:rPr>
          <w:rFonts w:ascii="Arial" w:hAnsi="Arial" w:cs="Arial"/>
          <w:lang w:val="en-US"/>
        </w:rPr>
        <w:t>,</w:t>
      </w:r>
      <w:r w:rsidR="003155ED">
        <w:rPr>
          <w:rStyle w:val="FootnoteReference"/>
          <w:rFonts w:ascii="Arial" w:hAnsi="Arial" w:cs="Arial"/>
          <w:lang w:val="en-US"/>
        </w:rPr>
        <w:footnoteReference w:id="104"/>
      </w:r>
      <w:r w:rsidR="00E7594E">
        <w:rPr>
          <w:rFonts w:ascii="Arial" w:hAnsi="Arial" w:cs="Arial"/>
          <w:lang w:val="en-US"/>
        </w:rPr>
        <w:t xml:space="preserve"> and that therefore </w:t>
      </w:r>
      <w:r w:rsidR="00591600">
        <w:rPr>
          <w:rFonts w:ascii="Arial" w:hAnsi="Arial" w:cs="Arial"/>
          <w:lang w:val="en-US"/>
        </w:rPr>
        <w:t xml:space="preserve">judicial notice should be taken of the rules of </w:t>
      </w:r>
      <w:r w:rsidR="00E7594E">
        <w:rPr>
          <w:rFonts w:ascii="Arial" w:hAnsi="Arial" w:cs="Arial"/>
          <w:lang w:val="en-US"/>
        </w:rPr>
        <w:t>such law.</w:t>
      </w:r>
      <w:r w:rsidR="00E7594E">
        <w:rPr>
          <w:rStyle w:val="FootnoteReference"/>
          <w:rFonts w:ascii="Arial" w:hAnsi="Arial" w:cs="Arial"/>
          <w:lang w:val="en-US"/>
        </w:rPr>
        <w:footnoteReference w:id="105"/>
      </w:r>
      <w:r w:rsidR="00591600">
        <w:rPr>
          <w:rFonts w:ascii="Arial" w:hAnsi="Arial" w:cs="Arial"/>
          <w:lang w:val="en-US"/>
        </w:rPr>
        <w:t xml:space="preserve">  </w:t>
      </w:r>
      <w:r w:rsidR="00591600" w:rsidRPr="00591600">
        <w:rPr>
          <w:rFonts w:ascii="Arial" w:hAnsi="Arial" w:cs="Arial"/>
        </w:rPr>
        <w:t xml:space="preserve">Questions of EU Law were converted from questions of fact into questions of law </w:t>
      </w:r>
      <w:r w:rsidR="00F65534">
        <w:rPr>
          <w:rFonts w:ascii="Arial" w:hAnsi="Arial" w:cs="Arial"/>
        </w:rPr>
        <w:t>by section 3(1) of the</w:t>
      </w:r>
      <w:r w:rsidR="00591600" w:rsidRPr="00591600">
        <w:rPr>
          <w:rFonts w:ascii="Arial" w:hAnsi="Arial" w:cs="Arial"/>
        </w:rPr>
        <w:t xml:space="preserve"> European Communities Act 1972</w:t>
      </w:r>
      <w:r w:rsidR="00F65534">
        <w:rPr>
          <w:rFonts w:ascii="Arial" w:hAnsi="Arial" w:cs="Arial"/>
        </w:rPr>
        <w:t>.</w:t>
      </w:r>
    </w:p>
    <w:p w:rsidR="004861B1" w:rsidRDefault="004861B1">
      <w:pPr>
        <w:spacing w:after="0" w:line="240" w:lineRule="auto"/>
        <w:contextualSpacing/>
        <w:rPr>
          <w:rFonts w:ascii="Arial" w:hAnsi="Arial" w:cs="Arial"/>
          <w:lang w:val="en-US"/>
        </w:rPr>
      </w:pPr>
    </w:p>
    <w:p w:rsidR="00D16CB9" w:rsidRDefault="00035F98" w:rsidP="00D16CB9">
      <w:pPr>
        <w:spacing w:after="0" w:line="240" w:lineRule="auto"/>
        <w:contextualSpacing/>
        <w:jc w:val="both"/>
        <w:rPr>
          <w:rFonts w:ascii="Arial" w:hAnsi="Arial" w:cs="Arial"/>
        </w:rPr>
      </w:pPr>
      <w:r>
        <w:rPr>
          <w:rFonts w:ascii="Arial" w:hAnsi="Arial" w:cs="Arial"/>
        </w:rPr>
        <w:t xml:space="preserve">Following the landmark constitutional cases of </w:t>
      </w:r>
      <w:proofErr w:type="spellStart"/>
      <w:r w:rsidR="007C3457" w:rsidRPr="007C3457">
        <w:rPr>
          <w:rFonts w:ascii="Arial" w:hAnsi="Arial" w:cs="Arial"/>
          <w:i/>
        </w:rPr>
        <w:t>Factortame</w:t>
      </w:r>
      <w:proofErr w:type="spellEnd"/>
      <w:r>
        <w:rPr>
          <w:rFonts w:ascii="Arial" w:hAnsi="Arial" w:cs="Arial"/>
        </w:rPr>
        <w:t>,</w:t>
      </w:r>
      <w:bookmarkStart w:id="29" w:name="Factortame_full_ref"/>
      <w:r w:rsidR="00A9013B">
        <w:rPr>
          <w:rStyle w:val="FootnoteReference"/>
          <w:rFonts w:ascii="Arial" w:hAnsi="Arial" w:cs="Arial"/>
        </w:rPr>
        <w:footnoteReference w:id="106"/>
      </w:r>
      <w:bookmarkEnd w:id="29"/>
      <w:r>
        <w:rPr>
          <w:rFonts w:ascii="Arial" w:hAnsi="Arial" w:cs="Arial"/>
        </w:rPr>
        <w:t xml:space="preserve"> and particularly </w:t>
      </w:r>
      <w:proofErr w:type="spellStart"/>
      <w:r w:rsidR="007C3457" w:rsidRPr="007C3457">
        <w:rPr>
          <w:rFonts w:ascii="Arial" w:hAnsi="Arial" w:cs="Arial"/>
          <w:i/>
        </w:rPr>
        <w:t>Thoburn</w:t>
      </w:r>
      <w:proofErr w:type="spellEnd"/>
      <w:r>
        <w:rPr>
          <w:rFonts w:ascii="Arial" w:hAnsi="Arial" w:cs="Arial"/>
        </w:rPr>
        <w:t>,</w:t>
      </w:r>
      <w:r w:rsidR="00A9013B">
        <w:rPr>
          <w:rStyle w:val="FootnoteReference"/>
          <w:rFonts w:ascii="Arial" w:hAnsi="Arial" w:cs="Arial"/>
        </w:rPr>
        <w:footnoteReference w:id="107"/>
      </w:r>
      <w:r>
        <w:rPr>
          <w:rFonts w:ascii="Arial" w:hAnsi="Arial" w:cs="Arial"/>
        </w:rPr>
        <w:t xml:space="preserve"> a </w:t>
      </w:r>
      <w:r w:rsidR="007C3457" w:rsidRPr="007C3457">
        <w:rPr>
          <w:rFonts w:ascii="Arial" w:hAnsi="Arial" w:cs="Arial"/>
          <w:i/>
        </w:rPr>
        <w:t>nouveau</w:t>
      </w:r>
      <w:r>
        <w:rPr>
          <w:rFonts w:ascii="Arial" w:hAnsi="Arial" w:cs="Arial"/>
        </w:rPr>
        <w:t xml:space="preserve"> orthodox approach emerged.  According to this view, </w:t>
      </w:r>
      <w:r w:rsidR="0030114C">
        <w:rPr>
          <w:rFonts w:ascii="Arial" w:hAnsi="Arial" w:cs="Arial"/>
        </w:rPr>
        <w:t>judges</w:t>
      </w:r>
      <w:r w:rsidR="00D16CB9">
        <w:rPr>
          <w:rFonts w:ascii="Arial" w:hAnsi="Arial" w:cs="Arial"/>
        </w:rPr>
        <w:t xml:space="preserve">’ consideration of the meaning and effect of the </w:t>
      </w:r>
      <w:r w:rsidR="0030114C">
        <w:rPr>
          <w:rFonts w:ascii="Arial" w:hAnsi="Arial" w:cs="Arial"/>
        </w:rPr>
        <w:t>relevant piece of EU Law</w:t>
      </w:r>
      <w:r w:rsidR="00D16CB9">
        <w:rPr>
          <w:rFonts w:ascii="Arial" w:hAnsi="Arial" w:cs="Arial"/>
        </w:rPr>
        <w:t xml:space="preserve">, as a question of law, during legal proceedings concerning the </w:t>
      </w:r>
      <w:r w:rsidR="0030114C">
        <w:rPr>
          <w:rFonts w:ascii="Arial" w:hAnsi="Arial" w:cs="Arial"/>
        </w:rPr>
        <w:t>related piece of UK Law</w:t>
      </w:r>
      <w:r w:rsidR="00D16CB9">
        <w:rPr>
          <w:rFonts w:ascii="Arial" w:hAnsi="Arial" w:cs="Arial"/>
        </w:rPr>
        <w:t xml:space="preserve"> </w:t>
      </w:r>
      <w:r w:rsidR="0030114C">
        <w:rPr>
          <w:rFonts w:ascii="Arial" w:hAnsi="Arial" w:cs="Arial"/>
        </w:rPr>
        <w:t xml:space="preserve">(let us say the purported transposition into domestic law of the EU obligation) </w:t>
      </w:r>
      <w:r w:rsidR="00251DC9">
        <w:rPr>
          <w:rFonts w:ascii="Arial" w:hAnsi="Arial" w:cs="Arial"/>
        </w:rPr>
        <w:t>is</w:t>
      </w:r>
      <w:r w:rsidR="00D16CB9">
        <w:rPr>
          <w:rFonts w:ascii="Arial" w:hAnsi="Arial" w:cs="Arial"/>
        </w:rPr>
        <w:t xml:space="preserve"> carried out pursuant to section 3(1) of the European Communities Act </w:t>
      </w:r>
      <w:r w:rsidR="00D16CB9" w:rsidRPr="00A9013B">
        <w:rPr>
          <w:rFonts w:ascii="Arial" w:hAnsi="Arial" w:cs="Arial"/>
          <w:i/>
        </w:rPr>
        <w:t>only</w:t>
      </w:r>
      <w:r w:rsidR="005471E2">
        <w:rPr>
          <w:rFonts w:ascii="Arial" w:hAnsi="Arial" w:cs="Arial"/>
        </w:rPr>
        <w:t>, and always with the assistance of the ‘rule of interpretation</w:t>
      </w:r>
      <w:r w:rsidR="005471E2" w:rsidRPr="005471E2">
        <w:rPr>
          <w:rFonts w:ascii="Arial" w:hAnsi="Arial" w:cs="Arial"/>
        </w:rPr>
        <w:t xml:space="preserve">’ </w:t>
      </w:r>
      <w:r w:rsidR="005471E2">
        <w:rPr>
          <w:rFonts w:ascii="Arial" w:hAnsi="Arial" w:cs="Arial"/>
        </w:rPr>
        <w:t>from section 2(4) of the same Act</w:t>
      </w:r>
      <w:r w:rsidR="00D16CB9">
        <w:rPr>
          <w:rFonts w:ascii="Arial" w:hAnsi="Arial" w:cs="Arial"/>
        </w:rPr>
        <w:t>.</w:t>
      </w:r>
      <w:r w:rsidR="00AD30E4">
        <w:rPr>
          <w:rStyle w:val="FootnoteReference"/>
          <w:rFonts w:ascii="Arial" w:hAnsi="Arial" w:cs="Arial"/>
        </w:rPr>
        <w:footnoteReference w:id="108"/>
      </w:r>
      <w:r w:rsidR="00D16CB9">
        <w:rPr>
          <w:rFonts w:ascii="Arial" w:hAnsi="Arial" w:cs="Arial"/>
        </w:rPr>
        <w:t xml:space="preserve">  It is, to paraphrase Laws LJ in </w:t>
      </w:r>
      <w:proofErr w:type="spellStart"/>
      <w:proofErr w:type="gramStart"/>
      <w:r w:rsidR="00D16CB9" w:rsidRPr="00216F85">
        <w:rPr>
          <w:rFonts w:ascii="Arial" w:hAnsi="Arial" w:cs="Arial"/>
          <w:i/>
        </w:rPr>
        <w:t>Thoburn</w:t>
      </w:r>
      <w:proofErr w:type="spellEnd"/>
      <w:r w:rsidR="00D16CB9">
        <w:rPr>
          <w:rFonts w:ascii="Arial" w:hAnsi="Arial" w:cs="Arial"/>
        </w:rPr>
        <w:t xml:space="preserve">, </w:t>
      </w:r>
      <w:r w:rsidR="00D16CB9" w:rsidRPr="00216F85">
        <w:rPr>
          <w:rFonts w:ascii="Arial" w:hAnsi="Arial" w:cs="Arial"/>
        </w:rPr>
        <w:t>t</w:t>
      </w:r>
      <w:r w:rsidR="00D16CB9">
        <w:rPr>
          <w:rFonts w:ascii="Arial" w:hAnsi="Arial" w:cs="Arial"/>
        </w:rPr>
        <w:t>hat</w:t>
      </w:r>
      <w:proofErr w:type="gramEnd"/>
      <w:r w:rsidR="00D16CB9">
        <w:rPr>
          <w:rFonts w:ascii="Arial" w:hAnsi="Arial" w:cs="Arial"/>
        </w:rPr>
        <w:t xml:space="preserve"> t</w:t>
      </w:r>
      <w:r w:rsidR="00D16CB9" w:rsidRPr="00216F85">
        <w:rPr>
          <w:rFonts w:ascii="Arial" w:hAnsi="Arial" w:cs="Arial"/>
        </w:rPr>
        <w:t xml:space="preserve">he </w:t>
      </w:r>
      <w:r w:rsidR="0030114C">
        <w:rPr>
          <w:rFonts w:ascii="Arial" w:hAnsi="Arial" w:cs="Arial"/>
        </w:rPr>
        <w:t>UK instrument</w:t>
      </w:r>
      <w:r w:rsidR="00D16CB9" w:rsidRPr="00216F85">
        <w:rPr>
          <w:rFonts w:ascii="Arial" w:hAnsi="Arial" w:cs="Arial"/>
        </w:rPr>
        <w:t xml:space="preserve"> took effect </w:t>
      </w:r>
      <w:r w:rsidR="00D16CB9" w:rsidRPr="00216F85">
        <w:rPr>
          <w:rFonts w:ascii="Arial" w:hAnsi="Arial" w:cs="Arial"/>
          <w:i/>
        </w:rPr>
        <w:t>subject to</w:t>
      </w:r>
      <w:r w:rsidR="00D16CB9" w:rsidRPr="00216F85">
        <w:rPr>
          <w:rFonts w:ascii="Arial" w:hAnsi="Arial" w:cs="Arial"/>
        </w:rPr>
        <w:t xml:space="preserve"> </w:t>
      </w:r>
      <w:r w:rsidR="00D16CB9">
        <w:rPr>
          <w:rFonts w:ascii="Arial" w:hAnsi="Arial" w:cs="Arial"/>
        </w:rPr>
        <w:t>EU</w:t>
      </w:r>
      <w:r w:rsidR="00D16CB9" w:rsidRPr="00216F85">
        <w:rPr>
          <w:rFonts w:ascii="Arial" w:hAnsi="Arial" w:cs="Arial"/>
        </w:rPr>
        <w:t xml:space="preserve"> rights incorporated into </w:t>
      </w:r>
      <w:r w:rsidR="00D16CB9">
        <w:rPr>
          <w:rFonts w:ascii="Arial" w:hAnsi="Arial" w:cs="Arial"/>
        </w:rPr>
        <w:t>UK</w:t>
      </w:r>
      <w:r w:rsidR="00D16CB9" w:rsidRPr="00216F85">
        <w:rPr>
          <w:rFonts w:ascii="Arial" w:hAnsi="Arial" w:cs="Arial"/>
        </w:rPr>
        <w:t xml:space="preserve"> law by the 1972 Act</w:t>
      </w:r>
      <w:r w:rsidR="00D16CB9">
        <w:rPr>
          <w:rFonts w:ascii="Arial" w:hAnsi="Arial" w:cs="Arial"/>
        </w:rPr>
        <w:t>.</w:t>
      </w:r>
      <w:bookmarkStart w:id="30" w:name="Thoburn_Fac_Hartley_FNII"/>
      <w:r w:rsidR="00D16CB9">
        <w:rPr>
          <w:rStyle w:val="FootnoteReference"/>
          <w:rFonts w:ascii="Arial" w:hAnsi="Arial" w:cs="Arial"/>
        </w:rPr>
        <w:footnoteReference w:id="109"/>
      </w:r>
      <w:bookmarkEnd w:id="30"/>
      <w:r w:rsidR="00D16CB9">
        <w:rPr>
          <w:rFonts w:ascii="Arial" w:hAnsi="Arial" w:cs="Arial"/>
        </w:rPr>
        <w:t xml:space="preserve">  Those rights, including the right to have domestic law read in the light of EU Law, were therefore </w:t>
      </w:r>
      <w:r w:rsidR="00D16CB9" w:rsidRPr="00216F85">
        <w:rPr>
          <w:rFonts w:ascii="Arial" w:hAnsi="Arial" w:cs="Arial"/>
          <w:i/>
        </w:rPr>
        <w:t>part of</w:t>
      </w:r>
      <w:r w:rsidR="00D16CB9">
        <w:rPr>
          <w:rFonts w:ascii="Arial" w:hAnsi="Arial" w:cs="Arial"/>
        </w:rPr>
        <w:t xml:space="preserve"> the MPs and peers’ intention, constituting a proviso to their new </w:t>
      </w:r>
      <w:r w:rsidR="0030114C">
        <w:rPr>
          <w:rFonts w:ascii="Arial" w:hAnsi="Arial" w:cs="Arial"/>
        </w:rPr>
        <w:t>instrument</w:t>
      </w:r>
      <w:r w:rsidR="008F6A5A">
        <w:rPr>
          <w:rFonts w:ascii="Arial" w:hAnsi="Arial" w:cs="Arial"/>
        </w:rPr>
        <w:t>.  If that is correct, then t</w:t>
      </w:r>
      <w:r w:rsidR="00D16CB9">
        <w:rPr>
          <w:rFonts w:ascii="Arial" w:hAnsi="Arial" w:cs="Arial"/>
        </w:rPr>
        <w:t>he demise of the 1972 Act</w:t>
      </w:r>
      <w:r w:rsidR="005471E2">
        <w:rPr>
          <w:rStyle w:val="FootnoteReference"/>
          <w:rFonts w:ascii="Arial" w:hAnsi="Arial" w:cs="Arial"/>
        </w:rPr>
        <w:footnoteReference w:id="110"/>
      </w:r>
      <w:r w:rsidR="00D16CB9">
        <w:rPr>
          <w:rFonts w:ascii="Arial" w:hAnsi="Arial" w:cs="Arial"/>
        </w:rPr>
        <w:t xml:space="preserve"> render</w:t>
      </w:r>
      <w:r w:rsidR="005471E2">
        <w:rPr>
          <w:rFonts w:ascii="Arial" w:hAnsi="Arial" w:cs="Arial"/>
        </w:rPr>
        <w:t>s</w:t>
      </w:r>
      <w:r w:rsidR="00D16CB9">
        <w:rPr>
          <w:rFonts w:ascii="Arial" w:hAnsi="Arial" w:cs="Arial"/>
        </w:rPr>
        <w:t xml:space="preserve"> the proviso inoperative, or put the other way round, allows the </w:t>
      </w:r>
      <w:r w:rsidR="0030114C">
        <w:rPr>
          <w:rFonts w:ascii="Arial" w:hAnsi="Arial" w:cs="Arial"/>
        </w:rPr>
        <w:t>new instrument</w:t>
      </w:r>
      <w:r w:rsidR="00D16CB9">
        <w:rPr>
          <w:rFonts w:ascii="Arial" w:hAnsi="Arial" w:cs="Arial"/>
        </w:rPr>
        <w:t xml:space="preserve"> to overcome its proviso. </w:t>
      </w:r>
      <w:r w:rsidR="008F6A5A">
        <w:rPr>
          <w:rFonts w:ascii="Arial" w:hAnsi="Arial" w:cs="Arial"/>
        </w:rPr>
        <w:t xml:space="preserve"> On that reading, to interpret a given phrase from the UK instrument </w:t>
      </w:r>
      <w:r w:rsidR="00D16CB9">
        <w:rPr>
          <w:rFonts w:ascii="Arial" w:hAnsi="Arial" w:cs="Arial"/>
        </w:rPr>
        <w:t xml:space="preserve">the ‘British way’ following the passage of the European Union </w:t>
      </w:r>
      <w:r w:rsidR="00D16CB9">
        <w:rPr>
          <w:rFonts w:ascii="Arial" w:hAnsi="Arial" w:cs="Arial"/>
        </w:rPr>
        <w:lastRenderedPageBreak/>
        <w:t xml:space="preserve">(Withdrawal) Act 2018 is </w:t>
      </w:r>
      <w:r w:rsidR="008F6A5A">
        <w:rPr>
          <w:rFonts w:ascii="Arial" w:hAnsi="Arial" w:cs="Arial"/>
        </w:rPr>
        <w:t xml:space="preserve">arguably </w:t>
      </w:r>
      <w:r w:rsidR="00D16CB9">
        <w:rPr>
          <w:rFonts w:ascii="Arial" w:hAnsi="Arial" w:cs="Arial"/>
        </w:rPr>
        <w:t xml:space="preserve">a fulfilment, not a betrayal, of the intention of the Parliament which passed the </w:t>
      </w:r>
      <w:r w:rsidR="008F6A5A">
        <w:rPr>
          <w:rFonts w:ascii="Arial" w:hAnsi="Arial" w:cs="Arial"/>
        </w:rPr>
        <w:t>UK instrument in question</w:t>
      </w:r>
      <w:r w:rsidR="00D16CB9">
        <w:rPr>
          <w:rFonts w:ascii="Arial" w:hAnsi="Arial" w:cs="Arial"/>
        </w:rPr>
        <w:t>.</w:t>
      </w:r>
    </w:p>
    <w:p w:rsidR="00B4143F" w:rsidRDefault="00B4143F" w:rsidP="00281EEC">
      <w:pPr>
        <w:spacing w:after="0" w:line="240" w:lineRule="auto"/>
        <w:contextualSpacing/>
        <w:jc w:val="both"/>
        <w:rPr>
          <w:rFonts w:ascii="Arial" w:hAnsi="Arial" w:cs="Arial"/>
          <w:lang w:val="en-US"/>
        </w:rPr>
      </w:pPr>
    </w:p>
    <w:p w:rsidR="000847FE" w:rsidRPr="00BF3864" w:rsidRDefault="00BF3864" w:rsidP="00985067">
      <w:pPr>
        <w:spacing w:after="0" w:line="240" w:lineRule="auto"/>
        <w:contextualSpacing/>
        <w:jc w:val="both"/>
        <w:rPr>
          <w:rFonts w:ascii="Arial" w:hAnsi="Arial" w:cs="Arial"/>
          <w:b/>
          <w:lang w:val="en-US"/>
        </w:rPr>
      </w:pPr>
      <w:r w:rsidRPr="00BF3864">
        <w:rPr>
          <w:rFonts w:ascii="Arial" w:hAnsi="Arial" w:cs="Arial"/>
          <w:b/>
          <w:i/>
          <w:lang w:val="en-US"/>
        </w:rPr>
        <w:t>Assange</w:t>
      </w:r>
      <w:r w:rsidRPr="00BF3864">
        <w:rPr>
          <w:rFonts w:ascii="Arial" w:hAnsi="Arial" w:cs="Arial"/>
          <w:b/>
          <w:lang w:val="en-US"/>
        </w:rPr>
        <w:t xml:space="preserve"> as a case-study</w:t>
      </w:r>
    </w:p>
    <w:p w:rsidR="00586075" w:rsidRPr="00BF3864" w:rsidRDefault="00586075" w:rsidP="00985067">
      <w:pPr>
        <w:spacing w:after="0" w:line="240" w:lineRule="auto"/>
        <w:contextualSpacing/>
        <w:jc w:val="both"/>
        <w:rPr>
          <w:rFonts w:ascii="Arial" w:hAnsi="Arial" w:cs="Arial"/>
          <w:b/>
          <w:lang w:val="en-US"/>
        </w:rPr>
      </w:pPr>
    </w:p>
    <w:p w:rsidR="00281EEC" w:rsidRDefault="004208F1" w:rsidP="00985067">
      <w:pPr>
        <w:spacing w:after="0" w:line="240" w:lineRule="auto"/>
        <w:contextualSpacing/>
        <w:jc w:val="both"/>
        <w:rPr>
          <w:rFonts w:ascii="Arial" w:hAnsi="Arial" w:cs="Arial"/>
          <w:lang w:val="en-US"/>
        </w:rPr>
      </w:pPr>
      <w:r>
        <w:rPr>
          <w:rFonts w:ascii="Arial" w:hAnsi="Arial" w:cs="Arial"/>
          <w:lang w:val="en-US"/>
        </w:rPr>
        <w:t xml:space="preserve">Given the controversial nature of certain pieces of EU Law, it is perhaps unsurprising that there are some judgments where one can find judges from both the conservative and the liberal camps sitting on the same Bench.  An example is </w:t>
      </w:r>
      <w:r w:rsidR="00985067" w:rsidRPr="00985067">
        <w:rPr>
          <w:rFonts w:ascii="Arial" w:hAnsi="Arial" w:cs="Arial"/>
          <w:lang w:val="en-US"/>
        </w:rPr>
        <w:t xml:space="preserve">the case of </w:t>
      </w:r>
      <w:r w:rsidR="00985067" w:rsidRPr="004051E3">
        <w:rPr>
          <w:rFonts w:ascii="Arial" w:hAnsi="Arial" w:cs="Arial"/>
          <w:i/>
        </w:rPr>
        <w:t>Assange v Swedish Prosecution Authority</w:t>
      </w:r>
      <w:r w:rsidR="00985067" w:rsidRPr="00985067">
        <w:rPr>
          <w:rFonts w:ascii="Arial" w:hAnsi="Arial" w:cs="Arial"/>
          <w:lang w:val="en-US"/>
        </w:rPr>
        <w:t>.</w:t>
      </w:r>
      <w:bookmarkStart w:id="32" w:name="Assange"/>
      <w:r w:rsidR="00AE7BC5">
        <w:rPr>
          <w:rStyle w:val="FootnoteReference"/>
          <w:rFonts w:ascii="Arial" w:hAnsi="Arial" w:cs="Arial"/>
          <w:lang w:val="en-US"/>
        </w:rPr>
        <w:footnoteReference w:id="111"/>
      </w:r>
      <w:bookmarkEnd w:id="32"/>
      <w:r w:rsidR="00985067" w:rsidRPr="00985067">
        <w:rPr>
          <w:rFonts w:ascii="Arial" w:hAnsi="Arial" w:cs="Arial"/>
          <w:lang w:val="en-US"/>
        </w:rPr>
        <w:t xml:space="preserve">  </w:t>
      </w:r>
    </w:p>
    <w:p w:rsidR="00281EEC" w:rsidRDefault="00281EEC" w:rsidP="00985067">
      <w:pPr>
        <w:spacing w:after="0" w:line="240" w:lineRule="auto"/>
        <w:contextualSpacing/>
        <w:jc w:val="both"/>
        <w:rPr>
          <w:rFonts w:ascii="Arial" w:hAnsi="Arial" w:cs="Arial"/>
          <w:lang w:val="en-US"/>
        </w:rPr>
      </w:pPr>
    </w:p>
    <w:p w:rsidR="00985067" w:rsidRDefault="004208F1" w:rsidP="00985067">
      <w:pPr>
        <w:spacing w:after="0" w:line="240" w:lineRule="auto"/>
        <w:contextualSpacing/>
        <w:jc w:val="both"/>
        <w:rPr>
          <w:rFonts w:ascii="Arial" w:hAnsi="Arial" w:cs="Arial"/>
        </w:rPr>
      </w:pPr>
      <w:r>
        <w:rPr>
          <w:rFonts w:ascii="Arial" w:hAnsi="Arial" w:cs="Arial"/>
        </w:rPr>
        <w:t xml:space="preserve">Julian Assange is an Australian </w:t>
      </w:r>
      <w:r w:rsidR="00985067" w:rsidRPr="00985067">
        <w:rPr>
          <w:rFonts w:ascii="Arial" w:hAnsi="Arial" w:cs="Arial"/>
        </w:rPr>
        <w:t xml:space="preserve">journalist who was </w:t>
      </w:r>
      <w:r>
        <w:rPr>
          <w:rFonts w:ascii="Arial" w:hAnsi="Arial" w:cs="Arial"/>
        </w:rPr>
        <w:t xml:space="preserve">working in the UK when it was announced that he was </w:t>
      </w:r>
      <w:r w:rsidR="00985067" w:rsidRPr="00985067">
        <w:rPr>
          <w:rFonts w:ascii="Arial" w:hAnsi="Arial" w:cs="Arial"/>
        </w:rPr>
        <w:t>wanted by the police in Sweden.  Finding himself the subject of a European Arrest Warrant issued in Sweden, he sought to challenge this warrant through the English courts.</w:t>
      </w:r>
      <w:r w:rsidR="00985067" w:rsidRPr="00985067">
        <w:rPr>
          <w:rFonts w:ascii="Arial" w:hAnsi="Arial" w:cs="Arial"/>
          <w:vertAlign w:val="superscript"/>
        </w:rPr>
        <w:footnoteReference w:id="112"/>
      </w:r>
      <w:r w:rsidR="00985067" w:rsidRPr="00985067">
        <w:rPr>
          <w:rFonts w:ascii="Arial" w:hAnsi="Arial" w:cs="Arial"/>
        </w:rPr>
        <w:t xml:space="preserve">  This meant that ultimately it fell to the judges in the UK Supreme Court to interpret the Framework Decision by which the European Arrest Warrant had been created.  In Article 6(1) of the Framework </w:t>
      </w:r>
      <w:r w:rsidR="004051E3">
        <w:rPr>
          <w:rFonts w:ascii="Arial" w:hAnsi="Arial" w:cs="Arial"/>
        </w:rPr>
        <w:t>Decision, it provided that the ‘judicial authority’</w:t>
      </w:r>
      <w:r w:rsidR="00985067" w:rsidRPr="00985067">
        <w:rPr>
          <w:rFonts w:ascii="Arial" w:hAnsi="Arial" w:cs="Arial"/>
        </w:rPr>
        <w:t xml:space="preserve"> issuing the warrant was to be the judicial authority of the issuing Member State which was competent to issue an arrest warrant by virtue of the law of that State.  Meanwhile, in section 2(2) of Part 1 of the Extradition Act 2003, the act by which the UK had transposed the Framework Decision into English law, it also said that a warrant had to have </w:t>
      </w:r>
      <w:r w:rsidR="00CB1129">
        <w:rPr>
          <w:rFonts w:ascii="Arial" w:hAnsi="Arial" w:cs="Arial"/>
        </w:rPr>
        <w:t>been issued by a ‘judicial authority.’</w:t>
      </w:r>
      <w:r w:rsidR="00985067" w:rsidRPr="00985067">
        <w:rPr>
          <w:rFonts w:ascii="Arial" w:hAnsi="Arial" w:cs="Arial"/>
        </w:rPr>
        <w:t xml:space="preserve">  Counsel for Mr Assange said that this had to be a court or a judge, who in particular had to be impartial.  But in Mr Assange’s case, the European Arrest Warrant had been issued by the Swedish </w:t>
      </w:r>
      <w:r w:rsidR="00985067" w:rsidRPr="00985067">
        <w:rPr>
          <w:rFonts w:ascii="Arial" w:hAnsi="Arial" w:cs="Arial"/>
          <w:i/>
        </w:rPr>
        <w:t>Prosecutor</w:t>
      </w:r>
      <w:r w:rsidR="00985067" w:rsidRPr="00985067">
        <w:rPr>
          <w:rFonts w:ascii="Arial" w:hAnsi="Arial" w:cs="Arial"/>
        </w:rPr>
        <w:t xml:space="preserve"> (a party to the case).  Therefore, according to counsel for Assange, the warrant should be declar</w:t>
      </w:r>
      <w:r w:rsidR="000642A0">
        <w:rPr>
          <w:rFonts w:ascii="Arial" w:hAnsi="Arial" w:cs="Arial"/>
        </w:rPr>
        <w:t xml:space="preserve">ed invalid.  Counsel for Sweden, however, successfully counter argued for </w:t>
      </w:r>
      <w:r w:rsidR="00CB1129">
        <w:rPr>
          <w:rFonts w:ascii="Arial" w:hAnsi="Arial" w:cs="Arial"/>
        </w:rPr>
        <w:t xml:space="preserve">a broad meaning </w:t>
      </w:r>
      <w:r w:rsidR="000642A0">
        <w:rPr>
          <w:rFonts w:ascii="Arial" w:hAnsi="Arial" w:cs="Arial"/>
        </w:rPr>
        <w:t>to be given to</w:t>
      </w:r>
      <w:r w:rsidR="00CB1129">
        <w:rPr>
          <w:rFonts w:ascii="Arial" w:hAnsi="Arial" w:cs="Arial"/>
        </w:rPr>
        <w:t xml:space="preserve"> the phrase ‘judicial authority,’</w:t>
      </w:r>
      <w:r w:rsidR="00985067" w:rsidRPr="00985067">
        <w:rPr>
          <w:rFonts w:ascii="Arial" w:hAnsi="Arial" w:cs="Arial"/>
        </w:rPr>
        <w:t xml:space="preserve"> in line with what had already been accepted in other EU countries and by the Commission</w:t>
      </w:r>
      <w:r w:rsidR="00CB1129">
        <w:rPr>
          <w:rFonts w:ascii="Arial" w:hAnsi="Arial" w:cs="Arial"/>
        </w:rPr>
        <w:t xml:space="preserve"> and the Council, namely, that ‘judicial authority’</w:t>
      </w:r>
      <w:r w:rsidR="00985067" w:rsidRPr="00985067">
        <w:rPr>
          <w:rFonts w:ascii="Arial" w:hAnsi="Arial" w:cs="Arial"/>
        </w:rPr>
        <w:t xml:space="preserve"> included a prosecutor.</w:t>
      </w:r>
    </w:p>
    <w:p w:rsidR="000642A0" w:rsidRDefault="000642A0" w:rsidP="00985067">
      <w:pPr>
        <w:spacing w:after="0" w:line="240" w:lineRule="auto"/>
        <w:contextualSpacing/>
        <w:jc w:val="both"/>
        <w:rPr>
          <w:rFonts w:ascii="Arial" w:hAnsi="Arial" w:cs="Arial"/>
        </w:rPr>
      </w:pPr>
    </w:p>
    <w:p w:rsidR="00CB1129" w:rsidRDefault="000642A0" w:rsidP="00985067">
      <w:pPr>
        <w:spacing w:after="0" w:line="240" w:lineRule="auto"/>
        <w:contextualSpacing/>
        <w:jc w:val="both"/>
        <w:rPr>
          <w:rFonts w:ascii="Arial" w:hAnsi="Arial" w:cs="Arial"/>
        </w:rPr>
      </w:pPr>
      <w:r w:rsidRPr="00985067">
        <w:rPr>
          <w:rFonts w:ascii="Arial" w:hAnsi="Arial" w:cs="Arial"/>
        </w:rPr>
        <w:t xml:space="preserve">With the Framework Decision expunged from UK law, or, perhaps better, with </w:t>
      </w:r>
      <w:r w:rsidRPr="00985067">
        <w:rPr>
          <w:rFonts w:ascii="Arial" w:hAnsi="Arial" w:cs="Arial"/>
          <w:i/>
        </w:rPr>
        <w:t xml:space="preserve">the </w:t>
      </w:r>
      <w:r w:rsidR="00E56260">
        <w:rPr>
          <w:rFonts w:ascii="Arial" w:hAnsi="Arial" w:cs="Arial"/>
          <w:i/>
        </w:rPr>
        <w:t>requirement</w:t>
      </w:r>
      <w:r w:rsidRPr="00985067">
        <w:rPr>
          <w:rFonts w:ascii="Arial" w:hAnsi="Arial" w:cs="Arial"/>
          <w:i/>
        </w:rPr>
        <w:t xml:space="preserve"> for the UK to comply with it</w:t>
      </w:r>
      <w:r w:rsidRPr="00985067">
        <w:rPr>
          <w:rFonts w:ascii="Arial" w:hAnsi="Arial" w:cs="Arial"/>
        </w:rPr>
        <w:t xml:space="preserve"> expunged,</w:t>
      </w:r>
      <w:r w:rsidRPr="00985067">
        <w:rPr>
          <w:rFonts w:ascii="Arial" w:hAnsi="Arial" w:cs="Arial"/>
          <w:vertAlign w:val="superscript"/>
        </w:rPr>
        <w:footnoteReference w:id="113"/>
      </w:r>
      <w:r w:rsidRPr="00985067">
        <w:rPr>
          <w:rFonts w:ascii="Arial" w:hAnsi="Arial" w:cs="Arial"/>
        </w:rPr>
        <w:t xml:space="preserve"> the court, in a post-Brexit replay of this case, would find itself in a different situation, at least on the face of things.</w:t>
      </w:r>
      <w:r w:rsidR="00D606C3">
        <w:rPr>
          <w:rStyle w:val="FootnoteReference"/>
          <w:rFonts w:ascii="Arial" w:hAnsi="Arial" w:cs="Arial"/>
        </w:rPr>
        <w:footnoteReference w:id="114"/>
      </w:r>
      <w:r w:rsidRPr="00985067">
        <w:rPr>
          <w:rFonts w:ascii="Arial" w:hAnsi="Arial" w:cs="Arial"/>
        </w:rPr>
        <w:t xml:space="preserve">  The Act of Parliament would now be the supreme piece of legislation before the court.  However, it </w:t>
      </w:r>
      <w:r w:rsidR="00D52217">
        <w:rPr>
          <w:rFonts w:ascii="Arial" w:hAnsi="Arial" w:cs="Arial"/>
        </w:rPr>
        <w:t xml:space="preserve">again </w:t>
      </w:r>
      <w:r w:rsidRPr="00985067">
        <w:rPr>
          <w:rFonts w:ascii="Arial" w:hAnsi="Arial" w:cs="Arial"/>
        </w:rPr>
        <w:t>cannot be comfortably predicted that the opposite conclusion would be reached</w:t>
      </w:r>
      <w:r w:rsidR="00D52217">
        <w:rPr>
          <w:rFonts w:ascii="Arial" w:hAnsi="Arial" w:cs="Arial"/>
        </w:rPr>
        <w:t xml:space="preserve">.  If </w:t>
      </w:r>
      <w:r w:rsidRPr="00985067">
        <w:rPr>
          <w:rFonts w:ascii="Arial" w:hAnsi="Arial" w:cs="Arial"/>
        </w:rPr>
        <w:t xml:space="preserve">the Supreme Court judges </w:t>
      </w:r>
      <w:r w:rsidR="00D52217">
        <w:rPr>
          <w:rFonts w:ascii="Arial" w:hAnsi="Arial" w:cs="Arial"/>
        </w:rPr>
        <w:t>gave</w:t>
      </w:r>
      <w:r>
        <w:rPr>
          <w:rFonts w:ascii="Arial" w:hAnsi="Arial" w:cs="Arial"/>
        </w:rPr>
        <w:t xml:space="preserve"> the phrase ‘judicial authority’ its ‘</w:t>
      </w:r>
      <w:r w:rsidRPr="00985067">
        <w:rPr>
          <w:rFonts w:ascii="Arial" w:hAnsi="Arial" w:cs="Arial"/>
        </w:rPr>
        <w:t>plain meaning</w:t>
      </w:r>
      <w:r>
        <w:rPr>
          <w:rFonts w:ascii="Arial" w:hAnsi="Arial" w:cs="Arial"/>
        </w:rPr>
        <w:t>,’</w:t>
      </w:r>
      <w:r w:rsidRPr="00985067">
        <w:rPr>
          <w:rFonts w:ascii="Arial" w:hAnsi="Arial" w:cs="Arial"/>
          <w:vertAlign w:val="superscript"/>
        </w:rPr>
        <w:footnoteReference w:id="115"/>
      </w:r>
      <w:r w:rsidRPr="00985067">
        <w:rPr>
          <w:rFonts w:ascii="Arial" w:hAnsi="Arial" w:cs="Arial"/>
        </w:rPr>
        <w:t xml:space="preserve"> which, certainly in the UK w</w:t>
      </w:r>
      <w:r>
        <w:rPr>
          <w:rFonts w:ascii="Arial" w:hAnsi="Arial" w:cs="Arial"/>
        </w:rPr>
        <w:t>here there is no tradition of t</w:t>
      </w:r>
      <w:r w:rsidRPr="00985067">
        <w:rPr>
          <w:rFonts w:ascii="Arial" w:hAnsi="Arial" w:cs="Arial"/>
        </w:rPr>
        <w:t>h</w:t>
      </w:r>
      <w:r>
        <w:rPr>
          <w:rFonts w:ascii="Arial" w:hAnsi="Arial" w:cs="Arial"/>
        </w:rPr>
        <w:t>e</w:t>
      </w:r>
      <w:r w:rsidRPr="00985067">
        <w:rPr>
          <w:rFonts w:ascii="Arial" w:hAnsi="Arial" w:cs="Arial"/>
        </w:rPr>
        <w:t xml:space="preserve"> civil law </w:t>
      </w:r>
      <w:proofErr w:type="spellStart"/>
      <w:r w:rsidRPr="006C0DB5">
        <w:rPr>
          <w:rFonts w:ascii="Arial" w:hAnsi="Arial" w:cs="Arial"/>
          <w:i/>
        </w:rPr>
        <w:t>juge</w:t>
      </w:r>
      <w:proofErr w:type="spellEnd"/>
      <w:r w:rsidRPr="006C0DB5">
        <w:rPr>
          <w:rFonts w:ascii="Arial" w:hAnsi="Arial" w:cs="Arial"/>
          <w:i/>
        </w:rPr>
        <w:t xml:space="preserve"> </w:t>
      </w:r>
      <w:proofErr w:type="spellStart"/>
      <w:r w:rsidRPr="006C0DB5">
        <w:rPr>
          <w:rFonts w:ascii="Arial" w:hAnsi="Arial" w:cs="Arial"/>
          <w:i/>
        </w:rPr>
        <w:t>d’instruction</w:t>
      </w:r>
      <w:proofErr w:type="spellEnd"/>
      <w:r w:rsidRPr="00985067">
        <w:rPr>
          <w:rFonts w:ascii="Arial" w:hAnsi="Arial" w:cs="Arial"/>
        </w:rPr>
        <w:t>, would presumably not include prosecu</w:t>
      </w:r>
      <w:r w:rsidR="00D52217">
        <w:rPr>
          <w:rFonts w:ascii="Arial" w:hAnsi="Arial" w:cs="Arial"/>
        </w:rPr>
        <w:t xml:space="preserve">tors, would this </w:t>
      </w:r>
      <w:r>
        <w:rPr>
          <w:rFonts w:ascii="Arial" w:hAnsi="Arial" w:cs="Arial"/>
        </w:rPr>
        <w:t>‘</w:t>
      </w:r>
      <w:r w:rsidRPr="00985067">
        <w:rPr>
          <w:rFonts w:ascii="Arial" w:hAnsi="Arial" w:cs="Arial"/>
        </w:rPr>
        <w:t>best declare the intention of the lawgiver</w:t>
      </w:r>
      <w:r w:rsidR="00D52217">
        <w:rPr>
          <w:rFonts w:ascii="Arial" w:hAnsi="Arial" w:cs="Arial"/>
        </w:rPr>
        <w:t>?</w:t>
      </w:r>
      <w:r>
        <w:rPr>
          <w:rFonts w:ascii="Arial" w:hAnsi="Arial" w:cs="Arial"/>
        </w:rPr>
        <w:t>’</w:t>
      </w:r>
      <w:r w:rsidRPr="00985067">
        <w:rPr>
          <w:rFonts w:ascii="Arial" w:hAnsi="Arial" w:cs="Arial"/>
          <w:vertAlign w:val="superscript"/>
        </w:rPr>
        <w:footnoteReference w:id="116"/>
      </w:r>
      <w:r w:rsidR="00D52217">
        <w:rPr>
          <w:rFonts w:ascii="Arial" w:hAnsi="Arial" w:cs="Arial"/>
        </w:rPr>
        <w:t xml:space="preserve">  T</w:t>
      </w:r>
      <w:r w:rsidRPr="00985067">
        <w:rPr>
          <w:rFonts w:ascii="Arial" w:hAnsi="Arial" w:cs="Arial"/>
        </w:rPr>
        <w:t>heir Lordships would</w:t>
      </w:r>
      <w:r w:rsidR="00D52217">
        <w:rPr>
          <w:rFonts w:ascii="Arial" w:hAnsi="Arial" w:cs="Arial"/>
        </w:rPr>
        <w:t xml:space="preserve"> need to work out the legislative intention behind the Extradition Act 2003 and it is quite possible that they would hold</w:t>
      </w:r>
      <w:r w:rsidR="00822D11">
        <w:rPr>
          <w:rFonts w:ascii="Arial" w:hAnsi="Arial" w:cs="Arial"/>
        </w:rPr>
        <w:t xml:space="preserve"> that this intention, or at least part of it, was t</w:t>
      </w:r>
      <w:r w:rsidRPr="00985067">
        <w:rPr>
          <w:rFonts w:ascii="Arial" w:hAnsi="Arial" w:cs="Arial"/>
        </w:rPr>
        <w:t>o implement the Framework Directive</w:t>
      </w:r>
      <w:r w:rsidR="00822D11">
        <w:rPr>
          <w:rFonts w:ascii="Arial" w:hAnsi="Arial" w:cs="Arial"/>
        </w:rPr>
        <w:t>.</w:t>
      </w:r>
    </w:p>
    <w:p w:rsidR="00822D11" w:rsidRPr="00985067" w:rsidRDefault="00822D11" w:rsidP="00985067">
      <w:pPr>
        <w:spacing w:after="0" w:line="240" w:lineRule="auto"/>
        <w:contextualSpacing/>
        <w:jc w:val="both"/>
        <w:rPr>
          <w:rFonts w:ascii="Arial" w:hAnsi="Arial" w:cs="Arial"/>
        </w:rPr>
      </w:pPr>
    </w:p>
    <w:p w:rsidR="006E37F4" w:rsidRDefault="00133A54" w:rsidP="00985067">
      <w:pPr>
        <w:spacing w:after="0" w:line="240" w:lineRule="auto"/>
        <w:contextualSpacing/>
        <w:jc w:val="both"/>
        <w:rPr>
          <w:rFonts w:ascii="Arial" w:hAnsi="Arial" w:cs="Arial"/>
        </w:rPr>
      </w:pPr>
      <w:r>
        <w:rPr>
          <w:rFonts w:ascii="Arial" w:hAnsi="Arial" w:cs="Arial"/>
        </w:rPr>
        <w:lastRenderedPageBreak/>
        <w:t xml:space="preserve">To unpack this further, we need to understand more precisely how the Supreme Court in </w:t>
      </w:r>
      <w:r w:rsidRPr="00133A54">
        <w:rPr>
          <w:rFonts w:ascii="Arial" w:hAnsi="Arial" w:cs="Arial"/>
          <w:i/>
        </w:rPr>
        <w:t>Assange</w:t>
      </w:r>
      <w:r>
        <w:rPr>
          <w:rFonts w:ascii="Arial" w:hAnsi="Arial" w:cs="Arial"/>
        </w:rPr>
        <w:t xml:space="preserve"> came to be persuaded by counsel for Sweden.  For the majority, </w:t>
      </w:r>
      <w:r w:rsidR="00985067" w:rsidRPr="00985067">
        <w:rPr>
          <w:rFonts w:ascii="Arial" w:hAnsi="Arial" w:cs="Arial"/>
        </w:rPr>
        <w:t xml:space="preserve">Lord </w:t>
      </w:r>
      <w:r w:rsidR="00754351">
        <w:rPr>
          <w:rFonts w:ascii="Arial" w:hAnsi="Arial" w:cs="Arial"/>
        </w:rPr>
        <w:t>Phillips</w:t>
      </w:r>
      <w:r w:rsidR="00985067" w:rsidRPr="00985067">
        <w:rPr>
          <w:rFonts w:ascii="Arial" w:hAnsi="Arial" w:cs="Arial"/>
        </w:rPr>
        <w:t xml:space="preserve"> held that the </w:t>
      </w:r>
      <w:r w:rsidR="00D606C3" w:rsidRPr="00D606C3">
        <w:rPr>
          <w:rFonts w:ascii="Arial" w:hAnsi="Arial" w:cs="Arial"/>
        </w:rPr>
        <w:t>Supreme Court</w:t>
      </w:r>
      <w:r w:rsidR="00985067" w:rsidRPr="00D606C3">
        <w:rPr>
          <w:rFonts w:ascii="Arial" w:hAnsi="Arial" w:cs="Arial"/>
        </w:rPr>
        <w:t xml:space="preserve"> was</w:t>
      </w:r>
      <w:r w:rsidR="00985067" w:rsidRPr="00985067">
        <w:rPr>
          <w:rFonts w:ascii="Arial" w:hAnsi="Arial" w:cs="Arial"/>
        </w:rPr>
        <w:t xml:space="preserve"> obliged to interpret the 2003 Act in the light of the F</w:t>
      </w:r>
      <w:r w:rsidR="00CB1129">
        <w:rPr>
          <w:rFonts w:ascii="Arial" w:hAnsi="Arial" w:cs="Arial"/>
        </w:rPr>
        <w:t xml:space="preserve">ramework Decision.  The phrase ‘judicial authority’ </w:t>
      </w:r>
      <w:r w:rsidR="00985067" w:rsidRPr="00985067">
        <w:rPr>
          <w:rFonts w:ascii="Arial" w:hAnsi="Arial" w:cs="Arial"/>
        </w:rPr>
        <w:t>did not give rise to direct effect,</w:t>
      </w:r>
      <w:r w:rsidR="00D606C3">
        <w:rPr>
          <w:rStyle w:val="FootnoteReference"/>
          <w:rFonts w:ascii="Arial" w:hAnsi="Arial" w:cs="Arial"/>
        </w:rPr>
        <w:footnoteReference w:id="117"/>
      </w:r>
      <w:r w:rsidR="00985067" w:rsidRPr="00985067">
        <w:rPr>
          <w:rFonts w:ascii="Arial" w:hAnsi="Arial" w:cs="Arial"/>
        </w:rPr>
        <w:t xml:space="preserve"> but, at least in the view of the majority of the court, was still amenable to indirect effect.  He therefore gave the phrase the meaning which had been given across Europe and by the EU institutions, namely that it included prosecutors.</w:t>
      </w:r>
      <w:r w:rsidR="00C22027">
        <w:rPr>
          <w:rStyle w:val="FootnoteReference"/>
          <w:rFonts w:ascii="Arial" w:hAnsi="Arial" w:cs="Arial"/>
        </w:rPr>
        <w:footnoteReference w:id="118"/>
      </w:r>
      <w:r w:rsidR="00985067" w:rsidRPr="00985067">
        <w:rPr>
          <w:rFonts w:ascii="Arial" w:hAnsi="Arial" w:cs="Arial"/>
        </w:rPr>
        <w:t xml:space="preserve">  It was not open to him </w:t>
      </w:r>
      <w:r w:rsidR="00CB1129">
        <w:rPr>
          <w:rFonts w:ascii="Arial" w:hAnsi="Arial" w:cs="Arial"/>
        </w:rPr>
        <w:t>to give the phrase a different ‘UK’</w:t>
      </w:r>
      <w:r w:rsidR="00985067" w:rsidRPr="00985067">
        <w:rPr>
          <w:rFonts w:ascii="Arial" w:hAnsi="Arial" w:cs="Arial"/>
        </w:rPr>
        <w:t xml:space="preserve"> meaning, even though Lord </w:t>
      </w:r>
      <w:proofErr w:type="spellStart"/>
      <w:r w:rsidR="00985067" w:rsidRPr="00985067">
        <w:rPr>
          <w:rFonts w:ascii="Arial" w:hAnsi="Arial" w:cs="Arial"/>
        </w:rPr>
        <w:t>Mance</w:t>
      </w:r>
      <w:proofErr w:type="spellEnd"/>
      <w:r w:rsidR="00985067" w:rsidRPr="00985067">
        <w:rPr>
          <w:rFonts w:ascii="Arial" w:hAnsi="Arial" w:cs="Arial"/>
        </w:rPr>
        <w:t xml:space="preserve">, dissenting, had found considerable evidence from the Parliamentary record that a different UK meaning (namely, that the phrase did </w:t>
      </w:r>
      <w:r w:rsidR="00985067" w:rsidRPr="00985067">
        <w:rPr>
          <w:rFonts w:ascii="Arial" w:hAnsi="Arial" w:cs="Arial"/>
          <w:i/>
        </w:rPr>
        <w:t>not</w:t>
      </w:r>
      <w:r w:rsidR="00985067" w:rsidRPr="00985067">
        <w:rPr>
          <w:rFonts w:ascii="Arial" w:hAnsi="Arial" w:cs="Arial"/>
        </w:rPr>
        <w:t xml:space="preserve"> include prosecutors) had been prevalent in the minds of Government ministers at the time of </w:t>
      </w:r>
      <w:r w:rsidR="006C0DB5">
        <w:rPr>
          <w:rFonts w:ascii="Arial" w:hAnsi="Arial" w:cs="Arial"/>
        </w:rPr>
        <w:t xml:space="preserve">the </w:t>
      </w:r>
      <w:r w:rsidR="00985067" w:rsidRPr="00985067">
        <w:rPr>
          <w:rFonts w:ascii="Arial" w:hAnsi="Arial" w:cs="Arial"/>
        </w:rPr>
        <w:t xml:space="preserve">passing </w:t>
      </w:r>
      <w:r w:rsidR="006C0DB5">
        <w:rPr>
          <w:rFonts w:ascii="Arial" w:hAnsi="Arial" w:cs="Arial"/>
        </w:rPr>
        <w:t xml:space="preserve">of </w:t>
      </w:r>
      <w:r w:rsidR="00985067" w:rsidRPr="00985067">
        <w:rPr>
          <w:rFonts w:ascii="Arial" w:hAnsi="Arial" w:cs="Arial"/>
        </w:rPr>
        <w:t>the Act.  The fact was, as Lord Brown puts it, that they were mistaken</w:t>
      </w:r>
      <w:r w:rsidR="001B2794">
        <w:rPr>
          <w:rFonts w:ascii="Arial" w:hAnsi="Arial" w:cs="Arial"/>
        </w:rPr>
        <w:t>,</w:t>
      </w:r>
      <w:r w:rsidR="00985067" w:rsidRPr="00985067">
        <w:rPr>
          <w:rFonts w:ascii="Arial" w:hAnsi="Arial" w:cs="Arial"/>
          <w:vertAlign w:val="superscript"/>
        </w:rPr>
        <w:footnoteReference w:id="119"/>
      </w:r>
      <w:r w:rsidR="001B2794">
        <w:rPr>
          <w:rFonts w:ascii="Arial" w:hAnsi="Arial" w:cs="Arial"/>
        </w:rPr>
        <w:t xml:space="preserve"> not, as in Lord Denning’s ‘wilful failure’ scenario from </w:t>
      </w:r>
      <w:proofErr w:type="spellStart"/>
      <w:proofErr w:type="gramStart"/>
      <w:r w:rsidR="001B2794" w:rsidRPr="001B2794">
        <w:rPr>
          <w:rFonts w:ascii="Arial" w:hAnsi="Arial" w:cs="Arial"/>
          <w:i/>
        </w:rPr>
        <w:t>Macarthy’s</w:t>
      </w:r>
      <w:proofErr w:type="spellEnd"/>
      <w:r w:rsidR="001B2794">
        <w:rPr>
          <w:rFonts w:ascii="Arial" w:hAnsi="Arial" w:cs="Arial"/>
        </w:rPr>
        <w:t>, that</w:t>
      </w:r>
      <w:proofErr w:type="gramEnd"/>
      <w:r w:rsidR="001B2794">
        <w:rPr>
          <w:rFonts w:ascii="Arial" w:hAnsi="Arial" w:cs="Arial"/>
        </w:rPr>
        <w:t xml:space="preserve"> they were rebelling.</w:t>
      </w:r>
      <w:r w:rsidR="00BB68FA">
        <w:rPr>
          <w:rStyle w:val="FootnoteReference"/>
          <w:rFonts w:ascii="Arial" w:hAnsi="Arial" w:cs="Arial"/>
        </w:rPr>
        <w:footnoteReference w:id="120"/>
      </w:r>
    </w:p>
    <w:p w:rsidR="006E37F4" w:rsidRDefault="006E37F4" w:rsidP="00985067">
      <w:pPr>
        <w:spacing w:after="0" w:line="240" w:lineRule="auto"/>
        <w:contextualSpacing/>
        <w:jc w:val="both"/>
        <w:rPr>
          <w:rFonts w:ascii="Arial" w:hAnsi="Arial" w:cs="Arial"/>
        </w:rPr>
      </w:pPr>
    </w:p>
    <w:p w:rsidR="00C22027" w:rsidRDefault="00EC2037" w:rsidP="00985067">
      <w:pPr>
        <w:spacing w:after="0" w:line="240" w:lineRule="auto"/>
        <w:contextualSpacing/>
        <w:jc w:val="both"/>
        <w:rPr>
          <w:rFonts w:ascii="Arial" w:hAnsi="Arial" w:cs="Arial"/>
        </w:rPr>
      </w:pPr>
      <w:r>
        <w:rPr>
          <w:rFonts w:ascii="Arial" w:hAnsi="Arial" w:cs="Arial"/>
        </w:rPr>
        <w:t xml:space="preserve">Lord </w:t>
      </w:r>
      <w:proofErr w:type="spellStart"/>
      <w:r>
        <w:rPr>
          <w:rFonts w:ascii="Arial" w:hAnsi="Arial" w:cs="Arial"/>
        </w:rPr>
        <w:t>Mance’s</w:t>
      </w:r>
      <w:proofErr w:type="spellEnd"/>
      <w:r>
        <w:rPr>
          <w:rFonts w:ascii="Arial" w:hAnsi="Arial" w:cs="Arial"/>
        </w:rPr>
        <w:t xml:space="preserve"> dissent is centred on the notion that</w:t>
      </w:r>
      <w:r w:rsidR="00BB68FA">
        <w:rPr>
          <w:rFonts w:ascii="Arial" w:hAnsi="Arial" w:cs="Arial"/>
        </w:rPr>
        <w:t xml:space="preserve">, when the UK legislature departs from the exact wording of an EU obligation which it is transposing, </w:t>
      </w:r>
      <w:r w:rsidR="00DD25D4">
        <w:rPr>
          <w:rFonts w:ascii="Arial" w:hAnsi="Arial" w:cs="Arial"/>
        </w:rPr>
        <w:t xml:space="preserve">the resultant differences are </w:t>
      </w:r>
      <w:r w:rsidR="00DD25D4" w:rsidRPr="006E37F4">
        <w:rPr>
          <w:rFonts w:ascii="Arial" w:hAnsi="Arial" w:cs="Arial"/>
          <w:i/>
        </w:rPr>
        <w:t>not</w:t>
      </w:r>
      <w:r w:rsidR="00DD25D4">
        <w:rPr>
          <w:rFonts w:ascii="Arial" w:hAnsi="Arial" w:cs="Arial"/>
        </w:rPr>
        <w:t xml:space="preserve"> a </w:t>
      </w:r>
      <w:r w:rsidR="00BB68FA">
        <w:rPr>
          <w:rFonts w:ascii="Arial" w:hAnsi="Arial" w:cs="Arial"/>
        </w:rPr>
        <w:t xml:space="preserve">mistake, but, as Lord Hope had opined in an earlier extradition case, </w:t>
      </w:r>
    </w:p>
    <w:p w:rsidR="00DD25D4" w:rsidRDefault="00DD25D4" w:rsidP="00985067">
      <w:pPr>
        <w:spacing w:after="0" w:line="240" w:lineRule="auto"/>
        <w:contextualSpacing/>
        <w:jc w:val="both"/>
        <w:rPr>
          <w:rFonts w:ascii="Arial" w:hAnsi="Arial" w:cs="Arial"/>
        </w:rPr>
      </w:pPr>
    </w:p>
    <w:p w:rsidR="00DD25D4" w:rsidRPr="00DD25D4" w:rsidRDefault="00DD25D4" w:rsidP="00DD25D4">
      <w:pPr>
        <w:spacing w:after="0" w:line="240" w:lineRule="auto"/>
        <w:ind w:left="720"/>
        <w:contextualSpacing/>
        <w:rPr>
          <w:rFonts w:ascii="Arial" w:hAnsi="Arial" w:cs="Arial"/>
        </w:rPr>
      </w:pPr>
      <w:proofErr w:type="gramStart"/>
      <w:r w:rsidRPr="00DD25D4">
        <w:rPr>
          <w:rFonts w:ascii="Arial" w:hAnsi="Arial" w:cs="Arial"/>
          <w:i/>
        </w:rPr>
        <w:t>regarded</w:t>
      </w:r>
      <w:proofErr w:type="gramEnd"/>
      <w:r w:rsidRPr="00DD25D4">
        <w:rPr>
          <w:rFonts w:ascii="Arial" w:hAnsi="Arial" w:cs="Arial"/>
          <w:i/>
        </w:rPr>
        <w:t xml:space="preserve"> by Parliament as a necessary protection against an unlawful infringement of the right to liberty.</w:t>
      </w:r>
      <w:r>
        <w:rPr>
          <w:rStyle w:val="FootnoteReference"/>
          <w:rFonts w:ascii="Arial" w:hAnsi="Arial" w:cs="Arial"/>
          <w:i/>
        </w:rPr>
        <w:footnoteReference w:id="121"/>
      </w:r>
    </w:p>
    <w:p w:rsidR="00BB68FA" w:rsidRDefault="00BB68FA" w:rsidP="00985067">
      <w:pPr>
        <w:spacing w:after="0" w:line="240" w:lineRule="auto"/>
        <w:contextualSpacing/>
        <w:jc w:val="both"/>
        <w:rPr>
          <w:rFonts w:ascii="Arial" w:hAnsi="Arial" w:cs="Arial"/>
        </w:rPr>
      </w:pPr>
    </w:p>
    <w:p w:rsidR="00BB68FA" w:rsidRDefault="00B05DA5" w:rsidP="00985067">
      <w:pPr>
        <w:spacing w:after="0" w:line="240" w:lineRule="auto"/>
        <w:contextualSpacing/>
        <w:jc w:val="both"/>
        <w:rPr>
          <w:rFonts w:ascii="Arial" w:hAnsi="Arial" w:cs="Arial"/>
        </w:rPr>
      </w:pPr>
      <w:r>
        <w:rPr>
          <w:rFonts w:ascii="Arial" w:hAnsi="Arial" w:cs="Arial"/>
        </w:rPr>
        <w:t xml:space="preserve">Lord </w:t>
      </w:r>
      <w:proofErr w:type="spellStart"/>
      <w:r>
        <w:rPr>
          <w:rFonts w:ascii="Arial" w:hAnsi="Arial" w:cs="Arial"/>
        </w:rPr>
        <w:t>Mance</w:t>
      </w:r>
      <w:proofErr w:type="spellEnd"/>
      <w:r>
        <w:rPr>
          <w:rFonts w:ascii="Arial" w:hAnsi="Arial" w:cs="Arial"/>
        </w:rPr>
        <w:t xml:space="preserve"> actually agrees with Lord Phillips on the correct EU meaning to be given to the phrase ‘judicial authority</w:t>
      </w:r>
      <w:r w:rsidR="006E37F4">
        <w:rPr>
          <w:rFonts w:ascii="Arial" w:hAnsi="Arial" w:cs="Arial"/>
        </w:rPr>
        <w:t>,’</w:t>
      </w:r>
      <w:r>
        <w:rPr>
          <w:rStyle w:val="FootnoteReference"/>
          <w:rFonts w:ascii="Arial" w:hAnsi="Arial" w:cs="Arial"/>
        </w:rPr>
        <w:footnoteReference w:id="122"/>
      </w:r>
      <w:r w:rsidR="006E37F4">
        <w:rPr>
          <w:rFonts w:ascii="Arial" w:hAnsi="Arial" w:cs="Arial"/>
        </w:rPr>
        <w:t xml:space="preserve"> but is of the view that</w:t>
      </w:r>
    </w:p>
    <w:p w:rsidR="006E37F4" w:rsidRDefault="006E37F4" w:rsidP="00985067">
      <w:pPr>
        <w:spacing w:after="0" w:line="240" w:lineRule="auto"/>
        <w:contextualSpacing/>
        <w:jc w:val="both"/>
        <w:rPr>
          <w:rFonts w:ascii="Arial" w:hAnsi="Arial" w:cs="Arial"/>
        </w:rPr>
      </w:pPr>
    </w:p>
    <w:p w:rsidR="006E37F4" w:rsidRPr="006E37F4" w:rsidRDefault="006E37F4" w:rsidP="006E37F4">
      <w:pPr>
        <w:spacing w:after="0" w:line="240" w:lineRule="auto"/>
        <w:ind w:left="720"/>
        <w:contextualSpacing/>
        <w:rPr>
          <w:rFonts w:ascii="Arial" w:hAnsi="Arial" w:cs="Arial"/>
        </w:rPr>
      </w:pPr>
      <w:r w:rsidRPr="006E37F4">
        <w:rPr>
          <w:rFonts w:ascii="Arial" w:hAnsi="Arial" w:cs="Arial"/>
          <w:i/>
        </w:rPr>
        <w:t>Parliament in 2003 may well have thought that the concept of a “judicial</w:t>
      </w:r>
      <w:r>
        <w:rPr>
          <w:rFonts w:ascii="Arial" w:hAnsi="Arial" w:cs="Arial"/>
          <w:i/>
        </w:rPr>
        <w:t xml:space="preserve"> authority” (...) </w:t>
      </w:r>
      <w:r w:rsidRPr="006E37F4">
        <w:rPr>
          <w:rFonts w:ascii="Arial" w:hAnsi="Arial" w:cs="Arial"/>
          <w:i/>
        </w:rPr>
        <w:t>in the Framework Decision meant the same as its natural English meaning. If so, we should give effect to Parliament's intention.</w:t>
      </w:r>
      <w:r>
        <w:rPr>
          <w:rStyle w:val="FootnoteReference"/>
          <w:rFonts w:ascii="Arial" w:hAnsi="Arial" w:cs="Arial"/>
          <w:i/>
        </w:rPr>
        <w:footnoteReference w:id="123"/>
      </w:r>
    </w:p>
    <w:p w:rsidR="00991CB6" w:rsidRDefault="00991CB6" w:rsidP="00985067">
      <w:pPr>
        <w:spacing w:after="0" w:line="240" w:lineRule="auto"/>
        <w:contextualSpacing/>
        <w:jc w:val="both"/>
        <w:rPr>
          <w:rFonts w:ascii="Arial" w:hAnsi="Arial" w:cs="Arial"/>
        </w:rPr>
      </w:pPr>
    </w:p>
    <w:p w:rsidR="00991CB6" w:rsidRDefault="00243E1C" w:rsidP="00985067">
      <w:pPr>
        <w:spacing w:after="0" w:line="240" w:lineRule="auto"/>
        <w:contextualSpacing/>
        <w:jc w:val="both"/>
        <w:rPr>
          <w:rFonts w:ascii="Arial" w:hAnsi="Arial" w:cs="Arial"/>
        </w:rPr>
      </w:pPr>
      <w:r>
        <w:rPr>
          <w:rFonts w:ascii="Arial" w:hAnsi="Arial" w:cs="Arial"/>
        </w:rPr>
        <w:t>He goes on to explain his belief that Parliament, in passing the Extradition Bill, had fashioned ‘</w:t>
      </w:r>
      <w:r w:rsidRPr="00243E1C">
        <w:rPr>
          <w:rFonts w:ascii="Arial" w:hAnsi="Arial" w:cs="Arial"/>
        </w:rPr>
        <w:t>an objective domestic conception of judicial authority</w:t>
      </w:r>
      <w:r>
        <w:rPr>
          <w:rFonts w:ascii="Arial" w:hAnsi="Arial" w:cs="Arial"/>
        </w:rPr>
        <w:t>.’</w:t>
      </w:r>
      <w:r>
        <w:rPr>
          <w:rStyle w:val="FootnoteReference"/>
          <w:rFonts w:ascii="Arial" w:hAnsi="Arial" w:cs="Arial"/>
        </w:rPr>
        <w:footnoteReference w:id="124"/>
      </w:r>
      <w:r>
        <w:rPr>
          <w:rFonts w:ascii="Arial" w:hAnsi="Arial" w:cs="Arial"/>
        </w:rPr>
        <w:t xml:space="preserve">  As to whether a public prosecutor could constitute a ‘judicial authority’ for the purposes of the new statute, Lord </w:t>
      </w:r>
      <w:proofErr w:type="spellStart"/>
      <w:r>
        <w:rPr>
          <w:rFonts w:ascii="Arial" w:hAnsi="Arial" w:cs="Arial"/>
        </w:rPr>
        <w:t>Mance</w:t>
      </w:r>
      <w:proofErr w:type="spellEnd"/>
      <w:r>
        <w:rPr>
          <w:rFonts w:ascii="Arial" w:hAnsi="Arial" w:cs="Arial"/>
        </w:rPr>
        <w:t xml:space="preserve"> deduced from his lengthy consideration of the parliamentary debates leading up to the adoption of the </w:t>
      </w:r>
      <w:r>
        <w:rPr>
          <w:rFonts w:ascii="Arial" w:hAnsi="Arial" w:cs="Arial"/>
        </w:rPr>
        <w:lastRenderedPageBreak/>
        <w:t>Act</w:t>
      </w:r>
      <w:r w:rsidR="00E27252">
        <w:rPr>
          <w:rFonts w:ascii="Arial" w:hAnsi="Arial" w:cs="Arial"/>
        </w:rPr>
        <w:t xml:space="preserve"> that the government ministers introducing the Bill had made assurances that such a prosecutor could not be considered to be a ‘judicial authority;’ the only authority which would request extradition would be a ‘judicial authority </w:t>
      </w:r>
      <w:r w:rsidRPr="00243E1C">
        <w:rPr>
          <w:rFonts w:ascii="Arial" w:hAnsi="Arial" w:cs="Arial"/>
        </w:rPr>
        <w:t>in the sense of a court, judge or magi</w:t>
      </w:r>
      <w:r>
        <w:rPr>
          <w:rFonts w:ascii="Arial" w:hAnsi="Arial" w:cs="Arial"/>
        </w:rPr>
        <w:t>strate</w:t>
      </w:r>
      <w:r w:rsidR="00E27252">
        <w:rPr>
          <w:rFonts w:ascii="Arial" w:hAnsi="Arial" w:cs="Arial"/>
        </w:rPr>
        <w:t>.</w:t>
      </w:r>
      <w:r>
        <w:rPr>
          <w:rFonts w:ascii="Arial" w:hAnsi="Arial" w:cs="Arial"/>
        </w:rPr>
        <w:t>’</w:t>
      </w:r>
      <w:r w:rsidR="00E27252">
        <w:rPr>
          <w:rStyle w:val="FootnoteReference"/>
          <w:rFonts w:ascii="Arial" w:hAnsi="Arial" w:cs="Arial"/>
        </w:rPr>
        <w:footnoteReference w:id="125"/>
      </w:r>
      <w:r w:rsidR="00E117AB">
        <w:rPr>
          <w:rFonts w:ascii="Arial" w:hAnsi="Arial" w:cs="Arial"/>
        </w:rPr>
        <w:t xml:space="preserve">  What could not be imputed to Parliament, according to Lord </w:t>
      </w:r>
      <w:proofErr w:type="spellStart"/>
      <w:r w:rsidR="00E117AB">
        <w:rPr>
          <w:rFonts w:ascii="Arial" w:hAnsi="Arial" w:cs="Arial"/>
        </w:rPr>
        <w:t>Mance</w:t>
      </w:r>
      <w:proofErr w:type="spellEnd"/>
      <w:r w:rsidR="00E117AB">
        <w:rPr>
          <w:rFonts w:ascii="Arial" w:hAnsi="Arial" w:cs="Arial"/>
        </w:rPr>
        <w:t xml:space="preserve">, was an intention that ‘judicial authority’ should mean whatever it subsequently </w:t>
      </w:r>
      <w:r w:rsidR="00E117AB" w:rsidRPr="00E117AB">
        <w:rPr>
          <w:rFonts w:ascii="Arial" w:hAnsi="Arial" w:cs="Arial"/>
          <w:i/>
        </w:rPr>
        <w:t>came to</w:t>
      </w:r>
      <w:r w:rsidR="00E117AB">
        <w:rPr>
          <w:rFonts w:ascii="Arial" w:hAnsi="Arial" w:cs="Arial"/>
        </w:rPr>
        <w:t xml:space="preserve"> mean under EU Law:</w:t>
      </w:r>
    </w:p>
    <w:p w:rsidR="00E117AB" w:rsidRDefault="00E117AB" w:rsidP="00985067">
      <w:pPr>
        <w:spacing w:after="0" w:line="240" w:lineRule="auto"/>
        <w:contextualSpacing/>
        <w:jc w:val="both"/>
        <w:rPr>
          <w:rFonts w:ascii="Arial" w:hAnsi="Arial" w:cs="Arial"/>
        </w:rPr>
      </w:pPr>
    </w:p>
    <w:p w:rsidR="00E117AB" w:rsidRPr="00722462" w:rsidRDefault="00E117AB" w:rsidP="00E117AB">
      <w:pPr>
        <w:spacing w:after="0" w:line="240" w:lineRule="auto"/>
        <w:ind w:left="720"/>
        <w:contextualSpacing/>
        <w:rPr>
          <w:rFonts w:ascii="Arial" w:hAnsi="Arial" w:cs="Arial"/>
        </w:rPr>
      </w:pPr>
      <w:r w:rsidRPr="00E117AB">
        <w:rPr>
          <w:rFonts w:ascii="Arial" w:hAnsi="Arial" w:cs="Arial"/>
          <w:i/>
        </w:rPr>
        <w:t>Both Parliament and the courts can and should, in my opinion, take ministers at their word as to the meaning of the Act they were promoting, and not question unqualified assurances which they have given.</w:t>
      </w:r>
      <w:r w:rsidR="00722462">
        <w:rPr>
          <w:rStyle w:val="FootnoteReference"/>
          <w:rFonts w:ascii="Arial" w:hAnsi="Arial" w:cs="Arial"/>
          <w:i/>
        </w:rPr>
        <w:footnoteReference w:id="126"/>
      </w:r>
    </w:p>
    <w:p w:rsidR="00991CB6" w:rsidRPr="00E117AB" w:rsidRDefault="00991CB6" w:rsidP="00985067">
      <w:pPr>
        <w:spacing w:after="0" w:line="240" w:lineRule="auto"/>
        <w:contextualSpacing/>
        <w:jc w:val="both"/>
        <w:rPr>
          <w:rFonts w:ascii="Arial" w:hAnsi="Arial" w:cs="Arial"/>
          <w:i/>
        </w:rPr>
      </w:pPr>
    </w:p>
    <w:p w:rsidR="00803BE5" w:rsidRDefault="00F342BB" w:rsidP="00985067">
      <w:pPr>
        <w:spacing w:after="0" w:line="240" w:lineRule="auto"/>
        <w:contextualSpacing/>
        <w:jc w:val="both"/>
        <w:rPr>
          <w:rFonts w:ascii="Arial" w:hAnsi="Arial" w:cs="Arial"/>
          <w:b/>
        </w:rPr>
      </w:pPr>
      <w:r w:rsidRPr="00F342BB">
        <w:rPr>
          <w:rFonts w:ascii="Arial" w:hAnsi="Arial" w:cs="Arial"/>
          <w:b/>
        </w:rPr>
        <w:t>Analysis</w:t>
      </w:r>
    </w:p>
    <w:p w:rsidR="00803BE5" w:rsidRDefault="00803BE5" w:rsidP="00985067">
      <w:pPr>
        <w:spacing w:after="0" w:line="240" w:lineRule="auto"/>
        <w:contextualSpacing/>
        <w:jc w:val="both"/>
        <w:rPr>
          <w:rFonts w:ascii="Arial" w:hAnsi="Arial" w:cs="Arial"/>
          <w:b/>
        </w:rPr>
      </w:pPr>
    </w:p>
    <w:p w:rsidR="00C75A1A" w:rsidRDefault="00C75A1A" w:rsidP="00985067">
      <w:pPr>
        <w:spacing w:after="0" w:line="240" w:lineRule="auto"/>
        <w:contextualSpacing/>
        <w:jc w:val="both"/>
        <w:rPr>
          <w:rFonts w:ascii="Arial" w:hAnsi="Arial" w:cs="Arial"/>
        </w:rPr>
      </w:pPr>
      <w:proofErr w:type="spellStart"/>
      <w:r>
        <w:rPr>
          <w:rFonts w:ascii="Arial" w:hAnsi="Arial" w:cs="Arial"/>
        </w:rPr>
        <w:t>Brexiteers</w:t>
      </w:r>
      <w:proofErr w:type="spellEnd"/>
      <w:r>
        <w:rPr>
          <w:rFonts w:ascii="Arial" w:hAnsi="Arial" w:cs="Arial"/>
        </w:rPr>
        <w:t xml:space="preserve"> might well argue that the views expressed by ministers during the passing of the Extradition Bill as to whether or not the notion of ‘judicial authority’ included prosecutors </w:t>
      </w:r>
      <w:r w:rsidR="00305BD0">
        <w:rPr>
          <w:rFonts w:ascii="Arial" w:hAnsi="Arial" w:cs="Arial"/>
        </w:rPr>
        <w:t xml:space="preserve">were evidence of a British belief system wherein partial prosecutors could never be confused with impartial judges, a belief system on the basis of which they were entitled to brief MPs and peers who in turn were entitled to adopt laws reflecting it.  Such views </w:t>
      </w:r>
      <w:r>
        <w:rPr>
          <w:rFonts w:ascii="Arial" w:hAnsi="Arial" w:cs="Arial"/>
        </w:rPr>
        <w:t>were only ‘mistakes’ as a matter of EU-imposed legal fact – views no reasonable minister diligently carrying out his or her duty could have reached given the state of EU law at that moment</w:t>
      </w:r>
      <w:r w:rsidR="00E962CA">
        <w:rPr>
          <w:rFonts w:ascii="Arial" w:hAnsi="Arial" w:cs="Arial"/>
        </w:rPr>
        <w:t>.</w:t>
      </w:r>
      <w:r w:rsidR="002D60D5">
        <w:rPr>
          <w:rStyle w:val="FootnoteReference"/>
          <w:rFonts w:ascii="Arial" w:hAnsi="Arial" w:cs="Arial"/>
        </w:rPr>
        <w:footnoteReference w:id="127"/>
      </w:r>
    </w:p>
    <w:p w:rsidR="00CB1129" w:rsidRPr="00985067" w:rsidRDefault="00CB1129" w:rsidP="00985067">
      <w:pPr>
        <w:spacing w:after="0" w:line="240" w:lineRule="auto"/>
        <w:contextualSpacing/>
        <w:jc w:val="both"/>
        <w:rPr>
          <w:rFonts w:ascii="Arial" w:hAnsi="Arial" w:cs="Arial"/>
        </w:rPr>
      </w:pPr>
    </w:p>
    <w:p w:rsidR="00985067" w:rsidRDefault="000F2222" w:rsidP="00985067">
      <w:pPr>
        <w:spacing w:after="0" w:line="240" w:lineRule="auto"/>
        <w:contextualSpacing/>
        <w:jc w:val="both"/>
        <w:rPr>
          <w:rFonts w:ascii="Arial" w:hAnsi="Arial" w:cs="Arial"/>
        </w:rPr>
      </w:pPr>
      <w:r>
        <w:rPr>
          <w:rFonts w:ascii="Arial" w:hAnsi="Arial" w:cs="Arial"/>
        </w:rPr>
        <w:t>Brexit removes the ‘mistaken’ character of these views as they are or may be held on or after Exit Day, but can it</w:t>
      </w:r>
      <w:r w:rsidR="00985067" w:rsidRPr="00985067">
        <w:rPr>
          <w:rFonts w:ascii="Arial" w:hAnsi="Arial" w:cs="Arial"/>
        </w:rPr>
        <w:t xml:space="preserve"> neutralise the mistake</w:t>
      </w:r>
      <w:r>
        <w:rPr>
          <w:rFonts w:ascii="Arial" w:hAnsi="Arial" w:cs="Arial"/>
        </w:rPr>
        <w:t>s of the past</w:t>
      </w:r>
      <w:r w:rsidR="00985067" w:rsidRPr="00985067">
        <w:rPr>
          <w:rFonts w:ascii="Arial" w:hAnsi="Arial" w:cs="Arial"/>
        </w:rPr>
        <w:t xml:space="preserve">?  </w:t>
      </w:r>
      <w:r w:rsidR="00156DB8">
        <w:rPr>
          <w:rFonts w:ascii="Arial" w:hAnsi="Arial" w:cs="Arial"/>
        </w:rPr>
        <w:t>A negative</w:t>
      </w:r>
      <w:r w:rsidR="00985067" w:rsidRPr="00985067">
        <w:rPr>
          <w:rFonts w:ascii="Arial" w:hAnsi="Arial" w:cs="Arial"/>
        </w:rPr>
        <w:t xml:space="preserve"> answer </w:t>
      </w:r>
      <w:r w:rsidR="00156DB8">
        <w:rPr>
          <w:rFonts w:ascii="Arial" w:hAnsi="Arial" w:cs="Arial"/>
        </w:rPr>
        <w:t>to this question would hold that, if</w:t>
      </w:r>
      <w:r w:rsidR="00985067" w:rsidRPr="00985067">
        <w:rPr>
          <w:rFonts w:ascii="Arial" w:hAnsi="Arial" w:cs="Arial"/>
        </w:rPr>
        <w:t xml:space="preserve"> the intention of Parliament when passing the Extradition Act 2003 was to fulfil the UK’s existing obligations, and if the fact was th</w:t>
      </w:r>
      <w:r w:rsidR="00CB1129">
        <w:rPr>
          <w:rFonts w:ascii="Arial" w:hAnsi="Arial" w:cs="Arial"/>
        </w:rPr>
        <w:t xml:space="preserve">at </w:t>
      </w:r>
      <w:r w:rsidR="00CB1129" w:rsidRPr="000F2222">
        <w:rPr>
          <w:rFonts w:ascii="Arial" w:hAnsi="Arial" w:cs="Arial"/>
          <w:i/>
        </w:rPr>
        <w:t>at that time</w:t>
      </w:r>
      <w:r w:rsidR="00CB1129">
        <w:rPr>
          <w:rFonts w:ascii="Arial" w:hAnsi="Arial" w:cs="Arial"/>
        </w:rPr>
        <w:t xml:space="preserve"> the meaning of ‘judicial authority’</w:t>
      </w:r>
      <w:r w:rsidR="00985067" w:rsidRPr="00985067">
        <w:rPr>
          <w:rFonts w:ascii="Arial" w:hAnsi="Arial" w:cs="Arial"/>
        </w:rPr>
        <w:t xml:space="preserve"> - in EU law - was such that it included prosecutors,</w:t>
      </w:r>
      <w:r w:rsidR="00CB1129">
        <w:rPr>
          <w:rFonts w:ascii="Arial" w:hAnsi="Arial" w:cs="Arial"/>
        </w:rPr>
        <w:t xml:space="preserve"> then neither the intention nor </w:t>
      </w:r>
      <w:r w:rsidR="00985067" w:rsidRPr="00985067">
        <w:rPr>
          <w:rFonts w:ascii="Arial" w:hAnsi="Arial" w:cs="Arial"/>
        </w:rPr>
        <w:t xml:space="preserve">the fact would appear to be capable of being changed </w:t>
      </w:r>
      <w:r w:rsidR="00985067" w:rsidRPr="00985067">
        <w:rPr>
          <w:rFonts w:ascii="Arial" w:hAnsi="Arial" w:cs="Arial"/>
          <w:i/>
        </w:rPr>
        <w:t>ex post</w:t>
      </w:r>
      <w:r w:rsidR="00985067" w:rsidRPr="00985067">
        <w:rPr>
          <w:rFonts w:ascii="Arial" w:hAnsi="Arial" w:cs="Arial"/>
        </w:rPr>
        <w:t>, even if, going forwards, it will not be possible for MPs and peers to be misled as to meaning, as the interpretative buck will stop with them in any event.  It is they who will be the sole masters and mistresses of meaning</w:t>
      </w:r>
      <w:r w:rsidR="00C22027">
        <w:rPr>
          <w:rFonts w:ascii="Arial" w:hAnsi="Arial" w:cs="Arial"/>
        </w:rPr>
        <w:t xml:space="preserve"> after Brexit</w:t>
      </w:r>
      <w:r w:rsidR="00985067" w:rsidRPr="00985067">
        <w:rPr>
          <w:rFonts w:ascii="Arial" w:hAnsi="Arial" w:cs="Arial"/>
        </w:rPr>
        <w:t>.</w:t>
      </w:r>
    </w:p>
    <w:p w:rsidR="00CB1129" w:rsidRPr="00985067" w:rsidRDefault="00CB1129" w:rsidP="00985067">
      <w:pPr>
        <w:spacing w:after="0" w:line="240" w:lineRule="auto"/>
        <w:contextualSpacing/>
        <w:jc w:val="both"/>
        <w:rPr>
          <w:rFonts w:ascii="Arial" w:hAnsi="Arial" w:cs="Arial"/>
        </w:rPr>
      </w:pPr>
    </w:p>
    <w:p w:rsidR="00803BE5" w:rsidRDefault="00406259" w:rsidP="00985067">
      <w:pPr>
        <w:spacing w:after="0" w:line="240" w:lineRule="auto"/>
        <w:contextualSpacing/>
        <w:jc w:val="both"/>
        <w:rPr>
          <w:rFonts w:ascii="Arial" w:hAnsi="Arial" w:cs="Arial"/>
        </w:rPr>
      </w:pPr>
      <w:r>
        <w:rPr>
          <w:rFonts w:ascii="Arial" w:hAnsi="Arial" w:cs="Arial"/>
        </w:rPr>
        <w:t>Of all of the alternative interpretations</w:t>
      </w:r>
      <w:r w:rsidR="004B77A1">
        <w:rPr>
          <w:rFonts w:ascii="Arial" w:hAnsi="Arial" w:cs="Arial"/>
        </w:rPr>
        <w:t xml:space="preserve"> given in </w:t>
      </w:r>
      <w:r w:rsidR="004B77A1" w:rsidRPr="004B77A1">
        <w:rPr>
          <w:rFonts w:ascii="Arial" w:hAnsi="Arial" w:cs="Arial"/>
          <w:i/>
        </w:rPr>
        <w:t>Assange</w:t>
      </w:r>
      <w:r>
        <w:rPr>
          <w:rFonts w:ascii="Arial" w:hAnsi="Arial" w:cs="Arial"/>
        </w:rPr>
        <w:t>, it is only Lord Phillips’ fifth, that of subsequent state practice, that would allow for the possibility of a UK-only meaning of ‘judicial authority’</w:t>
      </w:r>
      <w:r w:rsidR="002C1EA4">
        <w:rPr>
          <w:rFonts w:ascii="Arial" w:hAnsi="Arial" w:cs="Arial"/>
        </w:rPr>
        <w:t xml:space="preserve"> </w:t>
      </w:r>
      <w:r>
        <w:rPr>
          <w:rFonts w:ascii="Arial" w:hAnsi="Arial" w:cs="Arial"/>
        </w:rPr>
        <w:t xml:space="preserve">after Exit Day.  That is because, if Parliament did indeed write the UK judges a blank legislative cheque, allowing them to fill </w:t>
      </w:r>
      <w:r w:rsidR="002C1EA4">
        <w:rPr>
          <w:rFonts w:ascii="Arial" w:hAnsi="Arial" w:cs="Arial"/>
        </w:rPr>
        <w:t xml:space="preserve">it out in accordance with the prevailing legal zeitgeist at the moment of interpretation, and index-linking the interpretative act to subsequent legal developments, then the adoption of the European Union (Withdrawal) Act would appear to be just such a development, and the repeal of the European Communities Act 1972, </w:t>
      </w:r>
      <w:r w:rsidR="0049305C">
        <w:rPr>
          <w:rFonts w:ascii="Arial" w:hAnsi="Arial" w:cs="Arial"/>
        </w:rPr>
        <w:t>removing</w:t>
      </w:r>
      <w:r w:rsidR="00924FEA">
        <w:rPr>
          <w:rFonts w:ascii="Arial" w:hAnsi="Arial" w:cs="Arial"/>
        </w:rPr>
        <w:t xml:space="preserve"> all of the UK’s obligations under EU Law,</w:t>
      </w:r>
      <w:r w:rsidR="0049305C">
        <w:rPr>
          <w:rStyle w:val="FootnoteReference"/>
          <w:rFonts w:ascii="Arial" w:hAnsi="Arial" w:cs="Arial"/>
        </w:rPr>
        <w:footnoteReference w:id="128"/>
      </w:r>
      <w:r w:rsidR="00924FEA">
        <w:rPr>
          <w:rFonts w:ascii="Arial" w:hAnsi="Arial" w:cs="Arial"/>
        </w:rPr>
        <w:t xml:space="preserve"> should leave the way clear for UK judges to reinterpret the Extradition Act solely </w:t>
      </w:r>
      <w:r w:rsidR="00D0436B">
        <w:rPr>
          <w:rFonts w:ascii="Arial" w:hAnsi="Arial" w:cs="Arial"/>
        </w:rPr>
        <w:t>from the</w:t>
      </w:r>
      <w:r w:rsidR="00924FEA">
        <w:rPr>
          <w:rFonts w:ascii="Arial" w:hAnsi="Arial" w:cs="Arial"/>
        </w:rPr>
        <w:t xml:space="preserve"> British </w:t>
      </w:r>
      <w:r w:rsidR="00D0436B">
        <w:rPr>
          <w:rFonts w:ascii="Arial" w:hAnsi="Arial" w:cs="Arial"/>
        </w:rPr>
        <w:t>point of view</w:t>
      </w:r>
      <w:r w:rsidR="00924FEA">
        <w:rPr>
          <w:rFonts w:ascii="Arial" w:hAnsi="Arial" w:cs="Arial"/>
        </w:rPr>
        <w:t xml:space="preserve">.  </w:t>
      </w:r>
      <w:r w:rsidR="00902524">
        <w:rPr>
          <w:rFonts w:ascii="Arial" w:hAnsi="Arial" w:cs="Arial"/>
        </w:rPr>
        <w:t xml:space="preserve">To put it in terms employed by the present article, the orthodox approach would give way to the liberal one.  </w:t>
      </w:r>
    </w:p>
    <w:p w:rsidR="00CD52C5" w:rsidRDefault="00CD52C5" w:rsidP="00985067">
      <w:pPr>
        <w:spacing w:after="0" w:line="240" w:lineRule="auto"/>
        <w:contextualSpacing/>
        <w:jc w:val="both"/>
        <w:rPr>
          <w:rFonts w:ascii="Arial" w:hAnsi="Arial" w:cs="Arial"/>
        </w:rPr>
      </w:pPr>
    </w:p>
    <w:p w:rsidR="006C0AA8" w:rsidRDefault="00803BE5" w:rsidP="00985067">
      <w:pPr>
        <w:spacing w:after="0" w:line="240" w:lineRule="auto"/>
        <w:contextualSpacing/>
        <w:jc w:val="both"/>
        <w:rPr>
          <w:rFonts w:ascii="Arial" w:hAnsi="Arial" w:cs="Arial"/>
        </w:rPr>
      </w:pPr>
      <w:r>
        <w:rPr>
          <w:rFonts w:ascii="Arial" w:hAnsi="Arial" w:cs="Arial"/>
        </w:rPr>
        <w:t xml:space="preserve">Perhaps </w:t>
      </w:r>
      <w:r w:rsidR="00985067" w:rsidRPr="00985067">
        <w:rPr>
          <w:rFonts w:ascii="Arial" w:hAnsi="Arial" w:cs="Arial"/>
        </w:rPr>
        <w:t xml:space="preserve">the only </w:t>
      </w:r>
      <w:r w:rsidR="00D0436B" w:rsidRPr="00D0436B">
        <w:rPr>
          <w:rFonts w:ascii="Arial" w:hAnsi="Arial" w:cs="Arial"/>
          <w:i/>
        </w:rPr>
        <w:t>other</w:t>
      </w:r>
      <w:r w:rsidR="00D0436B">
        <w:rPr>
          <w:rFonts w:ascii="Arial" w:hAnsi="Arial" w:cs="Arial"/>
        </w:rPr>
        <w:t xml:space="preserve"> </w:t>
      </w:r>
      <w:r w:rsidR="00985067" w:rsidRPr="00985067">
        <w:rPr>
          <w:rFonts w:ascii="Arial" w:hAnsi="Arial" w:cs="Arial"/>
        </w:rPr>
        <w:t>way a judge could be able to get away w</w:t>
      </w:r>
      <w:r w:rsidR="00CB1129">
        <w:rPr>
          <w:rFonts w:ascii="Arial" w:hAnsi="Arial" w:cs="Arial"/>
        </w:rPr>
        <w:t xml:space="preserve">ith judging a post-Brexit case </w:t>
      </w:r>
      <w:r w:rsidR="00C04F5E">
        <w:rPr>
          <w:rFonts w:ascii="Arial" w:hAnsi="Arial" w:cs="Arial"/>
        </w:rPr>
        <w:t xml:space="preserve">about a pre-Brexit law </w:t>
      </w:r>
      <w:r w:rsidR="00CB1129">
        <w:rPr>
          <w:rFonts w:ascii="Arial" w:hAnsi="Arial" w:cs="Arial"/>
        </w:rPr>
        <w:t xml:space="preserve">‘the Brexit way’ </w:t>
      </w:r>
      <w:r w:rsidR="00985067" w:rsidRPr="00985067">
        <w:rPr>
          <w:rFonts w:ascii="Arial" w:hAnsi="Arial" w:cs="Arial"/>
        </w:rPr>
        <w:t xml:space="preserve">would be if he or she took a teleological approach, with the successful realisation of Brexit being the </w:t>
      </w:r>
      <w:r w:rsidR="00985067" w:rsidRPr="00985067">
        <w:rPr>
          <w:rFonts w:ascii="Arial" w:hAnsi="Arial" w:cs="Arial"/>
          <w:i/>
        </w:rPr>
        <w:t>telos</w:t>
      </w:r>
      <w:r w:rsidR="00985067" w:rsidRPr="00985067">
        <w:rPr>
          <w:rFonts w:ascii="Arial" w:hAnsi="Arial" w:cs="Arial"/>
        </w:rPr>
        <w:t xml:space="preserve"> in question, as the successful completion </w:t>
      </w:r>
      <w:r w:rsidR="00985067" w:rsidRPr="00985067">
        <w:rPr>
          <w:rFonts w:ascii="Arial" w:hAnsi="Arial" w:cs="Arial"/>
        </w:rPr>
        <w:lastRenderedPageBreak/>
        <w:t>of the Single Market was for the Court of Justice.  The present author has already offered this suggestion elsewhere.</w:t>
      </w:r>
      <w:r w:rsidR="00985067" w:rsidRPr="00985067">
        <w:rPr>
          <w:rFonts w:ascii="Arial" w:hAnsi="Arial" w:cs="Arial"/>
          <w:vertAlign w:val="superscript"/>
        </w:rPr>
        <w:footnoteReference w:id="129"/>
      </w:r>
    </w:p>
    <w:p w:rsidR="006C0AA8" w:rsidRDefault="006C0AA8" w:rsidP="00985067">
      <w:pPr>
        <w:spacing w:after="0" w:line="240" w:lineRule="auto"/>
        <w:contextualSpacing/>
        <w:jc w:val="both"/>
        <w:rPr>
          <w:rFonts w:ascii="Arial" w:hAnsi="Arial" w:cs="Arial"/>
        </w:rPr>
      </w:pPr>
    </w:p>
    <w:p w:rsidR="009A2E4F" w:rsidRDefault="00100F88" w:rsidP="00985067">
      <w:pPr>
        <w:spacing w:after="0" w:line="240" w:lineRule="auto"/>
        <w:contextualSpacing/>
        <w:jc w:val="both"/>
        <w:rPr>
          <w:rFonts w:ascii="Arial" w:hAnsi="Arial" w:cs="Arial"/>
          <w:b/>
        </w:rPr>
      </w:pPr>
      <w:r>
        <w:rPr>
          <w:rFonts w:ascii="Arial" w:hAnsi="Arial" w:cs="Arial"/>
          <w:b/>
        </w:rPr>
        <w:t>Final thoughts</w:t>
      </w:r>
      <w:r w:rsidR="009A2E4F" w:rsidRPr="009A2E4F">
        <w:rPr>
          <w:rFonts w:ascii="Arial" w:hAnsi="Arial" w:cs="Arial"/>
          <w:b/>
        </w:rPr>
        <w:t xml:space="preserve"> on the second proposition</w:t>
      </w:r>
    </w:p>
    <w:p w:rsidR="00E560F7" w:rsidRDefault="00E560F7" w:rsidP="00985067">
      <w:pPr>
        <w:spacing w:after="0" w:line="240" w:lineRule="auto"/>
        <w:contextualSpacing/>
        <w:jc w:val="both"/>
        <w:rPr>
          <w:rFonts w:ascii="Arial" w:hAnsi="Arial" w:cs="Arial"/>
          <w:b/>
        </w:rPr>
      </w:pPr>
    </w:p>
    <w:p w:rsidR="0090009B" w:rsidRPr="0068281E" w:rsidRDefault="0068281E" w:rsidP="0090009B">
      <w:pPr>
        <w:spacing w:after="0" w:line="240" w:lineRule="auto"/>
        <w:contextualSpacing/>
        <w:jc w:val="both"/>
        <w:rPr>
          <w:rFonts w:ascii="Arial" w:hAnsi="Arial" w:cs="Arial"/>
        </w:rPr>
      </w:pPr>
      <w:r>
        <w:rPr>
          <w:rFonts w:ascii="Arial" w:hAnsi="Arial" w:cs="Arial"/>
        </w:rPr>
        <w:t xml:space="preserve">Ultimately what is being </w:t>
      </w:r>
      <w:r w:rsidR="00100F88">
        <w:rPr>
          <w:rFonts w:ascii="Arial" w:hAnsi="Arial" w:cs="Arial"/>
        </w:rPr>
        <w:t xml:space="preserve">called into question </w:t>
      </w:r>
      <w:r>
        <w:rPr>
          <w:rFonts w:ascii="Arial" w:hAnsi="Arial" w:cs="Arial"/>
        </w:rPr>
        <w:t xml:space="preserve">here is the power of past Parliaments.  </w:t>
      </w:r>
      <w:r w:rsidR="00B4143F">
        <w:rPr>
          <w:rFonts w:ascii="Arial" w:hAnsi="Arial" w:cs="Arial"/>
        </w:rPr>
        <w:t xml:space="preserve">But can historic </w:t>
      </w:r>
      <w:r w:rsidR="00B4143F" w:rsidRPr="004748F1">
        <w:rPr>
          <w:rFonts w:ascii="Arial" w:hAnsi="Arial" w:cs="Arial"/>
          <w:i/>
        </w:rPr>
        <w:t>vires</w:t>
      </w:r>
      <w:r w:rsidR="00B4143F">
        <w:rPr>
          <w:rFonts w:ascii="Arial" w:hAnsi="Arial" w:cs="Arial"/>
        </w:rPr>
        <w:t xml:space="preserve"> be varied?  </w:t>
      </w:r>
      <w:r>
        <w:rPr>
          <w:rFonts w:ascii="Arial" w:hAnsi="Arial" w:cs="Arial"/>
        </w:rPr>
        <w:t>Open-ended reassessment of the original intention of Parliament puts old-time views about undiluted sovereignty under strain.  Cooke is right to call it a ‘pervading fiction.’</w:t>
      </w:r>
      <w:r>
        <w:rPr>
          <w:rStyle w:val="FootnoteReference"/>
          <w:rFonts w:ascii="Arial" w:hAnsi="Arial" w:cs="Arial"/>
        </w:rPr>
        <w:footnoteReference w:id="130"/>
      </w:r>
      <w:r>
        <w:rPr>
          <w:rFonts w:ascii="Arial" w:hAnsi="Arial" w:cs="Arial"/>
        </w:rPr>
        <w:t xml:space="preserve">  However, to return to the US context, ‘changed factual circumstances’ are regarded there as one of the so-called ‘special justifications’ for overruling a precedent,</w:t>
      </w:r>
      <w:r w:rsidR="00026E33">
        <w:rPr>
          <w:rStyle w:val="FootnoteReference"/>
          <w:rFonts w:ascii="Arial" w:hAnsi="Arial" w:cs="Arial"/>
        </w:rPr>
        <w:footnoteReference w:id="131"/>
      </w:r>
      <w:r>
        <w:rPr>
          <w:rFonts w:ascii="Arial" w:hAnsi="Arial" w:cs="Arial"/>
        </w:rPr>
        <w:t xml:space="preserve"> and Brexit is nothing if not a changed circumstance.  It is just that </w:t>
      </w:r>
      <w:r w:rsidR="0090009B">
        <w:rPr>
          <w:rFonts w:ascii="Arial" w:hAnsi="Arial" w:cs="Arial"/>
          <w:lang w:val="en-US"/>
        </w:rPr>
        <w:t xml:space="preserve">abandoning the idea of a unitary meaning either compels one to downgrade the relevance of legislative intention, or else to perform increasingly complex mental gymnastics to relate the ‘new’ meaning back to the original lawmaker.  </w:t>
      </w:r>
    </w:p>
    <w:p w:rsidR="0090009B" w:rsidRDefault="0090009B" w:rsidP="0090009B">
      <w:pPr>
        <w:spacing w:after="0" w:line="240" w:lineRule="auto"/>
        <w:contextualSpacing/>
        <w:jc w:val="both"/>
        <w:rPr>
          <w:rFonts w:ascii="Arial" w:hAnsi="Arial" w:cs="Arial"/>
          <w:lang w:val="en-US"/>
        </w:rPr>
      </w:pPr>
    </w:p>
    <w:p w:rsidR="000407E3" w:rsidRDefault="00100F88" w:rsidP="00AA4207">
      <w:pPr>
        <w:spacing w:after="0" w:line="240" w:lineRule="auto"/>
        <w:contextualSpacing/>
        <w:jc w:val="both"/>
        <w:rPr>
          <w:rFonts w:ascii="Arial" w:hAnsi="Arial" w:cs="Arial"/>
        </w:rPr>
      </w:pPr>
      <w:r>
        <w:rPr>
          <w:rFonts w:ascii="Arial" w:hAnsi="Arial" w:cs="Arial"/>
        </w:rPr>
        <w:t>We have seen that it will be tricky for judges following the liberal approach to find a way to alter the meaning of ‘judicial authority,’ arguably for the sec</w:t>
      </w:r>
      <w:r w:rsidR="00265026">
        <w:rPr>
          <w:rFonts w:ascii="Arial" w:hAnsi="Arial" w:cs="Arial"/>
        </w:rPr>
        <w:t>ond time, post-Brexit</w:t>
      </w:r>
      <w:r>
        <w:rPr>
          <w:rFonts w:ascii="Arial" w:hAnsi="Arial" w:cs="Arial"/>
        </w:rPr>
        <w:t xml:space="preserve">.  Judges following the orthodox approach might then be tempted to leave the definition as it </w:t>
      </w:r>
      <w:r w:rsidR="00265026">
        <w:rPr>
          <w:rFonts w:ascii="Arial" w:hAnsi="Arial" w:cs="Arial"/>
        </w:rPr>
        <w:t xml:space="preserve">is.  </w:t>
      </w:r>
      <w:r w:rsidR="00B712A5">
        <w:rPr>
          <w:rFonts w:ascii="Arial" w:hAnsi="Arial" w:cs="Arial"/>
        </w:rPr>
        <w:t>J</w:t>
      </w:r>
      <w:r w:rsidR="0090009B">
        <w:rPr>
          <w:rFonts w:ascii="Arial" w:hAnsi="Arial" w:cs="Arial"/>
        </w:rPr>
        <w:t>udges</w:t>
      </w:r>
      <w:r w:rsidR="00B712A5">
        <w:rPr>
          <w:rFonts w:ascii="Arial" w:hAnsi="Arial" w:cs="Arial"/>
        </w:rPr>
        <w:t xml:space="preserve"> following the ‘new orthodoxy’</w:t>
      </w:r>
      <w:r w:rsidR="00DF11A7">
        <w:rPr>
          <w:rFonts w:ascii="Arial" w:hAnsi="Arial" w:cs="Arial"/>
        </w:rPr>
        <w:t xml:space="preserve">, though, might </w:t>
      </w:r>
      <w:r w:rsidR="00DF11A7" w:rsidRPr="0090009B">
        <w:rPr>
          <w:rFonts w:ascii="Arial" w:hAnsi="Arial" w:cs="Arial"/>
          <w:i/>
        </w:rPr>
        <w:t>also</w:t>
      </w:r>
      <w:r w:rsidR="00DF11A7">
        <w:rPr>
          <w:rFonts w:ascii="Arial" w:hAnsi="Arial" w:cs="Arial"/>
        </w:rPr>
        <w:t xml:space="preserve"> find a way to define ‘judicial authority’ so as to exclude </w:t>
      </w:r>
      <w:proofErr w:type="spellStart"/>
      <w:r w:rsidR="00DF11A7">
        <w:rPr>
          <w:rFonts w:ascii="Arial" w:hAnsi="Arial" w:cs="Arial"/>
        </w:rPr>
        <w:t>prosecutors</w:t>
      </w:r>
      <w:proofErr w:type="gramStart"/>
      <w:r w:rsidR="00E006EE">
        <w:rPr>
          <w:rFonts w:ascii="Arial" w:hAnsi="Arial" w:cs="Arial"/>
        </w:rPr>
        <w:t>,</w:t>
      </w:r>
      <w:r w:rsidR="00AA4207">
        <w:rPr>
          <w:rFonts w:ascii="Arial" w:hAnsi="Arial" w:cs="Arial"/>
        </w:rPr>
        <w:t>f</w:t>
      </w:r>
      <w:r w:rsidR="00DF11A7">
        <w:rPr>
          <w:rFonts w:ascii="Arial" w:hAnsi="Arial" w:cs="Arial"/>
        </w:rPr>
        <w:t>ollowing</w:t>
      </w:r>
      <w:proofErr w:type="spellEnd"/>
      <w:proofErr w:type="gramEnd"/>
      <w:r w:rsidR="00DF11A7">
        <w:rPr>
          <w:rFonts w:ascii="Arial" w:hAnsi="Arial" w:cs="Arial"/>
        </w:rPr>
        <w:t xml:space="preserve"> the logic of</w:t>
      </w:r>
      <w:r w:rsidR="00DF11A7" w:rsidRPr="00DF11A7">
        <w:rPr>
          <w:rFonts w:ascii="Arial" w:hAnsi="Arial" w:cs="Arial"/>
        </w:rPr>
        <w:t xml:space="preserve"> </w:t>
      </w:r>
      <w:r w:rsidR="00DF11A7">
        <w:rPr>
          <w:rFonts w:ascii="Arial" w:hAnsi="Arial" w:cs="Arial"/>
        </w:rPr>
        <w:t xml:space="preserve">Hood </w:t>
      </w:r>
      <w:r w:rsidR="00DF11A7" w:rsidRPr="00DF11A7">
        <w:rPr>
          <w:rFonts w:ascii="Arial" w:hAnsi="Arial" w:cs="Arial"/>
        </w:rPr>
        <w:t>Phillips</w:t>
      </w:r>
      <w:r w:rsidR="00E006EE">
        <w:rPr>
          <w:rFonts w:ascii="Arial" w:hAnsi="Arial" w:cs="Arial"/>
        </w:rPr>
        <w:t xml:space="preserve"> as explained in the section before last.</w:t>
      </w:r>
      <w:r w:rsidR="00DF11A7" w:rsidRPr="00DF11A7">
        <w:rPr>
          <w:rFonts w:ascii="Arial" w:hAnsi="Arial" w:cs="Arial"/>
        </w:rPr>
        <w:t xml:space="preserve"> </w:t>
      </w:r>
      <w:r w:rsidR="00E006EE">
        <w:rPr>
          <w:rFonts w:ascii="Arial" w:hAnsi="Arial" w:cs="Arial"/>
        </w:rPr>
        <w:t xml:space="preserve"> </w:t>
      </w:r>
      <w:r w:rsidR="00251DC9">
        <w:rPr>
          <w:rFonts w:ascii="Arial" w:hAnsi="Arial" w:cs="Arial"/>
        </w:rPr>
        <w:t xml:space="preserve">According to these judges, </w:t>
      </w:r>
      <w:r w:rsidR="001F7E8D">
        <w:rPr>
          <w:rFonts w:ascii="Arial" w:hAnsi="Arial" w:cs="Arial"/>
        </w:rPr>
        <w:t>their Lordships’ consideration</w:t>
      </w:r>
      <w:r w:rsidR="00251DC9">
        <w:rPr>
          <w:rFonts w:ascii="Arial" w:hAnsi="Arial" w:cs="Arial"/>
        </w:rPr>
        <w:t xml:space="preserve">, in the original </w:t>
      </w:r>
      <w:r w:rsidR="00251DC9" w:rsidRPr="00251DC9">
        <w:rPr>
          <w:rFonts w:ascii="Arial" w:hAnsi="Arial" w:cs="Arial"/>
          <w:i/>
        </w:rPr>
        <w:t>Assange</w:t>
      </w:r>
      <w:r w:rsidR="00251DC9">
        <w:rPr>
          <w:rFonts w:ascii="Arial" w:hAnsi="Arial" w:cs="Arial"/>
        </w:rPr>
        <w:t xml:space="preserve"> case,</w:t>
      </w:r>
      <w:r w:rsidR="00036546">
        <w:rPr>
          <w:rFonts w:ascii="Arial" w:hAnsi="Arial" w:cs="Arial"/>
        </w:rPr>
        <w:t xml:space="preserve"> of the meaning and effect of the Framework Decision</w:t>
      </w:r>
      <w:r w:rsidR="001207FF">
        <w:rPr>
          <w:rFonts w:ascii="Arial" w:hAnsi="Arial" w:cs="Arial"/>
        </w:rPr>
        <w:t xml:space="preserve">, as a question of law, </w:t>
      </w:r>
      <w:r w:rsidR="00036546">
        <w:rPr>
          <w:rFonts w:ascii="Arial" w:hAnsi="Arial" w:cs="Arial"/>
        </w:rPr>
        <w:t>during legal proceedings concerning the Extradition Act</w:t>
      </w:r>
      <w:proofErr w:type="gramStart"/>
      <w:r w:rsidR="00354FD5">
        <w:rPr>
          <w:rFonts w:ascii="Arial" w:hAnsi="Arial" w:cs="Arial"/>
        </w:rPr>
        <w:t>,</w:t>
      </w:r>
      <w:r w:rsidR="00ED1A7B">
        <w:rPr>
          <w:rFonts w:ascii="Arial" w:hAnsi="Arial" w:cs="Arial"/>
        </w:rPr>
        <w:t xml:space="preserve"> </w:t>
      </w:r>
      <w:r w:rsidR="00B712A5">
        <w:rPr>
          <w:rFonts w:ascii="Arial" w:hAnsi="Arial" w:cs="Arial"/>
        </w:rPr>
        <w:t xml:space="preserve"> </w:t>
      </w:r>
      <w:r w:rsidR="00036546">
        <w:rPr>
          <w:rFonts w:ascii="Arial" w:hAnsi="Arial" w:cs="Arial"/>
        </w:rPr>
        <w:t>was</w:t>
      </w:r>
      <w:proofErr w:type="gramEnd"/>
      <w:r w:rsidR="00036546">
        <w:rPr>
          <w:rFonts w:ascii="Arial" w:hAnsi="Arial" w:cs="Arial"/>
        </w:rPr>
        <w:t xml:space="preserve"> carried out pursuant to section 3(1) of the European Communities Act</w:t>
      </w:r>
      <w:r w:rsidR="001207FF">
        <w:rPr>
          <w:rFonts w:ascii="Arial" w:hAnsi="Arial" w:cs="Arial"/>
        </w:rPr>
        <w:t xml:space="preserve"> </w:t>
      </w:r>
      <w:r w:rsidR="001207FF" w:rsidRPr="0090009B">
        <w:rPr>
          <w:rFonts w:ascii="Arial" w:hAnsi="Arial" w:cs="Arial"/>
          <w:i/>
        </w:rPr>
        <w:t>only</w:t>
      </w:r>
      <w:r w:rsidR="00036546">
        <w:rPr>
          <w:rFonts w:ascii="Arial" w:hAnsi="Arial" w:cs="Arial"/>
        </w:rPr>
        <w:t xml:space="preserve">.  </w:t>
      </w:r>
      <w:r w:rsidR="00B712A5">
        <w:rPr>
          <w:rFonts w:ascii="Arial" w:hAnsi="Arial" w:cs="Arial"/>
        </w:rPr>
        <w:t xml:space="preserve">Thus, </w:t>
      </w:r>
      <w:r w:rsidR="005655C2">
        <w:rPr>
          <w:rFonts w:ascii="Arial" w:hAnsi="Arial" w:cs="Arial"/>
        </w:rPr>
        <w:t xml:space="preserve">they would reason, </w:t>
      </w:r>
      <w:r w:rsidR="00B712A5">
        <w:rPr>
          <w:rFonts w:ascii="Arial" w:hAnsi="Arial" w:cs="Arial"/>
        </w:rPr>
        <w:t>w</w:t>
      </w:r>
      <w:r w:rsidR="00036546">
        <w:rPr>
          <w:rFonts w:ascii="Arial" w:hAnsi="Arial" w:cs="Arial"/>
        </w:rPr>
        <w:t>ith the latter Act repealed,</w:t>
      </w:r>
      <w:r w:rsidR="00BB374A">
        <w:rPr>
          <w:rStyle w:val="FootnoteReference"/>
          <w:rFonts w:ascii="Arial" w:hAnsi="Arial" w:cs="Arial"/>
        </w:rPr>
        <w:footnoteReference w:id="132"/>
      </w:r>
      <w:r w:rsidR="001207FF">
        <w:rPr>
          <w:rFonts w:ascii="Arial" w:hAnsi="Arial" w:cs="Arial"/>
        </w:rPr>
        <w:t xml:space="preserve"> the meaning and effect of the Framework Decision would return to what would have been their pre-1972 status of questions of fact and as such could be discarded at will.  The Extradition Act must then </w:t>
      </w:r>
      <w:r w:rsidR="0090009B">
        <w:rPr>
          <w:rFonts w:ascii="Arial" w:hAnsi="Arial" w:cs="Arial"/>
        </w:rPr>
        <w:t xml:space="preserve">no longer be </w:t>
      </w:r>
      <w:r w:rsidR="001207FF">
        <w:rPr>
          <w:rFonts w:ascii="Arial" w:hAnsi="Arial" w:cs="Arial"/>
        </w:rPr>
        <w:t xml:space="preserve">interpreted </w:t>
      </w:r>
      <w:r w:rsidR="0090009B">
        <w:rPr>
          <w:rFonts w:ascii="Arial" w:hAnsi="Arial" w:cs="Arial"/>
        </w:rPr>
        <w:t>in the light of the Framework Decision; that light would in fact have been switched off.</w:t>
      </w:r>
      <w:r w:rsidR="00216F85">
        <w:rPr>
          <w:rFonts w:ascii="Arial" w:hAnsi="Arial" w:cs="Arial"/>
        </w:rPr>
        <w:t xml:space="preserve">  </w:t>
      </w:r>
      <w:r w:rsidR="005655C2">
        <w:rPr>
          <w:rFonts w:ascii="Arial" w:hAnsi="Arial" w:cs="Arial"/>
        </w:rPr>
        <w:t xml:space="preserve">Our </w:t>
      </w:r>
      <w:r w:rsidR="007C3457" w:rsidRPr="007C3457">
        <w:rPr>
          <w:rFonts w:ascii="Arial" w:hAnsi="Arial" w:cs="Arial"/>
          <w:i/>
        </w:rPr>
        <w:t>nouveaux</w:t>
      </w:r>
      <w:r w:rsidR="005655C2">
        <w:rPr>
          <w:rFonts w:ascii="Arial" w:hAnsi="Arial" w:cs="Arial"/>
        </w:rPr>
        <w:t xml:space="preserve"> orthodox judges would regard the situation as being</w:t>
      </w:r>
      <w:r w:rsidR="00216F85">
        <w:rPr>
          <w:rFonts w:ascii="Arial" w:hAnsi="Arial" w:cs="Arial"/>
        </w:rPr>
        <w:t xml:space="preserve">, </w:t>
      </w:r>
      <w:r w:rsidR="00AA4207">
        <w:rPr>
          <w:rFonts w:ascii="Arial" w:hAnsi="Arial" w:cs="Arial"/>
        </w:rPr>
        <w:t xml:space="preserve">once again </w:t>
      </w:r>
      <w:r w:rsidR="00216F85">
        <w:rPr>
          <w:rFonts w:ascii="Arial" w:hAnsi="Arial" w:cs="Arial"/>
        </w:rPr>
        <w:t xml:space="preserve">to paraphrase Laws LJ in </w:t>
      </w:r>
      <w:proofErr w:type="spellStart"/>
      <w:proofErr w:type="gramStart"/>
      <w:r w:rsidR="00216F85" w:rsidRPr="00216F85">
        <w:rPr>
          <w:rFonts w:ascii="Arial" w:hAnsi="Arial" w:cs="Arial"/>
          <w:i/>
        </w:rPr>
        <w:t>Thoburn</w:t>
      </w:r>
      <w:proofErr w:type="spellEnd"/>
      <w:r w:rsidR="00216F85">
        <w:rPr>
          <w:rFonts w:ascii="Arial" w:hAnsi="Arial" w:cs="Arial"/>
        </w:rPr>
        <w:t xml:space="preserve">, </w:t>
      </w:r>
      <w:r w:rsidR="00EE490C">
        <w:rPr>
          <w:rFonts w:ascii="Arial" w:hAnsi="Arial" w:cs="Arial"/>
        </w:rPr>
        <w:t>that</w:t>
      </w:r>
      <w:proofErr w:type="gramEnd"/>
      <w:r w:rsidR="00EE490C">
        <w:rPr>
          <w:rFonts w:ascii="Arial" w:hAnsi="Arial" w:cs="Arial"/>
        </w:rPr>
        <w:t xml:space="preserve"> </w:t>
      </w:r>
      <w:r w:rsidR="00216F85">
        <w:rPr>
          <w:rFonts w:ascii="Arial" w:hAnsi="Arial" w:cs="Arial"/>
        </w:rPr>
        <w:t>t</w:t>
      </w:r>
      <w:r w:rsidR="00216F85" w:rsidRPr="00216F85">
        <w:rPr>
          <w:rFonts w:ascii="Arial" w:hAnsi="Arial" w:cs="Arial"/>
        </w:rPr>
        <w:t xml:space="preserve">he </w:t>
      </w:r>
      <w:r w:rsidR="00216F85">
        <w:rPr>
          <w:rFonts w:ascii="Arial" w:hAnsi="Arial" w:cs="Arial"/>
        </w:rPr>
        <w:t>2003</w:t>
      </w:r>
      <w:r w:rsidR="00216F85" w:rsidRPr="00216F85">
        <w:rPr>
          <w:rFonts w:ascii="Arial" w:hAnsi="Arial" w:cs="Arial"/>
        </w:rPr>
        <w:t xml:space="preserve"> Act took effect </w:t>
      </w:r>
      <w:r w:rsidR="00216F85" w:rsidRPr="00216F85">
        <w:rPr>
          <w:rFonts w:ascii="Arial" w:hAnsi="Arial" w:cs="Arial"/>
          <w:i/>
        </w:rPr>
        <w:t>subject to</w:t>
      </w:r>
      <w:r w:rsidR="00216F85" w:rsidRPr="00216F85">
        <w:rPr>
          <w:rFonts w:ascii="Arial" w:hAnsi="Arial" w:cs="Arial"/>
        </w:rPr>
        <w:t xml:space="preserve"> </w:t>
      </w:r>
      <w:r w:rsidR="00216F85">
        <w:rPr>
          <w:rFonts w:ascii="Arial" w:hAnsi="Arial" w:cs="Arial"/>
        </w:rPr>
        <w:t>EU</w:t>
      </w:r>
      <w:r w:rsidR="00216F85" w:rsidRPr="00216F85">
        <w:rPr>
          <w:rFonts w:ascii="Arial" w:hAnsi="Arial" w:cs="Arial"/>
        </w:rPr>
        <w:t xml:space="preserve"> rights incorporated into </w:t>
      </w:r>
      <w:r w:rsidR="00FC26D1">
        <w:rPr>
          <w:rFonts w:ascii="Arial" w:hAnsi="Arial" w:cs="Arial"/>
        </w:rPr>
        <w:t>UK</w:t>
      </w:r>
      <w:r w:rsidR="00216F85" w:rsidRPr="00216F85">
        <w:rPr>
          <w:rFonts w:ascii="Arial" w:hAnsi="Arial" w:cs="Arial"/>
        </w:rPr>
        <w:t xml:space="preserve"> law by the 1972 Act</w:t>
      </w:r>
      <w:r w:rsidR="00216F85">
        <w:rPr>
          <w:rFonts w:ascii="Arial" w:hAnsi="Arial" w:cs="Arial"/>
        </w:rPr>
        <w:t>.</w:t>
      </w:r>
      <w:r w:rsidR="00265026">
        <w:rPr>
          <w:rStyle w:val="FootnoteReference"/>
          <w:rFonts w:ascii="Arial" w:hAnsi="Arial" w:cs="Arial"/>
        </w:rPr>
        <w:footnoteReference w:id="133"/>
      </w:r>
      <w:r w:rsidR="00216F85">
        <w:rPr>
          <w:rFonts w:ascii="Arial" w:hAnsi="Arial" w:cs="Arial"/>
        </w:rPr>
        <w:t xml:space="preserve">  Those rights, including the right </w:t>
      </w:r>
      <w:r w:rsidR="000C3AC3">
        <w:rPr>
          <w:rFonts w:ascii="Arial" w:hAnsi="Arial" w:cs="Arial"/>
        </w:rPr>
        <w:t>to harmonious interpretation</w:t>
      </w:r>
      <w:r w:rsidR="005655C2">
        <w:rPr>
          <w:rFonts w:ascii="Arial" w:hAnsi="Arial" w:cs="Arial"/>
        </w:rPr>
        <w:t>,</w:t>
      </w:r>
      <w:r w:rsidR="000C3AC3">
        <w:rPr>
          <w:rFonts w:ascii="Arial" w:hAnsi="Arial" w:cs="Arial"/>
        </w:rPr>
        <w:t xml:space="preserve"> </w:t>
      </w:r>
      <w:r w:rsidR="00216F85">
        <w:rPr>
          <w:rFonts w:ascii="Arial" w:hAnsi="Arial" w:cs="Arial"/>
        </w:rPr>
        <w:t xml:space="preserve">were therefore </w:t>
      </w:r>
      <w:r w:rsidR="00216F85" w:rsidRPr="00216F85">
        <w:rPr>
          <w:rFonts w:ascii="Arial" w:hAnsi="Arial" w:cs="Arial"/>
          <w:i/>
        </w:rPr>
        <w:t>part of</w:t>
      </w:r>
      <w:r w:rsidR="00216F85">
        <w:rPr>
          <w:rFonts w:ascii="Arial" w:hAnsi="Arial" w:cs="Arial"/>
        </w:rPr>
        <w:t xml:space="preserve"> the </w:t>
      </w:r>
      <w:r w:rsidR="00EE490C">
        <w:rPr>
          <w:rFonts w:ascii="Arial" w:hAnsi="Arial" w:cs="Arial"/>
        </w:rPr>
        <w:t>lawgiver’s</w:t>
      </w:r>
      <w:r w:rsidR="00216F85">
        <w:rPr>
          <w:rFonts w:ascii="Arial" w:hAnsi="Arial" w:cs="Arial"/>
        </w:rPr>
        <w:t xml:space="preserve"> intention </w:t>
      </w:r>
      <w:r w:rsidR="00632160">
        <w:rPr>
          <w:rFonts w:ascii="Arial" w:hAnsi="Arial" w:cs="Arial"/>
        </w:rPr>
        <w:t xml:space="preserve">at the time of the passage of the Extradition Act </w:t>
      </w:r>
      <w:r w:rsidR="00216F85">
        <w:rPr>
          <w:rFonts w:ascii="Arial" w:hAnsi="Arial" w:cs="Arial"/>
        </w:rPr>
        <w:t>2003</w:t>
      </w:r>
      <w:r w:rsidR="00ED1EA2">
        <w:rPr>
          <w:rFonts w:ascii="Arial" w:hAnsi="Arial" w:cs="Arial"/>
        </w:rPr>
        <w:t xml:space="preserve">, </w:t>
      </w:r>
      <w:r w:rsidR="00EE490C">
        <w:rPr>
          <w:rFonts w:ascii="Arial" w:hAnsi="Arial" w:cs="Arial"/>
        </w:rPr>
        <w:t xml:space="preserve">and those rights were thus to be </w:t>
      </w:r>
      <w:r w:rsidR="007C3457" w:rsidRPr="007C3457">
        <w:rPr>
          <w:rFonts w:ascii="Arial" w:hAnsi="Arial" w:cs="Arial"/>
          <w:i/>
        </w:rPr>
        <w:t>read into</w:t>
      </w:r>
      <w:r w:rsidR="00EE490C">
        <w:rPr>
          <w:rFonts w:ascii="Arial" w:hAnsi="Arial" w:cs="Arial"/>
        </w:rPr>
        <w:t xml:space="preserve"> the 2003 Act courtesy of an unwritten proviso </w:t>
      </w:r>
      <w:r w:rsidR="00632160">
        <w:rPr>
          <w:rFonts w:ascii="Arial" w:hAnsi="Arial" w:cs="Arial"/>
        </w:rPr>
        <w:t>originating in the 1972 Act.</w:t>
      </w:r>
      <w:r w:rsidR="00EE490C">
        <w:rPr>
          <w:rFonts w:ascii="Arial" w:hAnsi="Arial" w:cs="Arial"/>
        </w:rPr>
        <w:t xml:space="preserve"> </w:t>
      </w:r>
      <w:r w:rsidR="00632160">
        <w:rPr>
          <w:rFonts w:ascii="Arial" w:hAnsi="Arial" w:cs="Arial"/>
        </w:rPr>
        <w:t xml:space="preserve"> And, they would conclude, since the 1972</w:t>
      </w:r>
      <w:r w:rsidR="00EE490C">
        <w:rPr>
          <w:rFonts w:ascii="Arial" w:hAnsi="Arial" w:cs="Arial"/>
        </w:rPr>
        <w:t xml:space="preserve"> Act impl</w:t>
      </w:r>
      <w:r w:rsidR="00632160">
        <w:rPr>
          <w:rFonts w:ascii="Arial" w:hAnsi="Arial" w:cs="Arial"/>
        </w:rPr>
        <w:t>ied them in, its</w:t>
      </w:r>
      <w:r w:rsidR="00216F85">
        <w:rPr>
          <w:rFonts w:ascii="Arial" w:hAnsi="Arial" w:cs="Arial"/>
        </w:rPr>
        <w:t xml:space="preserve"> demise</w:t>
      </w:r>
      <w:r w:rsidR="00A25887">
        <w:rPr>
          <w:rFonts w:ascii="Arial" w:hAnsi="Arial" w:cs="Arial"/>
        </w:rPr>
        <w:t xml:space="preserve"> – at Parliament’s instruction –</w:t>
      </w:r>
      <w:r w:rsidR="00216F85">
        <w:rPr>
          <w:rFonts w:ascii="Arial" w:hAnsi="Arial" w:cs="Arial"/>
        </w:rPr>
        <w:t xml:space="preserve"> </w:t>
      </w:r>
      <w:r w:rsidR="00F662AD">
        <w:rPr>
          <w:rFonts w:ascii="Arial" w:hAnsi="Arial" w:cs="Arial"/>
        </w:rPr>
        <w:t>sh</w:t>
      </w:r>
      <w:r w:rsidR="00632160">
        <w:rPr>
          <w:rFonts w:ascii="Arial" w:hAnsi="Arial" w:cs="Arial"/>
        </w:rPr>
        <w:t>ould remove them once again</w:t>
      </w:r>
      <w:r w:rsidR="00F662AD">
        <w:rPr>
          <w:rFonts w:ascii="Arial" w:hAnsi="Arial" w:cs="Arial"/>
        </w:rPr>
        <w:t>, freeing the post-Brexit judges to interpret the Extradition Act’s words and phrases, including ‘judicial authority’, in as disharmonious a fashion, vis-à-vis the rest of the EU, as they pleased</w:t>
      </w:r>
      <w:r w:rsidR="0068281E">
        <w:rPr>
          <w:rFonts w:ascii="Arial" w:hAnsi="Arial" w:cs="Arial"/>
        </w:rPr>
        <w:t>.</w:t>
      </w:r>
    </w:p>
    <w:p w:rsidR="00F662AD" w:rsidRDefault="00F662AD" w:rsidP="00AA4207">
      <w:pPr>
        <w:spacing w:after="0" w:line="240" w:lineRule="auto"/>
        <w:contextualSpacing/>
        <w:jc w:val="both"/>
        <w:rPr>
          <w:rFonts w:ascii="Arial" w:hAnsi="Arial" w:cs="Arial"/>
        </w:rPr>
      </w:pPr>
    </w:p>
    <w:p w:rsidR="00F662AD" w:rsidRDefault="00F662AD" w:rsidP="00AA4207">
      <w:pPr>
        <w:spacing w:after="0" w:line="240" w:lineRule="auto"/>
        <w:contextualSpacing/>
        <w:jc w:val="both"/>
        <w:rPr>
          <w:rFonts w:ascii="Arial" w:hAnsi="Arial" w:cs="Arial"/>
        </w:rPr>
      </w:pPr>
      <w:r>
        <w:rPr>
          <w:rFonts w:ascii="Arial" w:hAnsi="Arial" w:cs="Arial"/>
        </w:rPr>
        <w:t xml:space="preserve">However, this author remains unsure whether </w:t>
      </w:r>
      <w:r w:rsidR="003807CA">
        <w:rPr>
          <w:rFonts w:ascii="Arial" w:hAnsi="Arial" w:cs="Arial"/>
        </w:rPr>
        <w:t>the new orthodoxy sufficiently excuses future British judges from</w:t>
      </w:r>
      <w:r w:rsidR="003807CA">
        <w:rPr>
          <w:rFonts w:ascii="Arial" w:hAnsi="Arial" w:cs="Arial"/>
          <w:b/>
        </w:rPr>
        <w:t xml:space="preserve"> </w:t>
      </w:r>
      <w:r w:rsidR="008D57B7">
        <w:rPr>
          <w:rFonts w:ascii="Arial" w:hAnsi="Arial" w:cs="Arial"/>
        </w:rPr>
        <w:t>continuing</w:t>
      </w:r>
      <w:r w:rsidR="007C3457" w:rsidRPr="007C3457">
        <w:rPr>
          <w:rFonts w:ascii="Arial" w:hAnsi="Arial" w:cs="Arial"/>
        </w:rPr>
        <w:t xml:space="preserve"> to interpret</w:t>
      </w:r>
      <w:r w:rsidR="003807CA">
        <w:rPr>
          <w:rFonts w:ascii="Arial" w:hAnsi="Arial" w:cs="Arial"/>
          <w:b/>
        </w:rPr>
        <w:t xml:space="preserve"> </w:t>
      </w:r>
      <w:r w:rsidR="007C3457" w:rsidRPr="007C3457">
        <w:rPr>
          <w:rFonts w:ascii="Arial" w:hAnsi="Arial" w:cs="Arial"/>
        </w:rPr>
        <w:t>pre-Brexit national law in line with EU law</w:t>
      </w:r>
      <w:r w:rsidR="003807CA">
        <w:rPr>
          <w:rFonts w:ascii="Arial" w:hAnsi="Arial" w:cs="Arial"/>
        </w:rPr>
        <w:t xml:space="preserve">.  The argument presented immediately above presupposes that the judge’s job is to interpret the domestic legislation at issue as though on the day of the trial, not as though on the day it was granted Royal Assent.  </w:t>
      </w:r>
      <w:r w:rsidR="008D57B7">
        <w:rPr>
          <w:rFonts w:ascii="Arial" w:hAnsi="Arial" w:cs="Arial"/>
        </w:rPr>
        <w:t xml:space="preserve">There is no getting around the fact that, on the latter date, the ‘proviso’ was still in place, and the lawgiver thus intended, albeit impliedly, that their phrase ‘judicial authority’ should </w:t>
      </w:r>
      <w:r w:rsidR="007C3457" w:rsidRPr="007C3457">
        <w:rPr>
          <w:rFonts w:ascii="Arial" w:hAnsi="Arial" w:cs="Arial"/>
          <w:i/>
        </w:rPr>
        <w:t>then</w:t>
      </w:r>
      <w:r w:rsidR="00DB0960">
        <w:rPr>
          <w:rFonts w:ascii="Arial" w:hAnsi="Arial" w:cs="Arial"/>
        </w:rPr>
        <w:t xml:space="preserve"> </w:t>
      </w:r>
      <w:r w:rsidR="008D57B7">
        <w:rPr>
          <w:rFonts w:ascii="Arial" w:hAnsi="Arial" w:cs="Arial"/>
        </w:rPr>
        <w:t xml:space="preserve">be read in the light of EU Law, however it might be read </w:t>
      </w:r>
      <w:r w:rsidR="007C3457" w:rsidRPr="007C3457">
        <w:rPr>
          <w:rFonts w:ascii="Arial" w:hAnsi="Arial" w:cs="Arial"/>
          <w:i/>
        </w:rPr>
        <w:t>now</w:t>
      </w:r>
      <w:r w:rsidR="008D57B7">
        <w:rPr>
          <w:rFonts w:ascii="Arial" w:hAnsi="Arial" w:cs="Arial"/>
        </w:rPr>
        <w:t>.</w:t>
      </w:r>
      <w:r w:rsidR="007067F0">
        <w:rPr>
          <w:rFonts w:ascii="Arial" w:hAnsi="Arial" w:cs="Arial"/>
        </w:rPr>
        <w:t xml:space="preserve">  There is </w:t>
      </w:r>
      <w:r w:rsidR="007067F0">
        <w:rPr>
          <w:rFonts w:ascii="Arial" w:hAnsi="Arial" w:cs="Arial"/>
        </w:rPr>
        <w:lastRenderedPageBreak/>
        <w:t xml:space="preserve">a </w:t>
      </w:r>
      <w:r w:rsidR="00E46E80">
        <w:rPr>
          <w:rFonts w:ascii="Arial" w:hAnsi="Arial" w:cs="Arial"/>
        </w:rPr>
        <w:t xml:space="preserve">case from the Court of Criminal Appeal which nicely </w:t>
      </w:r>
      <w:r w:rsidR="00DB0960">
        <w:rPr>
          <w:rFonts w:ascii="Arial" w:hAnsi="Arial" w:cs="Arial"/>
        </w:rPr>
        <w:t>illustrate</w:t>
      </w:r>
      <w:r w:rsidR="00E46E80">
        <w:rPr>
          <w:rFonts w:ascii="Arial" w:hAnsi="Arial" w:cs="Arial"/>
        </w:rPr>
        <w:t>s</w:t>
      </w:r>
      <w:r w:rsidR="00DB0960">
        <w:rPr>
          <w:rFonts w:ascii="Arial" w:hAnsi="Arial" w:cs="Arial"/>
        </w:rPr>
        <w:t xml:space="preserve"> the dilemma.  In </w:t>
      </w:r>
      <w:r w:rsidR="007C3457" w:rsidRPr="007C3457">
        <w:rPr>
          <w:rFonts w:ascii="Arial" w:hAnsi="Arial" w:cs="Arial"/>
          <w:i/>
        </w:rPr>
        <w:t xml:space="preserve">R v </w:t>
      </w:r>
      <w:proofErr w:type="spellStart"/>
      <w:r w:rsidR="007C3457" w:rsidRPr="007C3457">
        <w:rPr>
          <w:rFonts w:ascii="Arial" w:hAnsi="Arial" w:cs="Arial"/>
          <w:i/>
        </w:rPr>
        <w:t>Munks</w:t>
      </w:r>
      <w:proofErr w:type="spellEnd"/>
      <w:r w:rsidR="00DB0960">
        <w:rPr>
          <w:rFonts w:ascii="Arial" w:hAnsi="Arial" w:cs="Arial"/>
        </w:rPr>
        <w:t>,</w:t>
      </w:r>
      <w:r w:rsidR="00C10F68">
        <w:rPr>
          <w:rStyle w:val="FootnoteReference"/>
          <w:rFonts w:ascii="Arial" w:hAnsi="Arial" w:cs="Arial"/>
        </w:rPr>
        <w:footnoteReference w:id="134"/>
      </w:r>
      <w:r w:rsidR="00DB0960">
        <w:rPr>
          <w:rFonts w:ascii="Arial" w:hAnsi="Arial" w:cs="Arial"/>
        </w:rPr>
        <w:t xml:space="preserve"> a husband was </w:t>
      </w:r>
      <w:r w:rsidR="007C44BD" w:rsidRPr="007C44BD">
        <w:rPr>
          <w:rFonts w:ascii="Arial" w:hAnsi="Arial" w:cs="Arial"/>
        </w:rPr>
        <w:t xml:space="preserve">convicted of inflicting grievous bodily harm on his wife </w:t>
      </w:r>
      <w:r w:rsidR="00DB0960">
        <w:rPr>
          <w:rFonts w:ascii="Arial" w:hAnsi="Arial" w:cs="Arial"/>
        </w:rPr>
        <w:t xml:space="preserve">by means of tampering with the </w:t>
      </w:r>
      <w:r w:rsidR="007C44BD">
        <w:rPr>
          <w:rFonts w:ascii="Arial" w:hAnsi="Arial" w:cs="Arial"/>
        </w:rPr>
        <w:t>electric</w:t>
      </w:r>
      <w:r w:rsidR="00F233DC">
        <w:rPr>
          <w:rFonts w:ascii="Arial" w:hAnsi="Arial" w:cs="Arial"/>
        </w:rPr>
        <w:t xml:space="preserve"> wiring in their house such that anyone opening the French window would receive an electric shock</w:t>
      </w:r>
      <w:r w:rsidR="00DB0960">
        <w:rPr>
          <w:rFonts w:ascii="Arial" w:hAnsi="Arial" w:cs="Arial"/>
        </w:rPr>
        <w:t xml:space="preserve">.  The legislation at issue </w:t>
      </w:r>
      <w:r w:rsidR="007C44BD">
        <w:rPr>
          <w:rFonts w:ascii="Arial" w:hAnsi="Arial" w:cs="Arial"/>
        </w:rPr>
        <w:t>(s 31</w:t>
      </w:r>
      <w:r w:rsidR="007C44BD" w:rsidRPr="007C44BD">
        <w:rPr>
          <w:rFonts w:ascii="Arial" w:hAnsi="Arial" w:cs="Arial"/>
        </w:rPr>
        <w:t xml:space="preserve"> of the </w:t>
      </w:r>
      <w:r w:rsidR="007C44BD">
        <w:rPr>
          <w:rFonts w:ascii="Arial" w:hAnsi="Arial" w:cs="Arial"/>
        </w:rPr>
        <w:t>Offences against the Person Act</w:t>
      </w:r>
      <w:r w:rsidR="007C44BD" w:rsidRPr="007C44BD">
        <w:rPr>
          <w:rFonts w:ascii="Arial" w:hAnsi="Arial" w:cs="Arial"/>
        </w:rPr>
        <w:t xml:space="preserve"> 1861</w:t>
      </w:r>
      <w:r w:rsidR="007C44BD">
        <w:rPr>
          <w:rFonts w:ascii="Arial" w:hAnsi="Arial" w:cs="Arial"/>
        </w:rPr>
        <w:t>)</w:t>
      </w:r>
      <w:r w:rsidR="007C44BD" w:rsidRPr="007C44BD">
        <w:rPr>
          <w:rFonts w:ascii="Arial" w:hAnsi="Arial" w:cs="Arial"/>
        </w:rPr>
        <w:t xml:space="preserve"> </w:t>
      </w:r>
      <w:r w:rsidR="007C44BD">
        <w:rPr>
          <w:rFonts w:ascii="Arial" w:hAnsi="Arial" w:cs="Arial"/>
        </w:rPr>
        <w:t>offered the following definition of the offence:</w:t>
      </w:r>
    </w:p>
    <w:p w:rsidR="00DB0960" w:rsidRDefault="00DB0960" w:rsidP="00AA4207">
      <w:pPr>
        <w:spacing w:after="0" w:line="240" w:lineRule="auto"/>
        <w:contextualSpacing/>
        <w:jc w:val="both"/>
        <w:rPr>
          <w:rFonts w:ascii="Arial" w:hAnsi="Arial" w:cs="Arial"/>
        </w:rPr>
      </w:pPr>
    </w:p>
    <w:p w:rsidR="004861B1" w:rsidRDefault="007C3457">
      <w:pPr>
        <w:spacing w:after="0" w:line="240" w:lineRule="auto"/>
        <w:ind w:left="720"/>
        <w:contextualSpacing/>
        <w:rPr>
          <w:rFonts w:ascii="Arial" w:hAnsi="Arial" w:cs="Arial"/>
          <w:i/>
        </w:rPr>
      </w:pPr>
      <w:r w:rsidRPr="007C3457">
        <w:rPr>
          <w:rFonts w:ascii="Arial" w:hAnsi="Arial" w:cs="Arial"/>
          <w:i/>
        </w:rPr>
        <w:t>Whosoever shall set or place… any spring gun, man trap or other engine calculated to destroy human life or inflict grievous bodily harm, with the intent that the same or whereby the same may destroy or inflict grievous bodily harm upon a trespasser or other person coming in contact therewith, shall be guilty of a misdemeanour… </w:t>
      </w:r>
    </w:p>
    <w:p w:rsidR="007C44BD" w:rsidRPr="007C44BD" w:rsidRDefault="007C44BD" w:rsidP="00AA4207">
      <w:pPr>
        <w:spacing w:after="0" w:line="240" w:lineRule="auto"/>
        <w:contextualSpacing/>
        <w:jc w:val="both"/>
        <w:rPr>
          <w:rFonts w:ascii="Arial" w:hAnsi="Arial" w:cs="Arial"/>
          <w:i/>
        </w:rPr>
      </w:pPr>
    </w:p>
    <w:p w:rsidR="00DB0960" w:rsidRDefault="0065545C" w:rsidP="00AA4207">
      <w:pPr>
        <w:spacing w:after="0" w:line="240" w:lineRule="auto"/>
        <w:contextualSpacing/>
        <w:jc w:val="both"/>
        <w:rPr>
          <w:rFonts w:ascii="Arial" w:hAnsi="Arial" w:cs="Arial"/>
        </w:rPr>
      </w:pPr>
      <w:r>
        <w:rPr>
          <w:rFonts w:ascii="Arial" w:hAnsi="Arial" w:cs="Arial"/>
        </w:rPr>
        <w:t>In 1861, ‘engine,’ derived from the Latin ‘</w:t>
      </w:r>
      <w:proofErr w:type="spellStart"/>
      <w:r>
        <w:rPr>
          <w:rFonts w:ascii="Arial" w:hAnsi="Arial" w:cs="Arial"/>
        </w:rPr>
        <w:t>ingenium</w:t>
      </w:r>
      <w:proofErr w:type="spellEnd"/>
      <w:r w:rsidRPr="0065545C">
        <w:rPr>
          <w:rFonts w:ascii="Arial" w:hAnsi="Arial" w:cs="Arial"/>
        </w:rPr>
        <w:t>,</w:t>
      </w:r>
      <w:r>
        <w:rPr>
          <w:rFonts w:ascii="Arial" w:hAnsi="Arial" w:cs="Arial"/>
        </w:rPr>
        <w:t>’</w:t>
      </w:r>
      <w:r w:rsidRPr="0065545C">
        <w:rPr>
          <w:rFonts w:ascii="Arial" w:hAnsi="Arial" w:cs="Arial"/>
        </w:rPr>
        <w:t xml:space="preserve"> </w:t>
      </w:r>
      <w:r>
        <w:rPr>
          <w:rFonts w:ascii="Arial" w:hAnsi="Arial" w:cs="Arial"/>
        </w:rPr>
        <w:t>meant</w:t>
      </w:r>
      <w:r w:rsidRPr="0065545C">
        <w:rPr>
          <w:rFonts w:ascii="Arial" w:hAnsi="Arial" w:cs="Arial"/>
        </w:rPr>
        <w:t xml:space="preserve"> any instance or product of ingenuity</w:t>
      </w:r>
      <w:r w:rsidR="00E5013A">
        <w:rPr>
          <w:rFonts w:ascii="Arial" w:hAnsi="Arial" w:cs="Arial"/>
        </w:rPr>
        <w:t>.  By 1963, however, ‘engine’ had come to mean specifically ‘</w:t>
      </w:r>
      <w:r w:rsidR="00E5013A" w:rsidRPr="00F233DC">
        <w:rPr>
          <w:rFonts w:ascii="Arial" w:hAnsi="Arial" w:cs="Arial"/>
        </w:rPr>
        <w:t>a mechanical contrivance</w:t>
      </w:r>
      <w:r w:rsidR="00E5013A">
        <w:rPr>
          <w:rFonts w:ascii="Arial" w:hAnsi="Arial" w:cs="Arial"/>
        </w:rPr>
        <w:t>.’  Lord Parker CJ chose to r</w:t>
      </w:r>
      <w:r w:rsidR="00DB0960">
        <w:rPr>
          <w:rFonts w:ascii="Arial" w:hAnsi="Arial" w:cs="Arial"/>
        </w:rPr>
        <w:t xml:space="preserve">ead </w:t>
      </w:r>
      <w:r w:rsidR="00E5013A">
        <w:rPr>
          <w:rFonts w:ascii="Arial" w:hAnsi="Arial" w:cs="Arial"/>
        </w:rPr>
        <w:t xml:space="preserve">the statute </w:t>
      </w:r>
      <w:r w:rsidR="00DB0960">
        <w:rPr>
          <w:rFonts w:ascii="Arial" w:hAnsi="Arial" w:cs="Arial"/>
        </w:rPr>
        <w:t xml:space="preserve">as though on the day of </w:t>
      </w:r>
      <w:r>
        <w:rPr>
          <w:rFonts w:ascii="Arial" w:hAnsi="Arial" w:cs="Arial"/>
        </w:rPr>
        <w:t>the trial</w:t>
      </w:r>
      <w:r w:rsidR="00E5013A">
        <w:rPr>
          <w:rFonts w:ascii="Arial" w:hAnsi="Arial" w:cs="Arial"/>
        </w:rPr>
        <w:t xml:space="preserve">, and thus reasoned that, since </w:t>
      </w:r>
      <w:r w:rsidR="00F233DC">
        <w:rPr>
          <w:rFonts w:ascii="Arial" w:hAnsi="Arial" w:cs="Arial"/>
        </w:rPr>
        <w:t>electric wires were not mechanical</w:t>
      </w:r>
      <w:r w:rsidR="00DB0960">
        <w:rPr>
          <w:rFonts w:ascii="Arial" w:hAnsi="Arial" w:cs="Arial"/>
        </w:rPr>
        <w:t xml:space="preserve">, the husband was </w:t>
      </w:r>
      <w:r w:rsidR="00F233DC">
        <w:rPr>
          <w:rFonts w:ascii="Arial" w:hAnsi="Arial" w:cs="Arial"/>
        </w:rPr>
        <w:t xml:space="preserve">not </w:t>
      </w:r>
      <w:r w:rsidR="00DB0960">
        <w:rPr>
          <w:rFonts w:ascii="Arial" w:hAnsi="Arial" w:cs="Arial"/>
        </w:rPr>
        <w:t>guilty</w:t>
      </w:r>
      <w:r w:rsidR="00F233DC">
        <w:rPr>
          <w:rFonts w:ascii="Arial" w:hAnsi="Arial" w:cs="Arial"/>
        </w:rPr>
        <w:t xml:space="preserve"> of the offence</w:t>
      </w:r>
      <w:r w:rsidR="00DB0960">
        <w:rPr>
          <w:rFonts w:ascii="Arial" w:hAnsi="Arial" w:cs="Arial"/>
        </w:rPr>
        <w:t>.</w:t>
      </w:r>
      <w:r w:rsidR="00C52A83">
        <w:rPr>
          <w:rFonts w:ascii="Arial" w:hAnsi="Arial" w:cs="Arial"/>
        </w:rPr>
        <w:t xml:space="preserve">  </w:t>
      </w:r>
      <w:proofErr w:type="spellStart"/>
      <w:r w:rsidR="00C52A83" w:rsidRPr="00C52A83">
        <w:rPr>
          <w:rFonts w:ascii="Arial" w:hAnsi="Arial" w:cs="Arial"/>
        </w:rPr>
        <w:t>Benn</w:t>
      </w:r>
      <w:r w:rsidR="00C52A83">
        <w:rPr>
          <w:rFonts w:ascii="Arial" w:hAnsi="Arial" w:cs="Arial"/>
        </w:rPr>
        <w:t>ion</w:t>
      </w:r>
      <w:proofErr w:type="spellEnd"/>
      <w:r w:rsidR="00C52A83">
        <w:rPr>
          <w:rFonts w:ascii="Arial" w:hAnsi="Arial" w:cs="Arial"/>
        </w:rPr>
        <w:t xml:space="preserve"> says that this decision is ‘</w:t>
      </w:r>
      <w:r w:rsidR="00C52A83" w:rsidRPr="00C52A83">
        <w:rPr>
          <w:rFonts w:ascii="Arial" w:hAnsi="Arial" w:cs="Arial"/>
        </w:rPr>
        <w:t>clearly incorrect, since the intention of Parliament was to punish use of anything falling within the old meaning of “engine”, prevailing at the time the Act was drafted.  The Court should have appl</w:t>
      </w:r>
      <w:r w:rsidR="00C52A83">
        <w:rPr>
          <w:rFonts w:ascii="Arial" w:hAnsi="Arial" w:cs="Arial"/>
        </w:rPr>
        <w:t>ied an updating construction...’</w:t>
      </w:r>
      <w:r w:rsidR="00C52A83">
        <w:rPr>
          <w:rStyle w:val="FootnoteReference"/>
          <w:rFonts w:ascii="Arial" w:hAnsi="Arial" w:cs="Arial"/>
        </w:rPr>
        <w:footnoteReference w:id="135"/>
      </w:r>
      <w:r w:rsidR="00C52A83">
        <w:rPr>
          <w:rFonts w:ascii="Arial" w:hAnsi="Arial" w:cs="Arial"/>
        </w:rPr>
        <w:t xml:space="preserve">  If he is right, then it is the intention of Parliament ‘at the time the Act was drafted’ which matters, not how the same words might be read today.  That would mean, in the </w:t>
      </w:r>
      <w:r w:rsidR="007C3457" w:rsidRPr="007C3457">
        <w:rPr>
          <w:rFonts w:ascii="Arial" w:hAnsi="Arial" w:cs="Arial"/>
          <w:i/>
        </w:rPr>
        <w:t>Assange</w:t>
      </w:r>
      <w:r w:rsidR="00C52A83">
        <w:rPr>
          <w:rFonts w:ascii="Arial" w:hAnsi="Arial" w:cs="Arial"/>
        </w:rPr>
        <w:t xml:space="preserve"> </w:t>
      </w:r>
      <w:proofErr w:type="gramStart"/>
      <w:r w:rsidR="00C52A83">
        <w:rPr>
          <w:rFonts w:ascii="Arial" w:hAnsi="Arial" w:cs="Arial"/>
        </w:rPr>
        <w:t>example, that</w:t>
      </w:r>
      <w:proofErr w:type="gramEnd"/>
      <w:r w:rsidR="00200E64">
        <w:rPr>
          <w:rFonts w:ascii="Arial" w:hAnsi="Arial" w:cs="Arial"/>
        </w:rPr>
        <w:t xml:space="preserve"> ‘judicial authority’ should still be read, even after the UK’s withdrawal from the EU, as including ‘prosecutor.’</w:t>
      </w:r>
    </w:p>
    <w:p w:rsidR="00ED2EF2" w:rsidRDefault="00ED2EF2" w:rsidP="00985067">
      <w:pPr>
        <w:spacing w:after="0" w:line="240" w:lineRule="auto"/>
        <w:contextualSpacing/>
        <w:jc w:val="both"/>
        <w:rPr>
          <w:rFonts w:ascii="Arial" w:hAnsi="Arial" w:cs="Arial"/>
        </w:rPr>
      </w:pPr>
    </w:p>
    <w:p w:rsidR="006C0AA8" w:rsidRPr="00DC39E5" w:rsidRDefault="006C0AA8" w:rsidP="006C0AA8">
      <w:pPr>
        <w:spacing w:after="0" w:line="240" w:lineRule="auto"/>
        <w:contextualSpacing/>
        <w:jc w:val="both"/>
        <w:rPr>
          <w:rFonts w:ascii="Arial" w:hAnsi="Arial" w:cs="Arial"/>
          <w:b/>
        </w:rPr>
      </w:pPr>
      <w:r w:rsidRPr="00DC39E5">
        <w:rPr>
          <w:rFonts w:ascii="Arial" w:hAnsi="Arial" w:cs="Arial"/>
          <w:b/>
        </w:rPr>
        <w:t>Conclusion</w:t>
      </w:r>
    </w:p>
    <w:p w:rsidR="006C0AA8" w:rsidRDefault="006C0AA8" w:rsidP="006C0AA8">
      <w:pPr>
        <w:spacing w:after="0" w:line="240" w:lineRule="auto"/>
        <w:contextualSpacing/>
        <w:jc w:val="both"/>
        <w:rPr>
          <w:rFonts w:ascii="Arial" w:hAnsi="Arial" w:cs="Arial"/>
        </w:rPr>
      </w:pPr>
    </w:p>
    <w:p w:rsidR="006C0AA8" w:rsidRPr="0077244C" w:rsidRDefault="006C0AA8" w:rsidP="006C0AA8">
      <w:pPr>
        <w:spacing w:after="0" w:line="240" w:lineRule="auto"/>
        <w:contextualSpacing/>
        <w:jc w:val="both"/>
        <w:rPr>
          <w:rFonts w:ascii="Arial" w:hAnsi="Arial" w:cs="Arial"/>
        </w:rPr>
      </w:pPr>
      <w:r w:rsidRPr="0077244C">
        <w:rPr>
          <w:rFonts w:ascii="Arial" w:hAnsi="Arial" w:cs="Arial"/>
        </w:rPr>
        <w:t xml:space="preserve">Nothing of him that doth fade </w:t>
      </w:r>
    </w:p>
    <w:p w:rsidR="006C0AA8" w:rsidRPr="0077244C" w:rsidRDefault="006C0AA8" w:rsidP="006C0AA8">
      <w:pPr>
        <w:spacing w:after="0" w:line="240" w:lineRule="auto"/>
        <w:contextualSpacing/>
        <w:jc w:val="both"/>
        <w:rPr>
          <w:rFonts w:ascii="Arial" w:hAnsi="Arial" w:cs="Arial"/>
        </w:rPr>
      </w:pPr>
      <w:r w:rsidRPr="0077244C">
        <w:rPr>
          <w:rFonts w:ascii="Arial" w:hAnsi="Arial" w:cs="Arial"/>
        </w:rPr>
        <w:t xml:space="preserve">But doth suffer a sea-change </w:t>
      </w:r>
    </w:p>
    <w:p w:rsidR="006C0AA8" w:rsidRDefault="006C0AA8" w:rsidP="006C0AA8">
      <w:pPr>
        <w:spacing w:after="0" w:line="240" w:lineRule="auto"/>
        <w:contextualSpacing/>
        <w:jc w:val="both"/>
        <w:rPr>
          <w:rFonts w:ascii="Arial" w:hAnsi="Arial" w:cs="Arial"/>
        </w:rPr>
      </w:pPr>
      <w:r w:rsidRPr="0077244C">
        <w:rPr>
          <w:rFonts w:ascii="Arial" w:hAnsi="Arial" w:cs="Arial"/>
        </w:rPr>
        <w:t>Into something rich and strange.</w:t>
      </w:r>
    </w:p>
    <w:p w:rsidR="006C0AA8" w:rsidRDefault="006C0AA8" w:rsidP="006C0AA8">
      <w:pPr>
        <w:spacing w:after="0" w:line="240" w:lineRule="auto"/>
        <w:contextualSpacing/>
        <w:jc w:val="right"/>
        <w:rPr>
          <w:rFonts w:ascii="Arial" w:hAnsi="Arial" w:cs="Arial"/>
        </w:rPr>
      </w:pPr>
      <w:r>
        <w:rPr>
          <w:rFonts w:ascii="Arial" w:hAnsi="Arial" w:cs="Arial"/>
        </w:rPr>
        <w:t xml:space="preserve">W Shakespeare, </w:t>
      </w:r>
      <w:proofErr w:type="gramStart"/>
      <w:r w:rsidRPr="0077244C">
        <w:rPr>
          <w:rFonts w:ascii="Arial" w:hAnsi="Arial" w:cs="Arial"/>
          <w:i/>
        </w:rPr>
        <w:t>The</w:t>
      </w:r>
      <w:proofErr w:type="gramEnd"/>
      <w:r w:rsidRPr="0077244C">
        <w:rPr>
          <w:rFonts w:ascii="Arial" w:hAnsi="Arial" w:cs="Arial"/>
          <w:i/>
        </w:rPr>
        <w:t xml:space="preserve"> Tempest</w:t>
      </w:r>
      <w:r>
        <w:rPr>
          <w:rFonts w:ascii="Arial" w:hAnsi="Arial" w:cs="Arial"/>
        </w:rPr>
        <w:t>, Act 1, Scene 2</w:t>
      </w:r>
    </w:p>
    <w:p w:rsidR="006C0AA8" w:rsidRDefault="006C0AA8" w:rsidP="006C0AA8">
      <w:pPr>
        <w:spacing w:after="0" w:line="240" w:lineRule="auto"/>
        <w:contextualSpacing/>
        <w:jc w:val="both"/>
        <w:rPr>
          <w:rFonts w:ascii="Arial" w:hAnsi="Arial" w:cs="Arial"/>
        </w:rPr>
      </w:pPr>
    </w:p>
    <w:p w:rsidR="006C0AA8" w:rsidRDefault="006C0AA8" w:rsidP="006C0AA8">
      <w:pPr>
        <w:spacing w:after="0" w:line="240" w:lineRule="auto"/>
        <w:contextualSpacing/>
        <w:jc w:val="both"/>
        <w:rPr>
          <w:rFonts w:ascii="Arial" w:hAnsi="Arial" w:cs="Arial"/>
        </w:rPr>
      </w:pPr>
      <w:r>
        <w:rPr>
          <w:rFonts w:ascii="Arial" w:hAnsi="Arial" w:cs="Arial"/>
        </w:rPr>
        <w:t xml:space="preserve">It was Shakespeare who first coined the expression ‘sea-change,’ in Ariel’s ballad ‘Full Fathom Five,’ describing a death at sea, in </w:t>
      </w:r>
      <w:r w:rsidRPr="0005756D">
        <w:rPr>
          <w:rFonts w:ascii="Arial" w:hAnsi="Arial" w:cs="Arial"/>
          <w:i/>
        </w:rPr>
        <w:t>The Tempest</w:t>
      </w:r>
      <w:r>
        <w:rPr>
          <w:rFonts w:ascii="Arial" w:hAnsi="Arial" w:cs="Arial"/>
        </w:rPr>
        <w:t xml:space="preserve">.  The phrase has come to mean a profound or notable transformation, and while the great playwright no doubt intended this, he also had a more literal meaning in mind: a change brought about by the sea.  If the lawyers and judges of the United Kingdom put their minds to reversing the tide of EU Law, there is little doubt that they will succeed, sooner or later.  But what emerges from the deep will have undergone many changes since it was last seen in the 1970s.  This contribution has attempted to probe those changes a little by means of </w:t>
      </w:r>
      <w:r w:rsidR="00A72FEB">
        <w:rPr>
          <w:rFonts w:ascii="Arial" w:hAnsi="Arial" w:cs="Arial"/>
        </w:rPr>
        <w:t>two</w:t>
      </w:r>
      <w:r>
        <w:rPr>
          <w:rFonts w:ascii="Arial" w:hAnsi="Arial" w:cs="Arial"/>
        </w:rPr>
        <w:t xml:space="preserve"> propositions.</w:t>
      </w:r>
    </w:p>
    <w:p w:rsidR="006C0AA8" w:rsidRDefault="006C0AA8" w:rsidP="006C0AA8">
      <w:pPr>
        <w:spacing w:after="0" w:line="240" w:lineRule="auto"/>
        <w:contextualSpacing/>
        <w:jc w:val="both"/>
        <w:rPr>
          <w:rFonts w:ascii="Arial" w:hAnsi="Arial" w:cs="Arial"/>
        </w:rPr>
      </w:pPr>
    </w:p>
    <w:p w:rsidR="006C0AA8" w:rsidRDefault="006C0AA8" w:rsidP="006C0AA8">
      <w:pPr>
        <w:spacing w:after="0" w:line="240" w:lineRule="auto"/>
        <w:contextualSpacing/>
        <w:jc w:val="both"/>
        <w:rPr>
          <w:rFonts w:ascii="Arial" w:hAnsi="Arial" w:cs="Arial"/>
        </w:rPr>
      </w:pPr>
      <w:r w:rsidRPr="00EE263A">
        <w:rPr>
          <w:rFonts w:ascii="Arial" w:hAnsi="Arial" w:cs="Arial"/>
        </w:rPr>
        <w:t xml:space="preserve">The first proposition considered was that </w:t>
      </w:r>
      <w:r>
        <w:rPr>
          <w:rFonts w:ascii="Arial" w:hAnsi="Arial" w:cs="Arial"/>
        </w:rPr>
        <w:t>t</w:t>
      </w:r>
      <w:r w:rsidRPr="00EE263A">
        <w:rPr>
          <w:rFonts w:ascii="Arial" w:hAnsi="Arial" w:cs="Arial"/>
        </w:rPr>
        <w:t xml:space="preserve">he doctrine of implied repeal </w:t>
      </w:r>
      <w:r>
        <w:rPr>
          <w:rFonts w:ascii="Arial" w:hAnsi="Arial" w:cs="Arial"/>
        </w:rPr>
        <w:t>might</w:t>
      </w:r>
      <w:r w:rsidRPr="00EE263A">
        <w:rPr>
          <w:rFonts w:ascii="Arial" w:hAnsi="Arial" w:cs="Arial"/>
        </w:rPr>
        <w:t xml:space="preserve"> quickly render the codex of ex-EU law unworkable</w:t>
      </w:r>
      <w:r>
        <w:rPr>
          <w:rFonts w:ascii="Arial" w:hAnsi="Arial" w:cs="Arial"/>
        </w:rPr>
        <w:t>.  After some consideration, including the possibility of a new model for implied repeal especially for Brexit, it was seen that this proposition is probably invalidated as even if some</w:t>
      </w:r>
      <w:r w:rsidRPr="00A81349">
        <w:rPr>
          <w:rFonts w:ascii="Arial" w:hAnsi="Arial" w:cs="Arial"/>
        </w:rPr>
        <w:t xml:space="preserve"> provisions of </w:t>
      </w:r>
      <w:r>
        <w:rPr>
          <w:rFonts w:ascii="Arial" w:hAnsi="Arial" w:cs="Arial"/>
        </w:rPr>
        <w:t xml:space="preserve">a new piece of legislation passed after Exit Day </w:t>
      </w:r>
      <w:r w:rsidRPr="00A81349">
        <w:rPr>
          <w:rFonts w:ascii="Arial" w:hAnsi="Arial" w:cs="Arial"/>
        </w:rPr>
        <w:t xml:space="preserve">are found to be inconsistent </w:t>
      </w:r>
      <w:r>
        <w:rPr>
          <w:rFonts w:ascii="Arial" w:hAnsi="Arial" w:cs="Arial"/>
        </w:rPr>
        <w:t>with some</w:t>
      </w:r>
      <w:r w:rsidRPr="00A81349">
        <w:rPr>
          <w:rFonts w:ascii="Arial" w:hAnsi="Arial" w:cs="Arial"/>
        </w:rPr>
        <w:t xml:space="preserve"> provisions of </w:t>
      </w:r>
      <w:r>
        <w:rPr>
          <w:rFonts w:ascii="Arial" w:hAnsi="Arial" w:cs="Arial"/>
        </w:rPr>
        <w:t xml:space="preserve">a piece of retained EU Law incorporated on Exit Day, the result would most probably be </w:t>
      </w:r>
      <w:r w:rsidRPr="00A81349">
        <w:rPr>
          <w:rFonts w:ascii="Arial" w:hAnsi="Arial" w:cs="Arial"/>
        </w:rPr>
        <w:t xml:space="preserve">that the </w:t>
      </w:r>
      <w:r>
        <w:rPr>
          <w:rFonts w:ascii="Arial" w:hAnsi="Arial" w:cs="Arial"/>
        </w:rPr>
        <w:t>conflictual provisions of the new law</w:t>
      </w:r>
      <w:r w:rsidRPr="00A81349">
        <w:rPr>
          <w:rFonts w:ascii="Arial" w:hAnsi="Arial" w:cs="Arial"/>
        </w:rPr>
        <w:t xml:space="preserve"> </w:t>
      </w:r>
      <w:r>
        <w:rPr>
          <w:rFonts w:ascii="Arial" w:hAnsi="Arial" w:cs="Arial"/>
        </w:rPr>
        <w:t>would</w:t>
      </w:r>
      <w:r w:rsidRPr="00A81349">
        <w:rPr>
          <w:rFonts w:ascii="Arial" w:hAnsi="Arial" w:cs="Arial"/>
        </w:rPr>
        <w:t xml:space="preserve"> be read as exception</w:t>
      </w:r>
      <w:r>
        <w:rPr>
          <w:rFonts w:ascii="Arial" w:hAnsi="Arial" w:cs="Arial"/>
        </w:rPr>
        <w:t>s</w:t>
      </w:r>
      <w:r w:rsidRPr="00A81349">
        <w:rPr>
          <w:rFonts w:ascii="Arial" w:hAnsi="Arial" w:cs="Arial"/>
        </w:rPr>
        <w:t xml:space="preserve"> </w:t>
      </w:r>
      <w:r>
        <w:rPr>
          <w:rFonts w:ascii="Arial" w:hAnsi="Arial" w:cs="Arial"/>
        </w:rPr>
        <w:t>to</w:t>
      </w:r>
      <w:r w:rsidRPr="00A81349">
        <w:rPr>
          <w:rFonts w:ascii="Arial" w:hAnsi="Arial" w:cs="Arial"/>
        </w:rPr>
        <w:t xml:space="preserve"> the earlier </w:t>
      </w:r>
      <w:r>
        <w:rPr>
          <w:rFonts w:ascii="Arial" w:hAnsi="Arial" w:cs="Arial"/>
        </w:rPr>
        <w:t xml:space="preserve">EU Law with regard to those </w:t>
      </w:r>
      <w:r w:rsidRPr="00A81349">
        <w:rPr>
          <w:rFonts w:ascii="Arial" w:hAnsi="Arial" w:cs="Arial"/>
        </w:rPr>
        <w:t xml:space="preserve">particular </w:t>
      </w:r>
      <w:r>
        <w:rPr>
          <w:rFonts w:ascii="Arial" w:hAnsi="Arial" w:cs="Arial"/>
        </w:rPr>
        <w:t>provisions</w:t>
      </w:r>
      <w:r w:rsidR="000A17F6">
        <w:rPr>
          <w:rFonts w:ascii="Arial" w:hAnsi="Arial" w:cs="Arial"/>
        </w:rPr>
        <w:t xml:space="preserve"> only</w:t>
      </w:r>
      <w:r>
        <w:rPr>
          <w:rFonts w:ascii="Arial" w:hAnsi="Arial" w:cs="Arial"/>
        </w:rPr>
        <w:t xml:space="preserve">, in the spirit of the Australian authority of </w:t>
      </w:r>
      <w:r w:rsidRPr="002025BE">
        <w:rPr>
          <w:rFonts w:ascii="Arial" w:hAnsi="Arial" w:cs="Arial"/>
          <w:i/>
        </w:rPr>
        <w:t>Goodwin v Phillips</w:t>
      </w:r>
      <w:r>
        <w:rPr>
          <w:rFonts w:ascii="Arial" w:hAnsi="Arial" w:cs="Arial"/>
        </w:rPr>
        <w:t>.</w:t>
      </w:r>
      <w:r>
        <w:rPr>
          <w:rStyle w:val="FootnoteReference"/>
          <w:rFonts w:ascii="Arial" w:hAnsi="Arial" w:cs="Arial"/>
        </w:rPr>
        <w:footnoteReference w:id="136"/>
      </w:r>
      <w:r w:rsidR="000A17F6">
        <w:rPr>
          <w:rFonts w:ascii="Arial" w:hAnsi="Arial" w:cs="Arial"/>
        </w:rPr>
        <w:t xml:space="preserve">  The ‘death’ of the ex-EU law would therefore play out over a longer period of time.  However, one could not rule out a little death-defiance on the part of the ex-EU law</w:t>
      </w:r>
      <w:r w:rsidR="00AC5474">
        <w:rPr>
          <w:rFonts w:ascii="Arial" w:hAnsi="Arial" w:cs="Arial"/>
        </w:rPr>
        <w:t xml:space="preserve"> – a case of </w:t>
      </w:r>
      <w:r w:rsidR="000A17F6">
        <w:rPr>
          <w:rFonts w:ascii="Arial" w:hAnsi="Arial" w:cs="Arial"/>
        </w:rPr>
        <w:t>heavy water</w:t>
      </w:r>
      <w:r w:rsidR="00AC5474">
        <w:rPr>
          <w:rFonts w:ascii="Arial" w:hAnsi="Arial" w:cs="Arial"/>
        </w:rPr>
        <w:t xml:space="preserve">, perhaps – </w:t>
      </w:r>
      <w:r w:rsidR="005F244E">
        <w:rPr>
          <w:rFonts w:ascii="Arial" w:hAnsi="Arial" w:cs="Arial"/>
        </w:rPr>
        <w:t xml:space="preserve">either courtesy of </w:t>
      </w:r>
      <w:r w:rsidR="00AC5474">
        <w:rPr>
          <w:rFonts w:ascii="Arial" w:hAnsi="Arial" w:cs="Arial"/>
        </w:rPr>
        <w:t xml:space="preserve">some version of </w:t>
      </w:r>
      <w:proofErr w:type="spellStart"/>
      <w:r w:rsidR="005F244E">
        <w:rPr>
          <w:rFonts w:ascii="Arial" w:hAnsi="Arial" w:cs="Arial"/>
        </w:rPr>
        <w:t>constitutionalisation</w:t>
      </w:r>
      <w:proofErr w:type="spellEnd"/>
      <w:r w:rsidR="005F244E">
        <w:rPr>
          <w:rFonts w:ascii="Arial" w:hAnsi="Arial" w:cs="Arial"/>
        </w:rPr>
        <w:t xml:space="preserve">, </w:t>
      </w:r>
      <w:r w:rsidR="00AC5474">
        <w:rPr>
          <w:rFonts w:ascii="Arial" w:hAnsi="Arial" w:cs="Arial"/>
        </w:rPr>
        <w:t xml:space="preserve">legislative or judicial, </w:t>
      </w:r>
      <w:r w:rsidR="005F244E">
        <w:rPr>
          <w:rFonts w:ascii="Arial" w:hAnsi="Arial" w:cs="Arial"/>
        </w:rPr>
        <w:t>for an as yet unascertained motive, or via a more creative ‘leading provision’ approach to conflict resolution</w:t>
      </w:r>
      <w:r w:rsidR="00E50C22">
        <w:rPr>
          <w:rFonts w:ascii="Arial" w:hAnsi="Arial" w:cs="Arial"/>
        </w:rPr>
        <w:t xml:space="preserve"> on the part of </w:t>
      </w:r>
      <w:r w:rsidR="00E50C22">
        <w:rPr>
          <w:rFonts w:ascii="Arial" w:hAnsi="Arial" w:cs="Arial"/>
        </w:rPr>
        <w:lastRenderedPageBreak/>
        <w:t>judges</w:t>
      </w:r>
      <w:r w:rsidR="005F244E">
        <w:rPr>
          <w:rFonts w:ascii="Arial" w:hAnsi="Arial" w:cs="Arial"/>
        </w:rPr>
        <w:t xml:space="preserve">, which might, in given circumstances, see the earlier EU rule </w:t>
      </w:r>
      <w:r w:rsidR="00AC5474">
        <w:rPr>
          <w:rFonts w:ascii="Arial" w:hAnsi="Arial" w:cs="Arial"/>
        </w:rPr>
        <w:t xml:space="preserve">declared victorious over the later UK one.  </w:t>
      </w:r>
    </w:p>
    <w:p w:rsidR="0047555B" w:rsidRDefault="0047555B" w:rsidP="006C0AA8">
      <w:pPr>
        <w:spacing w:after="0" w:line="240" w:lineRule="auto"/>
        <w:contextualSpacing/>
        <w:jc w:val="both"/>
        <w:rPr>
          <w:rFonts w:ascii="Arial" w:hAnsi="Arial" w:cs="Arial"/>
        </w:rPr>
      </w:pPr>
    </w:p>
    <w:p w:rsidR="00F711EF" w:rsidRDefault="0055278F" w:rsidP="00A5556D">
      <w:pPr>
        <w:spacing w:after="0" w:line="240" w:lineRule="auto"/>
        <w:contextualSpacing/>
        <w:jc w:val="both"/>
        <w:rPr>
          <w:rFonts w:ascii="Arial" w:hAnsi="Arial" w:cs="Arial"/>
        </w:rPr>
      </w:pPr>
      <w:r>
        <w:rPr>
          <w:rFonts w:ascii="Arial" w:hAnsi="Arial" w:cs="Arial"/>
        </w:rPr>
        <w:t>The second proposition considered was that, e</w:t>
      </w:r>
      <w:r w:rsidRPr="0055278F">
        <w:rPr>
          <w:rFonts w:ascii="Arial" w:hAnsi="Arial" w:cs="Arial"/>
        </w:rPr>
        <w:t>ven in the absence of the doctrine of indirect effect, national courts will still have to interpret pre-Brexit national law in line with EU law</w:t>
      </w:r>
      <w:r>
        <w:rPr>
          <w:rFonts w:ascii="Arial" w:hAnsi="Arial" w:cs="Arial"/>
        </w:rPr>
        <w:t>.</w:t>
      </w:r>
      <w:r w:rsidR="00100F88" w:rsidRPr="00100F88">
        <w:rPr>
          <w:rFonts w:ascii="Arial" w:hAnsi="Arial" w:cs="Arial"/>
        </w:rPr>
        <w:t xml:space="preserve"> </w:t>
      </w:r>
      <w:r w:rsidR="00100F88">
        <w:rPr>
          <w:rFonts w:ascii="Arial" w:hAnsi="Arial" w:cs="Arial"/>
        </w:rPr>
        <w:t xml:space="preserve">The conclusion to </w:t>
      </w:r>
      <w:r w:rsidR="00A72FEB">
        <w:rPr>
          <w:rFonts w:ascii="Arial" w:hAnsi="Arial" w:cs="Arial"/>
        </w:rPr>
        <w:t>this proposition was that it was</w:t>
      </w:r>
      <w:r w:rsidR="00100F88">
        <w:rPr>
          <w:rFonts w:ascii="Arial" w:hAnsi="Arial" w:cs="Arial"/>
        </w:rPr>
        <w:t xml:space="preserve"> probably half validated and half invalidated.  Were a case similar to </w:t>
      </w:r>
      <w:r w:rsidR="00100F88" w:rsidRPr="00E560F7">
        <w:rPr>
          <w:rFonts w:ascii="Arial" w:hAnsi="Arial" w:cs="Arial"/>
          <w:i/>
        </w:rPr>
        <w:t>Assange</w:t>
      </w:r>
      <w:r w:rsidR="00100F88">
        <w:rPr>
          <w:rFonts w:ascii="Arial" w:hAnsi="Arial" w:cs="Arial"/>
        </w:rPr>
        <w:t xml:space="preserve"> once again to come before the British judges after Exit Day,</w:t>
      </w:r>
      <w:r w:rsidR="00100F88">
        <w:rPr>
          <w:rStyle w:val="FootnoteReference"/>
          <w:rFonts w:ascii="Arial" w:hAnsi="Arial" w:cs="Arial"/>
        </w:rPr>
        <w:footnoteReference w:id="137"/>
      </w:r>
      <w:r w:rsidR="00100F88">
        <w:rPr>
          <w:rFonts w:ascii="Arial" w:hAnsi="Arial" w:cs="Arial"/>
        </w:rPr>
        <w:t xml:space="preserve"> it seems equally likely that they would take the orthodox approach to statutory interpretation, wherein a meaning (in this case the ‘European’ one), once isolated, is embedded within the casebook for all time, as take the liberal one, deploying an updating construction in order to cast their predecessors’ decisions in a new, post-Brexit mould</w:t>
      </w:r>
      <w:r w:rsidR="00A72FEB">
        <w:rPr>
          <w:rFonts w:ascii="Arial" w:hAnsi="Arial" w:cs="Arial"/>
        </w:rPr>
        <w:t xml:space="preserve">.  </w:t>
      </w:r>
      <w:r w:rsidR="007E7BC0">
        <w:rPr>
          <w:rFonts w:ascii="Arial" w:hAnsi="Arial" w:cs="Arial"/>
        </w:rPr>
        <w:t>It</w:t>
      </w:r>
      <w:r w:rsidR="00A72FEB">
        <w:rPr>
          <w:rFonts w:ascii="Arial" w:hAnsi="Arial" w:cs="Arial"/>
        </w:rPr>
        <w:t xml:space="preserve"> was also seen how</w:t>
      </w:r>
      <w:r w:rsidR="007E7BC0">
        <w:rPr>
          <w:rFonts w:ascii="Arial" w:hAnsi="Arial" w:cs="Arial"/>
        </w:rPr>
        <w:t xml:space="preserve"> </w:t>
      </w:r>
      <w:r w:rsidR="00ED23C1">
        <w:rPr>
          <w:rFonts w:ascii="Arial" w:hAnsi="Arial" w:cs="Arial"/>
        </w:rPr>
        <w:t>an</w:t>
      </w:r>
      <w:r w:rsidR="00A72FEB">
        <w:rPr>
          <w:rFonts w:ascii="Arial" w:hAnsi="Arial" w:cs="Arial"/>
        </w:rPr>
        <w:t xml:space="preserve"> orthodox approach may achieve liberal ends, </w:t>
      </w:r>
      <w:r w:rsidR="007E7BC0">
        <w:rPr>
          <w:rFonts w:ascii="Arial" w:hAnsi="Arial" w:cs="Arial"/>
        </w:rPr>
        <w:t xml:space="preserve">with </w:t>
      </w:r>
      <w:r w:rsidR="00107253">
        <w:rPr>
          <w:rFonts w:ascii="Arial" w:hAnsi="Arial" w:cs="Arial"/>
        </w:rPr>
        <w:t xml:space="preserve">post-Brexit judges freed from the </w:t>
      </w:r>
      <w:proofErr w:type="spellStart"/>
      <w:r w:rsidR="007C3457" w:rsidRPr="007C3457">
        <w:rPr>
          <w:rFonts w:ascii="Arial" w:hAnsi="Arial" w:cs="Arial"/>
          <w:i/>
        </w:rPr>
        <w:t>Factortame</w:t>
      </w:r>
      <w:proofErr w:type="spellEnd"/>
      <w:r w:rsidR="00107253">
        <w:rPr>
          <w:rFonts w:ascii="Arial" w:hAnsi="Arial" w:cs="Arial"/>
        </w:rPr>
        <w:t xml:space="preserve">/ </w:t>
      </w:r>
      <w:proofErr w:type="spellStart"/>
      <w:r w:rsidR="007C3457" w:rsidRPr="007C3457">
        <w:rPr>
          <w:rFonts w:ascii="Arial" w:hAnsi="Arial" w:cs="Arial"/>
          <w:i/>
        </w:rPr>
        <w:t>Thoburn</w:t>
      </w:r>
      <w:proofErr w:type="spellEnd"/>
      <w:r w:rsidR="00107253">
        <w:rPr>
          <w:rFonts w:ascii="Arial" w:hAnsi="Arial" w:cs="Arial"/>
        </w:rPr>
        <w:t xml:space="preserve"> ‘proviso’ and thus at liberty to interpret a phrase like ‘judicial authority’ in a manner inconsistent with EU Law.  However, that would require the judges in question </w:t>
      </w:r>
      <w:r w:rsidR="001F3E8C">
        <w:rPr>
          <w:rFonts w:ascii="Arial" w:hAnsi="Arial" w:cs="Arial"/>
        </w:rPr>
        <w:t>to read</w:t>
      </w:r>
      <w:r w:rsidR="00107253">
        <w:rPr>
          <w:rFonts w:ascii="Arial" w:hAnsi="Arial" w:cs="Arial"/>
        </w:rPr>
        <w:t xml:space="preserve"> the statute as though on the day of the trial rather than as though on the </w:t>
      </w:r>
      <w:r w:rsidR="001F3E8C">
        <w:rPr>
          <w:rFonts w:ascii="Arial" w:hAnsi="Arial" w:cs="Arial"/>
        </w:rPr>
        <w:t xml:space="preserve">day of Royal Assent, and that in turn could well run counter to traditional canons of statutory interpretation.  </w:t>
      </w:r>
      <w:r w:rsidR="00091F3A">
        <w:rPr>
          <w:rFonts w:ascii="Arial" w:hAnsi="Arial" w:cs="Arial"/>
        </w:rPr>
        <w:t xml:space="preserve">Thus, even after the UK’s withdrawal from the EU, </w:t>
      </w:r>
      <w:r w:rsidR="001F3E8C">
        <w:rPr>
          <w:rFonts w:ascii="Arial" w:hAnsi="Arial" w:cs="Arial"/>
        </w:rPr>
        <w:t>freedom</w:t>
      </w:r>
      <w:r w:rsidR="00A72FEB">
        <w:rPr>
          <w:rFonts w:ascii="Arial" w:hAnsi="Arial" w:cs="Arial"/>
        </w:rPr>
        <w:t xml:space="preserve"> from the obligation of harmonious interpretation </w:t>
      </w:r>
      <w:r w:rsidR="001F3E8C">
        <w:rPr>
          <w:rFonts w:ascii="Arial" w:hAnsi="Arial" w:cs="Arial"/>
        </w:rPr>
        <w:t xml:space="preserve">may still be a way off, </w:t>
      </w:r>
      <w:r w:rsidR="00091F3A">
        <w:rPr>
          <w:rFonts w:ascii="Arial" w:hAnsi="Arial" w:cs="Arial"/>
        </w:rPr>
        <w:t>leaving national judges struggling</w:t>
      </w:r>
      <w:r w:rsidR="00A72FEB">
        <w:rPr>
          <w:rFonts w:ascii="Arial" w:hAnsi="Arial" w:cs="Arial"/>
        </w:rPr>
        <w:t xml:space="preserve"> to change their tune.</w:t>
      </w:r>
    </w:p>
    <w:bookmarkEnd w:id="0"/>
    <w:p w:rsidR="004F462C" w:rsidRDefault="004F462C" w:rsidP="00A5556D">
      <w:pPr>
        <w:spacing w:after="0" w:line="240" w:lineRule="auto"/>
        <w:contextualSpacing/>
        <w:jc w:val="both"/>
        <w:rPr>
          <w:rFonts w:ascii="Arial" w:hAnsi="Arial" w:cs="Arial"/>
        </w:rPr>
      </w:pPr>
    </w:p>
    <w:sectPr w:rsidR="004F462C" w:rsidSect="00C378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3C" w:rsidRDefault="0070463C" w:rsidP="000C2493">
      <w:pPr>
        <w:spacing w:after="0" w:line="240" w:lineRule="auto"/>
      </w:pPr>
      <w:r>
        <w:separator/>
      </w:r>
    </w:p>
  </w:endnote>
  <w:endnote w:type="continuationSeparator" w:id="0">
    <w:p w:rsidR="0070463C" w:rsidRDefault="0070463C" w:rsidP="000C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1501"/>
      <w:docPartObj>
        <w:docPartGallery w:val="Page Numbers (Bottom of Page)"/>
        <w:docPartUnique/>
      </w:docPartObj>
    </w:sdtPr>
    <w:sdtEndPr/>
    <w:sdtContent>
      <w:p w:rsidR="00C900A3" w:rsidRDefault="007C3457">
        <w:pPr>
          <w:pStyle w:val="Footer"/>
          <w:jc w:val="center"/>
        </w:pPr>
        <w:r>
          <w:rPr>
            <w:noProof/>
          </w:rPr>
          <w:fldChar w:fldCharType="begin"/>
        </w:r>
        <w:r w:rsidR="00C900A3">
          <w:rPr>
            <w:noProof/>
          </w:rPr>
          <w:instrText xml:space="preserve"> PAGE   \* MERGEFORMAT </w:instrText>
        </w:r>
        <w:r>
          <w:rPr>
            <w:noProof/>
          </w:rPr>
          <w:fldChar w:fldCharType="separate"/>
        </w:r>
        <w:r w:rsidR="009B71F4">
          <w:rPr>
            <w:noProof/>
          </w:rPr>
          <w:t>1</w:t>
        </w:r>
        <w:r>
          <w:rPr>
            <w:noProof/>
          </w:rPr>
          <w:fldChar w:fldCharType="end"/>
        </w:r>
      </w:p>
    </w:sdtContent>
  </w:sdt>
  <w:p w:rsidR="00C900A3" w:rsidRDefault="00C9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3C" w:rsidRDefault="0070463C" w:rsidP="000C2493">
      <w:pPr>
        <w:spacing w:after="0" w:line="240" w:lineRule="auto"/>
      </w:pPr>
      <w:r>
        <w:separator/>
      </w:r>
    </w:p>
  </w:footnote>
  <w:footnote w:type="continuationSeparator" w:id="0">
    <w:p w:rsidR="0070463C" w:rsidRDefault="0070463C" w:rsidP="000C2493">
      <w:pPr>
        <w:spacing w:after="0" w:line="240" w:lineRule="auto"/>
      </w:pPr>
      <w:r>
        <w:continuationSeparator/>
      </w:r>
    </w:p>
  </w:footnote>
  <w:footnote w:id="1">
    <w:p w:rsidR="00F82B98" w:rsidRDefault="00F82B98">
      <w:pPr>
        <w:pStyle w:val="FootnoteText"/>
      </w:pPr>
      <w:r>
        <w:rPr>
          <w:rStyle w:val="FootnoteReference"/>
        </w:rPr>
        <w:footnoteRef/>
      </w:r>
      <w:r>
        <w:t xml:space="preserve"> </w:t>
      </w:r>
      <w:proofErr w:type="gramStart"/>
      <w:r w:rsidRPr="00F82B98">
        <w:t>BA(</w:t>
      </w:r>
      <w:proofErr w:type="gramEnd"/>
      <w:r w:rsidRPr="00F82B98">
        <w:t xml:space="preserve">Hons), LL.M, Ph.D.  </w:t>
      </w:r>
      <w:r>
        <w:t>Senior</w:t>
      </w:r>
      <w:r w:rsidRPr="00F82B98">
        <w:t xml:space="preserve"> Lecturer </w:t>
      </w:r>
      <w:r>
        <w:t xml:space="preserve">in Law </w:t>
      </w:r>
      <w:r w:rsidRPr="00F82B98">
        <w:t xml:space="preserve">at </w:t>
      </w:r>
      <w:r>
        <w:t>Brighton Business School (Law Subject Group)</w:t>
      </w:r>
      <w:r w:rsidRPr="00F82B98">
        <w:t xml:space="preserve">, University of </w:t>
      </w:r>
      <w:r>
        <w:t>Brighton, UK</w:t>
      </w:r>
      <w:r w:rsidRPr="00F82B98">
        <w:t>; member of the EU Committee of the Law Society of England &amp; Wales</w:t>
      </w:r>
      <w:r>
        <w:t>.</w:t>
      </w:r>
    </w:p>
  </w:footnote>
  <w:footnote w:id="2">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Bulmer v Bollinger</w:t>
      </w:r>
      <w:r w:rsidRPr="00F74546">
        <w:rPr>
          <w:rFonts w:cstheme="minorHAnsi"/>
        </w:rPr>
        <w:t xml:space="preserve"> [1974] </w:t>
      </w:r>
      <w:proofErr w:type="spellStart"/>
      <w:r w:rsidRPr="00F74546">
        <w:rPr>
          <w:rFonts w:cstheme="minorHAnsi"/>
        </w:rPr>
        <w:t>Ch</w:t>
      </w:r>
      <w:proofErr w:type="spellEnd"/>
      <w:r w:rsidRPr="00F74546">
        <w:rPr>
          <w:rFonts w:cstheme="minorHAnsi"/>
        </w:rPr>
        <w:t xml:space="preserve"> 401, 418 (Denning MR).</w:t>
      </w:r>
    </w:p>
  </w:footnote>
  <w:footnote w:id="3">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O Hood Phillips, ‘Has the “incoming tide” reached the Palace of Westminster?’ (1979) 95 LQR 167.</w:t>
      </w:r>
    </w:p>
  </w:footnote>
  <w:footnote w:id="4">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proofErr w:type="spellStart"/>
      <w:r w:rsidRPr="00F74546">
        <w:rPr>
          <w:rFonts w:cstheme="minorHAnsi"/>
          <w:i/>
        </w:rPr>
        <w:t>Macarthys</w:t>
      </w:r>
      <w:proofErr w:type="spellEnd"/>
      <w:r w:rsidRPr="00F74546">
        <w:rPr>
          <w:rFonts w:cstheme="minorHAnsi"/>
          <w:i/>
        </w:rPr>
        <w:t xml:space="preserve"> v Smith</w:t>
      </w:r>
      <w:r w:rsidRPr="00F74546">
        <w:rPr>
          <w:rFonts w:cstheme="minorHAnsi"/>
        </w:rPr>
        <w:t xml:space="preserve"> [1979] 3 All ER 325.</w:t>
      </w:r>
    </w:p>
  </w:footnote>
  <w:footnote w:id="5">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O Hood Phillips, ‘High tide in the Strand? Post-1972 acts and Community law’ (1980) 96 LQR 31.  In 1991, commenting on </w:t>
      </w:r>
      <w:proofErr w:type="spellStart"/>
      <w:r w:rsidRPr="00F74546">
        <w:rPr>
          <w:rFonts w:cstheme="minorHAnsi"/>
        </w:rPr>
        <w:t>Factortame</w:t>
      </w:r>
      <w:proofErr w:type="spellEnd"/>
      <w:r w:rsidRPr="00F74546">
        <w:rPr>
          <w:rFonts w:cstheme="minorHAnsi"/>
        </w:rPr>
        <w:t xml:space="preserve"> </w:t>
      </w:r>
      <w:proofErr w:type="spellStart"/>
      <w:r w:rsidRPr="00F74546">
        <w:rPr>
          <w:rFonts w:cstheme="minorHAnsi"/>
        </w:rPr>
        <w:t>Ltd’s</w:t>
      </w:r>
      <w:proofErr w:type="spellEnd"/>
      <w:r w:rsidRPr="00F74546">
        <w:rPr>
          <w:rFonts w:cstheme="minorHAnsi"/>
        </w:rPr>
        <w:t xml:space="preserve"> famous EU Law challenge to the Merchant Shipping Act 1988, Dawn Oliver wondered if these Spanish fishermen, who had been prevented by the Act from registering in the UK, were trying to ‘fish [...] on the incoming tide:’ D. Oliver, ‘Fishing on the Incoming Tide’, 54 </w:t>
      </w:r>
      <w:r w:rsidRPr="00F74546">
        <w:rPr>
          <w:rFonts w:cstheme="minorHAnsi"/>
          <w:i/>
        </w:rPr>
        <w:t>MLR</w:t>
      </w:r>
      <w:r w:rsidRPr="00F74546">
        <w:rPr>
          <w:rFonts w:cstheme="minorHAnsi"/>
        </w:rPr>
        <w:t xml:space="preserve"> (1991) p. 442.</w:t>
      </w:r>
    </w:p>
  </w:footnote>
  <w:footnote w:id="6">
    <w:p w:rsidR="00C900A3" w:rsidRDefault="00C900A3">
      <w:pPr>
        <w:pStyle w:val="FootnoteText"/>
      </w:pPr>
      <w:r>
        <w:rPr>
          <w:rStyle w:val="FootnoteReference"/>
        </w:rPr>
        <w:footnoteRef/>
      </w:r>
      <w:r>
        <w:t xml:space="preserve"> Source: </w:t>
      </w:r>
      <w:r w:rsidRPr="00E810EA">
        <w:t>David Cook, Second Parliamentary Counsel, Office of Parliamentary Counsel</w:t>
      </w:r>
      <w:r>
        <w:t>, ‘Two blinks before Brexit: The legislative side’ (Sir William Dale Annual Memorial Lecture, Institute of Advanced Legal Studies, 30 November 2018).</w:t>
      </w:r>
    </w:p>
  </w:footnote>
  <w:footnote w:id="7">
    <w:p w:rsidR="00C900A3" w:rsidRDefault="00C900A3">
      <w:pPr>
        <w:pStyle w:val="FootnoteText"/>
      </w:pPr>
      <w:r>
        <w:rPr>
          <w:rStyle w:val="FootnoteReference"/>
        </w:rPr>
        <w:footnoteRef/>
      </w:r>
      <w:r>
        <w:t xml:space="preserve"> European Union (Withdrawal) Act 2018 c16.</w:t>
      </w:r>
    </w:p>
  </w:footnote>
  <w:footnote w:id="8">
    <w:p w:rsidR="00C900A3" w:rsidRDefault="00C900A3">
      <w:pPr>
        <w:pStyle w:val="FootnoteText"/>
      </w:pPr>
      <w:r>
        <w:rPr>
          <w:rStyle w:val="FootnoteReference"/>
        </w:rPr>
        <w:footnoteRef/>
      </w:r>
      <w:r>
        <w:t xml:space="preserve"> </w:t>
      </w:r>
      <w:r w:rsidRPr="00F74546">
        <w:rPr>
          <w:rFonts w:cstheme="minorHAnsi"/>
        </w:rPr>
        <w:t xml:space="preserve">Select Committee on the Constitution, </w:t>
      </w:r>
      <w:proofErr w:type="gramStart"/>
      <w:r w:rsidRPr="00F74546">
        <w:rPr>
          <w:rFonts w:cstheme="minorHAnsi"/>
          <w:i/>
        </w:rPr>
        <w:t>The</w:t>
      </w:r>
      <w:proofErr w:type="gramEnd"/>
      <w:r w:rsidRPr="00F74546">
        <w:rPr>
          <w:rFonts w:cstheme="minorHAnsi"/>
          <w:i/>
        </w:rPr>
        <w:t xml:space="preserve"> ‘Great Repeal Bill’ and delegated powers</w:t>
      </w:r>
      <w:r w:rsidRPr="00F74546">
        <w:rPr>
          <w:rFonts w:cstheme="minorHAnsi"/>
        </w:rPr>
        <w:t xml:space="preserve"> (HL 2016–17, 123) para </w:t>
      </w:r>
      <w:r>
        <w:rPr>
          <w:rFonts w:cstheme="minorHAnsi"/>
        </w:rPr>
        <w:t>48.</w:t>
      </w:r>
    </w:p>
  </w:footnote>
  <w:footnote w:id="9">
    <w:p w:rsidR="00C900A3" w:rsidRDefault="00C900A3">
      <w:pPr>
        <w:pStyle w:val="FootnoteText"/>
      </w:pPr>
      <w:r>
        <w:rPr>
          <w:rStyle w:val="FootnoteReference"/>
        </w:rPr>
        <w:footnoteRef/>
      </w:r>
      <w:r>
        <w:t xml:space="preserve"> </w:t>
      </w:r>
      <w:r w:rsidRPr="007349A6">
        <w:t>Department for Exiting the European Union</w:t>
      </w:r>
      <w:r>
        <w:t>, ‘European Union (Withdrawal) Act 2018 Explanatory Notes’, p. 6.</w:t>
      </w:r>
    </w:p>
  </w:footnote>
  <w:footnote w:id="10">
    <w:p w:rsidR="00C900A3" w:rsidRDefault="00C900A3">
      <w:pPr>
        <w:pStyle w:val="FootnoteText"/>
      </w:pPr>
      <w:r>
        <w:rPr>
          <w:rStyle w:val="FootnoteReference"/>
        </w:rPr>
        <w:footnoteRef/>
      </w:r>
      <w:r>
        <w:t xml:space="preserve"> The UK Prime Minister, Theresa May, ‘triggered’ Art. 50 TEU on 29 March 2017, by writing to the Council President, Donald Tusk, communicating to him the country’s ‘decision’ (to use the language of Article 50) to leave the bloc.  Negotiations then began on a Withdrawal Agreement, with a Treaty-mandated two-year time limit for such negotiations to be concluded: Art. 50(3) TEU.</w:t>
      </w:r>
    </w:p>
  </w:footnote>
  <w:footnote w:id="11">
    <w:p w:rsidR="00C900A3" w:rsidRDefault="00C900A3">
      <w:pPr>
        <w:pStyle w:val="FootnoteText"/>
      </w:pPr>
      <w:r>
        <w:rPr>
          <w:rStyle w:val="FootnoteReference"/>
        </w:rPr>
        <w:footnoteRef/>
      </w:r>
      <w:r>
        <w:t xml:space="preserve"> MPs, concerned that they may be used simply to rubber stamp any deal Mrs May reached with the EU, successfully pushed for the inclusion of clauses within the (then) Bill to allow them a so-called ‘meaningful’ vote, in effect an opportunity to consent (or otherwise) to the deal brought back and influence next steps.</w:t>
      </w:r>
    </w:p>
  </w:footnote>
  <w:footnote w:id="12">
    <w:p w:rsidR="00C900A3" w:rsidRDefault="00C900A3">
      <w:pPr>
        <w:pStyle w:val="FootnoteText"/>
      </w:pPr>
      <w:r>
        <w:rPr>
          <w:rStyle w:val="FootnoteReference"/>
        </w:rPr>
        <w:footnoteRef/>
      </w:r>
      <w:r>
        <w:t xml:space="preserve"> S. </w:t>
      </w:r>
      <w:proofErr w:type="spellStart"/>
      <w:r>
        <w:t>Weatherill</w:t>
      </w:r>
      <w:proofErr w:type="spellEnd"/>
      <w:r>
        <w:t xml:space="preserve"> and P. Beaumont, </w:t>
      </w:r>
      <w:r w:rsidR="007C3457" w:rsidRPr="007C3457">
        <w:rPr>
          <w:i/>
        </w:rPr>
        <w:t>EU Law</w:t>
      </w:r>
      <w:r>
        <w:t xml:space="preserve"> (3</w:t>
      </w:r>
      <w:r w:rsidR="007C3457" w:rsidRPr="007C3457">
        <w:rPr>
          <w:vertAlign w:val="superscript"/>
        </w:rPr>
        <w:t>rd</w:t>
      </w:r>
      <w:r>
        <w:t xml:space="preserve"> </w:t>
      </w:r>
      <w:proofErr w:type="spellStart"/>
      <w:r>
        <w:t>edn</w:t>
      </w:r>
      <w:proofErr w:type="spellEnd"/>
      <w:r>
        <w:t>, Penguin 1999) 438.</w:t>
      </w:r>
    </w:p>
  </w:footnote>
  <w:footnote w:id="13">
    <w:p w:rsidR="00C900A3" w:rsidRDefault="00C900A3">
      <w:pPr>
        <w:pStyle w:val="FootnoteText"/>
      </w:pPr>
      <w:r>
        <w:rPr>
          <w:rStyle w:val="FootnoteReference"/>
        </w:rPr>
        <w:footnoteRef/>
      </w:r>
      <w:r>
        <w:t xml:space="preserve"> Explanatory Notes, </w:t>
      </w:r>
      <w:r w:rsidR="007C3457" w:rsidRPr="007C3457">
        <w:rPr>
          <w:i/>
        </w:rPr>
        <w:t>supra</w:t>
      </w:r>
      <w:r>
        <w:t xml:space="preserve"> n. </w:t>
      </w:r>
      <w:r w:rsidR="0070463C">
        <w:fldChar w:fldCharType="begin"/>
      </w:r>
      <w:r w:rsidR="0070463C">
        <w:instrText xml:space="preserve"> NOTEREF  E_N_II \p  \* MERGEFORMAT </w:instrText>
      </w:r>
      <w:r w:rsidR="0070463C">
        <w:fldChar w:fldCharType="separate"/>
      </w:r>
      <w:r>
        <w:t>8</w:t>
      </w:r>
      <w:r w:rsidR="0070463C">
        <w:fldChar w:fldCharType="end"/>
      </w:r>
      <w:r>
        <w:t>, p.9-10.</w:t>
      </w:r>
    </w:p>
  </w:footnote>
  <w:footnote w:id="14">
    <w:p w:rsidR="00C900A3" w:rsidRDefault="00C900A3">
      <w:pPr>
        <w:pStyle w:val="FootnoteText"/>
      </w:pPr>
      <w:r>
        <w:rPr>
          <w:rStyle w:val="FootnoteReference"/>
        </w:rPr>
        <w:footnoteRef/>
      </w:r>
      <w:r>
        <w:t xml:space="preserve"> </w:t>
      </w:r>
      <w:r w:rsidR="007C3457" w:rsidRPr="007C3457">
        <w:rPr>
          <w:i/>
        </w:rPr>
        <w:t>R (on the application of Miller and another) v Secretary of State for Exiting the European Union</w:t>
      </w:r>
      <w:r>
        <w:t xml:space="preserve"> </w:t>
      </w:r>
      <w:r w:rsidRPr="00284A8C">
        <w:t>[2017] UKSC 5</w:t>
      </w:r>
      <w:r>
        <w:t xml:space="preserve"> </w:t>
      </w:r>
      <w:r w:rsidRPr="00A068DF">
        <w:t>[70]</w:t>
      </w:r>
      <w:r>
        <w:t xml:space="preserve"> (Lord Neuberger, Lady Hale</w:t>
      </w:r>
      <w:r w:rsidRPr="00284A8C">
        <w:t xml:space="preserve">, Lord </w:t>
      </w:r>
      <w:proofErr w:type="spellStart"/>
      <w:r w:rsidRPr="00284A8C">
        <w:t>Mance</w:t>
      </w:r>
      <w:proofErr w:type="spellEnd"/>
      <w:r w:rsidRPr="00284A8C">
        <w:t xml:space="preserve">, Lord Kerr, Lord Clarke, Lord Wilson, Lord </w:t>
      </w:r>
      <w:proofErr w:type="spellStart"/>
      <w:r w:rsidRPr="00284A8C">
        <w:t>Sumption</w:t>
      </w:r>
      <w:proofErr w:type="spellEnd"/>
      <w:r w:rsidRPr="00284A8C">
        <w:t xml:space="preserve"> and Lord Hodge</w:t>
      </w:r>
      <w:r>
        <w:t>).</w:t>
      </w:r>
    </w:p>
  </w:footnote>
  <w:footnote w:id="15">
    <w:p w:rsidR="00C900A3" w:rsidRDefault="00C900A3">
      <w:pPr>
        <w:pStyle w:val="FootnoteText"/>
      </w:pPr>
      <w:r>
        <w:rPr>
          <w:rStyle w:val="FootnoteReference"/>
        </w:rPr>
        <w:footnoteRef/>
      </w:r>
      <w:r>
        <w:t xml:space="preserve"> J. </w:t>
      </w:r>
      <w:proofErr w:type="spellStart"/>
      <w:r>
        <w:t>Finnis</w:t>
      </w:r>
      <w:proofErr w:type="spellEnd"/>
      <w:r>
        <w:t>, ‘</w:t>
      </w:r>
      <w:r w:rsidR="007C3457" w:rsidRPr="007C3457">
        <w:rPr>
          <w:i/>
        </w:rPr>
        <w:t>Brexit</w:t>
      </w:r>
      <w:r>
        <w:t xml:space="preserve"> and the balance of our constitution’, </w:t>
      </w:r>
      <w:r w:rsidR="007C3457" w:rsidRPr="007C3457">
        <w:rPr>
          <w:i/>
        </w:rPr>
        <w:t>Policy Exchange</w:t>
      </w:r>
      <w:r>
        <w:t xml:space="preserve">, 2 December 2016, </w:t>
      </w:r>
      <w:hyperlink r:id="rId1" w:history="1">
        <w:r w:rsidRPr="00C346C0">
          <w:rPr>
            <w:rStyle w:val="Hyperlink"/>
          </w:rPr>
          <w:t>http://judicialpowerproject.org.uk/wp-content/uploads/2016/12/Finnis-2016-Brexit-and-the-Balance-of-Our-Constitution3.pdf</w:t>
        </w:r>
      </w:hyperlink>
      <w:r>
        <w:t>, visited 2 February 2019.</w:t>
      </w:r>
    </w:p>
  </w:footnote>
  <w:footnote w:id="16">
    <w:p w:rsidR="00C900A3" w:rsidRDefault="00C900A3">
      <w:pPr>
        <w:pStyle w:val="FootnoteText"/>
      </w:pPr>
      <w:r>
        <w:rPr>
          <w:rStyle w:val="FootnoteReference"/>
        </w:rPr>
        <w:footnoteRef/>
      </w:r>
      <w:r>
        <w:t xml:space="preserve"> </w:t>
      </w:r>
      <w:r w:rsidR="007C3457" w:rsidRPr="007C3457">
        <w:rPr>
          <w:i/>
        </w:rPr>
        <w:t>Miller</w:t>
      </w:r>
      <w:r>
        <w:t xml:space="preserve">, </w:t>
      </w:r>
      <w:r w:rsidR="007C3457" w:rsidRPr="007C3457">
        <w:rPr>
          <w:i/>
        </w:rPr>
        <w:t>supra</w:t>
      </w:r>
      <w:r>
        <w:t xml:space="preserve"> n. </w:t>
      </w:r>
      <w:r w:rsidR="0070463C">
        <w:fldChar w:fldCharType="begin"/>
      </w:r>
      <w:r w:rsidR="0070463C">
        <w:instrText xml:space="preserve"> NOTEREF  Miller_SC \p  \* MERGEFORMAT </w:instrText>
      </w:r>
      <w:r w:rsidR="0070463C">
        <w:fldChar w:fldCharType="separate"/>
      </w:r>
      <w:r>
        <w:t>13</w:t>
      </w:r>
      <w:r w:rsidR="0070463C">
        <w:fldChar w:fldCharType="end"/>
      </w:r>
      <w:r>
        <w:t xml:space="preserve"> [84].</w:t>
      </w:r>
    </w:p>
  </w:footnote>
  <w:footnote w:id="17">
    <w:p w:rsidR="00C900A3" w:rsidRDefault="00C900A3">
      <w:pPr>
        <w:pStyle w:val="FootnoteText"/>
      </w:pPr>
      <w:r>
        <w:rPr>
          <w:rStyle w:val="FootnoteReference"/>
        </w:rPr>
        <w:footnoteRef/>
      </w:r>
      <w:r>
        <w:t xml:space="preserve"> ibid.</w:t>
      </w:r>
    </w:p>
  </w:footnote>
  <w:footnote w:id="18">
    <w:p w:rsidR="00C900A3" w:rsidRDefault="00C900A3">
      <w:pPr>
        <w:pStyle w:val="FootnoteText"/>
      </w:pPr>
      <w:r>
        <w:rPr>
          <w:rStyle w:val="FootnoteReference"/>
        </w:rPr>
        <w:footnoteRef/>
      </w:r>
      <w:r>
        <w:t xml:space="preserve"> Clifford Chance, </w:t>
      </w:r>
      <w:r w:rsidR="007C3457" w:rsidRPr="007C3457">
        <w:rPr>
          <w:i/>
        </w:rPr>
        <w:t>Brexit: What will the Great Repeal Bill do?</w:t>
      </w:r>
      <w:r>
        <w:t xml:space="preserve"> (Clifford Chance, 2017) 4.  Had the repeal not been included in the 2018 Act, the situation would have been as described by Lord Neuberger (President) in an exchange with Mr </w:t>
      </w:r>
      <w:proofErr w:type="spellStart"/>
      <w:r>
        <w:t>Eadie</w:t>
      </w:r>
      <w:proofErr w:type="spellEnd"/>
      <w:r>
        <w:t>, for the Secretary of State: ‘</w:t>
      </w:r>
      <w:r w:rsidRPr="00BF6CB0">
        <w:t>if the</w:t>
      </w:r>
      <w:r>
        <w:t xml:space="preserve"> Government pulls out of the </w:t>
      </w:r>
      <w:r w:rsidRPr="00BF6CB0">
        <w:t>treaty, the conduit pipe st</w:t>
      </w:r>
      <w:r>
        <w:t xml:space="preserve">ays there, the statute stays </w:t>
      </w:r>
      <w:r w:rsidRPr="00BF6CB0">
        <w:t>there, but nothing comes through</w:t>
      </w:r>
      <w:r>
        <w:t>’</w:t>
      </w:r>
      <w:r w:rsidRPr="00BF6CB0">
        <w:t>.</w:t>
      </w:r>
      <w:r>
        <w:t xml:space="preserve">  See – –, ‘Article 50 Brexit Appeal – Draft Transcript’, </w:t>
      </w:r>
      <w:r w:rsidRPr="0023557F">
        <w:rPr>
          <w:i/>
        </w:rPr>
        <w:t>The Supreme Court</w:t>
      </w:r>
      <w:r>
        <w:rPr>
          <w:i/>
        </w:rPr>
        <w:t>,</w:t>
      </w:r>
      <w:r>
        <w:t xml:space="preserve"> 8 December 2016, </w:t>
      </w:r>
      <w:hyperlink r:id="rId2" w:history="1">
        <w:r w:rsidRPr="00C346C0">
          <w:rPr>
            <w:rStyle w:val="Hyperlink"/>
          </w:rPr>
          <w:t>www.supremecourt.uk/docs/draft-transcript-thursday-161208.pdf</w:t>
        </w:r>
      </w:hyperlink>
      <w:r>
        <w:t>, visited 2 February 2019.</w:t>
      </w:r>
    </w:p>
  </w:footnote>
  <w:footnote w:id="19">
    <w:p w:rsidR="00C900A3" w:rsidRDefault="00C900A3">
      <w:pPr>
        <w:pStyle w:val="FootnoteText"/>
      </w:pPr>
      <w:r>
        <w:rPr>
          <w:rStyle w:val="FootnoteReference"/>
        </w:rPr>
        <w:footnoteRef/>
      </w:r>
      <w:r>
        <w:t xml:space="preserve"> Explanatory Notes, </w:t>
      </w:r>
      <w:r w:rsidR="007C3457" w:rsidRPr="007C3457">
        <w:rPr>
          <w:i/>
        </w:rPr>
        <w:t>supra</w:t>
      </w:r>
      <w:r>
        <w:t xml:space="preserve"> n. </w:t>
      </w:r>
      <w:r w:rsidR="0070463C">
        <w:fldChar w:fldCharType="begin"/>
      </w:r>
      <w:r w:rsidR="0070463C">
        <w:instrText xml:space="preserve"> NOTEREF  E_N_II \p  \* MERGEFORMAT </w:instrText>
      </w:r>
      <w:r w:rsidR="0070463C">
        <w:fldChar w:fldCharType="separate"/>
      </w:r>
      <w:r>
        <w:t>8</w:t>
      </w:r>
      <w:r w:rsidR="0070463C">
        <w:fldChar w:fldCharType="end"/>
      </w:r>
      <w:r>
        <w:t>, p. 24-5.  A fuller investigation into this phenomenon by the present author may be found in R. Lang, ‘</w:t>
      </w:r>
      <w:r w:rsidRPr="006A7F8D">
        <w:t xml:space="preserve">What will become of EU laws on the UK statute book after Brexit?  </w:t>
      </w:r>
      <w:r>
        <w:t>Victims’ rights as a case-study’,</w:t>
      </w:r>
      <w:r w:rsidRPr="006A7F8D">
        <w:t xml:space="preserve"> in </w:t>
      </w:r>
      <w:r>
        <w:t xml:space="preserve">R. </w:t>
      </w:r>
      <w:r w:rsidRPr="006A7F8D">
        <w:t xml:space="preserve">Lang and </w:t>
      </w:r>
      <w:r>
        <w:t>C.M. Smyth (eds.</w:t>
      </w:r>
      <w:r w:rsidRPr="006A7F8D">
        <w:t xml:space="preserve">), </w:t>
      </w:r>
      <w:r w:rsidR="007C3457" w:rsidRPr="007C3457">
        <w:rPr>
          <w:i/>
        </w:rPr>
        <w:t>The Future of Human Rights in the UK</w:t>
      </w:r>
      <w:r w:rsidRPr="006A7F8D">
        <w:t xml:space="preserve"> (Cambridge Scholars Publishing 2017)</w:t>
      </w:r>
      <w:r>
        <w:t>.</w:t>
      </w:r>
    </w:p>
  </w:footnote>
  <w:footnote w:id="20">
    <w:p w:rsidR="00C900A3" w:rsidRDefault="00C900A3">
      <w:pPr>
        <w:pStyle w:val="FootnoteText"/>
      </w:pPr>
      <w:r>
        <w:rPr>
          <w:rStyle w:val="FootnoteReference"/>
        </w:rPr>
        <w:footnoteRef/>
      </w:r>
      <w:r>
        <w:t xml:space="preserve"> </w:t>
      </w:r>
      <w:r w:rsidRPr="00AD60B8">
        <w:rPr>
          <w:lang w:val="en-US"/>
        </w:rPr>
        <w:t>J</w:t>
      </w:r>
      <w:r>
        <w:rPr>
          <w:lang w:val="en-US"/>
        </w:rPr>
        <w:t>.</w:t>
      </w:r>
      <w:r w:rsidRPr="00AD60B8">
        <w:rPr>
          <w:lang w:val="en-US"/>
        </w:rPr>
        <w:t>S</w:t>
      </w:r>
      <w:r>
        <w:rPr>
          <w:lang w:val="en-US"/>
        </w:rPr>
        <w:t>.</w:t>
      </w:r>
      <w:r w:rsidRPr="00AD60B8">
        <w:rPr>
          <w:lang w:val="en-US"/>
        </w:rPr>
        <w:t xml:space="preserve"> </w:t>
      </w:r>
      <w:proofErr w:type="spellStart"/>
      <w:r w:rsidRPr="00AD60B8">
        <w:rPr>
          <w:lang w:val="en-US"/>
        </w:rPr>
        <w:t>Caird</w:t>
      </w:r>
      <w:proofErr w:type="spellEnd"/>
      <w:r w:rsidRPr="00AD60B8">
        <w:rPr>
          <w:lang w:val="en-US"/>
        </w:rPr>
        <w:t xml:space="preserve">, ‘Legislating for Brexit: the Great Repeal Bill’ (Briefing Paper No 7793, House of Commons Library 2016) </w:t>
      </w:r>
      <w:r>
        <w:rPr>
          <w:lang w:val="en-US"/>
        </w:rPr>
        <w:t>9.</w:t>
      </w:r>
    </w:p>
  </w:footnote>
  <w:footnote w:id="21">
    <w:p w:rsidR="00C900A3" w:rsidRDefault="00C900A3">
      <w:pPr>
        <w:pStyle w:val="FootnoteText"/>
      </w:pPr>
      <w:r>
        <w:rPr>
          <w:rStyle w:val="FootnoteReference"/>
        </w:rPr>
        <w:footnoteRef/>
      </w:r>
      <w:r>
        <w:t xml:space="preserve"> Clifford Chance, </w:t>
      </w:r>
      <w:r w:rsidR="007C3457" w:rsidRPr="007C3457">
        <w:rPr>
          <w:i/>
        </w:rPr>
        <w:t>supra</w:t>
      </w:r>
      <w:r>
        <w:t xml:space="preserve"> n. </w:t>
      </w:r>
      <w:r w:rsidR="0070463C">
        <w:fldChar w:fldCharType="begin"/>
      </w:r>
      <w:r w:rsidR="0070463C">
        <w:instrText xml:space="preserve"> NOTEREF  Clifford_Chance_GRP \p  \* MERGEFORMAT </w:instrText>
      </w:r>
      <w:r w:rsidR="0070463C">
        <w:fldChar w:fldCharType="separate"/>
      </w:r>
      <w:r>
        <w:t>17</w:t>
      </w:r>
      <w:r w:rsidR="0070463C">
        <w:fldChar w:fldCharType="end"/>
      </w:r>
      <w:r>
        <w:t>, p. 5.</w:t>
      </w:r>
    </w:p>
  </w:footnote>
  <w:footnote w:id="22">
    <w:p w:rsidR="00C900A3" w:rsidRDefault="00C900A3">
      <w:pPr>
        <w:pStyle w:val="FootnoteText"/>
      </w:pPr>
      <w:r>
        <w:rPr>
          <w:rStyle w:val="FootnoteReference"/>
        </w:rPr>
        <w:footnoteRef/>
      </w:r>
      <w:r>
        <w:t xml:space="preserve"> </w:t>
      </w:r>
      <w:r w:rsidRPr="00F74546">
        <w:rPr>
          <w:rFonts w:cstheme="minorHAnsi"/>
        </w:rPr>
        <w:t>Select Committee on the Constitution</w:t>
      </w:r>
      <w:r>
        <w:rPr>
          <w:rFonts w:cstheme="minorHAnsi"/>
        </w:rPr>
        <w:t xml:space="preserve"> (2017)</w:t>
      </w:r>
      <w:r w:rsidRPr="00F74546">
        <w:rPr>
          <w:rFonts w:cstheme="minorHAnsi"/>
        </w:rPr>
        <w:t xml:space="preserve">, </w:t>
      </w:r>
      <w:r>
        <w:rPr>
          <w:rFonts w:cstheme="minorHAnsi"/>
          <w:i/>
        </w:rPr>
        <w:t xml:space="preserve">supra </w:t>
      </w:r>
      <w:r>
        <w:rPr>
          <w:rFonts w:cstheme="minorHAnsi"/>
        </w:rPr>
        <w:t xml:space="preserve">n </w:t>
      </w:r>
      <w:r w:rsidR="0070463C">
        <w:rPr>
          <w:rFonts w:cstheme="minorHAnsi"/>
        </w:rPr>
        <w:fldChar w:fldCharType="begin"/>
      </w:r>
      <w:r w:rsidR="0070463C">
        <w:rPr>
          <w:rFonts w:cstheme="minorHAnsi"/>
        </w:rPr>
        <w:instrText xml:space="preserve"> NOTEREF  Consti_Committee_Interim_March_17_Report  \* MERGEFORMAT </w:instrText>
      </w:r>
      <w:r w:rsidR="0070463C">
        <w:rPr>
          <w:rFonts w:cstheme="minorHAnsi"/>
        </w:rPr>
        <w:fldChar w:fldCharType="separate"/>
      </w:r>
      <w:r>
        <w:rPr>
          <w:rFonts w:cstheme="minorHAnsi"/>
        </w:rPr>
        <w:t>7</w:t>
      </w:r>
      <w:r w:rsidR="0070463C">
        <w:rPr>
          <w:rFonts w:cstheme="minorHAnsi"/>
        </w:rPr>
        <w:fldChar w:fldCharType="end"/>
      </w:r>
      <w:r>
        <w:rPr>
          <w:rFonts w:cstheme="minorHAnsi"/>
        </w:rPr>
        <w:t xml:space="preserve">, </w:t>
      </w:r>
      <w:r w:rsidRPr="00F74546">
        <w:rPr>
          <w:rFonts w:cstheme="minorHAnsi"/>
        </w:rPr>
        <w:t xml:space="preserve">para </w:t>
      </w:r>
      <w:r>
        <w:rPr>
          <w:rFonts w:cstheme="minorHAnsi"/>
        </w:rPr>
        <w:t>46.</w:t>
      </w:r>
    </w:p>
  </w:footnote>
  <w:footnote w:id="23">
    <w:p w:rsidR="00C900A3" w:rsidRDefault="00C900A3">
      <w:pPr>
        <w:pStyle w:val="FootnoteText"/>
      </w:pPr>
      <w:r>
        <w:rPr>
          <w:rStyle w:val="FootnoteReference"/>
        </w:rPr>
        <w:footnoteRef/>
      </w:r>
      <w:r>
        <w:t xml:space="preserve"> Excluding delegated or implementing regulations.</w:t>
      </w:r>
    </w:p>
  </w:footnote>
  <w:footnote w:id="24">
    <w:p w:rsidR="00C900A3" w:rsidRDefault="00C900A3" w:rsidP="007349A6">
      <w:pPr>
        <w:pStyle w:val="FootnoteText"/>
      </w:pPr>
      <w:r>
        <w:rPr>
          <w:rStyle w:val="FootnoteReference"/>
        </w:rPr>
        <w:footnoteRef/>
      </w:r>
      <w:r>
        <w:t xml:space="preserve"> Explanatory Notes, </w:t>
      </w:r>
      <w:r w:rsidRPr="00A91D45">
        <w:rPr>
          <w:i/>
        </w:rPr>
        <w:t>supra</w:t>
      </w:r>
      <w:r>
        <w:t xml:space="preserve"> n. </w:t>
      </w:r>
      <w:r w:rsidR="0070463C">
        <w:fldChar w:fldCharType="begin"/>
      </w:r>
      <w:r w:rsidR="0070463C">
        <w:instrText xml:space="preserve"> NOTEREF  E_N_II \p  \* MERGEFORMAT </w:instrText>
      </w:r>
      <w:r w:rsidR="0070463C">
        <w:fldChar w:fldCharType="separate"/>
      </w:r>
      <w:r>
        <w:t>8</w:t>
      </w:r>
      <w:r w:rsidR="0070463C">
        <w:fldChar w:fldCharType="end"/>
      </w:r>
      <w:r>
        <w:t>, p. 29.</w:t>
      </w:r>
    </w:p>
  </w:footnote>
  <w:footnote w:id="25">
    <w:p w:rsidR="00C900A3" w:rsidRDefault="00C900A3">
      <w:pPr>
        <w:pStyle w:val="FootnoteText"/>
      </w:pPr>
      <w:r>
        <w:rPr>
          <w:rStyle w:val="FootnoteReference"/>
        </w:rPr>
        <w:footnoteRef/>
      </w:r>
      <w:r>
        <w:t xml:space="preserve"> It is likely that the bifurcation of retained EU Law into the two categories of ‘principal’ and ‘minor’ was an attempt to ‘lay down... [a] formula capable of satisfactorily distinguishing between retained direct EU law that should be treated... as primary legislation and that which should be treated as secondary legislation:’ Select Committee on the Constitution, </w:t>
      </w:r>
      <w:r w:rsidR="007C3457" w:rsidRPr="007C3457">
        <w:rPr>
          <w:i/>
        </w:rPr>
        <w:t>European Union (Withdrawal) Bill</w:t>
      </w:r>
      <w:r>
        <w:t xml:space="preserve"> (HL 2017-19, 69) para 65.  The Select Committee’s main concern was that retained direct EU law would find itself vulnerable to revocation by secondary law-making powers, subject to lesser forms of parliamentary scrutiny, if the relevant Minister could merely declare a certain piece of said law to be secondary legislation at will.</w:t>
      </w:r>
    </w:p>
  </w:footnote>
  <w:footnote w:id="26">
    <w:p w:rsidR="00C900A3" w:rsidRDefault="00C900A3">
      <w:pPr>
        <w:pStyle w:val="FootnoteText"/>
      </w:pPr>
      <w:r>
        <w:rPr>
          <w:rStyle w:val="FootnoteReference"/>
        </w:rPr>
        <w:footnoteRef/>
      </w:r>
      <w:r>
        <w:t xml:space="preserve"> T Lock, ‘</w:t>
      </w:r>
      <w:r w:rsidRPr="00A47E68">
        <w:t>Evidence to the Finance and Constitution Committee</w:t>
      </w:r>
      <w:r>
        <w:t>:</w:t>
      </w:r>
      <w:r w:rsidRPr="00A47E68">
        <w:t xml:space="preserve"> E</w:t>
      </w:r>
      <w:r>
        <w:t xml:space="preserve">uropean Union (Withdrawal) Bill’, </w:t>
      </w:r>
      <w:r w:rsidR="007C3457" w:rsidRPr="007C3457">
        <w:rPr>
          <w:i/>
        </w:rPr>
        <w:t>Scottish Parliament</w:t>
      </w:r>
      <w:r>
        <w:t xml:space="preserve">, August-September 2017, </w:t>
      </w:r>
      <w:hyperlink r:id="rId3" w:history="1">
        <w:r w:rsidRPr="00321ACC">
          <w:rPr>
            <w:rStyle w:val="Hyperlink"/>
          </w:rPr>
          <w:t>https://www.parliament.scot/S5_Finance/General%20Documents/3._Dr_Tobias_Lock_Edinburgh_Law_School.pdf</w:t>
        </w:r>
      </w:hyperlink>
      <w:r>
        <w:t>, visited 4 February 2019, [13] – [15].</w:t>
      </w:r>
    </w:p>
  </w:footnote>
  <w:footnote w:id="27">
    <w:p w:rsidR="00C900A3" w:rsidRDefault="00C900A3" w:rsidP="00153EFF">
      <w:pPr>
        <w:pStyle w:val="FootnoteText"/>
      </w:pPr>
      <w:r>
        <w:rPr>
          <w:rStyle w:val="FootnoteReference"/>
        </w:rPr>
        <w:footnoteRef/>
      </w:r>
      <w:r>
        <w:t xml:space="preserve"> J.S. </w:t>
      </w:r>
      <w:proofErr w:type="spellStart"/>
      <w:r>
        <w:t>Caird</w:t>
      </w:r>
      <w:proofErr w:type="spellEnd"/>
      <w:r>
        <w:t xml:space="preserve"> and V. Miller, ‘The European Union (Withdrawal) Bill: Retained EU law’ (Briefing Paper Number 08136, House of Commons Library 2017).  See also a later Briefing Paper, published since the 2018 Act received Royal Assent and thus taking in more recent academic commentary: G Cowie, ‘The status of "retained EU law”’ (Briefing Paper Number </w:t>
      </w:r>
      <w:r w:rsidRPr="00153EFF">
        <w:t>08375</w:t>
      </w:r>
      <w:r>
        <w:t>, House of Commons Library 2018).</w:t>
      </w:r>
    </w:p>
  </w:footnote>
  <w:footnote w:id="28">
    <w:p w:rsidR="00C900A3" w:rsidRDefault="00C900A3">
      <w:pPr>
        <w:pStyle w:val="FootnoteText"/>
      </w:pPr>
      <w:r>
        <w:rPr>
          <w:rStyle w:val="FootnoteReference"/>
        </w:rPr>
        <w:footnoteRef/>
      </w:r>
      <w:r>
        <w:t xml:space="preserve"> ibid, p. 19.</w:t>
      </w:r>
    </w:p>
  </w:footnote>
  <w:footnote w:id="29">
    <w:p w:rsidR="00C900A3" w:rsidRDefault="00C900A3" w:rsidP="000016CF">
      <w:pPr>
        <w:pStyle w:val="FootnoteText"/>
      </w:pPr>
      <w:r>
        <w:rPr>
          <w:rStyle w:val="FootnoteReference"/>
        </w:rPr>
        <w:footnoteRef/>
      </w:r>
      <w:r>
        <w:t xml:space="preserve"> </w:t>
      </w:r>
      <w:proofErr w:type="spellStart"/>
      <w:r w:rsidRPr="000016CF">
        <w:rPr>
          <w:i/>
        </w:rPr>
        <w:t>Thoburn</w:t>
      </w:r>
      <w:proofErr w:type="spellEnd"/>
      <w:r w:rsidRPr="000016CF">
        <w:rPr>
          <w:i/>
        </w:rPr>
        <w:t xml:space="preserve"> v Sunderland City Council and other appeals</w:t>
      </w:r>
      <w:r>
        <w:t xml:space="preserve"> </w:t>
      </w:r>
      <w:r w:rsidRPr="000016CF">
        <w:t>[2002] EWHC 195 (Admin).</w:t>
      </w:r>
    </w:p>
  </w:footnote>
  <w:footnote w:id="30">
    <w:p w:rsidR="00C900A3" w:rsidRDefault="00C900A3">
      <w:pPr>
        <w:pStyle w:val="FootnoteText"/>
      </w:pPr>
      <w:r>
        <w:rPr>
          <w:rStyle w:val="FootnoteReference"/>
        </w:rPr>
        <w:footnoteRef/>
      </w:r>
      <w:r>
        <w:t xml:space="preserve"> </w:t>
      </w:r>
      <w:proofErr w:type="spellStart"/>
      <w:r>
        <w:t>Caird</w:t>
      </w:r>
      <w:proofErr w:type="spellEnd"/>
      <w:r>
        <w:t xml:space="preserve"> and Miller, </w:t>
      </w:r>
      <w:r w:rsidR="007C3457" w:rsidRPr="007C3457">
        <w:rPr>
          <w:i/>
        </w:rPr>
        <w:t>supra</w:t>
      </w:r>
      <w:r>
        <w:t xml:space="preserve"> n. </w:t>
      </w:r>
      <w:r w:rsidR="0070463C">
        <w:fldChar w:fldCharType="begin"/>
      </w:r>
      <w:r w:rsidR="0070463C">
        <w:instrText xml:space="preserve"> NOTEREF  Caird_and_Miller \p  \* MERGEFORMAT </w:instrText>
      </w:r>
      <w:r w:rsidR="0070463C">
        <w:fldChar w:fldCharType="separate"/>
      </w:r>
      <w:r>
        <w:t>25</w:t>
      </w:r>
      <w:r w:rsidR="0070463C">
        <w:fldChar w:fldCharType="end"/>
      </w:r>
      <w:r>
        <w:t>, p. 19.</w:t>
      </w:r>
    </w:p>
  </w:footnote>
  <w:footnote w:id="31">
    <w:p w:rsidR="00C900A3" w:rsidRDefault="00C900A3">
      <w:pPr>
        <w:pStyle w:val="FootnoteText"/>
      </w:pPr>
      <w:r>
        <w:rPr>
          <w:rStyle w:val="FootnoteReference"/>
        </w:rPr>
        <w:footnoteRef/>
      </w:r>
      <w:r>
        <w:t xml:space="preserve"> </w:t>
      </w:r>
      <w:r w:rsidRPr="00F74546">
        <w:rPr>
          <w:rFonts w:cstheme="minorHAnsi"/>
        </w:rPr>
        <w:t>A</w:t>
      </w:r>
      <w:r>
        <w:rPr>
          <w:rFonts w:cstheme="minorHAnsi"/>
        </w:rPr>
        <w:t>.</w:t>
      </w:r>
      <w:r w:rsidRPr="00F74546">
        <w:rPr>
          <w:rFonts w:cstheme="minorHAnsi"/>
        </w:rPr>
        <w:t xml:space="preserve"> Young</w:t>
      </w:r>
      <w:r>
        <w:rPr>
          <w:rFonts w:cstheme="minorHAnsi"/>
        </w:rPr>
        <w:t>,</w:t>
      </w:r>
      <w:r w:rsidRPr="00F74546">
        <w:rPr>
          <w:rFonts w:cstheme="minorHAnsi"/>
        </w:rPr>
        <w:t xml:space="preserve"> ‘Status of EU Law Post Brexit: Part One’</w:t>
      </w:r>
      <w:r>
        <w:rPr>
          <w:rFonts w:cstheme="minorHAnsi"/>
        </w:rPr>
        <w:t>,</w:t>
      </w:r>
      <w:r w:rsidRPr="00F74546">
        <w:rPr>
          <w:rFonts w:cstheme="minorHAnsi"/>
        </w:rPr>
        <w:t xml:space="preserve"> </w:t>
      </w:r>
      <w:r w:rsidR="007C3457" w:rsidRPr="007C3457">
        <w:rPr>
          <w:rFonts w:cstheme="minorHAnsi"/>
          <w:i/>
        </w:rPr>
        <w:t>United Kingdom Constitutional Law Association Blog</w:t>
      </w:r>
      <w:r w:rsidRPr="00F74546">
        <w:rPr>
          <w:rFonts w:cstheme="minorHAnsi"/>
        </w:rPr>
        <w:t>, 2 May 2018</w:t>
      </w:r>
      <w:r>
        <w:rPr>
          <w:rFonts w:cstheme="minorHAnsi"/>
        </w:rPr>
        <w:t>,</w:t>
      </w:r>
      <w:r w:rsidRPr="00F74546">
        <w:rPr>
          <w:rFonts w:cstheme="minorHAnsi"/>
        </w:rPr>
        <w:t xml:space="preserve"> https://ukconstitutionallaw.org/2018/05/02/alison-young-status-of-eu-law-post-brexit-part-one/</w:t>
      </w:r>
      <w:r>
        <w:rPr>
          <w:rFonts w:cstheme="minorHAnsi"/>
        </w:rPr>
        <w:t>,</w:t>
      </w:r>
      <w:r w:rsidRPr="00F74546">
        <w:rPr>
          <w:rFonts w:cstheme="minorHAnsi"/>
        </w:rPr>
        <w:t xml:space="preserve"> </w:t>
      </w:r>
      <w:r>
        <w:rPr>
          <w:rFonts w:cstheme="minorHAnsi"/>
        </w:rPr>
        <w:t>visited</w:t>
      </w:r>
      <w:r w:rsidRPr="00F74546">
        <w:rPr>
          <w:rFonts w:cstheme="minorHAnsi"/>
        </w:rPr>
        <w:t xml:space="preserve"> 2 December 2018.  </w:t>
      </w:r>
    </w:p>
  </w:footnote>
  <w:footnote w:id="32">
    <w:p w:rsidR="00C900A3" w:rsidRDefault="00C900A3">
      <w:pPr>
        <w:pStyle w:val="FootnoteText"/>
      </w:pPr>
      <w:r>
        <w:rPr>
          <w:rStyle w:val="FootnoteReference"/>
        </w:rPr>
        <w:footnoteRef/>
      </w:r>
      <w:r>
        <w:t xml:space="preserve"> Explanatory Notes, </w:t>
      </w:r>
      <w:r w:rsidRPr="00BE6C72">
        <w:rPr>
          <w:i/>
        </w:rPr>
        <w:t>supra</w:t>
      </w:r>
      <w:r>
        <w:t xml:space="preserve"> n. </w:t>
      </w:r>
      <w:r w:rsidR="0070463C">
        <w:fldChar w:fldCharType="begin"/>
      </w:r>
      <w:r w:rsidR="0070463C">
        <w:instrText xml:space="preserve"> NOTEREF  E_N_II \p  \* MERGEFORMAT </w:instrText>
      </w:r>
      <w:r w:rsidR="0070463C">
        <w:fldChar w:fldCharType="separate"/>
      </w:r>
      <w:r>
        <w:t>8</w:t>
      </w:r>
      <w:r w:rsidR="0070463C">
        <w:fldChar w:fldCharType="end"/>
      </w:r>
      <w:r>
        <w:t>, p. 30.</w:t>
      </w:r>
    </w:p>
  </w:footnote>
  <w:footnote w:id="33">
    <w:p w:rsidR="00C900A3" w:rsidRDefault="00C900A3">
      <w:pPr>
        <w:pStyle w:val="FootnoteText"/>
      </w:pPr>
      <w:r>
        <w:rPr>
          <w:rStyle w:val="FootnoteReference"/>
        </w:rPr>
        <w:footnoteRef/>
      </w:r>
      <w:r>
        <w:t xml:space="preserve"> ibid, p. 29.</w:t>
      </w:r>
    </w:p>
  </w:footnote>
  <w:footnote w:id="34">
    <w:p w:rsidR="00C900A3" w:rsidRPr="00677ACF"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Pr>
          <w:rFonts w:cstheme="minorHAnsi"/>
        </w:rPr>
        <w:t xml:space="preserve">[I]f the text is indeed not part of UK law, how might it be modified as provided for in e.g. </w:t>
      </w:r>
      <w:r w:rsidRPr="00677ACF">
        <w:rPr>
          <w:rFonts w:cstheme="minorHAnsi"/>
        </w:rPr>
        <w:t>Schedule 8, §3(1)</w:t>
      </w:r>
      <w:r>
        <w:rPr>
          <w:rFonts w:cstheme="minorHAnsi"/>
        </w:rPr>
        <w:t>?</w:t>
      </w:r>
    </w:p>
  </w:footnote>
  <w:footnote w:id="35">
    <w:p w:rsidR="00C900A3" w:rsidRPr="00F74546" w:rsidRDefault="00C900A3" w:rsidP="001F5C04">
      <w:pPr>
        <w:pStyle w:val="FootnoteText"/>
        <w:rPr>
          <w:rFonts w:cstheme="minorHAnsi"/>
        </w:rPr>
      </w:pPr>
      <w:r w:rsidRPr="00F74546">
        <w:rPr>
          <w:rStyle w:val="FootnoteReference"/>
          <w:rFonts w:cstheme="minorHAnsi"/>
        </w:rPr>
        <w:footnoteRef/>
      </w:r>
      <w:r w:rsidRPr="00F74546">
        <w:rPr>
          <w:rFonts w:cstheme="minorHAnsi"/>
        </w:rPr>
        <w:t xml:space="preserve"> See, for example, HM Treasury, ‘Consultation outcome: Ban on cold calling in relation to pensions: consultation on regulations’ (</w:t>
      </w:r>
      <w:r w:rsidRPr="00F74546">
        <w:rPr>
          <w:rFonts w:cstheme="minorHAnsi"/>
          <w:i/>
        </w:rPr>
        <w:t>Gov.UK</w:t>
      </w:r>
      <w:r w:rsidRPr="00F74546">
        <w:rPr>
          <w:rFonts w:cstheme="minorHAnsi"/>
        </w:rPr>
        <w:t>, 29 October 2018) &lt; https://www.gov.uk/government/consultations/ban-on-cold-calling-in-relation-to-pensions/ban-on-cold-calling-in-relation-to-pensions-consultation-on-regulations&gt; accessed 4 December 2018.</w:t>
      </w:r>
    </w:p>
  </w:footnote>
  <w:footnote w:id="36">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ECJ 10 May 1995, Case C-384/93, </w:t>
      </w:r>
      <w:r w:rsidRPr="00F74546">
        <w:rPr>
          <w:rFonts w:cstheme="minorHAnsi"/>
          <w:i/>
          <w:iCs/>
          <w:lang w:val="nl-NL"/>
        </w:rPr>
        <w:t>Alpine Investments BV v Minister van Financiën</w:t>
      </w:r>
      <w:r w:rsidRPr="00F74546">
        <w:rPr>
          <w:rFonts w:cstheme="minorHAnsi"/>
          <w:iCs/>
          <w:lang w:val="nl-NL"/>
        </w:rPr>
        <w:t>; in the event, the Court accepted as objective justification the need to safeguard the reputation of the Netherlands financial markets and to protect the investing public.</w:t>
      </w:r>
    </w:p>
  </w:footnote>
  <w:footnote w:id="37">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At the time of writing, Exit Day would be 29 March 2019 by default (‘no deal’), and it is so defined in the European Union (Withdrawal) Act 2018, s20(1)</w:t>
      </w:r>
      <w:r>
        <w:rPr>
          <w:rFonts w:cstheme="minorHAnsi"/>
        </w:rPr>
        <w:t>.  [I]</w:t>
      </w:r>
      <w:r w:rsidRPr="00F74546">
        <w:rPr>
          <w:rFonts w:cstheme="minorHAnsi"/>
        </w:rPr>
        <w:t xml:space="preserve">f Mrs May’s deal (approved by the Heads of State and Government of the EU27 on 25 November 2018) survives various parliamentary procedures, </w:t>
      </w:r>
      <w:r>
        <w:rPr>
          <w:rFonts w:cstheme="minorHAnsi"/>
        </w:rPr>
        <w:t xml:space="preserve">then another key date would be 31 December 2020, which would be the end of the transition period.  That would also become the new date on which the domestication of EU Law would take place.  Exit Day could also, potentially, be </w:t>
      </w:r>
      <w:r w:rsidRPr="00F74546">
        <w:rPr>
          <w:rFonts w:cstheme="minorHAnsi"/>
        </w:rPr>
        <w:t>any other date, if the Article 50 process is extended, depending on the extension agreed.</w:t>
      </w:r>
    </w:p>
  </w:footnote>
  <w:footnote w:id="38">
    <w:p w:rsidR="00C900A3" w:rsidRPr="00F74546" w:rsidRDefault="00C900A3" w:rsidP="00C83767">
      <w:pPr>
        <w:pStyle w:val="FootnoteText"/>
        <w:rPr>
          <w:rFonts w:cstheme="minorHAnsi"/>
        </w:rPr>
      </w:pPr>
      <w:r w:rsidRPr="00F74546">
        <w:rPr>
          <w:rStyle w:val="FootnoteReference"/>
          <w:rFonts w:cstheme="minorHAnsi"/>
        </w:rPr>
        <w:footnoteRef/>
      </w:r>
      <w:r w:rsidRPr="00F74546">
        <w:rPr>
          <w:rFonts w:cstheme="minorHAnsi"/>
        </w:rPr>
        <w:t xml:space="preserve"> It is hard to know how exactly to refer to a measure of EU Law which the Withdrawal Act incorporates into UK Law, as it is of course now something other than EU Law – a sort of domestic facsimile, or copy.  One could refer to such a measure by its given name, followed by a phrase such as ‘in its new domestic form.’  However, for ease of reference, I have chosen simply to refer to the relevant measure by its given name, preceded by ‘ex-.’  The prefix ‘ex-</w:t>
      </w:r>
      <w:proofErr w:type="gramStart"/>
      <w:r w:rsidRPr="00F74546">
        <w:rPr>
          <w:rFonts w:cstheme="minorHAnsi"/>
        </w:rPr>
        <w:t>‘ merely</w:t>
      </w:r>
      <w:proofErr w:type="gramEnd"/>
      <w:r w:rsidRPr="00F74546">
        <w:rPr>
          <w:rFonts w:cstheme="minorHAnsi"/>
        </w:rPr>
        <w:t xml:space="preserve"> connotes that the measure in question once carried the name which follows, when it was a measure of EU Law, and indeed it still does in its subsisting EU legal version, but that the measure herein being referenced is a piece of UK Law not having been given as yet (and in fact probably never to be given) a new name by which to call it in its new UK legal context.  Since the goals of the Heads of State and Government, or the EU institutions, in passing the original act, differ from the goals of the UK Parliament in incorporating the facsimile, one is sorely tempted to adapt </w:t>
      </w:r>
      <w:proofErr w:type="spellStart"/>
      <w:r w:rsidRPr="00F74546">
        <w:rPr>
          <w:rFonts w:cstheme="minorHAnsi"/>
        </w:rPr>
        <w:t>Nozick’s</w:t>
      </w:r>
      <w:proofErr w:type="spellEnd"/>
      <w:r w:rsidRPr="00F74546">
        <w:rPr>
          <w:rFonts w:cstheme="minorHAnsi"/>
        </w:rPr>
        <w:t xml:space="preserve"> famous riposte to distributive rules based on internal goals, whereby he divided health-centred and profit-centred medical services into ‘doctoring’ and ‘</w:t>
      </w:r>
      <w:proofErr w:type="spellStart"/>
      <w:r w:rsidRPr="00F74546">
        <w:rPr>
          <w:rFonts w:cstheme="minorHAnsi"/>
        </w:rPr>
        <w:t>schmoctoring</w:t>
      </w:r>
      <w:proofErr w:type="spellEnd"/>
      <w:r w:rsidRPr="00F74546">
        <w:rPr>
          <w:rFonts w:cstheme="minorHAnsi"/>
        </w:rPr>
        <w:t xml:space="preserve">:’ R </w:t>
      </w:r>
      <w:proofErr w:type="spellStart"/>
      <w:r w:rsidRPr="00F74546">
        <w:rPr>
          <w:rFonts w:cstheme="minorHAnsi"/>
        </w:rPr>
        <w:t>Nozick</w:t>
      </w:r>
      <w:proofErr w:type="spellEnd"/>
      <w:r w:rsidRPr="00F74546">
        <w:rPr>
          <w:rFonts w:cstheme="minorHAnsi"/>
        </w:rPr>
        <w:t xml:space="preserve">, </w:t>
      </w:r>
      <w:r w:rsidRPr="00F74546">
        <w:rPr>
          <w:rFonts w:cstheme="minorHAnsi"/>
          <w:i/>
        </w:rPr>
        <w:t>Anarchy, State, and Utopia</w:t>
      </w:r>
      <w:r w:rsidRPr="00F74546">
        <w:rPr>
          <w:rFonts w:cstheme="minorHAnsi"/>
        </w:rPr>
        <w:t xml:space="preserve"> (Blackwell, Oxford 1975) 235.</w:t>
      </w:r>
    </w:p>
  </w:footnote>
  <w:footnote w:id="39">
    <w:p w:rsidR="00C900A3" w:rsidRPr="00F74546" w:rsidRDefault="00C900A3" w:rsidP="00985067">
      <w:pPr>
        <w:pStyle w:val="FootnoteText"/>
        <w:rPr>
          <w:rFonts w:cstheme="minorHAnsi"/>
        </w:rPr>
      </w:pPr>
      <w:r w:rsidRPr="00F74546">
        <w:rPr>
          <w:rStyle w:val="FootnoteReference"/>
          <w:rFonts w:cstheme="minorHAnsi"/>
        </w:rPr>
        <w:footnoteRef/>
      </w:r>
      <w:r w:rsidRPr="00F74546">
        <w:rPr>
          <w:rFonts w:cstheme="minorHAnsi"/>
        </w:rPr>
        <w:t xml:space="preserve"> </w:t>
      </w:r>
      <w:r w:rsidR="00686851">
        <w:rPr>
          <w:rFonts w:cstheme="minorHAnsi"/>
        </w:rPr>
        <w:t>Paragraph 96 of the Explanatory Notes confirms that the rights retained as a result of s. 4 will be able to be amended by statutory instrument:</w:t>
      </w:r>
      <w:r>
        <w:rPr>
          <w:rFonts w:cstheme="minorHAnsi"/>
        </w:rPr>
        <w:t xml:space="preserve"> Explanatory Notes, </w:t>
      </w:r>
      <w:r w:rsidR="007C3457" w:rsidRPr="007C3457">
        <w:rPr>
          <w:rFonts w:cstheme="minorHAnsi"/>
          <w:i/>
        </w:rPr>
        <w:t>supra</w:t>
      </w:r>
      <w:r>
        <w:rPr>
          <w:rFonts w:cstheme="minorHAnsi"/>
        </w:rPr>
        <w:t xml:space="preserve"> n. </w:t>
      </w:r>
      <w:r w:rsidR="0070463C">
        <w:rPr>
          <w:rFonts w:cstheme="minorHAnsi"/>
        </w:rPr>
        <w:fldChar w:fldCharType="begin"/>
      </w:r>
      <w:r w:rsidR="0070463C">
        <w:rPr>
          <w:rFonts w:cstheme="minorHAnsi"/>
        </w:rPr>
        <w:instrText xml:space="preserve"> NOTEREF  E_N_II \p  \* MERGEFORMAT </w:instrText>
      </w:r>
      <w:r w:rsidR="0070463C">
        <w:rPr>
          <w:rFonts w:cstheme="minorHAnsi"/>
        </w:rPr>
        <w:fldChar w:fldCharType="separate"/>
      </w:r>
      <w:r>
        <w:rPr>
          <w:rFonts w:cstheme="minorHAnsi"/>
        </w:rPr>
        <w:t>8</w:t>
      </w:r>
      <w:r w:rsidR="0070463C">
        <w:rPr>
          <w:rFonts w:cstheme="minorHAnsi"/>
        </w:rPr>
        <w:fldChar w:fldCharType="end"/>
      </w:r>
      <w:r>
        <w:rPr>
          <w:rFonts w:cstheme="minorHAnsi"/>
        </w:rPr>
        <w:t xml:space="preserve">, p. </w:t>
      </w:r>
      <w:r w:rsidR="00686851">
        <w:rPr>
          <w:rFonts w:cstheme="minorHAnsi"/>
        </w:rPr>
        <w:t xml:space="preserve">31.  </w:t>
      </w:r>
      <w:r w:rsidR="00686851" w:rsidRPr="00F74546">
        <w:rPr>
          <w:rFonts w:cstheme="minorHAnsi"/>
        </w:rPr>
        <w:t>Such remedying may even already have been provided for before Exit Day, coming into force on Exit Day itself.  This scenario is foreseen in Withdrawal Act, Schedule 7, §24.</w:t>
      </w:r>
      <w:r w:rsidR="00686851">
        <w:rPr>
          <w:rFonts w:cstheme="minorHAnsi"/>
        </w:rPr>
        <w:t xml:space="preserve">  </w:t>
      </w:r>
    </w:p>
  </w:footnote>
  <w:footnote w:id="40">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It should be noted at the very outset that the EU doctrine of supremacy will </w:t>
      </w:r>
      <w:r w:rsidRPr="00F74546">
        <w:rPr>
          <w:rFonts w:cstheme="minorHAnsi"/>
          <w:i/>
        </w:rPr>
        <w:t>not</w:t>
      </w:r>
      <w:r w:rsidRPr="00F74546">
        <w:rPr>
          <w:rFonts w:cstheme="minorHAnsi"/>
        </w:rPr>
        <w:t xml:space="preserve"> assist our challenger here.  By section 5(1) of the European Union (Withdrawal) Act 2018, once the UK leaves the EU, EU law </w:t>
      </w:r>
      <w:r w:rsidR="00686851">
        <w:rPr>
          <w:rFonts w:cstheme="minorHAnsi"/>
        </w:rPr>
        <w:t>is</w:t>
      </w:r>
      <w:r w:rsidR="00686851" w:rsidRPr="00F74546">
        <w:rPr>
          <w:rFonts w:cstheme="minorHAnsi"/>
        </w:rPr>
        <w:t xml:space="preserve"> </w:t>
      </w:r>
      <w:r w:rsidRPr="00F74546">
        <w:rPr>
          <w:rFonts w:cstheme="minorHAnsi"/>
        </w:rPr>
        <w:t xml:space="preserve">no longer </w:t>
      </w:r>
      <w:r w:rsidR="005C7660">
        <w:rPr>
          <w:rFonts w:cstheme="minorHAnsi"/>
        </w:rPr>
        <w:t xml:space="preserve">to </w:t>
      </w:r>
      <w:r w:rsidRPr="00F74546">
        <w:rPr>
          <w:rFonts w:cstheme="minorHAnsi"/>
        </w:rPr>
        <w:t>be supreme over new laws made by Parliament.</w:t>
      </w:r>
    </w:p>
  </w:footnote>
  <w:footnote w:id="41">
    <w:p w:rsidR="00C900A3" w:rsidRDefault="00C900A3">
      <w:pPr>
        <w:pStyle w:val="FootnoteText"/>
      </w:pPr>
      <w:r>
        <w:rPr>
          <w:rStyle w:val="FootnoteReference"/>
        </w:rPr>
        <w:footnoteRef/>
      </w:r>
      <w:r>
        <w:t xml:space="preserve"> </w:t>
      </w:r>
      <w:r w:rsidRPr="008E7594">
        <w:t xml:space="preserve">A. Kavanagh, </w:t>
      </w:r>
      <w:r w:rsidRPr="008E7594">
        <w:rPr>
          <w:i/>
        </w:rPr>
        <w:t>Constitutional Review under the UK Human Rights Act</w:t>
      </w:r>
      <w:r w:rsidRPr="008E7594">
        <w:t xml:space="preserve"> (Cambridge 2009) p. 297</w:t>
      </w:r>
      <w:r>
        <w:t>.</w:t>
      </w:r>
    </w:p>
  </w:footnote>
  <w:footnote w:id="42">
    <w:p w:rsidR="00C900A3" w:rsidRDefault="00C900A3">
      <w:pPr>
        <w:pStyle w:val="FootnoteText"/>
      </w:pPr>
      <w:r>
        <w:rPr>
          <w:rStyle w:val="FootnoteReference"/>
        </w:rPr>
        <w:footnoteRef/>
      </w:r>
      <w:r>
        <w:t xml:space="preserve"> </w:t>
      </w:r>
      <w:r w:rsidRPr="008E7594">
        <w:t xml:space="preserve">H.W.R. Wade, ‘The basis of Legal Sovereignty’ </w:t>
      </w:r>
      <w:r w:rsidRPr="008E7594">
        <w:rPr>
          <w:i/>
        </w:rPr>
        <w:t>C.L.J.</w:t>
      </w:r>
      <w:r w:rsidRPr="008E7594">
        <w:t xml:space="preserve"> (1955) p. 172 at p. 174.</w:t>
      </w:r>
    </w:p>
  </w:footnote>
  <w:footnote w:id="43">
    <w:p w:rsidR="00C900A3" w:rsidRDefault="00C900A3">
      <w:pPr>
        <w:pStyle w:val="FootnoteText"/>
      </w:pPr>
      <w:r>
        <w:rPr>
          <w:rStyle w:val="FootnoteReference"/>
        </w:rPr>
        <w:footnoteRef/>
      </w:r>
      <w:r>
        <w:t xml:space="preserve"> ibid.</w:t>
      </w:r>
    </w:p>
  </w:footnote>
  <w:footnote w:id="44">
    <w:p w:rsidR="00C900A3" w:rsidRDefault="00C900A3">
      <w:pPr>
        <w:pStyle w:val="FootnoteText"/>
      </w:pPr>
      <w:r>
        <w:rPr>
          <w:rStyle w:val="FootnoteReference"/>
        </w:rPr>
        <w:footnoteRef/>
      </w:r>
      <w:r>
        <w:t xml:space="preserve"> </w:t>
      </w:r>
      <w:r w:rsidRPr="007C6F35">
        <w:t xml:space="preserve">AV Dicey, </w:t>
      </w:r>
      <w:r w:rsidRPr="007C6F35">
        <w:rPr>
          <w:i/>
        </w:rPr>
        <w:t>Introduction to the study of the law of the constitution</w:t>
      </w:r>
      <w:r w:rsidRPr="007C6F35">
        <w:t xml:space="preserve"> (10</w:t>
      </w:r>
      <w:r w:rsidRPr="007C6F35">
        <w:rPr>
          <w:vertAlign w:val="superscript"/>
        </w:rPr>
        <w:t>th</w:t>
      </w:r>
      <w:r>
        <w:t xml:space="preserve"> </w:t>
      </w:r>
      <w:proofErr w:type="spellStart"/>
      <w:r>
        <w:t>edn</w:t>
      </w:r>
      <w:proofErr w:type="spellEnd"/>
      <w:r>
        <w:t>, Macmillan 1959) at p39-40</w:t>
      </w:r>
      <w:r w:rsidRPr="007C6F35">
        <w:t>.</w:t>
      </w:r>
    </w:p>
  </w:footnote>
  <w:footnote w:id="45">
    <w:p w:rsidR="00C900A3" w:rsidRDefault="00C900A3">
      <w:pPr>
        <w:pStyle w:val="FootnoteText"/>
      </w:pPr>
      <w:r>
        <w:rPr>
          <w:rStyle w:val="FootnoteReference"/>
        </w:rPr>
        <w:footnoteRef/>
      </w:r>
      <w:r>
        <w:t xml:space="preserve"> </w:t>
      </w:r>
      <w:r w:rsidRPr="007C6F35">
        <w:t xml:space="preserve">I Loveland, </w:t>
      </w:r>
      <w:r w:rsidRPr="007C6F35">
        <w:rPr>
          <w:i/>
        </w:rPr>
        <w:t>Constitutional Law, Administrative Law, and Human Rights: A critical introduction</w:t>
      </w:r>
      <w:r w:rsidRPr="007C6F35">
        <w:t xml:space="preserve"> (OUP 2009) p. 23ff.</w:t>
      </w:r>
    </w:p>
  </w:footnote>
  <w:footnote w:id="46">
    <w:p w:rsidR="00C900A3" w:rsidRDefault="00C900A3">
      <w:pPr>
        <w:pStyle w:val="FootnoteText"/>
      </w:pPr>
      <w:r>
        <w:rPr>
          <w:rStyle w:val="FootnoteReference"/>
        </w:rPr>
        <w:footnoteRef/>
      </w:r>
      <w:r>
        <w:t xml:space="preserve"> </w:t>
      </w:r>
      <w:r w:rsidRPr="007C6F35">
        <w:t xml:space="preserve">Lord R Cooke, ‘The road ahead for the Common Law’ (2004) 53 </w:t>
      </w:r>
      <w:r w:rsidRPr="007C6F35">
        <w:rPr>
          <w:i/>
        </w:rPr>
        <w:t>ICLQ</w:t>
      </w:r>
      <w:r w:rsidRPr="007C6F35">
        <w:t xml:space="preserve"> 273, at p. 274</w:t>
      </w:r>
      <w:r>
        <w:t>.</w:t>
      </w:r>
    </w:p>
  </w:footnote>
  <w:footnote w:id="47">
    <w:p w:rsidR="00C900A3" w:rsidRDefault="00C900A3">
      <w:pPr>
        <w:pStyle w:val="FootnoteText"/>
      </w:pPr>
      <w:r>
        <w:rPr>
          <w:rStyle w:val="FootnoteReference"/>
        </w:rPr>
        <w:footnoteRef/>
      </w:r>
      <w:r>
        <w:t xml:space="preserve"> Kavanagh, </w:t>
      </w:r>
      <w:r w:rsidR="007C3457" w:rsidRPr="007C3457">
        <w:rPr>
          <w:i/>
        </w:rPr>
        <w:t>supra</w:t>
      </w:r>
      <w:r>
        <w:t xml:space="preserve"> n. </w:t>
      </w:r>
      <w:r w:rsidR="0070463C">
        <w:fldChar w:fldCharType="begin"/>
      </w:r>
      <w:r w:rsidR="0070463C">
        <w:instrText xml:space="preserve"> NOTEREF  Kavanagh \p  \* MERGEFORMAT </w:instrText>
      </w:r>
      <w:r w:rsidR="0070463C">
        <w:fldChar w:fldCharType="separate"/>
      </w:r>
      <w:r>
        <w:t>39</w:t>
      </w:r>
      <w:r w:rsidR="0070463C">
        <w:fldChar w:fldCharType="end"/>
      </w:r>
      <w:r>
        <w:t xml:space="preserve">, p. </w:t>
      </w:r>
      <w:r w:rsidRPr="007C6F35">
        <w:t>315</w:t>
      </w:r>
      <w:r>
        <w:t>.</w:t>
      </w:r>
    </w:p>
  </w:footnote>
  <w:footnote w:id="48">
    <w:p w:rsidR="00C900A3" w:rsidRDefault="00C900A3">
      <w:pPr>
        <w:pStyle w:val="FootnoteText"/>
      </w:pPr>
      <w:r>
        <w:rPr>
          <w:rStyle w:val="FootnoteReference"/>
        </w:rPr>
        <w:footnoteRef/>
      </w:r>
      <w:r>
        <w:t xml:space="preserve"> </w:t>
      </w:r>
      <w:proofErr w:type="spellStart"/>
      <w:r w:rsidRPr="004B18F5">
        <w:t>Bennion</w:t>
      </w:r>
      <w:proofErr w:type="spellEnd"/>
      <w:r w:rsidRPr="004B18F5">
        <w:t xml:space="preserve"> calls it a ‘so-called doctrine’ as, in his view, it is not a separate doctrine at all, but merely an application of the ‘general linguistic principle</w:t>
      </w:r>
      <w:r>
        <w:t>:</w:t>
      </w:r>
      <w:r w:rsidRPr="004B18F5">
        <w:t>’</w:t>
      </w:r>
      <w:r>
        <w:t xml:space="preserve"> </w:t>
      </w:r>
      <w:r w:rsidRPr="00CE2177">
        <w:t>F</w:t>
      </w:r>
      <w:r>
        <w:t>.</w:t>
      </w:r>
      <w:r w:rsidRPr="00CE2177">
        <w:t>A</w:t>
      </w:r>
      <w:r>
        <w:t>.</w:t>
      </w:r>
      <w:r w:rsidRPr="00CE2177">
        <w:t>R</w:t>
      </w:r>
      <w:r>
        <w:t>.</w:t>
      </w:r>
      <w:r w:rsidRPr="00CE2177">
        <w:t xml:space="preserve"> </w:t>
      </w:r>
      <w:proofErr w:type="spellStart"/>
      <w:r w:rsidRPr="00CE2177">
        <w:t>Bennion</w:t>
      </w:r>
      <w:proofErr w:type="spellEnd"/>
      <w:r w:rsidRPr="00CE2177">
        <w:t xml:space="preserve">, </w:t>
      </w:r>
      <w:r w:rsidRPr="00CE2177">
        <w:rPr>
          <w:i/>
        </w:rPr>
        <w:t>Understanding common law legislation: drafting and interpretation</w:t>
      </w:r>
      <w:r w:rsidRPr="00CE2177">
        <w:t xml:space="preserve"> (OUP, Oxford 2009) 52</w:t>
      </w:r>
      <w:r>
        <w:t>.</w:t>
      </w:r>
    </w:p>
  </w:footnote>
  <w:footnote w:id="49">
    <w:p w:rsidR="00C900A3" w:rsidRDefault="00C900A3">
      <w:pPr>
        <w:pStyle w:val="FootnoteText"/>
      </w:pPr>
      <w:r>
        <w:rPr>
          <w:rStyle w:val="FootnoteReference"/>
        </w:rPr>
        <w:footnoteRef/>
      </w:r>
      <w:r>
        <w:t xml:space="preserve"> </w:t>
      </w:r>
      <w:r w:rsidRPr="00C20880">
        <w:t>(1783) 1 Leach 271</w:t>
      </w:r>
      <w:r>
        <w:t>.</w:t>
      </w:r>
    </w:p>
  </w:footnote>
  <w:footnote w:id="50">
    <w:p w:rsidR="00C900A3" w:rsidRDefault="00C900A3">
      <w:pPr>
        <w:pStyle w:val="FootnoteText"/>
      </w:pPr>
      <w:r>
        <w:rPr>
          <w:rStyle w:val="FootnoteReference"/>
        </w:rPr>
        <w:footnoteRef/>
      </w:r>
      <w:r>
        <w:t xml:space="preserve"> ibid at p. 272.</w:t>
      </w:r>
    </w:p>
  </w:footnote>
  <w:footnote w:id="51">
    <w:p w:rsidR="00C900A3" w:rsidRDefault="00C900A3">
      <w:pPr>
        <w:pStyle w:val="FootnoteText"/>
      </w:pPr>
      <w:r>
        <w:rPr>
          <w:rStyle w:val="FootnoteReference"/>
        </w:rPr>
        <w:footnoteRef/>
      </w:r>
      <w:r>
        <w:t xml:space="preserve"> </w:t>
      </w:r>
      <w:r w:rsidRPr="00443533">
        <w:t xml:space="preserve">F.A.R. </w:t>
      </w:r>
      <w:proofErr w:type="spellStart"/>
      <w:r w:rsidRPr="00443533">
        <w:t>Bennion</w:t>
      </w:r>
      <w:proofErr w:type="spellEnd"/>
      <w:r w:rsidRPr="00443533">
        <w:t xml:space="preserve">, </w:t>
      </w:r>
      <w:proofErr w:type="spellStart"/>
      <w:r w:rsidRPr="00443533">
        <w:rPr>
          <w:i/>
        </w:rPr>
        <w:t>Bennion</w:t>
      </w:r>
      <w:proofErr w:type="spellEnd"/>
      <w:r w:rsidRPr="00443533">
        <w:rPr>
          <w:i/>
        </w:rPr>
        <w:t xml:space="preserve"> on statutory interpretation</w:t>
      </w:r>
      <w:r w:rsidRPr="00443533">
        <w:t xml:space="preserve"> (7</w:t>
      </w:r>
      <w:r w:rsidRPr="00443533">
        <w:rPr>
          <w:vertAlign w:val="superscript"/>
        </w:rPr>
        <w:t>th</w:t>
      </w:r>
      <w:r w:rsidRPr="00443533">
        <w:t xml:space="preserve"> </w:t>
      </w:r>
      <w:proofErr w:type="spellStart"/>
      <w:r w:rsidRPr="00443533">
        <w:t>edn</w:t>
      </w:r>
      <w:proofErr w:type="spellEnd"/>
      <w:r w:rsidRPr="00443533">
        <w:t>, LexisNexis Butterworths 2017) at section 6.10</w:t>
      </w:r>
      <w:r>
        <w:t>.</w:t>
      </w:r>
    </w:p>
  </w:footnote>
  <w:footnote w:id="52">
    <w:p w:rsidR="00C900A3" w:rsidRDefault="00C900A3">
      <w:pPr>
        <w:pStyle w:val="FootnoteText"/>
      </w:pPr>
      <w:r>
        <w:rPr>
          <w:rStyle w:val="FootnoteReference"/>
        </w:rPr>
        <w:footnoteRef/>
      </w:r>
      <w:r>
        <w:t xml:space="preserve"> </w:t>
      </w:r>
      <w:r w:rsidR="007C3457" w:rsidRPr="007C3457">
        <w:rPr>
          <w:i/>
        </w:rPr>
        <w:t xml:space="preserve">Henry Boot Construction (UK) Ltd v </w:t>
      </w:r>
      <w:proofErr w:type="spellStart"/>
      <w:r w:rsidR="007C3457" w:rsidRPr="007C3457">
        <w:rPr>
          <w:i/>
        </w:rPr>
        <w:t>Malmaison</w:t>
      </w:r>
      <w:proofErr w:type="spellEnd"/>
      <w:r w:rsidR="007C3457" w:rsidRPr="007C3457">
        <w:rPr>
          <w:i/>
        </w:rPr>
        <w:t xml:space="preserve"> Hotel (Manchester) Ltd</w:t>
      </w:r>
      <w:r>
        <w:t xml:space="preserve"> </w:t>
      </w:r>
      <w:r w:rsidRPr="007219C6">
        <w:t>[2001] 1 All ER 257</w:t>
      </w:r>
      <w:r>
        <w:t xml:space="preserve"> at 273 (Arden J.)</w:t>
      </w:r>
    </w:p>
  </w:footnote>
  <w:footnote w:id="53">
    <w:p w:rsidR="00C900A3" w:rsidRDefault="00C900A3">
      <w:pPr>
        <w:pStyle w:val="FootnoteText"/>
      </w:pPr>
      <w:r>
        <w:rPr>
          <w:rStyle w:val="FootnoteReference"/>
        </w:rPr>
        <w:footnoteRef/>
      </w:r>
      <w:r>
        <w:t xml:space="preserve"> </w:t>
      </w:r>
      <w:proofErr w:type="spellStart"/>
      <w:r>
        <w:t>Bennion</w:t>
      </w:r>
      <w:proofErr w:type="spellEnd"/>
      <w:r>
        <w:t xml:space="preserve">, </w:t>
      </w:r>
      <w:proofErr w:type="spellStart"/>
      <w:r w:rsidRPr="00143170">
        <w:rPr>
          <w:i/>
        </w:rPr>
        <w:t>Bennion</w:t>
      </w:r>
      <w:proofErr w:type="spellEnd"/>
      <w:r w:rsidRPr="00143170">
        <w:rPr>
          <w:i/>
        </w:rPr>
        <w:t xml:space="preserve"> on statutory interpretation</w:t>
      </w:r>
      <w:r>
        <w:t xml:space="preserve">, </w:t>
      </w:r>
      <w:r>
        <w:rPr>
          <w:i/>
        </w:rPr>
        <w:t xml:space="preserve">supra </w:t>
      </w:r>
      <w:r>
        <w:t xml:space="preserve">n. </w:t>
      </w:r>
      <w:r w:rsidR="0070463C">
        <w:fldChar w:fldCharType="begin"/>
      </w:r>
      <w:r w:rsidR="0070463C">
        <w:instrText xml:space="preserve"> NOTEREF  Bennion_7th_III \p  \* MERGEFORMAT </w:instrText>
      </w:r>
      <w:r w:rsidR="0070463C">
        <w:fldChar w:fldCharType="separate"/>
      </w:r>
      <w:r>
        <w:t>50</w:t>
      </w:r>
      <w:r w:rsidR="0070463C">
        <w:fldChar w:fldCharType="end"/>
      </w:r>
      <w:r>
        <w:t>, section 6.10.</w:t>
      </w:r>
    </w:p>
  </w:footnote>
  <w:footnote w:id="54">
    <w:p w:rsidR="00C900A3" w:rsidRPr="009470AD" w:rsidRDefault="00C900A3">
      <w:pPr>
        <w:pStyle w:val="FootnoteText"/>
        <w:rPr>
          <w:rFonts w:cstheme="minorHAnsi"/>
        </w:rPr>
      </w:pPr>
      <w:r>
        <w:rPr>
          <w:rStyle w:val="FootnoteReference"/>
        </w:rPr>
        <w:footnoteRef/>
      </w:r>
      <w:r>
        <w:t xml:space="preserve"> </w:t>
      </w:r>
      <w:r w:rsidRPr="00F74546">
        <w:rPr>
          <w:rFonts w:cstheme="minorHAnsi"/>
        </w:rPr>
        <w:t xml:space="preserve">N.W. Barber and A.L. Young, ‘The rise of prospective Henry VIII clauses and their implications for sovereignty’, Spr. </w:t>
      </w:r>
      <w:r w:rsidRPr="00F74546">
        <w:rPr>
          <w:rFonts w:cstheme="minorHAnsi"/>
          <w:i/>
        </w:rPr>
        <w:t>P.L</w:t>
      </w:r>
      <w:r>
        <w:rPr>
          <w:rFonts w:cstheme="minorHAnsi"/>
        </w:rPr>
        <w:t>. (2003) p. 112 at p. 116</w:t>
      </w:r>
      <w:r w:rsidRPr="00F74546">
        <w:rPr>
          <w:rFonts w:cstheme="minorHAnsi"/>
        </w:rPr>
        <w:t>.</w:t>
      </w:r>
    </w:p>
  </w:footnote>
  <w:footnote w:id="55">
    <w:p w:rsidR="00C900A3" w:rsidRDefault="00C900A3">
      <w:pPr>
        <w:pStyle w:val="FootnoteText"/>
      </w:pPr>
      <w:r>
        <w:rPr>
          <w:rStyle w:val="FootnoteReference"/>
        </w:rPr>
        <w:footnoteRef/>
      </w:r>
      <w:r>
        <w:t xml:space="preserve"> </w:t>
      </w:r>
      <w:r w:rsidRPr="000455B6">
        <w:t xml:space="preserve">(1884) 10 App </w:t>
      </w:r>
      <w:proofErr w:type="spellStart"/>
      <w:proofErr w:type="gramStart"/>
      <w:r w:rsidRPr="000455B6">
        <w:t>Cas</w:t>
      </w:r>
      <w:proofErr w:type="spellEnd"/>
      <w:proofErr w:type="gramEnd"/>
      <w:r w:rsidRPr="000455B6">
        <w:t xml:space="preserve"> 59</w:t>
      </w:r>
      <w:r>
        <w:t>.</w:t>
      </w:r>
    </w:p>
  </w:footnote>
  <w:footnote w:id="56">
    <w:p w:rsidR="00C900A3" w:rsidRDefault="00C900A3">
      <w:pPr>
        <w:pStyle w:val="FootnoteText"/>
      </w:pPr>
      <w:r>
        <w:rPr>
          <w:rStyle w:val="FootnoteReference"/>
        </w:rPr>
        <w:footnoteRef/>
      </w:r>
      <w:r>
        <w:t xml:space="preserve"> ibid at 68 (Lord </w:t>
      </w:r>
      <w:proofErr w:type="spellStart"/>
      <w:r>
        <w:t>Selborne</w:t>
      </w:r>
      <w:proofErr w:type="spellEnd"/>
      <w:r>
        <w:t xml:space="preserve"> LC).  </w:t>
      </w:r>
      <w:r w:rsidRPr="00443533">
        <w:t xml:space="preserve">One authority given by </w:t>
      </w:r>
      <w:proofErr w:type="spellStart"/>
      <w:r w:rsidRPr="00443533">
        <w:t>Bennion</w:t>
      </w:r>
      <w:proofErr w:type="spellEnd"/>
      <w:r w:rsidRPr="00443533">
        <w:t xml:space="preserve"> is </w:t>
      </w:r>
      <w:r w:rsidRPr="00443533">
        <w:rPr>
          <w:i/>
        </w:rPr>
        <w:t>R v Secretary of State for the Home Department, ex parte Hickey (No 1)</w:t>
      </w:r>
      <w:r w:rsidRPr="00443533">
        <w:t xml:space="preserve"> [1995] 1 All ER 479 at 487 (1983 Act governing the release of life prisoners receiving treatment in a mental hospital not repealed by 1991 Act governing release of life prisoners generally): </w:t>
      </w:r>
      <w:proofErr w:type="spellStart"/>
      <w:r>
        <w:t>Bennion</w:t>
      </w:r>
      <w:proofErr w:type="spellEnd"/>
      <w:r>
        <w:t xml:space="preserve">, </w:t>
      </w:r>
      <w:proofErr w:type="spellStart"/>
      <w:r w:rsidRPr="00143170">
        <w:rPr>
          <w:i/>
        </w:rPr>
        <w:t>Bennion</w:t>
      </w:r>
      <w:proofErr w:type="spellEnd"/>
      <w:r w:rsidRPr="00143170">
        <w:rPr>
          <w:i/>
        </w:rPr>
        <w:t xml:space="preserve"> on statutory interpretation</w:t>
      </w:r>
      <w:r>
        <w:t xml:space="preserve">, </w:t>
      </w:r>
      <w:r>
        <w:rPr>
          <w:i/>
        </w:rPr>
        <w:t xml:space="preserve">supra </w:t>
      </w:r>
      <w:r>
        <w:t xml:space="preserve">n. </w:t>
      </w:r>
      <w:r w:rsidR="0070463C">
        <w:fldChar w:fldCharType="begin"/>
      </w:r>
      <w:r w:rsidR="0070463C">
        <w:instrText xml:space="preserve"> NOTEREF  Bennion_7th_III \p  \* MERGEFORMAT </w:instrText>
      </w:r>
      <w:r w:rsidR="0070463C">
        <w:fldChar w:fldCharType="separate"/>
      </w:r>
      <w:r>
        <w:t>50</w:t>
      </w:r>
      <w:r w:rsidR="0070463C">
        <w:fldChar w:fldCharType="end"/>
      </w:r>
      <w:r>
        <w:t>, section 6.10</w:t>
      </w:r>
      <w:r w:rsidRPr="00443533">
        <w:t>.</w:t>
      </w:r>
    </w:p>
  </w:footnote>
  <w:footnote w:id="57">
    <w:p w:rsidR="00C900A3" w:rsidRDefault="00C900A3">
      <w:pPr>
        <w:pStyle w:val="FootnoteText"/>
      </w:pPr>
      <w:r>
        <w:rPr>
          <w:rStyle w:val="FootnoteReference"/>
        </w:rPr>
        <w:footnoteRef/>
      </w:r>
      <w:r>
        <w:t xml:space="preserve"> </w:t>
      </w:r>
      <w:r w:rsidRPr="00F74546">
        <w:rPr>
          <w:rFonts w:cstheme="minorHAnsi"/>
        </w:rPr>
        <w:t xml:space="preserve">J. Goldsworthy, </w:t>
      </w:r>
      <w:r w:rsidRPr="00F74546">
        <w:rPr>
          <w:rFonts w:cstheme="minorHAnsi"/>
          <w:i/>
        </w:rPr>
        <w:t>Parliamentary</w:t>
      </w:r>
      <w:r w:rsidRPr="00F74546">
        <w:rPr>
          <w:rFonts w:cstheme="minorHAnsi"/>
        </w:rPr>
        <w:t xml:space="preserve"> </w:t>
      </w:r>
      <w:r w:rsidRPr="00F74546">
        <w:rPr>
          <w:rFonts w:cstheme="minorHAnsi"/>
          <w:i/>
        </w:rPr>
        <w:t>Sovereignty: Contemporary Debates</w:t>
      </w:r>
      <w:r w:rsidRPr="00F74546">
        <w:rPr>
          <w:rFonts w:cstheme="minorHAnsi"/>
        </w:rPr>
        <w:t xml:space="preserve"> (CUP 2010) p.</w:t>
      </w:r>
      <w:r>
        <w:rPr>
          <w:rFonts w:cstheme="minorHAnsi"/>
        </w:rPr>
        <w:t>292.</w:t>
      </w:r>
    </w:p>
  </w:footnote>
  <w:footnote w:id="58">
    <w:p w:rsidR="00C900A3" w:rsidRDefault="00C900A3">
      <w:pPr>
        <w:pStyle w:val="FootnoteText"/>
      </w:pPr>
      <w:r>
        <w:rPr>
          <w:rStyle w:val="FootnoteReference"/>
        </w:rPr>
        <w:footnoteRef/>
      </w:r>
      <w:r>
        <w:t xml:space="preserve"> </w:t>
      </w:r>
      <w:r>
        <w:rPr>
          <w:i/>
        </w:rPr>
        <w:t>C</w:t>
      </w:r>
      <w:r w:rsidRPr="00591D1C">
        <w:rPr>
          <w:i/>
        </w:rPr>
        <w:t>ontra</w:t>
      </w:r>
      <w:r>
        <w:t xml:space="preserve"> </w:t>
      </w:r>
      <w:proofErr w:type="spellStart"/>
      <w:r>
        <w:t>Bennion</w:t>
      </w:r>
      <w:proofErr w:type="spellEnd"/>
      <w:r>
        <w:t xml:space="preserve"> comments that ‘[a]</w:t>
      </w:r>
      <w:proofErr w:type="spellStart"/>
      <w:r>
        <w:t>lthough</w:t>
      </w:r>
      <w:proofErr w:type="spellEnd"/>
      <w:r>
        <w:t xml:space="preserve"> it is sometimes treated as an exception to implied repeal it is really just one example of circumstances in which the presumption against implied repeal is particularly strong:’ </w:t>
      </w:r>
      <w:proofErr w:type="spellStart"/>
      <w:r>
        <w:t>Bennion</w:t>
      </w:r>
      <w:proofErr w:type="spellEnd"/>
      <w:r>
        <w:t xml:space="preserve">, </w:t>
      </w:r>
      <w:proofErr w:type="spellStart"/>
      <w:r w:rsidRPr="00143170">
        <w:rPr>
          <w:i/>
        </w:rPr>
        <w:t>Bennion</w:t>
      </w:r>
      <w:proofErr w:type="spellEnd"/>
      <w:r w:rsidRPr="00143170">
        <w:rPr>
          <w:i/>
        </w:rPr>
        <w:t xml:space="preserve"> on statutory interpretation</w:t>
      </w:r>
      <w:r>
        <w:t xml:space="preserve">, </w:t>
      </w:r>
      <w:r>
        <w:rPr>
          <w:i/>
        </w:rPr>
        <w:t xml:space="preserve">supra </w:t>
      </w:r>
      <w:r>
        <w:t xml:space="preserve">n. </w:t>
      </w:r>
      <w:r w:rsidR="0070463C">
        <w:fldChar w:fldCharType="begin"/>
      </w:r>
      <w:r w:rsidR="0070463C">
        <w:instrText xml:space="preserve"> NOTEREF  Bennion_7th_III \p  \* MERGEFORMAT </w:instrText>
      </w:r>
      <w:r w:rsidR="0070463C">
        <w:fldChar w:fldCharType="separate"/>
      </w:r>
      <w:r>
        <w:t>50</w:t>
      </w:r>
      <w:r w:rsidR="0070463C">
        <w:fldChar w:fldCharType="end"/>
      </w:r>
      <w:r>
        <w:t>, section 6.10.</w:t>
      </w:r>
    </w:p>
  </w:footnote>
  <w:footnote w:id="59">
    <w:p w:rsidR="00C900A3" w:rsidRDefault="00C900A3">
      <w:pPr>
        <w:pStyle w:val="FootnoteText"/>
      </w:pPr>
      <w:r>
        <w:rPr>
          <w:rStyle w:val="FootnoteReference"/>
        </w:rPr>
        <w:footnoteRef/>
      </w:r>
      <w:r>
        <w:t xml:space="preserve"> E.g. </w:t>
      </w:r>
      <w:r w:rsidRPr="00A93A3E">
        <w:rPr>
          <w:i/>
          <w:iCs/>
        </w:rPr>
        <w:t>Re Williams, Jones v Williams</w:t>
      </w:r>
      <w:r w:rsidRPr="00A93A3E">
        <w:t> </w:t>
      </w:r>
      <w:hyperlink r:id="rId4" w:tgtFrame="_parent" w:history="1">
        <w:r w:rsidRPr="00A93A3E">
          <w:rPr>
            <w:rStyle w:val="Hyperlink"/>
          </w:rPr>
          <w:t xml:space="preserve">(1887) 36 </w:t>
        </w:r>
        <w:proofErr w:type="spellStart"/>
        <w:r w:rsidRPr="00A93A3E">
          <w:rPr>
            <w:rStyle w:val="Hyperlink"/>
          </w:rPr>
          <w:t>ChD</w:t>
        </w:r>
        <w:proofErr w:type="spellEnd"/>
        <w:r w:rsidRPr="00A93A3E">
          <w:rPr>
            <w:rStyle w:val="Hyperlink"/>
          </w:rPr>
          <w:t xml:space="preserve"> 573</w:t>
        </w:r>
      </w:hyperlink>
      <w:r>
        <w:t>.</w:t>
      </w:r>
    </w:p>
  </w:footnote>
  <w:footnote w:id="60">
    <w:p w:rsidR="00C900A3" w:rsidRDefault="00C900A3">
      <w:pPr>
        <w:pStyle w:val="FootnoteText"/>
      </w:pPr>
      <w:r>
        <w:rPr>
          <w:rStyle w:val="FootnoteReference"/>
        </w:rPr>
        <w:footnoteRef/>
      </w:r>
      <w:r>
        <w:t xml:space="preserve"> -- --, ‘</w:t>
      </w:r>
      <w:r w:rsidRPr="00962231">
        <w:t>Implied repeal of general enactment by particular enactment</w:t>
      </w:r>
      <w:r>
        <w:t xml:space="preserve">’ in (2018) 96 </w:t>
      </w:r>
      <w:r w:rsidR="007C3457" w:rsidRPr="007C3457">
        <w:rPr>
          <w:i/>
        </w:rPr>
        <w:t xml:space="preserve">Halsbury’s Laws of </w:t>
      </w:r>
      <w:proofErr w:type="gramStart"/>
      <w:r w:rsidR="007C3457" w:rsidRPr="007C3457">
        <w:rPr>
          <w:i/>
        </w:rPr>
        <w:t>England</w:t>
      </w:r>
      <w:r>
        <w:t xml:space="preserve"> .</w:t>
      </w:r>
      <w:proofErr w:type="gramEnd"/>
    </w:p>
  </w:footnote>
  <w:footnote w:id="61">
    <w:p w:rsidR="00C900A3" w:rsidRDefault="00C900A3">
      <w:pPr>
        <w:pStyle w:val="FootnoteText"/>
      </w:pPr>
      <w:r>
        <w:rPr>
          <w:rStyle w:val="FootnoteReference"/>
        </w:rPr>
        <w:footnoteRef/>
      </w:r>
      <w:r>
        <w:t xml:space="preserve"> </w:t>
      </w:r>
      <w:r w:rsidRPr="008700AB">
        <w:rPr>
          <w:i/>
        </w:rPr>
        <w:t xml:space="preserve">R. v </w:t>
      </w:r>
      <w:proofErr w:type="spellStart"/>
      <w:r w:rsidRPr="008700AB">
        <w:rPr>
          <w:i/>
        </w:rPr>
        <w:t>Pora</w:t>
      </w:r>
      <w:proofErr w:type="spellEnd"/>
      <w:r>
        <w:t xml:space="preserve"> [2001] 2 NZLR 37 (CA).</w:t>
      </w:r>
    </w:p>
  </w:footnote>
  <w:footnote w:id="62">
    <w:p w:rsidR="00C900A3" w:rsidRDefault="00C900A3">
      <w:pPr>
        <w:pStyle w:val="FootnoteText"/>
      </w:pPr>
      <w:r>
        <w:rPr>
          <w:rStyle w:val="FootnoteReference"/>
        </w:rPr>
        <w:footnoteRef/>
      </w:r>
      <w:r>
        <w:t xml:space="preserve"> </w:t>
      </w:r>
      <w:r w:rsidR="007C3457" w:rsidRPr="007C3457">
        <w:t>ibid</w:t>
      </w:r>
      <w:r>
        <w:t xml:space="preserve"> [43] (Elias C.J. and Tipping J.)  It is true that in the case of </w:t>
      </w:r>
      <w:r w:rsidR="007C3457" w:rsidRPr="007C3457">
        <w:rPr>
          <w:i/>
        </w:rPr>
        <w:t>Kidston v Empire Marine Insurance Co. Ltd.</w:t>
      </w:r>
      <w:r>
        <w:t xml:space="preserve"> </w:t>
      </w:r>
      <w:r w:rsidRPr="003F7E0C">
        <w:t>(1866) L.R. 1 C.P. 535</w:t>
      </w:r>
      <w:r>
        <w:t>, Willes J does appear to entertain the second maxim alongside the first (at 546), but it must be noted that this is in the context of the interpretation of an insurance policy, not legislation.</w:t>
      </w:r>
    </w:p>
  </w:footnote>
  <w:footnote w:id="63">
    <w:p w:rsidR="00C900A3" w:rsidRDefault="00C900A3">
      <w:pPr>
        <w:pStyle w:val="FootnoteText"/>
      </w:pPr>
      <w:r>
        <w:rPr>
          <w:rStyle w:val="FootnoteReference"/>
        </w:rPr>
        <w:footnoteRef/>
      </w:r>
      <w:r>
        <w:t xml:space="preserve"> </w:t>
      </w:r>
      <w:r w:rsidRPr="00CD52C5">
        <w:t>[1894] AC 347</w:t>
      </w:r>
      <w:r>
        <w:t>.</w:t>
      </w:r>
    </w:p>
  </w:footnote>
  <w:footnote w:id="64">
    <w:p w:rsidR="00C900A3" w:rsidRDefault="00C900A3">
      <w:pPr>
        <w:pStyle w:val="FootnoteText"/>
      </w:pPr>
      <w:r>
        <w:rPr>
          <w:rStyle w:val="FootnoteReference"/>
        </w:rPr>
        <w:footnoteRef/>
      </w:r>
      <w:r>
        <w:t xml:space="preserve"> ibid at 360 (Lord </w:t>
      </w:r>
      <w:proofErr w:type="spellStart"/>
      <w:r>
        <w:t>Herschell</w:t>
      </w:r>
      <w:proofErr w:type="spellEnd"/>
      <w:r>
        <w:t xml:space="preserve"> L.C.)</w:t>
      </w:r>
    </w:p>
  </w:footnote>
  <w:footnote w:id="65">
    <w:p w:rsidR="00C900A3" w:rsidRPr="00F74546" w:rsidRDefault="00C900A3" w:rsidP="004373E0">
      <w:pPr>
        <w:pStyle w:val="FootnoteText"/>
        <w:rPr>
          <w:rFonts w:cstheme="minorHAnsi"/>
        </w:rPr>
      </w:pPr>
      <w:r w:rsidRPr="00F74546">
        <w:rPr>
          <w:rStyle w:val="FootnoteReference"/>
          <w:rFonts w:cstheme="minorHAnsi"/>
        </w:rPr>
        <w:footnoteRef/>
      </w:r>
      <w:r w:rsidRPr="00F74546">
        <w:rPr>
          <w:rFonts w:cstheme="minorHAnsi"/>
        </w:rPr>
        <w:t xml:space="preserve"> </w:t>
      </w:r>
      <w:r>
        <w:rPr>
          <w:rFonts w:cstheme="minorHAnsi"/>
        </w:rPr>
        <w:t xml:space="preserve">That the European Communities Act 1972 is a constitutional statute providing an ‘exception (...) to the doctrine of implied repeal’ derives from the case of </w:t>
      </w:r>
      <w:proofErr w:type="spellStart"/>
      <w:r>
        <w:rPr>
          <w:rFonts w:cstheme="minorHAnsi"/>
          <w:i/>
        </w:rPr>
        <w:t>Tho</w:t>
      </w:r>
      <w:r w:rsidRPr="00B80D5E">
        <w:rPr>
          <w:rFonts w:cstheme="minorHAnsi"/>
          <w:i/>
        </w:rPr>
        <w:t>burn</w:t>
      </w:r>
      <w:proofErr w:type="spellEnd"/>
      <w:r>
        <w:rPr>
          <w:rFonts w:cstheme="minorHAnsi"/>
          <w:i/>
        </w:rPr>
        <w:t>,</w:t>
      </w:r>
      <w:r w:rsidRPr="00B80D5E">
        <w:rPr>
          <w:rFonts w:cstheme="minorHAnsi"/>
          <w:i/>
        </w:rPr>
        <w:t xml:space="preserve"> </w:t>
      </w:r>
      <w:r>
        <w:rPr>
          <w:rFonts w:cstheme="minorHAnsi"/>
          <w:i/>
        </w:rPr>
        <w:t xml:space="preserve">supra </w:t>
      </w:r>
      <w:r>
        <w:rPr>
          <w:rFonts w:cstheme="minorHAnsi"/>
        </w:rPr>
        <w:t xml:space="preserve">n. </w:t>
      </w:r>
      <w:r w:rsidR="0070463C">
        <w:rPr>
          <w:rFonts w:cstheme="minorHAnsi"/>
        </w:rPr>
        <w:fldChar w:fldCharType="begin"/>
      </w:r>
      <w:r w:rsidR="0070463C">
        <w:rPr>
          <w:rFonts w:cstheme="minorHAnsi"/>
        </w:rPr>
        <w:instrText xml:space="preserve"> NOTEREF  Thoburn_full_ref </w:instrText>
      </w:r>
      <w:r w:rsidR="0070463C">
        <w:rPr>
          <w:rFonts w:cstheme="minorHAnsi"/>
        </w:rPr>
        <w:instrText xml:space="preserve">\p  \* MERGEFORMAT </w:instrText>
      </w:r>
      <w:r w:rsidR="0070463C">
        <w:rPr>
          <w:rFonts w:cstheme="minorHAnsi"/>
        </w:rPr>
        <w:fldChar w:fldCharType="separate"/>
      </w:r>
      <w:r>
        <w:rPr>
          <w:rFonts w:cstheme="minorHAnsi"/>
        </w:rPr>
        <w:t>28</w:t>
      </w:r>
      <w:r w:rsidR="0070463C">
        <w:rPr>
          <w:rFonts w:cstheme="minorHAnsi"/>
        </w:rPr>
        <w:fldChar w:fldCharType="end"/>
      </w:r>
      <w:r>
        <w:rPr>
          <w:rFonts w:cstheme="minorHAnsi"/>
        </w:rPr>
        <w:t>, [</w:t>
      </w:r>
      <w:r w:rsidRPr="00B80D5E">
        <w:rPr>
          <w:rFonts w:cstheme="minorHAnsi"/>
        </w:rPr>
        <w:t>58</w:t>
      </w:r>
      <w:r>
        <w:rPr>
          <w:rFonts w:cstheme="minorHAnsi"/>
        </w:rPr>
        <w:t>]</w:t>
      </w:r>
      <w:r w:rsidRPr="00B80D5E">
        <w:rPr>
          <w:rFonts w:cstheme="minorHAnsi"/>
        </w:rPr>
        <w:t xml:space="preserve"> – </w:t>
      </w:r>
      <w:r>
        <w:rPr>
          <w:rFonts w:cstheme="minorHAnsi"/>
        </w:rPr>
        <w:t>[</w:t>
      </w:r>
      <w:r w:rsidRPr="00B80D5E">
        <w:rPr>
          <w:rFonts w:cstheme="minorHAnsi"/>
        </w:rPr>
        <w:t>70</w:t>
      </w:r>
      <w:r>
        <w:rPr>
          <w:rFonts w:cstheme="minorHAnsi"/>
        </w:rPr>
        <w:t>] (</w:t>
      </w:r>
      <w:r w:rsidRPr="00B80D5E">
        <w:rPr>
          <w:rFonts w:cstheme="minorHAnsi"/>
        </w:rPr>
        <w:t>Laws LJ</w:t>
      </w:r>
      <w:r>
        <w:rPr>
          <w:rFonts w:cstheme="minorHAnsi"/>
        </w:rPr>
        <w:t>)</w:t>
      </w:r>
      <w:r w:rsidRPr="00B80D5E">
        <w:rPr>
          <w:rFonts w:cstheme="minorHAnsi"/>
        </w:rPr>
        <w:t>.</w:t>
      </w:r>
    </w:p>
  </w:footnote>
  <w:footnote w:id="66">
    <w:p w:rsidR="00C900A3" w:rsidRPr="00F74546" w:rsidRDefault="00C900A3" w:rsidP="000C1B84">
      <w:pPr>
        <w:spacing w:after="0" w:line="240" w:lineRule="auto"/>
        <w:contextualSpacing/>
        <w:rPr>
          <w:rFonts w:cstheme="minorHAnsi"/>
          <w:sz w:val="20"/>
          <w:szCs w:val="20"/>
        </w:rPr>
      </w:pPr>
      <w:r w:rsidRPr="00F74546">
        <w:rPr>
          <w:rStyle w:val="FootnoteReference"/>
          <w:rFonts w:cstheme="minorHAnsi"/>
          <w:sz w:val="20"/>
          <w:szCs w:val="20"/>
        </w:rPr>
        <w:footnoteRef/>
      </w:r>
      <w:r w:rsidRPr="00F74546">
        <w:rPr>
          <w:rFonts w:cstheme="minorHAnsi"/>
          <w:sz w:val="20"/>
          <w:szCs w:val="20"/>
        </w:rPr>
        <w:t xml:space="preserve"> Young does however entertain the idea of the </w:t>
      </w:r>
      <w:proofErr w:type="spellStart"/>
      <w:r w:rsidRPr="00F74546">
        <w:rPr>
          <w:rFonts w:cstheme="minorHAnsi"/>
          <w:sz w:val="20"/>
          <w:szCs w:val="20"/>
        </w:rPr>
        <w:t>constistitionalization</w:t>
      </w:r>
      <w:proofErr w:type="spellEnd"/>
      <w:r w:rsidRPr="00F74546">
        <w:rPr>
          <w:rFonts w:cstheme="minorHAnsi"/>
          <w:sz w:val="20"/>
          <w:szCs w:val="20"/>
        </w:rPr>
        <w:t xml:space="preserve"> of (some of) the incoming European Law: A Young: ‘Status of EU Law Post Brexit: Part One’ (United Kingdom Constitutional Law Association Blog, 2 May 2018) &lt;https://ukconstitutionallaw.org/2018/05/02/alison-young-status-of-eu-law-post-brexit-part-one/&gt; accessed 2 December 2018.  I also come back to the idea at the end of this section.</w:t>
      </w:r>
    </w:p>
  </w:footnote>
  <w:footnote w:id="67">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Goldsworthy,</w:t>
      </w:r>
      <w:r>
        <w:rPr>
          <w:rFonts w:cstheme="minorHAnsi"/>
        </w:rPr>
        <w:t xml:space="preserve"> </w:t>
      </w:r>
      <w:r w:rsidR="007C3457" w:rsidRPr="007C3457">
        <w:rPr>
          <w:rFonts w:cstheme="minorHAnsi"/>
          <w:i/>
        </w:rPr>
        <w:t>supra</w:t>
      </w:r>
      <w:r>
        <w:rPr>
          <w:rFonts w:cstheme="minorHAnsi"/>
        </w:rPr>
        <w:t xml:space="preserve"> n. </w:t>
      </w:r>
      <w:r w:rsidR="0070463C">
        <w:rPr>
          <w:rFonts w:cstheme="minorHAnsi"/>
        </w:rPr>
        <w:fldChar w:fldCharType="begin"/>
      </w:r>
      <w:r w:rsidR="0070463C">
        <w:rPr>
          <w:rFonts w:cstheme="minorHAnsi"/>
        </w:rPr>
        <w:instrText xml:space="preserve"> NOTEREF  Goldsworthy_II \p  \*</w:instrText>
      </w:r>
      <w:r w:rsidR="0070463C">
        <w:rPr>
          <w:rFonts w:cstheme="minorHAnsi"/>
        </w:rPr>
        <w:instrText xml:space="preserve"> MERGEFORMAT </w:instrText>
      </w:r>
      <w:r w:rsidR="0070463C">
        <w:rPr>
          <w:rFonts w:cstheme="minorHAnsi"/>
        </w:rPr>
        <w:fldChar w:fldCharType="separate"/>
      </w:r>
      <w:r>
        <w:rPr>
          <w:rFonts w:cstheme="minorHAnsi"/>
        </w:rPr>
        <w:t>52</w:t>
      </w:r>
      <w:r w:rsidR="0070463C">
        <w:rPr>
          <w:rFonts w:cstheme="minorHAnsi"/>
        </w:rPr>
        <w:fldChar w:fldCharType="end"/>
      </w:r>
      <w:r>
        <w:rPr>
          <w:rFonts w:cstheme="minorHAnsi"/>
        </w:rPr>
        <w:t>,</w:t>
      </w:r>
      <w:r w:rsidRPr="00F74546">
        <w:rPr>
          <w:rFonts w:cstheme="minorHAnsi"/>
        </w:rPr>
        <w:t xml:space="preserve"> p. 291; Barber and Young, </w:t>
      </w:r>
      <w:r w:rsidR="007C3457" w:rsidRPr="007C3457">
        <w:rPr>
          <w:rFonts w:cstheme="minorHAnsi"/>
          <w:i/>
        </w:rPr>
        <w:t>supra</w:t>
      </w:r>
      <w:r>
        <w:rPr>
          <w:rFonts w:cstheme="minorHAnsi"/>
        </w:rPr>
        <w:t xml:space="preserve"> n. </w:t>
      </w:r>
      <w:r w:rsidR="0070463C">
        <w:rPr>
          <w:rFonts w:cstheme="minorHAnsi"/>
        </w:rPr>
        <w:fldChar w:fldCharType="begin"/>
      </w:r>
      <w:r w:rsidR="0070463C">
        <w:rPr>
          <w:rFonts w:cstheme="minorHAnsi"/>
        </w:rPr>
        <w:instrText xml:space="preserve"> NOTEREF  Barber_and_Young_II \p  \* MERGEFORMAT </w:instrText>
      </w:r>
      <w:r w:rsidR="0070463C">
        <w:rPr>
          <w:rFonts w:cstheme="minorHAnsi"/>
        </w:rPr>
        <w:fldChar w:fldCharType="separate"/>
      </w:r>
      <w:r>
        <w:rPr>
          <w:rFonts w:cstheme="minorHAnsi"/>
        </w:rPr>
        <w:t>49</w:t>
      </w:r>
      <w:r w:rsidR="0070463C">
        <w:rPr>
          <w:rFonts w:cstheme="minorHAnsi"/>
        </w:rPr>
        <w:fldChar w:fldCharType="end"/>
      </w:r>
      <w:r>
        <w:rPr>
          <w:rFonts w:cstheme="minorHAnsi"/>
        </w:rPr>
        <w:t xml:space="preserve">, </w:t>
      </w:r>
      <w:r w:rsidRPr="00F74546">
        <w:rPr>
          <w:rFonts w:cstheme="minorHAnsi"/>
        </w:rPr>
        <w:t>p. 115, and references therein.</w:t>
      </w:r>
    </w:p>
  </w:footnote>
  <w:footnote w:id="68">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Goldsworthy, </w:t>
      </w:r>
      <w:r w:rsidRPr="00F74546">
        <w:rPr>
          <w:rFonts w:cstheme="minorHAnsi"/>
          <w:i/>
        </w:rPr>
        <w:t>supra</w:t>
      </w:r>
      <w:r w:rsidRPr="00F74546">
        <w:rPr>
          <w:rFonts w:cstheme="minorHAnsi"/>
        </w:rPr>
        <w:t xml:space="preserve"> n.</w:t>
      </w:r>
      <w:r>
        <w:rPr>
          <w:rFonts w:cstheme="minorHAnsi"/>
        </w:rPr>
        <w:t xml:space="preserve"> </w:t>
      </w:r>
      <w:r w:rsidR="0070463C">
        <w:rPr>
          <w:rFonts w:cstheme="minorHAnsi"/>
        </w:rPr>
        <w:fldChar w:fldCharType="begin"/>
      </w:r>
      <w:r w:rsidR="0070463C">
        <w:rPr>
          <w:rFonts w:cstheme="minorHAnsi"/>
        </w:rPr>
        <w:instrText xml:space="preserve"> NOTEREF  Goldsworthy_II \p  \* MERGEFORMAT </w:instrText>
      </w:r>
      <w:r w:rsidR="0070463C">
        <w:rPr>
          <w:rFonts w:cstheme="minorHAnsi"/>
        </w:rPr>
        <w:fldChar w:fldCharType="separate"/>
      </w:r>
      <w:r>
        <w:rPr>
          <w:rFonts w:cstheme="minorHAnsi"/>
        </w:rPr>
        <w:t>52</w:t>
      </w:r>
      <w:r w:rsidR="0070463C">
        <w:rPr>
          <w:rFonts w:cstheme="minorHAnsi"/>
        </w:rPr>
        <w:fldChar w:fldCharType="end"/>
      </w:r>
      <w:r w:rsidRPr="00F74546">
        <w:rPr>
          <w:rFonts w:cstheme="minorHAnsi"/>
        </w:rPr>
        <w:t>, p. 292.</w:t>
      </w:r>
    </w:p>
  </w:footnote>
  <w:footnote w:id="69">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Barber and Young, </w:t>
      </w:r>
      <w:r w:rsidRPr="00F74546">
        <w:rPr>
          <w:rFonts w:cstheme="minorHAnsi"/>
          <w:i/>
        </w:rPr>
        <w:t>supra</w:t>
      </w:r>
      <w:r w:rsidRPr="00F74546">
        <w:rPr>
          <w:rFonts w:cstheme="minorHAnsi"/>
        </w:rPr>
        <w:t xml:space="preserve"> n.</w:t>
      </w:r>
      <w:r w:rsidR="007C3457">
        <w:rPr>
          <w:rFonts w:cstheme="minorHAnsi"/>
        </w:rPr>
        <w:fldChar w:fldCharType="begin"/>
      </w:r>
      <w:r>
        <w:rPr>
          <w:rFonts w:cstheme="minorHAnsi"/>
        </w:rPr>
        <w:instrText xml:space="preserve"> NOTEREF  Barber_and_Young_II \p  \* MERGEFORMAT </w:instrText>
      </w:r>
      <w:r w:rsidR="007C3457">
        <w:rPr>
          <w:rFonts w:cstheme="minorHAnsi"/>
        </w:rPr>
        <w:fldChar w:fldCharType="separate"/>
      </w:r>
      <w:r>
        <w:rPr>
          <w:rFonts w:cstheme="minorHAnsi"/>
        </w:rPr>
        <w:t>49</w:t>
      </w:r>
      <w:r w:rsidR="007C3457">
        <w:rPr>
          <w:rFonts w:cstheme="minorHAnsi"/>
        </w:rPr>
        <w:fldChar w:fldCharType="end"/>
      </w:r>
      <w:r w:rsidRPr="00F74546">
        <w:rPr>
          <w:rFonts w:cstheme="minorHAnsi"/>
        </w:rPr>
        <w:t>, p. 115.</w:t>
      </w:r>
    </w:p>
  </w:footnote>
  <w:footnote w:id="70">
    <w:p w:rsidR="00C900A3" w:rsidRPr="00F74546" w:rsidRDefault="00C900A3">
      <w:pPr>
        <w:pStyle w:val="FootnoteText"/>
        <w:rPr>
          <w:rFonts w:cstheme="minorHAnsi"/>
        </w:rPr>
      </w:pPr>
      <w:r w:rsidRPr="00F74546">
        <w:rPr>
          <w:rStyle w:val="FootnoteReference"/>
          <w:rFonts w:cstheme="minorHAnsi"/>
        </w:rPr>
        <w:footnoteRef/>
      </w:r>
      <w:r>
        <w:rPr>
          <w:rFonts w:cstheme="minorHAnsi"/>
        </w:rPr>
        <w:t xml:space="preserve"> As mentioned above, t</w:t>
      </w:r>
      <w:r w:rsidRPr="00F74546">
        <w:rPr>
          <w:rFonts w:cstheme="minorHAnsi"/>
        </w:rPr>
        <w:t>here is a conspicuous silence around this issue.  For its part, the House of Lords Select Committee on the Constitution opined that, if the mechanism for incorporating directly applicable EU Law into UK Law were to be a general provision in the Act, as has subsequently proved to be the case, then ‘it will presumably have the same hierarchical constitutional status as the [Act] itself: i.e. it will have the status of UK primary legislation:’  Select Committee on the Constitution</w:t>
      </w:r>
      <w:r>
        <w:rPr>
          <w:rFonts w:cstheme="minorHAnsi"/>
        </w:rPr>
        <w:t xml:space="preserve"> (2017)</w:t>
      </w:r>
      <w:r w:rsidRPr="00F74546">
        <w:rPr>
          <w:rFonts w:cstheme="minorHAnsi"/>
        </w:rPr>
        <w:t xml:space="preserve">, </w:t>
      </w:r>
      <w:r>
        <w:rPr>
          <w:rFonts w:cstheme="minorHAnsi"/>
          <w:i/>
        </w:rPr>
        <w:t xml:space="preserve">supra </w:t>
      </w:r>
      <w:r>
        <w:rPr>
          <w:rFonts w:cstheme="minorHAnsi"/>
        </w:rPr>
        <w:t>n</w:t>
      </w:r>
      <w:r w:rsidR="002F24DB">
        <w:rPr>
          <w:rFonts w:cstheme="minorHAnsi"/>
        </w:rPr>
        <w:t>.</w:t>
      </w:r>
      <w:r>
        <w:rPr>
          <w:rFonts w:cstheme="minorHAnsi"/>
        </w:rPr>
        <w:t xml:space="preserve"> </w:t>
      </w:r>
      <w:r w:rsidR="0070463C">
        <w:rPr>
          <w:rFonts w:cstheme="minorHAnsi"/>
        </w:rPr>
        <w:fldChar w:fldCharType="begin"/>
      </w:r>
      <w:r w:rsidR="0070463C">
        <w:rPr>
          <w:rFonts w:cstheme="minorHAnsi"/>
        </w:rPr>
        <w:instrText xml:space="preserve"> NOTEREF  Consti_Committee_Interim_March_17_Report  \* MERGEFORMAT </w:instrText>
      </w:r>
      <w:r w:rsidR="0070463C">
        <w:rPr>
          <w:rFonts w:cstheme="minorHAnsi"/>
        </w:rPr>
        <w:fldChar w:fldCharType="separate"/>
      </w:r>
      <w:r>
        <w:rPr>
          <w:rFonts w:cstheme="minorHAnsi"/>
        </w:rPr>
        <w:t>7</w:t>
      </w:r>
      <w:r w:rsidR="0070463C">
        <w:rPr>
          <w:rFonts w:cstheme="minorHAnsi"/>
        </w:rPr>
        <w:fldChar w:fldCharType="end"/>
      </w:r>
      <w:r>
        <w:rPr>
          <w:rFonts w:cstheme="minorHAnsi"/>
        </w:rPr>
        <w:t xml:space="preserve">, </w:t>
      </w:r>
      <w:r w:rsidRPr="00F74546">
        <w:rPr>
          <w:rFonts w:cstheme="minorHAnsi"/>
        </w:rPr>
        <w:t>para 60. However, the Committee goes on to comment: ‘such domesticated EU law will not actually be primary legislation’ (ibid para 61).  Presumably, like all legislative matters once the legislation in question has received Royal Assent, this will now be a matter for the courts.</w:t>
      </w:r>
    </w:p>
  </w:footnote>
  <w:footnote w:id="71">
    <w:p w:rsidR="00C900A3" w:rsidRPr="00F74546" w:rsidRDefault="00C900A3" w:rsidP="00323162">
      <w:pPr>
        <w:pStyle w:val="FootnoteText"/>
        <w:contextualSpacing/>
        <w:rPr>
          <w:rFonts w:cstheme="minorHAnsi"/>
          <w:bCs/>
        </w:rPr>
      </w:pPr>
      <w:r w:rsidRPr="00F74546">
        <w:rPr>
          <w:rStyle w:val="FootnoteReference"/>
          <w:rFonts w:cstheme="minorHAnsi"/>
        </w:rPr>
        <w:footnoteRef/>
      </w:r>
      <w:r w:rsidRPr="00F74546">
        <w:rPr>
          <w:rFonts w:cstheme="minorHAnsi"/>
        </w:rPr>
        <w:t xml:space="preserve"> A Lyon, </w:t>
      </w:r>
      <w:r w:rsidRPr="00F74546">
        <w:rPr>
          <w:rFonts w:cstheme="minorHAnsi"/>
          <w:bCs/>
          <w:i/>
        </w:rPr>
        <w:t>Constitutional History of the UK</w:t>
      </w:r>
      <w:r w:rsidRPr="00F74546">
        <w:rPr>
          <w:rFonts w:cstheme="minorHAnsi"/>
          <w:bCs/>
        </w:rPr>
        <w:t xml:space="preserve"> (Routledge 2016) p. 449</w:t>
      </w:r>
      <w:r>
        <w:rPr>
          <w:rFonts w:cstheme="minorHAnsi"/>
          <w:bCs/>
        </w:rPr>
        <w:t>.</w:t>
      </w:r>
    </w:p>
  </w:footnote>
  <w:footnote w:id="72">
    <w:p w:rsidR="00C900A3" w:rsidRPr="00F74546" w:rsidRDefault="00C900A3">
      <w:pPr>
        <w:pStyle w:val="FootnoteText"/>
        <w:rPr>
          <w:rFonts w:cstheme="minorHAnsi"/>
          <w:lang w:val="en-US"/>
        </w:rPr>
      </w:pPr>
      <w:r w:rsidRPr="00F74546">
        <w:rPr>
          <w:rStyle w:val="FootnoteReference"/>
          <w:rFonts w:cstheme="minorHAnsi"/>
        </w:rPr>
        <w:footnoteRef/>
      </w:r>
      <w:r w:rsidRPr="00F74546">
        <w:rPr>
          <w:rFonts w:cstheme="minorHAnsi"/>
        </w:rPr>
        <w:t xml:space="preserve"> </w:t>
      </w:r>
      <w:r w:rsidRPr="00F74546">
        <w:rPr>
          <w:rFonts w:cstheme="minorHAnsi"/>
          <w:lang w:val="en-US"/>
        </w:rPr>
        <w:t xml:space="preserve">A potential US example of this kind of contextual </w:t>
      </w:r>
      <w:r>
        <w:rPr>
          <w:rFonts w:cstheme="minorHAnsi"/>
          <w:lang w:val="en-US"/>
        </w:rPr>
        <w:t>disapplication</w:t>
      </w:r>
      <w:r w:rsidRPr="00F74546">
        <w:rPr>
          <w:rFonts w:cstheme="minorHAnsi"/>
          <w:lang w:val="en-US"/>
        </w:rPr>
        <w:t xml:space="preserve"> is given by Dodge, namely that the Federal Arbitration Act of 1947 might be read as being impliedly repealed by some subsequent amendments to the Bankruptcy Code (Bankruptcy Reform Act of 1978 as amended by the Bankruptcy Amendments and Federal Judgeship Act of 1984) such that the latter knock out the possibility of a bankruptcy case going to arbitration; the 1947 Act would thus continue to operate normally for all other contexts except bankruptcy: </w:t>
      </w:r>
      <w:r w:rsidRPr="00F74546">
        <w:rPr>
          <w:rFonts w:cstheme="minorHAnsi"/>
        </w:rPr>
        <w:t xml:space="preserve">J.L. Dodge, ‘Jurisdiction in bankruptcy proceedings: A test case for implied repeal of the Federal Arbitration Act’ 117 </w:t>
      </w:r>
      <w:proofErr w:type="spellStart"/>
      <w:r w:rsidRPr="00F74546">
        <w:rPr>
          <w:rFonts w:cstheme="minorHAnsi"/>
          <w:i/>
        </w:rPr>
        <w:t>Harv</w:t>
      </w:r>
      <w:proofErr w:type="spellEnd"/>
      <w:r w:rsidRPr="00F74546">
        <w:rPr>
          <w:rFonts w:cstheme="minorHAnsi"/>
          <w:i/>
        </w:rPr>
        <w:t>. L. Rev.</w:t>
      </w:r>
      <w:r w:rsidRPr="00F74546">
        <w:rPr>
          <w:rFonts w:cstheme="minorHAnsi"/>
        </w:rPr>
        <w:t xml:space="preserve"> (2004) p. 2296.</w:t>
      </w:r>
    </w:p>
  </w:footnote>
  <w:footnote w:id="73">
    <w:p w:rsidR="00C900A3" w:rsidRPr="00F74546" w:rsidRDefault="00C900A3">
      <w:pPr>
        <w:pStyle w:val="FootnoteText"/>
        <w:rPr>
          <w:rFonts w:cstheme="minorHAnsi"/>
        </w:rPr>
      </w:pPr>
      <w:r w:rsidRPr="00F74546">
        <w:rPr>
          <w:rStyle w:val="FootnoteReference"/>
          <w:rFonts w:cstheme="minorHAnsi"/>
        </w:rPr>
        <w:footnoteRef/>
      </w:r>
      <w:r>
        <w:rPr>
          <w:rFonts w:cstheme="minorHAnsi"/>
        </w:rPr>
        <w:t xml:space="preserve"> i</w:t>
      </w:r>
      <w:r w:rsidRPr="00F74546">
        <w:rPr>
          <w:rFonts w:cstheme="minorHAnsi"/>
        </w:rPr>
        <w:t>bid at p. 2312.</w:t>
      </w:r>
    </w:p>
  </w:footnote>
  <w:footnote w:id="74">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An alternative way of looking at this reading would be to see it as the removal of an apparent conflict </w:t>
      </w:r>
      <w:r w:rsidRPr="00F74546">
        <w:rPr>
          <w:rFonts w:cstheme="minorHAnsi"/>
          <w:i/>
        </w:rPr>
        <w:t>by interpretation</w:t>
      </w:r>
      <w:r w:rsidRPr="00F74546">
        <w:rPr>
          <w:rFonts w:cstheme="minorHAnsi"/>
        </w:rPr>
        <w:t xml:space="preserve">.  Some take the same view of the </w:t>
      </w:r>
      <w:proofErr w:type="spellStart"/>
      <w:r w:rsidRPr="00F74546">
        <w:rPr>
          <w:rFonts w:cstheme="minorHAnsi"/>
          <w:i/>
        </w:rPr>
        <w:t>Factortame</w:t>
      </w:r>
      <w:proofErr w:type="spellEnd"/>
      <w:r w:rsidRPr="00F74546">
        <w:rPr>
          <w:rFonts w:cstheme="minorHAnsi"/>
        </w:rPr>
        <w:t xml:space="preserve"> litigation in order to defend the argument that that case was not an attack on </w:t>
      </w:r>
      <w:proofErr w:type="spellStart"/>
      <w:r w:rsidRPr="00F74546">
        <w:rPr>
          <w:rFonts w:cstheme="minorHAnsi"/>
        </w:rPr>
        <w:t>Diceyen</w:t>
      </w:r>
      <w:proofErr w:type="spellEnd"/>
      <w:r w:rsidRPr="00F74546">
        <w:rPr>
          <w:rFonts w:cstheme="minorHAnsi"/>
        </w:rPr>
        <w:t xml:space="preserve"> parliamentary sovereignty: Goldsworthy, </w:t>
      </w:r>
      <w:r w:rsidRPr="00F74546">
        <w:rPr>
          <w:rFonts w:cstheme="minorHAnsi"/>
          <w:i/>
        </w:rPr>
        <w:t>supra</w:t>
      </w:r>
      <w:r w:rsidRPr="00F74546">
        <w:rPr>
          <w:rFonts w:cstheme="minorHAnsi"/>
        </w:rPr>
        <w:t xml:space="preserve"> n.</w:t>
      </w:r>
      <w:r w:rsidR="007C3457">
        <w:rPr>
          <w:rFonts w:cstheme="minorHAnsi"/>
        </w:rPr>
        <w:fldChar w:fldCharType="begin"/>
      </w:r>
      <w:r>
        <w:rPr>
          <w:rFonts w:cstheme="minorHAnsi"/>
        </w:rPr>
        <w:instrText xml:space="preserve"> NOTEREF  Goldsworthy_II \p  \* MERGEFORMAT </w:instrText>
      </w:r>
      <w:r w:rsidR="007C3457">
        <w:rPr>
          <w:rFonts w:cstheme="minorHAnsi"/>
        </w:rPr>
        <w:fldChar w:fldCharType="separate"/>
      </w:r>
      <w:r>
        <w:rPr>
          <w:rFonts w:cstheme="minorHAnsi"/>
        </w:rPr>
        <w:t>52</w:t>
      </w:r>
      <w:r w:rsidR="007C3457">
        <w:rPr>
          <w:rFonts w:cstheme="minorHAnsi"/>
        </w:rPr>
        <w:fldChar w:fldCharType="end"/>
      </w:r>
      <w:r w:rsidRPr="00F74546">
        <w:rPr>
          <w:rFonts w:cstheme="minorHAnsi"/>
        </w:rPr>
        <w:t>, p. 289 et seq.  Others hail the Human Rights Act 1998 for its promotion of interpretative techniques to get around incompatibilities, thus preserving parliamentary sovereignty and, for that matter, ‘supplant[</w:t>
      </w:r>
      <w:proofErr w:type="spellStart"/>
      <w:r w:rsidRPr="00F74546">
        <w:rPr>
          <w:rFonts w:cstheme="minorHAnsi"/>
        </w:rPr>
        <w:t>ing</w:t>
      </w:r>
      <w:proofErr w:type="spellEnd"/>
      <w:r w:rsidRPr="00F74546">
        <w:rPr>
          <w:rFonts w:cstheme="minorHAnsi"/>
        </w:rPr>
        <w:t xml:space="preserve">]’ implied repeal: Kavanagh, </w:t>
      </w:r>
      <w:r w:rsidRPr="00F74546">
        <w:rPr>
          <w:rFonts w:cstheme="minorHAnsi"/>
          <w:i/>
        </w:rPr>
        <w:t>supra</w:t>
      </w:r>
      <w:r w:rsidRPr="00F74546">
        <w:rPr>
          <w:rFonts w:cstheme="minorHAnsi"/>
        </w:rPr>
        <w:t xml:space="preserve"> n. </w:t>
      </w:r>
      <w:r w:rsidR="0070463C">
        <w:rPr>
          <w:rFonts w:cstheme="minorHAnsi"/>
        </w:rPr>
        <w:fldChar w:fldCharType="begin"/>
      </w:r>
      <w:r w:rsidR="0070463C">
        <w:rPr>
          <w:rFonts w:cstheme="minorHAnsi"/>
        </w:rPr>
        <w:instrText xml:space="preserve"> NOTEREF  Kavanagh \p  \* MERGEFORMAT </w:instrText>
      </w:r>
      <w:r w:rsidR="0070463C">
        <w:rPr>
          <w:rFonts w:cstheme="minorHAnsi"/>
        </w:rPr>
        <w:fldChar w:fldCharType="separate"/>
      </w:r>
      <w:r w:rsidRPr="0018322A">
        <w:rPr>
          <w:rFonts w:cstheme="minorHAnsi"/>
        </w:rPr>
        <w:t>39</w:t>
      </w:r>
      <w:r w:rsidR="0070463C">
        <w:rPr>
          <w:rFonts w:cstheme="minorHAnsi"/>
        </w:rPr>
        <w:fldChar w:fldCharType="end"/>
      </w:r>
      <w:r w:rsidRPr="00F74546">
        <w:rPr>
          <w:rFonts w:cstheme="minorHAnsi"/>
        </w:rPr>
        <w:t>, p. 299.</w:t>
      </w:r>
    </w:p>
  </w:footnote>
  <w:footnote w:id="75">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It is to be expected that the Purely Internal Situation will once again become a topic of controversy following Brexit, precisely because there are some Directives the effect, or scope, of which is intended to be inter-State only, with the Member State free to operate its own laws, on the same issue, as it may arise domestically.  An example is Directive 2009/133/EC [2009] OJ L310</w:t>
      </w:r>
      <w:r>
        <w:rPr>
          <w:rFonts w:cstheme="minorHAnsi"/>
        </w:rPr>
        <w:t xml:space="preserve">.  </w:t>
      </w:r>
      <w:r w:rsidRPr="00F74546">
        <w:rPr>
          <w:rFonts w:cstheme="minorHAnsi"/>
        </w:rPr>
        <w:t xml:space="preserve"> When the UK saves its implementation of such directives (s2 of the 2018 Act), the question will be begged, what for?  Those who wish to make use of the ‘export’ regime internally will surely a have a good argument that they were entitled to believe that the saved implementation was now intended for domestic usage.  Otherwise, for what purpose was it saved?</w:t>
      </w:r>
    </w:p>
  </w:footnote>
  <w:footnote w:id="76">
    <w:p w:rsidR="00C900A3" w:rsidRPr="00F74546" w:rsidRDefault="00C900A3">
      <w:pPr>
        <w:pStyle w:val="FootnoteText"/>
        <w:rPr>
          <w:rFonts w:cstheme="minorHAnsi"/>
        </w:rPr>
      </w:pPr>
      <w:r w:rsidRPr="00F74546">
        <w:rPr>
          <w:rStyle w:val="FootnoteReference"/>
          <w:rFonts w:cstheme="minorHAnsi"/>
        </w:rPr>
        <w:footnoteRef/>
      </w:r>
      <w:r>
        <w:rPr>
          <w:rFonts w:cstheme="minorHAnsi"/>
        </w:rPr>
        <w:t xml:space="preserve"> See e.g. ECJ </w:t>
      </w:r>
      <w:r w:rsidRPr="00F74546">
        <w:rPr>
          <w:rFonts w:cstheme="minorHAnsi"/>
        </w:rPr>
        <w:t xml:space="preserve">15 January 2002, Case C-43/00 </w:t>
      </w:r>
      <w:r w:rsidRPr="00F74546">
        <w:rPr>
          <w:rFonts w:cstheme="minorHAnsi"/>
          <w:i/>
        </w:rPr>
        <w:t xml:space="preserve">Andersen v </w:t>
      </w:r>
      <w:proofErr w:type="spellStart"/>
      <w:r w:rsidRPr="00F74546">
        <w:rPr>
          <w:rFonts w:cstheme="minorHAnsi"/>
          <w:i/>
        </w:rPr>
        <w:t>Skatteministeriet</w:t>
      </w:r>
      <w:proofErr w:type="spellEnd"/>
      <w:r w:rsidRPr="00F74546">
        <w:rPr>
          <w:rFonts w:cstheme="minorHAnsi"/>
        </w:rPr>
        <w:t>, where the Court at least admits, and justifies, its incursion into the Purely Internal Situation.</w:t>
      </w:r>
    </w:p>
  </w:footnote>
  <w:footnote w:id="77">
    <w:p w:rsidR="00C900A3" w:rsidRPr="00F74546" w:rsidRDefault="00C900A3" w:rsidP="004A4F39">
      <w:pPr>
        <w:pStyle w:val="FootnoteText"/>
        <w:rPr>
          <w:rFonts w:cstheme="minorHAnsi"/>
        </w:rPr>
      </w:pPr>
      <w:r w:rsidRPr="00F74546">
        <w:rPr>
          <w:rStyle w:val="FootnoteReference"/>
          <w:rFonts w:cstheme="minorHAnsi"/>
        </w:rPr>
        <w:footnoteRef/>
      </w:r>
      <w:r>
        <w:rPr>
          <w:rFonts w:cstheme="minorHAnsi"/>
        </w:rPr>
        <w:t xml:space="preserve"> ECJ 12 March 1987</w:t>
      </w:r>
      <w:r w:rsidRPr="00F74546">
        <w:rPr>
          <w:rFonts w:cstheme="minorHAnsi"/>
        </w:rPr>
        <w:t xml:space="preserve">, Case 178/84 </w:t>
      </w:r>
      <w:r w:rsidRPr="00F74546">
        <w:rPr>
          <w:rFonts w:cstheme="minorHAnsi"/>
          <w:i/>
          <w:iCs/>
        </w:rPr>
        <w:t>Commission v Germany</w:t>
      </w:r>
      <w:r w:rsidRPr="00F74546">
        <w:rPr>
          <w:rFonts w:cstheme="minorHAnsi"/>
        </w:rPr>
        <w:t xml:space="preserve"> (</w:t>
      </w:r>
      <w:proofErr w:type="spellStart"/>
      <w:r w:rsidRPr="00F74546">
        <w:rPr>
          <w:rFonts w:cstheme="minorHAnsi"/>
        </w:rPr>
        <w:t>Reinheitsgebot</w:t>
      </w:r>
      <w:proofErr w:type="spellEnd"/>
      <w:r w:rsidRPr="00F74546">
        <w:rPr>
          <w:rFonts w:cstheme="minorHAnsi"/>
        </w:rPr>
        <w:t>).</w:t>
      </w:r>
    </w:p>
  </w:footnote>
  <w:footnote w:id="78">
    <w:p w:rsidR="00C900A3" w:rsidRPr="00F74546" w:rsidRDefault="00C900A3" w:rsidP="00ED764E">
      <w:pPr>
        <w:pStyle w:val="FootnoteText"/>
        <w:rPr>
          <w:rFonts w:cstheme="minorHAnsi"/>
        </w:rPr>
      </w:pPr>
      <w:r w:rsidRPr="00F74546">
        <w:rPr>
          <w:rStyle w:val="FootnoteReference"/>
          <w:rFonts w:cstheme="minorHAnsi"/>
        </w:rPr>
        <w:footnoteRef/>
      </w:r>
      <w:r>
        <w:rPr>
          <w:rFonts w:cstheme="minorHAnsi"/>
        </w:rPr>
        <w:t xml:space="preserve"> ECJ 3 December 1998</w:t>
      </w:r>
      <w:r w:rsidRPr="00F74546">
        <w:rPr>
          <w:rFonts w:cstheme="minorHAnsi"/>
        </w:rPr>
        <w:t xml:space="preserve">, Case C-67/97 </w:t>
      </w:r>
      <w:r w:rsidRPr="00F74546">
        <w:rPr>
          <w:rFonts w:cstheme="minorHAnsi"/>
          <w:i/>
        </w:rPr>
        <w:t xml:space="preserve">Criminal proceedings against </w:t>
      </w:r>
      <w:proofErr w:type="spellStart"/>
      <w:r w:rsidRPr="00F74546">
        <w:rPr>
          <w:rFonts w:cstheme="minorHAnsi"/>
          <w:i/>
        </w:rPr>
        <w:t>Ditlev</w:t>
      </w:r>
      <w:proofErr w:type="spellEnd"/>
      <w:r w:rsidRPr="00F74546">
        <w:rPr>
          <w:rFonts w:cstheme="minorHAnsi"/>
          <w:i/>
        </w:rPr>
        <w:t xml:space="preserve"> </w:t>
      </w:r>
      <w:proofErr w:type="spellStart"/>
      <w:r w:rsidRPr="00F74546">
        <w:rPr>
          <w:rFonts w:cstheme="minorHAnsi"/>
          <w:i/>
        </w:rPr>
        <w:t>Bluhme</w:t>
      </w:r>
      <w:proofErr w:type="spellEnd"/>
      <w:r w:rsidRPr="00F74546">
        <w:rPr>
          <w:rFonts w:cstheme="minorHAnsi"/>
        </w:rPr>
        <w:t>.</w:t>
      </w:r>
    </w:p>
  </w:footnote>
  <w:footnote w:id="79">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For citation, see n. </w:t>
      </w:r>
      <w:r w:rsidR="0070463C">
        <w:rPr>
          <w:rFonts w:cstheme="minorHAnsi"/>
        </w:rPr>
        <w:fldChar w:fldCharType="begin"/>
      </w:r>
      <w:r w:rsidR="0070463C">
        <w:rPr>
          <w:rFonts w:cstheme="minorHAnsi"/>
        </w:rPr>
        <w:instrText xml:space="preserve"> NOTEREF  Alpine \p  \* MERGEFORMAT </w:instrText>
      </w:r>
      <w:r w:rsidR="0070463C">
        <w:rPr>
          <w:rFonts w:cstheme="minorHAnsi"/>
        </w:rPr>
        <w:fldChar w:fldCharType="separate"/>
      </w:r>
      <w:r w:rsidRPr="0018322A">
        <w:rPr>
          <w:rFonts w:cstheme="minorHAnsi"/>
        </w:rPr>
        <w:t>34</w:t>
      </w:r>
      <w:r w:rsidR="0070463C">
        <w:rPr>
          <w:rFonts w:cstheme="minorHAnsi"/>
        </w:rPr>
        <w:fldChar w:fldCharType="end"/>
      </w:r>
      <w:r w:rsidRPr="00F74546">
        <w:rPr>
          <w:rFonts w:cstheme="minorHAnsi"/>
        </w:rPr>
        <w:t xml:space="preserve"> </w:t>
      </w:r>
      <w:r w:rsidRPr="00F74546">
        <w:rPr>
          <w:rFonts w:cstheme="minorHAnsi"/>
          <w:i/>
        </w:rPr>
        <w:t>supra</w:t>
      </w:r>
      <w:r w:rsidRPr="00F74546">
        <w:rPr>
          <w:rFonts w:cstheme="minorHAnsi"/>
        </w:rPr>
        <w:t>.</w:t>
      </w:r>
    </w:p>
  </w:footnote>
  <w:footnote w:id="80">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With apologies to Shakespeare: W Shakespeare, </w:t>
      </w:r>
      <w:r w:rsidRPr="00F74546">
        <w:rPr>
          <w:rFonts w:cstheme="minorHAnsi"/>
          <w:i/>
        </w:rPr>
        <w:t>Henry IV Part 2</w:t>
      </w:r>
      <w:r w:rsidRPr="00F74546">
        <w:rPr>
          <w:rFonts w:cstheme="minorHAnsi"/>
        </w:rPr>
        <w:t xml:space="preserve">, Act IV, </w:t>
      </w:r>
      <w:proofErr w:type="gramStart"/>
      <w:r w:rsidRPr="00F74546">
        <w:rPr>
          <w:rFonts w:cstheme="minorHAnsi"/>
        </w:rPr>
        <w:t>Scene</w:t>
      </w:r>
      <w:proofErr w:type="gramEnd"/>
      <w:r w:rsidRPr="00F74546">
        <w:rPr>
          <w:rFonts w:cstheme="minorHAnsi"/>
        </w:rPr>
        <w:t xml:space="preserve"> 5.</w:t>
      </w:r>
    </w:p>
  </w:footnote>
  <w:footnote w:id="81">
    <w:p w:rsidR="00C900A3" w:rsidRPr="00F74546" w:rsidRDefault="00C900A3" w:rsidP="00836D10">
      <w:pPr>
        <w:pStyle w:val="FootnoteText"/>
        <w:rPr>
          <w:rFonts w:cstheme="minorHAnsi"/>
        </w:rPr>
      </w:pPr>
      <w:r w:rsidRPr="00F74546">
        <w:rPr>
          <w:rStyle w:val="FootnoteReference"/>
          <w:rFonts w:cstheme="minorHAnsi"/>
        </w:rPr>
        <w:footnoteRef/>
      </w:r>
      <w:r w:rsidRPr="00F74546">
        <w:rPr>
          <w:rFonts w:cstheme="minorHAnsi"/>
        </w:rPr>
        <w:t xml:space="preserve"> In the Australian case of </w:t>
      </w:r>
      <w:r w:rsidRPr="00F74546">
        <w:rPr>
          <w:rFonts w:cstheme="minorHAnsi"/>
          <w:i/>
        </w:rPr>
        <w:t>Goodwin v Phillips</w:t>
      </w:r>
      <w:r w:rsidRPr="00F74546">
        <w:rPr>
          <w:rFonts w:cstheme="minorHAnsi"/>
        </w:rPr>
        <w:t xml:space="preserve"> [1908] 7 CLR 1, Griffith CJ was clearly of the opinion that, where a later enactment was only partially at odds with an earlier one, then repeal by implication would only occur vis-à-vis the part at odds: ‘[I]f the provisions are not wholly inconsistent, but may become inconsistent in their application to particular cases, then </w:t>
      </w:r>
      <w:r w:rsidRPr="00F74546">
        <w:rPr>
          <w:rFonts w:cstheme="minorHAnsi"/>
          <w:i/>
        </w:rPr>
        <w:t>to that extent</w:t>
      </w:r>
      <w:r w:rsidRPr="00F74546">
        <w:rPr>
          <w:rFonts w:cstheme="minorHAnsi"/>
        </w:rPr>
        <w:t xml:space="preserve"> the provisions of the former Act are excepted or their operation is excluded’ (ibid 7, emphasis added).</w:t>
      </w:r>
    </w:p>
  </w:footnote>
  <w:footnote w:id="82">
    <w:p w:rsidR="00C900A3" w:rsidRDefault="00C900A3">
      <w:pPr>
        <w:pStyle w:val="FootnoteText"/>
      </w:pPr>
      <w:r>
        <w:rPr>
          <w:rStyle w:val="FootnoteReference"/>
        </w:rPr>
        <w:footnoteRef/>
      </w:r>
      <w:r>
        <w:t xml:space="preserve"> Butler calls this phenomenon a ‘progressive erosion:’ A. Butler, ‘Implied repeal, parliamentary sovereignty and human rights in New Zealand’ </w:t>
      </w:r>
      <w:proofErr w:type="spellStart"/>
      <w:r>
        <w:t>Aut</w:t>
      </w:r>
      <w:proofErr w:type="spellEnd"/>
      <w:r>
        <w:t xml:space="preserve">. </w:t>
      </w:r>
      <w:r w:rsidR="007C3457" w:rsidRPr="007C3457">
        <w:rPr>
          <w:i/>
        </w:rPr>
        <w:t>Public Law</w:t>
      </w:r>
      <w:r>
        <w:t xml:space="preserve"> (2001) p. 586 at p. 590.</w:t>
      </w:r>
    </w:p>
  </w:footnote>
  <w:footnote w:id="83">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Barber and Young, </w:t>
      </w:r>
      <w:r w:rsidRPr="00F74546">
        <w:rPr>
          <w:rFonts w:cstheme="minorHAnsi"/>
          <w:i/>
        </w:rPr>
        <w:t>supra</w:t>
      </w:r>
      <w:r w:rsidRPr="00F74546">
        <w:rPr>
          <w:rFonts w:cstheme="minorHAnsi"/>
        </w:rPr>
        <w:t xml:space="preserve"> n.</w:t>
      </w:r>
      <w:r w:rsidR="007C3457">
        <w:rPr>
          <w:rFonts w:cstheme="minorHAnsi"/>
        </w:rPr>
        <w:fldChar w:fldCharType="begin"/>
      </w:r>
      <w:r>
        <w:rPr>
          <w:rFonts w:cstheme="minorHAnsi"/>
        </w:rPr>
        <w:instrText xml:space="preserve"> NOTEREF  Barber_and_Young_II \p  \* MERGEFORMAT </w:instrText>
      </w:r>
      <w:r w:rsidR="007C3457">
        <w:rPr>
          <w:rFonts w:cstheme="minorHAnsi"/>
        </w:rPr>
        <w:fldChar w:fldCharType="separate"/>
      </w:r>
      <w:r>
        <w:rPr>
          <w:rFonts w:cstheme="minorHAnsi"/>
        </w:rPr>
        <w:t>49</w:t>
      </w:r>
      <w:r w:rsidR="007C3457">
        <w:rPr>
          <w:rFonts w:cstheme="minorHAnsi"/>
        </w:rPr>
        <w:fldChar w:fldCharType="end"/>
      </w:r>
      <w:r w:rsidRPr="00F74546">
        <w:rPr>
          <w:rFonts w:cstheme="minorHAnsi"/>
        </w:rPr>
        <w:t>, p. 127, emphasis added.</w:t>
      </w:r>
    </w:p>
  </w:footnote>
  <w:footnote w:id="84">
    <w:p w:rsidR="00C900A3" w:rsidRPr="00816045" w:rsidRDefault="00C900A3" w:rsidP="00985067">
      <w:pPr>
        <w:pStyle w:val="FootnoteText"/>
        <w:rPr>
          <w:rFonts w:cstheme="minorHAnsi"/>
          <w:bCs/>
        </w:rPr>
      </w:pPr>
      <w:r w:rsidRPr="00F74546">
        <w:rPr>
          <w:rStyle w:val="FootnoteReference"/>
          <w:rFonts w:cstheme="minorHAnsi"/>
        </w:rPr>
        <w:footnoteRef/>
      </w:r>
      <w:r w:rsidRPr="00F74546">
        <w:rPr>
          <w:rFonts w:cstheme="minorHAnsi"/>
        </w:rPr>
        <w:t xml:space="preserve"> HC Deb 17 January 2017, </w:t>
      </w:r>
      <w:proofErr w:type="spellStart"/>
      <w:r w:rsidRPr="00F74546">
        <w:rPr>
          <w:rFonts w:cstheme="minorHAnsi"/>
        </w:rPr>
        <w:t>vol</w:t>
      </w:r>
      <w:proofErr w:type="spellEnd"/>
      <w:r w:rsidRPr="00F74546">
        <w:rPr>
          <w:rFonts w:cstheme="minorHAnsi"/>
        </w:rPr>
        <w:t xml:space="preserve"> 619, col 792.</w:t>
      </w:r>
      <w:r>
        <w:rPr>
          <w:rFonts w:cstheme="minorHAnsi"/>
        </w:rPr>
        <w:t xml:space="preserve">  The Prime Minister had said something similar when first introducing the ‘Great Repeal Bill,’ as it was then known, in October 2016: ‘The judges interpreting [our] laws will sit not in Luxembourg but in courts in this country.’  See </w:t>
      </w:r>
      <w:r>
        <w:rPr>
          <w:rFonts w:cstheme="minorHAnsi"/>
          <w:lang w:val="en-US"/>
        </w:rPr>
        <w:t>T May, ‘Brexit speech’</w:t>
      </w:r>
      <w:r w:rsidRPr="00816045">
        <w:rPr>
          <w:rFonts w:cstheme="minorHAnsi"/>
          <w:lang w:val="en-US"/>
        </w:rPr>
        <w:t xml:space="preserve"> (delivered in Birm</w:t>
      </w:r>
      <w:r>
        <w:rPr>
          <w:rFonts w:cstheme="minorHAnsi"/>
          <w:lang w:val="en-US"/>
        </w:rPr>
        <w:t>ingham, 2 October 2016) in --, ‘</w:t>
      </w:r>
      <w:r w:rsidRPr="00816045">
        <w:rPr>
          <w:rFonts w:cstheme="minorHAnsi"/>
          <w:bCs/>
        </w:rPr>
        <w:t xml:space="preserve">Read </w:t>
      </w:r>
      <w:proofErr w:type="spellStart"/>
      <w:r w:rsidRPr="00816045">
        <w:rPr>
          <w:rFonts w:cstheme="minorHAnsi"/>
          <w:bCs/>
        </w:rPr>
        <w:t>Thersea</w:t>
      </w:r>
      <w:proofErr w:type="spellEnd"/>
      <w:r w:rsidRPr="00816045">
        <w:rPr>
          <w:rFonts w:cstheme="minorHAnsi"/>
          <w:bCs/>
        </w:rPr>
        <w:t xml:space="preserve"> May's full Brexit speech to Conservative conference in Birmingham’ </w:t>
      </w:r>
      <w:r w:rsidRPr="00816045">
        <w:rPr>
          <w:rFonts w:cstheme="minorHAnsi"/>
          <w:bCs/>
          <w:i/>
        </w:rPr>
        <w:t>International Business Times</w:t>
      </w:r>
      <w:r w:rsidRPr="00816045">
        <w:rPr>
          <w:rFonts w:cstheme="minorHAnsi"/>
          <w:bCs/>
        </w:rPr>
        <w:t xml:space="preserve"> (New York, 2 October 2016) &lt;http://www.ibtimes.co.uk/read-thersea-mays-full-brexit-speech-conservative-conference</w:t>
      </w:r>
      <w:r>
        <w:rPr>
          <w:rFonts w:cstheme="minorHAnsi"/>
          <w:bCs/>
        </w:rPr>
        <w:t>-birmingham-1584423&gt; accessed 28 January 2019</w:t>
      </w:r>
      <w:r w:rsidRPr="00816045">
        <w:rPr>
          <w:rFonts w:cstheme="minorHAnsi"/>
          <w:bCs/>
        </w:rPr>
        <w:t>.</w:t>
      </w:r>
    </w:p>
  </w:footnote>
  <w:footnote w:id="85">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Described as a ‘very slippery phrase’ by Lord Watson in </w:t>
      </w:r>
      <w:r w:rsidRPr="00F74546">
        <w:rPr>
          <w:rFonts w:cstheme="minorHAnsi"/>
          <w:i/>
        </w:rPr>
        <w:t>Salomon v Salomon &amp; Co</w:t>
      </w:r>
      <w:r w:rsidRPr="00F74546">
        <w:rPr>
          <w:rFonts w:cstheme="minorHAnsi"/>
        </w:rPr>
        <w:t xml:space="preserve"> [1897] A.C. 22 at p. 38.  ‘[It] may signify anything from intention embodied in positive enactment to speculative opinion as to what the Legislature probably would have meant’: ibid.</w:t>
      </w:r>
    </w:p>
  </w:footnote>
  <w:footnote w:id="86">
    <w:p w:rsidR="00C900A3" w:rsidRDefault="00C900A3" w:rsidP="002C4168">
      <w:pPr>
        <w:pStyle w:val="FootnoteText"/>
      </w:pPr>
      <w:r>
        <w:rPr>
          <w:rStyle w:val="FootnoteReference"/>
        </w:rPr>
        <w:footnoteRef/>
      </w:r>
      <w:r>
        <w:t xml:space="preserve"> ECJ 10 April 1984, Case 14/83 </w:t>
      </w:r>
      <w:r w:rsidRPr="002C4168">
        <w:rPr>
          <w:i/>
        </w:rPr>
        <w:t xml:space="preserve">Sabine von Colson and Elisabeth </w:t>
      </w:r>
      <w:proofErr w:type="spellStart"/>
      <w:r w:rsidRPr="002C4168">
        <w:rPr>
          <w:i/>
        </w:rPr>
        <w:t>Kamann</w:t>
      </w:r>
      <w:proofErr w:type="spellEnd"/>
      <w:r w:rsidRPr="002C4168">
        <w:rPr>
          <w:i/>
        </w:rPr>
        <w:t xml:space="preserve"> v Land Nordrhein-Westfalen</w:t>
      </w:r>
      <w:r>
        <w:t>.</w:t>
      </w:r>
    </w:p>
  </w:footnote>
  <w:footnote w:id="87">
    <w:p w:rsidR="00C900A3" w:rsidRDefault="00C900A3">
      <w:pPr>
        <w:pStyle w:val="FootnoteText"/>
      </w:pPr>
      <w:r>
        <w:rPr>
          <w:rStyle w:val="FootnoteReference"/>
        </w:rPr>
        <w:footnoteRef/>
      </w:r>
      <w:r>
        <w:t xml:space="preserve"> Facts drawn from ECJ 29 May 1997, </w:t>
      </w:r>
      <w:r w:rsidRPr="00986A9E">
        <w:t>Case C-300/95</w:t>
      </w:r>
      <w:r>
        <w:t xml:space="preserve"> </w:t>
      </w:r>
      <w:r w:rsidRPr="00986A9E">
        <w:rPr>
          <w:i/>
        </w:rPr>
        <w:t>Commission v UK</w:t>
      </w:r>
      <w:r>
        <w:t>.</w:t>
      </w:r>
    </w:p>
  </w:footnote>
  <w:footnote w:id="88">
    <w:p w:rsidR="00C900A3" w:rsidRPr="00F74546" w:rsidRDefault="00C900A3" w:rsidP="00E9739B">
      <w:pPr>
        <w:pStyle w:val="FootnoteText"/>
        <w:rPr>
          <w:rFonts w:cstheme="minorHAnsi"/>
        </w:rPr>
      </w:pPr>
      <w:r w:rsidRPr="00F74546">
        <w:rPr>
          <w:rStyle w:val="FootnoteReference"/>
          <w:rFonts w:cstheme="minorHAnsi"/>
        </w:rPr>
        <w:footnoteRef/>
      </w:r>
      <w:r w:rsidRPr="00F74546">
        <w:rPr>
          <w:rFonts w:cstheme="minorHAnsi"/>
        </w:rPr>
        <w:t xml:space="preserve"> </w:t>
      </w:r>
      <w:proofErr w:type="spellStart"/>
      <w:r w:rsidRPr="00F74546">
        <w:rPr>
          <w:rFonts w:cstheme="minorHAnsi"/>
        </w:rPr>
        <w:t>Craies</w:t>
      </w:r>
      <w:proofErr w:type="spellEnd"/>
      <w:r w:rsidRPr="00F74546">
        <w:rPr>
          <w:rFonts w:cstheme="minorHAnsi"/>
        </w:rPr>
        <w:t xml:space="preserve"> states that it is not possible to interpret the domestic implementation of an EU obligation purely from the UK perspective and with UK interpretive methods.  It is not only ‘necessary... to have regard to the terms and purpose of that obligation’ (purposive approach), but the ‘purposive construction’ may well end up being the ‘principal thrust of [the court’s] decision:’ </w:t>
      </w:r>
      <w:proofErr w:type="spellStart"/>
      <w:r w:rsidRPr="00F74546">
        <w:rPr>
          <w:rFonts w:cstheme="minorHAnsi"/>
          <w:i/>
        </w:rPr>
        <w:t>Craies</w:t>
      </w:r>
      <w:proofErr w:type="spellEnd"/>
      <w:r w:rsidRPr="00F74546">
        <w:rPr>
          <w:rFonts w:cstheme="minorHAnsi"/>
          <w:i/>
        </w:rPr>
        <w:t xml:space="preserve"> on Legislation</w:t>
      </w:r>
      <w:r w:rsidRPr="00F74546">
        <w:rPr>
          <w:rFonts w:cstheme="minorHAnsi"/>
        </w:rPr>
        <w:t xml:space="preserve"> (9</w:t>
      </w:r>
      <w:r w:rsidRPr="00F74546">
        <w:rPr>
          <w:rFonts w:cstheme="minorHAnsi"/>
          <w:vertAlign w:val="superscript"/>
        </w:rPr>
        <w:t>th</w:t>
      </w:r>
      <w:r w:rsidRPr="00F74546">
        <w:rPr>
          <w:rFonts w:cstheme="minorHAnsi"/>
        </w:rPr>
        <w:t xml:space="preserve"> </w:t>
      </w:r>
      <w:proofErr w:type="spellStart"/>
      <w:r w:rsidRPr="00F74546">
        <w:rPr>
          <w:rFonts w:cstheme="minorHAnsi"/>
        </w:rPr>
        <w:t>edn</w:t>
      </w:r>
      <w:proofErr w:type="spellEnd"/>
      <w:r w:rsidRPr="00F74546">
        <w:rPr>
          <w:rFonts w:cstheme="minorHAnsi"/>
        </w:rPr>
        <w:t>, 2008, Sweet and Maxwell) para 32.5.3.</w:t>
      </w:r>
    </w:p>
  </w:footnote>
  <w:footnote w:id="89">
    <w:p w:rsidR="00C900A3" w:rsidRPr="00F74546" w:rsidRDefault="00C900A3" w:rsidP="0099556D">
      <w:pPr>
        <w:pStyle w:val="FootnoteText"/>
        <w:rPr>
          <w:rFonts w:cstheme="minorHAnsi"/>
        </w:rPr>
      </w:pPr>
      <w:r w:rsidRPr="00F74546">
        <w:rPr>
          <w:rStyle w:val="FootnoteReference"/>
          <w:rFonts w:cstheme="minorHAnsi"/>
        </w:rPr>
        <w:footnoteRef/>
      </w:r>
      <w:r w:rsidRPr="00F74546">
        <w:rPr>
          <w:rFonts w:cstheme="minorHAnsi"/>
        </w:rPr>
        <w:t xml:space="preserve"> With regard to the other two constituent nations of the United Kingdom, Scotland also has a ‘liberal rule’ which she interpolates between the literal and mischief rules.  This semi-purposive interpretative method is focussed on the policy behind the legislation: B Clark, </w:t>
      </w:r>
      <w:r w:rsidRPr="00F74546">
        <w:rPr>
          <w:rFonts w:cstheme="minorHAnsi"/>
          <w:i/>
        </w:rPr>
        <w:t>Scottish legal system</w:t>
      </w:r>
      <w:r w:rsidRPr="00F74546">
        <w:rPr>
          <w:rFonts w:cstheme="minorHAnsi"/>
        </w:rPr>
        <w:t xml:space="preserve"> (2nd </w:t>
      </w:r>
      <w:proofErr w:type="spellStart"/>
      <w:r w:rsidRPr="00F74546">
        <w:rPr>
          <w:rFonts w:cstheme="minorHAnsi"/>
        </w:rPr>
        <w:t>edn</w:t>
      </w:r>
      <w:proofErr w:type="spellEnd"/>
      <w:r w:rsidRPr="00F74546">
        <w:rPr>
          <w:rFonts w:cstheme="minorHAnsi"/>
        </w:rPr>
        <w:t xml:space="preserve">, Dundee University Press, Dundee, 2009) 31.  In Northern Ireland, there is a stronger tendency to follow the behaviour of the English and Welsh courts, although the Northern Irish judges do seem to leap from the literal approach to the purposive one, potentially missing out the others: B Dickson, </w:t>
      </w:r>
      <w:r w:rsidRPr="00F74546">
        <w:rPr>
          <w:rFonts w:cstheme="minorHAnsi"/>
          <w:i/>
        </w:rPr>
        <w:t>The legal system of Northern Ireland</w:t>
      </w:r>
      <w:r w:rsidRPr="00F74546">
        <w:rPr>
          <w:rFonts w:cstheme="minorHAnsi"/>
        </w:rPr>
        <w:t xml:space="preserve"> (5th </w:t>
      </w:r>
      <w:proofErr w:type="spellStart"/>
      <w:r w:rsidRPr="00F74546">
        <w:rPr>
          <w:rFonts w:cstheme="minorHAnsi"/>
        </w:rPr>
        <w:t>edn</w:t>
      </w:r>
      <w:proofErr w:type="spellEnd"/>
      <w:r w:rsidRPr="00F74546">
        <w:rPr>
          <w:rFonts w:cstheme="minorHAnsi"/>
        </w:rPr>
        <w:t>, SLS Legal Publications, Belfast, 2005) 94-5.</w:t>
      </w:r>
    </w:p>
  </w:footnote>
  <w:footnote w:id="90">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A third rule, the mischief rule, involves the presumption that Parliament intended to remedy a certain mischief and it is true that this introduces a purposive element into the British rules of statutory interpretation.  However, as with the golden rule, the purposive construction is only considered where it is judged to ‘outweigh (...)’ the literal meaning, not as a first port of call: F</w:t>
      </w:r>
      <w:r>
        <w:rPr>
          <w:rFonts w:cstheme="minorHAnsi"/>
        </w:rPr>
        <w:t>.</w:t>
      </w:r>
      <w:r w:rsidRPr="00F74546">
        <w:rPr>
          <w:rFonts w:cstheme="minorHAnsi"/>
        </w:rPr>
        <w:t>A</w:t>
      </w:r>
      <w:r>
        <w:rPr>
          <w:rFonts w:cstheme="minorHAnsi"/>
        </w:rPr>
        <w:t>.</w:t>
      </w:r>
      <w:r w:rsidRPr="00F74546">
        <w:rPr>
          <w:rFonts w:cstheme="minorHAnsi"/>
        </w:rPr>
        <w:t>R</w:t>
      </w:r>
      <w:r>
        <w:rPr>
          <w:rFonts w:cstheme="minorHAnsi"/>
        </w:rPr>
        <w:t>.</w:t>
      </w:r>
      <w:r w:rsidRPr="00F74546">
        <w:rPr>
          <w:rFonts w:cstheme="minorHAnsi"/>
        </w:rPr>
        <w:t xml:space="preserve"> </w:t>
      </w:r>
      <w:proofErr w:type="spellStart"/>
      <w:r w:rsidRPr="00F74546">
        <w:rPr>
          <w:rFonts w:cstheme="minorHAnsi"/>
        </w:rPr>
        <w:t>Bennion</w:t>
      </w:r>
      <w:proofErr w:type="spellEnd"/>
      <w:r w:rsidRPr="00F74546">
        <w:rPr>
          <w:rFonts w:cstheme="minorHAnsi"/>
        </w:rPr>
        <w:t xml:space="preserve">, </w:t>
      </w:r>
      <w:r w:rsidRPr="00F74546">
        <w:rPr>
          <w:rFonts w:cstheme="minorHAnsi"/>
          <w:i/>
        </w:rPr>
        <w:t xml:space="preserve">Statutory interpretation: A code </w:t>
      </w:r>
      <w:r w:rsidRPr="00F74546">
        <w:rPr>
          <w:rFonts w:cstheme="minorHAnsi"/>
        </w:rPr>
        <w:t xml:space="preserve">(4th </w:t>
      </w:r>
      <w:proofErr w:type="spellStart"/>
      <w:r w:rsidRPr="00F74546">
        <w:rPr>
          <w:rFonts w:cstheme="minorHAnsi"/>
        </w:rPr>
        <w:t>ed</w:t>
      </w:r>
      <w:proofErr w:type="spellEnd"/>
      <w:r w:rsidRPr="00F74546">
        <w:rPr>
          <w:rFonts w:cstheme="minorHAnsi"/>
        </w:rPr>
        <w:t>, Butterworths 2002) at p. 468.</w:t>
      </w:r>
    </w:p>
  </w:footnote>
  <w:footnote w:id="91">
    <w:p w:rsidR="00C900A3" w:rsidRPr="00F74546" w:rsidRDefault="00C900A3" w:rsidP="00E9739B">
      <w:pPr>
        <w:pStyle w:val="FootnoteText"/>
        <w:rPr>
          <w:rFonts w:cstheme="minorHAnsi"/>
        </w:rPr>
      </w:pPr>
      <w:r w:rsidRPr="00F74546">
        <w:rPr>
          <w:rStyle w:val="FootnoteReference"/>
          <w:rFonts w:cstheme="minorHAnsi"/>
        </w:rPr>
        <w:footnoteRef/>
      </w:r>
      <w:r w:rsidRPr="00F74546">
        <w:rPr>
          <w:rFonts w:cstheme="minorHAnsi"/>
        </w:rPr>
        <w:t xml:space="preserve"> </w:t>
      </w:r>
      <w:proofErr w:type="spellStart"/>
      <w:r w:rsidRPr="00F74546">
        <w:rPr>
          <w:rFonts w:cstheme="minorHAnsi"/>
          <w:i/>
        </w:rPr>
        <w:t>Duport</w:t>
      </w:r>
      <w:proofErr w:type="spellEnd"/>
      <w:r w:rsidRPr="00F74546">
        <w:rPr>
          <w:rFonts w:cstheme="minorHAnsi"/>
          <w:i/>
        </w:rPr>
        <w:t xml:space="preserve"> Steels Ltd v Sirs</w:t>
      </w:r>
      <w:r w:rsidRPr="00F74546">
        <w:rPr>
          <w:rFonts w:cstheme="minorHAnsi"/>
        </w:rPr>
        <w:t xml:space="preserve"> [1980] 1 W.L.R. 142 at p. 157 (Lord </w:t>
      </w:r>
      <w:proofErr w:type="spellStart"/>
      <w:r w:rsidRPr="00F74546">
        <w:rPr>
          <w:rFonts w:cstheme="minorHAnsi"/>
        </w:rPr>
        <w:t>Diplock</w:t>
      </w:r>
      <w:proofErr w:type="spellEnd"/>
      <w:r w:rsidRPr="00F74546">
        <w:rPr>
          <w:rFonts w:cstheme="minorHAnsi"/>
        </w:rPr>
        <w:t>).</w:t>
      </w:r>
    </w:p>
  </w:footnote>
  <w:footnote w:id="92">
    <w:p w:rsidR="00C900A3" w:rsidRPr="00F74546" w:rsidRDefault="00C900A3" w:rsidP="00E9739B">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bCs/>
          <w:i/>
        </w:rPr>
        <w:t>Sussex Peerage Case</w:t>
      </w:r>
      <w:r w:rsidRPr="00F74546">
        <w:rPr>
          <w:rFonts w:cstheme="minorHAnsi"/>
          <w:bCs/>
        </w:rPr>
        <w:t xml:space="preserve"> [1843-60] All ER Rep 55 at p. 63 (Tindal CJ).</w:t>
      </w:r>
    </w:p>
  </w:footnote>
  <w:footnote w:id="93">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Pr>
          <w:rFonts w:cstheme="minorHAnsi"/>
          <w:bCs/>
        </w:rPr>
        <w:t>i</w:t>
      </w:r>
      <w:r w:rsidRPr="00F74546">
        <w:rPr>
          <w:rFonts w:cstheme="minorHAnsi"/>
          <w:bCs/>
        </w:rPr>
        <w:t>bid.</w:t>
      </w:r>
    </w:p>
  </w:footnote>
  <w:footnote w:id="94">
    <w:p w:rsidR="00C900A3" w:rsidRPr="00F74546" w:rsidRDefault="00C900A3" w:rsidP="001F4149">
      <w:pPr>
        <w:pStyle w:val="FootnoteText"/>
        <w:rPr>
          <w:rFonts w:cstheme="minorHAnsi"/>
        </w:rPr>
      </w:pPr>
      <w:r w:rsidRPr="00F74546">
        <w:rPr>
          <w:rStyle w:val="FootnoteReference"/>
          <w:rFonts w:cstheme="minorHAnsi"/>
        </w:rPr>
        <w:footnoteRef/>
      </w:r>
      <w:r w:rsidRPr="00F74546">
        <w:rPr>
          <w:rFonts w:cstheme="minorHAnsi"/>
        </w:rPr>
        <w:t xml:space="preserve"> Although commonly known as the literal rule, </w:t>
      </w:r>
      <w:proofErr w:type="spellStart"/>
      <w:r w:rsidRPr="00F74546">
        <w:rPr>
          <w:rFonts w:cstheme="minorHAnsi"/>
        </w:rPr>
        <w:t>Bennion</w:t>
      </w:r>
      <w:proofErr w:type="spellEnd"/>
      <w:r w:rsidRPr="00F74546">
        <w:rPr>
          <w:rFonts w:cstheme="minorHAnsi"/>
        </w:rPr>
        <w:t xml:space="preserve"> points out that this is really a presumption ‘that the text is the primary indication of intention and that the enactment is to be given a literal meaning where this is not outweighed by other factors:’ </w:t>
      </w:r>
      <w:proofErr w:type="spellStart"/>
      <w:r w:rsidR="008423AC" w:rsidRPr="00F74546">
        <w:rPr>
          <w:rFonts w:cstheme="minorHAnsi"/>
        </w:rPr>
        <w:t>Bennion</w:t>
      </w:r>
      <w:proofErr w:type="spellEnd"/>
      <w:r w:rsidR="008423AC" w:rsidRPr="00F74546">
        <w:rPr>
          <w:rFonts w:cstheme="minorHAnsi"/>
        </w:rPr>
        <w:t xml:space="preserve">, </w:t>
      </w:r>
      <w:r w:rsidR="008423AC" w:rsidRPr="00F74546">
        <w:rPr>
          <w:rFonts w:cstheme="minorHAnsi"/>
          <w:i/>
        </w:rPr>
        <w:t>Statutory interpretation: A code</w:t>
      </w:r>
      <w:r w:rsidR="008423AC">
        <w:rPr>
          <w:rFonts w:cstheme="minorHAnsi"/>
        </w:rPr>
        <w:t xml:space="preserve">, </w:t>
      </w:r>
      <w:r w:rsidR="008423AC">
        <w:rPr>
          <w:rFonts w:cstheme="minorHAnsi"/>
          <w:i/>
        </w:rPr>
        <w:t xml:space="preserve">supra </w:t>
      </w:r>
      <w:r w:rsidR="008423AC">
        <w:rPr>
          <w:rFonts w:cstheme="minorHAnsi"/>
        </w:rPr>
        <w:t xml:space="preserve">n. </w:t>
      </w:r>
      <w:r w:rsidR="0070463C">
        <w:rPr>
          <w:rFonts w:cstheme="minorHAnsi"/>
        </w:rPr>
        <w:fldChar w:fldCharType="begin"/>
      </w:r>
      <w:r w:rsidR="0070463C">
        <w:rPr>
          <w:rFonts w:cstheme="minorHAnsi"/>
        </w:rPr>
        <w:instrText xml:space="preserve"> NOTEREF  Bennion_4th_II \p  \* MERGEFORMAT </w:instrText>
      </w:r>
      <w:r w:rsidR="0070463C">
        <w:rPr>
          <w:rFonts w:cstheme="minorHAnsi"/>
        </w:rPr>
        <w:fldChar w:fldCharType="separate"/>
      </w:r>
      <w:r w:rsidR="008423AC">
        <w:rPr>
          <w:rFonts w:cstheme="minorHAnsi"/>
        </w:rPr>
        <w:t>91</w:t>
      </w:r>
      <w:r w:rsidR="0070463C">
        <w:rPr>
          <w:rFonts w:cstheme="minorHAnsi"/>
        </w:rPr>
        <w:fldChar w:fldCharType="end"/>
      </w:r>
      <w:r w:rsidR="008423AC">
        <w:rPr>
          <w:rFonts w:cstheme="minorHAnsi"/>
        </w:rPr>
        <w:t xml:space="preserve"> </w:t>
      </w:r>
      <w:r w:rsidRPr="00F74546">
        <w:rPr>
          <w:rFonts w:cstheme="minorHAnsi"/>
        </w:rPr>
        <w:t xml:space="preserve">at p. 468.  </w:t>
      </w:r>
      <w:proofErr w:type="spellStart"/>
      <w:r w:rsidRPr="00F74546">
        <w:rPr>
          <w:rFonts w:cstheme="minorHAnsi"/>
          <w:i/>
        </w:rPr>
        <w:t>Barrelll</w:t>
      </w:r>
      <w:proofErr w:type="spellEnd"/>
      <w:r w:rsidRPr="00F74546">
        <w:rPr>
          <w:rFonts w:cstheme="minorHAnsi"/>
          <w:i/>
        </w:rPr>
        <w:t xml:space="preserve"> v </w:t>
      </w:r>
      <w:proofErr w:type="spellStart"/>
      <w:r w:rsidRPr="00F74546">
        <w:rPr>
          <w:rFonts w:cstheme="minorHAnsi"/>
          <w:i/>
        </w:rPr>
        <w:t>Fordree</w:t>
      </w:r>
      <w:proofErr w:type="spellEnd"/>
      <w:r w:rsidRPr="00F74546">
        <w:rPr>
          <w:rFonts w:cstheme="minorHAnsi"/>
          <w:i/>
        </w:rPr>
        <w:t xml:space="preserve"> </w:t>
      </w:r>
      <w:r w:rsidRPr="00F74546">
        <w:rPr>
          <w:rFonts w:cstheme="minorHAnsi"/>
        </w:rPr>
        <w:t>provides authority for the first part of this statement.  In declining to consider case-law while construing the Increase of Rent and Mortgage Interest (Restrictions) Act 1920, Lord Warrington stated that ‘the safer and more correct course of dealing with a question of construction is to take the words themselves and arrive if possible at their meaning’:</w:t>
      </w:r>
      <w:r w:rsidRPr="00F74546">
        <w:rPr>
          <w:rFonts w:cstheme="minorHAnsi"/>
          <w:i/>
        </w:rPr>
        <w:t xml:space="preserve"> </w:t>
      </w:r>
      <w:proofErr w:type="spellStart"/>
      <w:r w:rsidRPr="00F74546">
        <w:rPr>
          <w:rFonts w:cstheme="minorHAnsi"/>
          <w:i/>
        </w:rPr>
        <w:t>Barrell</w:t>
      </w:r>
      <w:proofErr w:type="spellEnd"/>
      <w:r w:rsidRPr="00F74546">
        <w:rPr>
          <w:rFonts w:cstheme="minorHAnsi"/>
          <w:i/>
        </w:rPr>
        <w:t xml:space="preserve"> (Pauper) Appellant v </w:t>
      </w:r>
      <w:proofErr w:type="spellStart"/>
      <w:r w:rsidRPr="00F74546">
        <w:rPr>
          <w:rFonts w:cstheme="minorHAnsi"/>
          <w:i/>
        </w:rPr>
        <w:t>Fordree</w:t>
      </w:r>
      <w:proofErr w:type="spellEnd"/>
      <w:r w:rsidRPr="00F74546">
        <w:rPr>
          <w:rFonts w:cstheme="minorHAnsi"/>
          <w:i/>
        </w:rPr>
        <w:t xml:space="preserve"> Respondent</w:t>
      </w:r>
      <w:r w:rsidRPr="00F74546">
        <w:rPr>
          <w:rFonts w:cstheme="minorHAnsi"/>
        </w:rPr>
        <w:t xml:space="preserve"> [1932] A.C. 676 at p. 682 (Lord Warrington).</w:t>
      </w:r>
    </w:p>
  </w:footnote>
  <w:footnote w:id="95">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R v Tonbridge Overseers</w:t>
      </w:r>
      <w:r w:rsidRPr="00F74546">
        <w:rPr>
          <w:rFonts w:cstheme="minorHAnsi"/>
        </w:rPr>
        <w:t xml:space="preserve"> (1884) 13 Q.B.D. 339 at p.342, where Brett MR states that opting for alternative meanings to avoid inconvenience would be a ‘dangerous doctrine,’ although he accepts that departure from the plain meaning may be justified either by the need to bring various enactments into alignment, or by the need to avoid ‘absurd’ inconvenience or ‘palpable injustice:’ ibid.  This last caveat seems to be an articulation of the so-called ‘golden’ rule of statutory interpretation, which had only a few years earlier been ‘invented’ by Lord Blackburn: </w:t>
      </w:r>
      <w:r w:rsidRPr="00F74546">
        <w:rPr>
          <w:rFonts w:cstheme="minorHAnsi"/>
          <w:i/>
        </w:rPr>
        <w:t xml:space="preserve">River Wear Commissioners v Adamson </w:t>
      </w:r>
      <w:r w:rsidRPr="00F74546">
        <w:rPr>
          <w:rFonts w:cstheme="minorHAnsi"/>
        </w:rPr>
        <w:t xml:space="preserve">(1877) 2 App </w:t>
      </w:r>
      <w:proofErr w:type="spellStart"/>
      <w:r w:rsidRPr="00F74546">
        <w:rPr>
          <w:rFonts w:cstheme="minorHAnsi"/>
        </w:rPr>
        <w:t>Cas</w:t>
      </w:r>
      <w:proofErr w:type="spellEnd"/>
      <w:r w:rsidRPr="00F74546">
        <w:rPr>
          <w:rFonts w:cstheme="minorHAnsi"/>
        </w:rPr>
        <w:t xml:space="preserve"> 743.</w:t>
      </w:r>
    </w:p>
  </w:footnote>
  <w:footnote w:id="96">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proofErr w:type="spellStart"/>
      <w:r w:rsidRPr="00F74546">
        <w:rPr>
          <w:rFonts w:cstheme="minorHAnsi"/>
          <w:i/>
        </w:rPr>
        <w:t>Duport</w:t>
      </w:r>
      <w:proofErr w:type="spellEnd"/>
      <w:r w:rsidRPr="00F74546">
        <w:rPr>
          <w:rFonts w:cstheme="minorHAnsi"/>
          <w:i/>
        </w:rPr>
        <w:t xml:space="preserve"> Steels Ltd v Sirs</w:t>
      </w:r>
      <w:r w:rsidRPr="00F74546">
        <w:rPr>
          <w:rFonts w:cstheme="minorHAnsi"/>
        </w:rPr>
        <w:t xml:space="preserve"> [1980] 1 W.L.R. 142 at p. 157 (Lord </w:t>
      </w:r>
      <w:proofErr w:type="spellStart"/>
      <w:r w:rsidRPr="00F74546">
        <w:rPr>
          <w:rFonts w:cstheme="minorHAnsi"/>
        </w:rPr>
        <w:t>Diplock</w:t>
      </w:r>
      <w:proofErr w:type="spellEnd"/>
      <w:r w:rsidRPr="00F74546">
        <w:rPr>
          <w:rFonts w:cstheme="minorHAnsi"/>
        </w:rPr>
        <w:t>).</w:t>
      </w:r>
    </w:p>
  </w:footnote>
  <w:footnote w:id="97">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 xml:space="preserve">Black-Clawson International Ltd. v </w:t>
      </w:r>
      <w:proofErr w:type="spellStart"/>
      <w:r w:rsidRPr="00F74546">
        <w:rPr>
          <w:rFonts w:cstheme="minorHAnsi"/>
          <w:i/>
        </w:rPr>
        <w:t>Papierwerke</w:t>
      </w:r>
      <w:proofErr w:type="spellEnd"/>
      <w:r w:rsidRPr="00F74546">
        <w:rPr>
          <w:rFonts w:cstheme="minorHAnsi"/>
          <w:i/>
        </w:rPr>
        <w:t xml:space="preserve"> </w:t>
      </w:r>
      <w:proofErr w:type="spellStart"/>
      <w:r w:rsidRPr="00F74546">
        <w:rPr>
          <w:rFonts w:cstheme="minorHAnsi"/>
          <w:i/>
        </w:rPr>
        <w:t>Waldhof</w:t>
      </w:r>
      <w:proofErr w:type="spellEnd"/>
      <w:r w:rsidRPr="00F74546">
        <w:rPr>
          <w:rFonts w:cstheme="minorHAnsi"/>
          <w:i/>
        </w:rPr>
        <w:t>-Aschaffenburg A.G.</w:t>
      </w:r>
      <w:r w:rsidRPr="00F74546">
        <w:rPr>
          <w:rFonts w:cstheme="minorHAnsi"/>
        </w:rPr>
        <w:t xml:space="preserve"> [1975] 2 WLR 513 (Lord Reid) at p. 517.</w:t>
      </w:r>
    </w:p>
  </w:footnote>
  <w:footnote w:id="98">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The Earl of Waterford's Claim</w:t>
      </w:r>
      <w:r w:rsidRPr="00F74546">
        <w:rPr>
          <w:rFonts w:cstheme="minorHAnsi"/>
        </w:rPr>
        <w:t xml:space="preserve"> (1832) 6 Cl. &amp; Fin. 133 at p. 172 (Lord Chancellor).</w:t>
      </w:r>
    </w:p>
  </w:footnote>
  <w:footnote w:id="99">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J Steyn, ‘Dynamic Interpretation Amidst an Orgy of Statutes’ (The Brian Dickson Memorial Lecture, Ottawa, 2 October 2003) &lt; https://commonlaw.uottawa.ca/ottawa-law-review/sites/commonlaw.uottawa.ca.ottawa-law-review/files/11_35ottawalrev1632003-2004.pdf&gt; accessed 4 December 2018, 170.</w:t>
      </w:r>
    </w:p>
  </w:footnote>
  <w:footnote w:id="100">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Stoke-on-Trent City Council v B &amp; Q plc; Norwich City Council v B &amp; Q plc</w:t>
      </w:r>
      <w:r w:rsidRPr="00F74546">
        <w:rPr>
          <w:rFonts w:cstheme="minorHAnsi"/>
        </w:rPr>
        <w:t xml:space="preserve"> [1991] 4 All ER 221 at p. 230 (Hoffmann J).</w:t>
      </w:r>
    </w:p>
  </w:footnote>
  <w:footnote w:id="101">
    <w:p w:rsidR="003E2B1E" w:rsidRPr="003E2B1E" w:rsidRDefault="003E2B1E">
      <w:pPr>
        <w:pStyle w:val="FootnoteText"/>
        <w:rPr>
          <w:rFonts w:cstheme="minorHAnsi"/>
        </w:rPr>
      </w:pPr>
      <w:r>
        <w:rPr>
          <w:rStyle w:val="FootnoteReference"/>
        </w:rPr>
        <w:footnoteRef/>
      </w:r>
      <w:r>
        <w:t xml:space="preserve"> </w:t>
      </w:r>
      <w:r w:rsidRPr="00F74546">
        <w:rPr>
          <w:rFonts w:cstheme="minorHAnsi"/>
          <w:i/>
        </w:rPr>
        <w:t>R v London Transport Executive, ex parte Greater London Council</w:t>
      </w:r>
      <w:r w:rsidRPr="00F74546">
        <w:rPr>
          <w:rFonts w:cstheme="minorHAnsi"/>
        </w:rPr>
        <w:t xml:space="preserve"> [1983] Q.B. 484 at p. 490-1 (Kerr LJ).</w:t>
      </w:r>
    </w:p>
  </w:footnote>
  <w:footnote w:id="102">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proofErr w:type="spellStart"/>
      <w:r w:rsidR="00EC49B6" w:rsidRPr="00F74546">
        <w:rPr>
          <w:rFonts w:cstheme="minorHAnsi"/>
        </w:rPr>
        <w:t>Bennion</w:t>
      </w:r>
      <w:proofErr w:type="spellEnd"/>
      <w:r w:rsidR="00EC49B6" w:rsidRPr="00F74546">
        <w:rPr>
          <w:rFonts w:cstheme="minorHAnsi"/>
        </w:rPr>
        <w:t xml:space="preserve">, </w:t>
      </w:r>
      <w:r w:rsidR="00EC49B6" w:rsidRPr="00F74546">
        <w:rPr>
          <w:rFonts w:cstheme="minorHAnsi"/>
          <w:i/>
        </w:rPr>
        <w:t xml:space="preserve">Statutory interpretation: A </w:t>
      </w:r>
      <w:r w:rsidR="007C3457" w:rsidRPr="007C3457">
        <w:rPr>
          <w:rFonts w:cstheme="minorHAnsi"/>
        </w:rPr>
        <w:t>code</w:t>
      </w:r>
      <w:r w:rsidR="00EC49B6">
        <w:rPr>
          <w:rFonts w:cstheme="minorHAnsi"/>
        </w:rPr>
        <w:t xml:space="preserve">, </w:t>
      </w:r>
      <w:r w:rsidR="00EC49B6">
        <w:rPr>
          <w:rFonts w:cstheme="minorHAnsi"/>
          <w:i/>
        </w:rPr>
        <w:t xml:space="preserve">supra </w:t>
      </w:r>
      <w:r w:rsidR="00EC49B6">
        <w:rPr>
          <w:rFonts w:cstheme="minorHAnsi"/>
        </w:rPr>
        <w:t xml:space="preserve">n. </w:t>
      </w:r>
      <w:r w:rsidR="0070463C">
        <w:rPr>
          <w:rFonts w:cstheme="minorHAnsi"/>
        </w:rPr>
        <w:fldChar w:fldCharType="begin"/>
      </w:r>
      <w:r w:rsidR="0070463C">
        <w:rPr>
          <w:rFonts w:cstheme="minorHAnsi"/>
        </w:rPr>
        <w:instrText xml:space="preserve"> NOTEREF  Bennion_4th_II \p  \* MERGEFORMAT </w:instrText>
      </w:r>
      <w:r w:rsidR="0070463C">
        <w:rPr>
          <w:rFonts w:cstheme="minorHAnsi"/>
        </w:rPr>
        <w:fldChar w:fldCharType="separate"/>
      </w:r>
      <w:r w:rsidR="00EC49B6">
        <w:rPr>
          <w:rFonts w:cstheme="minorHAnsi"/>
        </w:rPr>
        <w:t>91</w:t>
      </w:r>
      <w:r w:rsidR="0070463C">
        <w:rPr>
          <w:rFonts w:cstheme="minorHAnsi"/>
        </w:rPr>
        <w:fldChar w:fldCharType="end"/>
      </w:r>
      <w:r>
        <w:rPr>
          <w:rFonts w:cstheme="minorHAnsi"/>
        </w:rPr>
        <w:t xml:space="preserve"> at p. 130.  </w:t>
      </w:r>
    </w:p>
  </w:footnote>
  <w:footnote w:id="103">
    <w:p w:rsidR="00C900A3" w:rsidRPr="00F74546" w:rsidRDefault="00C900A3" w:rsidP="003C6654">
      <w:pPr>
        <w:pStyle w:val="FootnoteText"/>
        <w:rPr>
          <w:rFonts w:cstheme="minorHAnsi"/>
        </w:rPr>
      </w:pPr>
      <w:r w:rsidRPr="00F74546">
        <w:rPr>
          <w:rStyle w:val="FootnoteReference"/>
          <w:rFonts w:cstheme="minorHAnsi"/>
        </w:rPr>
        <w:footnoteRef/>
      </w:r>
      <w:r w:rsidRPr="00F74546">
        <w:rPr>
          <w:rFonts w:cstheme="minorHAnsi"/>
        </w:rPr>
        <w:t xml:space="preserve"> Hood Phillips, </w:t>
      </w:r>
      <w:r w:rsidRPr="00F74546">
        <w:rPr>
          <w:rFonts w:cstheme="minorHAnsi"/>
          <w:i/>
        </w:rPr>
        <w:t>supra</w:t>
      </w:r>
      <w:r w:rsidRPr="00F74546">
        <w:rPr>
          <w:rFonts w:cstheme="minorHAnsi"/>
        </w:rPr>
        <w:t xml:space="preserve"> n </w:t>
      </w:r>
      <w:r w:rsidR="0070463C">
        <w:rPr>
          <w:rFonts w:cstheme="minorHAnsi"/>
        </w:rPr>
        <w:fldChar w:fldCharType="begin"/>
      </w:r>
      <w:r w:rsidR="0070463C">
        <w:rPr>
          <w:rFonts w:cstheme="minorHAnsi"/>
        </w:rPr>
        <w:instrText xml:space="preserve"> NOTEREF  O_Hood_Phillips_Westminster \p  \* MERGEFORMAT </w:instrText>
      </w:r>
      <w:r w:rsidR="0070463C">
        <w:rPr>
          <w:rFonts w:cstheme="minorHAnsi"/>
        </w:rPr>
        <w:fldChar w:fldCharType="separate"/>
      </w:r>
      <w:r w:rsidRPr="0018322A">
        <w:rPr>
          <w:rFonts w:cstheme="minorHAnsi"/>
        </w:rPr>
        <w:t>2</w:t>
      </w:r>
      <w:r w:rsidR="0070463C">
        <w:rPr>
          <w:rFonts w:cstheme="minorHAnsi"/>
        </w:rPr>
        <w:fldChar w:fldCharType="end"/>
      </w:r>
      <w:r w:rsidRPr="00F74546">
        <w:rPr>
          <w:rFonts w:cstheme="minorHAnsi"/>
        </w:rPr>
        <w:t>, p.168-9.</w:t>
      </w:r>
    </w:p>
  </w:footnote>
  <w:footnote w:id="104">
    <w:p w:rsidR="00C900A3" w:rsidRPr="00F74546" w:rsidRDefault="00C900A3" w:rsidP="003155ED">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Salomon v. Commissioners of Customs and Excise</w:t>
      </w:r>
      <w:r w:rsidRPr="00F74546">
        <w:rPr>
          <w:rFonts w:cstheme="minorHAnsi"/>
        </w:rPr>
        <w:t xml:space="preserve"> [1967] 2 Q.B. 116, at p. 143 (Lord </w:t>
      </w:r>
      <w:proofErr w:type="spellStart"/>
      <w:r w:rsidRPr="00F74546">
        <w:rPr>
          <w:rFonts w:cstheme="minorHAnsi"/>
        </w:rPr>
        <w:t>Diplock</w:t>
      </w:r>
      <w:proofErr w:type="spellEnd"/>
      <w:r w:rsidRPr="00F74546">
        <w:rPr>
          <w:rFonts w:cstheme="minorHAnsi"/>
        </w:rPr>
        <w:t>).</w:t>
      </w:r>
    </w:p>
  </w:footnote>
  <w:footnote w:id="105">
    <w:p w:rsidR="00C900A3" w:rsidRPr="00F74546" w:rsidRDefault="00C900A3" w:rsidP="00591600">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Pan American World Airways Inc v Department of Trade</w:t>
      </w:r>
      <w:r w:rsidRPr="00F74546">
        <w:rPr>
          <w:rFonts w:cstheme="minorHAnsi"/>
        </w:rPr>
        <w:t xml:space="preserve"> [1976] 1 Lloyd's Rep. 257; [1975] 7 WLUK 143; (1975) 119 S.J. 657; Times, July 30, 1975.</w:t>
      </w:r>
    </w:p>
  </w:footnote>
  <w:footnote w:id="106">
    <w:p w:rsidR="00A9013B" w:rsidRPr="00A9013B" w:rsidRDefault="00A9013B">
      <w:pPr>
        <w:pStyle w:val="FootnoteText"/>
        <w:rPr>
          <w:rFonts w:cstheme="minorHAnsi"/>
        </w:rPr>
      </w:pPr>
      <w:r>
        <w:rPr>
          <w:rStyle w:val="FootnoteReference"/>
        </w:rPr>
        <w:footnoteRef/>
      </w:r>
      <w:r>
        <w:t xml:space="preserve"> </w:t>
      </w:r>
      <w:proofErr w:type="spellStart"/>
      <w:r w:rsidR="00D2481C" w:rsidRPr="00ED23C1">
        <w:rPr>
          <w:i/>
        </w:rPr>
        <w:t>Factortame</w:t>
      </w:r>
      <w:proofErr w:type="spellEnd"/>
      <w:r w:rsidR="00D2481C" w:rsidRPr="00ED23C1">
        <w:rPr>
          <w:i/>
        </w:rPr>
        <w:t xml:space="preserve"> Ltd and others v Secretary of State for Transport</w:t>
      </w:r>
      <w:r w:rsidR="00D2481C">
        <w:t xml:space="preserve"> </w:t>
      </w:r>
      <w:r w:rsidR="00D2481C" w:rsidRPr="00ED23C1">
        <w:t>[1989] 2 All ER 692</w:t>
      </w:r>
      <w:r w:rsidR="00D2481C">
        <w:t>.</w:t>
      </w:r>
    </w:p>
  </w:footnote>
  <w:footnote w:id="107">
    <w:p w:rsidR="00A9013B" w:rsidRPr="00A9013B" w:rsidRDefault="00A9013B">
      <w:pPr>
        <w:pStyle w:val="FootnoteText"/>
        <w:rPr>
          <w:rFonts w:cstheme="minorHAnsi"/>
        </w:rPr>
      </w:pPr>
      <w:r>
        <w:rPr>
          <w:rStyle w:val="FootnoteReference"/>
        </w:rPr>
        <w:footnoteRef/>
      </w:r>
      <w:r>
        <w:t xml:space="preserve"> </w:t>
      </w:r>
      <w:r w:rsidRPr="00F74546">
        <w:rPr>
          <w:rFonts w:cstheme="minorHAnsi"/>
        </w:rPr>
        <w:t xml:space="preserve">For citation, see n. </w:t>
      </w:r>
      <w:r w:rsidR="0070463C">
        <w:fldChar w:fldCharType="begin"/>
      </w:r>
      <w:r w:rsidR="0070463C">
        <w:instrText xml:space="preserve"> NOTEREF  Thoburn_full_ref \p  \* MERGEFORMAT </w:instrText>
      </w:r>
      <w:r w:rsidR="0070463C">
        <w:fldChar w:fldCharType="separate"/>
      </w:r>
      <w:r w:rsidR="00D2481C">
        <w:t>28</w:t>
      </w:r>
      <w:r w:rsidR="0070463C">
        <w:fldChar w:fldCharType="end"/>
      </w:r>
      <w:r>
        <w:t xml:space="preserve">, </w:t>
      </w:r>
      <w:r w:rsidRPr="00F74546">
        <w:rPr>
          <w:rFonts w:cstheme="minorHAnsi"/>
          <w:i/>
        </w:rPr>
        <w:t>supra</w:t>
      </w:r>
      <w:r w:rsidRPr="00F74546">
        <w:rPr>
          <w:rFonts w:cstheme="minorHAnsi"/>
        </w:rPr>
        <w:t>.</w:t>
      </w:r>
    </w:p>
  </w:footnote>
  <w:footnote w:id="108">
    <w:p w:rsidR="00C900A3" w:rsidRDefault="00C900A3">
      <w:pPr>
        <w:pStyle w:val="FootnoteText"/>
      </w:pPr>
      <w:r>
        <w:rPr>
          <w:rStyle w:val="FootnoteReference"/>
        </w:rPr>
        <w:footnoteRef/>
      </w:r>
      <w:r>
        <w:t xml:space="preserve"> TC Hartley, </w:t>
      </w:r>
      <w:r w:rsidRPr="00551D59">
        <w:rPr>
          <w:i/>
        </w:rPr>
        <w:t>The foundations of European Community law</w:t>
      </w:r>
      <w:r>
        <w:t xml:space="preserve"> (4</w:t>
      </w:r>
      <w:r w:rsidRPr="00551D59">
        <w:rPr>
          <w:vertAlign w:val="superscript"/>
        </w:rPr>
        <w:t>th</w:t>
      </w:r>
      <w:r>
        <w:t xml:space="preserve"> </w:t>
      </w:r>
      <w:proofErr w:type="spellStart"/>
      <w:r>
        <w:t>edn</w:t>
      </w:r>
      <w:proofErr w:type="spellEnd"/>
      <w:r>
        <w:t>, OUP 1998) 255.</w:t>
      </w:r>
    </w:p>
  </w:footnote>
  <w:footnote w:id="109">
    <w:p w:rsidR="00C900A3" w:rsidRDefault="00C900A3" w:rsidP="00D16CB9">
      <w:pPr>
        <w:pStyle w:val="FootnoteText"/>
      </w:pPr>
      <w:r>
        <w:rPr>
          <w:rStyle w:val="FootnoteReference"/>
        </w:rPr>
        <w:footnoteRef/>
      </w:r>
      <w:r>
        <w:t xml:space="preserve"> </w:t>
      </w:r>
      <w:proofErr w:type="spellStart"/>
      <w:r w:rsidRPr="00C31999">
        <w:rPr>
          <w:i/>
        </w:rPr>
        <w:t>Thoburn</w:t>
      </w:r>
      <w:proofErr w:type="spellEnd"/>
      <w:r>
        <w:t xml:space="preserve">, n. </w:t>
      </w:r>
      <w:r w:rsidR="0070463C">
        <w:fldChar w:fldCharType="begin"/>
      </w:r>
      <w:r w:rsidR="0070463C">
        <w:instrText xml:space="preserve"> NOTEREF  Thoburn \p  \* MERGEFORMAT </w:instrText>
      </w:r>
      <w:r w:rsidR="0070463C">
        <w:fldChar w:fldCharType="separate"/>
      </w:r>
      <w:r>
        <w:t>61</w:t>
      </w:r>
      <w:r w:rsidR="0070463C">
        <w:fldChar w:fldCharType="end"/>
      </w:r>
      <w:r>
        <w:t xml:space="preserve">, </w:t>
      </w:r>
      <w:r w:rsidRPr="00C31999">
        <w:rPr>
          <w:i/>
        </w:rPr>
        <w:t>supra</w:t>
      </w:r>
      <w:r>
        <w:t xml:space="preserve">, [61] (Laws LJ).  See also the speech of Lord Bridge in </w:t>
      </w:r>
      <w:proofErr w:type="spellStart"/>
      <w:r w:rsidRPr="00ED23C1">
        <w:rPr>
          <w:i/>
        </w:rPr>
        <w:t>Factortame</w:t>
      </w:r>
      <w:proofErr w:type="spellEnd"/>
      <w:r w:rsidRPr="00ED23C1">
        <w:rPr>
          <w:i/>
        </w:rPr>
        <w:t xml:space="preserve"> Ltd and others v Secretary of State for Transport</w:t>
      </w:r>
      <w:r>
        <w:t xml:space="preserve"> </w:t>
      </w:r>
      <w:r w:rsidRPr="00ED23C1">
        <w:t xml:space="preserve">[1989] 2 All ER 692 at </w:t>
      </w:r>
      <w:r>
        <w:t xml:space="preserve">p. </w:t>
      </w:r>
      <w:r w:rsidRPr="00ED23C1">
        <w:t>701</w:t>
      </w:r>
      <w:r>
        <w:t>.</w:t>
      </w:r>
      <w:bookmarkStart w:id="31" w:name="Thoburn_Factortame_Hartley_Footnote"/>
      <w:bookmarkEnd w:id="31"/>
    </w:p>
  </w:footnote>
  <w:footnote w:id="110">
    <w:p w:rsidR="00C900A3" w:rsidRDefault="00C900A3">
      <w:pPr>
        <w:pStyle w:val="FootnoteText"/>
      </w:pPr>
      <w:r>
        <w:rPr>
          <w:rStyle w:val="FootnoteReference"/>
        </w:rPr>
        <w:footnoteRef/>
      </w:r>
      <w:r>
        <w:t xml:space="preserve"> Or, again, withdrawal from the Treaties under which the right was created.</w:t>
      </w:r>
    </w:p>
  </w:footnote>
  <w:footnote w:id="111">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Assange v Swedish Prosecution Authority</w:t>
      </w:r>
      <w:r w:rsidRPr="00F74546">
        <w:rPr>
          <w:rFonts w:cstheme="minorHAnsi"/>
        </w:rPr>
        <w:t xml:space="preserve"> [2012] UKSC 22, on appeal (via leapfrog) from </w:t>
      </w:r>
      <w:r w:rsidRPr="00F74546">
        <w:rPr>
          <w:rFonts w:cstheme="minorHAnsi"/>
          <w:i/>
        </w:rPr>
        <w:t>Julian Assange v Swedish Prosecution Authority</w:t>
      </w:r>
      <w:r w:rsidRPr="00F74546">
        <w:rPr>
          <w:rFonts w:cstheme="minorHAnsi"/>
        </w:rPr>
        <w:t xml:space="preserve"> [20111 EWHC 2849 (Admin).</w:t>
      </w:r>
    </w:p>
  </w:footnote>
  <w:footnote w:id="112">
    <w:p w:rsidR="00C900A3" w:rsidRPr="00F74546" w:rsidRDefault="00C900A3" w:rsidP="00985067">
      <w:pPr>
        <w:pStyle w:val="FootnoteText"/>
        <w:rPr>
          <w:rFonts w:cstheme="minorHAnsi"/>
        </w:rPr>
      </w:pPr>
      <w:r w:rsidRPr="00F74546">
        <w:rPr>
          <w:rStyle w:val="FootnoteReference"/>
          <w:rFonts w:cstheme="minorHAnsi"/>
        </w:rPr>
        <w:footnoteRef/>
      </w:r>
      <w:r w:rsidRPr="00F74546">
        <w:rPr>
          <w:rFonts w:cstheme="minorHAnsi"/>
        </w:rPr>
        <w:t xml:space="preserve"> To say the least.  </w:t>
      </w:r>
      <w:r w:rsidRPr="00F74546">
        <w:rPr>
          <w:rFonts w:cstheme="minorHAnsi"/>
          <w:lang w:val="en-US"/>
        </w:rPr>
        <w:t>He actually went into hiding in the Ecuadorian embassy in London, and at the time of writing is still there.</w:t>
      </w:r>
    </w:p>
  </w:footnote>
  <w:footnote w:id="113">
    <w:p w:rsidR="00C900A3" w:rsidRPr="00F74546" w:rsidRDefault="00C900A3" w:rsidP="000642A0">
      <w:pPr>
        <w:pStyle w:val="FootnoteText"/>
        <w:rPr>
          <w:rFonts w:cstheme="minorHAnsi"/>
        </w:rPr>
      </w:pPr>
      <w:r w:rsidRPr="00F74546">
        <w:rPr>
          <w:rStyle w:val="FootnoteReference"/>
          <w:rFonts w:cstheme="minorHAnsi"/>
        </w:rPr>
        <w:footnoteRef/>
      </w:r>
      <w:r w:rsidRPr="00F74546">
        <w:rPr>
          <w:rFonts w:cstheme="minorHAnsi"/>
        </w:rPr>
        <w:t xml:space="preserve"> This requirement – to give legal effect to the Framework Decision directly after the end of the implementation period where there may have been a failure in transposition (</w:t>
      </w:r>
      <w:proofErr w:type="spellStart"/>
      <w:r w:rsidRPr="00F74546">
        <w:rPr>
          <w:rFonts w:cstheme="minorHAnsi"/>
        </w:rPr>
        <w:t>ie</w:t>
      </w:r>
      <w:proofErr w:type="spellEnd"/>
      <w:r w:rsidRPr="00F74546">
        <w:rPr>
          <w:rFonts w:cstheme="minorHAnsi"/>
        </w:rPr>
        <w:t xml:space="preserve"> indirect effect) – having originally been contained within Art 2(1) of the European Communities Act 1972, which after Exit Day will no longer have the force of law.</w:t>
      </w:r>
    </w:p>
  </w:footnote>
  <w:footnote w:id="114">
    <w:p w:rsidR="00C900A3" w:rsidRPr="00F74546" w:rsidRDefault="00C900A3">
      <w:pPr>
        <w:pStyle w:val="FootnoteText"/>
        <w:rPr>
          <w:rFonts w:cstheme="minorHAnsi"/>
        </w:rPr>
      </w:pPr>
      <w:r w:rsidRPr="00F74546">
        <w:rPr>
          <w:rStyle w:val="FootnoteReference"/>
          <w:rFonts w:cstheme="minorHAnsi"/>
        </w:rPr>
        <w:footnoteRef/>
      </w:r>
      <w:r>
        <w:rPr>
          <w:rFonts w:cstheme="minorHAnsi"/>
        </w:rPr>
        <w:t xml:space="preserve"> T</w:t>
      </w:r>
      <w:r w:rsidRPr="00F74546">
        <w:rPr>
          <w:rFonts w:cstheme="minorHAnsi"/>
        </w:rPr>
        <w:t xml:space="preserve">he dissenters, </w:t>
      </w:r>
      <w:r>
        <w:rPr>
          <w:rFonts w:cstheme="minorHAnsi"/>
        </w:rPr>
        <w:t xml:space="preserve">Lady </w:t>
      </w:r>
      <w:r w:rsidRPr="00F74546">
        <w:rPr>
          <w:rFonts w:cstheme="minorHAnsi"/>
        </w:rPr>
        <w:t xml:space="preserve">Hale and </w:t>
      </w:r>
      <w:r>
        <w:rPr>
          <w:rFonts w:cstheme="minorHAnsi"/>
        </w:rPr>
        <w:t xml:space="preserve">Lord </w:t>
      </w:r>
      <w:proofErr w:type="spellStart"/>
      <w:r w:rsidRPr="00F74546">
        <w:rPr>
          <w:rFonts w:cstheme="minorHAnsi"/>
        </w:rPr>
        <w:t>Mance</w:t>
      </w:r>
      <w:proofErr w:type="spellEnd"/>
      <w:r w:rsidRPr="00F74546">
        <w:rPr>
          <w:rFonts w:cstheme="minorHAnsi"/>
        </w:rPr>
        <w:t>, reasoned that the Framework Decision</w:t>
      </w:r>
      <w:r>
        <w:rPr>
          <w:rFonts w:cstheme="minorHAnsi"/>
        </w:rPr>
        <w:t>, an EU rather than an EC measure,</w:t>
      </w:r>
      <w:r w:rsidRPr="00F74546">
        <w:rPr>
          <w:rFonts w:cstheme="minorHAnsi"/>
        </w:rPr>
        <w:t xml:space="preserve"> was not part of UK law to begin with, and that is how they were able to reach the opposite view from </w:t>
      </w:r>
      <w:r>
        <w:rPr>
          <w:rFonts w:cstheme="minorHAnsi"/>
        </w:rPr>
        <w:t xml:space="preserve">Lord </w:t>
      </w:r>
      <w:r w:rsidRPr="00F74546">
        <w:rPr>
          <w:rFonts w:cstheme="minorHAnsi"/>
        </w:rPr>
        <w:t xml:space="preserve">Phillips, </w:t>
      </w:r>
      <w:r>
        <w:rPr>
          <w:rFonts w:cstheme="minorHAnsi"/>
        </w:rPr>
        <w:t xml:space="preserve">Lord </w:t>
      </w:r>
      <w:r w:rsidRPr="00F74546">
        <w:rPr>
          <w:rFonts w:cstheme="minorHAnsi"/>
        </w:rPr>
        <w:t xml:space="preserve">Dyson and </w:t>
      </w:r>
      <w:r>
        <w:rPr>
          <w:rFonts w:cstheme="minorHAnsi"/>
        </w:rPr>
        <w:t xml:space="preserve">Lord </w:t>
      </w:r>
      <w:r w:rsidRPr="00F74546">
        <w:rPr>
          <w:rFonts w:cstheme="minorHAnsi"/>
        </w:rPr>
        <w:t xml:space="preserve">Brown with regard to whether ‘judicial authority’ should be interpreted the UK way or the EU way: </w:t>
      </w:r>
      <w:r w:rsidRPr="00F74546">
        <w:rPr>
          <w:rFonts w:cstheme="minorHAnsi"/>
          <w:i/>
        </w:rPr>
        <w:t>Assange</w:t>
      </w:r>
      <w:r w:rsidRPr="00F74546">
        <w:rPr>
          <w:rFonts w:cstheme="minorHAnsi"/>
        </w:rPr>
        <w:t xml:space="preserve"> (n </w:t>
      </w:r>
      <w:r w:rsidR="0070463C">
        <w:rPr>
          <w:rFonts w:cstheme="minorHAnsi"/>
        </w:rPr>
        <w:fldChar w:fldCharType="begin"/>
      </w:r>
      <w:r w:rsidR="0070463C">
        <w:rPr>
          <w:rFonts w:cstheme="minorHAnsi"/>
        </w:rPr>
        <w:instrText xml:space="preserve"> NOTEREF  Assange \p  \* MERGEFORMAT </w:instrText>
      </w:r>
      <w:r w:rsidR="0070463C">
        <w:rPr>
          <w:rFonts w:cstheme="minorHAnsi"/>
        </w:rPr>
        <w:fldChar w:fldCharType="separate"/>
      </w:r>
      <w:r w:rsidRPr="0018322A">
        <w:rPr>
          <w:rFonts w:cstheme="minorHAnsi"/>
        </w:rPr>
        <w:t>116</w:t>
      </w:r>
      <w:r w:rsidR="0070463C">
        <w:rPr>
          <w:rFonts w:cstheme="minorHAnsi"/>
        </w:rPr>
        <w:fldChar w:fldCharType="end"/>
      </w:r>
      <w:r w:rsidRPr="00F74546">
        <w:rPr>
          <w:rFonts w:cstheme="minorHAnsi"/>
        </w:rPr>
        <w:t>) [173] – [176] (Lady Hale).</w:t>
      </w:r>
    </w:p>
  </w:footnote>
  <w:footnote w:id="115">
    <w:p w:rsidR="00C900A3" w:rsidRPr="00F74546" w:rsidRDefault="00C900A3" w:rsidP="000642A0">
      <w:pPr>
        <w:pStyle w:val="FootnoteText"/>
        <w:rPr>
          <w:rFonts w:cstheme="minorHAnsi"/>
        </w:rPr>
      </w:pPr>
      <w:r w:rsidRPr="00F74546">
        <w:rPr>
          <w:rStyle w:val="FootnoteReference"/>
          <w:rFonts w:cstheme="minorHAnsi"/>
        </w:rPr>
        <w:footnoteRef/>
      </w:r>
      <w:r w:rsidRPr="00F74546">
        <w:rPr>
          <w:rFonts w:cstheme="minorHAnsi"/>
        </w:rPr>
        <w:t xml:space="preserve"> </w:t>
      </w:r>
      <w:proofErr w:type="spellStart"/>
      <w:r w:rsidRPr="00F74546">
        <w:rPr>
          <w:rFonts w:cstheme="minorHAnsi"/>
          <w:i/>
        </w:rPr>
        <w:t>Duport</w:t>
      </w:r>
      <w:proofErr w:type="spellEnd"/>
      <w:r w:rsidRPr="00F74546">
        <w:rPr>
          <w:rFonts w:cstheme="minorHAnsi"/>
          <w:i/>
        </w:rPr>
        <w:t xml:space="preserve"> Steels Ltd v Sirs</w:t>
      </w:r>
      <w:r w:rsidRPr="00F74546">
        <w:rPr>
          <w:rFonts w:cstheme="minorHAnsi"/>
        </w:rPr>
        <w:t xml:space="preserve"> [1980] 1 W.L.R. 142 at p. 157 (Lord </w:t>
      </w:r>
      <w:proofErr w:type="spellStart"/>
      <w:r w:rsidRPr="00F74546">
        <w:rPr>
          <w:rFonts w:cstheme="minorHAnsi"/>
        </w:rPr>
        <w:t>Diplock</w:t>
      </w:r>
      <w:proofErr w:type="spellEnd"/>
      <w:r w:rsidRPr="00F74546">
        <w:rPr>
          <w:rFonts w:cstheme="minorHAnsi"/>
        </w:rPr>
        <w:t>).</w:t>
      </w:r>
    </w:p>
  </w:footnote>
  <w:footnote w:id="116">
    <w:p w:rsidR="00C900A3" w:rsidRPr="00F74546" w:rsidRDefault="00C900A3" w:rsidP="000642A0">
      <w:pPr>
        <w:pStyle w:val="FootnoteText"/>
        <w:rPr>
          <w:rFonts w:cstheme="minorHAnsi"/>
        </w:rPr>
      </w:pPr>
      <w:r w:rsidRPr="00F74546">
        <w:rPr>
          <w:rStyle w:val="FootnoteReference"/>
          <w:rFonts w:cstheme="minorHAnsi"/>
        </w:rPr>
        <w:footnoteRef/>
      </w:r>
      <w:r w:rsidRPr="00F74546">
        <w:rPr>
          <w:rFonts w:cstheme="minorHAnsi"/>
        </w:rPr>
        <w:t xml:space="preserve"> </w:t>
      </w:r>
      <w:r>
        <w:rPr>
          <w:rFonts w:cstheme="minorHAnsi"/>
        </w:rPr>
        <w:t xml:space="preserve"> </w:t>
      </w:r>
      <w:r w:rsidRPr="00F74546">
        <w:rPr>
          <w:rFonts w:cstheme="minorHAnsi"/>
          <w:bCs/>
          <w:i/>
        </w:rPr>
        <w:t>Sussex Peerage Case</w:t>
      </w:r>
      <w:r w:rsidRPr="00F74546">
        <w:rPr>
          <w:rFonts w:cstheme="minorHAnsi"/>
          <w:bCs/>
        </w:rPr>
        <w:t xml:space="preserve"> [1843-60] All ER Rep 55 at p. 63 (Tindal CJ).</w:t>
      </w:r>
    </w:p>
  </w:footnote>
  <w:footnote w:id="117">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This was because it came, not from a Directive, but from a Framework Decision.   In the pre-Lisbon ‘three pillar’ system, a Framework Decision, though the same as a Directive in other respects, was a creature of the third, intergovernmental pillar (Police and Judicial Cooperation in Criminal Matters) rather than the first, supranational pillar (the European Union, as it then was).  Its transposition into UK Law was thus governed by old Art 34(2</w:t>
      </w:r>
      <w:proofErr w:type="gramStart"/>
      <w:r w:rsidRPr="00F74546">
        <w:rPr>
          <w:rFonts w:cstheme="minorHAnsi"/>
        </w:rPr>
        <w:t>)(</w:t>
      </w:r>
      <w:proofErr w:type="gramEnd"/>
      <w:r w:rsidRPr="00F74546">
        <w:rPr>
          <w:rFonts w:cstheme="minorHAnsi"/>
        </w:rPr>
        <w:t xml:space="preserve">b) TEU, which expressly excluded the possibility of Direct Effect: </w:t>
      </w:r>
      <w:r w:rsidRPr="00F74546">
        <w:rPr>
          <w:rFonts w:cstheme="minorHAnsi"/>
          <w:i/>
        </w:rPr>
        <w:t>Assange</w:t>
      </w:r>
      <w:r w:rsidRPr="00F74546">
        <w:rPr>
          <w:rFonts w:cstheme="minorHAnsi"/>
        </w:rPr>
        <w:t xml:space="preserve"> (n </w:t>
      </w:r>
      <w:r w:rsidR="0070463C">
        <w:rPr>
          <w:rFonts w:cstheme="minorHAnsi"/>
        </w:rPr>
        <w:fldChar w:fldCharType="begin"/>
      </w:r>
      <w:r w:rsidR="0070463C">
        <w:rPr>
          <w:rFonts w:cstheme="minorHAnsi"/>
        </w:rPr>
        <w:instrText xml:space="preserve"> NOTEREF  Assange \p  \* MERGEFORMAT </w:instrText>
      </w:r>
      <w:r w:rsidR="0070463C">
        <w:rPr>
          <w:rFonts w:cstheme="minorHAnsi"/>
        </w:rPr>
        <w:fldChar w:fldCharType="separate"/>
      </w:r>
      <w:r w:rsidRPr="0018322A">
        <w:rPr>
          <w:rFonts w:cstheme="minorHAnsi"/>
        </w:rPr>
        <w:t>116</w:t>
      </w:r>
      <w:r w:rsidR="0070463C">
        <w:rPr>
          <w:rFonts w:cstheme="minorHAnsi"/>
        </w:rPr>
        <w:fldChar w:fldCharType="end"/>
      </w:r>
      <w:r w:rsidRPr="00F74546">
        <w:rPr>
          <w:rFonts w:cstheme="minorHAnsi"/>
        </w:rPr>
        <w:t xml:space="preserve">) [173] (Lady Hale) and [198] (Lord </w:t>
      </w:r>
      <w:proofErr w:type="spellStart"/>
      <w:r w:rsidRPr="00F74546">
        <w:rPr>
          <w:rFonts w:cstheme="minorHAnsi"/>
        </w:rPr>
        <w:t>Mance</w:t>
      </w:r>
      <w:proofErr w:type="spellEnd"/>
      <w:r w:rsidRPr="00F74546">
        <w:rPr>
          <w:rFonts w:cstheme="minorHAnsi"/>
        </w:rPr>
        <w:t>).</w:t>
      </w:r>
    </w:p>
  </w:footnote>
  <w:footnote w:id="118">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His five reasons for doing so included that any restriction of the meaning to just ‘judge’ would have been made explicit (</w:t>
      </w:r>
      <w:r w:rsidRPr="00F74546">
        <w:rPr>
          <w:rFonts w:cstheme="minorHAnsi"/>
          <w:i/>
        </w:rPr>
        <w:t>Assange</w:t>
      </w:r>
      <w:r w:rsidRPr="00F74546">
        <w:rPr>
          <w:rFonts w:cstheme="minorHAnsi"/>
        </w:rPr>
        <w:t xml:space="preserve"> (n </w:t>
      </w:r>
      <w:r w:rsidR="0070463C">
        <w:rPr>
          <w:rFonts w:cstheme="minorHAnsi"/>
        </w:rPr>
        <w:fldChar w:fldCharType="begin"/>
      </w:r>
      <w:r w:rsidR="0070463C">
        <w:rPr>
          <w:rFonts w:cstheme="minorHAnsi"/>
        </w:rPr>
        <w:instrText xml:space="preserve"> NOTEREF  Assange \p  \* MERGEFORMAT </w:instrText>
      </w:r>
      <w:r w:rsidR="0070463C">
        <w:rPr>
          <w:rFonts w:cstheme="minorHAnsi"/>
        </w:rPr>
        <w:fldChar w:fldCharType="separate"/>
      </w:r>
      <w:r w:rsidRPr="0018322A">
        <w:rPr>
          <w:rFonts w:cstheme="minorHAnsi"/>
        </w:rPr>
        <w:t>116</w:t>
      </w:r>
      <w:r w:rsidR="0070463C">
        <w:rPr>
          <w:rFonts w:cstheme="minorHAnsi"/>
        </w:rPr>
        <w:fldChar w:fldCharType="end"/>
      </w:r>
      <w:r w:rsidRPr="00F74546">
        <w:rPr>
          <w:rFonts w:cstheme="minorHAnsi"/>
        </w:rPr>
        <w:t>) [61] (Lord Phillips)) , and that the requirement to notify the Council of the identity of the competent judicial authorities under the law of the member state (Art 6 of the Framework Decision)  makes no sense unless the phrase bore the wider, rather than the narrower, meaning (</w:t>
      </w:r>
      <w:r w:rsidRPr="00F74546">
        <w:rPr>
          <w:rFonts w:cstheme="minorHAnsi"/>
          <w:i/>
        </w:rPr>
        <w:t>Assange</w:t>
      </w:r>
      <w:r w:rsidRPr="00F74546">
        <w:rPr>
          <w:rFonts w:cstheme="minorHAnsi"/>
        </w:rPr>
        <w:t xml:space="preserve"> (n </w:t>
      </w:r>
      <w:r w:rsidR="0070463C">
        <w:rPr>
          <w:rFonts w:cstheme="minorHAnsi"/>
        </w:rPr>
        <w:fldChar w:fldCharType="begin"/>
      </w:r>
      <w:r w:rsidR="0070463C">
        <w:rPr>
          <w:rFonts w:cstheme="minorHAnsi"/>
        </w:rPr>
        <w:instrText xml:space="preserve"> NOTEREF  Assange \p  \* MERGEFORMAT </w:instrText>
      </w:r>
      <w:r w:rsidR="0070463C">
        <w:rPr>
          <w:rFonts w:cstheme="minorHAnsi"/>
        </w:rPr>
        <w:fldChar w:fldCharType="separate"/>
      </w:r>
      <w:r w:rsidRPr="0018322A">
        <w:rPr>
          <w:rFonts w:cstheme="minorHAnsi"/>
        </w:rPr>
        <w:t>116</w:t>
      </w:r>
      <w:r w:rsidR="0070463C">
        <w:rPr>
          <w:rFonts w:cstheme="minorHAnsi"/>
        </w:rPr>
        <w:fldChar w:fldCharType="end"/>
      </w:r>
      <w:r w:rsidRPr="00F74546">
        <w:rPr>
          <w:rFonts w:cstheme="minorHAnsi"/>
        </w:rPr>
        <w:t xml:space="preserve">) [66] (Lord Phillips)).  Gage LJ had been equally as enthusiastic about giving the phrase its ‘European’ meaning – barely considering the alternative meanings at all – in </w:t>
      </w:r>
      <w:proofErr w:type="spellStart"/>
      <w:r w:rsidRPr="00F74546">
        <w:rPr>
          <w:rFonts w:cstheme="minorHAnsi"/>
          <w:i/>
        </w:rPr>
        <w:t>Enander</w:t>
      </w:r>
      <w:proofErr w:type="spellEnd"/>
      <w:r w:rsidRPr="00F74546">
        <w:rPr>
          <w:rFonts w:cstheme="minorHAnsi"/>
          <w:i/>
        </w:rPr>
        <w:t xml:space="preserve"> v Governor of Her Majesty's Prison Brixton and another </w:t>
      </w:r>
      <w:r w:rsidRPr="00F74546">
        <w:rPr>
          <w:rFonts w:cstheme="minorHAnsi"/>
        </w:rPr>
        <w:t>[2005] EWHC 3036 (Admin).</w:t>
      </w:r>
    </w:p>
  </w:footnote>
  <w:footnote w:id="119">
    <w:p w:rsidR="00C900A3" w:rsidRPr="00F74546" w:rsidRDefault="00C900A3" w:rsidP="00985067">
      <w:pPr>
        <w:pStyle w:val="FootnoteText"/>
        <w:rPr>
          <w:rFonts w:cstheme="minorHAnsi"/>
          <w:u w:val="single"/>
        </w:rPr>
      </w:pPr>
      <w:r w:rsidRPr="00F74546">
        <w:rPr>
          <w:rStyle w:val="FootnoteReference"/>
          <w:rFonts w:cstheme="minorHAnsi"/>
        </w:rPr>
        <w:footnoteRef/>
      </w:r>
      <w:r w:rsidRPr="00F74546">
        <w:rPr>
          <w:rFonts w:cstheme="minorHAnsi"/>
        </w:rPr>
        <w:t xml:space="preserve"> </w:t>
      </w:r>
      <w:r w:rsidRPr="00F74546">
        <w:rPr>
          <w:rFonts w:cstheme="minorHAnsi"/>
          <w:i/>
        </w:rPr>
        <w:t>Assange v Swedish Prosecution Authority</w:t>
      </w:r>
      <w:r w:rsidRPr="00F74546">
        <w:rPr>
          <w:rFonts w:cstheme="minorHAnsi"/>
        </w:rPr>
        <w:t xml:space="preserve"> [2012] UKSC 22 [98] (Lord Brown).</w:t>
      </w:r>
    </w:p>
  </w:footnote>
  <w:footnote w:id="120">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Referring to </w:t>
      </w:r>
      <w:proofErr w:type="spellStart"/>
      <w:r w:rsidRPr="00F74546">
        <w:rPr>
          <w:rFonts w:cstheme="minorHAnsi"/>
          <w:i/>
        </w:rPr>
        <w:t>Macarthy’s</w:t>
      </w:r>
      <w:proofErr w:type="spellEnd"/>
      <w:r w:rsidRPr="00F74546">
        <w:rPr>
          <w:rFonts w:cstheme="minorHAnsi"/>
          <w:i/>
        </w:rPr>
        <w:t xml:space="preserve"> v Smith</w:t>
      </w:r>
      <w:r w:rsidRPr="00F74546">
        <w:rPr>
          <w:rFonts w:cstheme="minorHAnsi"/>
        </w:rPr>
        <w:t xml:space="preserve">, supra n </w:t>
      </w:r>
      <w:r w:rsidR="0070463C">
        <w:rPr>
          <w:rFonts w:cstheme="minorHAnsi"/>
        </w:rPr>
        <w:fldChar w:fldCharType="begin"/>
      </w:r>
      <w:r w:rsidR="0070463C">
        <w:rPr>
          <w:rFonts w:cstheme="minorHAnsi"/>
        </w:rPr>
        <w:instrText xml:space="preserve"> NOTEREF  Macarthys_v_Smith \p  \* MERGEFORMAT </w:instrText>
      </w:r>
      <w:r w:rsidR="0070463C">
        <w:rPr>
          <w:rFonts w:cstheme="minorHAnsi"/>
        </w:rPr>
        <w:fldChar w:fldCharType="separate"/>
      </w:r>
      <w:r w:rsidRPr="0018322A">
        <w:rPr>
          <w:rFonts w:cstheme="minorHAnsi"/>
        </w:rPr>
        <w:t>3</w:t>
      </w:r>
      <w:r w:rsidR="0070463C">
        <w:rPr>
          <w:rFonts w:cstheme="minorHAnsi"/>
        </w:rPr>
        <w:fldChar w:fldCharType="end"/>
      </w:r>
      <w:r w:rsidRPr="00F74546">
        <w:rPr>
          <w:rFonts w:cstheme="minorHAnsi"/>
        </w:rPr>
        <w:t>, at p. 329 (Lord Denning).</w:t>
      </w:r>
    </w:p>
  </w:footnote>
  <w:footnote w:id="121">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 xml:space="preserve">Office of the King's Prosecutor, Brussels v Cando </w:t>
      </w:r>
      <w:proofErr w:type="spellStart"/>
      <w:r w:rsidRPr="00F74546">
        <w:rPr>
          <w:rFonts w:cstheme="minorHAnsi"/>
          <w:i/>
        </w:rPr>
        <w:t>Armas</w:t>
      </w:r>
      <w:proofErr w:type="spellEnd"/>
      <w:r w:rsidRPr="00F74546">
        <w:rPr>
          <w:rFonts w:cstheme="minorHAnsi"/>
        </w:rPr>
        <w:t xml:space="preserve"> [2005] UKHL 67, [2006] 2 AC 1 [24] (Lord Hope).  This quotation is also referred to by Lord Kerr at </w:t>
      </w:r>
      <w:r w:rsidRPr="00F74546">
        <w:rPr>
          <w:rFonts w:cstheme="minorHAnsi"/>
          <w:i/>
        </w:rPr>
        <w:t>Assange</w:t>
      </w:r>
      <w:r w:rsidRPr="00F74546">
        <w:rPr>
          <w:rFonts w:cstheme="minorHAnsi"/>
        </w:rPr>
        <w:t xml:space="preserve"> (n </w:t>
      </w:r>
      <w:r w:rsidR="0070463C">
        <w:rPr>
          <w:rFonts w:cstheme="minorHAnsi"/>
        </w:rPr>
        <w:fldChar w:fldCharType="begin"/>
      </w:r>
      <w:r w:rsidR="0070463C">
        <w:rPr>
          <w:rFonts w:cstheme="minorHAnsi"/>
        </w:rPr>
        <w:instrText xml:space="preserve"> NOTEREF  Assange \p  \* MERGEFORMAT </w:instrText>
      </w:r>
      <w:r w:rsidR="0070463C">
        <w:rPr>
          <w:rFonts w:cstheme="minorHAnsi"/>
        </w:rPr>
        <w:fldChar w:fldCharType="separate"/>
      </w:r>
      <w:r w:rsidRPr="0018322A">
        <w:rPr>
          <w:rFonts w:cstheme="minorHAnsi"/>
        </w:rPr>
        <w:t>116</w:t>
      </w:r>
      <w:r w:rsidR="0070463C">
        <w:rPr>
          <w:rFonts w:cstheme="minorHAnsi"/>
        </w:rPr>
        <w:fldChar w:fldCharType="end"/>
      </w:r>
      <w:r w:rsidRPr="00F74546">
        <w:rPr>
          <w:rFonts w:cstheme="minorHAnsi"/>
        </w:rPr>
        <w:t>) [111] (Lord Kerr) and by Lady Hale at ibid [176] (Lady Hale).</w:t>
      </w:r>
    </w:p>
  </w:footnote>
  <w:footnote w:id="122">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w:t>
      </w:r>
      <w:r w:rsidRPr="00F74546">
        <w:rPr>
          <w:rFonts w:cstheme="minorHAnsi"/>
          <w:i/>
        </w:rPr>
        <w:t>Assange</w:t>
      </w:r>
      <w:r w:rsidRPr="00F74546">
        <w:rPr>
          <w:rFonts w:cstheme="minorHAnsi"/>
        </w:rPr>
        <w:t xml:space="preserve"> (n </w:t>
      </w:r>
      <w:r w:rsidR="0070463C">
        <w:rPr>
          <w:rFonts w:cstheme="minorHAnsi"/>
        </w:rPr>
        <w:fldChar w:fldCharType="begin"/>
      </w:r>
      <w:r w:rsidR="0070463C">
        <w:rPr>
          <w:rFonts w:cstheme="minorHAnsi"/>
        </w:rPr>
        <w:instrText xml:space="preserve"> NOTEREF  Assange \p  \* MERGEFORMAT </w:instrText>
      </w:r>
      <w:r w:rsidR="0070463C">
        <w:rPr>
          <w:rFonts w:cstheme="minorHAnsi"/>
        </w:rPr>
        <w:fldChar w:fldCharType="separate"/>
      </w:r>
      <w:r w:rsidRPr="0018322A">
        <w:rPr>
          <w:rFonts w:cstheme="minorHAnsi"/>
        </w:rPr>
        <w:t>116</w:t>
      </w:r>
      <w:r w:rsidR="0070463C">
        <w:rPr>
          <w:rFonts w:cstheme="minorHAnsi"/>
        </w:rPr>
        <w:fldChar w:fldCharType="end"/>
      </w:r>
      <w:r w:rsidRPr="00F74546">
        <w:rPr>
          <w:rFonts w:cstheme="minorHAnsi"/>
        </w:rPr>
        <w:t xml:space="preserve">) [244] (Lord </w:t>
      </w:r>
      <w:proofErr w:type="spellStart"/>
      <w:r w:rsidRPr="00F74546">
        <w:rPr>
          <w:rFonts w:cstheme="minorHAnsi"/>
        </w:rPr>
        <w:t>Mance</w:t>
      </w:r>
      <w:proofErr w:type="spellEnd"/>
      <w:r w:rsidRPr="00F74546">
        <w:rPr>
          <w:rFonts w:cstheme="minorHAnsi"/>
        </w:rPr>
        <w:t>).</w:t>
      </w:r>
    </w:p>
  </w:footnote>
  <w:footnote w:id="123">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ibid [246] (Lord </w:t>
      </w:r>
      <w:proofErr w:type="spellStart"/>
      <w:r w:rsidRPr="00F74546">
        <w:rPr>
          <w:rFonts w:cstheme="minorHAnsi"/>
        </w:rPr>
        <w:t>Mance</w:t>
      </w:r>
      <w:proofErr w:type="spellEnd"/>
      <w:r w:rsidRPr="00F74546">
        <w:rPr>
          <w:rFonts w:cstheme="minorHAnsi"/>
        </w:rPr>
        <w:t xml:space="preserve">).  The natural English meaning, unsurprisingly, was that favoured by counsel for Mr Assange, namely, that a ‘judicial authority’ could only refer to a judge, not a prosecutor: ibid [245] (Lord </w:t>
      </w:r>
      <w:proofErr w:type="spellStart"/>
      <w:r w:rsidRPr="00F74546">
        <w:rPr>
          <w:rFonts w:cstheme="minorHAnsi"/>
        </w:rPr>
        <w:t>Mance</w:t>
      </w:r>
      <w:proofErr w:type="spellEnd"/>
      <w:r w:rsidRPr="00F74546">
        <w:rPr>
          <w:rFonts w:cstheme="minorHAnsi"/>
        </w:rPr>
        <w:t>).</w:t>
      </w:r>
    </w:p>
  </w:footnote>
  <w:footnote w:id="124">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ibid [260] (Lord </w:t>
      </w:r>
      <w:proofErr w:type="spellStart"/>
      <w:r w:rsidRPr="00F74546">
        <w:rPr>
          <w:rFonts w:cstheme="minorHAnsi"/>
        </w:rPr>
        <w:t>Mance</w:t>
      </w:r>
      <w:proofErr w:type="spellEnd"/>
      <w:r w:rsidRPr="00F74546">
        <w:rPr>
          <w:rFonts w:cstheme="minorHAnsi"/>
        </w:rPr>
        <w:t>).</w:t>
      </w:r>
    </w:p>
  </w:footnote>
  <w:footnote w:id="125">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ibid [262] (Lord </w:t>
      </w:r>
      <w:proofErr w:type="spellStart"/>
      <w:r w:rsidRPr="00F74546">
        <w:rPr>
          <w:rFonts w:cstheme="minorHAnsi"/>
        </w:rPr>
        <w:t>Mance</w:t>
      </w:r>
      <w:proofErr w:type="spellEnd"/>
      <w:r w:rsidRPr="00F74546">
        <w:rPr>
          <w:rFonts w:cstheme="minorHAnsi"/>
        </w:rPr>
        <w:t>).</w:t>
      </w:r>
    </w:p>
  </w:footnote>
  <w:footnote w:id="126">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ibid [264] (Lord </w:t>
      </w:r>
      <w:proofErr w:type="spellStart"/>
      <w:r w:rsidRPr="00F74546">
        <w:rPr>
          <w:rFonts w:cstheme="minorHAnsi"/>
        </w:rPr>
        <w:t>Mance</w:t>
      </w:r>
      <w:proofErr w:type="spellEnd"/>
      <w:r w:rsidRPr="00F74546">
        <w:rPr>
          <w:rFonts w:cstheme="minorHAnsi"/>
        </w:rPr>
        <w:t>).</w:t>
      </w:r>
    </w:p>
  </w:footnote>
  <w:footnote w:id="127">
    <w:p w:rsidR="00C900A3" w:rsidRPr="00F74546" w:rsidRDefault="00C900A3">
      <w:pPr>
        <w:pStyle w:val="FootnoteText"/>
        <w:rPr>
          <w:rFonts w:cstheme="minorHAnsi"/>
        </w:rPr>
      </w:pPr>
      <w:r w:rsidRPr="00F74546">
        <w:rPr>
          <w:rStyle w:val="FootnoteReference"/>
          <w:rFonts w:cstheme="minorHAnsi"/>
        </w:rPr>
        <w:footnoteRef/>
      </w:r>
      <w:r w:rsidRPr="00F74546">
        <w:rPr>
          <w:rFonts w:cstheme="minorHAnsi"/>
        </w:rPr>
        <w:t xml:space="preserve"> As Goldsworthy opines in relation to </w:t>
      </w:r>
      <w:proofErr w:type="spellStart"/>
      <w:r w:rsidRPr="00F74546">
        <w:rPr>
          <w:rFonts w:cstheme="minorHAnsi"/>
          <w:i/>
        </w:rPr>
        <w:t>Factortame</w:t>
      </w:r>
      <w:proofErr w:type="spellEnd"/>
      <w:r w:rsidRPr="00F74546">
        <w:rPr>
          <w:rFonts w:cstheme="minorHAnsi"/>
        </w:rPr>
        <w:t xml:space="preserve"> and the passage of the Merchant Shipping Act 1988, Parliament in these circumstances manifests two contradictory intentions – the intention to pass the Act, and the intention not to legislate in violation of EU Law – but allowing the courts to correct the mistake by </w:t>
      </w:r>
      <w:proofErr w:type="spellStart"/>
      <w:r w:rsidRPr="00F74546">
        <w:rPr>
          <w:rFonts w:cstheme="minorHAnsi"/>
        </w:rPr>
        <w:t>disapplying</w:t>
      </w:r>
      <w:proofErr w:type="spellEnd"/>
      <w:r w:rsidRPr="00F74546">
        <w:rPr>
          <w:rFonts w:cstheme="minorHAnsi"/>
        </w:rPr>
        <w:t xml:space="preserve"> the </w:t>
      </w:r>
      <w:proofErr w:type="spellStart"/>
      <w:r w:rsidRPr="00F74546">
        <w:rPr>
          <w:rFonts w:cstheme="minorHAnsi"/>
        </w:rPr>
        <w:t>violative</w:t>
      </w:r>
      <w:proofErr w:type="spellEnd"/>
      <w:r w:rsidRPr="00F74546">
        <w:rPr>
          <w:rFonts w:cstheme="minorHAnsi"/>
        </w:rPr>
        <w:t xml:space="preserve"> Act is hard to reconcile ‘with the orthodox legal understanding of parliamentary sovereignty:’ Goldsworthy, </w:t>
      </w:r>
      <w:r w:rsidRPr="00F74546">
        <w:rPr>
          <w:rFonts w:cstheme="minorHAnsi"/>
          <w:i/>
        </w:rPr>
        <w:t>supra</w:t>
      </w:r>
      <w:r w:rsidRPr="00F74546">
        <w:rPr>
          <w:rFonts w:cstheme="minorHAnsi"/>
        </w:rPr>
        <w:t xml:space="preserve"> n.</w:t>
      </w:r>
      <w:r w:rsidR="0070463C">
        <w:rPr>
          <w:rFonts w:cstheme="minorHAnsi"/>
        </w:rPr>
        <w:fldChar w:fldCharType="begin"/>
      </w:r>
      <w:r w:rsidR="0070463C">
        <w:rPr>
          <w:rFonts w:cstheme="minorHAnsi"/>
        </w:rPr>
        <w:instrText xml:space="preserve"> N</w:instrText>
      </w:r>
      <w:r w:rsidR="0070463C">
        <w:rPr>
          <w:rFonts w:cstheme="minorHAnsi"/>
        </w:rPr>
        <w:instrText xml:space="preserve">OTEREF  Goldsworthy_II \p  \* MERGEFORMAT </w:instrText>
      </w:r>
      <w:r w:rsidR="0070463C">
        <w:rPr>
          <w:rFonts w:cstheme="minorHAnsi"/>
        </w:rPr>
        <w:fldChar w:fldCharType="separate"/>
      </w:r>
      <w:r>
        <w:rPr>
          <w:rFonts w:cstheme="minorHAnsi"/>
        </w:rPr>
        <w:t>52</w:t>
      </w:r>
      <w:r w:rsidR="0070463C">
        <w:rPr>
          <w:rFonts w:cstheme="minorHAnsi"/>
        </w:rPr>
        <w:fldChar w:fldCharType="end"/>
      </w:r>
      <w:r w:rsidRPr="00F74546">
        <w:rPr>
          <w:rFonts w:cstheme="minorHAnsi"/>
        </w:rPr>
        <w:t xml:space="preserve">, p. 288. </w:t>
      </w:r>
    </w:p>
  </w:footnote>
  <w:footnote w:id="128">
    <w:p w:rsidR="00C900A3" w:rsidRDefault="00C900A3">
      <w:pPr>
        <w:pStyle w:val="FootnoteText"/>
      </w:pPr>
      <w:r>
        <w:rPr>
          <w:rStyle w:val="FootnoteReference"/>
        </w:rPr>
        <w:footnoteRef/>
      </w:r>
      <w:r>
        <w:t xml:space="preserve"> As explained above, it is more the withdrawal of the UK from the EU Treaties which will bring about this removal than the repealing of the 1972 Act.  See text between n. </w:t>
      </w:r>
      <w:r w:rsidR="0070463C">
        <w:fldChar w:fldCharType="begin"/>
      </w:r>
      <w:r w:rsidR="0070463C">
        <w:instrText xml:space="preserve"> NOTEREF  Miller_SC \p  \*</w:instrText>
      </w:r>
      <w:r w:rsidR="0070463C">
        <w:instrText xml:space="preserve"> MERGEFORMAT </w:instrText>
      </w:r>
      <w:r w:rsidR="0070463C">
        <w:fldChar w:fldCharType="separate"/>
      </w:r>
      <w:r>
        <w:t>13</w:t>
      </w:r>
      <w:r w:rsidR="0070463C">
        <w:fldChar w:fldCharType="end"/>
      </w:r>
      <w:r>
        <w:t xml:space="preserve"> and n. </w:t>
      </w:r>
      <w:r w:rsidR="0070463C">
        <w:fldChar w:fldCharType="begin"/>
      </w:r>
      <w:r w:rsidR="0070463C">
        <w:instrText xml:space="preserve"> NOTEREF  Clifford_Chance_GRP \p  \* MERGEFORMAT </w:instrText>
      </w:r>
      <w:r w:rsidR="0070463C">
        <w:fldChar w:fldCharType="separate"/>
      </w:r>
      <w:r>
        <w:t>17</w:t>
      </w:r>
      <w:r w:rsidR="0070463C">
        <w:fldChar w:fldCharType="end"/>
      </w:r>
      <w:r>
        <w:t xml:space="preserve"> </w:t>
      </w:r>
      <w:r w:rsidR="007C3457" w:rsidRPr="007C3457">
        <w:rPr>
          <w:i/>
        </w:rPr>
        <w:t>supra</w:t>
      </w:r>
      <w:r>
        <w:t>.</w:t>
      </w:r>
    </w:p>
  </w:footnote>
  <w:footnote w:id="129">
    <w:p w:rsidR="00C900A3" w:rsidRPr="00F74546" w:rsidRDefault="00C900A3" w:rsidP="00985067">
      <w:pPr>
        <w:pStyle w:val="FootnoteText"/>
        <w:rPr>
          <w:rFonts w:cstheme="minorHAnsi"/>
          <w:bCs/>
          <w:i/>
        </w:rPr>
      </w:pPr>
      <w:r w:rsidRPr="00F74546">
        <w:rPr>
          <w:rStyle w:val="FootnoteReference"/>
          <w:rFonts w:cstheme="minorHAnsi"/>
        </w:rPr>
        <w:footnoteRef/>
      </w:r>
      <w:r w:rsidRPr="00F74546">
        <w:rPr>
          <w:rFonts w:cstheme="minorHAnsi"/>
        </w:rPr>
        <w:t xml:space="preserve"> R </w:t>
      </w:r>
      <w:r w:rsidRPr="00F74546">
        <w:rPr>
          <w:rFonts w:cstheme="minorHAnsi"/>
          <w:bCs/>
          <w:lang w:val="en-US"/>
        </w:rPr>
        <w:t xml:space="preserve">Lang, ‘Must Mutual Recognition Transform into Mutually Assured Obstruction? Three Creative Suggestions for the UK's Brexit Negotiators’ (Twenty fourth International Conference of Europeanists, Glasgow, </w:t>
      </w:r>
      <w:proofErr w:type="gramStart"/>
      <w:r w:rsidRPr="00F74546">
        <w:rPr>
          <w:rFonts w:cstheme="minorHAnsi"/>
          <w:bCs/>
          <w:lang w:val="en-US"/>
        </w:rPr>
        <w:t>July</w:t>
      </w:r>
      <w:proofErr w:type="gramEnd"/>
      <w:r w:rsidRPr="00F74546">
        <w:rPr>
          <w:rFonts w:cstheme="minorHAnsi"/>
          <w:bCs/>
          <w:lang w:val="en-US"/>
        </w:rPr>
        <w:t xml:space="preserve"> 2017) &lt;</w:t>
      </w:r>
      <w:hyperlink r:id="rId5" w:tgtFrame="_blank" w:history="1">
        <w:r w:rsidRPr="00F74546">
          <w:rPr>
            <w:rStyle w:val="Hyperlink"/>
            <w:rFonts w:cstheme="minorHAnsi"/>
            <w:bCs/>
            <w:lang w:val="en-US"/>
          </w:rPr>
          <w:t>https://ssrn.com/abstract=3029656</w:t>
        </w:r>
      </w:hyperlink>
      <w:r w:rsidRPr="00F74546">
        <w:rPr>
          <w:rFonts w:cstheme="minorHAnsi"/>
          <w:bCs/>
          <w:lang w:val="en-US"/>
        </w:rPr>
        <w:t>&gt; accessed 11 October 2018</w:t>
      </w:r>
      <w:r>
        <w:rPr>
          <w:rFonts w:cstheme="minorHAnsi"/>
          <w:bCs/>
          <w:lang w:val="en-US"/>
        </w:rPr>
        <w:t>.</w:t>
      </w:r>
    </w:p>
  </w:footnote>
  <w:footnote w:id="130">
    <w:p w:rsidR="00C900A3" w:rsidRDefault="00C900A3" w:rsidP="0068281E">
      <w:pPr>
        <w:pStyle w:val="FootnoteText"/>
      </w:pPr>
      <w:r>
        <w:rPr>
          <w:rStyle w:val="FootnoteReference"/>
        </w:rPr>
        <w:footnoteRef/>
      </w:r>
      <w:r>
        <w:t xml:space="preserve"> Cooke, n. </w:t>
      </w:r>
      <w:r w:rsidR="0070463C">
        <w:fldChar w:fldCharType="begin"/>
      </w:r>
      <w:r w:rsidR="0070463C">
        <w:instrText xml:space="preserve"> NOTEREF  Cooke \p  \* MERGEFORMAT </w:instrText>
      </w:r>
      <w:r w:rsidR="0070463C">
        <w:fldChar w:fldCharType="separate"/>
      </w:r>
      <w:r>
        <w:t>60</w:t>
      </w:r>
      <w:r w:rsidR="0070463C">
        <w:fldChar w:fldCharType="end"/>
      </w:r>
      <w:r>
        <w:t xml:space="preserve"> </w:t>
      </w:r>
      <w:r w:rsidRPr="002E0F7D">
        <w:rPr>
          <w:i/>
        </w:rPr>
        <w:t>supra</w:t>
      </w:r>
      <w:r>
        <w:t>, p. 274.</w:t>
      </w:r>
    </w:p>
  </w:footnote>
  <w:footnote w:id="131">
    <w:p w:rsidR="00C900A3" w:rsidRPr="00026E33" w:rsidRDefault="00C900A3">
      <w:pPr>
        <w:pStyle w:val="FootnoteText"/>
      </w:pPr>
      <w:r>
        <w:rPr>
          <w:rStyle w:val="FootnoteReference"/>
        </w:rPr>
        <w:footnoteRef/>
      </w:r>
      <w:r>
        <w:t xml:space="preserve"> For the origin of ‘special justification,’ see Justice O’Connor’s judgment in </w:t>
      </w:r>
      <w:r w:rsidRPr="00026E33">
        <w:rPr>
          <w:i/>
        </w:rPr>
        <w:t xml:space="preserve">Arizona v. Rumsey, </w:t>
      </w:r>
      <w:r w:rsidRPr="00026E33">
        <w:t>467 U.S. 203 (1984)</w:t>
      </w:r>
      <w:r>
        <w:t xml:space="preserve"> at p. 212.</w:t>
      </w:r>
    </w:p>
  </w:footnote>
  <w:footnote w:id="132">
    <w:p w:rsidR="00C900A3" w:rsidRDefault="00C900A3">
      <w:pPr>
        <w:pStyle w:val="FootnoteText"/>
      </w:pPr>
      <w:r>
        <w:rPr>
          <w:rStyle w:val="FootnoteReference"/>
        </w:rPr>
        <w:footnoteRef/>
      </w:r>
      <w:r>
        <w:t xml:space="preserve"> Or the pertinent rights/ obligations arising under the Treaties annihilated by means of the latter’s termination.</w:t>
      </w:r>
    </w:p>
  </w:footnote>
  <w:footnote w:id="133">
    <w:p w:rsidR="00C900A3" w:rsidRDefault="00C900A3">
      <w:pPr>
        <w:pStyle w:val="FootnoteText"/>
      </w:pPr>
      <w:r>
        <w:rPr>
          <w:rStyle w:val="FootnoteReference"/>
        </w:rPr>
        <w:footnoteRef/>
      </w:r>
      <w:r>
        <w:t xml:space="preserve"> See text accompanying n. </w:t>
      </w:r>
      <w:r w:rsidR="0070463C">
        <w:fldChar w:fldCharType="begin"/>
      </w:r>
      <w:r w:rsidR="0070463C">
        <w:instrText xml:space="preserve"> NOTEREF  Thoburn_Fac_Hartley_FNII \p  \* MERGEFORMAT </w:instrText>
      </w:r>
      <w:r w:rsidR="0070463C">
        <w:fldChar w:fldCharType="separate"/>
      </w:r>
      <w:r>
        <w:t>115</w:t>
      </w:r>
      <w:r w:rsidR="0070463C">
        <w:fldChar w:fldCharType="end"/>
      </w:r>
      <w:r>
        <w:t xml:space="preserve"> </w:t>
      </w:r>
      <w:r w:rsidR="007C3457" w:rsidRPr="007C3457">
        <w:rPr>
          <w:i/>
        </w:rPr>
        <w:t>supra</w:t>
      </w:r>
      <w:r>
        <w:t>.</w:t>
      </w:r>
    </w:p>
  </w:footnote>
  <w:footnote w:id="134">
    <w:p w:rsidR="00C900A3" w:rsidRDefault="00C900A3">
      <w:pPr>
        <w:pStyle w:val="FootnoteText"/>
      </w:pPr>
      <w:r>
        <w:rPr>
          <w:rStyle w:val="FootnoteReference"/>
        </w:rPr>
        <w:footnoteRef/>
      </w:r>
      <w:r>
        <w:t xml:space="preserve"> </w:t>
      </w:r>
      <w:r w:rsidRPr="00DE1E49">
        <w:t>[1963] 3 All ER 757</w:t>
      </w:r>
      <w:r>
        <w:t>.</w:t>
      </w:r>
    </w:p>
  </w:footnote>
  <w:footnote w:id="135">
    <w:p w:rsidR="00C900A3" w:rsidRDefault="00C900A3">
      <w:pPr>
        <w:pStyle w:val="FootnoteText"/>
      </w:pPr>
      <w:r>
        <w:rPr>
          <w:rStyle w:val="FootnoteReference"/>
        </w:rPr>
        <w:footnoteRef/>
      </w:r>
      <w:r>
        <w:t xml:space="preserve"> </w:t>
      </w:r>
      <w:proofErr w:type="spellStart"/>
      <w:r>
        <w:t>Bennion</w:t>
      </w:r>
      <w:proofErr w:type="spellEnd"/>
      <w:r>
        <w:t xml:space="preserve">, </w:t>
      </w:r>
      <w:r w:rsidR="007C3457" w:rsidRPr="007C3457">
        <w:rPr>
          <w:i/>
        </w:rPr>
        <w:t>Understanding</w:t>
      </w:r>
      <w:r>
        <w:t xml:space="preserve">, n. </w:t>
      </w:r>
      <w:r w:rsidR="0070463C">
        <w:fldChar w:fldCharType="begin"/>
      </w:r>
      <w:r w:rsidR="0070463C">
        <w:instrText xml:space="preserve"> NOTEREF  Bennion_Understanding  \* MERGEFORMAT </w:instrText>
      </w:r>
      <w:r w:rsidR="0070463C">
        <w:fldChar w:fldCharType="separate"/>
      </w:r>
      <w:r>
        <w:t>46</w:t>
      </w:r>
      <w:r w:rsidR="0070463C">
        <w:fldChar w:fldCharType="end"/>
      </w:r>
      <w:r>
        <w:t xml:space="preserve"> </w:t>
      </w:r>
      <w:r w:rsidR="007C3457" w:rsidRPr="007C3457">
        <w:rPr>
          <w:i/>
        </w:rPr>
        <w:t>supra</w:t>
      </w:r>
      <w:r>
        <w:t xml:space="preserve">, </w:t>
      </w:r>
      <w:r w:rsidRPr="00C52A83">
        <w:t>p</w:t>
      </w:r>
      <w:r>
        <w:t xml:space="preserve">. </w:t>
      </w:r>
      <w:r w:rsidRPr="00C52A83">
        <w:t>56</w:t>
      </w:r>
      <w:r>
        <w:t>.</w:t>
      </w:r>
    </w:p>
  </w:footnote>
  <w:footnote w:id="136">
    <w:p w:rsidR="00C900A3" w:rsidRPr="00F74546" w:rsidRDefault="00C900A3" w:rsidP="006C0AA8">
      <w:pPr>
        <w:pStyle w:val="FootnoteText"/>
        <w:rPr>
          <w:rFonts w:cstheme="minorHAnsi"/>
        </w:rPr>
      </w:pPr>
      <w:r w:rsidRPr="00F74546">
        <w:rPr>
          <w:rStyle w:val="FootnoteReference"/>
          <w:rFonts w:cstheme="minorHAnsi"/>
        </w:rPr>
        <w:footnoteRef/>
      </w:r>
      <w:r w:rsidRPr="00F74546">
        <w:rPr>
          <w:rFonts w:cstheme="minorHAnsi"/>
        </w:rPr>
        <w:t xml:space="preserve"> For citation, see n. </w:t>
      </w:r>
      <w:r w:rsidR="0070463C">
        <w:rPr>
          <w:rFonts w:cstheme="minorHAnsi"/>
        </w:rPr>
        <w:fldChar w:fldCharType="begin"/>
      </w:r>
      <w:r w:rsidR="0070463C">
        <w:rPr>
          <w:rFonts w:cstheme="minorHAnsi"/>
        </w:rPr>
        <w:instrText xml:space="preserve"> NOTEREF  Goodwin_v_Phillip</w:instrText>
      </w:r>
      <w:r w:rsidR="0070463C">
        <w:rPr>
          <w:rFonts w:cstheme="minorHAnsi"/>
        </w:rPr>
        <w:instrText xml:space="preserve">s \p  \* MERGEFORMAT </w:instrText>
      </w:r>
      <w:r w:rsidR="0070463C">
        <w:rPr>
          <w:rFonts w:cstheme="minorHAnsi"/>
        </w:rPr>
        <w:fldChar w:fldCharType="separate"/>
      </w:r>
      <w:r w:rsidRPr="0018322A">
        <w:rPr>
          <w:rFonts w:cstheme="minorHAnsi"/>
        </w:rPr>
        <w:t>77</w:t>
      </w:r>
      <w:r w:rsidR="0070463C">
        <w:rPr>
          <w:rFonts w:cstheme="minorHAnsi"/>
        </w:rPr>
        <w:fldChar w:fldCharType="end"/>
      </w:r>
      <w:r w:rsidRPr="00F74546">
        <w:rPr>
          <w:rFonts w:cstheme="minorHAnsi"/>
        </w:rPr>
        <w:t xml:space="preserve"> </w:t>
      </w:r>
      <w:r w:rsidRPr="00F74546">
        <w:rPr>
          <w:rFonts w:cstheme="minorHAnsi"/>
          <w:i/>
        </w:rPr>
        <w:t>supra</w:t>
      </w:r>
      <w:r w:rsidRPr="00F74546">
        <w:rPr>
          <w:rFonts w:cstheme="minorHAnsi"/>
        </w:rPr>
        <w:t>.</w:t>
      </w:r>
    </w:p>
  </w:footnote>
  <w:footnote w:id="137">
    <w:p w:rsidR="00C900A3" w:rsidRPr="00F74546" w:rsidRDefault="00C900A3" w:rsidP="00100F88">
      <w:pPr>
        <w:pStyle w:val="FootnoteText"/>
        <w:rPr>
          <w:rFonts w:cstheme="minorHAnsi"/>
        </w:rPr>
      </w:pPr>
      <w:r w:rsidRPr="00F74546">
        <w:rPr>
          <w:rStyle w:val="FootnoteReference"/>
          <w:rFonts w:cstheme="minorHAnsi"/>
        </w:rPr>
        <w:footnoteRef/>
      </w:r>
      <w:r w:rsidRPr="00F74546">
        <w:rPr>
          <w:rFonts w:cstheme="minorHAnsi"/>
        </w:rPr>
        <w:t xml:space="preserve"> Bearing in mind that the UK’s continued involvement in the European Arrest Warrant is still somewhat in doubt.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672"/>
    <w:multiLevelType w:val="hybridMultilevel"/>
    <w:tmpl w:val="0312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2581A"/>
    <w:multiLevelType w:val="hybridMultilevel"/>
    <w:tmpl w:val="0312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B2C6E"/>
    <w:multiLevelType w:val="hybridMultilevel"/>
    <w:tmpl w:val="0312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8540CD"/>
    <w:multiLevelType w:val="hybridMultilevel"/>
    <w:tmpl w:val="5DA4B716"/>
    <w:lvl w:ilvl="0" w:tplc="3996B172">
      <w:start w:val="1"/>
      <w:numFmt w:val="bullet"/>
      <w:lvlText w:val="•"/>
      <w:lvlJc w:val="left"/>
      <w:pPr>
        <w:tabs>
          <w:tab w:val="num" w:pos="720"/>
        </w:tabs>
        <w:ind w:left="720" w:hanging="360"/>
      </w:pPr>
      <w:rPr>
        <w:rFonts w:ascii="Arial" w:hAnsi="Arial" w:hint="default"/>
      </w:rPr>
    </w:lvl>
    <w:lvl w:ilvl="1" w:tplc="0D7CCA92" w:tentative="1">
      <w:start w:val="1"/>
      <w:numFmt w:val="bullet"/>
      <w:lvlText w:val="•"/>
      <w:lvlJc w:val="left"/>
      <w:pPr>
        <w:tabs>
          <w:tab w:val="num" w:pos="1440"/>
        </w:tabs>
        <w:ind w:left="1440" w:hanging="360"/>
      </w:pPr>
      <w:rPr>
        <w:rFonts w:ascii="Arial" w:hAnsi="Arial" w:hint="default"/>
      </w:rPr>
    </w:lvl>
    <w:lvl w:ilvl="2" w:tplc="D36AFFAE" w:tentative="1">
      <w:start w:val="1"/>
      <w:numFmt w:val="bullet"/>
      <w:lvlText w:val="•"/>
      <w:lvlJc w:val="left"/>
      <w:pPr>
        <w:tabs>
          <w:tab w:val="num" w:pos="2160"/>
        </w:tabs>
        <w:ind w:left="2160" w:hanging="360"/>
      </w:pPr>
      <w:rPr>
        <w:rFonts w:ascii="Arial" w:hAnsi="Arial" w:hint="default"/>
      </w:rPr>
    </w:lvl>
    <w:lvl w:ilvl="3" w:tplc="7610B390" w:tentative="1">
      <w:start w:val="1"/>
      <w:numFmt w:val="bullet"/>
      <w:lvlText w:val="•"/>
      <w:lvlJc w:val="left"/>
      <w:pPr>
        <w:tabs>
          <w:tab w:val="num" w:pos="2880"/>
        </w:tabs>
        <w:ind w:left="2880" w:hanging="360"/>
      </w:pPr>
      <w:rPr>
        <w:rFonts w:ascii="Arial" w:hAnsi="Arial" w:hint="default"/>
      </w:rPr>
    </w:lvl>
    <w:lvl w:ilvl="4" w:tplc="10144554" w:tentative="1">
      <w:start w:val="1"/>
      <w:numFmt w:val="bullet"/>
      <w:lvlText w:val="•"/>
      <w:lvlJc w:val="left"/>
      <w:pPr>
        <w:tabs>
          <w:tab w:val="num" w:pos="3600"/>
        </w:tabs>
        <w:ind w:left="3600" w:hanging="360"/>
      </w:pPr>
      <w:rPr>
        <w:rFonts w:ascii="Arial" w:hAnsi="Arial" w:hint="default"/>
      </w:rPr>
    </w:lvl>
    <w:lvl w:ilvl="5" w:tplc="F7BCA79A" w:tentative="1">
      <w:start w:val="1"/>
      <w:numFmt w:val="bullet"/>
      <w:lvlText w:val="•"/>
      <w:lvlJc w:val="left"/>
      <w:pPr>
        <w:tabs>
          <w:tab w:val="num" w:pos="4320"/>
        </w:tabs>
        <w:ind w:left="4320" w:hanging="360"/>
      </w:pPr>
      <w:rPr>
        <w:rFonts w:ascii="Arial" w:hAnsi="Arial" w:hint="default"/>
      </w:rPr>
    </w:lvl>
    <w:lvl w:ilvl="6" w:tplc="71D21762" w:tentative="1">
      <w:start w:val="1"/>
      <w:numFmt w:val="bullet"/>
      <w:lvlText w:val="•"/>
      <w:lvlJc w:val="left"/>
      <w:pPr>
        <w:tabs>
          <w:tab w:val="num" w:pos="5040"/>
        </w:tabs>
        <w:ind w:left="5040" w:hanging="360"/>
      </w:pPr>
      <w:rPr>
        <w:rFonts w:ascii="Arial" w:hAnsi="Arial" w:hint="default"/>
      </w:rPr>
    </w:lvl>
    <w:lvl w:ilvl="7" w:tplc="61183EC8" w:tentative="1">
      <w:start w:val="1"/>
      <w:numFmt w:val="bullet"/>
      <w:lvlText w:val="•"/>
      <w:lvlJc w:val="left"/>
      <w:pPr>
        <w:tabs>
          <w:tab w:val="num" w:pos="5760"/>
        </w:tabs>
        <w:ind w:left="5760" w:hanging="360"/>
      </w:pPr>
      <w:rPr>
        <w:rFonts w:ascii="Arial" w:hAnsi="Arial" w:hint="default"/>
      </w:rPr>
    </w:lvl>
    <w:lvl w:ilvl="8" w:tplc="00B2FE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5C3F5F"/>
    <w:multiLevelType w:val="hybridMultilevel"/>
    <w:tmpl w:val="9E5477DA"/>
    <w:lvl w:ilvl="0" w:tplc="7E9220C6">
      <w:start w:val="1"/>
      <w:numFmt w:val="bullet"/>
      <w:lvlText w:val="•"/>
      <w:lvlJc w:val="left"/>
      <w:pPr>
        <w:tabs>
          <w:tab w:val="num" w:pos="720"/>
        </w:tabs>
        <w:ind w:left="720" w:hanging="360"/>
      </w:pPr>
      <w:rPr>
        <w:rFonts w:ascii="Arial" w:hAnsi="Arial" w:hint="default"/>
      </w:rPr>
    </w:lvl>
    <w:lvl w:ilvl="1" w:tplc="B5867FDA" w:tentative="1">
      <w:start w:val="1"/>
      <w:numFmt w:val="bullet"/>
      <w:lvlText w:val="•"/>
      <w:lvlJc w:val="left"/>
      <w:pPr>
        <w:tabs>
          <w:tab w:val="num" w:pos="1440"/>
        </w:tabs>
        <w:ind w:left="1440" w:hanging="360"/>
      </w:pPr>
      <w:rPr>
        <w:rFonts w:ascii="Arial" w:hAnsi="Arial" w:hint="default"/>
      </w:rPr>
    </w:lvl>
    <w:lvl w:ilvl="2" w:tplc="31B074A2" w:tentative="1">
      <w:start w:val="1"/>
      <w:numFmt w:val="bullet"/>
      <w:lvlText w:val="•"/>
      <w:lvlJc w:val="left"/>
      <w:pPr>
        <w:tabs>
          <w:tab w:val="num" w:pos="2160"/>
        </w:tabs>
        <w:ind w:left="2160" w:hanging="360"/>
      </w:pPr>
      <w:rPr>
        <w:rFonts w:ascii="Arial" w:hAnsi="Arial" w:hint="default"/>
      </w:rPr>
    </w:lvl>
    <w:lvl w:ilvl="3" w:tplc="CBDAFCD6" w:tentative="1">
      <w:start w:val="1"/>
      <w:numFmt w:val="bullet"/>
      <w:lvlText w:val="•"/>
      <w:lvlJc w:val="left"/>
      <w:pPr>
        <w:tabs>
          <w:tab w:val="num" w:pos="2880"/>
        </w:tabs>
        <w:ind w:left="2880" w:hanging="360"/>
      </w:pPr>
      <w:rPr>
        <w:rFonts w:ascii="Arial" w:hAnsi="Arial" w:hint="default"/>
      </w:rPr>
    </w:lvl>
    <w:lvl w:ilvl="4" w:tplc="311E9CDA" w:tentative="1">
      <w:start w:val="1"/>
      <w:numFmt w:val="bullet"/>
      <w:lvlText w:val="•"/>
      <w:lvlJc w:val="left"/>
      <w:pPr>
        <w:tabs>
          <w:tab w:val="num" w:pos="3600"/>
        </w:tabs>
        <w:ind w:left="3600" w:hanging="360"/>
      </w:pPr>
      <w:rPr>
        <w:rFonts w:ascii="Arial" w:hAnsi="Arial" w:hint="default"/>
      </w:rPr>
    </w:lvl>
    <w:lvl w:ilvl="5" w:tplc="EB523EEC" w:tentative="1">
      <w:start w:val="1"/>
      <w:numFmt w:val="bullet"/>
      <w:lvlText w:val="•"/>
      <w:lvlJc w:val="left"/>
      <w:pPr>
        <w:tabs>
          <w:tab w:val="num" w:pos="4320"/>
        </w:tabs>
        <w:ind w:left="4320" w:hanging="360"/>
      </w:pPr>
      <w:rPr>
        <w:rFonts w:ascii="Arial" w:hAnsi="Arial" w:hint="default"/>
      </w:rPr>
    </w:lvl>
    <w:lvl w:ilvl="6" w:tplc="515E13BC" w:tentative="1">
      <w:start w:val="1"/>
      <w:numFmt w:val="bullet"/>
      <w:lvlText w:val="•"/>
      <w:lvlJc w:val="left"/>
      <w:pPr>
        <w:tabs>
          <w:tab w:val="num" w:pos="5040"/>
        </w:tabs>
        <w:ind w:left="5040" w:hanging="360"/>
      </w:pPr>
      <w:rPr>
        <w:rFonts w:ascii="Arial" w:hAnsi="Arial" w:hint="default"/>
      </w:rPr>
    </w:lvl>
    <w:lvl w:ilvl="7" w:tplc="6C1E4F48" w:tentative="1">
      <w:start w:val="1"/>
      <w:numFmt w:val="bullet"/>
      <w:lvlText w:val="•"/>
      <w:lvlJc w:val="left"/>
      <w:pPr>
        <w:tabs>
          <w:tab w:val="num" w:pos="5760"/>
        </w:tabs>
        <w:ind w:left="5760" w:hanging="360"/>
      </w:pPr>
      <w:rPr>
        <w:rFonts w:ascii="Arial" w:hAnsi="Arial" w:hint="default"/>
      </w:rPr>
    </w:lvl>
    <w:lvl w:ilvl="8" w:tplc="0CEAE8E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6D"/>
    <w:rsid w:val="00000A03"/>
    <w:rsid w:val="000016CF"/>
    <w:rsid w:val="00002885"/>
    <w:rsid w:val="00004474"/>
    <w:rsid w:val="000125F8"/>
    <w:rsid w:val="00022891"/>
    <w:rsid w:val="00023D7F"/>
    <w:rsid w:val="00024C55"/>
    <w:rsid w:val="00025AE2"/>
    <w:rsid w:val="00025E87"/>
    <w:rsid w:val="00026E33"/>
    <w:rsid w:val="00033381"/>
    <w:rsid w:val="00035F98"/>
    <w:rsid w:val="00036546"/>
    <w:rsid w:val="000407E3"/>
    <w:rsid w:val="000455B6"/>
    <w:rsid w:val="00052914"/>
    <w:rsid w:val="00057002"/>
    <w:rsid w:val="0005756D"/>
    <w:rsid w:val="0005758C"/>
    <w:rsid w:val="0005766D"/>
    <w:rsid w:val="00060664"/>
    <w:rsid w:val="000642A0"/>
    <w:rsid w:val="00070D8F"/>
    <w:rsid w:val="00071295"/>
    <w:rsid w:val="000770FD"/>
    <w:rsid w:val="000847FE"/>
    <w:rsid w:val="00085B30"/>
    <w:rsid w:val="00086AFF"/>
    <w:rsid w:val="00091F3A"/>
    <w:rsid w:val="00095435"/>
    <w:rsid w:val="000A160E"/>
    <w:rsid w:val="000A17F6"/>
    <w:rsid w:val="000A181C"/>
    <w:rsid w:val="000A3EDF"/>
    <w:rsid w:val="000B0BF4"/>
    <w:rsid w:val="000B4944"/>
    <w:rsid w:val="000C1B84"/>
    <w:rsid w:val="000C2493"/>
    <w:rsid w:val="000C3AC3"/>
    <w:rsid w:val="000C7699"/>
    <w:rsid w:val="000C7CC9"/>
    <w:rsid w:val="000D4DE2"/>
    <w:rsid w:val="000D5A2D"/>
    <w:rsid w:val="000D6BED"/>
    <w:rsid w:val="000D76CF"/>
    <w:rsid w:val="000E5988"/>
    <w:rsid w:val="000E6643"/>
    <w:rsid w:val="000F2222"/>
    <w:rsid w:val="000F23E1"/>
    <w:rsid w:val="00100F88"/>
    <w:rsid w:val="001010D6"/>
    <w:rsid w:val="00104206"/>
    <w:rsid w:val="0010608A"/>
    <w:rsid w:val="00106259"/>
    <w:rsid w:val="00107253"/>
    <w:rsid w:val="001207FF"/>
    <w:rsid w:val="001304EE"/>
    <w:rsid w:val="00132CDA"/>
    <w:rsid w:val="00133A54"/>
    <w:rsid w:val="00133ECB"/>
    <w:rsid w:val="00140E48"/>
    <w:rsid w:val="00143170"/>
    <w:rsid w:val="00144304"/>
    <w:rsid w:val="00146482"/>
    <w:rsid w:val="00147AD8"/>
    <w:rsid w:val="00147DB8"/>
    <w:rsid w:val="00147EAD"/>
    <w:rsid w:val="00151607"/>
    <w:rsid w:val="00153EFF"/>
    <w:rsid w:val="00155807"/>
    <w:rsid w:val="00156DB8"/>
    <w:rsid w:val="001609C3"/>
    <w:rsid w:val="00160A24"/>
    <w:rsid w:val="001614C4"/>
    <w:rsid w:val="00161739"/>
    <w:rsid w:val="0016204B"/>
    <w:rsid w:val="001661CF"/>
    <w:rsid w:val="0016770B"/>
    <w:rsid w:val="00174B2F"/>
    <w:rsid w:val="00180E0A"/>
    <w:rsid w:val="0018322A"/>
    <w:rsid w:val="00183E80"/>
    <w:rsid w:val="00186E14"/>
    <w:rsid w:val="00187341"/>
    <w:rsid w:val="00190E11"/>
    <w:rsid w:val="001918C2"/>
    <w:rsid w:val="001923FC"/>
    <w:rsid w:val="00193C06"/>
    <w:rsid w:val="001A3327"/>
    <w:rsid w:val="001A3E2B"/>
    <w:rsid w:val="001A6157"/>
    <w:rsid w:val="001A65FA"/>
    <w:rsid w:val="001B2794"/>
    <w:rsid w:val="001C0F6C"/>
    <w:rsid w:val="001C30B2"/>
    <w:rsid w:val="001C485E"/>
    <w:rsid w:val="001C4B50"/>
    <w:rsid w:val="001C69EA"/>
    <w:rsid w:val="001D3C17"/>
    <w:rsid w:val="001D7785"/>
    <w:rsid w:val="001E4771"/>
    <w:rsid w:val="001F3792"/>
    <w:rsid w:val="001F3E8C"/>
    <w:rsid w:val="001F4149"/>
    <w:rsid w:val="001F5C04"/>
    <w:rsid w:val="001F5D6E"/>
    <w:rsid w:val="001F7E8D"/>
    <w:rsid w:val="001F7F29"/>
    <w:rsid w:val="00200E64"/>
    <w:rsid w:val="00202415"/>
    <w:rsid w:val="002025BE"/>
    <w:rsid w:val="00207C0B"/>
    <w:rsid w:val="0021205B"/>
    <w:rsid w:val="0021342C"/>
    <w:rsid w:val="002154D3"/>
    <w:rsid w:val="00216F85"/>
    <w:rsid w:val="002218EC"/>
    <w:rsid w:val="00221FE0"/>
    <w:rsid w:val="0022245B"/>
    <w:rsid w:val="0022714E"/>
    <w:rsid w:val="002343A8"/>
    <w:rsid w:val="0023557F"/>
    <w:rsid w:val="002376AE"/>
    <w:rsid w:val="002403C7"/>
    <w:rsid w:val="00243E1C"/>
    <w:rsid w:val="00247CF9"/>
    <w:rsid w:val="002516BC"/>
    <w:rsid w:val="00251DC9"/>
    <w:rsid w:val="002526E1"/>
    <w:rsid w:val="00256A9D"/>
    <w:rsid w:val="0026278E"/>
    <w:rsid w:val="00262BB0"/>
    <w:rsid w:val="00265026"/>
    <w:rsid w:val="00273722"/>
    <w:rsid w:val="002742C9"/>
    <w:rsid w:val="00275CA3"/>
    <w:rsid w:val="00280A9D"/>
    <w:rsid w:val="00281BED"/>
    <w:rsid w:val="00281EEC"/>
    <w:rsid w:val="00282E6B"/>
    <w:rsid w:val="00284A8C"/>
    <w:rsid w:val="00293711"/>
    <w:rsid w:val="00297670"/>
    <w:rsid w:val="002B186C"/>
    <w:rsid w:val="002B3AC5"/>
    <w:rsid w:val="002B44E8"/>
    <w:rsid w:val="002B4E6C"/>
    <w:rsid w:val="002C0668"/>
    <w:rsid w:val="002C1EA4"/>
    <w:rsid w:val="002C4168"/>
    <w:rsid w:val="002D2C57"/>
    <w:rsid w:val="002D60D5"/>
    <w:rsid w:val="002E079A"/>
    <w:rsid w:val="002E0F7D"/>
    <w:rsid w:val="002E361C"/>
    <w:rsid w:val="002E4966"/>
    <w:rsid w:val="002F16A4"/>
    <w:rsid w:val="002F24DB"/>
    <w:rsid w:val="002F7605"/>
    <w:rsid w:val="00300B83"/>
    <w:rsid w:val="00301041"/>
    <w:rsid w:val="0030114C"/>
    <w:rsid w:val="00301E43"/>
    <w:rsid w:val="00301EC2"/>
    <w:rsid w:val="00305BD0"/>
    <w:rsid w:val="00306DEC"/>
    <w:rsid w:val="00310DFF"/>
    <w:rsid w:val="003155D5"/>
    <w:rsid w:val="003155ED"/>
    <w:rsid w:val="003230BD"/>
    <w:rsid w:val="00323162"/>
    <w:rsid w:val="003242DB"/>
    <w:rsid w:val="00326151"/>
    <w:rsid w:val="0032661C"/>
    <w:rsid w:val="0033228A"/>
    <w:rsid w:val="003337D3"/>
    <w:rsid w:val="00340528"/>
    <w:rsid w:val="00346141"/>
    <w:rsid w:val="00347DBE"/>
    <w:rsid w:val="003509DF"/>
    <w:rsid w:val="00354FD5"/>
    <w:rsid w:val="003763CF"/>
    <w:rsid w:val="003807CA"/>
    <w:rsid w:val="00381797"/>
    <w:rsid w:val="0038475F"/>
    <w:rsid w:val="00384D9A"/>
    <w:rsid w:val="003852D2"/>
    <w:rsid w:val="003A1AD0"/>
    <w:rsid w:val="003A23D0"/>
    <w:rsid w:val="003B2F70"/>
    <w:rsid w:val="003C26F3"/>
    <w:rsid w:val="003C6654"/>
    <w:rsid w:val="003C6FC0"/>
    <w:rsid w:val="003E2B1E"/>
    <w:rsid w:val="003E31A9"/>
    <w:rsid w:val="003E3FA9"/>
    <w:rsid w:val="003E7DC0"/>
    <w:rsid w:val="003F6A81"/>
    <w:rsid w:val="003F6B8D"/>
    <w:rsid w:val="003F6D43"/>
    <w:rsid w:val="003F7E0C"/>
    <w:rsid w:val="00400D3E"/>
    <w:rsid w:val="004051E3"/>
    <w:rsid w:val="00406259"/>
    <w:rsid w:val="004208F1"/>
    <w:rsid w:val="004210B9"/>
    <w:rsid w:val="00424286"/>
    <w:rsid w:val="004373E0"/>
    <w:rsid w:val="00440998"/>
    <w:rsid w:val="00442A02"/>
    <w:rsid w:val="00442CEC"/>
    <w:rsid w:val="00443533"/>
    <w:rsid w:val="00444184"/>
    <w:rsid w:val="004443B8"/>
    <w:rsid w:val="00445D77"/>
    <w:rsid w:val="00451F16"/>
    <w:rsid w:val="00456B1A"/>
    <w:rsid w:val="00465E0C"/>
    <w:rsid w:val="004748F1"/>
    <w:rsid w:val="00474F92"/>
    <w:rsid w:val="0047555B"/>
    <w:rsid w:val="00480E32"/>
    <w:rsid w:val="00484245"/>
    <w:rsid w:val="00485AB3"/>
    <w:rsid w:val="004861B1"/>
    <w:rsid w:val="0048664C"/>
    <w:rsid w:val="0048709E"/>
    <w:rsid w:val="0048764D"/>
    <w:rsid w:val="0049305C"/>
    <w:rsid w:val="0049527A"/>
    <w:rsid w:val="00495432"/>
    <w:rsid w:val="00496413"/>
    <w:rsid w:val="00496E73"/>
    <w:rsid w:val="00497358"/>
    <w:rsid w:val="004A33CA"/>
    <w:rsid w:val="004A359E"/>
    <w:rsid w:val="004A38DA"/>
    <w:rsid w:val="004A4F39"/>
    <w:rsid w:val="004A5011"/>
    <w:rsid w:val="004B12D3"/>
    <w:rsid w:val="004B18CB"/>
    <w:rsid w:val="004B18F5"/>
    <w:rsid w:val="004B2417"/>
    <w:rsid w:val="004B5A9D"/>
    <w:rsid w:val="004B77A1"/>
    <w:rsid w:val="004C1B93"/>
    <w:rsid w:val="004D2E90"/>
    <w:rsid w:val="004D3D9F"/>
    <w:rsid w:val="004D52B3"/>
    <w:rsid w:val="004D7904"/>
    <w:rsid w:val="004E1725"/>
    <w:rsid w:val="004F0219"/>
    <w:rsid w:val="004F10E5"/>
    <w:rsid w:val="004F462C"/>
    <w:rsid w:val="004F4B20"/>
    <w:rsid w:val="004F5212"/>
    <w:rsid w:val="004F5698"/>
    <w:rsid w:val="004F605D"/>
    <w:rsid w:val="0051019E"/>
    <w:rsid w:val="00521AD1"/>
    <w:rsid w:val="00521E97"/>
    <w:rsid w:val="0052203A"/>
    <w:rsid w:val="005228F2"/>
    <w:rsid w:val="005263E4"/>
    <w:rsid w:val="00526D83"/>
    <w:rsid w:val="00542986"/>
    <w:rsid w:val="00545773"/>
    <w:rsid w:val="00546575"/>
    <w:rsid w:val="00546E28"/>
    <w:rsid w:val="005471E2"/>
    <w:rsid w:val="00547DCC"/>
    <w:rsid w:val="00551D59"/>
    <w:rsid w:val="0055278F"/>
    <w:rsid w:val="005556FC"/>
    <w:rsid w:val="00557FEC"/>
    <w:rsid w:val="00561A4B"/>
    <w:rsid w:val="005646A1"/>
    <w:rsid w:val="005655C2"/>
    <w:rsid w:val="0056645D"/>
    <w:rsid w:val="00572BFC"/>
    <w:rsid w:val="00580CBB"/>
    <w:rsid w:val="00581E08"/>
    <w:rsid w:val="00582C12"/>
    <w:rsid w:val="00586075"/>
    <w:rsid w:val="005868C2"/>
    <w:rsid w:val="00587CAD"/>
    <w:rsid w:val="00591600"/>
    <w:rsid w:val="00591ABE"/>
    <w:rsid w:val="00591D1C"/>
    <w:rsid w:val="005928F4"/>
    <w:rsid w:val="005942FA"/>
    <w:rsid w:val="005B10BA"/>
    <w:rsid w:val="005B6999"/>
    <w:rsid w:val="005C17D8"/>
    <w:rsid w:val="005C3CEC"/>
    <w:rsid w:val="005C7660"/>
    <w:rsid w:val="005D1056"/>
    <w:rsid w:val="005D37D7"/>
    <w:rsid w:val="005D7DC7"/>
    <w:rsid w:val="005E3988"/>
    <w:rsid w:val="005E5156"/>
    <w:rsid w:val="005E548B"/>
    <w:rsid w:val="005F12B4"/>
    <w:rsid w:val="005F244E"/>
    <w:rsid w:val="00601F28"/>
    <w:rsid w:val="0060359D"/>
    <w:rsid w:val="00614BDC"/>
    <w:rsid w:val="00632160"/>
    <w:rsid w:val="006351DE"/>
    <w:rsid w:val="006378BE"/>
    <w:rsid w:val="00640184"/>
    <w:rsid w:val="006428F7"/>
    <w:rsid w:val="006449AA"/>
    <w:rsid w:val="0064532E"/>
    <w:rsid w:val="00647CFB"/>
    <w:rsid w:val="00654EF8"/>
    <w:rsid w:val="0065545C"/>
    <w:rsid w:val="00657664"/>
    <w:rsid w:val="00657E29"/>
    <w:rsid w:val="00667C38"/>
    <w:rsid w:val="00671ACD"/>
    <w:rsid w:val="00677ACF"/>
    <w:rsid w:val="00680585"/>
    <w:rsid w:val="0068281E"/>
    <w:rsid w:val="00682897"/>
    <w:rsid w:val="006832AB"/>
    <w:rsid w:val="00686851"/>
    <w:rsid w:val="006917FC"/>
    <w:rsid w:val="006A29E0"/>
    <w:rsid w:val="006A4B2F"/>
    <w:rsid w:val="006A7F8D"/>
    <w:rsid w:val="006B1DCE"/>
    <w:rsid w:val="006B2040"/>
    <w:rsid w:val="006B356F"/>
    <w:rsid w:val="006B5BA1"/>
    <w:rsid w:val="006B697B"/>
    <w:rsid w:val="006B7AD7"/>
    <w:rsid w:val="006B7EA9"/>
    <w:rsid w:val="006C0AA8"/>
    <w:rsid w:val="006C0DB5"/>
    <w:rsid w:val="006C29D6"/>
    <w:rsid w:val="006C493D"/>
    <w:rsid w:val="006D251C"/>
    <w:rsid w:val="006D4069"/>
    <w:rsid w:val="006E12F9"/>
    <w:rsid w:val="006E37F4"/>
    <w:rsid w:val="006E5A8A"/>
    <w:rsid w:val="0070463C"/>
    <w:rsid w:val="0070628D"/>
    <w:rsid w:val="007067F0"/>
    <w:rsid w:val="007070B9"/>
    <w:rsid w:val="00713330"/>
    <w:rsid w:val="00717B48"/>
    <w:rsid w:val="00721556"/>
    <w:rsid w:val="007219C6"/>
    <w:rsid w:val="00721FE8"/>
    <w:rsid w:val="00722462"/>
    <w:rsid w:val="00723B32"/>
    <w:rsid w:val="007349A6"/>
    <w:rsid w:val="00734EE5"/>
    <w:rsid w:val="0073609B"/>
    <w:rsid w:val="00741159"/>
    <w:rsid w:val="00743571"/>
    <w:rsid w:val="00751713"/>
    <w:rsid w:val="00754351"/>
    <w:rsid w:val="00756870"/>
    <w:rsid w:val="00766111"/>
    <w:rsid w:val="0076641E"/>
    <w:rsid w:val="0077188C"/>
    <w:rsid w:val="00771D06"/>
    <w:rsid w:val="0077244C"/>
    <w:rsid w:val="00773A02"/>
    <w:rsid w:val="0077578C"/>
    <w:rsid w:val="00785B52"/>
    <w:rsid w:val="0079036A"/>
    <w:rsid w:val="00791FB5"/>
    <w:rsid w:val="007946D0"/>
    <w:rsid w:val="0079621C"/>
    <w:rsid w:val="00796AEA"/>
    <w:rsid w:val="007A2073"/>
    <w:rsid w:val="007A3170"/>
    <w:rsid w:val="007A4289"/>
    <w:rsid w:val="007B28C9"/>
    <w:rsid w:val="007B5F2E"/>
    <w:rsid w:val="007B7ACD"/>
    <w:rsid w:val="007C3457"/>
    <w:rsid w:val="007C3F83"/>
    <w:rsid w:val="007C44BD"/>
    <w:rsid w:val="007C4B49"/>
    <w:rsid w:val="007C6F35"/>
    <w:rsid w:val="007C7D7B"/>
    <w:rsid w:val="007D5AD3"/>
    <w:rsid w:val="007E2145"/>
    <w:rsid w:val="007E2210"/>
    <w:rsid w:val="007E7531"/>
    <w:rsid w:val="007E7BC0"/>
    <w:rsid w:val="007F195A"/>
    <w:rsid w:val="007F456C"/>
    <w:rsid w:val="00803BE5"/>
    <w:rsid w:val="008045C1"/>
    <w:rsid w:val="00805160"/>
    <w:rsid w:val="00805390"/>
    <w:rsid w:val="00816045"/>
    <w:rsid w:val="0081672A"/>
    <w:rsid w:val="00822D11"/>
    <w:rsid w:val="00823B27"/>
    <w:rsid w:val="00834360"/>
    <w:rsid w:val="00836A49"/>
    <w:rsid w:val="00836D10"/>
    <w:rsid w:val="00841D7A"/>
    <w:rsid w:val="008423AC"/>
    <w:rsid w:val="008452E3"/>
    <w:rsid w:val="008561CF"/>
    <w:rsid w:val="00856DD3"/>
    <w:rsid w:val="00862A31"/>
    <w:rsid w:val="008631A2"/>
    <w:rsid w:val="0086338D"/>
    <w:rsid w:val="00866448"/>
    <w:rsid w:val="008700AB"/>
    <w:rsid w:val="00870442"/>
    <w:rsid w:val="00875EB3"/>
    <w:rsid w:val="008768B7"/>
    <w:rsid w:val="0088159D"/>
    <w:rsid w:val="0088310B"/>
    <w:rsid w:val="0088457C"/>
    <w:rsid w:val="00886380"/>
    <w:rsid w:val="008879AA"/>
    <w:rsid w:val="0089354B"/>
    <w:rsid w:val="008945D2"/>
    <w:rsid w:val="008A12FF"/>
    <w:rsid w:val="008A1A42"/>
    <w:rsid w:val="008A2C70"/>
    <w:rsid w:val="008A4B0B"/>
    <w:rsid w:val="008B7A78"/>
    <w:rsid w:val="008C10FF"/>
    <w:rsid w:val="008C20F3"/>
    <w:rsid w:val="008D3318"/>
    <w:rsid w:val="008D45E8"/>
    <w:rsid w:val="008D57B7"/>
    <w:rsid w:val="008E08E0"/>
    <w:rsid w:val="008E46B8"/>
    <w:rsid w:val="008E631E"/>
    <w:rsid w:val="008E7579"/>
    <w:rsid w:val="008E7594"/>
    <w:rsid w:val="008F061F"/>
    <w:rsid w:val="008F2A5B"/>
    <w:rsid w:val="008F6A5A"/>
    <w:rsid w:val="008F6FDE"/>
    <w:rsid w:val="008F7821"/>
    <w:rsid w:val="0090009B"/>
    <w:rsid w:val="00902524"/>
    <w:rsid w:val="009115CA"/>
    <w:rsid w:val="00922060"/>
    <w:rsid w:val="009242EB"/>
    <w:rsid w:val="00924FEA"/>
    <w:rsid w:val="009335F8"/>
    <w:rsid w:val="009470AD"/>
    <w:rsid w:val="00952F28"/>
    <w:rsid w:val="009575C5"/>
    <w:rsid w:val="00961F51"/>
    <w:rsid w:val="00962231"/>
    <w:rsid w:val="00964E97"/>
    <w:rsid w:val="0097193A"/>
    <w:rsid w:val="00973C43"/>
    <w:rsid w:val="0097654F"/>
    <w:rsid w:val="00976833"/>
    <w:rsid w:val="00976AD6"/>
    <w:rsid w:val="0098208C"/>
    <w:rsid w:val="00983642"/>
    <w:rsid w:val="00985067"/>
    <w:rsid w:val="00986A9E"/>
    <w:rsid w:val="00991CB6"/>
    <w:rsid w:val="0099556D"/>
    <w:rsid w:val="00997EF8"/>
    <w:rsid w:val="009A2DEE"/>
    <w:rsid w:val="009A2E4F"/>
    <w:rsid w:val="009A3404"/>
    <w:rsid w:val="009A3AE4"/>
    <w:rsid w:val="009A59CF"/>
    <w:rsid w:val="009A75F3"/>
    <w:rsid w:val="009B0AE7"/>
    <w:rsid w:val="009B1B44"/>
    <w:rsid w:val="009B5381"/>
    <w:rsid w:val="009B57EA"/>
    <w:rsid w:val="009B71F4"/>
    <w:rsid w:val="009D1A48"/>
    <w:rsid w:val="009D2A91"/>
    <w:rsid w:val="009D7A9D"/>
    <w:rsid w:val="009F2A7A"/>
    <w:rsid w:val="009F5E25"/>
    <w:rsid w:val="009F6FAC"/>
    <w:rsid w:val="00A05E64"/>
    <w:rsid w:val="00A068DF"/>
    <w:rsid w:val="00A0733B"/>
    <w:rsid w:val="00A07983"/>
    <w:rsid w:val="00A1036E"/>
    <w:rsid w:val="00A25887"/>
    <w:rsid w:val="00A30505"/>
    <w:rsid w:val="00A32102"/>
    <w:rsid w:val="00A36A9F"/>
    <w:rsid w:val="00A36D8C"/>
    <w:rsid w:val="00A43B6F"/>
    <w:rsid w:val="00A44E1D"/>
    <w:rsid w:val="00A46C83"/>
    <w:rsid w:val="00A47740"/>
    <w:rsid w:val="00A47E68"/>
    <w:rsid w:val="00A5139F"/>
    <w:rsid w:val="00A51DF0"/>
    <w:rsid w:val="00A54CD3"/>
    <w:rsid w:val="00A5556D"/>
    <w:rsid w:val="00A5701B"/>
    <w:rsid w:val="00A61A3F"/>
    <w:rsid w:val="00A72FEB"/>
    <w:rsid w:val="00A8059C"/>
    <w:rsid w:val="00A81349"/>
    <w:rsid w:val="00A833D0"/>
    <w:rsid w:val="00A8707C"/>
    <w:rsid w:val="00A90093"/>
    <w:rsid w:val="00A9013B"/>
    <w:rsid w:val="00A9119E"/>
    <w:rsid w:val="00A91D45"/>
    <w:rsid w:val="00A93A3E"/>
    <w:rsid w:val="00A93B9D"/>
    <w:rsid w:val="00A979D6"/>
    <w:rsid w:val="00AA0786"/>
    <w:rsid w:val="00AA4207"/>
    <w:rsid w:val="00AB6128"/>
    <w:rsid w:val="00AC0E75"/>
    <w:rsid w:val="00AC5474"/>
    <w:rsid w:val="00AC561B"/>
    <w:rsid w:val="00AC5A0D"/>
    <w:rsid w:val="00AD0361"/>
    <w:rsid w:val="00AD30E4"/>
    <w:rsid w:val="00AD60B8"/>
    <w:rsid w:val="00AE7BC5"/>
    <w:rsid w:val="00AF060B"/>
    <w:rsid w:val="00AF229D"/>
    <w:rsid w:val="00AF47FA"/>
    <w:rsid w:val="00AF6AD8"/>
    <w:rsid w:val="00AF72CB"/>
    <w:rsid w:val="00B0094F"/>
    <w:rsid w:val="00B00FF6"/>
    <w:rsid w:val="00B01D47"/>
    <w:rsid w:val="00B01EA9"/>
    <w:rsid w:val="00B03A2D"/>
    <w:rsid w:val="00B05DA5"/>
    <w:rsid w:val="00B07E92"/>
    <w:rsid w:val="00B11087"/>
    <w:rsid w:val="00B12FB4"/>
    <w:rsid w:val="00B2009D"/>
    <w:rsid w:val="00B21524"/>
    <w:rsid w:val="00B226F8"/>
    <w:rsid w:val="00B227D4"/>
    <w:rsid w:val="00B25DDC"/>
    <w:rsid w:val="00B25DE1"/>
    <w:rsid w:val="00B25EF1"/>
    <w:rsid w:val="00B31E78"/>
    <w:rsid w:val="00B32622"/>
    <w:rsid w:val="00B4143F"/>
    <w:rsid w:val="00B51862"/>
    <w:rsid w:val="00B53672"/>
    <w:rsid w:val="00B57309"/>
    <w:rsid w:val="00B712A5"/>
    <w:rsid w:val="00B71644"/>
    <w:rsid w:val="00B7316A"/>
    <w:rsid w:val="00B7559B"/>
    <w:rsid w:val="00B768DA"/>
    <w:rsid w:val="00B80D5E"/>
    <w:rsid w:val="00B86A12"/>
    <w:rsid w:val="00B95B85"/>
    <w:rsid w:val="00B97790"/>
    <w:rsid w:val="00BA1C66"/>
    <w:rsid w:val="00BA300A"/>
    <w:rsid w:val="00BB374A"/>
    <w:rsid w:val="00BB4B7B"/>
    <w:rsid w:val="00BB5096"/>
    <w:rsid w:val="00BB56FE"/>
    <w:rsid w:val="00BB68FA"/>
    <w:rsid w:val="00BB7F67"/>
    <w:rsid w:val="00BC376A"/>
    <w:rsid w:val="00BD448B"/>
    <w:rsid w:val="00BE42D8"/>
    <w:rsid w:val="00BE5E5E"/>
    <w:rsid w:val="00BE6C72"/>
    <w:rsid w:val="00BF3864"/>
    <w:rsid w:val="00BF5A5C"/>
    <w:rsid w:val="00BF6CB0"/>
    <w:rsid w:val="00C00F46"/>
    <w:rsid w:val="00C02897"/>
    <w:rsid w:val="00C0442B"/>
    <w:rsid w:val="00C04F5E"/>
    <w:rsid w:val="00C0524C"/>
    <w:rsid w:val="00C05B9F"/>
    <w:rsid w:val="00C0745B"/>
    <w:rsid w:val="00C101D8"/>
    <w:rsid w:val="00C10F68"/>
    <w:rsid w:val="00C15351"/>
    <w:rsid w:val="00C20880"/>
    <w:rsid w:val="00C20FA1"/>
    <w:rsid w:val="00C20FFB"/>
    <w:rsid w:val="00C2164C"/>
    <w:rsid w:val="00C22027"/>
    <w:rsid w:val="00C31999"/>
    <w:rsid w:val="00C31D1D"/>
    <w:rsid w:val="00C34184"/>
    <w:rsid w:val="00C3651B"/>
    <w:rsid w:val="00C3685A"/>
    <w:rsid w:val="00C36C1A"/>
    <w:rsid w:val="00C378FF"/>
    <w:rsid w:val="00C41A3A"/>
    <w:rsid w:val="00C43D37"/>
    <w:rsid w:val="00C47B76"/>
    <w:rsid w:val="00C50C14"/>
    <w:rsid w:val="00C52A83"/>
    <w:rsid w:val="00C531F3"/>
    <w:rsid w:val="00C70EDE"/>
    <w:rsid w:val="00C744BA"/>
    <w:rsid w:val="00C7472F"/>
    <w:rsid w:val="00C74B5E"/>
    <w:rsid w:val="00C75A1A"/>
    <w:rsid w:val="00C83767"/>
    <w:rsid w:val="00C86FD0"/>
    <w:rsid w:val="00C87023"/>
    <w:rsid w:val="00C879C0"/>
    <w:rsid w:val="00C900A3"/>
    <w:rsid w:val="00C91325"/>
    <w:rsid w:val="00CA5CD4"/>
    <w:rsid w:val="00CA6165"/>
    <w:rsid w:val="00CA71B1"/>
    <w:rsid w:val="00CB1129"/>
    <w:rsid w:val="00CB3990"/>
    <w:rsid w:val="00CB6F5D"/>
    <w:rsid w:val="00CC1798"/>
    <w:rsid w:val="00CC5389"/>
    <w:rsid w:val="00CC541D"/>
    <w:rsid w:val="00CC76F3"/>
    <w:rsid w:val="00CD0D05"/>
    <w:rsid w:val="00CD12C5"/>
    <w:rsid w:val="00CD3C31"/>
    <w:rsid w:val="00CD508F"/>
    <w:rsid w:val="00CD52C5"/>
    <w:rsid w:val="00CD64A6"/>
    <w:rsid w:val="00CD689E"/>
    <w:rsid w:val="00CE0EC4"/>
    <w:rsid w:val="00CE1D8E"/>
    <w:rsid w:val="00CE2177"/>
    <w:rsid w:val="00CE2A5C"/>
    <w:rsid w:val="00CE45B6"/>
    <w:rsid w:val="00CE7E5D"/>
    <w:rsid w:val="00CF7F93"/>
    <w:rsid w:val="00D0332B"/>
    <w:rsid w:val="00D0394C"/>
    <w:rsid w:val="00D0436B"/>
    <w:rsid w:val="00D074A4"/>
    <w:rsid w:val="00D16CB9"/>
    <w:rsid w:val="00D228D2"/>
    <w:rsid w:val="00D2481C"/>
    <w:rsid w:val="00D26E23"/>
    <w:rsid w:val="00D2791C"/>
    <w:rsid w:val="00D305FF"/>
    <w:rsid w:val="00D31870"/>
    <w:rsid w:val="00D334A1"/>
    <w:rsid w:val="00D40201"/>
    <w:rsid w:val="00D447F0"/>
    <w:rsid w:val="00D479D0"/>
    <w:rsid w:val="00D52211"/>
    <w:rsid w:val="00D52217"/>
    <w:rsid w:val="00D52FBD"/>
    <w:rsid w:val="00D556E5"/>
    <w:rsid w:val="00D606C3"/>
    <w:rsid w:val="00D6559C"/>
    <w:rsid w:val="00D71F6F"/>
    <w:rsid w:val="00D73704"/>
    <w:rsid w:val="00D768AF"/>
    <w:rsid w:val="00D77C26"/>
    <w:rsid w:val="00D80B74"/>
    <w:rsid w:val="00D847F9"/>
    <w:rsid w:val="00D853FB"/>
    <w:rsid w:val="00D958D1"/>
    <w:rsid w:val="00D9620C"/>
    <w:rsid w:val="00DB0960"/>
    <w:rsid w:val="00DB7179"/>
    <w:rsid w:val="00DC0A5A"/>
    <w:rsid w:val="00DC1698"/>
    <w:rsid w:val="00DC39E5"/>
    <w:rsid w:val="00DC68F7"/>
    <w:rsid w:val="00DD1194"/>
    <w:rsid w:val="00DD25D4"/>
    <w:rsid w:val="00DD53BE"/>
    <w:rsid w:val="00DE1E49"/>
    <w:rsid w:val="00DE5729"/>
    <w:rsid w:val="00DE65FA"/>
    <w:rsid w:val="00DF11A7"/>
    <w:rsid w:val="00DF3960"/>
    <w:rsid w:val="00DF6687"/>
    <w:rsid w:val="00E006EE"/>
    <w:rsid w:val="00E025F3"/>
    <w:rsid w:val="00E03AC5"/>
    <w:rsid w:val="00E05ED7"/>
    <w:rsid w:val="00E10691"/>
    <w:rsid w:val="00E117AB"/>
    <w:rsid w:val="00E217E7"/>
    <w:rsid w:val="00E21F42"/>
    <w:rsid w:val="00E26889"/>
    <w:rsid w:val="00E27252"/>
    <w:rsid w:val="00E30AA3"/>
    <w:rsid w:val="00E3411D"/>
    <w:rsid w:val="00E35054"/>
    <w:rsid w:val="00E3757C"/>
    <w:rsid w:val="00E40171"/>
    <w:rsid w:val="00E44507"/>
    <w:rsid w:val="00E46E80"/>
    <w:rsid w:val="00E47230"/>
    <w:rsid w:val="00E47D3C"/>
    <w:rsid w:val="00E47FEC"/>
    <w:rsid w:val="00E5013A"/>
    <w:rsid w:val="00E50C22"/>
    <w:rsid w:val="00E519FD"/>
    <w:rsid w:val="00E539F6"/>
    <w:rsid w:val="00E560F7"/>
    <w:rsid w:val="00E56260"/>
    <w:rsid w:val="00E57468"/>
    <w:rsid w:val="00E57F44"/>
    <w:rsid w:val="00E67458"/>
    <w:rsid w:val="00E734BF"/>
    <w:rsid w:val="00E7594E"/>
    <w:rsid w:val="00E80768"/>
    <w:rsid w:val="00E810EA"/>
    <w:rsid w:val="00E8495E"/>
    <w:rsid w:val="00E87F4D"/>
    <w:rsid w:val="00E90B34"/>
    <w:rsid w:val="00E9237B"/>
    <w:rsid w:val="00E9322E"/>
    <w:rsid w:val="00E962CA"/>
    <w:rsid w:val="00E9711B"/>
    <w:rsid w:val="00E9739B"/>
    <w:rsid w:val="00EB0131"/>
    <w:rsid w:val="00EB3E1C"/>
    <w:rsid w:val="00EB4527"/>
    <w:rsid w:val="00EC0A7D"/>
    <w:rsid w:val="00EC10FC"/>
    <w:rsid w:val="00EC2037"/>
    <w:rsid w:val="00EC49B6"/>
    <w:rsid w:val="00EC5AFD"/>
    <w:rsid w:val="00ED1A7B"/>
    <w:rsid w:val="00ED1EA2"/>
    <w:rsid w:val="00ED23C1"/>
    <w:rsid w:val="00ED2EF2"/>
    <w:rsid w:val="00ED764E"/>
    <w:rsid w:val="00EE263A"/>
    <w:rsid w:val="00EE490C"/>
    <w:rsid w:val="00EE6184"/>
    <w:rsid w:val="00EF3CC0"/>
    <w:rsid w:val="00EF4765"/>
    <w:rsid w:val="00F06980"/>
    <w:rsid w:val="00F06C08"/>
    <w:rsid w:val="00F1695D"/>
    <w:rsid w:val="00F206ED"/>
    <w:rsid w:val="00F20E61"/>
    <w:rsid w:val="00F233DC"/>
    <w:rsid w:val="00F23909"/>
    <w:rsid w:val="00F342BB"/>
    <w:rsid w:val="00F44AEA"/>
    <w:rsid w:val="00F457F9"/>
    <w:rsid w:val="00F54A93"/>
    <w:rsid w:val="00F652BD"/>
    <w:rsid w:val="00F65534"/>
    <w:rsid w:val="00F662AD"/>
    <w:rsid w:val="00F666D9"/>
    <w:rsid w:val="00F677C8"/>
    <w:rsid w:val="00F711EF"/>
    <w:rsid w:val="00F74546"/>
    <w:rsid w:val="00F74FE1"/>
    <w:rsid w:val="00F82B98"/>
    <w:rsid w:val="00FA2090"/>
    <w:rsid w:val="00FA5129"/>
    <w:rsid w:val="00FA6739"/>
    <w:rsid w:val="00FB0BAB"/>
    <w:rsid w:val="00FC26D1"/>
    <w:rsid w:val="00FC3D40"/>
    <w:rsid w:val="00FC56A8"/>
    <w:rsid w:val="00FD48B6"/>
    <w:rsid w:val="00FD4973"/>
    <w:rsid w:val="00FE4946"/>
    <w:rsid w:val="00FE4B6C"/>
    <w:rsid w:val="00FE5C29"/>
    <w:rsid w:val="00FE6F1C"/>
    <w:rsid w:val="00FE77C8"/>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3DF5F-AE95-4720-B36A-27328112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8FF"/>
  </w:style>
  <w:style w:type="paragraph" w:styleId="Heading1">
    <w:name w:val="heading 1"/>
    <w:basedOn w:val="Normal"/>
    <w:next w:val="Normal"/>
    <w:link w:val="Heading1Char"/>
    <w:uiPriority w:val="9"/>
    <w:qFormat/>
    <w:rsid w:val="00451F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2493"/>
    <w:pPr>
      <w:spacing w:after="0" w:line="240" w:lineRule="auto"/>
    </w:pPr>
    <w:rPr>
      <w:sz w:val="20"/>
      <w:szCs w:val="20"/>
    </w:rPr>
  </w:style>
  <w:style w:type="character" w:customStyle="1" w:styleId="FootnoteTextChar">
    <w:name w:val="Footnote Text Char"/>
    <w:basedOn w:val="DefaultParagraphFont"/>
    <w:link w:val="FootnoteText"/>
    <w:uiPriority w:val="99"/>
    <w:rsid w:val="000C2493"/>
    <w:rPr>
      <w:sz w:val="20"/>
      <w:szCs w:val="20"/>
    </w:rPr>
  </w:style>
  <w:style w:type="character" w:styleId="FootnoteReference">
    <w:name w:val="footnote reference"/>
    <w:basedOn w:val="DefaultParagraphFont"/>
    <w:uiPriority w:val="99"/>
    <w:unhideWhenUsed/>
    <w:rsid w:val="000C2493"/>
    <w:rPr>
      <w:vertAlign w:val="superscript"/>
    </w:rPr>
  </w:style>
  <w:style w:type="character" w:styleId="Hyperlink">
    <w:name w:val="Hyperlink"/>
    <w:basedOn w:val="DefaultParagraphFont"/>
    <w:uiPriority w:val="99"/>
    <w:unhideWhenUsed/>
    <w:rsid w:val="00985067"/>
    <w:rPr>
      <w:color w:val="0563C1" w:themeColor="hyperlink"/>
      <w:u w:val="single"/>
    </w:rPr>
  </w:style>
  <w:style w:type="paragraph" w:styleId="ListParagraph">
    <w:name w:val="List Paragraph"/>
    <w:basedOn w:val="Normal"/>
    <w:uiPriority w:val="34"/>
    <w:qFormat/>
    <w:rsid w:val="007B7ACD"/>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A67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6739"/>
  </w:style>
  <w:style w:type="paragraph" w:styleId="Footer">
    <w:name w:val="footer"/>
    <w:basedOn w:val="Normal"/>
    <w:link w:val="FooterChar"/>
    <w:uiPriority w:val="99"/>
    <w:unhideWhenUsed/>
    <w:rsid w:val="00FA6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739"/>
  </w:style>
  <w:style w:type="character" w:customStyle="1" w:styleId="Heading1Char">
    <w:name w:val="Heading 1 Char"/>
    <w:basedOn w:val="DefaultParagraphFont"/>
    <w:link w:val="Heading1"/>
    <w:uiPriority w:val="9"/>
    <w:rsid w:val="00451F16"/>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F74546"/>
    <w:pPr>
      <w:autoSpaceDE w:val="0"/>
      <w:autoSpaceDN w:val="0"/>
      <w:adjustRightInd w:val="0"/>
      <w:spacing w:after="0" w:line="240" w:lineRule="auto"/>
    </w:pPr>
    <w:rPr>
      <w:rFonts w:ascii="Palatino Linotype" w:hAnsi="Palatino Linotype" w:cs="Palatino Linotype"/>
      <w:color w:val="000000"/>
      <w:sz w:val="24"/>
      <w:szCs w:val="24"/>
    </w:rPr>
  </w:style>
  <w:style w:type="paragraph" w:styleId="BalloonText">
    <w:name w:val="Balloon Text"/>
    <w:basedOn w:val="Normal"/>
    <w:link w:val="BalloonTextChar"/>
    <w:uiPriority w:val="99"/>
    <w:semiHidden/>
    <w:unhideWhenUsed/>
    <w:rsid w:val="008E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7846">
      <w:bodyDiv w:val="1"/>
      <w:marLeft w:val="0"/>
      <w:marRight w:val="0"/>
      <w:marTop w:val="0"/>
      <w:marBottom w:val="0"/>
      <w:divBdr>
        <w:top w:val="none" w:sz="0" w:space="0" w:color="auto"/>
        <w:left w:val="none" w:sz="0" w:space="0" w:color="auto"/>
        <w:bottom w:val="none" w:sz="0" w:space="0" w:color="auto"/>
        <w:right w:val="none" w:sz="0" w:space="0" w:color="auto"/>
      </w:divBdr>
    </w:div>
    <w:div w:id="74401366">
      <w:bodyDiv w:val="1"/>
      <w:marLeft w:val="0"/>
      <w:marRight w:val="0"/>
      <w:marTop w:val="0"/>
      <w:marBottom w:val="0"/>
      <w:divBdr>
        <w:top w:val="none" w:sz="0" w:space="0" w:color="auto"/>
        <w:left w:val="none" w:sz="0" w:space="0" w:color="auto"/>
        <w:bottom w:val="none" w:sz="0" w:space="0" w:color="auto"/>
        <w:right w:val="none" w:sz="0" w:space="0" w:color="auto"/>
      </w:divBdr>
    </w:div>
    <w:div w:id="83654977">
      <w:bodyDiv w:val="1"/>
      <w:marLeft w:val="0"/>
      <w:marRight w:val="0"/>
      <w:marTop w:val="0"/>
      <w:marBottom w:val="0"/>
      <w:divBdr>
        <w:top w:val="none" w:sz="0" w:space="0" w:color="auto"/>
        <w:left w:val="none" w:sz="0" w:space="0" w:color="auto"/>
        <w:bottom w:val="none" w:sz="0" w:space="0" w:color="auto"/>
        <w:right w:val="none" w:sz="0" w:space="0" w:color="auto"/>
      </w:divBdr>
      <w:divsChild>
        <w:div w:id="1360468997">
          <w:marLeft w:val="547"/>
          <w:marRight w:val="0"/>
          <w:marTop w:val="154"/>
          <w:marBottom w:val="0"/>
          <w:divBdr>
            <w:top w:val="none" w:sz="0" w:space="0" w:color="auto"/>
            <w:left w:val="none" w:sz="0" w:space="0" w:color="auto"/>
            <w:bottom w:val="none" w:sz="0" w:space="0" w:color="auto"/>
            <w:right w:val="none" w:sz="0" w:space="0" w:color="auto"/>
          </w:divBdr>
        </w:div>
      </w:divsChild>
    </w:div>
    <w:div w:id="85031880">
      <w:bodyDiv w:val="1"/>
      <w:marLeft w:val="0"/>
      <w:marRight w:val="0"/>
      <w:marTop w:val="0"/>
      <w:marBottom w:val="0"/>
      <w:divBdr>
        <w:top w:val="none" w:sz="0" w:space="0" w:color="auto"/>
        <w:left w:val="none" w:sz="0" w:space="0" w:color="auto"/>
        <w:bottom w:val="none" w:sz="0" w:space="0" w:color="auto"/>
        <w:right w:val="none" w:sz="0" w:space="0" w:color="auto"/>
      </w:divBdr>
    </w:div>
    <w:div w:id="140509566">
      <w:bodyDiv w:val="1"/>
      <w:marLeft w:val="0"/>
      <w:marRight w:val="0"/>
      <w:marTop w:val="0"/>
      <w:marBottom w:val="0"/>
      <w:divBdr>
        <w:top w:val="none" w:sz="0" w:space="0" w:color="auto"/>
        <w:left w:val="none" w:sz="0" w:space="0" w:color="auto"/>
        <w:bottom w:val="none" w:sz="0" w:space="0" w:color="auto"/>
        <w:right w:val="none" w:sz="0" w:space="0" w:color="auto"/>
      </w:divBdr>
    </w:div>
    <w:div w:id="152457011">
      <w:bodyDiv w:val="1"/>
      <w:marLeft w:val="0"/>
      <w:marRight w:val="0"/>
      <w:marTop w:val="0"/>
      <w:marBottom w:val="0"/>
      <w:divBdr>
        <w:top w:val="none" w:sz="0" w:space="0" w:color="auto"/>
        <w:left w:val="none" w:sz="0" w:space="0" w:color="auto"/>
        <w:bottom w:val="none" w:sz="0" w:space="0" w:color="auto"/>
        <w:right w:val="none" w:sz="0" w:space="0" w:color="auto"/>
      </w:divBdr>
    </w:div>
    <w:div w:id="257374222">
      <w:bodyDiv w:val="1"/>
      <w:marLeft w:val="0"/>
      <w:marRight w:val="0"/>
      <w:marTop w:val="0"/>
      <w:marBottom w:val="0"/>
      <w:divBdr>
        <w:top w:val="none" w:sz="0" w:space="0" w:color="auto"/>
        <w:left w:val="none" w:sz="0" w:space="0" w:color="auto"/>
        <w:bottom w:val="none" w:sz="0" w:space="0" w:color="auto"/>
        <w:right w:val="none" w:sz="0" w:space="0" w:color="auto"/>
      </w:divBdr>
      <w:divsChild>
        <w:div w:id="432750318">
          <w:marLeft w:val="0"/>
          <w:marRight w:val="0"/>
          <w:marTop w:val="0"/>
          <w:marBottom w:val="0"/>
          <w:divBdr>
            <w:top w:val="none" w:sz="0" w:space="0" w:color="auto"/>
            <w:left w:val="none" w:sz="0" w:space="0" w:color="auto"/>
            <w:bottom w:val="none" w:sz="0" w:space="0" w:color="auto"/>
            <w:right w:val="none" w:sz="0" w:space="0" w:color="auto"/>
          </w:divBdr>
        </w:div>
        <w:div w:id="1510634077">
          <w:marLeft w:val="0"/>
          <w:marRight w:val="0"/>
          <w:marTop w:val="0"/>
          <w:marBottom w:val="0"/>
          <w:divBdr>
            <w:top w:val="none" w:sz="0" w:space="0" w:color="auto"/>
            <w:left w:val="none" w:sz="0" w:space="0" w:color="auto"/>
            <w:bottom w:val="none" w:sz="0" w:space="0" w:color="auto"/>
            <w:right w:val="none" w:sz="0" w:space="0" w:color="auto"/>
          </w:divBdr>
        </w:div>
      </w:divsChild>
    </w:div>
    <w:div w:id="272709004">
      <w:bodyDiv w:val="1"/>
      <w:marLeft w:val="0"/>
      <w:marRight w:val="0"/>
      <w:marTop w:val="0"/>
      <w:marBottom w:val="0"/>
      <w:divBdr>
        <w:top w:val="none" w:sz="0" w:space="0" w:color="auto"/>
        <w:left w:val="none" w:sz="0" w:space="0" w:color="auto"/>
        <w:bottom w:val="none" w:sz="0" w:space="0" w:color="auto"/>
        <w:right w:val="none" w:sz="0" w:space="0" w:color="auto"/>
      </w:divBdr>
    </w:div>
    <w:div w:id="358701168">
      <w:bodyDiv w:val="1"/>
      <w:marLeft w:val="0"/>
      <w:marRight w:val="0"/>
      <w:marTop w:val="0"/>
      <w:marBottom w:val="0"/>
      <w:divBdr>
        <w:top w:val="none" w:sz="0" w:space="0" w:color="auto"/>
        <w:left w:val="none" w:sz="0" w:space="0" w:color="auto"/>
        <w:bottom w:val="none" w:sz="0" w:space="0" w:color="auto"/>
        <w:right w:val="none" w:sz="0" w:space="0" w:color="auto"/>
      </w:divBdr>
    </w:div>
    <w:div w:id="557936088">
      <w:bodyDiv w:val="1"/>
      <w:marLeft w:val="0"/>
      <w:marRight w:val="0"/>
      <w:marTop w:val="0"/>
      <w:marBottom w:val="0"/>
      <w:divBdr>
        <w:top w:val="none" w:sz="0" w:space="0" w:color="auto"/>
        <w:left w:val="none" w:sz="0" w:space="0" w:color="auto"/>
        <w:bottom w:val="none" w:sz="0" w:space="0" w:color="auto"/>
        <w:right w:val="none" w:sz="0" w:space="0" w:color="auto"/>
      </w:divBdr>
    </w:div>
    <w:div w:id="568268722">
      <w:bodyDiv w:val="1"/>
      <w:marLeft w:val="0"/>
      <w:marRight w:val="0"/>
      <w:marTop w:val="0"/>
      <w:marBottom w:val="0"/>
      <w:divBdr>
        <w:top w:val="none" w:sz="0" w:space="0" w:color="auto"/>
        <w:left w:val="none" w:sz="0" w:space="0" w:color="auto"/>
        <w:bottom w:val="none" w:sz="0" w:space="0" w:color="auto"/>
        <w:right w:val="none" w:sz="0" w:space="0" w:color="auto"/>
      </w:divBdr>
    </w:div>
    <w:div w:id="614484011">
      <w:bodyDiv w:val="1"/>
      <w:marLeft w:val="0"/>
      <w:marRight w:val="0"/>
      <w:marTop w:val="0"/>
      <w:marBottom w:val="0"/>
      <w:divBdr>
        <w:top w:val="none" w:sz="0" w:space="0" w:color="auto"/>
        <w:left w:val="none" w:sz="0" w:space="0" w:color="auto"/>
        <w:bottom w:val="none" w:sz="0" w:space="0" w:color="auto"/>
        <w:right w:val="none" w:sz="0" w:space="0" w:color="auto"/>
      </w:divBdr>
    </w:div>
    <w:div w:id="617876382">
      <w:bodyDiv w:val="1"/>
      <w:marLeft w:val="0"/>
      <w:marRight w:val="0"/>
      <w:marTop w:val="0"/>
      <w:marBottom w:val="0"/>
      <w:divBdr>
        <w:top w:val="none" w:sz="0" w:space="0" w:color="auto"/>
        <w:left w:val="none" w:sz="0" w:space="0" w:color="auto"/>
        <w:bottom w:val="none" w:sz="0" w:space="0" w:color="auto"/>
        <w:right w:val="none" w:sz="0" w:space="0" w:color="auto"/>
      </w:divBdr>
    </w:div>
    <w:div w:id="622462532">
      <w:bodyDiv w:val="1"/>
      <w:marLeft w:val="0"/>
      <w:marRight w:val="0"/>
      <w:marTop w:val="0"/>
      <w:marBottom w:val="0"/>
      <w:divBdr>
        <w:top w:val="none" w:sz="0" w:space="0" w:color="auto"/>
        <w:left w:val="none" w:sz="0" w:space="0" w:color="auto"/>
        <w:bottom w:val="none" w:sz="0" w:space="0" w:color="auto"/>
        <w:right w:val="none" w:sz="0" w:space="0" w:color="auto"/>
      </w:divBdr>
    </w:div>
    <w:div w:id="639921590">
      <w:bodyDiv w:val="1"/>
      <w:marLeft w:val="0"/>
      <w:marRight w:val="0"/>
      <w:marTop w:val="0"/>
      <w:marBottom w:val="0"/>
      <w:divBdr>
        <w:top w:val="none" w:sz="0" w:space="0" w:color="auto"/>
        <w:left w:val="none" w:sz="0" w:space="0" w:color="auto"/>
        <w:bottom w:val="none" w:sz="0" w:space="0" w:color="auto"/>
        <w:right w:val="none" w:sz="0" w:space="0" w:color="auto"/>
      </w:divBdr>
    </w:div>
    <w:div w:id="659768232">
      <w:bodyDiv w:val="1"/>
      <w:marLeft w:val="0"/>
      <w:marRight w:val="0"/>
      <w:marTop w:val="0"/>
      <w:marBottom w:val="0"/>
      <w:divBdr>
        <w:top w:val="none" w:sz="0" w:space="0" w:color="auto"/>
        <w:left w:val="none" w:sz="0" w:space="0" w:color="auto"/>
        <w:bottom w:val="none" w:sz="0" w:space="0" w:color="auto"/>
        <w:right w:val="none" w:sz="0" w:space="0" w:color="auto"/>
      </w:divBdr>
    </w:div>
    <w:div w:id="747659008">
      <w:bodyDiv w:val="1"/>
      <w:marLeft w:val="0"/>
      <w:marRight w:val="0"/>
      <w:marTop w:val="0"/>
      <w:marBottom w:val="0"/>
      <w:divBdr>
        <w:top w:val="none" w:sz="0" w:space="0" w:color="auto"/>
        <w:left w:val="none" w:sz="0" w:space="0" w:color="auto"/>
        <w:bottom w:val="none" w:sz="0" w:space="0" w:color="auto"/>
        <w:right w:val="none" w:sz="0" w:space="0" w:color="auto"/>
      </w:divBdr>
    </w:div>
    <w:div w:id="804808886">
      <w:bodyDiv w:val="1"/>
      <w:marLeft w:val="0"/>
      <w:marRight w:val="0"/>
      <w:marTop w:val="0"/>
      <w:marBottom w:val="0"/>
      <w:divBdr>
        <w:top w:val="none" w:sz="0" w:space="0" w:color="auto"/>
        <w:left w:val="none" w:sz="0" w:space="0" w:color="auto"/>
        <w:bottom w:val="none" w:sz="0" w:space="0" w:color="auto"/>
        <w:right w:val="none" w:sz="0" w:space="0" w:color="auto"/>
      </w:divBdr>
    </w:div>
    <w:div w:id="820123205">
      <w:bodyDiv w:val="1"/>
      <w:marLeft w:val="0"/>
      <w:marRight w:val="0"/>
      <w:marTop w:val="0"/>
      <w:marBottom w:val="0"/>
      <w:divBdr>
        <w:top w:val="none" w:sz="0" w:space="0" w:color="auto"/>
        <w:left w:val="none" w:sz="0" w:space="0" w:color="auto"/>
        <w:bottom w:val="none" w:sz="0" w:space="0" w:color="auto"/>
        <w:right w:val="none" w:sz="0" w:space="0" w:color="auto"/>
      </w:divBdr>
    </w:div>
    <w:div w:id="835464775">
      <w:bodyDiv w:val="1"/>
      <w:marLeft w:val="0"/>
      <w:marRight w:val="0"/>
      <w:marTop w:val="0"/>
      <w:marBottom w:val="0"/>
      <w:divBdr>
        <w:top w:val="none" w:sz="0" w:space="0" w:color="auto"/>
        <w:left w:val="none" w:sz="0" w:space="0" w:color="auto"/>
        <w:bottom w:val="none" w:sz="0" w:space="0" w:color="auto"/>
        <w:right w:val="none" w:sz="0" w:space="0" w:color="auto"/>
      </w:divBdr>
      <w:divsChild>
        <w:div w:id="236790614">
          <w:marLeft w:val="0"/>
          <w:marRight w:val="0"/>
          <w:marTop w:val="0"/>
          <w:marBottom w:val="0"/>
          <w:divBdr>
            <w:top w:val="none" w:sz="0" w:space="0" w:color="auto"/>
            <w:left w:val="none" w:sz="0" w:space="0" w:color="auto"/>
            <w:bottom w:val="none" w:sz="0" w:space="0" w:color="auto"/>
            <w:right w:val="none" w:sz="0" w:space="0" w:color="auto"/>
          </w:divBdr>
        </w:div>
        <w:div w:id="953441338">
          <w:marLeft w:val="0"/>
          <w:marRight w:val="0"/>
          <w:marTop w:val="0"/>
          <w:marBottom w:val="0"/>
          <w:divBdr>
            <w:top w:val="none" w:sz="0" w:space="0" w:color="auto"/>
            <w:left w:val="none" w:sz="0" w:space="0" w:color="auto"/>
            <w:bottom w:val="none" w:sz="0" w:space="0" w:color="auto"/>
            <w:right w:val="none" w:sz="0" w:space="0" w:color="auto"/>
          </w:divBdr>
        </w:div>
      </w:divsChild>
    </w:div>
    <w:div w:id="920482625">
      <w:bodyDiv w:val="1"/>
      <w:marLeft w:val="0"/>
      <w:marRight w:val="0"/>
      <w:marTop w:val="0"/>
      <w:marBottom w:val="0"/>
      <w:divBdr>
        <w:top w:val="none" w:sz="0" w:space="0" w:color="auto"/>
        <w:left w:val="none" w:sz="0" w:space="0" w:color="auto"/>
        <w:bottom w:val="none" w:sz="0" w:space="0" w:color="auto"/>
        <w:right w:val="none" w:sz="0" w:space="0" w:color="auto"/>
      </w:divBdr>
    </w:div>
    <w:div w:id="921373102">
      <w:bodyDiv w:val="1"/>
      <w:marLeft w:val="0"/>
      <w:marRight w:val="0"/>
      <w:marTop w:val="0"/>
      <w:marBottom w:val="0"/>
      <w:divBdr>
        <w:top w:val="none" w:sz="0" w:space="0" w:color="auto"/>
        <w:left w:val="none" w:sz="0" w:space="0" w:color="auto"/>
        <w:bottom w:val="none" w:sz="0" w:space="0" w:color="auto"/>
        <w:right w:val="none" w:sz="0" w:space="0" w:color="auto"/>
      </w:divBdr>
    </w:div>
    <w:div w:id="937909683">
      <w:bodyDiv w:val="1"/>
      <w:marLeft w:val="0"/>
      <w:marRight w:val="0"/>
      <w:marTop w:val="0"/>
      <w:marBottom w:val="0"/>
      <w:divBdr>
        <w:top w:val="none" w:sz="0" w:space="0" w:color="auto"/>
        <w:left w:val="none" w:sz="0" w:space="0" w:color="auto"/>
        <w:bottom w:val="none" w:sz="0" w:space="0" w:color="auto"/>
        <w:right w:val="none" w:sz="0" w:space="0" w:color="auto"/>
      </w:divBdr>
    </w:div>
    <w:div w:id="1084110681">
      <w:bodyDiv w:val="1"/>
      <w:marLeft w:val="0"/>
      <w:marRight w:val="0"/>
      <w:marTop w:val="0"/>
      <w:marBottom w:val="0"/>
      <w:divBdr>
        <w:top w:val="none" w:sz="0" w:space="0" w:color="auto"/>
        <w:left w:val="none" w:sz="0" w:space="0" w:color="auto"/>
        <w:bottom w:val="none" w:sz="0" w:space="0" w:color="auto"/>
        <w:right w:val="none" w:sz="0" w:space="0" w:color="auto"/>
      </w:divBdr>
    </w:div>
    <w:div w:id="1204170048">
      <w:bodyDiv w:val="1"/>
      <w:marLeft w:val="0"/>
      <w:marRight w:val="0"/>
      <w:marTop w:val="0"/>
      <w:marBottom w:val="0"/>
      <w:divBdr>
        <w:top w:val="none" w:sz="0" w:space="0" w:color="auto"/>
        <w:left w:val="none" w:sz="0" w:space="0" w:color="auto"/>
        <w:bottom w:val="none" w:sz="0" w:space="0" w:color="auto"/>
        <w:right w:val="none" w:sz="0" w:space="0" w:color="auto"/>
      </w:divBdr>
    </w:div>
    <w:div w:id="1220828688">
      <w:bodyDiv w:val="1"/>
      <w:marLeft w:val="0"/>
      <w:marRight w:val="0"/>
      <w:marTop w:val="0"/>
      <w:marBottom w:val="0"/>
      <w:divBdr>
        <w:top w:val="none" w:sz="0" w:space="0" w:color="auto"/>
        <w:left w:val="none" w:sz="0" w:space="0" w:color="auto"/>
        <w:bottom w:val="none" w:sz="0" w:space="0" w:color="auto"/>
        <w:right w:val="none" w:sz="0" w:space="0" w:color="auto"/>
      </w:divBdr>
    </w:div>
    <w:div w:id="1221475441">
      <w:bodyDiv w:val="1"/>
      <w:marLeft w:val="0"/>
      <w:marRight w:val="0"/>
      <w:marTop w:val="0"/>
      <w:marBottom w:val="0"/>
      <w:divBdr>
        <w:top w:val="none" w:sz="0" w:space="0" w:color="auto"/>
        <w:left w:val="none" w:sz="0" w:space="0" w:color="auto"/>
        <w:bottom w:val="none" w:sz="0" w:space="0" w:color="auto"/>
        <w:right w:val="none" w:sz="0" w:space="0" w:color="auto"/>
      </w:divBdr>
    </w:div>
    <w:div w:id="1232427910">
      <w:bodyDiv w:val="1"/>
      <w:marLeft w:val="0"/>
      <w:marRight w:val="0"/>
      <w:marTop w:val="0"/>
      <w:marBottom w:val="0"/>
      <w:divBdr>
        <w:top w:val="none" w:sz="0" w:space="0" w:color="auto"/>
        <w:left w:val="none" w:sz="0" w:space="0" w:color="auto"/>
        <w:bottom w:val="none" w:sz="0" w:space="0" w:color="auto"/>
        <w:right w:val="none" w:sz="0" w:space="0" w:color="auto"/>
      </w:divBdr>
    </w:div>
    <w:div w:id="1240865263">
      <w:bodyDiv w:val="1"/>
      <w:marLeft w:val="0"/>
      <w:marRight w:val="0"/>
      <w:marTop w:val="0"/>
      <w:marBottom w:val="0"/>
      <w:divBdr>
        <w:top w:val="none" w:sz="0" w:space="0" w:color="auto"/>
        <w:left w:val="none" w:sz="0" w:space="0" w:color="auto"/>
        <w:bottom w:val="none" w:sz="0" w:space="0" w:color="auto"/>
        <w:right w:val="none" w:sz="0" w:space="0" w:color="auto"/>
      </w:divBdr>
    </w:div>
    <w:div w:id="1275014138">
      <w:bodyDiv w:val="1"/>
      <w:marLeft w:val="0"/>
      <w:marRight w:val="0"/>
      <w:marTop w:val="0"/>
      <w:marBottom w:val="0"/>
      <w:divBdr>
        <w:top w:val="none" w:sz="0" w:space="0" w:color="auto"/>
        <w:left w:val="none" w:sz="0" w:space="0" w:color="auto"/>
        <w:bottom w:val="none" w:sz="0" w:space="0" w:color="auto"/>
        <w:right w:val="none" w:sz="0" w:space="0" w:color="auto"/>
      </w:divBdr>
    </w:div>
    <w:div w:id="1282687976">
      <w:bodyDiv w:val="1"/>
      <w:marLeft w:val="0"/>
      <w:marRight w:val="0"/>
      <w:marTop w:val="0"/>
      <w:marBottom w:val="0"/>
      <w:divBdr>
        <w:top w:val="none" w:sz="0" w:space="0" w:color="auto"/>
        <w:left w:val="none" w:sz="0" w:space="0" w:color="auto"/>
        <w:bottom w:val="none" w:sz="0" w:space="0" w:color="auto"/>
        <w:right w:val="none" w:sz="0" w:space="0" w:color="auto"/>
      </w:divBdr>
    </w:div>
    <w:div w:id="1357346026">
      <w:bodyDiv w:val="1"/>
      <w:marLeft w:val="0"/>
      <w:marRight w:val="0"/>
      <w:marTop w:val="0"/>
      <w:marBottom w:val="0"/>
      <w:divBdr>
        <w:top w:val="none" w:sz="0" w:space="0" w:color="auto"/>
        <w:left w:val="none" w:sz="0" w:space="0" w:color="auto"/>
        <w:bottom w:val="none" w:sz="0" w:space="0" w:color="auto"/>
        <w:right w:val="none" w:sz="0" w:space="0" w:color="auto"/>
      </w:divBdr>
      <w:divsChild>
        <w:div w:id="1423142548">
          <w:marLeft w:val="0"/>
          <w:marRight w:val="0"/>
          <w:marTop w:val="240"/>
          <w:marBottom w:val="0"/>
          <w:divBdr>
            <w:top w:val="none" w:sz="0" w:space="0" w:color="auto"/>
            <w:left w:val="none" w:sz="0" w:space="0" w:color="auto"/>
            <w:bottom w:val="none" w:sz="0" w:space="0" w:color="auto"/>
            <w:right w:val="none" w:sz="0" w:space="0" w:color="auto"/>
          </w:divBdr>
        </w:div>
      </w:divsChild>
    </w:div>
    <w:div w:id="1371567485">
      <w:bodyDiv w:val="1"/>
      <w:marLeft w:val="0"/>
      <w:marRight w:val="0"/>
      <w:marTop w:val="0"/>
      <w:marBottom w:val="0"/>
      <w:divBdr>
        <w:top w:val="none" w:sz="0" w:space="0" w:color="auto"/>
        <w:left w:val="none" w:sz="0" w:space="0" w:color="auto"/>
        <w:bottom w:val="none" w:sz="0" w:space="0" w:color="auto"/>
        <w:right w:val="none" w:sz="0" w:space="0" w:color="auto"/>
      </w:divBdr>
    </w:div>
    <w:div w:id="1434204013">
      <w:bodyDiv w:val="1"/>
      <w:marLeft w:val="0"/>
      <w:marRight w:val="0"/>
      <w:marTop w:val="0"/>
      <w:marBottom w:val="0"/>
      <w:divBdr>
        <w:top w:val="none" w:sz="0" w:space="0" w:color="auto"/>
        <w:left w:val="none" w:sz="0" w:space="0" w:color="auto"/>
        <w:bottom w:val="none" w:sz="0" w:space="0" w:color="auto"/>
        <w:right w:val="none" w:sz="0" w:space="0" w:color="auto"/>
      </w:divBdr>
    </w:div>
    <w:div w:id="1463890694">
      <w:bodyDiv w:val="1"/>
      <w:marLeft w:val="0"/>
      <w:marRight w:val="0"/>
      <w:marTop w:val="0"/>
      <w:marBottom w:val="0"/>
      <w:divBdr>
        <w:top w:val="none" w:sz="0" w:space="0" w:color="auto"/>
        <w:left w:val="none" w:sz="0" w:space="0" w:color="auto"/>
        <w:bottom w:val="none" w:sz="0" w:space="0" w:color="auto"/>
        <w:right w:val="none" w:sz="0" w:space="0" w:color="auto"/>
      </w:divBdr>
    </w:div>
    <w:div w:id="1491753342">
      <w:bodyDiv w:val="1"/>
      <w:marLeft w:val="0"/>
      <w:marRight w:val="0"/>
      <w:marTop w:val="0"/>
      <w:marBottom w:val="0"/>
      <w:divBdr>
        <w:top w:val="none" w:sz="0" w:space="0" w:color="auto"/>
        <w:left w:val="none" w:sz="0" w:space="0" w:color="auto"/>
        <w:bottom w:val="none" w:sz="0" w:space="0" w:color="auto"/>
        <w:right w:val="none" w:sz="0" w:space="0" w:color="auto"/>
      </w:divBdr>
    </w:div>
    <w:div w:id="1491942919">
      <w:bodyDiv w:val="1"/>
      <w:marLeft w:val="0"/>
      <w:marRight w:val="0"/>
      <w:marTop w:val="0"/>
      <w:marBottom w:val="0"/>
      <w:divBdr>
        <w:top w:val="none" w:sz="0" w:space="0" w:color="auto"/>
        <w:left w:val="none" w:sz="0" w:space="0" w:color="auto"/>
        <w:bottom w:val="none" w:sz="0" w:space="0" w:color="auto"/>
        <w:right w:val="none" w:sz="0" w:space="0" w:color="auto"/>
      </w:divBdr>
    </w:div>
    <w:div w:id="1526942888">
      <w:bodyDiv w:val="1"/>
      <w:marLeft w:val="0"/>
      <w:marRight w:val="0"/>
      <w:marTop w:val="0"/>
      <w:marBottom w:val="0"/>
      <w:divBdr>
        <w:top w:val="none" w:sz="0" w:space="0" w:color="auto"/>
        <w:left w:val="none" w:sz="0" w:space="0" w:color="auto"/>
        <w:bottom w:val="none" w:sz="0" w:space="0" w:color="auto"/>
        <w:right w:val="none" w:sz="0" w:space="0" w:color="auto"/>
      </w:divBdr>
    </w:div>
    <w:div w:id="1564177709">
      <w:bodyDiv w:val="1"/>
      <w:marLeft w:val="0"/>
      <w:marRight w:val="0"/>
      <w:marTop w:val="0"/>
      <w:marBottom w:val="0"/>
      <w:divBdr>
        <w:top w:val="none" w:sz="0" w:space="0" w:color="auto"/>
        <w:left w:val="none" w:sz="0" w:space="0" w:color="auto"/>
        <w:bottom w:val="none" w:sz="0" w:space="0" w:color="auto"/>
        <w:right w:val="none" w:sz="0" w:space="0" w:color="auto"/>
      </w:divBdr>
    </w:div>
    <w:div w:id="1567178665">
      <w:bodyDiv w:val="1"/>
      <w:marLeft w:val="0"/>
      <w:marRight w:val="0"/>
      <w:marTop w:val="0"/>
      <w:marBottom w:val="0"/>
      <w:divBdr>
        <w:top w:val="none" w:sz="0" w:space="0" w:color="auto"/>
        <w:left w:val="none" w:sz="0" w:space="0" w:color="auto"/>
        <w:bottom w:val="none" w:sz="0" w:space="0" w:color="auto"/>
        <w:right w:val="none" w:sz="0" w:space="0" w:color="auto"/>
      </w:divBdr>
    </w:div>
    <w:div w:id="1592397544">
      <w:bodyDiv w:val="1"/>
      <w:marLeft w:val="0"/>
      <w:marRight w:val="0"/>
      <w:marTop w:val="0"/>
      <w:marBottom w:val="0"/>
      <w:divBdr>
        <w:top w:val="none" w:sz="0" w:space="0" w:color="auto"/>
        <w:left w:val="none" w:sz="0" w:space="0" w:color="auto"/>
        <w:bottom w:val="none" w:sz="0" w:space="0" w:color="auto"/>
        <w:right w:val="none" w:sz="0" w:space="0" w:color="auto"/>
      </w:divBdr>
      <w:divsChild>
        <w:div w:id="1479028758">
          <w:marLeft w:val="547"/>
          <w:marRight w:val="0"/>
          <w:marTop w:val="154"/>
          <w:marBottom w:val="0"/>
          <w:divBdr>
            <w:top w:val="none" w:sz="0" w:space="0" w:color="auto"/>
            <w:left w:val="none" w:sz="0" w:space="0" w:color="auto"/>
            <w:bottom w:val="none" w:sz="0" w:space="0" w:color="auto"/>
            <w:right w:val="none" w:sz="0" w:space="0" w:color="auto"/>
          </w:divBdr>
        </w:div>
      </w:divsChild>
    </w:div>
    <w:div w:id="1608349797">
      <w:bodyDiv w:val="1"/>
      <w:marLeft w:val="0"/>
      <w:marRight w:val="0"/>
      <w:marTop w:val="0"/>
      <w:marBottom w:val="0"/>
      <w:divBdr>
        <w:top w:val="none" w:sz="0" w:space="0" w:color="auto"/>
        <w:left w:val="none" w:sz="0" w:space="0" w:color="auto"/>
        <w:bottom w:val="none" w:sz="0" w:space="0" w:color="auto"/>
        <w:right w:val="none" w:sz="0" w:space="0" w:color="auto"/>
      </w:divBdr>
      <w:divsChild>
        <w:div w:id="947852378">
          <w:marLeft w:val="547"/>
          <w:marRight w:val="0"/>
          <w:marTop w:val="154"/>
          <w:marBottom w:val="0"/>
          <w:divBdr>
            <w:top w:val="none" w:sz="0" w:space="0" w:color="auto"/>
            <w:left w:val="none" w:sz="0" w:space="0" w:color="auto"/>
            <w:bottom w:val="none" w:sz="0" w:space="0" w:color="auto"/>
            <w:right w:val="none" w:sz="0" w:space="0" w:color="auto"/>
          </w:divBdr>
        </w:div>
      </w:divsChild>
    </w:div>
    <w:div w:id="1683700691">
      <w:bodyDiv w:val="1"/>
      <w:marLeft w:val="0"/>
      <w:marRight w:val="0"/>
      <w:marTop w:val="0"/>
      <w:marBottom w:val="0"/>
      <w:divBdr>
        <w:top w:val="none" w:sz="0" w:space="0" w:color="auto"/>
        <w:left w:val="none" w:sz="0" w:space="0" w:color="auto"/>
        <w:bottom w:val="none" w:sz="0" w:space="0" w:color="auto"/>
        <w:right w:val="none" w:sz="0" w:space="0" w:color="auto"/>
      </w:divBdr>
    </w:div>
    <w:div w:id="1763917117">
      <w:bodyDiv w:val="1"/>
      <w:marLeft w:val="0"/>
      <w:marRight w:val="0"/>
      <w:marTop w:val="0"/>
      <w:marBottom w:val="0"/>
      <w:divBdr>
        <w:top w:val="none" w:sz="0" w:space="0" w:color="auto"/>
        <w:left w:val="none" w:sz="0" w:space="0" w:color="auto"/>
        <w:bottom w:val="none" w:sz="0" w:space="0" w:color="auto"/>
        <w:right w:val="none" w:sz="0" w:space="0" w:color="auto"/>
      </w:divBdr>
    </w:div>
    <w:div w:id="1807889648">
      <w:bodyDiv w:val="1"/>
      <w:marLeft w:val="0"/>
      <w:marRight w:val="0"/>
      <w:marTop w:val="0"/>
      <w:marBottom w:val="0"/>
      <w:divBdr>
        <w:top w:val="none" w:sz="0" w:space="0" w:color="auto"/>
        <w:left w:val="none" w:sz="0" w:space="0" w:color="auto"/>
        <w:bottom w:val="none" w:sz="0" w:space="0" w:color="auto"/>
        <w:right w:val="none" w:sz="0" w:space="0" w:color="auto"/>
      </w:divBdr>
    </w:div>
    <w:div w:id="1916207358">
      <w:bodyDiv w:val="1"/>
      <w:marLeft w:val="0"/>
      <w:marRight w:val="0"/>
      <w:marTop w:val="0"/>
      <w:marBottom w:val="0"/>
      <w:divBdr>
        <w:top w:val="none" w:sz="0" w:space="0" w:color="auto"/>
        <w:left w:val="none" w:sz="0" w:space="0" w:color="auto"/>
        <w:bottom w:val="none" w:sz="0" w:space="0" w:color="auto"/>
        <w:right w:val="none" w:sz="0" w:space="0" w:color="auto"/>
      </w:divBdr>
    </w:div>
    <w:div w:id="1921327995">
      <w:bodyDiv w:val="1"/>
      <w:marLeft w:val="0"/>
      <w:marRight w:val="0"/>
      <w:marTop w:val="0"/>
      <w:marBottom w:val="0"/>
      <w:divBdr>
        <w:top w:val="none" w:sz="0" w:space="0" w:color="auto"/>
        <w:left w:val="none" w:sz="0" w:space="0" w:color="auto"/>
        <w:bottom w:val="none" w:sz="0" w:space="0" w:color="auto"/>
        <w:right w:val="none" w:sz="0" w:space="0" w:color="auto"/>
      </w:divBdr>
    </w:div>
    <w:div w:id="19533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scot/S5_Finance/General%20Documents/3._Dr_Tobias_Lock_Edinburgh_Law_School.pdf" TargetMode="External"/><Relationship Id="rId2" Type="http://schemas.openxmlformats.org/officeDocument/2006/relationships/hyperlink" Target="http://www.supremecourt.uk/docs/draft-transcript-thursday-161208.pdf" TargetMode="External"/><Relationship Id="rId1" Type="http://schemas.openxmlformats.org/officeDocument/2006/relationships/hyperlink" Target="http://judicialpowerproject.org.uk/wp-content/uploads/2016/12/Finnis-2016-Brexit-and-the-Balance-of-Our-Constitution3.pdf" TargetMode="External"/><Relationship Id="rId5" Type="http://schemas.openxmlformats.org/officeDocument/2006/relationships/hyperlink" Target="https://ssrn.com/abstract=3029656" TargetMode="External"/><Relationship Id="rId4" Type="http://schemas.openxmlformats.org/officeDocument/2006/relationships/hyperlink" Target="https://www-lexisnexis-com.ezproxy.brighton.ac.uk/uk/legal/search/enhRunRemoteLink.do?linkInfo=F%23GB%23CHD%23sel1%251887%25vol%2536%25tpage%25576%25year%251887%25page%25573%25sel2%2536%25&amp;A=0.9948826643475417&amp;backKey=20_T28402398446&amp;service=citation&amp;ersKey=23_T28402398445&amp;langcountry=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CEA5-9115-40A7-A5F1-485547E3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8499</Words>
  <Characters>48446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Lang</dc:creator>
  <cp:lastModifiedBy>Richard Lang</cp:lastModifiedBy>
  <cp:revision>2</cp:revision>
  <cp:lastPrinted>2019-02-03T20:54:00Z</cp:lastPrinted>
  <dcterms:created xsi:type="dcterms:W3CDTF">2019-04-30T10:51:00Z</dcterms:created>
  <dcterms:modified xsi:type="dcterms:W3CDTF">2019-04-30T10:51:00Z</dcterms:modified>
</cp:coreProperties>
</file>