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9F4A7" w14:textId="77777777" w:rsidR="000150C4" w:rsidRPr="00B44023" w:rsidRDefault="000150C4" w:rsidP="006F75EC">
      <w:pPr>
        <w:pStyle w:val="Naslov1"/>
        <w:rPr>
          <w:sz w:val="28"/>
        </w:rPr>
      </w:pPr>
      <w:r w:rsidRPr="00B44023">
        <w:rPr>
          <w:sz w:val="28"/>
        </w:rPr>
        <w:t>The European Stability Mechanism and domestic preference formation during the Eurocrisis – the role of non-governmental actors</w:t>
      </w:r>
    </w:p>
    <w:p w14:paraId="4E9BA194" w14:textId="77777777" w:rsidR="000150C4" w:rsidRPr="00AB42B4" w:rsidRDefault="000150C4" w:rsidP="006F75EC">
      <w:pPr>
        <w:ind w:firstLine="0"/>
      </w:pPr>
    </w:p>
    <w:p w14:paraId="43928ECC" w14:textId="77777777" w:rsidR="000150C4" w:rsidRPr="00B44023" w:rsidRDefault="000150C4" w:rsidP="006F75EC">
      <w:pPr>
        <w:pStyle w:val="Naslov1"/>
        <w:rPr>
          <w:sz w:val="28"/>
        </w:rPr>
      </w:pPr>
      <w:r w:rsidRPr="00B44023">
        <w:rPr>
          <w:sz w:val="28"/>
        </w:rPr>
        <w:t>Abstract</w:t>
      </w:r>
    </w:p>
    <w:p w14:paraId="687CEE64" w14:textId="77777777" w:rsidR="000150C4" w:rsidRPr="00AB42B4" w:rsidRDefault="000150C4" w:rsidP="006F75EC">
      <w:pPr>
        <w:ind w:firstLine="0"/>
      </w:pPr>
      <w:r w:rsidRPr="00AB42B4">
        <w:t>This article address</w:t>
      </w:r>
      <w:r>
        <w:t>es a</w:t>
      </w:r>
      <w:r w:rsidRPr="00AB42B4">
        <w:t xml:space="preserve"> gap in the Eurocrisis literature by investigating the role of important socio-economic actors, such as representatives from organised business and labour, as well as parliamentarians in determining governmental preferences on the </w:t>
      </w:r>
      <w:r>
        <w:t>European Stability Mechanism (ESM)</w:t>
      </w:r>
      <w:r w:rsidRPr="00AB42B4">
        <w:t xml:space="preserve"> during the Eurocrisis and in more recent discussions on the future of the ESM. </w:t>
      </w:r>
      <w:r>
        <w:t>It is argued that the study of the roles of key interest groups, parliaments and public opinion adds important weight to existing studies and frameworks. It speaks particularly to studies which suggest that governments enjoyed important leeway in forming their preferences on the ESM and were driven predominantly by internal technocratic advice and their integration into EU-level structures of bureaucratic cooperation. The findings show that initial governmental preferences were not challenged by important interest groups and that where they were challenged by parliamentary actors, concessions did not affect the original principles of ESM design.</w:t>
      </w:r>
    </w:p>
    <w:p w14:paraId="1BD25AB5" w14:textId="77777777" w:rsidR="000150C4" w:rsidRPr="00AB42B4" w:rsidRDefault="000150C4" w:rsidP="006F75EC">
      <w:pPr>
        <w:ind w:firstLine="0"/>
      </w:pPr>
    </w:p>
    <w:p w14:paraId="6FEE8633" w14:textId="77777777" w:rsidR="000150C4" w:rsidRPr="00B44023" w:rsidRDefault="000150C4" w:rsidP="006F75EC">
      <w:pPr>
        <w:pStyle w:val="Naslov1"/>
        <w:rPr>
          <w:sz w:val="28"/>
        </w:rPr>
      </w:pPr>
      <w:r w:rsidRPr="00B44023">
        <w:rPr>
          <w:sz w:val="28"/>
        </w:rPr>
        <w:t>Keywords</w:t>
      </w:r>
    </w:p>
    <w:p w14:paraId="2C9F586D" w14:textId="77777777" w:rsidR="000150C4" w:rsidRPr="00AC5888" w:rsidRDefault="000150C4" w:rsidP="006F75EC">
      <w:pPr>
        <w:ind w:firstLine="0"/>
        <w:rPr>
          <w:lang w:val="hr-HR"/>
        </w:rPr>
      </w:pPr>
      <w:r>
        <w:t xml:space="preserve">European Stability Mechanism; </w:t>
      </w:r>
      <w:r w:rsidRPr="00AB42B4">
        <w:t xml:space="preserve">preferences; </w:t>
      </w:r>
      <w:r>
        <w:t>Eurocrisis</w:t>
      </w:r>
      <w:r w:rsidRPr="00AB42B4">
        <w:t>; EMU; interest groups</w:t>
      </w:r>
      <w:r>
        <w:t>.</w:t>
      </w:r>
    </w:p>
    <w:p w14:paraId="781017D9" w14:textId="77777777" w:rsidR="000150C4" w:rsidRPr="00C62E38" w:rsidRDefault="000150C4" w:rsidP="006F75EC">
      <w:pPr>
        <w:ind w:firstLine="0"/>
        <w:rPr>
          <w:lang w:val="hr-HR"/>
        </w:rPr>
      </w:pPr>
    </w:p>
    <w:p w14:paraId="1C6FE043" w14:textId="77777777" w:rsidR="000150C4" w:rsidRPr="00AB42B4" w:rsidRDefault="000150C4">
      <w:pPr>
        <w:spacing w:line="240" w:lineRule="auto"/>
        <w:ind w:firstLine="0"/>
        <w:jc w:val="left"/>
        <w:rPr>
          <w:rFonts w:eastAsiaTheme="majorEastAsia" w:cstheme="majorBidi"/>
          <w:b/>
          <w:bCs/>
          <w:color w:val="000000" w:themeColor="text1"/>
          <w:sz w:val="32"/>
          <w:szCs w:val="32"/>
        </w:rPr>
      </w:pPr>
      <w:r w:rsidRPr="00AB42B4">
        <w:br w:type="page"/>
      </w:r>
    </w:p>
    <w:p w14:paraId="0AFB2AB5" w14:textId="77777777" w:rsidR="000150C4" w:rsidRPr="00B44023" w:rsidRDefault="000150C4" w:rsidP="006F75EC">
      <w:pPr>
        <w:pStyle w:val="Naslov1"/>
        <w:rPr>
          <w:sz w:val="28"/>
          <w:szCs w:val="28"/>
          <w:vertAlign w:val="superscript"/>
        </w:rPr>
      </w:pPr>
      <w:r w:rsidRPr="00B44023">
        <w:rPr>
          <w:sz w:val="28"/>
          <w:szCs w:val="28"/>
        </w:rPr>
        <w:lastRenderedPageBreak/>
        <w:t>Introduction</w:t>
      </w:r>
      <w:r w:rsidRPr="00B44023">
        <w:rPr>
          <w:rStyle w:val="Referencakrajnjebiljeke"/>
          <w:sz w:val="28"/>
          <w:szCs w:val="28"/>
        </w:rPr>
        <w:endnoteReference w:id="1"/>
      </w:r>
    </w:p>
    <w:p w14:paraId="60A2165A" w14:textId="77777777" w:rsidR="000150C4" w:rsidRDefault="000150C4" w:rsidP="0062099E">
      <w:pPr>
        <w:ind w:firstLine="0"/>
      </w:pPr>
      <w:r>
        <w:t>As the first</w:t>
      </w:r>
      <w:r w:rsidRPr="00AB42B4">
        <w:t xml:space="preserve"> </w:t>
      </w:r>
      <w:r>
        <w:t xml:space="preserve">permanent </w:t>
      </w:r>
      <w:r w:rsidRPr="00AB42B4">
        <w:t xml:space="preserve">macroeconomic stabilization device </w:t>
      </w:r>
      <w:r>
        <w:t>t</w:t>
      </w:r>
      <w:r w:rsidRPr="00AB42B4">
        <w:t xml:space="preserve">he </w:t>
      </w:r>
      <w:r>
        <w:t>European Stability Mechanism (ESM)</w:t>
      </w:r>
      <w:r w:rsidRPr="00AB42B4">
        <w:t xml:space="preserve"> marks a turning point in Eurozone governance</w:t>
      </w:r>
      <w:r>
        <w:t>.</w:t>
      </w:r>
      <w:r w:rsidRPr="00AB42B4">
        <w:t xml:space="preserve"> </w:t>
      </w:r>
      <w:r>
        <w:t>It</w:t>
      </w:r>
      <w:r w:rsidRPr="00AB42B4">
        <w:t xml:space="preserve"> is based on an international treaty outside EU law. The ESM’s political relevance is not only determined by its start-up costs and the resulting financial liabilities but also by its hard-hitting conditionality, which is attached to its financial support schemes.</w:t>
      </w:r>
      <w:r>
        <w:t xml:space="preserve"> This article joins </w:t>
      </w:r>
      <w:proofErr w:type="spellStart"/>
      <w:r>
        <w:t>Smeets</w:t>
      </w:r>
      <w:proofErr w:type="spellEnd"/>
      <w:r>
        <w:t xml:space="preserve">, </w:t>
      </w:r>
      <w:proofErr w:type="spellStart"/>
      <w:r>
        <w:t>Jaschke</w:t>
      </w:r>
      <w:proofErr w:type="spellEnd"/>
      <w:r>
        <w:t xml:space="preserve"> and Beach </w:t>
      </w:r>
      <w:r>
        <w:rPr>
          <w:noProof/>
        </w:rPr>
        <w:t>(2019)</w:t>
      </w:r>
      <w:r>
        <w:t xml:space="preserve"> in noting that while the ESM features in many reviews of Eurocrisis politics, there is a lack of empirical research on decision-making surrounding its original creation. </w:t>
      </w:r>
      <w:proofErr w:type="spellStart"/>
      <w:r>
        <w:t>Smeets</w:t>
      </w:r>
      <w:proofErr w:type="spellEnd"/>
      <w:r>
        <w:t xml:space="preserve">, </w:t>
      </w:r>
      <w:proofErr w:type="spellStart"/>
      <w:r>
        <w:t>Jaschke</w:t>
      </w:r>
      <w:proofErr w:type="spellEnd"/>
      <w:r>
        <w:t xml:space="preserve"> and Beach show the importance of executive cooperation at the EU-level across different institutions and hierarchical levels. Their account is in line with earlier research by </w:t>
      </w:r>
      <w:proofErr w:type="spellStart"/>
      <w:r>
        <w:t>Csehi</w:t>
      </w:r>
      <w:proofErr w:type="spellEnd"/>
      <w:r>
        <w:t xml:space="preserve"> and </w:t>
      </w:r>
      <w:proofErr w:type="spellStart"/>
      <w:r>
        <w:t>Puetter</w:t>
      </w:r>
      <w:proofErr w:type="spellEnd"/>
      <w:r>
        <w:t xml:space="preserve"> </w:t>
      </w:r>
      <w:r>
        <w:rPr>
          <w:noProof/>
        </w:rPr>
        <w:t>(2018)</w:t>
      </w:r>
      <w:r>
        <w:t>, which finds that member state governments, the Commission and the ECB formed their preferences on the ESM mainly through their own interactions within the relevant committees, the Eurogroup, the Council and the European Council, leaving citizens and parliamentarians aside.</w:t>
      </w:r>
    </w:p>
    <w:p w14:paraId="4540682A" w14:textId="77777777" w:rsidR="000150C4" w:rsidRPr="00AB42B4" w:rsidRDefault="000150C4" w:rsidP="00BE5F50">
      <w:r>
        <w:t>Yet, such findings do not chime with the ESM’s potential to provoke political conflict. The mechanism’s macroeconomic relevance and its burden-sharing implications may lead to the expectation that decision-making became exposed and influenced by societal interests, parliamentary actors and public opinion. For example, some</w:t>
      </w:r>
      <w:r w:rsidRPr="00AB42B4">
        <w:t xml:space="preserve"> may see the ESM as a vital stabilization device, which can protect the Eurozone against external shocks. Opponents of financial transfers may lament that the ESM removes pressure to pursue reforms while making better-off member states liable for potential credit losses. Pensioners and trade unions may oppose hard ESM conditionality which typically involves demands for cutting social expenditures while receiving Eurozone assistance.</w:t>
      </w:r>
      <w:r>
        <w:t xml:space="preserve"> The ESM thus reflects what model of social solidarity the Eurozone adopts </w:t>
      </w:r>
      <w:r>
        <w:rPr>
          <w:noProof/>
        </w:rPr>
        <w:t>(Hall, 2012)</w:t>
      </w:r>
      <w:r>
        <w:t>.</w:t>
      </w:r>
      <w:r w:rsidRPr="00AB42B4">
        <w:t xml:space="preserve"> The financial industry may take different view</w:t>
      </w:r>
      <w:r>
        <w:t>s</w:t>
      </w:r>
      <w:r w:rsidRPr="00AB42B4">
        <w:t xml:space="preserve">, </w:t>
      </w:r>
      <w:r>
        <w:t xml:space="preserve">depending on the degree of financial exposure to indebted Eurozone governments </w:t>
      </w:r>
      <w:r>
        <w:rPr>
          <w:noProof/>
        </w:rPr>
        <w:t>(Târlea et al., 2019)</w:t>
      </w:r>
      <w:r w:rsidRPr="00AB42B4">
        <w:t>. Public opinion may diverge in debtor and creditor countries, thus constituting pressure on Eurozone governments who come to back a common position on the ESM</w:t>
      </w:r>
      <w:r>
        <w:t xml:space="preserve"> </w:t>
      </w:r>
      <w:r>
        <w:rPr>
          <w:noProof/>
        </w:rPr>
        <w:t>(Kuhn and Stoeckel, 2014)</w:t>
      </w:r>
      <w:r w:rsidRPr="00AB42B4">
        <w:t xml:space="preserve">. Indeed, the creation of the ESM sparked political and legal disputes, which could have, but ultimately did not, halt the creation of the ESM. For example, in Ireland the </w:t>
      </w:r>
      <w:r>
        <w:t>parliamentarian</w:t>
      </w:r>
      <w:r w:rsidRPr="00AB42B4">
        <w:t xml:space="preserve"> Thomas Pringle challenged the ESM as an unlawful arrangement beyond the powers of the </w:t>
      </w:r>
      <w:r>
        <w:t>EU t</w:t>
      </w:r>
      <w:r w:rsidRPr="00AB42B4">
        <w:t>reaties</w:t>
      </w:r>
      <w:r>
        <w:t xml:space="preserve"> </w:t>
      </w:r>
      <w:r>
        <w:rPr>
          <w:noProof/>
        </w:rPr>
        <w:t>(de Witte and Beukers, 2013)</w:t>
      </w:r>
      <w:r w:rsidRPr="00AB42B4">
        <w:t xml:space="preserve">. This view was rejected in a preliminary ruling by the European Court of Justice (Case C-370/12). Similarly, the German </w:t>
      </w:r>
      <w:r w:rsidRPr="00AC5888">
        <w:rPr>
          <w:i/>
        </w:rPr>
        <w:t>Bundesverfassungsgericht</w:t>
      </w:r>
      <w:r w:rsidRPr="00AB42B4">
        <w:t xml:space="preserve"> refuted complaints by several politicians after a long dispute in March 2014 </w:t>
      </w:r>
      <w:r>
        <w:rPr>
          <w:noProof/>
        </w:rPr>
        <w:t>(Bundesverfassungsgericht, 2014)</w:t>
      </w:r>
      <w:r w:rsidRPr="00AB42B4">
        <w:t>.</w:t>
      </w:r>
    </w:p>
    <w:p w14:paraId="52E8FB8F" w14:textId="2B7E59ED" w:rsidR="000150C4" w:rsidRDefault="000150C4" w:rsidP="006F75EC">
      <w:r>
        <w:lastRenderedPageBreak/>
        <w:t>Like the other contributions to this</w:t>
      </w:r>
      <w:r w:rsidRPr="00AB42B4">
        <w:t xml:space="preserve"> special issue</w:t>
      </w:r>
      <w:r>
        <w:t>, this article seeks to deepen insights into processes of governmental preference formation during the Eurocrisis</w:t>
      </w:r>
      <w:r w:rsidRPr="00AB42B4">
        <w:t>.</w:t>
      </w:r>
      <w:r>
        <w:t xml:space="preserve"> </w:t>
      </w:r>
      <w:r w:rsidRPr="00AB42B4">
        <w:t>This article seeks to address gaps in the Eurocrisis literature by investigating the role of important socio-economic actors, such as representatives from organised business and labour as well as parliamentarians</w:t>
      </w:r>
      <w:r>
        <w:t>,</w:t>
      </w:r>
      <w:r w:rsidRPr="00AB42B4">
        <w:t xml:space="preserve"> in determining governmental preferences on the ESM during the Eurocrisis and in more recent </w:t>
      </w:r>
      <w:r>
        <w:t>reform debates</w:t>
      </w:r>
      <w:r w:rsidRPr="00AB42B4">
        <w:t xml:space="preserve">. </w:t>
      </w:r>
      <w:r>
        <w:t xml:space="preserve">It is argued that the study of the roles of societal interests, parliaments and public opinion adds important weight to existing studies and frameworks. It speaks particularly to studies which suggest that governments enjoyed important leeway in forming their preferences on the ESM and that they were driven predominantly by internal technocratic advice and their integration into EU-level structures of bureaucratic cooperation. The findings show that initial governmental preferences were not challenged by important societal interest groups and that where they were challenged by parliamentary actors, concessions did not affect the original principles of ESM design. </w:t>
      </w:r>
      <w:r w:rsidRPr="00AB42B4">
        <w:t>The analysis is based on a new EU-wide dataset on political influence in Eurocrisis decision-making, 3</w:t>
      </w:r>
      <w:r>
        <w:t>6</w:t>
      </w:r>
      <w:r w:rsidRPr="00AB42B4">
        <w:t xml:space="preserve"> in-depth interviews with non-governmental socio-economic actors and government officials in nine Eurozone countries and data on the role of parliamentary actors from the </w:t>
      </w:r>
      <w:r>
        <w:t xml:space="preserve">‘Constitutional Change through </w:t>
      </w:r>
      <w:r w:rsidRPr="00AB42B4">
        <w:t>Euro Crisis Law</w:t>
      </w:r>
      <w:r>
        <w:t xml:space="preserve">’ (CCECL) </w:t>
      </w:r>
      <w:r w:rsidRPr="00AB42B4">
        <w:t>project (</w:t>
      </w:r>
      <w:proofErr w:type="spellStart"/>
      <w:r>
        <w:t>Beukers</w:t>
      </w:r>
      <w:proofErr w:type="spellEnd"/>
      <w:r>
        <w:t xml:space="preserve"> et al.</w:t>
      </w:r>
      <w:r w:rsidR="003E4413">
        <w:t>,</w:t>
      </w:r>
      <w:r>
        <w:t xml:space="preserve"> 2017</w:t>
      </w:r>
      <w:r w:rsidRPr="00AB42B4">
        <w:t>).</w:t>
      </w:r>
    </w:p>
    <w:p w14:paraId="4F0770CB" w14:textId="77777777" w:rsidR="000150C4" w:rsidRPr="00AB42B4" w:rsidRDefault="000150C4" w:rsidP="00767453">
      <w:r w:rsidRPr="00AB42B4">
        <w:t xml:space="preserve">The article is divided in three sections. The first section reviews the Eurocrisis literature </w:t>
      </w:r>
      <w:r>
        <w:t xml:space="preserve">for </w:t>
      </w:r>
      <w:r w:rsidRPr="00AB42B4">
        <w:t xml:space="preserve">assumptions about </w:t>
      </w:r>
      <w:r>
        <w:t>how non-executive</w:t>
      </w:r>
      <w:r w:rsidRPr="00AB42B4">
        <w:t xml:space="preserve"> actors may have influenced governmental preference formation regarding the ESM and outlines the analytical framework</w:t>
      </w:r>
      <w:r>
        <w:t xml:space="preserve"> including four hypotheses</w:t>
      </w:r>
      <w:r w:rsidRPr="00AB42B4">
        <w:t xml:space="preserve">. The second </w:t>
      </w:r>
      <w:r>
        <w:t>section reviews new empirical data on the role of organised business and labour in relation to the ESM. T</w:t>
      </w:r>
      <w:r w:rsidRPr="00AB42B4">
        <w:t>he third section</w:t>
      </w:r>
      <w:r>
        <w:t xml:space="preserve"> looks at whether and how </w:t>
      </w:r>
      <w:r w:rsidRPr="00AB42B4">
        <w:t xml:space="preserve">parliamentary </w:t>
      </w:r>
      <w:r>
        <w:t>interventions and public opinion have impacted on governmental preference formation</w:t>
      </w:r>
      <w:r w:rsidRPr="00AB42B4">
        <w:t xml:space="preserve">. The </w:t>
      </w:r>
      <w:r>
        <w:t xml:space="preserve">final </w:t>
      </w:r>
      <w:r w:rsidRPr="00AB42B4">
        <w:t>section discusses the findings in light of ongoing debates in the Eurocrisis literature</w:t>
      </w:r>
      <w:r>
        <w:t xml:space="preserve"> on preference formation</w:t>
      </w:r>
      <w:r w:rsidRPr="00AB42B4">
        <w:t>.</w:t>
      </w:r>
    </w:p>
    <w:p w14:paraId="6B7EFF66" w14:textId="77777777" w:rsidR="000150C4" w:rsidRPr="00B44023" w:rsidRDefault="000150C4" w:rsidP="006F75EC">
      <w:pPr>
        <w:pStyle w:val="Naslov1"/>
        <w:rPr>
          <w:sz w:val="28"/>
        </w:rPr>
      </w:pPr>
      <w:r w:rsidRPr="00B44023">
        <w:rPr>
          <w:sz w:val="28"/>
        </w:rPr>
        <w:t>Governmental preference formation in the Eurocrisis and the ESM</w:t>
      </w:r>
    </w:p>
    <w:p w14:paraId="0218DC3A" w14:textId="57588669" w:rsidR="000150C4" w:rsidRDefault="000150C4" w:rsidP="006F75EC">
      <w:pPr>
        <w:ind w:firstLine="0"/>
      </w:pPr>
      <w:r>
        <w:t>As acknowledged in the previous section, research on ESM related decision-making remains scarce. Instead broader theoretical accounts on the Eurocrisis need to provide the starting point for identifying claims about what patterns of governmental preference formation may have prevailed in relation to the creation of the ESM. While p</w:t>
      </w:r>
      <w:r w:rsidRPr="00AB42B4">
        <w:t>reference formation is a key term in EU studies</w:t>
      </w:r>
      <w:r>
        <w:t xml:space="preserve"> many</w:t>
      </w:r>
      <w:r w:rsidRPr="00AB42B4">
        <w:t xml:space="preserve"> </w:t>
      </w:r>
      <w:r>
        <w:t xml:space="preserve">contributions on the Eurocrisis do not make direct reference to it </w:t>
      </w:r>
      <w:r>
        <w:rPr>
          <w:noProof/>
        </w:rPr>
        <w:t>(cf. however Târlea et al., 2019)</w:t>
      </w:r>
      <w:r>
        <w:t>. Nevertheless</w:t>
      </w:r>
      <w:r w:rsidR="003E4413">
        <w:t>,</w:t>
      </w:r>
      <w:r>
        <w:t xml:space="preserve"> it is possible to infer guiding assumptions on how governments may have formed their preferences in relation to the ESM from the Eurocrisis</w:t>
      </w:r>
      <w:r>
        <w:rPr>
          <w:noProof/>
        </w:rPr>
        <w:t xml:space="preserve"> literature (Csehi and Puetter, 2017)</w:t>
      </w:r>
      <w:r w:rsidRPr="00AB42B4">
        <w:t xml:space="preserve">. </w:t>
      </w:r>
      <w:proofErr w:type="spellStart"/>
      <w:r>
        <w:t>Schimmelfennig</w:t>
      </w:r>
      <w:proofErr w:type="spellEnd"/>
      <w:r>
        <w:t xml:space="preserve"> </w:t>
      </w:r>
      <w:r>
        <w:rPr>
          <w:noProof/>
        </w:rPr>
        <w:t>(2015)</w:t>
      </w:r>
      <w:r>
        <w:t xml:space="preserve"> projects a liberal </w:t>
      </w:r>
      <w:r>
        <w:lastRenderedPageBreak/>
        <w:t xml:space="preserve">intergovernmentalist interpretation onto the Eurocrisis and highlights that government preferences were determined by a “common interest in the survival of the euro” while “conflicting preferences on the distribution of the burdens of adjustment” </w:t>
      </w:r>
      <w:r>
        <w:rPr>
          <w:noProof/>
        </w:rPr>
        <w:t>(ibid.: 181)</w:t>
      </w:r>
      <w:r>
        <w:t xml:space="preserve"> prevailed. In their neofunctionalist analysis Niemann and </w:t>
      </w:r>
      <w:proofErr w:type="spellStart"/>
      <w:r>
        <w:t>Ioannou</w:t>
      </w:r>
      <w:proofErr w:type="spellEnd"/>
      <w:r>
        <w:t xml:space="preserve"> </w:t>
      </w:r>
      <w:r>
        <w:rPr>
          <w:noProof/>
        </w:rPr>
        <w:t>(2015)</w:t>
      </w:r>
      <w:r>
        <w:t xml:space="preserve"> emphasise the notion of functional spillover as informing governmental preferences and argue that “[f]unctional dynamics are only as strong as they are perceived by (key) actors” </w:t>
      </w:r>
      <w:r>
        <w:rPr>
          <w:noProof/>
        </w:rPr>
        <w:t>(ibid.: 200)</w:t>
      </w:r>
      <w:r>
        <w:t xml:space="preserve">. The authors identify meetings of the European Council and the interplay of executive actors from different EU institutions as instances when policy-makers understood functional interdependencies and formed their opinion on policy responses. New intergovernmentalism sees preference formation in EU economic governance, being centred on highly institutionalised processes of interaction. Member state executives and representatives of EU institutions were engaged in an enduring process of consensus-seeking at different hierarchical levels of government throughout the Eurocrisis </w:t>
      </w:r>
      <w:r>
        <w:rPr>
          <w:noProof/>
        </w:rPr>
        <w:t>(Hodson and Puetter, 2016; Puetter, 2014)</w:t>
      </w:r>
      <w:r>
        <w:t xml:space="preserve">. Historical institutionalists point to the path dependent course, on which governments were sailing, when agreeing on the ESM. Earlier decisions, which were made under time pressure and had established the ESM’s predecessor the European Financial Stability Facility (EFSF), meant that the main features of the ESM’s institutional design were predetermined </w:t>
      </w:r>
      <w:r>
        <w:rPr>
          <w:noProof/>
        </w:rPr>
        <w:t>(Gocaj and Meunier, 2013: 248-250)</w:t>
      </w:r>
      <w:r>
        <w:t>.</w:t>
      </w:r>
    </w:p>
    <w:p w14:paraId="0EC54D67" w14:textId="7D54AEC1" w:rsidR="000150C4" w:rsidRPr="00D46469" w:rsidRDefault="000150C4" w:rsidP="00D46469">
      <w:r>
        <w:t xml:space="preserve">Even though the above approaches have been used to support diverging interpretations of the outcome of Eurocrisis decision-making (cf. e.g. Bauer and Becker, 2014; Bressanelli and Chelotti, 2016), they converge in one crucial aspect. None of them sees an important role of non-executive actors in preference formation. </w:t>
      </w:r>
      <w:proofErr w:type="spellStart"/>
      <w:r>
        <w:t>Rothacher</w:t>
      </w:r>
      <w:proofErr w:type="spellEnd"/>
      <w:r>
        <w:t xml:space="preserve"> (2015) and </w:t>
      </w:r>
      <w:r w:rsidRPr="00AC5888">
        <w:t xml:space="preserve">Schäfer (2016) </w:t>
      </w:r>
      <w:r>
        <w:t xml:space="preserve">are among the few authors who investigate the domestic element of liberal intergovernmentalism’s theory of preference formation. Their respective studies on France and Germany, however, lead to conflicting results. While </w:t>
      </w:r>
      <w:proofErr w:type="spellStart"/>
      <w:r>
        <w:t>Rothacher</w:t>
      </w:r>
      <w:proofErr w:type="spellEnd"/>
      <w:r>
        <w:t xml:space="preserve"> attributes some relevance to the influence of French bankers on governmental preference formation, Sch</w:t>
      </w:r>
      <w:r w:rsidRPr="00AC5888">
        <w:t xml:space="preserve">äfer rejects the notion that the preference of Germany’s government on banking union can be explained by </w:t>
      </w:r>
      <w:r>
        <w:t xml:space="preserve">the </w:t>
      </w:r>
      <w:r w:rsidRPr="00AC5888">
        <w:t xml:space="preserve">sectoral interests of the financial industry. Another set of contributions considers the role of national parliaments in influencing governmental preferences in the Eurocrisis. </w:t>
      </w:r>
      <w:proofErr w:type="spellStart"/>
      <w:r w:rsidRPr="00260DF2">
        <w:t>Auel</w:t>
      </w:r>
      <w:proofErr w:type="spellEnd"/>
      <w:r w:rsidRPr="00260DF2">
        <w:t xml:space="preserve"> and </w:t>
      </w:r>
      <w:proofErr w:type="spellStart"/>
      <w:r w:rsidRPr="00260DF2">
        <w:t>Höing</w:t>
      </w:r>
      <w:proofErr w:type="spellEnd"/>
      <w:r>
        <w:t xml:space="preserve"> </w:t>
      </w:r>
      <w:r>
        <w:rPr>
          <w:noProof/>
        </w:rPr>
        <w:t>(2014</w:t>
      </w:r>
      <w:r w:rsidR="00385405">
        <w:rPr>
          <w:noProof/>
        </w:rPr>
        <w:t>,</w:t>
      </w:r>
      <w:r>
        <w:rPr>
          <w:noProof/>
        </w:rPr>
        <w:t xml:space="preserve"> 2015)</w:t>
      </w:r>
      <w:r w:rsidRPr="00260DF2">
        <w:t xml:space="preserve"> do not situate themselves in any of the above </w:t>
      </w:r>
      <w:r>
        <w:t>theoretical</w:t>
      </w:r>
      <w:r w:rsidRPr="00260DF2">
        <w:t xml:space="preserve"> perspectives, instead they reveal that the influence of parliaments varied between countries and over time while executive actors play</w:t>
      </w:r>
      <w:r>
        <w:t>ed</w:t>
      </w:r>
      <w:r w:rsidRPr="00260DF2">
        <w:t xml:space="preserve"> a prominent role</w:t>
      </w:r>
      <w:r>
        <w:t>,</w:t>
      </w:r>
      <w:r w:rsidRPr="00260DF2">
        <w:t xml:space="preserve"> as in EU politics</w:t>
      </w:r>
      <w:r>
        <w:t xml:space="preserve"> more generally</w:t>
      </w:r>
      <w:r w:rsidRPr="00260DF2">
        <w:t>. With regard to the role of national parliaments in governing the ESM</w:t>
      </w:r>
      <w:r>
        <w:t xml:space="preserve"> after its initial establishment</w:t>
      </w:r>
      <w:r w:rsidRPr="00260DF2">
        <w:t xml:space="preserve"> </w:t>
      </w:r>
      <w:proofErr w:type="spellStart"/>
      <w:r w:rsidRPr="00260DF2">
        <w:t>Höing</w:t>
      </w:r>
      <w:proofErr w:type="spellEnd"/>
      <w:r w:rsidRPr="00260DF2">
        <w:t xml:space="preserve"> (2015</w:t>
      </w:r>
      <w:r>
        <w:t>: vi</w:t>
      </w:r>
      <w:r w:rsidRPr="00260DF2">
        <w:t xml:space="preserve">) </w:t>
      </w:r>
      <w:r>
        <w:t>finds “</w:t>
      </w:r>
      <w:r w:rsidRPr="00260DF2">
        <w:t xml:space="preserve">that countries adopted firm ESM parliamentary prerogatives when they were in a favourable macro-economic situation (as of 2012) and simultaneously possessed strong formal powers in EU </w:t>
      </w:r>
      <w:r w:rsidRPr="00260DF2">
        <w:lastRenderedPageBreak/>
        <w:t>affairs</w:t>
      </w:r>
      <w:r>
        <w:t xml:space="preserve">.” However, it remains to be seen as to whether and how parliaments influenced governmental preference formation at the time of ESM creation. </w:t>
      </w:r>
      <w:proofErr w:type="spellStart"/>
      <w:r w:rsidRPr="00D46469">
        <w:t>Puntscher</w:t>
      </w:r>
      <w:proofErr w:type="spellEnd"/>
      <w:r w:rsidRPr="00D46469">
        <w:t xml:space="preserve"> </w:t>
      </w:r>
      <w:proofErr w:type="spellStart"/>
      <w:r w:rsidRPr="00D46469">
        <w:t>Riekmann</w:t>
      </w:r>
      <w:proofErr w:type="spellEnd"/>
      <w:r w:rsidRPr="00D46469">
        <w:t xml:space="preserve"> and </w:t>
      </w:r>
      <w:proofErr w:type="spellStart"/>
      <w:r w:rsidRPr="00D46469">
        <w:t>Wydra</w:t>
      </w:r>
      <w:proofErr w:type="spellEnd"/>
      <w:r w:rsidRPr="00D46469">
        <w:t xml:space="preserve"> </w:t>
      </w:r>
      <w:r>
        <w:rPr>
          <w:noProof/>
        </w:rPr>
        <w:t>(2013: 579)</w:t>
      </w:r>
      <w:r>
        <w:t xml:space="preserve"> conclude that while the Eurocrisis meant that national parliaments became aware of the implications of EU policies more than ever before, they generally endorsed governmental preferences and failed to “influence the European Council as a collective”.</w:t>
      </w:r>
    </w:p>
    <w:p w14:paraId="423721F7" w14:textId="10C29FAA" w:rsidR="000150C4" w:rsidRDefault="000150C4" w:rsidP="006F75EC">
      <w:r w:rsidRPr="00D46469">
        <w:t xml:space="preserve">Outside of the above perspectives the Eurocrisis literature lacks specific theorising of the role </w:t>
      </w:r>
      <w:r>
        <w:t xml:space="preserve">of </w:t>
      </w:r>
      <w:r w:rsidRPr="00D46469">
        <w:t xml:space="preserve">societal interests in Eurozone politics. </w:t>
      </w:r>
      <w:r>
        <w:t>T</w:t>
      </w:r>
      <w:r w:rsidRPr="00D46469">
        <w:t>his issue assumed more prominence in the first two decades of Eurozone integration. EMU was considered to provide room for a particular model of institutionali</w:t>
      </w:r>
      <w:r>
        <w:t>s</w:t>
      </w:r>
      <w:r w:rsidRPr="00D46469">
        <w:t>ed discussions about economic governance between executive actors</w:t>
      </w:r>
      <w:r w:rsidRPr="003A22D8">
        <w:t xml:space="preserve"> and </w:t>
      </w:r>
      <w:r w:rsidRPr="002907BA">
        <w:t>organi</w:t>
      </w:r>
      <w:r>
        <w:t>s</w:t>
      </w:r>
      <w:r w:rsidRPr="002907BA">
        <w:t>ed busin</w:t>
      </w:r>
      <w:r w:rsidRPr="002911E4">
        <w:t>e</w:t>
      </w:r>
      <w:r w:rsidRPr="00AB42B4">
        <w:t>ss and labour</w:t>
      </w:r>
      <w:r>
        <w:t xml:space="preserve">, for example in the context of the </w:t>
      </w:r>
      <w:r w:rsidRPr="00AB42B4">
        <w:t>Macroeconomic Dialogue</w:t>
      </w:r>
      <w:r>
        <w:t xml:space="preserve"> </w:t>
      </w:r>
      <w:r w:rsidRPr="00AB42B4">
        <w:rPr>
          <w:noProof/>
        </w:rPr>
        <w:t>(Dyson</w:t>
      </w:r>
      <w:r w:rsidR="00385405">
        <w:rPr>
          <w:noProof/>
        </w:rPr>
        <w:t>,</w:t>
      </w:r>
      <w:r w:rsidRPr="00AB42B4">
        <w:rPr>
          <w:noProof/>
        </w:rPr>
        <w:t xml:space="preserve"> 2002)</w:t>
      </w:r>
      <w:r w:rsidRPr="00AB42B4">
        <w:t xml:space="preserve">. </w:t>
      </w:r>
      <w:r>
        <w:t>Such a model of interest mediation</w:t>
      </w:r>
      <w:r w:rsidRPr="00AB42B4">
        <w:t xml:space="preserve"> </w:t>
      </w:r>
      <w:r>
        <w:t xml:space="preserve">through tripartite dialogue </w:t>
      </w:r>
      <w:r w:rsidRPr="00AB42B4">
        <w:t>promised enhanced democratic legitimacy</w:t>
      </w:r>
      <w:r>
        <w:t>.</w:t>
      </w:r>
      <w:r w:rsidRPr="00AB42B4">
        <w:t xml:space="preserve"> Yet, </w:t>
      </w:r>
      <w:r>
        <w:t>confidence in it had faded be</w:t>
      </w:r>
      <w:r>
        <w:rPr>
          <w:noProof/>
        </w:rPr>
        <w:t>fore the crisis (Smismans, 2008)</w:t>
      </w:r>
      <w:r w:rsidRPr="00AB42B4">
        <w:t>.</w:t>
      </w:r>
      <w:r>
        <w:t xml:space="preserve"> In their review of political economy perspectives on the Eurocrisis, Frieden and Walter </w:t>
      </w:r>
      <w:r>
        <w:rPr>
          <w:noProof/>
        </w:rPr>
        <w:t>(2017: 384)</w:t>
      </w:r>
      <w:r>
        <w:t xml:space="preserve"> see many indications that influential societal groups succeeded in resisting crisis management politics, in particular structural reforms and internal adjustments. The ESM with its built-in conditionality mechanism thus could be considered as a plausible target for affected societal interests. In more recent theorising of the interlinkages between governmental preference formation and societal interests some scholars have become increasingly sceptical as to how far politicians can generate popular legitimacy when they make decisions related to EU affairs. </w:t>
      </w:r>
      <w:proofErr w:type="spellStart"/>
      <w:r>
        <w:t>Hooghe</w:t>
      </w:r>
      <w:proofErr w:type="spellEnd"/>
      <w:r>
        <w:t xml:space="preserve"> and Marks </w:t>
      </w:r>
      <w:r>
        <w:rPr>
          <w:noProof/>
        </w:rPr>
        <w:t>(2009</w:t>
      </w:r>
      <w:r w:rsidR="00385405">
        <w:rPr>
          <w:noProof/>
        </w:rPr>
        <w:t>,</w:t>
      </w:r>
      <w:r>
        <w:rPr>
          <w:noProof/>
        </w:rPr>
        <w:t xml:space="preserve"> 2018) generally expect politicians to be challenged in their decisions on Europe as the question of integration is at the centre of a new cleavage in European party politics. Postfunctionalism, however, refrains to predict how exactly so-called challenger parties and Euroscepticism affect the preferences of pro-EU governments. New intergovernmentalism sees previously existing patterns of domestic preference formation to be disrupted in</w:t>
      </w:r>
      <w:r w:rsidRPr="00AB42B4">
        <w:t xml:space="preserve"> post-Maastricht EU politics</w:t>
      </w:r>
      <w:r>
        <w:t xml:space="preserve"> as representative democracy faces crises not merely at the European but also at the national level</w:t>
      </w:r>
      <w:r w:rsidRPr="00AB42B4">
        <w:t xml:space="preserve"> </w:t>
      </w:r>
      <w:r>
        <w:rPr>
          <w:noProof/>
        </w:rPr>
        <w:t>(Bickerton et al., 2015: 710)</w:t>
      </w:r>
      <w:r>
        <w:t xml:space="preserve">. Hodson and </w:t>
      </w:r>
      <w:proofErr w:type="spellStart"/>
      <w:r>
        <w:t>Puetter</w:t>
      </w:r>
      <w:proofErr w:type="spellEnd"/>
      <w:r>
        <w:t xml:space="preserve"> </w:t>
      </w:r>
      <w:r>
        <w:rPr>
          <w:noProof/>
        </w:rPr>
        <w:t>(2019)</w:t>
      </w:r>
      <w:r>
        <w:t xml:space="preserve"> emphasise that elites preferred to push on with integration in the context of the Eurocrisis regardless of waning popular support for integration. New intergovernmentalism thus sees policy-makers as being aware of fading legitimacy but not overly impressed by it. Another indication of how difficult the impact of negative public opinion on preference formation is to assess is provided by Kuhn und </w:t>
      </w:r>
      <w:proofErr w:type="spellStart"/>
      <w:r>
        <w:t>Stoeckel</w:t>
      </w:r>
      <w:proofErr w:type="spellEnd"/>
      <w:r>
        <w:t xml:space="preserve"> </w:t>
      </w:r>
      <w:r>
        <w:rPr>
          <w:noProof/>
        </w:rPr>
        <w:t>(2014)</w:t>
      </w:r>
      <w:r>
        <w:t xml:space="preserve"> who find popular support for European integration declining greatly during the Eurocrisis while citizens still supported EU economic governance.</w:t>
      </w:r>
    </w:p>
    <w:p w14:paraId="581EDE64" w14:textId="77777777" w:rsidR="000150C4" w:rsidRDefault="000150C4" w:rsidP="009A1A1B">
      <w:r>
        <w:lastRenderedPageBreak/>
        <w:t xml:space="preserve">The review above informs four hypotheses which guide the following empirical analysis. All four hypotheses are understood here as tentative answers </w:t>
      </w:r>
      <w:r>
        <w:rPr>
          <w:noProof/>
        </w:rPr>
        <w:t>(Brady and Collier, 2010: 331)</w:t>
      </w:r>
      <w:r>
        <w:t xml:space="preserve"> to the question of what informed governmental preference formation regarding the creation of the ESM. The most prominent contributions to the Eurocrisis literature either implicitly or explicitly assign executive actors a central role in the process surrounding the creation of the ESM, yet the literature presents little empirical evidence with regard to the relative importance of other actors. As Eurocrisis management in general is associated with resistance to austerity and structural reforms the role of non-governmental actors deserves closer inspection. The first hypothesis is that the influence of non-executive actors in governmental preference formation is limited to the extent that they cannot divert or revoke governmental preferences which were formed in relation to and conjunction with other member states and EU institutions. Second, of all non-executive actors organised business and labour are expected to be the least influential. If they do play some role in preference formation it is expected to relate to ESM conditionality. Third, the role of national parliaments in governmental preference formation, even though generally limited, is expected to be more pronounced at most in relation to some budgetary aspects of ESM politics, yet it is likely to vary over time and in relation to the macroeconomic position and the formal parliamentary powers in EU affairs of a given country. Fourth, decision-makers are expected to be concerned by public discontent regarding the creation of the ESM, yet there are no indications for a straightforward pattern of how discontent affects governments’ preferences.</w:t>
      </w:r>
    </w:p>
    <w:p w14:paraId="33467E1E" w14:textId="77777777" w:rsidR="000150C4" w:rsidRDefault="000150C4" w:rsidP="00D6141F">
      <w:r>
        <w:t xml:space="preserve">The subsequent empirical analysis makes use of and triangulates data from three main resources. First, it relies on the </w:t>
      </w:r>
      <w:r w:rsidRPr="00AB42B4">
        <w:rPr>
          <w:highlight w:val="yellow"/>
        </w:rPr>
        <w:t>DATASET-NAME-DELETED</w:t>
      </w:r>
      <w:r>
        <w:t>.</w:t>
      </w:r>
      <w:r w:rsidRPr="00AB42B4">
        <w:t xml:space="preserve"> This data</w:t>
      </w:r>
      <w:r>
        <w:t xml:space="preserve"> was</w:t>
      </w:r>
      <w:r w:rsidRPr="00AB42B4">
        <w:t xml:space="preserve"> jointly generated with our collaborators in the </w:t>
      </w:r>
      <w:r w:rsidRPr="00AB42B4">
        <w:rPr>
          <w:highlight w:val="yellow"/>
        </w:rPr>
        <w:t>NAME-DELETED-PROJECT</w:t>
      </w:r>
      <w:r>
        <w:t xml:space="preserve"> and </w:t>
      </w:r>
      <w:r w:rsidRPr="00AB42B4">
        <w:t xml:space="preserve">contains </w:t>
      </w:r>
      <w:r>
        <w:t>unique</w:t>
      </w:r>
      <w:r w:rsidRPr="00AB42B4">
        <w:t xml:space="preserve"> peer rankings of actor influence on selected decisions during the </w:t>
      </w:r>
      <w:r>
        <w:t>E</w:t>
      </w:r>
      <w:r w:rsidRPr="00AB42B4">
        <w:t>urocrisis</w:t>
      </w:r>
      <w:r>
        <w:t xml:space="preserve"> by</w:t>
      </w:r>
      <w:r w:rsidRPr="00AB42B4">
        <w:t xml:space="preserve"> over 140 interviewees from all 28 </w:t>
      </w:r>
      <w:r>
        <w:t xml:space="preserve">EU </w:t>
      </w:r>
      <w:r w:rsidRPr="00AB42B4">
        <w:t>member states</w:t>
      </w:r>
      <w:r>
        <w:t>. Interviewees</w:t>
      </w:r>
      <w:r w:rsidRPr="00AB42B4">
        <w:t xml:space="preserve"> were selected based on their intimate knowledge of </w:t>
      </w:r>
      <w:r>
        <w:t>E</w:t>
      </w:r>
      <w:r w:rsidRPr="00AB42B4">
        <w:t>urocrisis decision-making in their respective member state.</w:t>
      </w:r>
      <w:r>
        <w:t xml:space="preserve"> Next to the influence scores the dataset contains answers to open-ended questions on actor influence. Reference to these answers is made by using the interview code format ‘ABC01’, whereas the first letters refer to the team of interviewers and the last two digits to the individual interviewee. All scores and open answers are accessible online from </w:t>
      </w:r>
      <w:r w:rsidRPr="00DD6FF3">
        <w:rPr>
          <w:highlight w:val="yellow"/>
        </w:rPr>
        <w:t>DATE</w:t>
      </w:r>
      <w:r>
        <w:t xml:space="preserve"> on </w:t>
      </w:r>
      <w:r w:rsidRPr="00DD6FF3">
        <w:rPr>
          <w:highlight w:val="yellow"/>
        </w:rPr>
        <w:t>WEBSITE NAME DELETED</w:t>
      </w:r>
      <w:r>
        <w:t>.</w:t>
      </w:r>
      <w:r w:rsidRPr="00AB42B4">
        <w:t xml:space="preserve"> </w:t>
      </w:r>
      <w:r>
        <w:t>The second resource of the preceding analysis are</w:t>
      </w:r>
      <w:r w:rsidRPr="00AB42B4">
        <w:t xml:space="preserve"> 36 semi-structured interviews with representatives from interest groups and government in nine </w:t>
      </w:r>
      <w:r>
        <w:t>Euro</w:t>
      </w:r>
      <w:r w:rsidRPr="00AB42B4">
        <w:t>zone countries</w:t>
      </w:r>
      <w:r>
        <w:t>,</w:t>
      </w:r>
      <w:r w:rsidRPr="00AB42B4">
        <w:t xml:space="preserve"> as well as from umbrella organisations at the EU-level and the European Commission</w:t>
      </w:r>
      <w:r>
        <w:t>,</w:t>
      </w:r>
      <w:r w:rsidRPr="00AB42B4">
        <w:t xml:space="preserve"> on the role that interest groups played in relation to </w:t>
      </w:r>
      <w:r>
        <w:t>governmental preference formation</w:t>
      </w:r>
      <w:r w:rsidRPr="00AB42B4">
        <w:t xml:space="preserve"> </w:t>
      </w:r>
      <w:r>
        <w:t>regarding</w:t>
      </w:r>
      <w:r w:rsidRPr="00AB42B4">
        <w:t xml:space="preserve"> the ESM</w:t>
      </w:r>
      <w:r>
        <w:t xml:space="preserve"> (see online </w:t>
      </w:r>
      <w:r>
        <w:lastRenderedPageBreak/>
        <w:t>appendix for full list of interviews)</w:t>
      </w:r>
      <w:r w:rsidRPr="00AB42B4">
        <w:t xml:space="preserve">. </w:t>
      </w:r>
      <w:r>
        <w:t xml:space="preserve">These interviews complement the </w:t>
      </w:r>
      <w:r w:rsidRPr="00AB42B4">
        <w:rPr>
          <w:highlight w:val="yellow"/>
        </w:rPr>
        <w:t>DATASET-NAME-DELETED</w:t>
      </w:r>
      <w:r>
        <w:t xml:space="preserve"> in an important way as they provided the authors with the possibility to investigate in greater detail preference formation in relation to the case of the ESM. The sample of nine Eurozone countries was chosen pragmatically, so to balance resource considerations, the ambition to conduct in-depth interviewing and problems in accessing qualified interviewees in relevant positions. The sample </w:t>
      </w:r>
      <w:r w:rsidRPr="00AB42B4">
        <w:t>cover</w:t>
      </w:r>
      <w:r>
        <w:t>s</w:t>
      </w:r>
      <w:r w:rsidRPr="00AB42B4">
        <w:t xml:space="preserve"> a diversity of cases </w:t>
      </w:r>
      <w:r>
        <w:t>including</w:t>
      </w:r>
      <w:r w:rsidRPr="00AB42B4">
        <w:t xml:space="preserve"> three countries</w:t>
      </w:r>
      <w:r>
        <w:t>,</w:t>
      </w:r>
      <w:r w:rsidRPr="00AB42B4">
        <w:t xml:space="preserve"> which were in dire financial straits during the crisis and received a bailout (Spain, Portugal, Ireland), four fiscally conservative countries (Austria, Netherlands, Finland, Estonia), one open small economy with a vulnerable banking sector (Slovenia) and one member state </w:t>
      </w:r>
      <w:r>
        <w:t>which</w:t>
      </w:r>
      <w:r w:rsidRPr="00AB42B4">
        <w:t xml:space="preserve"> </w:t>
      </w:r>
      <w:r>
        <w:t>had seen</w:t>
      </w:r>
      <w:r w:rsidRPr="00AB42B4">
        <w:t xml:space="preserve"> </w:t>
      </w:r>
      <w:r>
        <w:t>its</w:t>
      </w:r>
      <w:r w:rsidRPr="00AB42B4">
        <w:t xml:space="preserve"> government collapse on the issue of </w:t>
      </w:r>
      <w:r>
        <w:t xml:space="preserve">the </w:t>
      </w:r>
      <w:r w:rsidRPr="00AB42B4">
        <w:t xml:space="preserve">ESM’s predecessor, the </w:t>
      </w:r>
      <w:r>
        <w:t xml:space="preserve">EFSF </w:t>
      </w:r>
      <w:r w:rsidRPr="00AB42B4">
        <w:t xml:space="preserve">(Slovakia). </w:t>
      </w:r>
      <w:r>
        <w:t xml:space="preserve">The third source are the </w:t>
      </w:r>
      <w:r w:rsidRPr="00AB42B4">
        <w:t>country reports</w:t>
      </w:r>
      <w:r>
        <w:rPr>
          <w:rStyle w:val="Referencakrajnjebiljeke"/>
        </w:rPr>
        <w:endnoteReference w:id="2"/>
      </w:r>
      <w:r w:rsidRPr="00AB42B4">
        <w:t xml:space="preserve"> from the</w:t>
      </w:r>
      <w:r>
        <w:t xml:space="preserve"> CCECL</w:t>
      </w:r>
      <w:r w:rsidRPr="00AB42B4">
        <w:t xml:space="preserve"> project, </w:t>
      </w:r>
      <w:r>
        <w:t xml:space="preserve">which </w:t>
      </w:r>
      <w:r w:rsidRPr="00AB42B4">
        <w:t>render comprehensive summaries of the political context, parliamentary discussions and contestations leading to the ratification of the ESM treaty. These reports</w:t>
      </w:r>
      <w:r>
        <w:t xml:space="preserve"> were </w:t>
      </w:r>
      <w:r w:rsidRPr="00AB42B4">
        <w:t xml:space="preserve">written by national </w:t>
      </w:r>
      <w:r>
        <w:t xml:space="preserve">legal </w:t>
      </w:r>
      <w:r w:rsidRPr="00AB42B4">
        <w:t>experts</w:t>
      </w:r>
      <w:r>
        <w:t>,</w:t>
      </w:r>
      <w:r w:rsidRPr="00AB42B4">
        <w:t xml:space="preserve"> draw on parliamentary records, official documents and media articles </w:t>
      </w:r>
      <w:r>
        <w:t>and record</w:t>
      </w:r>
      <w:r w:rsidRPr="00AB42B4">
        <w:t xml:space="preserve"> domestic political difficulties</w:t>
      </w:r>
      <w:r>
        <w:t xml:space="preserve"> in</w:t>
      </w:r>
      <w:r w:rsidRPr="00AB42B4">
        <w:t xml:space="preserve"> individual </w:t>
      </w:r>
      <w:r>
        <w:t>member states</w:t>
      </w:r>
      <w:r w:rsidRPr="00AB42B4">
        <w:t xml:space="preserve"> during the negotiation, ratification and application of the ESM treaty.</w:t>
      </w:r>
      <w:r>
        <w:t xml:space="preserve"> </w:t>
      </w:r>
      <w:r w:rsidRPr="00AB42B4">
        <w:t xml:space="preserve">The </w:t>
      </w:r>
      <w:r>
        <w:t xml:space="preserve">following analysis </w:t>
      </w:r>
      <w:r w:rsidRPr="00AB42B4">
        <w:t>focus</w:t>
      </w:r>
      <w:r>
        <w:t>es</w:t>
      </w:r>
      <w:r w:rsidRPr="00AB42B4">
        <w:t xml:space="preserve"> on </w:t>
      </w:r>
      <w:r>
        <w:t>the creation of the</w:t>
      </w:r>
      <w:r w:rsidRPr="00AB42B4">
        <w:t xml:space="preserve"> ESM during the years 2010-2012 and the </w:t>
      </w:r>
      <w:r>
        <w:t xml:space="preserve">later </w:t>
      </w:r>
      <w:r w:rsidRPr="00AB42B4">
        <w:t>debate on ESM reform in 2017 and 2018.</w:t>
      </w:r>
    </w:p>
    <w:p w14:paraId="32610BEE" w14:textId="77777777" w:rsidR="000150C4" w:rsidRDefault="000150C4" w:rsidP="0054409E">
      <w:pPr>
        <w:ind w:firstLine="0"/>
      </w:pPr>
    </w:p>
    <w:p w14:paraId="50138ACB" w14:textId="77777777" w:rsidR="000150C4" w:rsidRPr="00B44023" w:rsidRDefault="000150C4" w:rsidP="006F75EC">
      <w:pPr>
        <w:pStyle w:val="Naslov1"/>
        <w:rPr>
          <w:sz w:val="28"/>
        </w:rPr>
      </w:pPr>
      <w:r w:rsidRPr="00B44023">
        <w:rPr>
          <w:sz w:val="28"/>
        </w:rPr>
        <w:t>The absence of interest group pressure</w:t>
      </w:r>
    </w:p>
    <w:p w14:paraId="18C065B7" w14:textId="77777777" w:rsidR="000150C4" w:rsidRPr="00AB42B4" w:rsidRDefault="000150C4" w:rsidP="00A404DC">
      <w:pPr>
        <w:ind w:firstLine="0"/>
      </w:pPr>
      <w:r>
        <w:t>T</w:t>
      </w:r>
      <w:r w:rsidRPr="00AB42B4">
        <w:t>he role of interest group</w:t>
      </w:r>
      <w:r>
        <w:t>s</w:t>
      </w:r>
      <w:r w:rsidRPr="00AB42B4">
        <w:t xml:space="preserve"> </w:t>
      </w:r>
      <w:r>
        <w:t xml:space="preserve">is </w:t>
      </w:r>
      <w:r w:rsidRPr="00AB42B4">
        <w:t xml:space="preserve">first </w:t>
      </w:r>
      <w:r>
        <w:t xml:space="preserve">investigated </w:t>
      </w:r>
      <w:r w:rsidRPr="00AB42B4">
        <w:t xml:space="preserve">by using the </w:t>
      </w:r>
      <w:r w:rsidRPr="00AB42B4">
        <w:rPr>
          <w:highlight w:val="yellow"/>
        </w:rPr>
        <w:t>DATASET-NAME-DELETED</w:t>
      </w:r>
      <w:r w:rsidRPr="00AB42B4">
        <w:t xml:space="preserve">. Among the surveyed decisions is the question of the original size of the ESM, which we here use as a proxy for the decision to create the ESM as a permanent rescue </w:t>
      </w:r>
      <w:r>
        <w:t xml:space="preserve">mechanism </w:t>
      </w:r>
      <w:r w:rsidRPr="00AB42B4">
        <w:t xml:space="preserve">for the </w:t>
      </w:r>
      <w:r>
        <w:t>E</w:t>
      </w:r>
      <w:r w:rsidRPr="00AB42B4">
        <w:t xml:space="preserve">urozone with a substantial lending capacity. Interviewees were asked how they would rate the respective influence of important political actors regarding this decision on a scale </w:t>
      </w:r>
      <w:r>
        <w:t>from</w:t>
      </w:r>
      <w:r w:rsidRPr="00AB42B4">
        <w:t xml:space="preserve"> 0 to 100. The scores are not relational. For example, interviewees could assign the notion of decisive influence as expressed by a very high score, to several actors of a total of 23 listed actors. </w:t>
      </w:r>
      <w:r>
        <w:t>A</w:t>
      </w:r>
      <w:r w:rsidRPr="00AB42B4">
        <w:t xml:space="preserve">ll interviewees in </w:t>
      </w:r>
      <w:r>
        <w:t>the</w:t>
      </w:r>
      <w:r w:rsidRPr="00AB42B4">
        <w:t xml:space="preserve"> sample </w:t>
      </w:r>
      <w:r>
        <w:t xml:space="preserve">are treated </w:t>
      </w:r>
      <w:r w:rsidRPr="00AB42B4">
        <w:t xml:space="preserve">as one EU-wide group as the small number of respondents per country makes it difficult to account for national differences. The average rating for interest groups representing the banking sector is 26 while organised business and labour are rated 23 and 22 respectively. These scores are the lowest in the entire sample. Only the European Parliament receives a similar rating. Most importantly, core executive actors in the </w:t>
      </w:r>
      <w:r>
        <w:t>Eurocrisis</w:t>
      </w:r>
      <w:r w:rsidRPr="00AB42B4">
        <w:t xml:space="preserve"> were assigned the highest scores in the sample ranging from 89 to 68. This group includes the heads of state and government, finance ministries, the Eurogroup and the EU-level expert committees. The latter comprise senior representatives of the finance ministers, the </w:t>
      </w:r>
      <w:r w:rsidRPr="00AB42B4">
        <w:lastRenderedPageBreak/>
        <w:t>Commission and the ECB. Next to the ratings our dataset also contains responses to open questions on actor influence. Regarding the creation of the ESM 66 of the over 140 interviewees provided comments. Not one of them identified interest groups as relevant actors. Instead 36 interviewees emphasized the lead roles of the head of state or government and the national finance ministry in forming the government</w:t>
      </w:r>
      <w:r>
        <w:t>’</w:t>
      </w:r>
      <w:r w:rsidRPr="00AB42B4">
        <w:t>s position on the ESM.</w:t>
      </w:r>
    </w:p>
    <w:p w14:paraId="280ADA66" w14:textId="77777777" w:rsidR="000150C4" w:rsidRPr="00AB42B4" w:rsidRDefault="000150C4" w:rsidP="006F75EC">
      <w:r>
        <w:t>T</w:t>
      </w:r>
      <w:r w:rsidRPr="00AB42B4">
        <w:t xml:space="preserve">o verify this finding </w:t>
      </w:r>
      <w:r>
        <w:t xml:space="preserve">the </w:t>
      </w:r>
      <w:r w:rsidRPr="00AB42B4">
        <w:t xml:space="preserve">in-depth interviews in nine </w:t>
      </w:r>
      <w:r>
        <w:t>E</w:t>
      </w:r>
      <w:r w:rsidRPr="00AB42B4">
        <w:t xml:space="preserve">urozone countries </w:t>
      </w:r>
      <w:r>
        <w:t xml:space="preserve">generated evidence on </w:t>
      </w:r>
      <w:r w:rsidRPr="00AB42B4">
        <w:t xml:space="preserve">concrete interest group engagement </w:t>
      </w:r>
      <w:r>
        <w:t>related to</w:t>
      </w:r>
      <w:r w:rsidRPr="00AB42B4">
        <w:t xml:space="preserve"> the ESM. As regards the positioning of interest groups in relation to their respective governments</w:t>
      </w:r>
      <w:r>
        <w:t>,</w:t>
      </w:r>
      <w:r w:rsidRPr="00AB42B4">
        <w:t xml:space="preserve"> different attitudes across groups and countries</w:t>
      </w:r>
      <w:r>
        <w:t xml:space="preserve"> were recorded</w:t>
      </w:r>
      <w:r w:rsidRPr="00AB42B4">
        <w:t xml:space="preserve">. Representatives from business interest groups in Austria (AT_IG 01, AT_IG_02) agree with the government regarding the ESM and see no need for further reforms. In a similar vein the interviewees from Spanish and Portuguese interest groups (ES_IG_01, ES_IG_02, PT_IG_01) share their government's position, yet for deepening the ESM. Such a step </w:t>
      </w:r>
      <w:r>
        <w:t>is</w:t>
      </w:r>
      <w:r w:rsidRPr="00AB42B4">
        <w:t xml:space="preserve"> considered as a pro-European reform: “if Europe moves forward, that is good for Spain” (ES_IG_02). Mirroring these responses, a Spanish government official emphasises that “overall, the government has the same view as the social partners on this: more risk sharing, deeper EMU, and nobody wants sovereign debt restructuring” (ES_GOV_01).</w:t>
      </w:r>
    </w:p>
    <w:p w14:paraId="43694861" w14:textId="77777777" w:rsidR="000150C4" w:rsidRPr="00AB42B4" w:rsidRDefault="000150C4" w:rsidP="00237695">
      <w:r w:rsidRPr="00AB42B4">
        <w:t>In contrast, an interviewee from a</w:t>
      </w:r>
      <w:r>
        <w:t xml:space="preserve"> Finnish</w:t>
      </w:r>
      <w:r w:rsidRPr="00AB42B4">
        <w:t xml:space="preserve"> interest group, expresses dissatisfaction with the government during the crisis and recently: “I would say that the government’s official position has been quite conservative. It’s not really reflecting, even in confidential discussions, our positions” (FI _IG_01). In the Netherlands, the opinions of organised business and labour on the ESM differed radically when the ESM was created and it was hard for them to articulate a common position towards the government, </w:t>
      </w:r>
      <w:r>
        <w:t xml:space="preserve">as </w:t>
      </w:r>
      <w:r w:rsidRPr="00AB42B4">
        <w:t>one interviewee from a Dutch interest group stresses (NL_IG_01). Th</w:t>
      </w:r>
      <w:r>
        <w:t>is</w:t>
      </w:r>
      <w:r w:rsidRPr="00AB42B4">
        <w:t xml:space="preserve"> interviewee also thinks that the government wanted to avoid a broader debate on the ESM. In relation to more recent debates about the reform of the ESM the social partners are considered not to be interested in the discussion at all. According to a Dutch government official the government does not have regular contact with them on ESM reform (NL_GOV_01). In Ireland interest groups showed more interest in contributing to discussions on the ESM during the peak period of the </w:t>
      </w:r>
      <w:r>
        <w:t>Eurocrisis</w:t>
      </w:r>
      <w:r w:rsidRPr="00AB42B4">
        <w:t xml:space="preserve"> when “it was felt that Ireland may need a second bailout and the ESM was the only show in town” (IR_IG_01) than more recently. Interviewees from Slovak, Slovenian and Estonian interest groups report that the ESM was never an important issue on their agenda. It was even difficult to discern whether these groups had formulated a position on the ESM internally. For example, an Estonian interest group representative explains that “we have had so much going on domestically that our attention hasn’t been on the ESM” (ET_IG_01). Other explanations of why these interest groups chose </w:t>
      </w:r>
      <w:r w:rsidRPr="00AB42B4">
        <w:lastRenderedPageBreak/>
        <w:t>not to get involved with the issue of the ESM were lacking relevance for their membership (S</w:t>
      </w:r>
      <w:r>
        <w:t>I</w:t>
      </w:r>
      <w:r w:rsidRPr="00AB42B4">
        <w:t>_I</w:t>
      </w:r>
      <w:r>
        <w:t>G</w:t>
      </w:r>
      <w:r w:rsidRPr="00AB42B4">
        <w:t>_01) and the absence of expertise (I</w:t>
      </w:r>
      <w:r>
        <w:t>E</w:t>
      </w:r>
      <w:r w:rsidRPr="00AB42B4">
        <w:t>_IG_02).</w:t>
      </w:r>
    </w:p>
    <w:p w14:paraId="390A9C76" w14:textId="1DD96831" w:rsidR="000150C4" w:rsidRPr="00AB42B4" w:rsidRDefault="000150C4">
      <w:r w:rsidRPr="00AB42B4">
        <w:t xml:space="preserve">Regarding the question of what activities interest groups were engaged in, the interviewees noted the absence </w:t>
      </w:r>
      <w:r>
        <w:t xml:space="preserve">of </w:t>
      </w:r>
      <w:r w:rsidRPr="00AB42B4">
        <w:t>detailed opinions on ESM creation and reform. Instead publications referred to the ESM in general terms and stressed broader aspects of EMU reform (AT_IG_01, AT_IG_02, AT_IG_03, FI_IG_01, ES_IG_01). In Austria, an interest group published a position paper in response to Commission president Juncker's discussion of the so-called Future of Europe scenarios</w:t>
      </w:r>
      <w:r>
        <w:t xml:space="preserve"> </w:t>
      </w:r>
      <w:r>
        <w:rPr>
          <w:noProof/>
        </w:rPr>
        <w:t>(European</w:t>
      </w:r>
      <w:r w:rsidR="00385405">
        <w:rPr>
          <w:noProof/>
        </w:rPr>
        <w:t xml:space="preserve"> </w:t>
      </w:r>
      <w:r>
        <w:rPr>
          <w:noProof/>
        </w:rPr>
        <w:t>Commission, 2017)</w:t>
      </w:r>
      <w:r w:rsidRPr="00AB42B4">
        <w:t>. In this paper only a small section was devoted to the ESM (AT_IG_01). Another Austrian interest group has only recently included an opinion on the ESM into their position papers, as one interviewee highlights: “</w:t>
      </w:r>
      <w:r w:rsidRPr="00AB42B4">
        <w:rPr>
          <w:color w:val="222222"/>
        </w:rPr>
        <w:t>A concrete involvement in the founding of the ESM or its reform did not exist until now”</w:t>
      </w:r>
      <w:r w:rsidRPr="00AB42B4">
        <w:t xml:space="preserve"> (AT_IG_03)</w:t>
      </w:r>
      <w:r w:rsidRPr="00AB42B4">
        <w:rPr>
          <w:color w:val="222222"/>
        </w:rPr>
        <w:t>. Similarly, a Finnish interview says that their group “tried to stick to more general principles and to how the EU should function” (FI_IG_01).</w:t>
      </w:r>
    </w:p>
    <w:p w14:paraId="672131EF" w14:textId="77777777" w:rsidR="000150C4" w:rsidRPr="00AB42B4" w:rsidRDefault="000150C4" w:rsidP="001F74ED">
      <w:r w:rsidRPr="00AB42B4">
        <w:t>In our sample only Finnish interest groups were invited to contribute to debates in the parliament (FI_IT_01, FI_IT_02, FI_GOV_01). Yet, as one representative explains their group developed its position only because it was invited to participate: “We don’t have an official point of view in the sense that we did discuss this at the very top level, like the board. But we have been asked to comment on the proposals and the Finnish government’s line in public hearings in the Finnish parliament” (FI_IT_01). A government representative explains that in these hearings the government regularly explains what is going on in the EU and the interest groups can ask questions (FI_GOV_01). Yet, interest groups were not involved in the process when the government prepared its position on the ESM (FI_GOV_01). This aspect is also stressed by interviewee</w:t>
      </w:r>
      <w:r>
        <w:t>s</w:t>
      </w:r>
      <w:r w:rsidRPr="00AB42B4">
        <w:t xml:space="preserve"> from </w:t>
      </w:r>
      <w:r>
        <w:t>Slovenia</w:t>
      </w:r>
      <w:r w:rsidRPr="00AB42B4">
        <w:t xml:space="preserve"> (S</w:t>
      </w:r>
      <w:r>
        <w:t>I</w:t>
      </w:r>
      <w:r w:rsidRPr="00AB42B4">
        <w:t>_IG_01</w:t>
      </w:r>
      <w:r>
        <w:t>, SI_IG_02</w:t>
      </w:r>
      <w:r w:rsidRPr="00AB42B4">
        <w:t>). Venues in which the ESM was discussed at least sporadically with interest groups were national tripartite consultative bodies representing employers, trade unions and experts (NL_IG_01, S</w:t>
      </w:r>
      <w:r>
        <w:t>I</w:t>
      </w:r>
      <w:r w:rsidRPr="00AB42B4">
        <w:t>_IG_01, ES_IG_01) and the European Economic and Social Committee (ES_IG_01). Yet, these hearings were said to have occurred at a time when governments had already formed their opinions on the ESM.</w:t>
      </w:r>
    </w:p>
    <w:p w14:paraId="7F857A35" w14:textId="77777777" w:rsidR="000150C4" w:rsidRPr="00AB42B4" w:rsidRDefault="000150C4">
      <w:r w:rsidRPr="00AB42B4">
        <w:t xml:space="preserve">Participation in public debates is another type of advocacy activity mentioned by interviewees (ES_IT_02, NL_IT_01, FI_IT_02). However, according to a Finnish interviewee, the opinion, which was presented in such a debate, was not coordinated at the board level and was not an official position (FI_IT_01). Similarly, a Spanish interest group representative stresses that “in general, yes, we are for more Europe but there is no resolution of the executive committee about the ESM” (ES_IT_02). The interviews also could not generate evidence of coalition building among different interest groups (AT_IG_01, NL_IG_01). Moreover, </w:t>
      </w:r>
      <w:r w:rsidRPr="00AB42B4">
        <w:lastRenderedPageBreak/>
        <w:t>interviewees acknowledge that the media was not interested in their opinion on the ESM while groups did not reach out to the media either (AT_IG_02, AT_IG_03, ES_IG_01</w:t>
      </w:r>
      <w:r>
        <w:t>, SI_IG_02</w:t>
      </w:r>
      <w:r w:rsidRPr="00AB42B4">
        <w:t>).</w:t>
      </w:r>
    </w:p>
    <w:p w14:paraId="3EAE4208" w14:textId="77777777" w:rsidR="000150C4" w:rsidRPr="00AB42B4" w:rsidRDefault="000150C4" w:rsidP="001F74ED">
      <w:r>
        <w:t>The composition of the sample of interviewees</w:t>
      </w:r>
      <w:r w:rsidRPr="00AB42B4">
        <w:t xml:space="preserve"> also accounts for the possibility that interest groups kept a low profile domestically because lobbying efforts were concentrated at their </w:t>
      </w:r>
      <w:r>
        <w:t xml:space="preserve">EU-level </w:t>
      </w:r>
      <w:r w:rsidRPr="00AB42B4">
        <w:t>umbrella organisations. A representative of a</w:t>
      </w:r>
      <w:r>
        <w:t>n EU</w:t>
      </w:r>
      <w:r w:rsidRPr="00AB42B4">
        <w:t xml:space="preserve"> banking </w:t>
      </w:r>
      <w:r>
        <w:t>association</w:t>
      </w:r>
      <w:r w:rsidRPr="00AB42B4">
        <w:t xml:space="preserve"> explained that the ESM was “too macro” for them (EU_IG_02). In contrast, cross-sector confederations representing business and labour</w:t>
      </w:r>
      <w:r>
        <w:t xml:space="preserve"> circulated </w:t>
      </w:r>
      <w:r w:rsidRPr="00AB42B4">
        <w:t>position papers on EMU reform and expressed themselves in direct meetings with senior members of the Commission (EU_IG_01). Yet, the interviewee explains: “The Juncker Commission is consulting us, they ask questions but [</w:t>
      </w:r>
      <w:r>
        <w:t>they are</w:t>
      </w:r>
      <w:r w:rsidRPr="00AB42B4">
        <w:t>]</w:t>
      </w:r>
      <w:r>
        <w:t xml:space="preserve"> </w:t>
      </w:r>
      <w:r w:rsidRPr="00AB42B4">
        <w:t>not negotiating with us” (EU_IG_01). EU-level confederations also sought to encourage their members to become active, yet without success as the interviewee explains: “We are sending letters to our affiliates for them to forward to their governments. Sometimes they [the letters] are not even translated” (EU_IG_01). Despite the high-level meetings with members of the Juncker Commission, officials from the responsible Directorate General for Economic and Financial Affairs do not see relevant interest group input into the discussion on ESM reform (EU_COM_01, EU_COM_02, EU_COM_03, EU_COM_04, EU_COM_05). As one of them puts it: “Our main stakeholders here are the ministry officials [from member states]” (EU_COM_03).</w:t>
      </w:r>
    </w:p>
    <w:p w14:paraId="3E2813A2" w14:textId="77777777" w:rsidR="000150C4" w:rsidRPr="00AB42B4" w:rsidRDefault="000150C4" w:rsidP="001F74ED">
      <w:r w:rsidRPr="00AB42B4">
        <w:t xml:space="preserve">Overall, the in-depth interviews confirm the broad trends which were identified in the </w:t>
      </w:r>
      <w:r w:rsidRPr="00AB42B4">
        <w:rPr>
          <w:highlight w:val="yellow"/>
        </w:rPr>
        <w:t>DATASET-NAME-DELETED</w:t>
      </w:r>
      <w:r w:rsidRPr="00AB42B4">
        <w:t xml:space="preserve">. In general, the interviewees acknowledge the </w:t>
      </w:r>
      <w:r>
        <w:t xml:space="preserve">strong </w:t>
      </w:r>
      <w:r w:rsidRPr="00AB42B4">
        <w:t>leadership exercised by executive actors and, specifically, the finance ministries and see these actors to have been in full control of defining the policy stance on the ESM. The wording “it was a top-down process” was used repeatedly (S</w:t>
      </w:r>
      <w:r>
        <w:t>I</w:t>
      </w:r>
      <w:r w:rsidRPr="00AB42B4">
        <w:t xml:space="preserve">_IG_01, ET_GOV_01, ES_GOV_01, AT_IG_01). An Austrian interest group representative explained that the Federal Ministry of Finance was eager not to get too many reactions from other actors outside government: “They [the ministry] do things themselves, more or less, and do not ask others how they should do it” (AT_IT_01). In the Netherlands, the finance ministry is also said to have had the most important role, and the process is described as one of an interaction between the civil servants and the </w:t>
      </w:r>
      <w:r>
        <w:t>minister who sets</w:t>
      </w:r>
      <w:r w:rsidRPr="00AB42B4">
        <w:t xml:space="preserve"> the political line (NL_GOV_01). In Slovakia, next to the finance ministry, the foreign ministry is mentioned </w:t>
      </w:r>
      <w:r>
        <w:t>to be</w:t>
      </w:r>
      <w:r w:rsidRPr="00AB42B4">
        <w:t xml:space="preserve"> closely involved in the process (SK_GOV_01).</w:t>
      </w:r>
    </w:p>
    <w:p w14:paraId="228608D1" w14:textId="77777777" w:rsidR="000150C4" w:rsidRPr="00AB42B4" w:rsidRDefault="000150C4" w:rsidP="0054409E">
      <w:pPr>
        <w:ind w:firstLine="0"/>
      </w:pPr>
    </w:p>
    <w:p w14:paraId="0B0D0109" w14:textId="77777777" w:rsidR="000150C4" w:rsidRPr="00385405" w:rsidRDefault="000150C4" w:rsidP="006F75EC">
      <w:pPr>
        <w:pStyle w:val="Naslov1"/>
        <w:rPr>
          <w:sz w:val="28"/>
        </w:rPr>
      </w:pPr>
      <w:r w:rsidRPr="00385405">
        <w:rPr>
          <w:sz w:val="28"/>
        </w:rPr>
        <w:t>The role of parliamentary interventions and negative public opinion</w:t>
      </w:r>
    </w:p>
    <w:p w14:paraId="0CED7836" w14:textId="77777777" w:rsidR="000150C4" w:rsidRPr="00AB42B4" w:rsidRDefault="000150C4" w:rsidP="009A1F8F">
      <w:pPr>
        <w:ind w:firstLine="0"/>
      </w:pPr>
      <w:r w:rsidRPr="00AB42B4">
        <w:rPr>
          <w:rFonts w:cs="Times New Roman"/>
        </w:rPr>
        <w:t xml:space="preserve">As in the previous section, the influence ratings in our </w:t>
      </w:r>
      <w:r w:rsidRPr="00AB42B4">
        <w:rPr>
          <w:rFonts w:cs="Times New Roman"/>
          <w:highlight w:val="yellow"/>
        </w:rPr>
        <w:t>DATASET NAME DELETED</w:t>
      </w:r>
      <w:r w:rsidRPr="00AB42B4">
        <w:rPr>
          <w:rFonts w:cs="Times New Roman"/>
        </w:rPr>
        <w:t xml:space="preserve"> provide an initial indication as to how influential parliaments were in relation to governments. We </w:t>
      </w:r>
      <w:r w:rsidRPr="00AB42B4">
        <w:rPr>
          <w:rFonts w:cs="Times New Roman"/>
        </w:rPr>
        <w:lastRenderedPageBreak/>
        <w:t xml:space="preserve">recorded influence ratings for three different types of parliamentary actors – the opposition, the majority and the relevant committee – across all EU member states. The opposition ranks close to the interest groups at the lower end of our scale. The parliamentary majority and the responsible parliamentary committee for the ESM, however, are assigned higher influence ratings of 40 and 39 respectively. This places them still considerably below all executive actors and much below the top-rated four lead executive actors, including the finance ministries, the heads of state or government and the EU’s coordination forums, which chiefly dealt with the creation of the ESM (see previous section). There is a gap of 30-50 points between the key parliamentary actors and the top executive players. Interviewee responses to open questions in our </w:t>
      </w:r>
      <w:r w:rsidRPr="00AB42B4">
        <w:rPr>
          <w:rFonts w:cs="Times New Roman"/>
          <w:highlight w:val="yellow"/>
        </w:rPr>
        <w:t>DATASET NAME DELETED</w:t>
      </w:r>
      <w:r w:rsidRPr="00AB42B4">
        <w:rPr>
          <w:rFonts w:cs="Times New Roman"/>
        </w:rPr>
        <w:t xml:space="preserve"> confirm the scores. While interest groups were absent from the narratives on preference formation during the crisis, parliamentary actors are the only group next to the core executive actors which are mentioned more often, even if considerably less so than the former group. An important insight from the responses is that parliaments only entered the debate after agreement was reached between executive actors on the institutional design and the lending capacity of the ESM in EU-level negotiation forums. Parliamentarians are considered not to have had influence regarding the negotiation of the ESM </w:t>
      </w:r>
      <w:r>
        <w:rPr>
          <w:rFonts w:cs="Times New Roman"/>
        </w:rPr>
        <w:t>t</w:t>
      </w:r>
      <w:r w:rsidRPr="00AB42B4">
        <w:rPr>
          <w:rFonts w:cs="Times New Roman"/>
        </w:rPr>
        <w:t xml:space="preserve">reaty. National parliaments exerted greater influence only in rare instances, such as in Finland. Here the parliament’s Grand Committee </w:t>
      </w:r>
      <w:r>
        <w:rPr>
          <w:rFonts w:cs="Times New Roman"/>
        </w:rPr>
        <w:t>issues</w:t>
      </w:r>
      <w:r w:rsidRPr="00AB42B4">
        <w:rPr>
          <w:rFonts w:cs="Times New Roman"/>
        </w:rPr>
        <w:t xml:space="preserve"> a mandate to the government in EU affairs. Otherwise, parliaments became only active during the ratification of the ESM </w:t>
      </w:r>
      <w:r>
        <w:rPr>
          <w:rFonts w:cs="Times New Roman"/>
        </w:rPr>
        <w:t>t</w:t>
      </w:r>
      <w:r w:rsidRPr="00AB42B4">
        <w:rPr>
          <w:rFonts w:cs="Times New Roman"/>
        </w:rPr>
        <w:t xml:space="preserve">reaty and the related amendment of Article 136, TFEU Lisbon. When it comes to the reasons behind the low </w:t>
      </w:r>
      <w:r>
        <w:rPr>
          <w:rFonts w:cs="Times New Roman"/>
        </w:rPr>
        <w:t>engagement</w:t>
      </w:r>
      <w:r w:rsidRPr="00AB42B4">
        <w:rPr>
          <w:rFonts w:cs="Times New Roman"/>
        </w:rPr>
        <w:t xml:space="preserve"> of parliaments with the substance of the ESM agreement lack of technical expertise and other capacity constraints are frequently mentioned (</w:t>
      </w:r>
      <w:r w:rsidRPr="00AB42B4">
        <w:t>AUT02, ITA04, STO13, STO22, STO23, BUD05, BUD16, CYP01, CYP02, CYP03, CYP04).</w:t>
      </w:r>
    </w:p>
    <w:p w14:paraId="0D295D1A" w14:textId="77777777" w:rsidR="000150C4" w:rsidRPr="00AB42B4" w:rsidRDefault="000150C4" w:rsidP="00062FA2">
      <w:r w:rsidRPr="00AB42B4">
        <w:t xml:space="preserve">These findings are backed up by our in-depth interviews in nine </w:t>
      </w:r>
      <w:r>
        <w:t>E</w:t>
      </w:r>
      <w:r w:rsidRPr="00AB42B4">
        <w:t xml:space="preserve">urozone countries. Looking at the decision on the creation of the ESM most interviewees do not identify parliamentary actors as influential in relation to governmental preference formation. We locate this process of preference formation mainly in relation to a set of key decisions on the architecture and size of the ESM, which were made among executive actors between mid- 2010 and mid-2011 </w:t>
      </w:r>
      <w:r>
        <w:rPr>
          <w:noProof/>
        </w:rPr>
        <w:t>(cf. timeline Bundesfinanzministerium, 2019)</w:t>
      </w:r>
      <w:r w:rsidRPr="00AB42B4">
        <w:t>. In the context of the Van Rompuy Task Force</w:t>
      </w:r>
      <w:r>
        <w:t>,</w:t>
      </w:r>
      <w:r w:rsidRPr="00AB42B4">
        <w:t xml:space="preserve"> the European Council president and EU finance ministers </w:t>
      </w:r>
      <w:r>
        <w:t xml:space="preserve">had </w:t>
      </w:r>
      <w:r w:rsidRPr="00AB42B4">
        <w:t xml:space="preserve">concluded in the Fall 2010 that the </w:t>
      </w:r>
      <w:r>
        <w:t>E</w:t>
      </w:r>
      <w:r w:rsidRPr="00AB42B4">
        <w:t>urozone require</w:t>
      </w:r>
      <w:r>
        <w:t>d</w:t>
      </w:r>
      <w:r w:rsidRPr="00AB42B4">
        <w:t xml:space="preserve"> a permanent stabilisation mechanism. The group’s recommendations were further discussed and endorsed by the European Council at its October and December meetings in the same year. An agreement on the ESM’s concrete set-up and its capital base of EUR 700 billion was reached among </w:t>
      </w:r>
      <w:r>
        <w:t>Eurozone</w:t>
      </w:r>
      <w:r w:rsidRPr="00AB42B4">
        <w:t xml:space="preserve"> finance ministers at their </w:t>
      </w:r>
      <w:r w:rsidRPr="00AB42B4">
        <w:lastRenderedPageBreak/>
        <w:t>Eurogroup meeting in March 2011. In June 2011 the ECOFIN Council of all EU finance ministers agree</w:t>
      </w:r>
      <w:r>
        <w:t>d</w:t>
      </w:r>
      <w:r w:rsidRPr="00AB42B4">
        <w:t xml:space="preserve"> on a draft of the later ESM treaty in the form </w:t>
      </w:r>
      <w:r>
        <w:t xml:space="preserve">of an </w:t>
      </w:r>
      <w:r w:rsidRPr="00AB42B4">
        <w:t xml:space="preserve">international agreement. </w:t>
      </w:r>
      <w:r>
        <w:t>I</w:t>
      </w:r>
      <w:r w:rsidRPr="00AB42B4">
        <w:t xml:space="preserve">n </w:t>
      </w:r>
      <w:r>
        <w:t>the</w:t>
      </w:r>
      <w:r w:rsidRPr="00AB42B4">
        <w:t xml:space="preserve"> sample of </w:t>
      </w:r>
      <w:r>
        <w:t xml:space="preserve">in-depth interviews from </w:t>
      </w:r>
      <w:r w:rsidRPr="00AB42B4">
        <w:t xml:space="preserve">nine </w:t>
      </w:r>
      <w:r>
        <w:t xml:space="preserve">Eurozone </w:t>
      </w:r>
      <w:r w:rsidRPr="00AB42B4">
        <w:t>countries</w:t>
      </w:r>
      <w:r>
        <w:t xml:space="preserve"> </w:t>
      </w:r>
      <w:r w:rsidRPr="00AB42B4">
        <w:t xml:space="preserve">parliamentary actors are reported to have entered the political process </w:t>
      </w:r>
      <w:r>
        <w:t>only</w:t>
      </w:r>
      <w:r w:rsidRPr="00AB42B4">
        <w:t xml:space="preserve"> in relation to the ratification of the ESM </w:t>
      </w:r>
      <w:r>
        <w:t>t</w:t>
      </w:r>
      <w:r w:rsidRPr="00AB42B4">
        <w:t>reaty, which was ultimately signed in February 2012.</w:t>
      </w:r>
    </w:p>
    <w:p w14:paraId="06E56BBE" w14:textId="77777777" w:rsidR="000150C4" w:rsidRPr="00AB42B4" w:rsidRDefault="000150C4" w:rsidP="00475B23">
      <w:r w:rsidRPr="00AB42B4">
        <w:t xml:space="preserve">In the Netherlands attempts by opposition politician Geert Wilders to delegitimize the government’s position on the ESM failed (NL_IG_01) and the issue was passed </w:t>
      </w:r>
      <w:r>
        <w:t>by</w:t>
      </w:r>
      <w:r w:rsidRPr="00AB42B4">
        <w:t xml:space="preserve"> parliament with a two-third majority. The Estonian parliament is seen to “have had some influence, probably, but didn’t change the fundamental results” (EE_GOV_01). The coalition government, which had pushed the country towards Euro adoption by January 2011, is described as having been ‘committed to the European cause’ and because of that ‘you had to do what you had to do’ (EE_GOV_01). In Slovakia, the government was “free to adopt positions on the ESM” without testing them in parliament (SK_GOV_01). Instead, key EU discussion forums are pointed out as venues where the respective governmental experts and political leaders had developed and tested their own views in relation to other member states (NL_GOV_01, FI_GOV_01, AU_GOV_01). Finland and Austria are the only two cases in our sample where parliaments were singled out as important actors. In Austria, the parliament strengthened its participation rights regarding ESM decision-making after the government took part in intensive discussions in committees and with the opposition (AU_GOV_01). However, this decision did not change the EU-level agreements on the ESM </w:t>
      </w:r>
      <w:r>
        <w:t xml:space="preserve">into </w:t>
      </w:r>
      <w:r w:rsidRPr="00AB42B4">
        <w:t xml:space="preserve">which the government had already entered. Finland is the only country in </w:t>
      </w:r>
      <w:r>
        <w:t>the</w:t>
      </w:r>
      <w:r w:rsidRPr="00AB42B4">
        <w:t xml:space="preserve"> sample </w:t>
      </w:r>
      <w:r>
        <w:t xml:space="preserve">of in-depth interviews </w:t>
      </w:r>
      <w:r w:rsidRPr="00AB42B4">
        <w:t xml:space="preserve">for which </w:t>
      </w:r>
      <w:r>
        <w:t>a</w:t>
      </w:r>
      <w:r w:rsidRPr="00AB42B4">
        <w:t xml:space="preserve"> more significant interaction between the government and parliament </w:t>
      </w:r>
      <w:r>
        <w:t>can be traced for</w:t>
      </w:r>
      <w:r w:rsidRPr="00AB42B4">
        <w:t xml:space="preserve"> the whole period of decision-making on the ESM. Here, the ESM is reported to have been a heavily politicized issue (FI_GOV_01) and parliament </w:t>
      </w:r>
      <w:r>
        <w:t xml:space="preserve">is </w:t>
      </w:r>
      <w:r w:rsidRPr="00AB42B4">
        <w:t xml:space="preserve">seen as an important venue </w:t>
      </w:r>
      <w:r>
        <w:t xml:space="preserve">in which </w:t>
      </w:r>
      <w:r w:rsidRPr="00AB42B4">
        <w:t>the government had to present its positions on the ESM</w:t>
      </w:r>
      <w:r>
        <w:t xml:space="preserve"> </w:t>
      </w:r>
      <w:r w:rsidRPr="00AB42B4">
        <w:t>already long before the ratification period. For example, an interviewee pointed out that the unanimity requirement in ESM decision-making “was a constitutional matter” and that the government was subjected to “long hearings in the constitutional committee of the parliament” (FI_GOV_01).</w:t>
      </w:r>
    </w:p>
    <w:p w14:paraId="2A62FB77" w14:textId="77777777" w:rsidR="000150C4" w:rsidRPr="00AB42B4" w:rsidRDefault="000150C4" w:rsidP="00E86888">
      <w:pPr>
        <w:rPr>
          <w:rFonts w:cs="Times New Roman"/>
        </w:rPr>
      </w:pPr>
      <w:r w:rsidRPr="00AB42B4">
        <w:t xml:space="preserve">In order to further substantiate our analysis, we also asked government officials in our sample of interviewees in how far they felt pressured by public opinion. Several officials in the interview sample rate the influence of public opinion on ESM related decision-making as high. Especially the initial experience of the Greek crisis at the outset of a series of EU interventions to stabilize the </w:t>
      </w:r>
      <w:r>
        <w:t>E</w:t>
      </w:r>
      <w:r w:rsidRPr="00AB42B4">
        <w:t xml:space="preserve">urozone, is considered to have led to a politicization of the ESM debate and brought it to the attention of the general public. This was especially important in member states </w:t>
      </w:r>
      <w:r w:rsidRPr="00AB42B4">
        <w:lastRenderedPageBreak/>
        <w:t xml:space="preserve">that were not in financial difficulties and whose publics were generally more sceptical towards rescue programs (SK_GOV_01, EE_GOV_02, NL_GOV_01). In some cases, this led governments to develop a public discourse aimed at </w:t>
      </w:r>
      <w:r>
        <w:t>devolving</w:t>
      </w:r>
      <w:r w:rsidRPr="00AB42B4">
        <w:t xml:space="preserve"> tensions surrounding the creation of the ESM: </w:t>
      </w:r>
      <w:r>
        <w:t>“</w:t>
      </w:r>
      <w:r w:rsidRPr="00AB42B4">
        <w:t xml:space="preserve">We have to some extent taken into account the concerns of parliamentary actors and the public, but mostly it creates the pressure to communicate’’ (EE_GOV_01). Given the heightened media attention for the budgetary implications of the </w:t>
      </w:r>
      <w:r>
        <w:t>Eurocrisis</w:t>
      </w:r>
      <w:r w:rsidRPr="00AB42B4">
        <w:t>, executive actors were wary of potential negative public reactions. Policy-makers are said to have been involved in intensified public communication in response to these concerns (EE_GOV_01, ES_GOV_01, FI_GOV_01). As one official put</w:t>
      </w:r>
      <w:r>
        <w:t>s</w:t>
      </w:r>
      <w:r w:rsidRPr="00AB42B4">
        <w:t xml:space="preserve"> it:</w:t>
      </w:r>
      <w:r w:rsidRPr="00AB42B4">
        <w:rPr>
          <w:i/>
          <w:iCs/>
        </w:rPr>
        <w:t xml:space="preserve"> </w:t>
      </w:r>
      <w:r w:rsidRPr="00AB42B4">
        <w:rPr>
          <w:iCs/>
        </w:rPr>
        <w:t>“It seemed that every time there was a big problem, they [the Eurosceptic parties] were always getting more percentage points. That was one reason why there was so much public debate about these issues”</w:t>
      </w:r>
      <w:r w:rsidRPr="00AB42B4">
        <w:t xml:space="preserve"> (FI_GOV_01). One Spanish official recalls what he considers were successful efforts to convince the public that establishing the ESM and agreeing on an assistance programme to restructure the country’s banking sector was in the best interest of the Spanish people: ‘’It was made clear that the loan is only for stabilizing the banking sector, and the conditionality is only for the banking sector. It was also made clear that it is about saving depositors, not bankers. This was accepted by the audience […]’’ (</w:t>
      </w:r>
      <w:r w:rsidRPr="00AB42B4">
        <w:rPr>
          <w:rFonts w:cs="Times New Roman"/>
        </w:rPr>
        <w:t>ES_GOV_01).</w:t>
      </w:r>
    </w:p>
    <w:p w14:paraId="3255DAD9" w14:textId="387EEC4E" w:rsidR="000150C4" w:rsidRPr="00AB42B4" w:rsidRDefault="000150C4" w:rsidP="00400DA5">
      <w:pPr>
        <w:rPr>
          <w:rFonts w:eastAsia="Calibri" w:cs="Times New Roman"/>
        </w:rPr>
      </w:pPr>
      <w:r w:rsidRPr="00AB42B4">
        <w:rPr>
          <w:rFonts w:eastAsia="Calibri" w:cs="Times New Roman"/>
        </w:rPr>
        <w:t xml:space="preserve">To further cross-check </w:t>
      </w:r>
      <w:r>
        <w:rPr>
          <w:rFonts w:eastAsia="Calibri" w:cs="Times New Roman"/>
        </w:rPr>
        <w:t>these</w:t>
      </w:r>
      <w:r w:rsidRPr="00AB42B4">
        <w:rPr>
          <w:rFonts w:eastAsia="Calibri" w:cs="Times New Roman"/>
        </w:rPr>
        <w:t xml:space="preserve"> findings</w:t>
      </w:r>
      <w:r>
        <w:rPr>
          <w:rFonts w:eastAsia="Calibri" w:cs="Times New Roman"/>
        </w:rPr>
        <w:t xml:space="preserve"> the focus is now on </w:t>
      </w:r>
      <w:r w:rsidRPr="00AB42B4">
        <w:rPr>
          <w:rFonts w:eastAsia="Calibri" w:cs="Times New Roman"/>
        </w:rPr>
        <w:t xml:space="preserve">qualitative country data collected in the </w:t>
      </w:r>
      <w:r>
        <w:rPr>
          <w:rFonts w:eastAsia="Calibri" w:cs="Times New Roman"/>
        </w:rPr>
        <w:t>CCECL</w:t>
      </w:r>
      <w:r w:rsidRPr="00AB42B4">
        <w:rPr>
          <w:rFonts w:eastAsia="Calibri" w:cs="Times New Roman"/>
        </w:rPr>
        <w:t xml:space="preserve"> project and in the </w:t>
      </w:r>
      <w:r w:rsidRPr="00AB42B4">
        <w:rPr>
          <w:rFonts w:eastAsia="Calibri" w:cs="Times New Roman"/>
          <w:highlight w:val="yellow"/>
        </w:rPr>
        <w:t>DATASET NAME DELETED</w:t>
      </w:r>
      <w:r w:rsidRPr="00AB42B4">
        <w:rPr>
          <w:rFonts w:eastAsia="Calibri" w:cs="Times New Roman"/>
        </w:rPr>
        <w:t>. Table 1 below presents an overview of the type of parliamentary participation and the level of public mobilization on the ESM. More intense parliamentary activity is recorded in those countries with already strong parliamentary powers in EU affairs</w:t>
      </w:r>
      <w:r w:rsidR="00BA6D59">
        <w:rPr>
          <w:rFonts w:eastAsia="Calibri" w:cs="Times New Roman"/>
        </w:rPr>
        <w:t xml:space="preserve"> (</w:t>
      </w:r>
      <w:proofErr w:type="spellStart"/>
      <w:r w:rsidR="00BA6D59">
        <w:rPr>
          <w:rFonts w:eastAsia="Calibri" w:cs="Times New Roman"/>
        </w:rPr>
        <w:t>Auel</w:t>
      </w:r>
      <w:proofErr w:type="spellEnd"/>
      <w:r w:rsidR="00BA6D59">
        <w:rPr>
          <w:rFonts w:eastAsia="Calibri" w:cs="Times New Roman"/>
        </w:rPr>
        <w:t xml:space="preserve"> and </w:t>
      </w:r>
      <w:proofErr w:type="spellStart"/>
      <w:r w:rsidR="00BA6D59">
        <w:rPr>
          <w:rFonts w:eastAsia="Calibri" w:cs="Times New Roman"/>
        </w:rPr>
        <w:t>Höing</w:t>
      </w:r>
      <w:proofErr w:type="spellEnd"/>
      <w:r w:rsidR="00385405">
        <w:rPr>
          <w:rFonts w:eastAsia="Calibri" w:cs="Times New Roman"/>
        </w:rPr>
        <w:t>,</w:t>
      </w:r>
      <w:r w:rsidR="00BA6D59">
        <w:rPr>
          <w:rFonts w:eastAsia="Calibri" w:cs="Times New Roman"/>
        </w:rPr>
        <w:t xml:space="preserve"> 2014: 386)</w:t>
      </w:r>
      <w:r w:rsidRPr="00AB42B4">
        <w:rPr>
          <w:rFonts w:eastAsia="Calibri" w:cs="Times New Roman"/>
        </w:rPr>
        <w:t xml:space="preserve">, Austria, Estonia, Finland and the Netherlands. Yet, in all but one member state in the sample, Finland, there was no evidence that parliamentary actors exerted substantial influence during the period when governments formed their preference on the ESM and sought initial agreement at the EU-level. Those parliaments which </w:t>
      </w:r>
      <w:r>
        <w:rPr>
          <w:rFonts w:eastAsia="Calibri" w:cs="Times New Roman"/>
        </w:rPr>
        <w:t>were</w:t>
      </w:r>
      <w:r w:rsidRPr="00AB42B4">
        <w:rPr>
          <w:rFonts w:eastAsia="Calibri" w:cs="Times New Roman"/>
        </w:rPr>
        <w:t xml:space="preserve"> able to secure concessions from governments </w:t>
      </w:r>
      <w:r>
        <w:rPr>
          <w:rFonts w:eastAsia="Calibri" w:cs="Times New Roman"/>
        </w:rPr>
        <w:t>did</w:t>
      </w:r>
      <w:r w:rsidRPr="00AB42B4">
        <w:rPr>
          <w:rFonts w:eastAsia="Calibri" w:cs="Times New Roman"/>
        </w:rPr>
        <w:t xml:space="preserve"> so in relation to controlling future ESM activities. Public attention is considered to have been lower in countries which were potential ESM beneficiaries than in those member states with stronger fiscal positions. </w:t>
      </w:r>
    </w:p>
    <w:p w14:paraId="22B98FC6" w14:textId="77777777" w:rsidR="000150C4" w:rsidRPr="00AB42B4" w:rsidRDefault="000150C4" w:rsidP="00F31072">
      <w:pPr>
        <w:spacing w:line="240" w:lineRule="auto"/>
        <w:ind w:firstLine="0"/>
        <w:rPr>
          <w:rFonts w:eastAsia="Calibri" w:cs="Times New Roman"/>
          <w:b/>
        </w:rPr>
      </w:pPr>
    </w:p>
    <w:p w14:paraId="43CD69B5" w14:textId="77777777" w:rsidR="000150C4" w:rsidRPr="00AB42B4" w:rsidRDefault="000150C4" w:rsidP="00F31072">
      <w:pPr>
        <w:spacing w:line="240" w:lineRule="auto"/>
        <w:ind w:firstLine="0"/>
        <w:jc w:val="left"/>
        <w:rPr>
          <w:rFonts w:eastAsia="Calibri" w:cs="Times New Roman"/>
        </w:rPr>
      </w:pPr>
      <w:r w:rsidRPr="00AB42B4">
        <w:rPr>
          <w:rFonts w:eastAsia="Calibri" w:cs="Times New Roman"/>
          <w:b/>
        </w:rPr>
        <w:t>Table 1</w:t>
      </w:r>
      <w:r w:rsidRPr="00AB42B4">
        <w:rPr>
          <w:rFonts w:eastAsia="Calibri" w:cs="Times New Roman"/>
        </w:rPr>
        <w:t>. Activities of parliamentary actors and perceived public attention in relation to the ESM 2010-2012</w:t>
      </w:r>
    </w:p>
    <w:p w14:paraId="3A5D293C" w14:textId="77777777" w:rsidR="000150C4" w:rsidRPr="00AB42B4" w:rsidRDefault="000150C4" w:rsidP="00F31072">
      <w:pPr>
        <w:spacing w:line="240" w:lineRule="auto"/>
        <w:ind w:firstLine="0"/>
        <w:jc w:val="left"/>
        <w:rPr>
          <w:rFonts w:eastAsia="Calibri" w:cs="Times New Roman"/>
        </w:rPr>
      </w:pPr>
    </w:p>
    <w:tbl>
      <w:tblPr>
        <w:tblStyle w:val="TableGrid1"/>
        <w:tblW w:w="0" w:type="auto"/>
        <w:tblLook w:val="04A0" w:firstRow="1" w:lastRow="0" w:firstColumn="1" w:lastColumn="0" w:noHBand="0" w:noVBand="1"/>
      </w:tblPr>
      <w:tblGrid>
        <w:gridCol w:w="1555"/>
        <w:gridCol w:w="5670"/>
        <w:gridCol w:w="1785"/>
      </w:tblGrid>
      <w:tr w:rsidR="000150C4" w:rsidRPr="00AB42B4" w14:paraId="49E0E730" w14:textId="77777777" w:rsidTr="006F75EC">
        <w:tc>
          <w:tcPr>
            <w:tcW w:w="1555" w:type="dxa"/>
          </w:tcPr>
          <w:p w14:paraId="2303AC87" w14:textId="77777777" w:rsidR="000150C4" w:rsidRPr="00AB42B4" w:rsidRDefault="000150C4" w:rsidP="00F31072">
            <w:pPr>
              <w:spacing w:line="240" w:lineRule="auto"/>
              <w:ind w:firstLine="0"/>
              <w:jc w:val="left"/>
              <w:rPr>
                <w:rFonts w:eastAsia="Calibri" w:cs="Times New Roman"/>
                <w:b/>
                <w:sz w:val="22"/>
              </w:rPr>
            </w:pPr>
            <w:r w:rsidRPr="00AB42B4">
              <w:rPr>
                <w:rFonts w:eastAsia="Calibri" w:cs="Times New Roman"/>
                <w:b/>
                <w:sz w:val="22"/>
              </w:rPr>
              <w:t>Member State</w:t>
            </w:r>
          </w:p>
        </w:tc>
        <w:tc>
          <w:tcPr>
            <w:tcW w:w="5670" w:type="dxa"/>
          </w:tcPr>
          <w:p w14:paraId="5EFE86B1" w14:textId="77777777" w:rsidR="000150C4" w:rsidRPr="00AB42B4" w:rsidRDefault="000150C4" w:rsidP="00F31072">
            <w:pPr>
              <w:spacing w:line="240" w:lineRule="auto"/>
              <w:ind w:firstLine="0"/>
              <w:jc w:val="left"/>
              <w:rPr>
                <w:rFonts w:eastAsia="Calibri" w:cs="Times New Roman"/>
                <w:b/>
                <w:sz w:val="22"/>
              </w:rPr>
            </w:pPr>
            <w:r w:rsidRPr="00AB42B4">
              <w:rPr>
                <w:rFonts w:eastAsia="Calibri" w:cs="Times New Roman"/>
                <w:b/>
                <w:sz w:val="22"/>
              </w:rPr>
              <w:t>National parliaments, political parties, institutional actors</w:t>
            </w:r>
          </w:p>
        </w:tc>
        <w:tc>
          <w:tcPr>
            <w:tcW w:w="1785" w:type="dxa"/>
          </w:tcPr>
          <w:p w14:paraId="6582115C" w14:textId="77777777" w:rsidR="000150C4" w:rsidRPr="00AB42B4" w:rsidRDefault="000150C4" w:rsidP="00F31072">
            <w:pPr>
              <w:spacing w:line="240" w:lineRule="auto"/>
              <w:ind w:firstLine="0"/>
              <w:jc w:val="left"/>
              <w:rPr>
                <w:rFonts w:eastAsia="Calibri" w:cs="Times New Roman"/>
                <w:b/>
                <w:sz w:val="22"/>
              </w:rPr>
            </w:pPr>
            <w:r w:rsidRPr="00AB42B4">
              <w:rPr>
                <w:rFonts w:eastAsia="Calibri" w:cs="Times New Roman"/>
                <w:b/>
                <w:sz w:val="22"/>
              </w:rPr>
              <w:t>Public opinion</w:t>
            </w:r>
          </w:p>
        </w:tc>
      </w:tr>
      <w:tr w:rsidR="000150C4" w:rsidRPr="00AB42B4" w14:paraId="42CAB94F" w14:textId="77777777" w:rsidTr="006F75EC">
        <w:tc>
          <w:tcPr>
            <w:tcW w:w="1555" w:type="dxa"/>
            <w:vAlign w:val="center"/>
          </w:tcPr>
          <w:p w14:paraId="54120470" w14:textId="77777777" w:rsidR="000150C4" w:rsidRPr="00AB42B4" w:rsidRDefault="000150C4" w:rsidP="00F31072">
            <w:pPr>
              <w:spacing w:line="240" w:lineRule="auto"/>
              <w:ind w:firstLine="0"/>
              <w:jc w:val="center"/>
              <w:rPr>
                <w:rFonts w:eastAsia="Calibri" w:cs="Times New Roman"/>
                <w:b/>
                <w:sz w:val="22"/>
              </w:rPr>
            </w:pPr>
            <w:r w:rsidRPr="00AB42B4">
              <w:rPr>
                <w:rFonts w:eastAsia="Calibri" w:cs="Times New Roman"/>
                <w:b/>
                <w:sz w:val="22"/>
              </w:rPr>
              <w:t>Austria</w:t>
            </w:r>
          </w:p>
        </w:tc>
        <w:tc>
          <w:tcPr>
            <w:tcW w:w="5670" w:type="dxa"/>
            <w:vAlign w:val="center"/>
          </w:tcPr>
          <w:p w14:paraId="52411B05" w14:textId="77777777" w:rsidR="000150C4" w:rsidRPr="00AB42B4" w:rsidRDefault="000150C4" w:rsidP="00F31072">
            <w:pPr>
              <w:spacing w:line="240" w:lineRule="auto"/>
              <w:ind w:left="175" w:right="173" w:firstLine="0"/>
              <w:rPr>
                <w:rFonts w:eastAsia="Calibri" w:cs="Times New Roman"/>
                <w:sz w:val="22"/>
              </w:rPr>
            </w:pPr>
            <w:r w:rsidRPr="00AB42B4">
              <w:rPr>
                <w:rFonts w:eastAsia="Calibri" w:cs="Times New Roman"/>
                <w:sz w:val="22"/>
              </w:rPr>
              <w:t xml:space="preserve">parliament secured strong participation rights in ESM operation; changes to the constitution enhance parliamentary control powers (Art. 50a-50d); concessions </w:t>
            </w:r>
            <w:r w:rsidRPr="00AB42B4">
              <w:rPr>
                <w:rFonts w:eastAsia="Calibri" w:cs="Times New Roman"/>
                <w:sz w:val="22"/>
              </w:rPr>
              <w:lastRenderedPageBreak/>
              <w:t>to parliamentary opposition, BZÖ attempt to initiate referendum; intensive committee involvement; expert hearings; FPÖ and government of Carinthia apply to Austrian Constitutional Court on grounds of concerns over budgetary sovereignty</w:t>
            </w:r>
          </w:p>
        </w:tc>
        <w:tc>
          <w:tcPr>
            <w:tcW w:w="1785" w:type="dxa"/>
            <w:vAlign w:val="center"/>
          </w:tcPr>
          <w:p w14:paraId="26B682F5" w14:textId="77777777" w:rsidR="000150C4" w:rsidRPr="00AB42B4" w:rsidRDefault="000150C4" w:rsidP="00F31072">
            <w:pPr>
              <w:spacing w:line="240" w:lineRule="auto"/>
              <w:ind w:left="31" w:right="119" w:firstLine="0"/>
              <w:jc w:val="center"/>
              <w:rPr>
                <w:rFonts w:eastAsia="Calibri" w:cs="Times New Roman"/>
                <w:sz w:val="22"/>
              </w:rPr>
            </w:pPr>
            <w:r w:rsidRPr="00AB42B4">
              <w:rPr>
                <w:rFonts w:eastAsia="Calibri" w:cs="Times New Roman"/>
                <w:sz w:val="22"/>
              </w:rPr>
              <w:lastRenderedPageBreak/>
              <w:t>public attention coincides with</w:t>
            </w:r>
            <w:r>
              <w:rPr>
                <w:rFonts w:eastAsia="Calibri" w:cs="Times New Roman"/>
                <w:sz w:val="22"/>
              </w:rPr>
              <w:t xml:space="preserve"> </w:t>
            </w:r>
            <w:r w:rsidRPr="00AB42B4">
              <w:rPr>
                <w:rFonts w:eastAsia="Calibri" w:cs="Times New Roman"/>
                <w:sz w:val="22"/>
              </w:rPr>
              <w:lastRenderedPageBreak/>
              <w:t xml:space="preserve">prominent media coverage </w:t>
            </w:r>
          </w:p>
        </w:tc>
      </w:tr>
      <w:tr w:rsidR="000150C4" w:rsidRPr="00AB42B4" w14:paraId="377ED491" w14:textId="77777777" w:rsidTr="006F75EC">
        <w:tc>
          <w:tcPr>
            <w:tcW w:w="1555" w:type="dxa"/>
            <w:vAlign w:val="center"/>
          </w:tcPr>
          <w:p w14:paraId="7633F066" w14:textId="77777777" w:rsidR="000150C4" w:rsidRPr="00AB42B4" w:rsidRDefault="000150C4" w:rsidP="00F31072">
            <w:pPr>
              <w:spacing w:line="240" w:lineRule="auto"/>
              <w:ind w:firstLine="0"/>
              <w:jc w:val="center"/>
              <w:rPr>
                <w:rFonts w:eastAsia="Calibri" w:cs="Times New Roman"/>
                <w:b/>
                <w:sz w:val="22"/>
              </w:rPr>
            </w:pPr>
            <w:r w:rsidRPr="00AB42B4">
              <w:rPr>
                <w:rFonts w:eastAsia="Calibri" w:cs="Times New Roman"/>
                <w:b/>
                <w:sz w:val="22"/>
              </w:rPr>
              <w:lastRenderedPageBreak/>
              <w:t>Estonia</w:t>
            </w:r>
          </w:p>
        </w:tc>
        <w:tc>
          <w:tcPr>
            <w:tcW w:w="5670" w:type="dxa"/>
            <w:vAlign w:val="center"/>
          </w:tcPr>
          <w:p w14:paraId="419A7E0D" w14:textId="77777777" w:rsidR="000150C4" w:rsidRPr="00AB42B4" w:rsidRDefault="000150C4" w:rsidP="00F31072">
            <w:pPr>
              <w:spacing w:line="240" w:lineRule="auto"/>
              <w:ind w:left="175" w:right="173" w:firstLine="0"/>
              <w:rPr>
                <w:rFonts w:eastAsia="Calibri" w:cs="Times New Roman"/>
                <w:sz w:val="22"/>
              </w:rPr>
            </w:pPr>
            <w:r w:rsidRPr="00AB42B4">
              <w:rPr>
                <w:rFonts w:eastAsia="Calibri" w:cs="Times New Roman"/>
                <w:sz w:val="22"/>
              </w:rPr>
              <w:t>ombudsman initiates constitutional review procedure based on claims of violations to the principle of parliamentary democracy</w:t>
            </w:r>
          </w:p>
        </w:tc>
        <w:tc>
          <w:tcPr>
            <w:tcW w:w="1785" w:type="dxa"/>
            <w:vAlign w:val="center"/>
          </w:tcPr>
          <w:p w14:paraId="5EE2A272" w14:textId="77777777" w:rsidR="000150C4" w:rsidRPr="00AB42B4" w:rsidRDefault="000150C4" w:rsidP="00F31072">
            <w:pPr>
              <w:spacing w:line="240" w:lineRule="auto"/>
              <w:ind w:left="31" w:right="119" w:firstLine="0"/>
              <w:jc w:val="center"/>
              <w:rPr>
                <w:rFonts w:eastAsia="Calibri" w:cs="Times New Roman"/>
                <w:sz w:val="22"/>
              </w:rPr>
            </w:pPr>
            <w:r w:rsidRPr="00AB42B4">
              <w:rPr>
                <w:rFonts w:eastAsia="Calibri" w:cs="Times New Roman"/>
                <w:sz w:val="22"/>
              </w:rPr>
              <w:t>proportionality of Estonian contribution to ESM debated in public</w:t>
            </w:r>
          </w:p>
        </w:tc>
      </w:tr>
      <w:tr w:rsidR="000150C4" w:rsidRPr="00AB42B4" w14:paraId="3B4ECC8F" w14:textId="77777777" w:rsidTr="006F75EC">
        <w:tc>
          <w:tcPr>
            <w:tcW w:w="1555" w:type="dxa"/>
            <w:vAlign w:val="center"/>
          </w:tcPr>
          <w:p w14:paraId="17ADA0C2" w14:textId="77777777" w:rsidR="000150C4" w:rsidRPr="00AB42B4" w:rsidRDefault="000150C4" w:rsidP="00F31072">
            <w:pPr>
              <w:spacing w:line="240" w:lineRule="auto"/>
              <w:ind w:firstLine="0"/>
              <w:jc w:val="center"/>
              <w:rPr>
                <w:rFonts w:eastAsia="Calibri" w:cs="Times New Roman"/>
                <w:b/>
                <w:sz w:val="22"/>
              </w:rPr>
            </w:pPr>
            <w:r w:rsidRPr="00AB42B4">
              <w:rPr>
                <w:rFonts w:eastAsia="Calibri" w:cs="Times New Roman"/>
                <w:b/>
                <w:sz w:val="22"/>
              </w:rPr>
              <w:t>Finland</w:t>
            </w:r>
          </w:p>
        </w:tc>
        <w:tc>
          <w:tcPr>
            <w:tcW w:w="5670" w:type="dxa"/>
            <w:vAlign w:val="center"/>
          </w:tcPr>
          <w:p w14:paraId="7AFD0365" w14:textId="77777777" w:rsidR="000150C4" w:rsidRPr="00AB42B4" w:rsidRDefault="000150C4" w:rsidP="00F31072">
            <w:pPr>
              <w:spacing w:line="240" w:lineRule="auto"/>
              <w:ind w:left="175" w:right="173" w:firstLine="0"/>
              <w:rPr>
                <w:rFonts w:eastAsia="Calibri" w:cs="Times New Roman"/>
                <w:sz w:val="22"/>
              </w:rPr>
            </w:pPr>
            <w:r w:rsidRPr="00AB42B4">
              <w:rPr>
                <w:rFonts w:eastAsia="Calibri" w:cs="Times New Roman"/>
                <w:sz w:val="22"/>
              </w:rPr>
              <w:t>Constitutional Law Committee reaffirms parliamentary authority over final decision on capital payments in the ESM, demands participation and information rights</w:t>
            </w:r>
            <w:r>
              <w:rPr>
                <w:rFonts w:eastAsia="Calibri" w:cs="Times New Roman"/>
                <w:sz w:val="22"/>
              </w:rPr>
              <w:t xml:space="preserve"> </w:t>
            </w:r>
            <w:r w:rsidRPr="00AB42B4">
              <w:rPr>
                <w:rFonts w:eastAsia="Calibri" w:cs="Times New Roman"/>
                <w:sz w:val="22"/>
              </w:rPr>
              <w:t>for parliament, raised concerns over liability issues in the context of ESM emergency decisions; Grand Committee mandating government action at EU-level meetings</w:t>
            </w:r>
          </w:p>
        </w:tc>
        <w:tc>
          <w:tcPr>
            <w:tcW w:w="1785" w:type="dxa"/>
            <w:vAlign w:val="center"/>
          </w:tcPr>
          <w:p w14:paraId="5778407C" w14:textId="77777777" w:rsidR="000150C4" w:rsidRPr="00AB42B4" w:rsidRDefault="000150C4" w:rsidP="00F31072">
            <w:pPr>
              <w:spacing w:line="240" w:lineRule="auto"/>
              <w:ind w:left="31" w:right="119" w:firstLine="0"/>
              <w:jc w:val="center"/>
              <w:rPr>
                <w:rFonts w:eastAsia="Calibri" w:cs="Times New Roman"/>
                <w:sz w:val="22"/>
              </w:rPr>
            </w:pPr>
            <w:r w:rsidRPr="00AB42B4">
              <w:rPr>
                <w:rFonts w:eastAsia="Calibri" w:cs="Times New Roman"/>
                <w:sz w:val="22"/>
              </w:rPr>
              <w:t>heightened media attention; public debate politicized by Eurosceptic</w:t>
            </w:r>
            <w:r>
              <w:rPr>
                <w:rFonts w:eastAsia="Calibri" w:cs="Times New Roman"/>
                <w:sz w:val="22"/>
              </w:rPr>
              <w:t xml:space="preserve"> </w:t>
            </w:r>
            <w:r w:rsidRPr="00AB42B4">
              <w:rPr>
                <w:rFonts w:eastAsia="Calibri" w:cs="Times New Roman"/>
                <w:sz w:val="22"/>
              </w:rPr>
              <w:t>forces (True Finns)</w:t>
            </w:r>
          </w:p>
        </w:tc>
      </w:tr>
      <w:tr w:rsidR="000150C4" w:rsidRPr="00AB42B4" w14:paraId="0A9B9126" w14:textId="77777777" w:rsidTr="006F75EC">
        <w:tc>
          <w:tcPr>
            <w:tcW w:w="1555" w:type="dxa"/>
            <w:vAlign w:val="center"/>
          </w:tcPr>
          <w:p w14:paraId="590A58EC" w14:textId="77777777" w:rsidR="000150C4" w:rsidRPr="00AB42B4" w:rsidRDefault="000150C4" w:rsidP="00F31072">
            <w:pPr>
              <w:spacing w:line="240" w:lineRule="auto"/>
              <w:ind w:firstLine="0"/>
              <w:jc w:val="center"/>
              <w:rPr>
                <w:rFonts w:eastAsia="Calibri" w:cs="Times New Roman"/>
                <w:b/>
                <w:sz w:val="22"/>
              </w:rPr>
            </w:pPr>
            <w:r w:rsidRPr="00AB42B4">
              <w:rPr>
                <w:rFonts w:eastAsia="Calibri" w:cs="Times New Roman"/>
                <w:b/>
                <w:sz w:val="22"/>
              </w:rPr>
              <w:t>Ireland</w:t>
            </w:r>
          </w:p>
        </w:tc>
        <w:tc>
          <w:tcPr>
            <w:tcW w:w="5670" w:type="dxa"/>
            <w:vAlign w:val="center"/>
          </w:tcPr>
          <w:p w14:paraId="7D0240CE" w14:textId="77777777" w:rsidR="000150C4" w:rsidRPr="00AB42B4" w:rsidRDefault="000150C4" w:rsidP="00F31072">
            <w:pPr>
              <w:spacing w:line="240" w:lineRule="auto"/>
              <w:ind w:left="175" w:right="173" w:firstLine="0"/>
              <w:rPr>
                <w:rFonts w:eastAsia="Calibri" w:cs="Times New Roman"/>
                <w:sz w:val="22"/>
              </w:rPr>
            </w:pPr>
            <w:r w:rsidRPr="00AB42B4">
              <w:rPr>
                <w:rFonts w:eastAsia="Calibri" w:cs="Times New Roman"/>
                <w:sz w:val="22"/>
              </w:rPr>
              <w:t>MP Thomas Pringle</w:t>
            </w:r>
            <w:r>
              <w:rPr>
                <w:rFonts w:eastAsia="Calibri" w:cs="Times New Roman"/>
                <w:sz w:val="22"/>
              </w:rPr>
              <w:t xml:space="preserve"> </w:t>
            </w:r>
            <w:r w:rsidRPr="00AB42B4">
              <w:rPr>
                <w:rFonts w:eastAsia="Calibri" w:cs="Times New Roman"/>
                <w:sz w:val="22"/>
              </w:rPr>
              <w:t>challenges the legality of the ESM; parliament acquired right to information through reports every 6 months</w:t>
            </w:r>
          </w:p>
        </w:tc>
        <w:tc>
          <w:tcPr>
            <w:tcW w:w="1785" w:type="dxa"/>
            <w:vAlign w:val="center"/>
          </w:tcPr>
          <w:p w14:paraId="5A7D0E54" w14:textId="77777777" w:rsidR="000150C4" w:rsidRPr="00AB42B4" w:rsidRDefault="000150C4" w:rsidP="00F31072">
            <w:pPr>
              <w:spacing w:line="240" w:lineRule="auto"/>
              <w:ind w:left="31" w:right="119" w:firstLine="0"/>
              <w:jc w:val="center"/>
              <w:rPr>
                <w:rFonts w:eastAsia="Calibri" w:cs="Times New Roman"/>
                <w:sz w:val="22"/>
              </w:rPr>
            </w:pPr>
            <w:r w:rsidRPr="00AB42B4">
              <w:rPr>
                <w:rFonts w:eastAsia="Calibri" w:cs="Times New Roman"/>
                <w:sz w:val="22"/>
              </w:rPr>
              <w:t>ESM features in the referendum debate on the Fiscal Compact</w:t>
            </w:r>
          </w:p>
        </w:tc>
      </w:tr>
      <w:tr w:rsidR="000150C4" w:rsidRPr="00AB42B4" w14:paraId="17B4C121" w14:textId="77777777" w:rsidTr="006F75EC">
        <w:tc>
          <w:tcPr>
            <w:tcW w:w="1555" w:type="dxa"/>
            <w:vAlign w:val="center"/>
          </w:tcPr>
          <w:p w14:paraId="0D1C101C" w14:textId="77777777" w:rsidR="000150C4" w:rsidRPr="00AB42B4" w:rsidRDefault="000150C4" w:rsidP="00F31072">
            <w:pPr>
              <w:spacing w:line="240" w:lineRule="auto"/>
              <w:ind w:firstLine="0"/>
              <w:jc w:val="center"/>
              <w:rPr>
                <w:rFonts w:eastAsia="Calibri" w:cs="Times New Roman"/>
                <w:b/>
                <w:sz w:val="22"/>
              </w:rPr>
            </w:pPr>
            <w:r w:rsidRPr="00AB42B4">
              <w:rPr>
                <w:rFonts w:eastAsia="Calibri" w:cs="Times New Roman"/>
                <w:b/>
                <w:sz w:val="22"/>
              </w:rPr>
              <w:t>Netherlands</w:t>
            </w:r>
          </w:p>
        </w:tc>
        <w:tc>
          <w:tcPr>
            <w:tcW w:w="5670" w:type="dxa"/>
            <w:vAlign w:val="center"/>
          </w:tcPr>
          <w:p w14:paraId="08A2C995" w14:textId="77777777" w:rsidR="000150C4" w:rsidRPr="00AB42B4" w:rsidRDefault="000150C4" w:rsidP="00F31072">
            <w:pPr>
              <w:spacing w:line="240" w:lineRule="auto"/>
              <w:ind w:left="175" w:right="173" w:firstLine="0"/>
              <w:rPr>
                <w:rFonts w:eastAsia="Calibri" w:cs="Times New Roman"/>
                <w:sz w:val="22"/>
              </w:rPr>
            </w:pPr>
            <w:r w:rsidRPr="00AB42B4">
              <w:rPr>
                <w:rFonts w:eastAsia="Calibri" w:cs="Times New Roman"/>
                <w:sz w:val="22"/>
              </w:rPr>
              <w:t>budgetary consequences and parliamentary control of ESM central debate issues in the House of Representatives; opposition MP Geert Wilders unsuccessfully initiated legal proceedings against the ESM; parliament was granted the right to decide on ESM assistance for amounts above the pledged capital</w:t>
            </w:r>
          </w:p>
        </w:tc>
        <w:tc>
          <w:tcPr>
            <w:tcW w:w="1785" w:type="dxa"/>
            <w:vAlign w:val="center"/>
          </w:tcPr>
          <w:p w14:paraId="681C1093" w14:textId="77777777" w:rsidR="000150C4" w:rsidRPr="00AB42B4" w:rsidRDefault="000150C4" w:rsidP="00F31072">
            <w:pPr>
              <w:spacing w:line="240" w:lineRule="auto"/>
              <w:ind w:left="31" w:right="119" w:firstLine="0"/>
              <w:jc w:val="center"/>
              <w:rPr>
                <w:rFonts w:eastAsia="Calibri" w:cs="Times New Roman"/>
                <w:sz w:val="22"/>
              </w:rPr>
            </w:pPr>
            <w:r w:rsidRPr="00AB42B4">
              <w:rPr>
                <w:rFonts w:eastAsia="Calibri" w:cs="Times New Roman"/>
                <w:sz w:val="22"/>
              </w:rPr>
              <w:t>no record of broad public debate</w:t>
            </w:r>
          </w:p>
        </w:tc>
      </w:tr>
      <w:tr w:rsidR="000150C4" w:rsidRPr="00AB42B4" w14:paraId="421B4E8B" w14:textId="77777777" w:rsidTr="006F75EC">
        <w:tc>
          <w:tcPr>
            <w:tcW w:w="1555" w:type="dxa"/>
            <w:vAlign w:val="center"/>
          </w:tcPr>
          <w:p w14:paraId="0C61CDC8" w14:textId="77777777" w:rsidR="000150C4" w:rsidRPr="00AB42B4" w:rsidRDefault="000150C4" w:rsidP="00F31072">
            <w:pPr>
              <w:spacing w:line="240" w:lineRule="auto"/>
              <w:ind w:firstLine="0"/>
              <w:jc w:val="center"/>
              <w:rPr>
                <w:rFonts w:eastAsia="Calibri" w:cs="Times New Roman"/>
                <w:b/>
                <w:sz w:val="22"/>
              </w:rPr>
            </w:pPr>
            <w:r w:rsidRPr="00AB42B4">
              <w:rPr>
                <w:rFonts w:eastAsia="Calibri" w:cs="Times New Roman"/>
                <w:b/>
                <w:sz w:val="22"/>
              </w:rPr>
              <w:t>Portugal</w:t>
            </w:r>
          </w:p>
        </w:tc>
        <w:tc>
          <w:tcPr>
            <w:tcW w:w="5670" w:type="dxa"/>
            <w:vAlign w:val="center"/>
          </w:tcPr>
          <w:p w14:paraId="1F202D60" w14:textId="77777777" w:rsidR="000150C4" w:rsidRPr="00AB42B4" w:rsidRDefault="000150C4" w:rsidP="00F31072">
            <w:pPr>
              <w:spacing w:line="240" w:lineRule="auto"/>
              <w:ind w:left="175" w:right="173" w:firstLine="0"/>
              <w:rPr>
                <w:rFonts w:eastAsia="Calibri" w:cs="Times New Roman"/>
                <w:sz w:val="22"/>
              </w:rPr>
            </w:pPr>
            <w:r w:rsidRPr="00AB42B4">
              <w:rPr>
                <w:rFonts w:eastAsia="Calibri" w:cs="Times New Roman"/>
                <w:sz w:val="22"/>
              </w:rPr>
              <w:t>government obliged to report on disbursement of ESM assistance</w:t>
            </w:r>
          </w:p>
        </w:tc>
        <w:tc>
          <w:tcPr>
            <w:tcW w:w="1785" w:type="dxa"/>
            <w:vAlign w:val="center"/>
          </w:tcPr>
          <w:p w14:paraId="30798CCD" w14:textId="77777777" w:rsidR="000150C4" w:rsidRPr="00AB42B4" w:rsidRDefault="000150C4" w:rsidP="00F31072">
            <w:pPr>
              <w:spacing w:line="240" w:lineRule="auto"/>
              <w:ind w:left="31" w:right="119" w:firstLine="0"/>
              <w:jc w:val="center"/>
              <w:rPr>
                <w:rFonts w:eastAsia="Calibri" w:cs="Times New Roman"/>
                <w:sz w:val="22"/>
              </w:rPr>
            </w:pPr>
            <w:r w:rsidRPr="00AB42B4">
              <w:rPr>
                <w:rFonts w:eastAsia="Calibri" w:cs="Times New Roman"/>
                <w:sz w:val="22"/>
              </w:rPr>
              <w:t>no record of broad public debate</w:t>
            </w:r>
          </w:p>
        </w:tc>
      </w:tr>
      <w:tr w:rsidR="000150C4" w:rsidRPr="00AB42B4" w14:paraId="19B6D98F" w14:textId="77777777" w:rsidTr="006F75EC">
        <w:tc>
          <w:tcPr>
            <w:tcW w:w="1555" w:type="dxa"/>
            <w:vAlign w:val="center"/>
          </w:tcPr>
          <w:p w14:paraId="2CA0FB92" w14:textId="77777777" w:rsidR="000150C4" w:rsidRPr="00AB42B4" w:rsidRDefault="000150C4" w:rsidP="00F31072">
            <w:pPr>
              <w:spacing w:line="240" w:lineRule="auto"/>
              <w:ind w:firstLine="0"/>
              <w:jc w:val="center"/>
              <w:rPr>
                <w:rFonts w:eastAsia="Calibri" w:cs="Times New Roman"/>
                <w:b/>
                <w:sz w:val="22"/>
              </w:rPr>
            </w:pPr>
            <w:r w:rsidRPr="00AB42B4">
              <w:rPr>
                <w:rFonts w:eastAsia="Calibri" w:cs="Times New Roman"/>
                <w:b/>
                <w:sz w:val="22"/>
              </w:rPr>
              <w:t>Slovakia</w:t>
            </w:r>
          </w:p>
        </w:tc>
        <w:tc>
          <w:tcPr>
            <w:tcW w:w="5670" w:type="dxa"/>
            <w:vAlign w:val="center"/>
          </w:tcPr>
          <w:p w14:paraId="36DFD80C" w14:textId="77777777" w:rsidR="000150C4" w:rsidRPr="00AB42B4" w:rsidRDefault="000150C4" w:rsidP="00F31072">
            <w:pPr>
              <w:spacing w:line="240" w:lineRule="auto"/>
              <w:ind w:left="175" w:right="173" w:firstLine="0"/>
              <w:rPr>
                <w:rFonts w:eastAsia="Calibri" w:cs="Times New Roman"/>
                <w:sz w:val="22"/>
              </w:rPr>
            </w:pPr>
            <w:r w:rsidRPr="00AB42B4">
              <w:rPr>
                <w:rFonts w:eastAsia="Calibri" w:cs="Times New Roman"/>
                <w:sz w:val="22"/>
              </w:rPr>
              <w:t>parliament denied substantive participation in ESM decision-making, as two resolutions failed</w:t>
            </w:r>
          </w:p>
        </w:tc>
        <w:tc>
          <w:tcPr>
            <w:tcW w:w="1785" w:type="dxa"/>
            <w:vAlign w:val="center"/>
          </w:tcPr>
          <w:p w14:paraId="44700D31" w14:textId="77777777" w:rsidR="000150C4" w:rsidRPr="00AB42B4" w:rsidRDefault="000150C4" w:rsidP="00F31072">
            <w:pPr>
              <w:spacing w:line="240" w:lineRule="auto"/>
              <w:ind w:left="31" w:right="119" w:firstLine="0"/>
              <w:jc w:val="center"/>
              <w:rPr>
                <w:rFonts w:eastAsia="Calibri" w:cs="Times New Roman"/>
                <w:sz w:val="22"/>
              </w:rPr>
            </w:pPr>
            <w:r w:rsidRPr="00AB42B4">
              <w:rPr>
                <w:rFonts w:eastAsia="Calibri" w:cs="Times New Roman"/>
                <w:sz w:val="22"/>
              </w:rPr>
              <w:t>no record of broad public debate</w:t>
            </w:r>
          </w:p>
        </w:tc>
      </w:tr>
      <w:tr w:rsidR="000150C4" w:rsidRPr="00AB42B4" w14:paraId="56520A75" w14:textId="77777777" w:rsidTr="006F75EC">
        <w:tc>
          <w:tcPr>
            <w:tcW w:w="1555" w:type="dxa"/>
            <w:vAlign w:val="center"/>
          </w:tcPr>
          <w:p w14:paraId="16C504BD" w14:textId="77777777" w:rsidR="000150C4" w:rsidRPr="00AB42B4" w:rsidRDefault="000150C4" w:rsidP="00F31072">
            <w:pPr>
              <w:spacing w:line="240" w:lineRule="auto"/>
              <w:ind w:firstLine="0"/>
              <w:jc w:val="center"/>
              <w:rPr>
                <w:rFonts w:eastAsia="Calibri" w:cs="Times New Roman"/>
                <w:b/>
                <w:sz w:val="22"/>
              </w:rPr>
            </w:pPr>
            <w:r w:rsidRPr="00AB42B4">
              <w:rPr>
                <w:rFonts w:eastAsia="Calibri" w:cs="Times New Roman"/>
                <w:b/>
                <w:sz w:val="22"/>
              </w:rPr>
              <w:t>Slovenia</w:t>
            </w:r>
          </w:p>
        </w:tc>
        <w:tc>
          <w:tcPr>
            <w:tcW w:w="5670" w:type="dxa"/>
            <w:vAlign w:val="center"/>
          </w:tcPr>
          <w:p w14:paraId="1F538C92" w14:textId="77777777" w:rsidR="000150C4" w:rsidRPr="00AB42B4" w:rsidRDefault="000150C4" w:rsidP="00F31072">
            <w:pPr>
              <w:spacing w:line="240" w:lineRule="auto"/>
              <w:ind w:left="175" w:right="173" w:firstLine="0"/>
              <w:rPr>
                <w:rFonts w:eastAsia="Calibri" w:cs="Times New Roman"/>
                <w:sz w:val="22"/>
              </w:rPr>
            </w:pPr>
            <w:r w:rsidRPr="00AB42B4">
              <w:rPr>
                <w:rFonts w:eastAsia="Calibri" w:cs="Times New Roman"/>
                <w:sz w:val="22"/>
              </w:rPr>
              <w:t>no role of parliament beyond right to information on decision regarding assistance</w:t>
            </w:r>
          </w:p>
        </w:tc>
        <w:tc>
          <w:tcPr>
            <w:tcW w:w="1785" w:type="dxa"/>
            <w:vAlign w:val="center"/>
          </w:tcPr>
          <w:p w14:paraId="63448292" w14:textId="77777777" w:rsidR="000150C4" w:rsidRPr="00AB42B4" w:rsidRDefault="000150C4" w:rsidP="00F31072">
            <w:pPr>
              <w:spacing w:line="240" w:lineRule="auto"/>
              <w:ind w:left="31" w:right="119" w:firstLine="0"/>
              <w:jc w:val="center"/>
              <w:rPr>
                <w:rFonts w:eastAsia="Calibri" w:cs="Times New Roman"/>
                <w:sz w:val="22"/>
              </w:rPr>
            </w:pPr>
            <w:r w:rsidRPr="00AB42B4">
              <w:rPr>
                <w:rFonts w:eastAsia="Calibri" w:cs="Times New Roman"/>
                <w:sz w:val="22"/>
              </w:rPr>
              <w:t>no record of broad public debate</w:t>
            </w:r>
          </w:p>
        </w:tc>
      </w:tr>
      <w:tr w:rsidR="000150C4" w:rsidRPr="00AB42B4" w14:paraId="2C560BA9" w14:textId="77777777" w:rsidTr="006F75EC">
        <w:tc>
          <w:tcPr>
            <w:tcW w:w="1555" w:type="dxa"/>
            <w:vAlign w:val="center"/>
          </w:tcPr>
          <w:p w14:paraId="2468082B" w14:textId="77777777" w:rsidR="000150C4" w:rsidRPr="00AB42B4" w:rsidRDefault="000150C4" w:rsidP="00F31072">
            <w:pPr>
              <w:spacing w:line="240" w:lineRule="auto"/>
              <w:ind w:firstLine="0"/>
              <w:jc w:val="center"/>
              <w:rPr>
                <w:rFonts w:eastAsia="Calibri" w:cs="Times New Roman"/>
                <w:b/>
                <w:sz w:val="22"/>
              </w:rPr>
            </w:pPr>
            <w:r w:rsidRPr="00AB42B4">
              <w:rPr>
                <w:rFonts w:eastAsia="Calibri" w:cs="Times New Roman"/>
                <w:b/>
                <w:sz w:val="22"/>
              </w:rPr>
              <w:t>Spain</w:t>
            </w:r>
          </w:p>
        </w:tc>
        <w:tc>
          <w:tcPr>
            <w:tcW w:w="5670" w:type="dxa"/>
            <w:vAlign w:val="center"/>
          </w:tcPr>
          <w:p w14:paraId="460E0F0C" w14:textId="77777777" w:rsidR="000150C4" w:rsidRPr="00AB42B4" w:rsidRDefault="000150C4" w:rsidP="00F31072">
            <w:pPr>
              <w:spacing w:line="240" w:lineRule="auto"/>
              <w:ind w:left="175" w:right="173" w:firstLine="0"/>
              <w:rPr>
                <w:rFonts w:eastAsia="Calibri" w:cs="Times New Roman"/>
                <w:sz w:val="22"/>
              </w:rPr>
            </w:pPr>
            <w:r w:rsidRPr="00AB42B4">
              <w:rPr>
                <w:rFonts w:eastAsia="Calibri" w:cs="Times New Roman"/>
                <w:sz w:val="22"/>
              </w:rPr>
              <w:t>no parliamentary control over ESM activities</w:t>
            </w:r>
          </w:p>
        </w:tc>
        <w:tc>
          <w:tcPr>
            <w:tcW w:w="1785" w:type="dxa"/>
            <w:vAlign w:val="center"/>
          </w:tcPr>
          <w:p w14:paraId="24640665" w14:textId="77777777" w:rsidR="000150C4" w:rsidRPr="00AB42B4" w:rsidRDefault="000150C4" w:rsidP="00F31072">
            <w:pPr>
              <w:spacing w:line="240" w:lineRule="auto"/>
              <w:ind w:left="31" w:right="119" w:firstLine="0"/>
              <w:jc w:val="center"/>
              <w:rPr>
                <w:rFonts w:eastAsia="Calibri" w:cs="Times New Roman"/>
                <w:sz w:val="22"/>
              </w:rPr>
            </w:pPr>
            <w:r w:rsidRPr="00AB42B4">
              <w:rPr>
                <w:rFonts w:eastAsia="Calibri" w:cs="Times New Roman"/>
                <w:sz w:val="22"/>
              </w:rPr>
              <w:t>no record of broad public debate</w:t>
            </w:r>
          </w:p>
        </w:tc>
      </w:tr>
    </w:tbl>
    <w:p w14:paraId="7C0A2A5B" w14:textId="77777777" w:rsidR="000150C4" w:rsidRPr="00AB42B4" w:rsidRDefault="000150C4" w:rsidP="00F31072">
      <w:pPr>
        <w:spacing w:line="240" w:lineRule="auto"/>
        <w:ind w:firstLine="0"/>
        <w:jc w:val="left"/>
        <w:rPr>
          <w:rFonts w:eastAsia="Calibri" w:cs="Times New Roman"/>
          <w:sz w:val="21"/>
        </w:rPr>
      </w:pPr>
      <w:r w:rsidRPr="00AB42B4">
        <w:rPr>
          <w:rFonts w:eastAsia="Calibri" w:cs="Times New Roman"/>
          <w:sz w:val="21"/>
        </w:rPr>
        <w:t xml:space="preserve">Sources: </w:t>
      </w:r>
      <w:r>
        <w:rPr>
          <w:rFonts w:eastAsia="Calibri" w:cs="Times New Roman"/>
          <w:sz w:val="21"/>
        </w:rPr>
        <w:t>CCECL country reports</w:t>
      </w:r>
      <w:r>
        <w:rPr>
          <w:rStyle w:val="Referencakrajnjebiljeke"/>
          <w:rFonts w:eastAsia="Calibri" w:cs="Times New Roman"/>
          <w:sz w:val="21"/>
        </w:rPr>
        <w:endnoteReference w:id="3"/>
      </w:r>
      <w:r>
        <w:rPr>
          <w:rFonts w:eastAsia="Calibri" w:cs="Times New Roman"/>
          <w:sz w:val="21"/>
        </w:rPr>
        <w:t xml:space="preserve"> and answers to the open-ended questions from the </w:t>
      </w:r>
      <w:r w:rsidRPr="00382769">
        <w:rPr>
          <w:rFonts w:eastAsia="Calibri" w:cs="Times New Roman"/>
          <w:sz w:val="21"/>
          <w:highlight w:val="yellow"/>
        </w:rPr>
        <w:t>DATASET NAME DELETED</w:t>
      </w:r>
      <w:r>
        <w:rPr>
          <w:rFonts w:eastAsia="Calibri" w:cs="Times New Roman"/>
          <w:sz w:val="21"/>
        </w:rPr>
        <w:t>.</w:t>
      </w:r>
    </w:p>
    <w:p w14:paraId="2D07EEB4" w14:textId="77777777" w:rsidR="000150C4" w:rsidRPr="00AB42B4" w:rsidRDefault="000150C4" w:rsidP="006F75EC">
      <w:pPr>
        <w:rPr>
          <w:rFonts w:cs="Times New Roman"/>
        </w:rPr>
      </w:pPr>
    </w:p>
    <w:p w14:paraId="245D3CCB" w14:textId="77777777" w:rsidR="000150C4" w:rsidRPr="00AB42B4" w:rsidRDefault="000150C4" w:rsidP="006F75EC">
      <w:r w:rsidRPr="00AB42B4">
        <w:t xml:space="preserve">In the context of more recent debates on reforming the ESM in 2017-2018 a prevalent impression amongst the interviewees is that political actors and the public alike have lost interest in the issue as the Eurocrisis has been waning (AT_GOV_01, EE_GOV_01, FI_GOV_01, NL_GOV_01, ES_GOV_01, SK_GOV_01, SI_GOV_01). Besides being overshadowed by other policy issues such </w:t>
      </w:r>
      <w:r>
        <w:t xml:space="preserve">as </w:t>
      </w:r>
      <w:r w:rsidRPr="00AB42B4">
        <w:t>the migration crisis, the technical character of current discussions on ESM reform is considered not to be conducive to politici</w:t>
      </w:r>
      <w:r>
        <w:t>s</w:t>
      </w:r>
      <w:r w:rsidRPr="00AB42B4">
        <w:t xml:space="preserve">ing the issue. Some government officials even consider the reform debate as simply being not controversial </w:t>
      </w:r>
      <w:r w:rsidRPr="00AB42B4">
        <w:lastRenderedPageBreak/>
        <w:t>enough (AT_GOV_01, EE_GOV_01). As one official put it:</w:t>
      </w:r>
      <w:r w:rsidRPr="00AB42B4">
        <w:rPr>
          <w:iCs/>
        </w:rPr>
        <w:t xml:space="preserve"> “My impression is that political parties in Austria have pretty much lost interest in the ESM. When we created this, they were very interested, and they wanted a lot of rights in connection with the ESM, but once we had the first meeting of the parliamentary ESM sub-committee, they realized that the matters discussed there are not really matters that they can use to either leak to domestic press or to pretend that there is a scandal somewhere where billions are lost”</w:t>
      </w:r>
      <w:r w:rsidRPr="00AB42B4">
        <w:t xml:space="preserve"> (AT_GOV_01).</w:t>
      </w:r>
    </w:p>
    <w:p w14:paraId="27F20393" w14:textId="2C215DF9" w:rsidR="000150C4" w:rsidRDefault="000150C4" w:rsidP="006F75EC">
      <w:r w:rsidRPr="00AB42B4">
        <w:t>Yet, as one Estonian</w:t>
      </w:r>
      <w:r>
        <w:t xml:space="preserve"> government</w:t>
      </w:r>
      <w:r w:rsidRPr="00AB42B4">
        <w:t xml:space="preserve"> official describes it, </w:t>
      </w:r>
      <w:r>
        <w:t>political and legal backlash following initial Eurocrisis decision-making on the ESM is on the mind of</w:t>
      </w:r>
      <w:r w:rsidRPr="00AB42B4">
        <w:t xml:space="preserve"> decision-makers </w:t>
      </w:r>
      <w:r>
        <w:t>now</w:t>
      </w:r>
      <w:r w:rsidRPr="00AB42B4">
        <w:t xml:space="preserve">: </w:t>
      </w:r>
      <w:r>
        <w:t>“</w:t>
      </w:r>
      <w:r w:rsidRPr="00AB42B4">
        <w:t xml:space="preserve">When we started out, in the very beginning, the government was quite naïve. In a sense, we were ready to do more than </w:t>
      </w:r>
      <w:r>
        <w:t xml:space="preserve">what </w:t>
      </w:r>
      <w:r w:rsidRPr="00AB42B4">
        <w:t xml:space="preserve">we are ready to do at the moment’’ (EE_GOV_01). A Dutch official describes a similar pattern: </w:t>
      </w:r>
      <w:r>
        <w:t>“</w:t>
      </w:r>
      <w:r w:rsidRPr="00AB42B4">
        <w:t>People in the Netherlands have become a little bit critical towards what happened during the crisis. From that perspective a lot of issues that happened back then still resonate nowadays in the discussions on the future of the ESM. It [</w:t>
      </w:r>
      <w:r w:rsidRPr="002667D6">
        <w:t>public opinion</w:t>
      </w:r>
      <w:r w:rsidRPr="00AB42B4">
        <w:t xml:space="preserve">] is still very important’’ (NL_GOV_01). </w:t>
      </w:r>
      <w:r>
        <w:t xml:space="preserve">However, it is also apparent that governments </w:t>
      </w:r>
      <w:r w:rsidRPr="00AB42B4">
        <w:t>lack specific societal inputs into the ESM reform debate.</w:t>
      </w:r>
      <w:r>
        <w:t xml:space="preserve"> </w:t>
      </w:r>
      <w:r w:rsidRPr="00AB42B4">
        <w:t xml:space="preserve">For the current period, none of the interviewees could recall instances </w:t>
      </w:r>
      <w:r>
        <w:t>in which</w:t>
      </w:r>
      <w:r w:rsidRPr="00AB42B4">
        <w:t xml:space="preserve"> either </w:t>
      </w:r>
      <w:r>
        <w:t>interest</w:t>
      </w:r>
      <w:r w:rsidRPr="00AB42B4">
        <w:t xml:space="preserve"> groups or parliamentarians were involved in substantial discussions </w:t>
      </w:r>
      <w:r>
        <w:t>on</w:t>
      </w:r>
      <w:r w:rsidRPr="00AB42B4">
        <w:t xml:space="preserve"> ESM reform. </w:t>
      </w:r>
      <w:r>
        <w:t>This lack of concrete demands is also reflected i</w:t>
      </w:r>
      <w:r w:rsidRPr="00AB42B4">
        <w:t xml:space="preserve">n a joint statement from March 2018 </w:t>
      </w:r>
      <w:r>
        <w:t xml:space="preserve">by the </w:t>
      </w:r>
      <w:r w:rsidRPr="00AB42B4">
        <w:t>finance ministers of eight smaller, fiscally conservative countries</w:t>
      </w:r>
      <w:r>
        <w:t>,</w:t>
      </w:r>
      <w:r w:rsidRPr="00AB42B4">
        <w:t xml:space="preserve"> which are dubbed the </w:t>
      </w:r>
      <w:r>
        <w:t>‘</w:t>
      </w:r>
      <w:r w:rsidRPr="00AB42B4">
        <w:t>new Hanseatic League’</w:t>
      </w:r>
      <w:r w:rsidRPr="00AB42B4">
        <w:rPr>
          <w:rStyle w:val="Referencakrajnjebiljeke"/>
          <w:rFonts w:ascii="Garamond" w:eastAsia="Garamond" w:hAnsi="Garamond" w:cs="Garamond"/>
        </w:rPr>
        <w:endnoteReference w:id="4"/>
      </w:r>
      <w:r>
        <w:t xml:space="preserve">. They </w:t>
      </w:r>
      <w:r w:rsidRPr="00AB42B4">
        <w:t xml:space="preserve">suggest </w:t>
      </w:r>
      <w:r>
        <w:t>that</w:t>
      </w:r>
      <w:r w:rsidRPr="00AB42B4">
        <w:t xml:space="preserve"> “we should focus on initiatives that have public support in Member States. The financial crisis and the subsequent sovereign debt crisis have affected citizens in all Member States. With a view to the future, it is of the essence that we do our utmost to strengthen economic and financial stability and regain public trust. Further deepening of the EMU should stress </w:t>
      </w:r>
      <w:proofErr w:type="gramStart"/>
      <w:r w:rsidRPr="00AB42B4">
        <w:t>real</w:t>
      </w:r>
      <w:proofErr w:type="gramEnd"/>
      <w:r w:rsidRPr="00AB42B4">
        <w:t xml:space="preserve"> value-added, not far-reaching transfers of competence to the European level’’</w:t>
      </w:r>
      <w:r>
        <w:t xml:space="preserve"> </w:t>
      </w:r>
      <w:r>
        <w:rPr>
          <w:noProof/>
        </w:rPr>
        <w:t>(Government</w:t>
      </w:r>
      <w:r w:rsidR="00385405">
        <w:rPr>
          <w:noProof/>
        </w:rPr>
        <w:t xml:space="preserve"> </w:t>
      </w:r>
      <w:r>
        <w:rPr>
          <w:noProof/>
        </w:rPr>
        <w:t>Offices</w:t>
      </w:r>
      <w:r w:rsidR="00385405">
        <w:rPr>
          <w:noProof/>
        </w:rPr>
        <w:t xml:space="preserve"> </w:t>
      </w:r>
      <w:r>
        <w:rPr>
          <w:noProof/>
        </w:rPr>
        <w:t>of</w:t>
      </w:r>
      <w:r w:rsidR="00385405">
        <w:rPr>
          <w:noProof/>
        </w:rPr>
        <w:t xml:space="preserve"> </w:t>
      </w:r>
      <w:r>
        <w:rPr>
          <w:noProof/>
        </w:rPr>
        <w:t>Sweden, 2018)</w:t>
      </w:r>
      <w:r w:rsidRPr="00AB42B4">
        <w:t xml:space="preserve">. </w:t>
      </w:r>
      <w:r>
        <w:t xml:space="preserve">Rather than endorsing specific societal demands governments seem to simply acknowledge </w:t>
      </w:r>
      <w:r w:rsidRPr="00AB42B4">
        <w:t xml:space="preserve">that citizens currently express comparatively little or no appetite for more economic coordination </w:t>
      </w:r>
      <w:r>
        <w:t>within the</w:t>
      </w:r>
      <w:r w:rsidRPr="00AB42B4">
        <w:t xml:space="preserve"> </w:t>
      </w:r>
      <w:r>
        <w:t>Euro</w:t>
      </w:r>
      <w:r w:rsidRPr="00AB42B4">
        <w:t>zone</w:t>
      </w:r>
      <w:r>
        <w:t>.</w:t>
      </w:r>
      <w:r w:rsidRPr="00AB42B4">
        <w:t xml:space="preserve"> </w:t>
      </w:r>
      <w:r>
        <w:t>While</w:t>
      </w:r>
      <w:r w:rsidRPr="00AB42B4">
        <w:t xml:space="preserve"> on average 67 per cent of </w:t>
      </w:r>
      <w:r>
        <w:t>Euro</w:t>
      </w:r>
      <w:r w:rsidRPr="00AB42B4">
        <w:t xml:space="preserve">zone citizens think </w:t>
      </w:r>
      <w:r>
        <w:t xml:space="preserve">that </w:t>
      </w:r>
      <w:r w:rsidRPr="00AB42B4">
        <w:t xml:space="preserve">there should be more coordination, </w:t>
      </w:r>
      <w:r>
        <w:t>endorsement</w:t>
      </w:r>
      <w:r w:rsidRPr="00AB42B4">
        <w:t xml:space="preserve"> is much lower in Estonia (34 %), Finland (35 %), Ireland (42 %)</w:t>
      </w:r>
      <w:r>
        <w:t xml:space="preserve"> and </w:t>
      </w:r>
      <w:r w:rsidRPr="00AB42B4">
        <w:t>the Netherlands (51 %)</w:t>
      </w:r>
      <w:r>
        <w:rPr>
          <w:noProof/>
        </w:rPr>
        <w:t xml:space="preserve"> (Eurobarometer, 2017)</w:t>
      </w:r>
      <w:r w:rsidRPr="00AB42B4">
        <w:t>.</w:t>
      </w:r>
    </w:p>
    <w:p w14:paraId="0A7FF15A" w14:textId="77777777" w:rsidR="000150C4" w:rsidRPr="00385405" w:rsidRDefault="000150C4" w:rsidP="006F75EC">
      <w:pPr>
        <w:pStyle w:val="Naslov1"/>
        <w:rPr>
          <w:sz w:val="28"/>
        </w:rPr>
      </w:pPr>
      <w:r w:rsidRPr="00385405">
        <w:rPr>
          <w:sz w:val="28"/>
        </w:rPr>
        <w:t>Conclusion</w:t>
      </w:r>
    </w:p>
    <w:p w14:paraId="695AC017" w14:textId="659516CE" w:rsidR="000150C4" w:rsidRDefault="000150C4" w:rsidP="00CF2844">
      <w:pPr>
        <w:ind w:firstLine="0"/>
      </w:pPr>
      <w:r>
        <w:t xml:space="preserve">This article offers important insights into governmental preference formation at the domestic level in relation to the creation of the ESM and more recent reform debates. The findings show how little direct influence non-executive actors could exercise and actually sought to have in </w:t>
      </w:r>
      <w:r>
        <w:lastRenderedPageBreak/>
        <w:t xml:space="preserve">relation to member state governments, as the latter embarked on a major reform of EMU’s institutional architecture. The empirical analysis confirms the first hypothesis that the role of non-executive actors in governmental preference formation in relation to the creation of the ESM was generally limited. While the vast majority of contributions to the Eurocrisis literature focus on decision-making among the EU’s top executives – albeit from different perspectives – most existing accounts do not verify this view in relation to other potentially important actors. This article does so in several ways. The influence scores from </w:t>
      </w:r>
      <w:r w:rsidRPr="00AB42B4">
        <w:t xml:space="preserve">the </w:t>
      </w:r>
      <w:r w:rsidRPr="00AB42B4">
        <w:rPr>
          <w:highlight w:val="yellow"/>
        </w:rPr>
        <w:t>DATASET-NAME-DELETED</w:t>
      </w:r>
      <w:r>
        <w:t xml:space="preserve"> reveal how large the gap is between executive actors, on the one hand, and non-executive actors, on the other hand. The heads of state and government, finance ministries and the EU-level coordination forums, which comprise these actors as members, lead the process on ESM decision-making. The answers to open-ended questions and the in-depth research interviews with executive and non-executive actors in nine Eurozone countries confirm this pattern. Most importantly, even where non-executive actors feature more visibly their interventions are not seen by the interviewees as having revoked or diverted governmental preferences. The combination of EU-28 data and in-depth interviews from a sample of nine Eurozone countries adds strong plausibility to these findings. Even though alternative country cases may reveal variations, this article provides important insights into processes of domestic preference formation in relation to the Eurocrisis. The empirical findings also confirm the second hypothesis. Organised business and labour receive the lowest influence ratings. Even banking sector organisations, which have been investigated as a potentially important interest groups in the Eurocrisis literature </w:t>
      </w:r>
      <w:r>
        <w:rPr>
          <w:noProof/>
        </w:rPr>
        <w:t>(Rothacher, 2015; Schäfer, 2016)</w:t>
      </w:r>
      <w:r>
        <w:t>, are considered to be marginal actors. The in-depth interviews reveal how little they did to proactively influence governmental preferences on ESM creation or more recent reform. Even though the Commission still holds consultations with the EU-level umbrella organisations, there is no evidence of any meaningful tripartite interest mediation. However, there is only limited evidence that one can map interventions from organised business and labour as being linked to ESM conditionality. While in the Netherlands the social partners are indeed seen in opposition to each other, they are in alignment with each other and the government in Austria</w:t>
      </w:r>
      <w:r w:rsidRPr="00A03018">
        <w:t xml:space="preserve"> </w:t>
      </w:r>
      <w:r>
        <w:t xml:space="preserve">and Spain. In Central and Eastern </w:t>
      </w:r>
      <w:r w:rsidR="003E4413">
        <w:t>Europe,</w:t>
      </w:r>
      <w:r>
        <w:t xml:space="preserve"> the ESM does not at all trigger interventions.</w:t>
      </w:r>
    </w:p>
    <w:p w14:paraId="59882D9C" w14:textId="77777777" w:rsidR="000150C4" w:rsidRDefault="000150C4" w:rsidP="002907BA">
      <w:r>
        <w:t>The third hypothesis was derived from a specialised literature on the role of national parliaments during the Eurocrisis. This literature either investigates the role of parliaments in ESM governance (</w:t>
      </w:r>
      <w:proofErr w:type="spellStart"/>
      <w:r w:rsidRPr="00260DF2">
        <w:t>Auel</w:t>
      </w:r>
      <w:proofErr w:type="spellEnd"/>
      <w:r w:rsidRPr="00260DF2">
        <w:t xml:space="preserve"> and </w:t>
      </w:r>
      <w:proofErr w:type="spellStart"/>
      <w:r w:rsidRPr="00260DF2">
        <w:t>Höing</w:t>
      </w:r>
      <w:proofErr w:type="spellEnd"/>
      <w:r>
        <w:t>,</w:t>
      </w:r>
      <w:r w:rsidRPr="00260DF2">
        <w:t xml:space="preserve"> 2015, 2014</w:t>
      </w:r>
      <w:r>
        <w:t xml:space="preserve"> and </w:t>
      </w:r>
      <w:proofErr w:type="spellStart"/>
      <w:r w:rsidRPr="00260DF2">
        <w:t>Höing</w:t>
      </w:r>
      <w:proofErr w:type="spellEnd"/>
      <w:r>
        <w:t>,</w:t>
      </w:r>
      <w:r w:rsidRPr="00260DF2">
        <w:t xml:space="preserve"> 2015)</w:t>
      </w:r>
      <w:r>
        <w:t>, or views national parliaments to follow consensus politics among EU executives (</w:t>
      </w:r>
      <w:proofErr w:type="spellStart"/>
      <w:r w:rsidRPr="00D46469">
        <w:t>Puntscher</w:t>
      </w:r>
      <w:proofErr w:type="spellEnd"/>
      <w:r w:rsidRPr="00D46469">
        <w:t xml:space="preserve"> </w:t>
      </w:r>
      <w:proofErr w:type="spellStart"/>
      <w:r w:rsidRPr="00D46469">
        <w:t>Riekmann</w:t>
      </w:r>
      <w:proofErr w:type="spellEnd"/>
      <w:r w:rsidRPr="00D46469">
        <w:t xml:space="preserve"> and </w:t>
      </w:r>
      <w:proofErr w:type="spellStart"/>
      <w:r w:rsidRPr="00D46469">
        <w:t>Wydra</w:t>
      </w:r>
      <w:proofErr w:type="spellEnd"/>
      <w:r>
        <w:t xml:space="preserve">, 2013). The findings in the previous section complement this literature in important ways. While </w:t>
      </w:r>
      <w:r>
        <w:lastRenderedPageBreak/>
        <w:t>governments depended on parliaments to ratify the ESM treaty, the latter were not considered to have been in a position to divert or revoke initial governmental preferences on the ESM’s institutional design. Finland is the only country for which noteworthy parliamentary interventions are detected during the initial phase when governments formed their preferences in conjunction with and in relation to their EU partners. Parliaments in countries with strong formal powers rather use these powers in relation to executive actors for securing procedural rights in future ESM-related decision-making. However, more recent debates on further ESM reform show that these powers are not necessarily being used.</w:t>
      </w:r>
    </w:p>
    <w:p w14:paraId="38A412C7" w14:textId="701C3AAB" w:rsidR="00BA6D59" w:rsidRDefault="000150C4" w:rsidP="003E4413">
      <w:r>
        <w:t xml:space="preserve">The in-depth interviews also provide support for the fourth hypothesis. Policy-makers have been worried about negative public opinion in relation to their preferences regarding the ESM, yet they do not suggest how this affects these preferences other than that policy-makers are determined to carry on. The quoted statement from the Hanseatic League reflects this very well and so does the notion that negative public opinion increases the pressure to communicate </w:t>
      </w:r>
      <w:r w:rsidRPr="00AB42B4">
        <w:t>(EE_GOV_01)</w:t>
      </w:r>
      <w:r>
        <w:t>. In conclusion, governmental preference formation appears to be insulated from potentially important non-executive actors at the domestic level. This has two major implications for ongoing debates between different perspectives in integration theory. For liberal intergovernmentalist explanations it implies that the domestic element of the theory may be of limited use in relation to some key episodes of the Eurocrisis. Similarly, neofunctionalist explanations would concentrate on the moments when politicians came to understand functional interdependencies rather than on mobilisation by transnational interest groups. The claim by new intergovernmentalism that domestic preference formation is crucially driven by EU-level consensus-seeking among governing elites from the member states and the EU institutions is a plausible explanation for the strong influence scores of both domestic executive actors and the EU-level forums in which these actors meet. Postfunctionalism and new intergovernmentalism provide important arguments for understanding why policy-makers express concern about negative public opinion towards Eurozone policies and EU integration. When rescuing the Euro by creating the ESM as a permanent stabilisation instrument policy-makers preferred prior agreement among themselves over listening to important societal interests. Their agreement enabled them to pursue further integration but left them in uncertainty regarding the domestic endorsement of their policy choices.</w:t>
      </w:r>
    </w:p>
    <w:p w14:paraId="44A1855E" w14:textId="77777777" w:rsidR="000150C4" w:rsidRPr="00385405" w:rsidRDefault="000150C4" w:rsidP="009B01A2">
      <w:pPr>
        <w:pStyle w:val="Naslov1"/>
        <w:rPr>
          <w:sz w:val="28"/>
        </w:rPr>
      </w:pPr>
      <w:r w:rsidRPr="00385405">
        <w:rPr>
          <w:sz w:val="28"/>
        </w:rPr>
        <w:t>Bibliography</w:t>
      </w:r>
    </w:p>
    <w:p w14:paraId="03864304" w14:textId="17D09EDF" w:rsidR="000150C4" w:rsidRPr="00D36F4A" w:rsidRDefault="000150C4" w:rsidP="00D36F4A">
      <w:pPr>
        <w:pStyle w:val="EndNoteBibliography"/>
        <w:ind w:left="720" w:hanging="720"/>
        <w:rPr>
          <w:noProof/>
        </w:rPr>
      </w:pPr>
      <w:r w:rsidRPr="00D36F4A">
        <w:rPr>
          <w:noProof/>
        </w:rPr>
        <w:t xml:space="preserve">Auel K and Höing O (2014) Parliaments in the Euro Crisis: Can the Losers of Integration Still Fight Back? </w:t>
      </w:r>
      <w:r w:rsidRPr="00D36F4A">
        <w:rPr>
          <w:i/>
          <w:noProof/>
        </w:rPr>
        <w:t>Journal of Common Market Studies</w:t>
      </w:r>
      <w:r w:rsidRPr="00D36F4A">
        <w:rPr>
          <w:noProof/>
        </w:rPr>
        <w:t xml:space="preserve"> 52</w:t>
      </w:r>
      <w:r w:rsidR="002C3907">
        <w:rPr>
          <w:noProof/>
        </w:rPr>
        <w:t>(6)</w:t>
      </w:r>
      <w:r w:rsidRPr="00D36F4A">
        <w:rPr>
          <w:noProof/>
        </w:rPr>
        <w:t>: 1184-1193.</w:t>
      </w:r>
    </w:p>
    <w:p w14:paraId="50C59817" w14:textId="3987D1C2" w:rsidR="000150C4" w:rsidRPr="00D36F4A" w:rsidRDefault="000150C4" w:rsidP="00D36F4A">
      <w:pPr>
        <w:pStyle w:val="EndNoteBibliography"/>
        <w:ind w:left="720" w:hanging="720"/>
        <w:rPr>
          <w:noProof/>
        </w:rPr>
      </w:pPr>
      <w:r w:rsidRPr="00D36F4A">
        <w:rPr>
          <w:noProof/>
        </w:rPr>
        <w:t xml:space="preserve">Auel K and Höing O (2015) National Parliaments and the Eurozone Crisis: Taking Ownership in Difficult Times? </w:t>
      </w:r>
      <w:r w:rsidRPr="00D36F4A">
        <w:rPr>
          <w:i/>
          <w:noProof/>
        </w:rPr>
        <w:t>West European Politics</w:t>
      </w:r>
      <w:r w:rsidRPr="00D36F4A">
        <w:rPr>
          <w:noProof/>
        </w:rPr>
        <w:t xml:space="preserve"> 38</w:t>
      </w:r>
      <w:r w:rsidR="002C3907">
        <w:rPr>
          <w:noProof/>
        </w:rPr>
        <w:t>(2)</w:t>
      </w:r>
      <w:r w:rsidRPr="00D36F4A">
        <w:rPr>
          <w:noProof/>
        </w:rPr>
        <w:t>: 375-395.</w:t>
      </w:r>
    </w:p>
    <w:p w14:paraId="47688791" w14:textId="6926B82B" w:rsidR="000150C4" w:rsidRDefault="000150C4" w:rsidP="00D36F4A">
      <w:pPr>
        <w:pStyle w:val="EndNoteBibliography"/>
        <w:ind w:left="720" w:hanging="720"/>
        <w:rPr>
          <w:noProof/>
        </w:rPr>
      </w:pPr>
      <w:r w:rsidRPr="00D36F4A">
        <w:rPr>
          <w:noProof/>
        </w:rPr>
        <w:lastRenderedPageBreak/>
        <w:t xml:space="preserve">Bauer MW and Becker S (2014) The unexpected winner of the crisis: The European Commission's strenghtened role in economic governance. </w:t>
      </w:r>
      <w:r w:rsidRPr="00D36F4A">
        <w:rPr>
          <w:i/>
          <w:noProof/>
        </w:rPr>
        <w:t>Journal of European Integration</w:t>
      </w:r>
      <w:r w:rsidRPr="00D36F4A">
        <w:rPr>
          <w:noProof/>
        </w:rPr>
        <w:t xml:space="preserve"> 36</w:t>
      </w:r>
      <w:r w:rsidR="002C3907">
        <w:rPr>
          <w:noProof/>
        </w:rPr>
        <w:t>(3)</w:t>
      </w:r>
      <w:r w:rsidRPr="00D36F4A">
        <w:rPr>
          <w:noProof/>
        </w:rPr>
        <w:t>: 213-229.</w:t>
      </w:r>
    </w:p>
    <w:p w14:paraId="762E26A7" w14:textId="6520843F" w:rsidR="002C3907" w:rsidRPr="00D36F4A" w:rsidRDefault="002C3907" w:rsidP="002C3907">
      <w:pPr>
        <w:pStyle w:val="EndNoteBibliography"/>
        <w:ind w:left="720" w:hanging="720"/>
        <w:rPr>
          <w:noProof/>
        </w:rPr>
      </w:pPr>
      <w:r w:rsidRPr="00AB63E8">
        <w:rPr>
          <w:noProof/>
        </w:rPr>
        <w:t xml:space="preserve">Beukers T, </w:t>
      </w:r>
      <w:r w:rsidR="003E4413">
        <w:rPr>
          <w:noProof/>
        </w:rPr>
        <w:t>d</w:t>
      </w:r>
      <w:r w:rsidRPr="00AB63E8">
        <w:rPr>
          <w:noProof/>
        </w:rPr>
        <w:t>e Witte B and Kilpatrick C</w:t>
      </w:r>
      <w:r>
        <w:rPr>
          <w:noProof/>
        </w:rPr>
        <w:t xml:space="preserve"> (2017)</w:t>
      </w:r>
      <w:r w:rsidRPr="00AB63E8">
        <w:rPr>
          <w:noProof/>
        </w:rPr>
        <w:t xml:space="preserve"> Constitutional Change through Euro-Crisis Law</w:t>
      </w:r>
      <w:r>
        <w:rPr>
          <w:noProof/>
        </w:rPr>
        <w:t>. Cambridge: Cambridge University Press.</w:t>
      </w:r>
    </w:p>
    <w:p w14:paraId="10259E05" w14:textId="625B125B" w:rsidR="000150C4" w:rsidRPr="00D36F4A" w:rsidRDefault="000150C4" w:rsidP="00D36F4A">
      <w:pPr>
        <w:pStyle w:val="EndNoteBibliography"/>
        <w:ind w:left="720" w:hanging="720"/>
        <w:rPr>
          <w:noProof/>
        </w:rPr>
      </w:pPr>
      <w:r w:rsidRPr="00D36F4A">
        <w:rPr>
          <w:noProof/>
        </w:rPr>
        <w:t xml:space="preserve">Bickerton CJ, Hodson D and Puetter U (2015) The new intergovernmentalism: European integration in the post-Maastricht era. </w:t>
      </w:r>
      <w:r w:rsidRPr="00D36F4A">
        <w:rPr>
          <w:i/>
          <w:noProof/>
        </w:rPr>
        <w:t>Journal of Common Market Studies</w:t>
      </w:r>
      <w:r w:rsidRPr="00D36F4A">
        <w:rPr>
          <w:noProof/>
        </w:rPr>
        <w:t xml:space="preserve"> 53</w:t>
      </w:r>
      <w:r w:rsidR="002C3907">
        <w:rPr>
          <w:noProof/>
        </w:rPr>
        <w:t>(4)</w:t>
      </w:r>
      <w:r w:rsidRPr="00D36F4A">
        <w:rPr>
          <w:noProof/>
        </w:rPr>
        <w:t>: 703-722.</w:t>
      </w:r>
    </w:p>
    <w:p w14:paraId="0E2BDF37" w14:textId="663576F1" w:rsidR="000150C4" w:rsidRPr="00D36F4A" w:rsidRDefault="000150C4" w:rsidP="00D36F4A">
      <w:pPr>
        <w:pStyle w:val="EndNoteBibliography"/>
        <w:ind w:left="720" w:hanging="720"/>
        <w:rPr>
          <w:noProof/>
        </w:rPr>
      </w:pPr>
      <w:r w:rsidRPr="00D36F4A">
        <w:rPr>
          <w:noProof/>
        </w:rPr>
        <w:t xml:space="preserve">Brady HE and Collier D (2010) </w:t>
      </w:r>
      <w:r w:rsidRPr="00D36F4A">
        <w:rPr>
          <w:i/>
          <w:noProof/>
        </w:rPr>
        <w:t xml:space="preserve">Rethinking social inquiry: diverse tools, shared standards, </w:t>
      </w:r>
      <w:r w:rsidRPr="00D36F4A">
        <w:rPr>
          <w:noProof/>
        </w:rPr>
        <w:t>Plymouth: Rowman&amp;Littlefield.</w:t>
      </w:r>
    </w:p>
    <w:p w14:paraId="441EF9B4" w14:textId="62387C14" w:rsidR="000150C4" w:rsidRPr="00D36F4A" w:rsidRDefault="000150C4" w:rsidP="00D36F4A">
      <w:pPr>
        <w:pStyle w:val="EndNoteBibliography"/>
        <w:ind w:left="720" w:hanging="720"/>
        <w:rPr>
          <w:noProof/>
        </w:rPr>
      </w:pPr>
      <w:r w:rsidRPr="00D36F4A">
        <w:rPr>
          <w:noProof/>
        </w:rPr>
        <w:t xml:space="preserve">Bressanelli E and Chelotti N (2016) The Shadow of the European Council. Understanding Legislation on Economic Governance. </w:t>
      </w:r>
      <w:r w:rsidRPr="00D36F4A">
        <w:rPr>
          <w:i/>
          <w:noProof/>
        </w:rPr>
        <w:t>Journal of European Integration</w:t>
      </w:r>
      <w:r w:rsidRPr="00D36F4A">
        <w:rPr>
          <w:noProof/>
        </w:rPr>
        <w:t xml:space="preserve"> 38</w:t>
      </w:r>
      <w:r w:rsidR="002C3907">
        <w:rPr>
          <w:noProof/>
        </w:rPr>
        <w:t>(5)</w:t>
      </w:r>
      <w:r w:rsidRPr="00D36F4A">
        <w:rPr>
          <w:noProof/>
        </w:rPr>
        <w:t>: 511-525.</w:t>
      </w:r>
    </w:p>
    <w:p w14:paraId="735E351F" w14:textId="22FE7D07" w:rsidR="000150C4" w:rsidRPr="00D36F4A" w:rsidRDefault="000150C4" w:rsidP="00D36F4A">
      <w:pPr>
        <w:pStyle w:val="EndNoteBibliography"/>
        <w:ind w:left="720" w:hanging="720"/>
        <w:rPr>
          <w:noProof/>
        </w:rPr>
      </w:pPr>
      <w:r w:rsidRPr="00D36F4A">
        <w:rPr>
          <w:noProof/>
        </w:rPr>
        <w:t xml:space="preserve">Bundesfinanzministerium (2019) </w:t>
      </w:r>
      <w:r w:rsidRPr="00D36F4A">
        <w:rPr>
          <w:i/>
          <w:noProof/>
        </w:rPr>
        <w:t>Chrono</w:t>
      </w:r>
      <w:r w:rsidR="002C3907">
        <w:rPr>
          <w:i/>
          <w:noProof/>
        </w:rPr>
        <w:t>l</w:t>
      </w:r>
      <w:r w:rsidRPr="00D36F4A">
        <w:rPr>
          <w:i/>
          <w:noProof/>
        </w:rPr>
        <w:t>ogy: Stabilisation of the Economic and Monetary Union</w:t>
      </w:r>
      <w:r w:rsidRPr="00D36F4A">
        <w:rPr>
          <w:noProof/>
        </w:rPr>
        <w:t xml:space="preserve">. Available at: </w:t>
      </w:r>
      <w:hyperlink r:id="rId7" w:history="1">
        <w:r w:rsidR="002C3907" w:rsidRPr="00265750">
          <w:rPr>
            <w:rStyle w:val="Hiperveza"/>
            <w:noProof/>
          </w:rPr>
          <w:t>https://www.bundesfinanzministerium.de/Content/EN/Standardartikel/Topics/Europe/Articles/2010-06-04-Chronologie-Euro-Stabilisierung.html</w:t>
        </w:r>
      </w:hyperlink>
      <w:r w:rsidR="002C3907">
        <w:rPr>
          <w:noProof/>
        </w:rPr>
        <w:t xml:space="preserve"> (accessed 15 March 2019)</w:t>
      </w:r>
      <w:r w:rsidRPr="00D36F4A">
        <w:rPr>
          <w:noProof/>
        </w:rPr>
        <w:t>.</w:t>
      </w:r>
    </w:p>
    <w:p w14:paraId="0028D216" w14:textId="7BF8F5A5" w:rsidR="000150C4" w:rsidRPr="00D36F4A" w:rsidRDefault="000150C4" w:rsidP="00D36F4A">
      <w:pPr>
        <w:pStyle w:val="EndNoteBibliography"/>
        <w:ind w:left="720" w:hanging="720"/>
        <w:rPr>
          <w:noProof/>
        </w:rPr>
      </w:pPr>
      <w:r w:rsidRPr="00BA6D59">
        <w:rPr>
          <w:noProof/>
          <w:lang w:val="de-DE"/>
        </w:rPr>
        <w:t xml:space="preserve">Bundesverfassungsgericht (2014) Urteil des Zweiten Senats, 18 March 2014, 2 BvR 1390/12, Rn. </w:t>
      </w:r>
      <w:r w:rsidRPr="00D36F4A">
        <w:rPr>
          <w:noProof/>
        </w:rPr>
        <w:t>(1-245).</w:t>
      </w:r>
    </w:p>
    <w:p w14:paraId="39105828" w14:textId="18F4B0BB" w:rsidR="000150C4" w:rsidRPr="00D36F4A" w:rsidRDefault="000150C4" w:rsidP="00D36F4A">
      <w:pPr>
        <w:pStyle w:val="EndNoteBibliography"/>
        <w:ind w:left="720" w:hanging="720"/>
        <w:rPr>
          <w:noProof/>
        </w:rPr>
      </w:pPr>
      <w:r w:rsidRPr="00D36F4A">
        <w:rPr>
          <w:noProof/>
        </w:rPr>
        <w:t xml:space="preserve">Csehi R and Puetter U (2017) Problematizing the notion of preference formation in research about the euro crisis. </w:t>
      </w:r>
      <w:r w:rsidRPr="00D36F4A">
        <w:rPr>
          <w:i/>
          <w:noProof/>
        </w:rPr>
        <w:t>EMU Choices Working Paper Series.</w:t>
      </w:r>
      <w:r w:rsidRPr="00D36F4A">
        <w:rPr>
          <w:noProof/>
        </w:rPr>
        <w:t xml:space="preserve"> Salzburg.</w:t>
      </w:r>
    </w:p>
    <w:p w14:paraId="4312B8EB" w14:textId="36DE9B05" w:rsidR="000150C4" w:rsidRPr="00D36F4A" w:rsidRDefault="000150C4" w:rsidP="00D36F4A">
      <w:pPr>
        <w:pStyle w:val="EndNoteBibliography"/>
        <w:ind w:left="720" w:hanging="720"/>
        <w:rPr>
          <w:noProof/>
        </w:rPr>
      </w:pPr>
      <w:r w:rsidRPr="00D36F4A">
        <w:rPr>
          <w:noProof/>
        </w:rPr>
        <w:t>Csehi R and Puetter U (2018) How financial market constraints and technocratic decision-making impacted on European political citizenship and democracy during the euro crisis. In: Levi-Faur D and Van</w:t>
      </w:r>
      <w:r w:rsidR="002C3907">
        <w:rPr>
          <w:noProof/>
        </w:rPr>
        <w:t xml:space="preserve"> </w:t>
      </w:r>
      <w:r w:rsidRPr="00D36F4A">
        <w:rPr>
          <w:noProof/>
        </w:rPr>
        <w:t xml:space="preserve">Waarden F (eds) </w:t>
      </w:r>
      <w:r w:rsidRPr="00D36F4A">
        <w:rPr>
          <w:i/>
          <w:noProof/>
        </w:rPr>
        <w:t>Democratic empowerment in the European Union.</w:t>
      </w:r>
      <w:r w:rsidRPr="00D36F4A">
        <w:rPr>
          <w:noProof/>
        </w:rPr>
        <w:t xml:space="preserve"> Cheltenham: Edward Elgar</w:t>
      </w:r>
      <w:r w:rsidR="002C3907">
        <w:rPr>
          <w:noProof/>
        </w:rPr>
        <w:t>, pp.215-238</w:t>
      </w:r>
      <w:r w:rsidRPr="00D36F4A">
        <w:rPr>
          <w:noProof/>
        </w:rPr>
        <w:t>.</w:t>
      </w:r>
    </w:p>
    <w:p w14:paraId="404CF50D" w14:textId="171EDEEB" w:rsidR="000150C4" w:rsidRDefault="003E4413" w:rsidP="00D36F4A">
      <w:pPr>
        <w:pStyle w:val="EndNoteBibliography"/>
        <w:ind w:left="720" w:hanging="720"/>
        <w:rPr>
          <w:noProof/>
        </w:rPr>
      </w:pPr>
      <w:r>
        <w:rPr>
          <w:noProof/>
        </w:rPr>
        <w:t>d</w:t>
      </w:r>
      <w:r w:rsidR="000150C4" w:rsidRPr="00D36F4A">
        <w:rPr>
          <w:noProof/>
        </w:rPr>
        <w:t xml:space="preserve">e Witte B and Beukers T (2013) The Court of Justice approves the creation of the European StabilityMechanism outside the EU legal order: Pringle. </w:t>
      </w:r>
      <w:r w:rsidR="000150C4" w:rsidRPr="00D36F4A">
        <w:rPr>
          <w:i/>
          <w:noProof/>
        </w:rPr>
        <w:t>Common Market Law Review</w:t>
      </w:r>
      <w:r w:rsidR="000150C4" w:rsidRPr="00D36F4A">
        <w:rPr>
          <w:noProof/>
        </w:rPr>
        <w:t xml:space="preserve"> 50</w:t>
      </w:r>
      <w:r w:rsidR="002C3907">
        <w:rPr>
          <w:noProof/>
        </w:rPr>
        <w:t>(3)</w:t>
      </w:r>
      <w:r w:rsidR="000150C4" w:rsidRPr="00D36F4A">
        <w:rPr>
          <w:noProof/>
        </w:rPr>
        <w:t>: 805-848.</w:t>
      </w:r>
    </w:p>
    <w:p w14:paraId="165A9F76" w14:textId="52F0365C" w:rsidR="00385405" w:rsidRPr="00D36F4A" w:rsidRDefault="00385405" w:rsidP="00D36F4A">
      <w:pPr>
        <w:pStyle w:val="EndNoteBibliography"/>
        <w:ind w:left="720" w:hanging="720"/>
        <w:rPr>
          <w:noProof/>
        </w:rPr>
      </w:pPr>
      <w:r>
        <w:rPr>
          <w:noProof/>
        </w:rPr>
        <w:t xml:space="preserve">Dyson K (2002) </w:t>
      </w:r>
      <w:r w:rsidRPr="00385405">
        <w:rPr>
          <w:noProof/>
        </w:rPr>
        <w:t>Introduction: EMU as Integration, Europeanization, and Convergence</w:t>
      </w:r>
      <w:r>
        <w:rPr>
          <w:noProof/>
        </w:rPr>
        <w:t xml:space="preserve">. In: Dyson K (ed) </w:t>
      </w:r>
      <w:r w:rsidRPr="00385405">
        <w:rPr>
          <w:i/>
          <w:noProof/>
        </w:rPr>
        <w:t>European States and the Euro: Europeanization, Variation, and Convergence</w:t>
      </w:r>
      <w:r>
        <w:rPr>
          <w:noProof/>
        </w:rPr>
        <w:t>. Oxford: Oxford University Press, pp.1-27.</w:t>
      </w:r>
    </w:p>
    <w:p w14:paraId="6361B9DB" w14:textId="221432C6" w:rsidR="000150C4" w:rsidRPr="00D36F4A" w:rsidRDefault="000150C4" w:rsidP="00D36F4A">
      <w:pPr>
        <w:pStyle w:val="EndNoteBibliography"/>
        <w:ind w:left="720" w:hanging="720"/>
        <w:rPr>
          <w:noProof/>
        </w:rPr>
      </w:pPr>
      <w:r w:rsidRPr="00D36F4A">
        <w:rPr>
          <w:noProof/>
        </w:rPr>
        <w:t xml:space="preserve">Eurobarometer (2017) </w:t>
      </w:r>
      <w:r w:rsidRPr="002C3907">
        <w:rPr>
          <w:i/>
          <w:noProof/>
        </w:rPr>
        <w:t>The euro area. Flash survey 458</w:t>
      </w:r>
      <w:r w:rsidRPr="00D36F4A">
        <w:rPr>
          <w:noProof/>
        </w:rPr>
        <w:t>. Report</w:t>
      </w:r>
      <w:r w:rsidR="002C3907">
        <w:rPr>
          <w:noProof/>
        </w:rPr>
        <w:t>, Brussels, October.</w:t>
      </w:r>
    </w:p>
    <w:p w14:paraId="3723E0FF" w14:textId="4BF4F84E" w:rsidR="000150C4" w:rsidRPr="00D36F4A" w:rsidRDefault="000150C4" w:rsidP="00D36F4A">
      <w:pPr>
        <w:pStyle w:val="EndNoteBibliography"/>
        <w:ind w:left="720" w:hanging="720"/>
        <w:rPr>
          <w:noProof/>
        </w:rPr>
      </w:pPr>
      <w:r w:rsidRPr="00D36F4A">
        <w:rPr>
          <w:noProof/>
        </w:rPr>
        <w:t>European</w:t>
      </w:r>
      <w:r w:rsidR="002C3907">
        <w:rPr>
          <w:noProof/>
        </w:rPr>
        <w:t xml:space="preserve"> </w:t>
      </w:r>
      <w:r w:rsidRPr="00D36F4A">
        <w:rPr>
          <w:noProof/>
        </w:rPr>
        <w:t xml:space="preserve">Commission (2017) COM(2017)291 </w:t>
      </w:r>
      <w:r w:rsidRPr="002C3907">
        <w:rPr>
          <w:i/>
          <w:noProof/>
        </w:rPr>
        <w:t>Reflection paper on the deepening of the Economic and Monetary Union</w:t>
      </w:r>
      <w:r w:rsidRPr="00D36F4A">
        <w:rPr>
          <w:noProof/>
        </w:rPr>
        <w:t>. Brussel</w:t>
      </w:r>
      <w:r w:rsidR="002C3907">
        <w:rPr>
          <w:noProof/>
        </w:rPr>
        <w:t>s, June</w:t>
      </w:r>
      <w:r w:rsidRPr="00D36F4A">
        <w:rPr>
          <w:noProof/>
        </w:rPr>
        <w:t>.</w:t>
      </w:r>
    </w:p>
    <w:p w14:paraId="767B79B0" w14:textId="5688E20B" w:rsidR="000150C4" w:rsidRPr="00D36F4A" w:rsidRDefault="000150C4" w:rsidP="00D36F4A">
      <w:pPr>
        <w:pStyle w:val="EndNoteBibliography"/>
        <w:ind w:left="720" w:hanging="720"/>
        <w:rPr>
          <w:noProof/>
        </w:rPr>
      </w:pPr>
      <w:r w:rsidRPr="00D36F4A">
        <w:rPr>
          <w:noProof/>
        </w:rPr>
        <w:t xml:space="preserve">Frieden J and Walter S (2017) Understanding the political economy of the Eurozone crisis. </w:t>
      </w:r>
      <w:r w:rsidRPr="00D36F4A">
        <w:rPr>
          <w:i/>
          <w:noProof/>
        </w:rPr>
        <w:t>Annual Review of Political Science</w:t>
      </w:r>
      <w:r w:rsidRPr="00D36F4A">
        <w:rPr>
          <w:noProof/>
        </w:rPr>
        <w:t xml:space="preserve"> 20: 371-390.</w:t>
      </w:r>
    </w:p>
    <w:p w14:paraId="79F85A15" w14:textId="774F93DB" w:rsidR="000150C4" w:rsidRPr="00D36F4A" w:rsidRDefault="000150C4" w:rsidP="00D36F4A">
      <w:pPr>
        <w:pStyle w:val="EndNoteBibliography"/>
        <w:ind w:left="720" w:hanging="720"/>
        <w:rPr>
          <w:noProof/>
        </w:rPr>
      </w:pPr>
      <w:r w:rsidRPr="00D36F4A">
        <w:rPr>
          <w:noProof/>
        </w:rPr>
        <w:t xml:space="preserve">Gocaj L and Meunier S (2013) Time Will Tell: The EFSF, the ESM, and the Euro Crisis. </w:t>
      </w:r>
      <w:r w:rsidRPr="00D36F4A">
        <w:rPr>
          <w:i/>
          <w:noProof/>
        </w:rPr>
        <w:t>Journal of European Integration</w:t>
      </w:r>
      <w:r w:rsidRPr="00D36F4A">
        <w:rPr>
          <w:noProof/>
        </w:rPr>
        <w:t xml:space="preserve"> 35</w:t>
      </w:r>
      <w:r w:rsidR="002C3907">
        <w:rPr>
          <w:noProof/>
        </w:rPr>
        <w:t>(3)</w:t>
      </w:r>
      <w:r w:rsidRPr="00D36F4A">
        <w:rPr>
          <w:noProof/>
        </w:rPr>
        <w:t>: 239-253.</w:t>
      </w:r>
    </w:p>
    <w:p w14:paraId="47A4CF4A" w14:textId="3AE1C078" w:rsidR="000150C4" w:rsidRPr="00D36F4A" w:rsidRDefault="000150C4" w:rsidP="00D36F4A">
      <w:pPr>
        <w:pStyle w:val="EndNoteBibliography"/>
        <w:ind w:left="720" w:hanging="720"/>
        <w:rPr>
          <w:noProof/>
        </w:rPr>
      </w:pPr>
      <w:r w:rsidRPr="00D36F4A">
        <w:rPr>
          <w:noProof/>
        </w:rPr>
        <w:t>Government</w:t>
      </w:r>
      <w:r w:rsidR="00BA6D59">
        <w:rPr>
          <w:noProof/>
        </w:rPr>
        <w:t xml:space="preserve"> </w:t>
      </w:r>
      <w:r w:rsidRPr="00D36F4A">
        <w:rPr>
          <w:noProof/>
        </w:rPr>
        <w:t>Offices</w:t>
      </w:r>
      <w:r w:rsidR="00BA6D59">
        <w:rPr>
          <w:noProof/>
        </w:rPr>
        <w:t xml:space="preserve"> </w:t>
      </w:r>
      <w:r w:rsidRPr="00D36F4A">
        <w:rPr>
          <w:noProof/>
        </w:rPr>
        <w:t>of</w:t>
      </w:r>
      <w:r w:rsidR="00BA6D59">
        <w:rPr>
          <w:noProof/>
        </w:rPr>
        <w:t xml:space="preserve"> </w:t>
      </w:r>
      <w:r w:rsidRPr="00D36F4A">
        <w:rPr>
          <w:noProof/>
        </w:rPr>
        <w:t xml:space="preserve">Sweden (2018) </w:t>
      </w:r>
      <w:r w:rsidRPr="00D36F4A">
        <w:rPr>
          <w:i/>
          <w:noProof/>
        </w:rPr>
        <w:t>Finance ministers from Denmark, Estonia, Finland, Ireland, Latvia, Lithuania, the Netherlands and Sweden underline their shared views and values in the discussion on the architecture of the EMU</w:t>
      </w:r>
      <w:r w:rsidRPr="00D36F4A">
        <w:rPr>
          <w:noProof/>
        </w:rPr>
        <w:t xml:space="preserve">. Available at: </w:t>
      </w:r>
      <w:hyperlink r:id="rId8" w:history="1">
        <w:r w:rsidR="002C3907" w:rsidRPr="00265750">
          <w:rPr>
            <w:rStyle w:val="Hiperveza"/>
            <w:noProof/>
          </w:rPr>
          <w:t>https://www.government.se/statements/2018/03/finance-ministers-from-denmark-estonia-finland-ireland-latvia-lithuania-the-netherlands-and-sweden/</w:t>
        </w:r>
      </w:hyperlink>
      <w:r w:rsidR="002C3907">
        <w:rPr>
          <w:noProof/>
        </w:rPr>
        <w:t xml:space="preserve"> (accessed 20 June 2018)</w:t>
      </w:r>
      <w:r w:rsidRPr="00D36F4A">
        <w:rPr>
          <w:noProof/>
        </w:rPr>
        <w:t>.</w:t>
      </w:r>
    </w:p>
    <w:p w14:paraId="18B126DF" w14:textId="6024D382" w:rsidR="000150C4" w:rsidRPr="00D36F4A" w:rsidRDefault="000150C4" w:rsidP="00D36F4A">
      <w:pPr>
        <w:pStyle w:val="EndNoteBibliography"/>
        <w:ind w:left="720" w:hanging="720"/>
        <w:rPr>
          <w:noProof/>
        </w:rPr>
      </w:pPr>
      <w:r w:rsidRPr="00D36F4A">
        <w:rPr>
          <w:noProof/>
        </w:rPr>
        <w:t xml:space="preserve">Hall PA (2012) The Economics and Politics of the Euro Crisis. </w:t>
      </w:r>
      <w:r w:rsidRPr="00D36F4A">
        <w:rPr>
          <w:i/>
          <w:noProof/>
        </w:rPr>
        <w:t>German Politics</w:t>
      </w:r>
      <w:r w:rsidRPr="00D36F4A">
        <w:rPr>
          <w:noProof/>
        </w:rPr>
        <w:t xml:space="preserve"> 21</w:t>
      </w:r>
      <w:r w:rsidR="002C3907">
        <w:rPr>
          <w:noProof/>
        </w:rPr>
        <w:t>(4)</w:t>
      </w:r>
      <w:r w:rsidRPr="00D36F4A">
        <w:rPr>
          <w:noProof/>
        </w:rPr>
        <w:t>: 355-371.</w:t>
      </w:r>
    </w:p>
    <w:p w14:paraId="5F2CFC72" w14:textId="501386D4" w:rsidR="000150C4" w:rsidRPr="00D36F4A" w:rsidRDefault="000150C4" w:rsidP="00D36F4A">
      <w:pPr>
        <w:pStyle w:val="EndNoteBibliography"/>
        <w:ind w:left="720" w:hanging="720"/>
        <w:rPr>
          <w:noProof/>
        </w:rPr>
      </w:pPr>
      <w:r w:rsidRPr="00D36F4A">
        <w:rPr>
          <w:noProof/>
        </w:rPr>
        <w:t>Hodson D and Puetter U (2016) The euro crisis and European integration. In: Cini M and Pérez-Solórzano</w:t>
      </w:r>
      <w:r w:rsidR="002C3907">
        <w:rPr>
          <w:noProof/>
        </w:rPr>
        <w:t xml:space="preserve"> </w:t>
      </w:r>
      <w:r w:rsidRPr="00D36F4A">
        <w:rPr>
          <w:noProof/>
        </w:rPr>
        <w:t xml:space="preserve">Borragán N (eds) </w:t>
      </w:r>
      <w:r w:rsidRPr="00D36F4A">
        <w:rPr>
          <w:i/>
          <w:noProof/>
        </w:rPr>
        <w:t>European Union Politics.</w:t>
      </w:r>
      <w:r w:rsidRPr="00D36F4A">
        <w:rPr>
          <w:noProof/>
        </w:rPr>
        <w:t xml:space="preserve"> Oxford: Oxford University Press, </w:t>
      </w:r>
      <w:r w:rsidR="002C3907">
        <w:rPr>
          <w:noProof/>
        </w:rPr>
        <w:t>pp.</w:t>
      </w:r>
      <w:r w:rsidRPr="00D36F4A">
        <w:rPr>
          <w:noProof/>
        </w:rPr>
        <w:t>366-379.</w:t>
      </w:r>
    </w:p>
    <w:p w14:paraId="5BDD8D89" w14:textId="59CB78A5" w:rsidR="000150C4" w:rsidRPr="00D36F4A" w:rsidRDefault="000150C4" w:rsidP="00D36F4A">
      <w:pPr>
        <w:pStyle w:val="EndNoteBibliography"/>
        <w:ind w:left="720" w:hanging="720"/>
        <w:rPr>
          <w:noProof/>
        </w:rPr>
      </w:pPr>
      <w:r w:rsidRPr="00D36F4A">
        <w:rPr>
          <w:noProof/>
        </w:rPr>
        <w:t xml:space="preserve">Hodson D and Puetter U (2019) The European Union in disequilibrium. New intergovernmentalism, postfunctionalism and integration theory in the post-Maastricht </w:t>
      </w:r>
      <w:r w:rsidRPr="00D36F4A">
        <w:rPr>
          <w:noProof/>
        </w:rPr>
        <w:lastRenderedPageBreak/>
        <w:t xml:space="preserve">period. </w:t>
      </w:r>
      <w:r w:rsidRPr="00D36F4A">
        <w:rPr>
          <w:i/>
          <w:noProof/>
        </w:rPr>
        <w:t>Journal of European Public Policy</w:t>
      </w:r>
      <w:r w:rsidR="002C3907">
        <w:rPr>
          <w:noProof/>
        </w:rPr>
        <w:t xml:space="preserve">. </w:t>
      </w:r>
      <w:r w:rsidR="002C3907">
        <w:rPr>
          <w:i/>
          <w:noProof/>
        </w:rPr>
        <w:t>Epub ahead of print 17 January 2019</w:t>
      </w:r>
      <w:r w:rsidR="002C3907" w:rsidRPr="00D46469">
        <w:rPr>
          <w:noProof/>
        </w:rPr>
        <w:t>.</w:t>
      </w:r>
      <w:r w:rsidR="002C3907">
        <w:rPr>
          <w:noProof/>
        </w:rPr>
        <w:t xml:space="preserve"> DOI: </w:t>
      </w:r>
      <w:r w:rsidR="002C3907" w:rsidRPr="00CF2844">
        <w:rPr>
          <w:noProof/>
        </w:rPr>
        <w:t>10.1080/13501763.2019.1569712</w:t>
      </w:r>
      <w:r w:rsidR="002C3907">
        <w:rPr>
          <w:noProof/>
        </w:rPr>
        <w:t>.</w:t>
      </w:r>
    </w:p>
    <w:p w14:paraId="5D8B9EBA" w14:textId="72B1756C" w:rsidR="000150C4" w:rsidRPr="00D36F4A" w:rsidRDefault="000150C4" w:rsidP="00D36F4A">
      <w:pPr>
        <w:pStyle w:val="EndNoteBibliography"/>
        <w:ind w:left="720" w:hanging="720"/>
        <w:rPr>
          <w:noProof/>
        </w:rPr>
      </w:pPr>
      <w:r w:rsidRPr="00D36F4A">
        <w:rPr>
          <w:noProof/>
        </w:rPr>
        <w:t xml:space="preserve">Hooghe L and Marks G (2009) A postfunctionalist theory of European integration: from permissive consensus to constraining dissensus. </w:t>
      </w:r>
      <w:r w:rsidRPr="00D36F4A">
        <w:rPr>
          <w:i/>
          <w:noProof/>
        </w:rPr>
        <w:t>British Journal of Political Science</w:t>
      </w:r>
      <w:r w:rsidRPr="00D36F4A">
        <w:rPr>
          <w:noProof/>
        </w:rPr>
        <w:t xml:space="preserve"> 39</w:t>
      </w:r>
      <w:r w:rsidR="002C3907">
        <w:rPr>
          <w:noProof/>
        </w:rPr>
        <w:t>(1)</w:t>
      </w:r>
      <w:r w:rsidRPr="00D36F4A">
        <w:rPr>
          <w:noProof/>
        </w:rPr>
        <w:t>: 1-23.</w:t>
      </w:r>
    </w:p>
    <w:p w14:paraId="50553D3B" w14:textId="71DC3BAD" w:rsidR="000150C4" w:rsidRDefault="000150C4" w:rsidP="00D36F4A">
      <w:pPr>
        <w:pStyle w:val="EndNoteBibliography"/>
        <w:ind w:left="720" w:hanging="720"/>
        <w:rPr>
          <w:noProof/>
        </w:rPr>
      </w:pPr>
      <w:r w:rsidRPr="00D36F4A">
        <w:rPr>
          <w:noProof/>
        </w:rPr>
        <w:t xml:space="preserve">Hooghe L and Marks G (2018) Cleavage theory meets Europe’s crises: Lipset, Rokkan, and the transnational cleavage. </w:t>
      </w:r>
      <w:r w:rsidRPr="00D36F4A">
        <w:rPr>
          <w:i/>
          <w:noProof/>
        </w:rPr>
        <w:t>Journal of European Public Policy</w:t>
      </w:r>
      <w:r w:rsidRPr="00D36F4A">
        <w:rPr>
          <w:noProof/>
        </w:rPr>
        <w:t xml:space="preserve"> 25</w:t>
      </w:r>
      <w:r w:rsidR="002C3907">
        <w:rPr>
          <w:noProof/>
        </w:rPr>
        <w:t>(1)</w:t>
      </w:r>
      <w:r w:rsidRPr="00D36F4A">
        <w:rPr>
          <w:noProof/>
        </w:rPr>
        <w:t>: 109-135.</w:t>
      </w:r>
    </w:p>
    <w:p w14:paraId="28EA4BDE" w14:textId="7E6948CF" w:rsidR="002C3907" w:rsidRPr="002C3907" w:rsidRDefault="002C3907" w:rsidP="002C3907">
      <w:pPr>
        <w:pStyle w:val="StandardWeb"/>
        <w:spacing w:before="0" w:beforeAutospacing="0" w:after="0" w:afterAutospacing="0"/>
        <w:ind w:left="720" w:hanging="720"/>
        <w:jc w:val="both"/>
        <w:rPr>
          <w:color w:val="000000"/>
          <w:lang w:val="en-GB"/>
        </w:rPr>
      </w:pPr>
      <w:proofErr w:type="spellStart"/>
      <w:r w:rsidRPr="001C5C51">
        <w:rPr>
          <w:color w:val="000000"/>
          <w:lang w:val="en-GB"/>
        </w:rPr>
        <w:t>Höing</w:t>
      </w:r>
      <w:proofErr w:type="spellEnd"/>
      <w:r>
        <w:rPr>
          <w:color w:val="000000"/>
          <w:lang w:val="en-GB"/>
        </w:rPr>
        <w:t xml:space="preserve"> </w:t>
      </w:r>
      <w:r w:rsidRPr="001C5C51">
        <w:rPr>
          <w:color w:val="000000"/>
          <w:lang w:val="en-GB"/>
        </w:rPr>
        <w:t>O (2015)</w:t>
      </w:r>
      <w:r>
        <w:rPr>
          <w:color w:val="000000"/>
          <w:lang w:val="en-GB"/>
        </w:rPr>
        <w:t xml:space="preserve"> </w:t>
      </w:r>
      <w:r w:rsidRPr="001C5C51">
        <w:rPr>
          <w:i/>
          <w:iCs/>
          <w:color w:val="000000"/>
          <w:lang w:val="en-GB"/>
        </w:rPr>
        <w:t>Asymmetric Influence: National Parliaments in the European Stability Mechanism</w:t>
      </w:r>
      <w:r>
        <w:rPr>
          <w:color w:val="000000"/>
          <w:lang w:val="en-GB"/>
        </w:rPr>
        <w:t>. PhD thesis,</w:t>
      </w:r>
      <w:r w:rsidRPr="001C5C51">
        <w:rPr>
          <w:color w:val="000000"/>
          <w:lang w:val="en-GB"/>
        </w:rPr>
        <w:t xml:space="preserve"> University of Cologne</w:t>
      </w:r>
      <w:r>
        <w:rPr>
          <w:color w:val="000000"/>
          <w:lang w:val="en-GB"/>
        </w:rPr>
        <w:t>,</w:t>
      </w:r>
      <w:r w:rsidRPr="001C5C51">
        <w:rPr>
          <w:color w:val="000000"/>
          <w:lang w:val="en-GB"/>
        </w:rPr>
        <w:t xml:space="preserve"> </w:t>
      </w:r>
      <w:r>
        <w:rPr>
          <w:color w:val="000000"/>
          <w:lang w:val="en-GB"/>
        </w:rPr>
        <w:t>Germany</w:t>
      </w:r>
      <w:r w:rsidRPr="001C5C51">
        <w:rPr>
          <w:color w:val="000000"/>
          <w:lang w:val="en-GB"/>
        </w:rPr>
        <w:t>.</w:t>
      </w:r>
    </w:p>
    <w:p w14:paraId="711ADD58" w14:textId="2404EDB0" w:rsidR="000150C4" w:rsidRPr="00D36F4A" w:rsidRDefault="000150C4" w:rsidP="00D36F4A">
      <w:pPr>
        <w:pStyle w:val="EndNoteBibliography"/>
        <w:ind w:left="720" w:hanging="720"/>
        <w:rPr>
          <w:noProof/>
        </w:rPr>
      </w:pPr>
      <w:r w:rsidRPr="00D36F4A">
        <w:rPr>
          <w:noProof/>
        </w:rPr>
        <w:t xml:space="preserve">Kuhn T and Stoeckel F (2014) When European integration becomes costly: the euro crisis and public support for European economic governance. </w:t>
      </w:r>
      <w:r w:rsidRPr="00D36F4A">
        <w:rPr>
          <w:i/>
          <w:noProof/>
        </w:rPr>
        <w:t>Journal of European Public Policy</w:t>
      </w:r>
      <w:r w:rsidRPr="00D36F4A">
        <w:rPr>
          <w:noProof/>
        </w:rPr>
        <w:t xml:space="preserve"> 21</w:t>
      </w:r>
      <w:r w:rsidR="002C3907">
        <w:rPr>
          <w:noProof/>
        </w:rPr>
        <w:t>(4)</w:t>
      </w:r>
      <w:r w:rsidRPr="00D36F4A">
        <w:rPr>
          <w:noProof/>
        </w:rPr>
        <w:t>: 624-641.</w:t>
      </w:r>
    </w:p>
    <w:p w14:paraId="2EAA5BCD" w14:textId="2713CE30" w:rsidR="000150C4" w:rsidRPr="00D36F4A" w:rsidRDefault="000150C4" w:rsidP="00D36F4A">
      <w:pPr>
        <w:pStyle w:val="EndNoteBibliography"/>
        <w:ind w:left="720" w:hanging="720"/>
        <w:rPr>
          <w:noProof/>
        </w:rPr>
      </w:pPr>
      <w:r w:rsidRPr="00D36F4A">
        <w:rPr>
          <w:noProof/>
        </w:rPr>
        <w:t xml:space="preserve">Niemann A and Ioannou D (2015) European economic integration in times of crisis: a case of neofunctionalism? </w:t>
      </w:r>
      <w:r w:rsidRPr="00D36F4A">
        <w:rPr>
          <w:i/>
          <w:noProof/>
        </w:rPr>
        <w:t>Journal of European Public Policy</w:t>
      </w:r>
      <w:r w:rsidRPr="00D36F4A">
        <w:rPr>
          <w:noProof/>
        </w:rPr>
        <w:t xml:space="preserve"> 22</w:t>
      </w:r>
      <w:r w:rsidR="002C3907">
        <w:rPr>
          <w:noProof/>
        </w:rPr>
        <w:t>(2)</w:t>
      </w:r>
      <w:r w:rsidRPr="00D36F4A">
        <w:rPr>
          <w:noProof/>
        </w:rPr>
        <w:t>: 196-218.</w:t>
      </w:r>
    </w:p>
    <w:p w14:paraId="5890916D" w14:textId="2D4AA05E" w:rsidR="000150C4" w:rsidRPr="00D36F4A" w:rsidRDefault="000150C4" w:rsidP="00D36F4A">
      <w:pPr>
        <w:pStyle w:val="EndNoteBibliography"/>
        <w:ind w:left="720" w:hanging="720"/>
        <w:rPr>
          <w:noProof/>
        </w:rPr>
      </w:pPr>
      <w:r w:rsidRPr="00D36F4A">
        <w:rPr>
          <w:noProof/>
        </w:rPr>
        <w:t xml:space="preserve">Puetter U (2014) </w:t>
      </w:r>
      <w:r w:rsidRPr="00D36F4A">
        <w:rPr>
          <w:i/>
          <w:noProof/>
        </w:rPr>
        <w:t xml:space="preserve">The European Council and the Council. New intergovernmentalism and institutional change, </w:t>
      </w:r>
      <w:r w:rsidRPr="00D36F4A">
        <w:rPr>
          <w:noProof/>
        </w:rPr>
        <w:t>Oxford: Oxford University Press.</w:t>
      </w:r>
    </w:p>
    <w:p w14:paraId="3D27E727" w14:textId="78173255" w:rsidR="000150C4" w:rsidRPr="00D36F4A" w:rsidRDefault="000150C4" w:rsidP="00D36F4A">
      <w:pPr>
        <w:pStyle w:val="EndNoteBibliography"/>
        <w:ind w:left="720" w:hanging="720"/>
        <w:rPr>
          <w:noProof/>
        </w:rPr>
      </w:pPr>
      <w:r w:rsidRPr="00D36F4A">
        <w:rPr>
          <w:noProof/>
        </w:rPr>
        <w:t xml:space="preserve">Puntscher Riekmann S and Wydra D (2013) Representation in the European state of emergency: parliaments against governments? </w:t>
      </w:r>
      <w:r w:rsidRPr="00D36F4A">
        <w:rPr>
          <w:i/>
          <w:noProof/>
        </w:rPr>
        <w:t>Journal of European Integration</w:t>
      </w:r>
      <w:r w:rsidRPr="00D36F4A">
        <w:rPr>
          <w:noProof/>
        </w:rPr>
        <w:t xml:space="preserve"> 35</w:t>
      </w:r>
      <w:r w:rsidR="002C3907">
        <w:rPr>
          <w:noProof/>
        </w:rPr>
        <w:t>(5)</w:t>
      </w:r>
      <w:r w:rsidRPr="00D36F4A">
        <w:rPr>
          <w:noProof/>
        </w:rPr>
        <w:t>: 565-582.</w:t>
      </w:r>
    </w:p>
    <w:p w14:paraId="3EDB93DE" w14:textId="01D4E8DD" w:rsidR="000150C4" w:rsidRPr="00D36F4A" w:rsidRDefault="000150C4" w:rsidP="00D36F4A">
      <w:pPr>
        <w:pStyle w:val="EndNoteBibliography"/>
        <w:ind w:left="720" w:hanging="720"/>
        <w:rPr>
          <w:noProof/>
        </w:rPr>
      </w:pPr>
      <w:r w:rsidRPr="00D36F4A">
        <w:rPr>
          <w:noProof/>
        </w:rPr>
        <w:t xml:space="preserve">Rothacher J-U (2015) How domestic politics shaped the French government's position during the euro crisis. </w:t>
      </w:r>
      <w:r w:rsidRPr="00D36F4A">
        <w:rPr>
          <w:i/>
          <w:noProof/>
        </w:rPr>
        <w:t>European Politics and Society</w:t>
      </w:r>
      <w:r w:rsidRPr="00D36F4A">
        <w:rPr>
          <w:noProof/>
        </w:rPr>
        <w:t xml:space="preserve"> 16</w:t>
      </w:r>
      <w:r w:rsidR="002C3907">
        <w:rPr>
          <w:noProof/>
        </w:rPr>
        <w:t>(2)</w:t>
      </w:r>
      <w:r w:rsidRPr="00D36F4A">
        <w:rPr>
          <w:noProof/>
        </w:rPr>
        <w:t>: 256-279.</w:t>
      </w:r>
    </w:p>
    <w:p w14:paraId="08C4772E" w14:textId="3372630F" w:rsidR="000150C4" w:rsidRPr="00D36F4A" w:rsidRDefault="000150C4" w:rsidP="00D36F4A">
      <w:pPr>
        <w:pStyle w:val="EndNoteBibliography"/>
        <w:ind w:left="720" w:hanging="720"/>
        <w:rPr>
          <w:noProof/>
        </w:rPr>
      </w:pPr>
      <w:r w:rsidRPr="00D36F4A">
        <w:rPr>
          <w:noProof/>
        </w:rPr>
        <w:t xml:space="preserve">Schäfer D (2016) A Banking Union of Ideas? The Impact of Ordoliberalism and the Vicious Circle on the EU Banking Union. </w:t>
      </w:r>
      <w:r w:rsidRPr="00D36F4A">
        <w:rPr>
          <w:i/>
          <w:noProof/>
        </w:rPr>
        <w:t>Journal of Common Market Studies</w:t>
      </w:r>
      <w:r w:rsidRPr="00D36F4A">
        <w:rPr>
          <w:noProof/>
        </w:rPr>
        <w:t xml:space="preserve"> 54</w:t>
      </w:r>
      <w:r w:rsidR="002C3907">
        <w:rPr>
          <w:noProof/>
        </w:rPr>
        <w:t>(4)</w:t>
      </w:r>
      <w:r w:rsidRPr="00D36F4A">
        <w:rPr>
          <w:noProof/>
        </w:rPr>
        <w:t>: 961-980.</w:t>
      </w:r>
    </w:p>
    <w:p w14:paraId="741CD6C8" w14:textId="7A2C1165" w:rsidR="000150C4" w:rsidRPr="00D36F4A" w:rsidRDefault="000150C4" w:rsidP="00D36F4A">
      <w:pPr>
        <w:pStyle w:val="EndNoteBibliography"/>
        <w:ind w:left="720" w:hanging="720"/>
        <w:rPr>
          <w:noProof/>
        </w:rPr>
      </w:pPr>
      <w:r w:rsidRPr="00D36F4A">
        <w:rPr>
          <w:noProof/>
        </w:rPr>
        <w:t xml:space="preserve">Schimmelfennig F (2015) Liberal intergovernmentalism and the euro area crisis. </w:t>
      </w:r>
      <w:r w:rsidRPr="00D36F4A">
        <w:rPr>
          <w:i/>
          <w:noProof/>
        </w:rPr>
        <w:t>Journal of European Public Policy</w:t>
      </w:r>
      <w:r w:rsidRPr="00D36F4A">
        <w:rPr>
          <w:noProof/>
        </w:rPr>
        <w:t xml:space="preserve"> 22</w:t>
      </w:r>
      <w:r w:rsidR="003E4413">
        <w:rPr>
          <w:noProof/>
        </w:rPr>
        <w:t>(2)</w:t>
      </w:r>
      <w:r w:rsidRPr="00D36F4A">
        <w:rPr>
          <w:noProof/>
        </w:rPr>
        <w:t>: 177-195.</w:t>
      </w:r>
    </w:p>
    <w:p w14:paraId="1168A3E8" w14:textId="46433809" w:rsidR="000150C4" w:rsidRPr="00D36F4A" w:rsidRDefault="000150C4" w:rsidP="00D36F4A">
      <w:pPr>
        <w:pStyle w:val="EndNoteBibliography"/>
        <w:ind w:left="720" w:hanging="720"/>
        <w:rPr>
          <w:noProof/>
        </w:rPr>
      </w:pPr>
      <w:r w:rsidRPr="00D36F4A">
        <w:rPr>
          <w:noProof/>
        </w:rPr>
        <w:t xml:space="preserve">Smeets S, Jaschke A and Beach D (2019) The role of the EU institutions in establishing the European Stability Mechanism: Institutional leadership under a veil of intergovernmentalism. </w:t>
      </w:r>
      <w:r w:rsidRPr="00D36F4A">
        <w:rPr>
          <w:i/>
          <w:noProof/>
        </w:rPr>
        <w:t>Journal of Common Market Studies</w:t>
      </w:r>
      <w:r w:rsidR="003E4413">
        <w:rPr>
          <w:noProof/>
        </w:rPr>
        <w:t xml:space="preserve">. </w:t>
      </w:r>
      <w:r w:rsidR="003E4413" w:rsidRPr="0033522D">
        <w:rPr>
          <w:noProof/>
        </w:rPr>
        <w:t>Epub ahead of print</w:t>
      </w:r>
      <w:r w:rsidR="003E4413">
        <w:rPr>
          <w:noProof/>
        </w:rPr>
        <w:t xml:space="preserve"> 7 March 2019. DOI: </w:t>
      </w:r>
      <w:r w:rsidR="003E4413" w:rsidRPr="0033522D">
        <w:rPr>
          <w:noProof/>
        </w:rPr>
        <w:t>10.1111/jcms.12842</w:t>
      </w:r>
      <w:r w:rsidR="003E4413">
        <w:rPr>
          <w:noProof/>
        </w:rPr>
        <w:t>.</w:t>
      </w:r>
    </w:p>
    <w:p w14:paraId="7664A876" w14:textId="4061172A" w:rsidR="000150C4" w:rsidRPr="00D36F4A" w:rsidRDefault="000150C4" w:rsidP="00D36F4A">
      <w:pPr>
        <w:pStyle w:val="EndNoteBibliography"/>
        <w:ind w:left="720" w:hanging="720"/>
        <w:rPr>
          <w:noProof/>
        </w:rPr>
      </w:pPr>
      <w:r w:rsidRPr="00D36F4A">
        <w:rPr>
          <w:noProof/>
        </w:rPr>
        <w:t xml:space="preserve">Smismans S (2008) New modes of governance and the participatory myth. </w:t>
      </w:r>
      <w:r w:rsidRPr="00D36F4A">
        <w:rPr>
          <w:i/>
          <w:noProof/>
        </w:rPr>
        <w:t>West European Politics</w:t>
      </w:r>
      <w:r w:rsidRPr="00D36F4A">
        <w:rPr>
          <w:noProof/>
        </w:rPr>
        <w:t xml:space="preserve"> 31</w:t>
      </w:r>
      <w:r w:rsidR="003E4413">
        <w:rPr>
          <w:noProof/>
        </w:rPr>
        <w:t>(5)</w:t>
      </w:r>
      <w:r w:rsidRPr="00D36F4A">
        <w:rPr>
          <w:noProof/>
        </w:rPr>
        <w:t>: 874-895.</w:t>
      </w:r>
    </w:p>
    <w:p w14:paraId="5B8DA419" w14:textId="279F8253" w:rsidR="00FE09F6" w:rsidRDefault="000150C4" w:rsidP="00385405">
      <w:pPr>
        <w:pStyle w:val="EndNoteBibliography"/>
        <w:ind w:left="720" w:hanging="720"/>
        <w:rPr>
          <w:noProof/>
        </w:rPr>
      </w:pPr>
      <w:r w:rsidRPr="00D36F4A">
        <w:rPr>
          <w:noProof/>
        </w:rPr>
        <w:t xml:space="preserve">Târlea S, Bailer S, Degner H, et al. (2019) Explaining governmental preferences on Economic and Monetary Union Reform. </w:t>
      </w:r>
      <w:r w:rsidRPr="00D36F4A">
        <w:rPr>
          <w:i/>
          <w:noProof/>
        </w:rPr>
        <w:t>European Union Politics</w:t>
      </w:r>
      <w:r w:rsidRPr="00D36F4A">
        <w:rPr>
          <w:noProof/>
        </w:rPr>
        <w:t xml:space="preserve"> 20</w:t>
      </w:r>
      <w:r w:rsidR="003E4413">
        <w:rPr>
          <w:noProof/>
        </w:rPr>
        <w:t>(1)</w:t>
      </w:r>
      <w:r w:rsidRPr="00D36F4A">
        <w:rPr>
          <w:noProof/>
        </w:rPr>
        <w:t>: 24-44.</w:t>
      </w:r>
    </w:p>
    <w:p w14:paraId="2D57795A" w14:textId="77777777" w:rsidR="00385405" w:rsidRDefault="00385405" w:rsidP="00385405">
      <w:pPr>
        <w:pStyle w:val="EndNoteBibliography"/>
        <w:ind w:left="720" w:hanging="720"/>
        <w:rPr>
          <w:noProof/>
        </w:rPr>
      </w:pPr>
    </w:p>
    <w:sectPr w:rsidR="00385405" w:rsidSect="00335097">
      <w:footerReference w:type="even" r:id="rId9"/>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DDA8E" w14:textId="77777777" w:rsidR="006652DF" w:rsidRDefault="006652DF" w:rsidP="000150C4">
      <w:pPr>
        <w:spacing w:line="240" w:lineRule="auto"/>
      </w:pPr>
      <w:r>
        <w:separator/>
      </w:r>
    </w:p>
  </w:endnote>
  <w:endnote w:type="continuationSeparator" w:id="0">
    <w:p w14:paraId="768E99F6" w14:textId="77777777" w:rsidR="006652DF" w:rsidRDefault="006652DF" w:rsidP="000150C4">
      <w:pPr>
        <w:spacing w:line="240" w:lineRule="auto"/>
      </w:pPr>
      <w:r>
        <w:continuationSeparator/>
      </w:r>
    </w:p>
  </w:endnote>
  <w:endnote w:id="1">
    <w:p w14:paraId="4FAED9C6" w14:textId="77777777" w:rsidR="000150C4" w:rsidRPr="00F669CE" w:rsidRDefault="000150C4" w:rsidP="00F669CE">
      <w:pPr>
        <w:pStyle w:val="Tekstkrajnjebiljeke"/>
        <w:ind w:firstLine="0"/>
        <w:rPr>
          <w:rFonts w:cs="Times New Roman"/>
          <w:sz w:val="22"/>
        </w:rPr>
      </w:pPr>
      <w:r w:rsidRPr="00F669CE">
        <w:rPr>
          <w:rStyle w:val="Referencakrajnjebiljeke"/>
          <w:rFonts w:cs="Times New Roman"/>
          <w:sz w:val="22"/>
        </w:rPr>
        <w:endnoteRef/>
      </w:r>
      <w:r w:rsidRPr="00F669CE">
        <w:rPr>
          <w:rFonts w:cs="Times New Roman"/>
          <w:sz w:val="22"/>
        </w:rPr>
        <w:t xml:space="preserve"> The authors acknowledge funding for research carried out in relation to this article under </w:t>
      </w:r>
      <w:r w:rsidRPr="00F669CE">
        <w:rPr>
          <w:rFonts w:cs="Times New Roman"/>
          <w:sz w:val="22"/>
          <w:highlight w:val="yellow"/>
        </w:rPr>
        <w:t>PROJECT NAME DELETED FOR REVIEW PROCESS</w:t>
      </w:r>
      <w:r w:rsidRPr="00F669CE">
        <w:rPr>
          <w:rFonts w:cs="Times New Roman"/>
          <w:sz w:val="22"/>
        </w:rPr>
        <w:t xml:space="preserve">. They want to express their gratitude to </w:t>
      </w:r>
      <w:r w:rsidRPr="00F669CE">
        <w:rPr>
          <w:rFonts w:cs="Times New Roman"/>
          <w:sz w:val="22"/>
          <w:highlight w:val="yellow"/>
        </w:rPr>
        <w:t>NAMES DELETED FOR REVIEW PROCESS</w:t>
      </w:r>
      <w:r w:rsidRPr="00F669CE">
        <w:rPr>
          <w:rFonts w:cs="Times New Roman"/>
          <w:sz w:val="22"/>
        </w:rPr>
        <w:t>.</w:t>
      </w:r>
    </w:p>
  </w:endnote>
  <w:endnote w:id="2">
    <w:p w14:paraId="01E56BA2" w14:textId="75D850B3" w:rsidR="000150C4" w:rsidRPr="00AB63E8" w:rsidRDefault="000150C4" w:rsidP="00AB63E8">
      <w:pPr>
        <w:pStyle w:val="Tekstkrajnjebiljeke"/>
        <w:ind w:firstLine="0"/>
        <w:rPr>
          <w:sz w:val="22"/>
        </w:rPr>
      </w:pPr>
      <w:r w:rsidRPr="00295F3F">
        <w:rPr>
          <w:rStyle w:val="Referencakrajnjebiljeke"/>
          <w:sz w:val="22"/>
        </w:rPr>
        <w:endnoteRef/>
      </w:r>
      <w:r w:rsidRPr="00295F3F">
        <w:rPr>
          <w:sz w:val="22"/>
        </w:rPr>
        <w:t xml:space="preserve"> All </w:t>
      </w:r>
      <w:r>
        <w:rPr>
          <w:sz w:val="22"/>
        </w:rPr>
        <w:t xml:space="preserve">country </w:t>
      </w:r>
      <w:r w:rsidRPr="00295F3F">
        <w:rPr>
          <w:sz w:val="22"/>
        </w:rPr>
        <w:t>reports used in this paper were</w:t>
      </w:r>
      <w:r>
        <w:rPr>
          <w:sz w:val="22"/>
        </w:rPr>
        <w:t xml:space="preserve"> part of the same (CCECL) project. Reports were accessed in April 2018</w:t>
      </w:r>
      <w:r w:rsidRPr="00295F3F">
        <w:rPr>
          <w:sz w:val="22"/>
        </w:rPr>
        <w:t xml:space="preserve"> </w:t>
      </w:r>
      <w:r>
        <w:rPr>
          <w:sz w:val="22"/>
        </w:rPr>
        <w:t xml:space="preserve">and </w:t>
      </w:r>
      <w:r w:rsidRPr="00295F3F">
        <w:rPr>
          <w:sz w:val="22"/>
        </w:rPr>
        <w:t xml:space="preserve">retrieved in their original form from the now deactivated </w:t>
      </w:r>
      <w:r>
        <w:rPr>
          <w:sz w:val="22"/>
        </w:rPr>
        <w:t>CCECL project website</w:t>
      </w:r>
      <w:r w:rsidRPr="00295F3F">
        <w:rPr>
          <w:sz w:val="22"/>
        </w:rPr>
        <w:t xml:space="preserve"> </w:t>
      </w:r>
      <w:hyperlink r:id="rId1" w:history="1">
        <w:r w:rsidRPr="00295F3F">
          <w:rPr>
            <w:rStyle w:val="Hiperveza"/>
            <w:sz w:val="22"/>
          </w:rPr>
          <w:t>http://eurocrisislaw.eui.eu</w:t>
        </w:r>
      </w:hyperlink>
      <w:r w:rsidRPr="00295F3F">
        <w:rPr>
          <w:sz w:val="22"/>
        </w:rPr>
        <w:t xml:space="preserve">. </w:t>
      </w:r>
      <w:r>
        <w:rPr>
          <w:sz w:val="22"/>
        </w:rPr>
        <w:t xml:space="preserve">The reports were later used as the basis for an edited volume by </w:t>
      </w:r>
      <w:proofErr w:type="spellStart"/>
      <w:r>
        <w:rPr>
          <w:sz w:val="22"/>
        </w:rPr>
        <w:t>Beukers</w:t>
      </w:r>
      <w:proofErr w:type="spellEnd"/>
      <w:r>
        <w:rPr>
          <w:sz w:val="22"/>
        </w:rPr>
        <w:t xml:space="preserve">, </w:t>
      </w:r>
      <w:r w:rsidR="00B44023">
        <w:rPr>
          <w:sz w:val="22"/>
        </w:rPr>
        <w:t>d</w:t>
      </w:r>
      <w:r>
        <w:rPr>
          <w:sz w:val="22"/>
        </w:rPr>
        <w:t>e Witte and Kilpatrick (2017), yet are not fully reproduced in this volume.</w:t>
      </w:r>
    </w:p>
  </w:endnote>
  <w:endnote w:id="3">
    <w:p w14:paraId="595ECC24" w14:textId="77777777" w:rsidR="000150C4" w:rsidRPr="00F669CE" w:rsidRDefault="000150C4" w:rsidP="00F669CE">
      <w:pPr>
        <w:pStyle w:val="Tekstkrajnjebiljeke"/>
        <w:ind w:firstLine="0"/>
        <w:rPr>
          <w:rFonts w:cs="Times New Roman"/>
          <w:sz w:val="22"/>
        </w:rPr>
      </w:pPr>
      <w:r w:rsidRPr="00F669CE">
        <w:rPr>
          <w:rStyle w:val="Referencakrajnjebiljeke"/>
          <w:rFonts w:cs="Times New Roman"/>
          <w:sz w:val="22"/>
        </w:rPr>
        <w:endnoteRef/>
      </w:r>
      <w:r w:rsidRPr="00F669CE">
        <w:rPr>
          <w:rFonts w:cs="Times New Roman"/>
          <w:sz w:val="22"/>
        </w:rPr>
        <w:t xml:space="preserve"> </w:t>
      </w:r>
      <w:r>
        <w:rPr>
          <w:rFonts w:cs="Times New Roman"/>
          <w:sz w:val="22"/>
        </w:rPr>
        <w:t>See endnote 2</w:t>
      </w:r>
      <w:r w:rsidRPr="00F669CE">
        <w:rPr>
          <w:rFonts w:cs="Times New Roman"/>
          <w:sz w:val="22"/>
        </w:rPr>
        <w:t>.</w:t>
      </w:r>
    </w:p>
  </w:endnote>
  <w:endnote w:id="4">
    <w:p w14:paraId="01037E14" w14:textId="0603B58D" w:rsidR="000150C4" w:rsidRPr="003E4413" w:rsidRDefault="000150C4" w:rsidP="003E4413">
      <w:pPr>
        <w:pStyle w:val="Tekstkrajnjebiljeke"/>
        <w:ind w:firstLine="0"/>
        <w:rPr>
          <w:rFonts w:cs="Times New Roman"/>
          <w:sz w:val="22"/>
          <w:lang w:val="en-US"/>
        </w:rPr>
      </w:pPr>
      <w:r w:rsidRPr="00F669CE">
        <w:rPr>
          <w:rStyle w:val="Referencakrajnjebiljeke"/>
          <w:rFonts w:cs="Times New Roman"/>
          <w:sz w:val="22"/>
          <w:lang w:val="en-US"/>
        </w:rPr>
        <w:endnoteRef/>
      </w:r>
      <w:r w:rsidRPr="00F669CE">
        <w:rPr>
          <w:rFonts w:cs="Times New Roman"/>
          <w:sz w:val="22"/>
          <w:lang w:val="en-US"/>
        </w:rPr>
        <w:t xml:space="preserve"> The group includes Denmark, Estonia, Finland, Ireland, Latvia, Lithuania, the Netherlands and Sweden.</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Brojstranice"/>
      </w:rPr>
      <w:id w:val="-1388633114"/>
      <w:docPartObj>
        <w:docPartGallery w:val="Page Numbers (Bottom of Page)"/>
        <w:docPartUnique/>
      </w:docPartObj>
    </w:sdtPr>
    <w:sdtEndPr>
      <w:rPr>
        <w:rStyle w:val="Brojstranice"/>
      </w:rPr>
    </w:sdtEndPr>
    <w:sdtContent>
      <w:p w14:paraId="654F062B" w14:textId="77777777" w:rsidR="00E86B04" w:rsidRDefault="0058657D" w:rsidP="00881E87">
        <w:pPr>
          <w:pStyle w:val="Podnoje"/>
          <w:framePr w:wrap="none" w:vAnchor="text" w:hAnchor="margin" w:xAlign="right" w:y="1"/>
          <w:rPr>
            <w:rStyle w:val="Brojstranice"/>
          </w:rPr>
        </w:pPr>
        <w:r>
          <w:rPr>
            <w:rStyle w:val="Brojstranice"/>
          </w:rPr>
          <w:fldChar w:fldCharType="begin"/>
        </w:r>
        <w:r w:rsidRPr="00E86B04">
          <w:rPr>
            <w:rStyle w:val="Brojstranice"/>
          </w:rPr>
          <w:instrText xml:space="preserve"> PAGE </w:instrText>
        </w:r>
        <w:r>
          <w:rPr>
            <w:rStyle w:val="Brojstranice"/>
          </w:rPr>
          <w:fldChar w:fldCharType="end"/>
        </w:r>
      </w:p>
    </w:sdtContent>
  </w:sdt>
  <w:p w14:paraId="23AC83A7" w14:textId="77777777" w:rsidR="00E86B04" w:rsidRDefault="006652DF" w:rsidP="003704A0">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Brojstranice"/>
      </w:rPr>
      <w:id w:val="961076782"/>
      <w:docPartObj>
        <w:docPartGallery w:val="Page Numbers (Bottom of Page)"/>
        <w:docPartUnique/>
      </w:docPartObj>
    </w:sdtPr>
    <w:sdtEndPr>
      <w:rPr>
        <w:rStyle w:val="Brojstranice"/>
      </w:rPr>
    </w:sdtEndPr>
    <w:sdtContent>
      <w:p w14:paraId="305E49A7" w14:textId="77777777" w:rsidR="00E86B04" w:rsidRDefault="0058657D" w:rsidP="00881E87">
        <w:pPr>
          <w:pStyle w:val="Podnoje"/>
          <w:framePr w:wrap="none" w:vAnchor="text" w:hAnchor="margin" w:xAlign="right" w:y="1"/>
          <w:rPr>
            <w:rStyle w:val="Brojstranice"/>
          </w:rPr>
        </w:pPr>
        <w:r>
          <w:rPr>
            <w:rStyle w:val="Brojstranice"/>
          </w:rPr>
          <w:fldChar w:fldCharType="begin"/>
        </w:r>
        <w:r w:rsidRPr="00E86B04">
          <w:rPr>
            <w:rStyle w:val="Brojstranice"/>
          </w:rPr>
          <w:instrText xml:space="preserve"> PAGE </w:instrText>
        </w:r>
        <w:r>
          <w:rPr>
            <w:rStyle w:val="Brojstranice"/>
          </w:rPr>
          <w:fldChar w:fldCharType="separate"/>
        </w:r>
        <w:r>
          <w:rPr>
            <w:rStyle w:val="Brojstranice"/>
            <w:noProof/>
          </w:rPr>
          <w:t>1</w:t>
        </w:r>
        <w:r>
          <w:rPr>
            <w:rStyle w:val="Brojstranice"/>
          </w:rPr>
          <w:fldChar w:fldCharType="end"/>
        </w:r>
      </w:p>
    </w:sdtContent>
  </w:sdt>
  <w:p w14:paraId="2C3C667C" w14:textId="77777777" w:rsidR="00E86B04" w:rsidRDefault="006652DF" w:rsidP="003704A0">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85637" w14:textId="77777777" w:rsidR="006652DF" w:rsidRDefault="006652DF" w:rsidP="000150C4">
      <w:pPr>
        <w:spacing w:line="240" w:lineRule="auto"/>
      </w:pPr>
      <w:r>
        <w:separator/>
      </w:r>
    </w:p>
  </w:footnote>
  <w:footnote w:type="continuationSeparator" w:id="0">
    <w:p w14:paraId="35428758" w14:textId="77777777" w:rsidR="006652DF" w:rsidRDefault="006652DF" w:rsidP="000150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478CF"/>
    <w:multiLevelType w:val="hybridMultilevel"/>
    <w:tmpl w:val="7528FAD8"/>
    <w:lvl w:ilvl="0" w:tplc="C77A3CE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0150C4"/>
    <w:rsid w:val="00007610"/>
    <w:rsid w:val="000150C4"/>
    <w:rsid w:val="00023E84"/>
    <w:rsid w:val="00027DA0"/>
    <w:rsid w:val="0003522A"/>
    <w:rsid w:val="0004582A"/>
    <w:rsid w:val="00047D87"/>
    <w:rsid w:val="00050FAB"/>
    <w:rsid w:val="000609A9"/>
    <w:rsid w:val="00062E9E"/>
    <w:rsid w:val="00063C08"/>
    <w:rsid w:val="000659E5"/>
    <w:rsid w:val="00074980"/>
    <w:rsid w:val="000764B2"/>
    <w:rsid w:val="00081B23"/>
    <w:rsid w:val="00083F1E"/>
    <w:rsid w:val="000849BE"/>
    <w:rsid w:val="0008660D"/>
    <w:rsid w:val="000876C7"/>
    <w:rsid w:val="00087B51"/>
    <w:rsid w:val="00093316"/>
    <w:rsid w:val="000A3BC4"/>
    <w:rsid w:val="000A5371"/>
    <w:rsid w:val="000A711E"/>
    <w:rsid w:val="000C4FB2"/>
    <w:rsid w:val="000C6DCB"/>
    <w:rsid w:val="000C7B7D"/>
    <w:rsid w:val="000D352C"/>
    <w:rsid w:val="000D4A27"/>
    <w:rsid w:val="000D5F1A"/>
    <w:rsid w:val="000D67A5"/>
    <w:rsid w:val="000E2C4D"/>
    <w:rsid w:val="000E3649"/>
    <w:rsid w:val="000F3847"/>
    <w:rsid w:val="0010300C"/>
    <w:rsid w:val="0010372F"/>
    <w:rsid w:val="001131E7"/>
    <w:rsid w:val="00115362"/>
    <w:rsid w:val="00124967"/>
    <w:rsid w:val="001359BA"/>
    <w:rsid w:val="00154E5F"/>
    <w:rsid w:val="00155D86"/>
    <w:rsid w:val="00156488"/>
    <w:rsid w:val="0017036E"/>
    <w:rsid w:val="001748CE"/>
    <w:rsid w:val="00180EA9"/>
    <w:rsid w:val="00181773"/>
    <w:rsid w:val="00195A29"/>
    <w:rsid w:val="00196F57"/>
    <w:rsid w:val="001A277D"/>
    <w:rsid w:val="001A3380"/>
    <w:rsid w:val="001A4759"/>
    <w:rsid w:val="001A6E40"/>
    <w:rsid w:val="001A702F"/>
    <w:rsid w:val="001B6202"/>
    <w:rsid w:val="001C29A9"/>
    <w:rsid w:val="001E005B"/>
    <w:rsid w:val="001E13EC"/>
    <w:rsid w:val="00203D56"/>
    <w:rsid w:val="0021049C"/>
    <w:rsid w:val="00214254"/>
    <w:rsid w:val="00223030"/>
    <w:rsid w:val="002275A5"/>
    <w:rsid w:val="00241B94"/>
    <w:rsid w:val="00241E28"/>
    <w:rsid w:val="002424EE"/>
    <w:rsid w:val="00245553"/>
    <w:rsid w:val="00245D85"/>
    <w:rsid w:val="00250A9F"/>
    <w:rsid w:val="00252D55"/>
    <w:rsid w:val="00254D8A"/>
    <w:rsid w:val="002659D8"/>
    <w:rsid w:val="00283DF0"/>
    <w:rsid w:val="00285707"/>
    <w:rsid w:val="002A6667"/>
    <w:rsid w:val="002B2C61"/>
    <w:rsid w:val="002C008D"/>
    <w:rsid w:val="002C2ABF"/>
    <w:rsid w:val="002C3907"/>
    <w:rsid w:val="002E7194"/>
    <w:rsid w:val="002F7BE7"/>
    <w:rsid w:val="003028D2"/>
    <w:rsid w:val="00304A4D"/>
    <w:rsid w:val="00306CEE"/>
    <w:rsid w:val="003127F8"/>
    <w:rsid w:val="00314C58"/>
    <w:rsid w:val="00317FD4"/>
    <w:rsid w:val="003206F1"/>
    <w:rsid w:val="00321E53"/>
    <w:rsid w:val="00327228"/>
    <w:rsid w:val="003360B3"/>
    <w:rsid w:val="003436F1"/>
    <w:rsid w:val="00343A97"/>
    <w:rsid w:val="003451A0"/>
    <w:rsid w:val="00352736"/>
    <w:rsid w:val="00363B3B"/>
    <w:rsid w:val="0037456F"/>
    <w:rsid w:val="003814B8"/>
    <w:rsid w:val="00382FE0"/>
    <w:rsid w:val="00385405"/>
    <w:rsid w:val="003A1E48"/>
    <w:rsid w:val="003A6740"/>
    <w:rsid w:val="003A74EA"/>
    <w:rsid w:val="003A7C2B"/>
    <w:rsid w:val="003B085A"/>
    <w:rsid w:val="003B29B7"/>
    <w:rsid w:val="003B6B41"/>
    <w:rsid w:val="003C643F"/>
    <w:rsid w:val="003C738F"/>
    <w:rsid w:val="003D5B82"/>
    <w:rsid w:val="003D6B5A"/>
    <w:rsid w:val="003E4061"/>
    <w:rsid w:val="003E4413"/>
    <w:rsid w:val="003E4FAC"/>
    <w:rsid w:val="003F6540"/>
    <w:rsid w:val="00412E63"/>
    <w:rsid w:val="00415013"/>
    <w:rsid w:val="0042733C"/>
    <w:rsid w:val="004334D1"/>
    <w:rsid w:val="00440663"/>
    <w:rsid w:val="00442291"/>
    <w:rsid w:val="00450791"/>
    <w:rsid w:val="00452538"/>
    <w:rsid w:val="00455C1A"/>
    <w:rsid w:val="00471E08"/>
    <w:rsid w:val="00474A84"/>
    <w:rsid w:val="00480003"/>
    <w:rsid w:val="00481C26"/>
    <w:rsid w:val="00486EAB"/>
    <w:rsid w:val="00497997"/>
    <w:rsid w:val="004A376A"/>
    <w:rsid w:val="004A4844"/>
    <w:rsid w:val="004B7E7B"/>
    <w:rsid w:val="004D1239"/>
    <w:rsid w:val="004D5991"/>
    <w:rsid w:val="004F5DBC"/>
    <w:rsid w:val="005004BE"/>
    <w:rsid w:val="005040C1"/>
    <w:rsid w:val="0050693D"/>
    <w:rsid w:val="005127BC"/>
    <w:rsid w:val="00526911"/>
    <w:rsid w:val="0053031F"/>
    <w:rsid w:val="00532B60"/>
    <w:rsid w:val="00534568"/>
    <w:rsid w:val="00535676"/>
    <w:rsid w:val="00537D9D"/>
    <w:rsid w:val="00544BB6"/>
    <w:rsid w:val="005464A5"/>
    <w:rsid w:val="00551E13"/>
    <w:rsid w:val="00553F16"/>
    <w:rsid w:val="00554AA8"/>
    <w:rsid w:val="00556C16"/>
    <w:rsid w:val="00563EA3"/>
    <w:rsid w:val="00564929"/>
    <w:rsid w:val="00570197"/>
    <w:rsid w:val="0058657D"/>
    <w:rsid w:val="0058754F"/>
    <w:rsid w:val="0059107E"/>
    <w:rsid w:val="005A134D"/>
    <w:rsid w:val="005C38D8"/>
    <w:rsid w:val="005D36B4"/>
    <w:rsid w:val="005D39C2"/>
    <w:rsid w:val="005D5B80"/>
    <w:rsid w:val="005D600C"/>
    <w:rsid w:val="005F0C28"/>
    <w:rsid w:val="005F4714"/>
    <w:rsid w:val="005F6562"/>
    <w:rsid w:val="006017C1"/>
    <w:rsid w:val="00604934"/>
    <w:rsid w:val="00621576"/>
    <w:rsid w:val="006360B2"/>
    <w:rsid w:val="006428EC"/>
    <w:rsid w:val="00642C2F"/>
    <w:rsid w:val="006574FE"/>
    <w:rsid w:val="006618D8"/>
    <w:rsid w:val="006652DF"/>
    <w:rsid w:val="00665C9F"/>
    <w:rsid w:val="006715E9"/>
    <w:rsid w:val="0068204F"/>
    <w:rsid w:val="00687F19"/>
    <w:rsid w:val="006942E1"/>
    <w:rsid w:val="006A0E47"/>
    <w:rsid w:val="006B00CC"/>
    <w:rsid w:val="006C11F9"/>
    <w:rsid w:val="006C1951"/>
    <w:rsid w:val="006D1D9B"/>
    <w:rsid w:val="006D49E0"/>
    <w:rsid w:val="006E62CA"/>
    <w:rsid w:val="00702555"/>
    <w:rsid w:val="007113B6"/>
    <w:rsid w:val="007225ED"/>
    <w:rsid w:val="00730CA4"/>
    <w:rsid w:val="0073403D"/>
    <w:rsid w:val="00742537"/>
    <w:rsid w:val="00743042"/>
    <w:rsid w:val="00747DB7"/>
    <w:rsid w:val="00753D90"/>
    <w:rsid w:val="00762B27"/>
    <w:rsid w:val="00766755"/>
    <w:rsid w:val="00770144"/>
    <w:rsid w:val="007729A2"/>
    <w:rsid w:val="00783C08"/>
    <w:rsid w:val="0079181D"/>
    <w:rsid w:val="00793E21"/>
    <w:rsid w:val="007947CB"/>
    <w:rsid w:val="007A228E"/>
    <w:rsid w:val="007C4F29"/>
    <w:rsid w:val="007C7BF6"/>
    <w:rsid w:val="007D25EB"/>
    <w:rsid w:val="007D3468"/>
    <w:rsid w:val="007D370B"/>
    <w:rsid w:val="007D439A"/>
    <w:rsid w:val="007D716D"/>
    <w:rsid w:val="007F066A"/>
    <w:rsid w:val="007F0CF7"/>
    <w:rsid w:val="007F4114"/>
    <w:rsid w:val="008067A8"/>
    <w:rsid w:val="00806C64"/>
    <w:rsid w:val="008118F8"/>
    <w:rsid w:val="00815AC0"/>
    <w:rsid w:val="00821F25"/>
    <w:rsid w:val="00827187"/>
    <w:rsid w:val="00827629"/>
    <w:rsid w:val="008333EB"/>
    <w:rsid w:val="00843B9B"/>
    <w:rsid w:val="0084507A"/>
    <w:rsid w:val="00845239"/>
    <w:rsid w:val="008520A8"/>
    <w:rsid w:val="0085514C"/>
    <w:rsid w:val="0088111B"/>
    <w:rsid w:val="00882EEC"/>
    <w:rsid w:val="00887E03"/>
    <w:rsid w:val="0089236F"/>
    <w:rsid w:val="00895532"/>
    <w:rsid w:val="008A3836"/>
    <w:rsid w:val="008B201D"/>
    <w:rsid w:val="008B4B9B"/>
    <w:rsid w:val="008C0FB3"/>
    <w:rsid w:val="008C4C8B"/>
    <w:rsid w:val="008C6A03"/>
    <w:rsid w:val="008D47E3"/>
    <w:rsid w:val="008D593D"/>
    <w:rsid w:val="008D5C25"/>
    <w:rsid w:val="008D7D66"/>
    <w:rsid w:val="008E1DA5"/>
    <w:rsid w:val="008E649B"/>
    <w:rsid w:val="008F2A1E"/>
    <w:rsid w:val="008F4EFF"/>
    <w:rsid w:val="008F5431"/>
    <w:rsid w:val="009015F0"/>
    <w:rsid w:val="00901D20"/>
    <w:rsid w:val="009022AB"/>
    <w:rsid w:val="00914324"/>
    <w:rsid w:val="00920521"/>
    <w:rsid w:val="00923B8C"/>
    <w:rsid w:val="009310B1"/>
    <w:rsid w:val="00937AEC"/>
    <w:rsid w:val="0094235A"/>
    <w:rsid w:val="00956B50"/>
    <w:rsid w:val="00963064"/>
    <w:rsid w:val="0096440C"/>
    <w:rsid w:val="00966773"/>
    <w:rsid w:val="00971C8A"/>
    <w:rsid w:val="0097304E"/>
    <w:rsid w:val="00974FE9"/>
    <w:rsid w:val="009916FC"/>
    <w:rsid w:val="00992E04"/>
    <w:rsid w:val="00994948"/>
    <w:rsid w:val="009A2708"/>
    <w:rsid w:val="009A6766"/>
    <w:rsid w:val="009C01C1"/>
    <w:rsid w:val="009C1307"/>
    <w:rsid w:val="009C4356"/>
    <w:rsid w:val="009C774B"/>
    <w:rsid w:val="009D06FE"/>
    <w:rsid w:val="009D0E4C"/>
    <w:rsid w:val="009D3D33"/>
    <w:rsid w:val="009D5DF7"/>
    <w:rsid w:val="009E6651"/>
    <w:rsid w:val="009F3EC2"/>
    <w:rsid w:val="009F5E7C"/>
    <w:rsid w:val="009F7957"/>
    <w:rsid w:val="00A0237E"/>
    <w:rsid w:val="00A062B2"/>
    <w:rsid w:val="00A07E35"/>
    <w:rsid w:val="00A10002"/>
    <w:rsid w:val="00A16D67"/>
    <w:rsid w:val="00A229CC"/>
    <w:rsid w:val="00A26442"/>
    <w:rsid w:val="00A27ADB"/>
    <w:rsid w:val="00A32ED1"/>
    <w:rsid w:val="00A3417D"/>
    <w:rsid w:val="00A45BBA"/>
    <w:rsid w:val="00A5388B"/>
    <w:rsid w:val="00A5406C"/>
    <w:rsid w:val="00A73773"/>
    <w:rsid w:val="00A74B21"/>
    <w:rsid w:val="00A81F44"/>
    <w:rsid w:val="00A85D34"/>
    <w:rsid w:val="00A8767B"/>
    <w:rsid w:val="00A964F0"/>
    <w:rsid w:val="00AB6E76"/>
    <w:rsid w:val="00AB7628"/>
    <w:rsid w:val="00AC24BD"/>
    <w:rsid w:val="00AC42F2"/>
    <w:rsid w:val="00AC4342"/>
    <w:rsid w:val="00AD2065"/>
    <w:rsid w:val="00AF0F84"/>
    <w:rsid w:val="00B036A1"/>
    <w:rsid w:val="00B06684"/>
    <w:rsid w:val="00B07523"/>
    <w:rsid w:val="00B11559"/>
    <w:rsid w:val="00B23441"/>
    <w:rsid w:val="00B237EA"/>
    <w:rsid w:val="00B24954"/>
    <w:rsid w:val="00B26022"/>
    <w:rsid w:val="00B30B8D"/>
    <w:rsid w:val="00B31893"/>
    <w:rsid w:val="00B34E8F"/>
    <w:rsid w:val="00B36446"/>
    <w:rsid w:val="00B4150E"/>
    <w:rsid w:val="00B44023"/>
    <w:rsid w:val="00B61E24"/>
    <w:rsid w:val="00B62902"/>
    <w:rsid w:val="00B820BC"/>
    <w:rsid w:val="00B86FBE"/>
    <w:rsid w:val="00BA3665"/>
    <w:rsid w:val="00BA51B9"/>
    <w:rsid w:val="00BA6B8C"/>
    <w:rsid w:val="00BA6D59"/>
    <w:rsid w:val="00BB3D87"/>
    <w:rsid w:val="00BB6302"/>
    <w:rsid w:val="00BB6978"/>
    <w:rsid w:val="00BC1210"/>
    <w:rsid w:val="00BD119A"/>
    <w:rsid w:val="00BD30E8"/>
    <w:rsid w:val="00BE34D3"/>
    <w:rsid w:val="00BE5E12"/>
    <w:rsid w:val="00BF2AED"/>
    <w:rsid w:val="00BF3179"/>
    <w:rsid w:val="00C0025E"/>
    <w:rsid w:val="00C04126"/>
    <w:rsid w:val="00C06943"/>
    <w:rsid w:val="00C13E75"/>
    <w:rsid w:val="00C148C6"/>
    <w:rsid w:val="00C208B4"/>
    <w:rsid w:val="00C2201F"/>
    <w:rsid w:val="00C220EA"/>
    <w:rsid w:val="00C23034"/>
    <w:rsid w:val="00C25CFE"/>
    <w:rsid w:val="00C26545"/>
    <w:rsid w:val="00C2763C"/>
    <w:rsid w:val="00C30873"/>
    <w:rsid w:val="00C32EDE"/>
    <w:rsid w:val="00C34FD5"/>
    <w:rsid w:val="00C36845"/>
    <w:rsid w:val="00C430FB"/>
    <w:rsid w:val="00C443A4"/>
    <w:rsid w:val="00C55D8F"/>
    <w:rsid w:val="00C56828"/>
    <w:rsid w:val="00C6529F"/>
    <w:rsid w:val="00C731D4"/>
    <w:rsid w:val="00C746BA"/>
    <w:rsid w:val="00CA4448"/>
    <w:rsid w:val="00CA6DB9"/>
    <w:rsid w:val="00CB4D5B"/>
    <w:rsid w:val="00CC5563"/>
    <w:rsid w:val="00CD5EEE"/>
    <w:rsid w:val="00CD6AEA"/>
    <w:rsid w:val="00CE50C5"/>
    <w:rsid w:val="00CE6DB2"/>
    <w:rsid w:val="00D02AB9"/>
    <w:rsid w:val="00D06366"/>
    <w:rsid w:val="00D161AB"/>
    <w:rsid w:val="00D17DB3"/>
    <w:rsid w:val="00D2207E"/>
    <w:rsid w:val="00D2254C"/>
    <w:rsid w:val="00D23C0A"/>
    <w:rsid w:val="00D308F0"/>
    <w:rsid w:val="00D32832"/>
    <w:rsid w:val="00D33F6B"/>
    <w:rsid w:val="00D3608E"/>
    <w:rsid w:val="00D42B11"/>
    <w:rsid w:val="00D50126"/>
    <w:rsid w:val="00D56146"/>
    <w:rsid w:val="00D64030"/>
    <w:rsid w:val="00D64F02"/>
    <w:rsid w:val="00D65D97"/>
    <w:rsid w:val="00D73FC3"/>
    <w:rsid w:val="00D81DB5"/>
    <w:rsid w:val="00D850E4"/>
    <w:rsid w:val="00D86C5F"/>
    <w:rsid w:val="00D94E3D"/>
    <w:rsid w:val="00DA1ADD"/>
    <w:rsid w:val="00DB157B"/>
    <w:rsid w:val="00DB2CDE"/>
    <w:rsid w:val="00DB79CF"/>
    <w:rsid w:val="00DC0081"/>
    <w:rsid w:val="00DC5D11"/>
    <w:rsid w:val="00DC5E0D"/>
    <w:rsid w:val="00DC7D4D"/>
    <w:rsid w:val="00DD32D8"/>
    <w:rsid w:val="00DD7F93"/>
    <w:rsid w:val="00DE37B9"/>
    <w:rsid w:val="00DE4672"/>
    <w:rsid w:val="00DE533F"/>
    <w:rsid w:val="00DE76EC"/>
    <w:rsid w:val="00DF6BFA"/>
    <w:rsid w:val="00E019DD"/>
    <w:rsid w:val="00E11E17"/>
    <w:rsid w:val="00E14D3D"/>
    <w:rsid w:val="00E2100C"/>
    <w:rsid w:val="00E231E7"/>
    <w:rsid w:val="00E401D1"/>
    <w:rsid w:val="00E53D0A"/>
    <w:rsid w:val="00E551BE"/>
    <w:rsid w:val="00E55F8B"/>
    <w:rsid w:val="00E601B4"/>
    <w:rsid w:val="00E6286B"/>
    <w:rsid w:val="00E628C1"/>
    <w:rsid w:val="00E73D0A"/>
    <w:rsid w:val="00E7540F"/>
    <w:rsid w:val="00E7673F"/>
    <w:rsid w:val="00E836B4"/>
    <w:rsid w:val="00E91B25"/>
    <w:rsid w:val="00EA1C12"/>
    <w:rsid w:val="00EA591F"/>
    <w:rsid w:val="00EA5BA2"/>
    <w:rsid w:val="00EA7A0E"/>
    <w:rsid w:val="00EB428F"/>
    <w:rsid w:val="00EB57FD"/>
    <w:rsid w:val="00EB6B0C"/>
    <w:rsid w:val="00EC5C18"/>
    <w:rsid w:val="00ED6B05"/>
    <w:rsid w:val="00EE1477"/>
    <w:rsid w:val="00EE228A"/>
    <w:rsid w:val="00EF594E"/>
    <w:rsid w:val="00EF6D5B"/>
    <w:rsid w:val="00F041DE"/>
    <w:rsid w:val="00F1061B"/>
    <w:rsid w:val="00F166D0"/>
    <w:rsid w:val="00F173D8"/>
    <w:rsid w:val="00F174C5"/>
    <w:rsid w:val="00F369BA"/>
    <w:rsid w:val="00F37192"/>
    <w:rsid w:val="00F37E60"/>
    <w:rsid w:val="00F43CB6"/>
    <w:rsid w:val="00F46841"/>
    <w:rsid w:val="00F46A0A"/>
    <w:rsid w:val="00F47927"/>
    <w:rsid w:val="00F60C4A"/>
    <w:rsid w:val="00F64CD7"/>
    <w:rsid w:val="00F67059"/>
    <w:rsid w:val="00F70798"/>
    <w:rsid w:val="00F751B1"/>
    <w:rsid w:val="00F86EA4"/>
    <w:rsid w:val="00F94181"/>
    <w:rsid w:val="00F97566"/>
    <w:rsid w:val="00FA79D8"/>
    <w:rsid w:val="00FB2ACE"/>
    <w:rsid w:val="00FB2C3D"/>
    <w:rsid w:val="00FB6C1A"/>
    <w:rsid w:val="00FC6E3D"/>
    <w:rsid w:val="00FE09F6"/>
    <w:rsid w:val="00FE5E5E"/>
    <w:rsid w:val="00FF133D"/>
    <w:rsid w:val="00FF28F3"/>
    <w:rsid w:val="00FF3E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758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50C4"/>
    <w:pPr>
      <w:spacing w:line="360" w:lineRule="auto"/>
      <w:ind w:firstLine="567"/>
      <w:jc w:val="both"/>
    </w:pPr>
    <w:rPr>
      <w:rFonts w:ascii="Times New Roman" w:hAnsi="Times New Roman"/>
      <w:lang w:val="en-GB"/>
    </w:rPr>
  </w:style>
  <w:style w:type="paragraph" w:styleId="Naslov1">
    <w:name w:val="heading 1"/>
    <w:basedOn w:val="Normal"/>
    <w:next w:val="Normal"/>
    <w:link w:val="Naslov1Char"/>
    <w:uiPriority w:val="9"/>
    <w:qFormat/>
    <w:rsid w:val="000150C4"/>
    <w:pPr>
      <w:keepNext/>
      <w:keepLines/>
      <w:spacing w:before="240"/>
      <w:ind w:firstLine="0"/>
      <w:outlineLvl w:val="0"/>
    </w:pPr>
    <w:rPr>
      <w:rFonts w:eastAsiaTheme="majorEastAsia" w:cstheme="majorBidi"/>
      <w:b/>
      <w:bCs/>
      <w:color w:val="000000" w:themeColor="text1"/>
      <w:sz w:val="32"/>
      <w:szCs w:val="32"/>
    </w:rPr>
  </w:style>
  <w:style w:type="paragraph" w:styleId="Naslov2">
    <w:name w:val="heading 2"/>
    <w:basedOn w:val="Normal"/>
    <w:next w:val="Normal"/>
    <w:link w:val="Naslov2Char"/>
    <w:uiPriority w:val="9"/>
    <w:unhideWhenUsed/>
    <w:qFormat/>
    <w:rsid w:val="000150C4"/>
    <w:pPr>
      <w:keepNext/>
      <w:keepLines/>
      <w:spacing w:before="40"/>
      <w:ind w:firstLine="0"/>
      <w:outlineLvl w:val="1"/>
    </w:pPr>
    <w:rPr>
      <w:rFonts w:eastAsiaTheme="majorEastAsia" w:cstheme="majorBidi"/>
      <w:color w:val="000000" w:themeColor="text1"/>
      <w:sz w:val="28"/>
      <w:szCs w:val="26"/>
    </w:rPr>
  </w:style>
  <w:style w:type="paragraph" w:styleId="Naslov3">
    <w:name w:val="heading 3"/>
    <w:basedOn w:val="Normal"/>
    <w:next w:val="Normal"/>
    <w:link w:val="Naslov3Char"/>
    <w:uiPriority w:val="9"/>
    <w:unhideWhenUsed/>
    <w:qFormat/>
    <w:rsid w:val="000150C4"/>
    <w:pPr>
      <w:keepNext/>
      <w:keepLines/>
      <w:spacing w:before="40"/>
      <w:ind w:firstLine="0"/>
      <w:outlineLvl w:val="2"/>
    </w:pPr>
    <w:rPr>
      <w:rFonts w:eastAsiaTheme="majorEastAsia" w:cstheme="majorBidi"/>
      <w:color w:val="000000" w:themeColor="tex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0150C4"/>
    <w:pPr>
      <w:spacing w:line="240" w:lineRule="auto"/>
      <w:ind w:firstLine="0"/>
      <w:jc w:val="left"/>
    </w:pPr>
    <w:rPr>
      <w:sz w:val="20"/>
      <w:szCs w:val="20"/>
    </w:rPr>
  </w:style>
  <w:style w:type="character" w:customStyle="1" w:styleId="TekstfusnoteChar">
    <w:name w:val="Tekst fusnote Char"/>
    <w:basedOn w:val="Zadanifontodlomka"/>
    <w:link w:val="Tekstfusnote"/>
    <w:uiPriority w:val="99"/>
    <w:semiHidden/>
    <w:rsid w:val="000150C4"/>
    <w:rPr>
      <w:rFonts w:ascii="Times New Roman" w:hAnsi="Times New Roman"/>
      <w:sz w:val="20"/>
      <w:szCs w:val="20"/>
      <w:lang w:val="en-GB"/>
    </w:rPr>
  </w:style>
  <w:style w:type="character" w:customStyle="1" w:styleId="Naslov1Char">
    <w:name w:val="Naslov 1 Char"/>
    <w:basedOn w:val="Zadanifontodlomka"/>
    <w:link w:val="Naslov1"/>
    <w:uiPriority w:val="9"/>
    <w:rsid w:val="000150C4"/>
    <w:rPr>
      <w:rFonts w:ascii="Times New Roman" w:eastAsiaTheme="majorEastAsia" w:hAnsi="Times New Roman" w:cstheme="majorBidi"/>
      <w:b/>
      <w:bCs/>
      <w:color w:val="000000" w:themeColor="text1"/>
      <w:sz w:val="32"/>
      <w:szCs w:val="32"/>
      <w:lang w:val="en-GB"/>
    </w:rPr>
  </w:style>
  <w:style w:type="character" w:customStyle="1" w:styleId="Naslov2Char">
    <w:name w:val="Naslov 2 Char"/>
    <w:basedOn w:val="Zadanifontodlomka"/>
    <w:link w:val="Naslov2"/>
    <w:uiPriority w:val="9"/>
    <w:rsid w:val="000150C4"/>
    <w:rPr>
      <w:rFonts w:ascii="Times New Roman" w:eastAsiaTheme="majorEastAsia" w:hAnsi="Times New Roman" w:cstheme="majorBidi"/>
      <w:color w:val="000000" w:themeColor="text1"/>
      <w:sz w:val="28"/>
      <w:szCs w:val="26"/>
      <w:lang w:val="en-GB"/>
    </w:rPr>
  </w:style>
  <w:style w:type="character" w:customStyle="1" w:styleId="Naslov3Char">
    <w:name w:val="Naslov 3 Char"/>
    <w:basedOn w:val="Zadanifontodlomka"/>
    <w:link w:val="Naslov3"/>
    <w:uiPriority w:val="9"/>
    <w:rsid w:val="000150C4"/>
    <w:rPr>
      <w:rFonts w:ascii="Times New Roman" w:eastAsiaTheme="majorEastAsia" w:hAnsi="Times New Roman" w:cstheme="majorBidi"/>
      <w:color w:val="000000" w:themeColor="text1"/>
      <w:lang w:val="en-GB"/>
    </w:rPr>
  </w:style>
  <w:style w:type="paragraph" w:styleId="Odlomakpopisa">
    <w:name w:val="List Paragraph"/>
    <w:basedOn w:val="Normal"/>
    <w:uiPriority w:val="34"/>
    <w:qFormat/>
    <w:rsid w:val="000150C4"/>
    <w:pPr>
      <w:ind w:left="720"/>
      <w:contextualSpacing/>
    </w:pPr>
  </w:style>
  <w:style w:type="paragraph" w:customStyle="1" w:styleId="EndNoteBibliographyTitle">
    <w:name w:val="EndNote Bibliography Title"/>
    <w:basedOn w:val="Normal"/>
    <w:rsid w:val="000150C4"/>
    <w:pPr>
      <w:jc w:val="center"/>
    </w:pPr>
    <w:rPr>
      <w:rFonts w:cs="Times New Roman"/>
      <w:lang w:val="en-US"/>
    </w:rPr>
  </w:style>
  <w:style w:type="paragraph" w:customStyle="1" w:styleId="EndNoteBibliography">
    <w:name w:val="EndNote Bibliography"/>
    <w:basedOn w:val="Normal"/>
    <w:rsid w:val="000150C4"/>
    <w:pPr>
      <w:spacing w:line="240" w:lineRule="auto"/>
    </w:pPr>
    <w:rPr>
      <w:rFonts w:cs="Times New Roman"/>
      <w:lang w:val="en-US"/>
    </w:rPr>
  </w:style>
  <w:style w:type="character" w:styleId="Hiperveza">
    <w:name w:val="Hyperlink"/>
    <w:basedOn w:val="Zadanifontodlomka"/>
    <w:uiPriority w:val="99"/>
    <w:unhideWhenUsed/>
    <w:rsid w:val="000150C4"/>
    <w:rPr>
      <w:color w:val="0563C1" w:themeColor="hyperlink"/>
      <w:u w:val="single"/>
    </w:rPr>
  </w:style>
  <w:style w:type="paragraph" w:styleId="Bezproreda">
    <w:name w:val="No Spacing"/>
    <w:uiPriority w:val="1"/>
    <w:qFormat/>
    <w:rsid w:val="000150C4"/>
    <w:pPr>
      <w:ind w:firstLine="567"/>
      <w:jc w:val="both"/>
    </w:pPr>
    <w:rPr>
      <w:rFonts w:ascii="Times New Roman" w:hAnsi="Times New Roman"/>
      <w:lang w:val="en-GB"/>
    </w:rPr>
  </w:style>
  <w:style w:type="character" w:customStyle="1" w:styleId="UnresolvedMention1">
    <w:name w:val="Unresolved Mention1"/>
    <w:basedOn w:val="Zadanifontodlomka"/>
    <w:uiPriority w:val="99"/>
    <w:rsid w:val="000150C4"/>
    <w:rPr>
      <w:color w:val="808080"/>
      <w:shd w:val="clear" w:color="auto" w:fill="E6E6E6"/>
    </w:rPr>
  </w:style>
  <w:style w:type="paragraph" w:styleId="Tekstbalonia">
    <w:name w:val="Balloon Text"/>
    <w:basedOn w:val="Normal"/>
    <w:link w:val="TekstbaloniaChar"/>
    <w:uiPriority w:val="99"/>
    <w:semiHidden/>
    <w:unhideWhenUsed/>
    <w:rsid w:val="000150C4"/>
    <w:pPr>
      <w:spacing w:line="240" w:lineRule="auto"/>
    </w:pPr>
    <w:rPr>
      <w:rFonts w:cs="Times New Roman"/>
      <w:sz w:val="18"/>
      <w:szCs w:val="18"/>
    </w:rPr>
  </w:style>
  <w:style w:type="character" w:customStyle="1" w:styleId="TekstbaloniaChar">
    <w:name w:val="Tekst balončića Char"/>
    <w:basedOn w:val="Zadanifontodlomka"/>
    <w:link w:val="Tekstbalonia"/>
    <w:uiPriority w:val="99"/>
    <w:semiHidden/>
    <w:rsid w:val="000150C4"/>
    <w:rPr>
      <w:rFonts w:ascii="Times New Roman" w:hAnsi="Times New Roman" w:cs="Times New Roman"/>
      <w:sz w:val="18"/>
      <w:szCs w:val="18"/>
      <w:lang w:val="en-GB"/>
    </w:rPr>
  </w:style>
  <w:style w:type="character" w:styleId="Referencafusnote">
    <w:name w:val="footnote reference"/>
    <w:basedOn w:val="Zadanifontodlomka"/>
    <w:uiPriority w:val="99"/>
    <w:semiHidden/>
    <w:unhideWhenUsed/>
    <w:rsid w:val="000150C4"/>
    <w:rPr>
      <w:vertAlign w:val="superscript"/>
    </w:rPr>
  </w:style>
  <w:style w:type="character" w:styleId="Referencakomentara">
    <w:name w:val="annotation reference"/>
    <w:basedOn w:val="Zadanifontodlomka"/>
    <w:uiPriority w:val="99"/>
    <w:semiHidden/>
    <w:unhideWhenUsed/>
    <w:rsid w:val="000150C4"/>
    <w:rPr>
      <w:sz w:val="16"/>
      <w:szCs w:val="16"/>
    </w:rPr>
  </w:style>
  <w:style w:type="paragraph" w:styleId="Tekstkomentara">
    <w:name w:val="annotation text"/>
    <w:basedOn w:val="Normal"/>
    <w:link w:val="TekstkomentaraChar"/>
    <w:uiPriority w:val="99"/>
    <w:semiHidden/>
    <w:unhideWhenUsed/>
    <w:rsid w:val="000150C4"/>
    <w:pPr>
      <w:spacing w:after="160" w:line="240" w:lineRule="auto"/>
      <w:ind w:firstLine="0"/>
      <w:jc w:val="left"/>
    </w:pPr>
    <w:rPr>
      <w:rFonts w:asciiTheme="minorHAnsi" w:hAnsiTheme="minorHAnsi"/>
      <w:sz w:val="20"/>
      <w:szCs w:val="20"/>
    </w:rPr>
  </w:style>
  <w:style w:type="character" w:customStyle="1" w:styleId="TekstkomentaraChar">
    <w:name w:val="Tekst komentara Char"/>
    <w:basedOn w:val="Zadanifontodlomka"/>
    <w:link w:val="Tekstkomentara"/>
    <w:uiPriority w:val="99"/>
    <w:semiHidden/>
    <w:rsid w:val="000150C4"/>
    <w:rPr>
      <w:sz w:val="20"/>
      <w:szCs w:val="20"/>
      <w:lang w:val="en-GB"/>
    </w:rPr>
  </w:style>
  <w:style w:type="table" w:customStyle="1" w:styleId="GridTable4-Accent31">
    <w:name w:val="Grid Table 4 - Accent 31"/>
    <w:basedOn w:val="Obinatablica"/>
    <w:uiPriority w:val="49"/>
    <w:rsid w:val="000150C4"/>
    <w:rPr>
      <w:sz w:val="22"/>
      <w:szCs w:val="22"/>
      <w:lang w:val="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edmetkomentara">
    <w:name w:val="annotation subject"/>
    <w:basedOn w:val="Tekstkomentara"/>
    <w:next w:val="Tekstkomentara"/>
    <w:link w:val="PredmetkomentaraChar"/>
    <w:uiPriority w:val="99"/>
    <w:semiHidden/>
    <w:unhideWhenUsed/>
    <w:rsid w:val="000150C4"/>
    <w:pPr>
      <w:spacing w:after="0"/>
      <w:ind w:firstLine="567"/>
      <w:jc w:val="both"/>
    </w:pPr>
    <w:rPr>
      <w:rFonts w:ascii="Times New Roman" w:hAnsi="Times New Roman"/>
      <w:b/>
      <w:bCs/>
    </w:rPr>
  </w:style>
  <w:style w:type="character" w:customStyle="1" w:styleId="PredmetkomentaraChar">
    <w:name w:val="Predmet komentara Char"/>
    <w:basedOn w:val="TekstkomentaraChar"/>
    <w:link w:val="Predmetkomentara"/>
    <w:uiPriority w:val="99"/>
    <w:semiHidden/>
    <w:rsid w:val="000150C4"/>
    <w:rPr>
      <w:rFonts w:ascii="Times New Roman" w:hAnsi="Times New Roman"/>
      <w:b/>
      <w:bCs/>
      <w:sz w:val="20"/>
      <w:szCs w:val="20"/>
      <w:lang w:val="en-GB"/>
    </w:rPr>
  </w:style>
  <w:style w:type="character" w:styleId="Nerijeenospominjanje">
    <w:name w:val="Unresolved Mention"/>
    <w:basedOn w:val="Zadanifontodlomka"/>
    <w:uiPriority w:val="99"/>
    <w:semiHidden/>
    <w:unhideWhenUsed/>
    <w:rsid w:val="000150C4"/>
    <w:rPr>
      <w:color w:val="605E5C"/>
      <w:shd w:val="clear" w:color="auto" w:fill="E1DFDD"/>
    </w:rPr>
  </w:style>
  <w:style w:type="paragraph" w:styleId="Revizija">
    <w:name w:val="Revision"/>
    <w:hidden/>
    <w:uiPriority w:val="99"/>
    <w:semiHidden/>
    <w:rsid w:val="000150C4"/>
    <w:rPr>
      <w:rFonts w:ascii="Times New Roman" w:hAnsi="Times New Roman"/>
      <w:lang w:val="en-GB"/>
    </w:rPr>
  </w:style>
  <w:style w:type="table" w:styleId="Tablicareetke4-isticanje3">
    <w:name w:val="Grid Table 4 Accent 3"/>
    <w:basedOn w:val="Obinatablica"/>
    <w:uiPriority w:val="49"/>
    <w:rsid w:val="000150C4"/>
    <w:rPr>
      <w:lang w:val="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Obinatablica"/>
    <w:next w:val="Reetkatablice"/>
    <w:uiPriority w:val="39"/>
    <w:rsid w:val="000150C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015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0150C4"/>
    <w:pPr>
      <w:spacing w:before="100" w:beforeAutospacing="1" w:after="100" w:afterAutospacing="1" w:line="240" w:lineRule="auto"/>
      <w:ind w:firstLine="0"/>
      <w:jc w:val="left"/>
    </w:pPr>
    <w:rPr>
      <w:rFonts w:eastAsia="Times New Roman" w:cs="Times New Roman"/>
      <w:lang w:val="de-DE"/>
    </w:rPr>
  </w:style>
  <w:style w:type="character" w:customStyle="1" w:styleId="apple-converted-space">
    <w:name w:val="apple-converted-space"/>
    <w:basedOn w:val="Zadanifontodlomka"/>
    <w:rsid w:val="000150C4"/>
  </w:style>
  <w:style w:type="character" w:styleId="SlijeenaHiperveza">
    <w:name w:val="FollowedHyperlink"/>
    <w:basedOn w:val="Zadanifontodlomka"/>
    <w:uiPriority w:val="99"/>
    <w:semiHidden/>
    <w:unhideWhenUsed/>
    <w:rsid w:val="000150C4"/>
    <w:rPr>
      <w:color w:val="954F72" w:themeColor="followedHyperlink"/>
      <w:u w:val="single"/>
    </w:rPr>
  </w:style>
  <w:style w:type="paragraph" w:styleId="Tekstkrajnjebiljeke">
    <w:name w:val="endnote text"/>
    <w:basedOn w:val="Normal"/>
    <w:link w:val="TekstkrajnjebiljekeChar"/>
    <w:uiPriority w:val="99"/>
    <w:semiHidden/>
    <w:unhideWhenUsed/>
    <w:rsid w:val="000150C4"/>
    <w:pPr>
      <w:spacing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0150C4"/>
    <w:rPr>
      <w:rFonts w:ascii="Times New Roman" w:hAnsi="Times New Roman"/>
      <w:sz w:val="20"/>
      <w:szCs w:val="20"/>
      <w:lang w:val="en-GB"/>
    </w:rPr>
  </w:style>
  <w:style w:type="character" w:styleId="Referencakrajnjebiljeke">
    <w:name w:val="endnote reference"/>
    <w:basedOn w:val="Zadanifontodlomka"/>
    <w:uiPriority w:val="99"/>
    <w:semiHidden/>
    <w:unhideWhenUsed/>
    <w:rsid w:val="000150C4"/>
    <w:rPr>
      <w:vertAlign w:val="superscript"/>
    </w:rPr>
  </w:style>
  <w:style w:type="paragraph" w:styleId="Podnoje">
    <w:name w:val="footer"/>
    <w:basedOn w:val="Normal"/>
    <w:link w:val="PodnojeChar"/>
    <w:uiPriority w:val="99"/>
    <w:unhideWhenUsed/>
    <w:rsid w:val="000150C4"/>
    <w:pPr>
      <w:tabs>
        <w:tab w:val="center" w:pos="4680"/>
        <w:tab w:val="right" w:pos="9360"/>
      </w:tabs>
      <w:spacing w:line="240" w:lineRule="auto"/>
    </w:pPr>
  </w:style>
  <w:style w:type="character" w:customStyle="1" w:styleId="PodnojeChar">
    <w:name w:val="Podnožje Char"/>
    <w:basedOn w:val="Zadanifontodlomka"/>
    <w:link w:val="Podnoje"/>
    <w:uiPriority w:val="99"/>
    <w:rsid w:val="000150C4"/>
    <w:rPr>
      <w:rFonts w:ascii="Times New Roman" w:hAnsi="Times New Roman"/>
      <w:lang w:val="en-GB"/>
    </w:rPr>
  </w:style>
  <w:style w:type="character" w:styleId="Brojstranice">
    <w:name w:val="page number"/>
    <w:basedOn w:val="Zadanifontodlomka"/>
    <w:uiPriority w:val="99"/>
    <w:semiHidden/>
    <w:unhideWhenUsed/>
    <w:rsid w:val="000150C4"/>
  </w:style>
  <w:style w:type="paragraph" w:styleId="Zaglavlje">
    <w:name w:val="header"/>
    <w:basedOn w:val="Normal"/>
    <w:link w:val="ZaglavljeChar"/>
    <w:uiPriority w:val="99"/>
    <w:unhideWhenUsed/>
    <w:rsid w:val="004334D1"/>
    <w:pPr>
      <w:tabs>
        <w:tab w:val="center" w:pos="4680"/>
        <w:tab w:val="right" w:pos="9360"/>
      </w:tabs>
      <w:spacing w:line="240" w:lineRule="auto"/>
    </w:pPr>
  </w:style>
  <w:style w:type="character" w:customStyle="1" w:styleId="ZaglavljeChar">
    <w:name w:val="Zaglavlje Char"/>
    <w:basedOn w:val="Zadanifontodlomka"/>
    <w:link w:val="Zaglavlje"/>
    <w:uiPriority w:val="99"/>
    <w:rsid w:val="004334D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ernment.se/statements/2018/03/finance-ministers-from-denmark-estonia-finland-ireland-latvia-lithuania-the-netherlands-and-sweden/" TargetMode="External"/><Relationship Id="rId3" Type="http://schemas.openxmlformats.org/officeDocument/2006/relationships/settings" Target="settings.xml"/><Relationship Id="rId7" Type="http://schemas.openxmlformats.org/officeDocument/2006/relationships/hyperlink" Target="https://www.bundesfinanzministerium.de/Content/EN/Standardartikel/Topics/Europe/Articles/2010-06-04-Chronologie-Euro-Stabilisierung.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eurocrisislaw.eui.e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8156</Words>
  <Characters>46494</Characters>
  <Application>Microsoft Office Word</Application>
  <DocSecurity>0</DocSecurity>
  <Lines>387</Lines>
  <Paragraphs>109</Paragraphs>
  <ScaleCrop>false</ScaleCrop>
  <Company/>
  <LinksUpToDate>false</LinksUpToDate>
  <CharactersWithSpaces>54541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2019-04-08T12:53:00Z</dcterms:created>
  <dcterms:modified xsi:type="dcterms:W3CDTF">2019-04-08T12:53:00Z</dcterms:modified>
</cp:coreProperties>
</file>